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590" w:rsidRPr="00FD179B" w:rsidRDefault="001A5590" w:rsidP="00FD179B">
      <w:bookmarkStart w:id="0" w:name="_GoBack"/>
      <w:bookmarkEnd w:id="0"/>
    </w:p>
    <w:p w:rsidR="000A1218" w:rsidRDefault="00DD6724" w:rsidP="00FD179B">
      <w:pPr>
        <w:pStyle w:val="BodyText"/>
      </w:pPr>
      <w:r>
        <w:rPr>
          <w:noProof/>
          <w:lang w:eastAsia="en-AU"/>
        </w:rPr>
        <w:drawing>
          <wp:anchor distT="0" distB="0" distL="114300" distR="114300" simplePos="0" relativeHeight="251652096" behindDoc="0" locked="0" layoutInCell="1" allowOverlap="1">
            <wp:simplePos x="0" y="0"/>
            <wp:positionH relativeFrom="column">
              <wp:posOffset>561975</wp:posOffset>
            </wp:positionH>
            <wp:positionV relativeFrom="paragraph">
              <wp:posOffset>191135</wp:posOffset>
            </wp:positionV>
            <wp:extent cx="3228975" cy="209550"/>
            <wp:effectExtent l="0" t="0" r="9525" b="0"/>
            <wp:wrapThrough wrapText="bothSides">
              <wp:wrapPolygon edited="0">
                <wp:start x="0" y="0"/>
                <wp:lineTo x="0" y="19636"/>
                <wp:lineTo x="21536" y="19636"/>
                <wp:lineTo x="21536" y="0"/>
                <wp:lineTo x="0" y="0"/>
              </wp:wrapPolygon>
            </wp:wrapThrough>
            <wp:docPr id="49" name="Picture 1" descr="Deloitte Access Econo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oitte Access Economic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pic:spPr>
                </pic:pic>
              </a:graphicData>
            </a:graphic>
            <wp14:sizeRelH relativeFrom="page">
              <wp14:pctWidth>0</wp14:pctWidth>
            </wp14:sizeRelH>
            <wp14:sizeRelV relativeFrom="page">
              <wp14:pctHeight>0</wp14:pctHeight>
            </wp14:sizeRelV>
          </wp:anchor>
        </w:drawing>
      </w:r>
    </w:p>
    <w:p w:rsidR="000A1218" w:rsidRPr="000A1218" w:rsidRDefault="000A1218" w:rsidP="00FD179B">
      <w:pPr>
        <w:pStyle w:val="BodyText"/>
      </w:pPr>
    </w:p>
    <w:p w:rsidR="000A1218" w:rsidRPr="000A1218" w:rsidRDefault="000A1218" w:rsidP="00FD179B">
      <w:pPr>
        <w:pStyle w:val="BodyText"/>
      </w:pPr>
    </w:p>
    <w:p w:rsidR="000A1218" w:rsidRPr="000A1218" w:rsidRDefault="000A1218" w:rsidP="00FD179B">
      <w:pPr>
        <w:pStyle w:val="BodyText"/>
      </w:pPr>
    </w:p>
    <w:p w:rsidR="000A1218" w:rsidRDefault="000A1218" w:rsidP="00FD179B">
      <w:pPr>
        <w:pStyle w:val="BodyText"/>
      </w:pPr>
    </w:p>
    <w:p w:rsidR="000A1218" w:rsidRDefault="000A1218" w:rsidP="00FD179B">
      <w:pPr>
        <w:pStyle w:val="BodyText"/>
      </w:pPr>
    </w:p>
    <w:p w:rsidR="000A1218" w:rsidRDefault="000A1218" w:rsidP="00FD179B">
      <w:pPr>
        <w:pStyle w:val="BodyText"/>
      </w:pPr>
    </w:p>
    <w:p w:rsidR="000A1218" w:rsidRDefault="000A1218" w:rsidP="00FD179B">
      <w:pPr>
        <w:pStyle w:val="BodyText"/>
      </w:pPr>
    </w:p>
    <w:p w:rsidR="000A1218" w:rsidRDefault="000A1218" w:rsidP="00FD179B">
      <w:pPr>
        <w:pStyle w:val="BodyText"/>
      </w:pPr>
    </w:p>
    <w:p w:rsidR="000A1218" w:rsidRPr="000A1218" w:rsidRDefault="000A1218" w:rsidP="00FD179B">
      <w:pPr>
        <w:pStyle w:val="BodyText"/>
      </w:pPr>
    </w:p>
    <w:p w:rsidR="000A1218" w:rsidRPr="000A1218" w:rsidRDefault="000A1218" w:rsidP="00FD179B">
      <w:pPr>
        <w:pStyle w:val="BodyText"/>
      </w:pPr>
    </w:p>
    <w:p w:rsidR="000A1218" w:rsidRDefault="000A1218" w:rsidP="000A1218">
      <w:pPr>
        <w:pStyle w:val="Title"/>
      </w:pPr>
      <w:r>
        <w:t>Examining the Full Cost of Research Training</w:t>
      </w:r>
    </w:p>
    <w:p w:rsidR="000A1218" w:rsidRDefault="000A1218" w:rsidP="00FD179B">
      <w:pPr>
        <w:pStyle w:val="BodyText"/>
      </w:pPr>
    </w:p>
    <w:p w:rsidR="000A1218" w:rsidRPr="000A1218" w:rsidRDefault="000A1218" w:rsidP="00FD179B">
      <w:pPr>
        <w:pStyle w:val="BodyText"/>
      </w:pPr>
    </w:p>
    <w:p w:rsidR="000A1218" w:rsidRDefault="000A1218" w:rsidP="000A1218">
      <w:pPr>
        <w:pStyle w:val="Subtitle"/>
      </w:pPr>
      <w:r>
        <w:t>Department of Innovation, Industry, Science and Research</w:t>
      </w:r>
    </w:p>
    <w:p w:rsidR="000A1218" w:rsidRDefault="000A1218" w:rsidP="000A1218">
      <w:pPr>
        <w:pStyle w:val="Subtitle"/>
      </w:pPr>
    </w:p>
    <w:p w:rsidR="000A1218" w:rsidRPr="000A1218" w:rsidRDefault="000A1218" w:rsidP="000A1218">
      <w:pPr>
        <w:pStyle w:val="Subtitle"/>
      </w:pPr>
      <w:r>
        <w:t>July 2011</w:t>
      </w:r>
    </w:p>
    <w:p w:rsidR="000A1218" w:rsidRPr="000A1218" w:rsidRDefault="000A1218" w:rsidP="00FD179B">
      <w:pPr>
        <w:pStyle w:val="BodyText"/>
      </w:pPr>
    </w:p>
    <w:p w:rsidR="000A1218" w:rsidRPr="000A1218" w:rsidRDefault="000A1218" w:rsidP="00FD179B">
      <w:pPr>
        <w:pStyle w:val="BodyText"/>
      </w:pPr>
    </w:p>
    <w:p w:rsidR="000A1218" w:rsidRDefault="000A1218" w:rsidP="00FD179B">
      <w:pPr>
        <w:pStyle w:val="BodyText"/>
      </w:pPr>
    </w:p>
    <w:p w:rsidR="000A1218" w:rsidRDefault="000A1218" w:rsidP="00FD179B">
      <w:pPr>
        <w:pStyle w:val="BodyText"/>
      </w:pPr>
    </w:p>
    <w:p w:rsidR="000A1218" w:rsidRDefault="000A1218" w:rsidP="00FD179B">
      <w:pPr>
        <w:pStyle w:val="BodyText"/>
      </w:pPr>
    </w:p>
    <w:p w:rsidR="001A5590" w:rsidRPr="000A1218" w:rsidRDefault="00DD6724" w:rsidP="00FD179B">
      <w:pPr>
        <w:pStyle w:val="BodyText"/>
        <w:sectPr w:rsidR="001A5590" w:rsidRPr="000A1218" w:rsidSect="000A1218">
          <w:headerReference w:type="even" r:id="rId9"/>
          <w:pgSz w:w="11906" w:h="16838" w:code="9"/>
          <w:pgMar w:top="0" w:right="1566" w:bottom="0" w:left="0" w:header="454" w:footer="454" w:gutter="0"/>
          <w:cols w:space="720"/>
          <w:titlePg/>
          <w:docGrid w:linePitch="360"/>
        </w:sectPr>
      </w:pPr>
      <w:r>
        <w:rPr>
          <w:noProof/>
          <w:lang w:eastAsia="en-AU"/>
        </w:rPr>
        <w:drawing>
          <wp:anchor distT="0" distB="0" distL="114300" distR="114300" simplePos="0" relativeHeight="251662336" behindDoc="0" locked="0" layoutInCell="1" allowOverlap="1">
            <wp:simplePos x="0" y="0"/>
            <wp:positionH relativeFrom="page">
              <wp:posOffset>5307330</wp:posOffset>
            </wp:positionH>
            <wp:positionV relativeFrom="page">
              <wp:posOffset>9991725</wp:posOffset>
            </wp:positionV>
            <wp:extent cx="1652270" cy="314325"/>
            <wp:effectExtent l="0" t="0" r="5080" b="9525"/>
            <wp:wrapNone/>
            <wp:docPr id="48" name="HDR_LOGO" descr="Deloit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R_LOGO" descr="Deloitte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2270" cy="314325"/>
                    </a:xfrm>
                    <a:prstGeom prst="rect">
                      <a:avLst/>
                    </a:prstGeom>
                    <a:noFill/>
                  </pic:spPr>
                </pic:pic>
              </a:graphicData>
            </a:graphic>
            <wp14:sizeRelH relativeFrom="page">
              <wp14:pctWidth>0</wp14:pctWidth>
            </wp14:sizeRelH>
            <wp14:sizeRelV relativeFrom="page">
              <wp14:pctHeight>0</wp14:pctHeight>
            </wp14:sizeRelV>
          </wp:anchor>
        </w:drawing>
      </w:r>
    </w:p>
    <w:p w:rsidR="001A5590" w:rsidRPr="00DE4E85" w:rsidRDefault="001A5590" w:rsidP="0008028A">
      <w:pPr>
        <w:pStyle w:val="Heading1Heading"/>
      </w:pPr>
      <w:r w:rsidRPr="00306EC6">
        <w:lastRenderedPageBreak/>
        <w:t>Contents</w:t>
      </w:r>
    </w:p>
    <w:p w:rsidR="00D061E2" w:rsidRDefault="001A5590">
      <w:pPr>
        <w:pStyle w:val="TOC1"/>
        <w:rPr>
          <w:rFonts w:cs="Times New Roman"/>
          <w:noProof/>
          <w:lang w:eastAsia="en-AU"/>
        </w:rPr>
      </w:pPr>
      <w:r>
        <w:rPr>
          <w:b/>
          <w:caps/>
        </w:rPr>
        <w:fldChar w:fldCharType="begin"/>
      </w:r>
      <w:r>
        <w:rPr>
          <w:b/>
          <w:caps/>
        </w:rPr>
        <w:instrText xml:space="preserve"> TOC \o "1-2" \h \z \t "Major Heading,1,Appendix,1,Heading A,1" </w:instrText>
      </w:r>
      <w:r>
        <w:rPr>
          <w:b/>
          <w:caps/>
        </w:rPr>
        <w:fldChar w:fldCharType="separate"/>
      </w:r>
      <w:hyperlink w:anchor="_Toc298324946" w:history="1">
        <w:r w:rsidR="00D061E2" w:rsidRPr="003210A6">
          <w:rPr>
            <w:rStyle w:val="Hyperlink"/>
            <w:noProof/>
          </w:rPr>
          <w:t>Abbreviations</w:t>
        </w:r>
        <w:r w:rsidR="00D061E2">
          <w:rPr>
            <w:noProof/>
            <w:webHidden/>
          </w:rPr>
          <w:tab/>
        </w:r>
        <w:r w:rsidR="00D061E2">
          <w:rPr>
            <w:noProof/>
            <w:webHidden/>
          </w:rPr>
          <w:fldChar w:fldCharType="begin"/>
        </w:r>
        <w:r w:rsidR="00D061E2">
          <w:rPr>
            <w:noProof/>
            <w:webHidden/>
          </w:rPr>
          <w:instrText xml:space="preserve"> PAGEREF _Toc298324946 \h </w:instrText>
        </w:r>
        <w:r w:rsidR="00444B40">
          <w:rPr>
            <w:noProof/>
          </w:rPr>
        </w:r>
        <w:r w:rsidR="00D061E2">
          <w:rPr>
            <w:noProof/>
            <w:webHidden/>
          </w:rPr>
          <w:fldChar w:fldCharType="separate"/>
        </w:r>
        <w:r w:rsidR="00C47959">
          <w:rPr>
            <w:noProof/>
            <w:webHidden/>
          </w:rPr>
          <w:t>i</w:t>
        </w:r>
        <w:r w:rsidR="00D061E2">
          <w:rPr>
            <w:noProof/>
            <w:webHidden/>
          </w:rPr>
          <w:fldChar w:fldCharType="end"/>
        </w:r>
      </w:hyperlink>
    </w:p>
    <w:p w:rsidR="00D061E2" w:rsidRDefault="00D061E2">
      <w:pPr>
        <w:pStyle w:val="TOC1"/>
        <w:rPr>
          <w:rFonts w:cs="Times New Roman"/>
          <w:noProof/>
          <w:lang w:eastAsia="en-AU"/>
        </w:rPr>
      </w:pPr>
      <w:hyperlink w:anchor="_Toc298324947" w:history="1">
        <w:r w:rsidRPr="003210A6">
          <w:rPr>
            <w:rStyle w:val="Hyperlink"/>
            <w:noProof/>
          </w:rPr>
          <w:t>Executive Summary</w:t>
        </w:r>
        <w:r>
          <w:rPr>
            <w:noProof/>
            <w:webHidden/>
          </w:rPr>
          <w:tab/>
        </w:r>
        <w:r>
          <w:rPr>
            <w:noProof/>
            <w:webHidden/>
          </w:rPr>
          <w:fldChar w:fldCharType="begin"/>
        </w:r>
        <w:r>
          <w:rPr>
            <w:noProof/>
            <w:webHidden/>
          </w:rPr>
          <w:instrText xml:space="preserve"> PAGEREF _Toc298324947 \h </w:instrText>
        </w:r>
        <w:r w:rsidR="00444B40">
          <w:rPr>
            <w:noProof/>
          </w:rPr>
        </w:r>
        <w:r>
          <w:rPr>
            <w:noProof/>
            <w:webHidden/>
          </w:rPr>
          <w:fldChar w:fldCharType="separate"/>
        </w:r>
        <w:r w:rsidR="00C47959">
          <w:rPr>
            <w:noProof/>
            <w:webHidden/>
          </w:rPr>
          <w:t>i</w:t>
        </w:r>
        <w:r>
          <w:rPr>
            <w:noProof/>
            <w:webHidden/>
          </w:rPr>
          <w:fldChar w:fldCharType="end"/>
        </w:r>
      </w:hyperlink>
    </w:p>
    <w:p w:rsidR="00D061E2" w:rsidRDefault="00D061E2">
      <w:pPr>
        <w:pStyle w:val="TOC1"/>
        <w:rPr>
          <w:rFonts w:cs="Times New Roman"/>
          <w:noProof/>
          <w:lang w:eastAsia="en-AU"/>
        </w:rPr>
      </w:pPr>
      <w:hyperlink w:anchor="_Toc298324948" w:history="1">
        <w:r w:rsidRPr="003210A6">
          <w:rPr>
            <w:rStyle w:val="Hyperlink"/>
            <w:noProof/>
          </w:rPr>
          <w:t>1</w:t>
        </w:r>
        <w:r>
          <w:rPr>
            <w:rFonts w:cs="Times New Roman"/>
            <w:noProof/>
            <w:lang w:eastAsia="en-AU"/>
          </w:rPr>
          <w:tab/>
        </w:r>
        <w:r w:rsidRPr="003210A6">
          <w:rPr>
            <w:rStyle w:val="Hyperlink"/>
            <w:noProof/>
          </w:rPr>
          <w:t>Introduction</w:t>
        </w:r>
        <w:r>
          <w:rPr>
            <w:noProof/>
            <w:webHidden/>
          </w:rPr>
          <w:tab/>
        </w:r>
        <w:r>
          <w:rPr>
            <w:noProof/>
            <w:webHidden/>
          </w:rPr>
          <w:fldChar w:fldCharType="begin"/>
        </w:r>
        <w:r>
          <w:rPr>
            <w:noProof/>
            <w:webHidden/>
          </w:rPr>
          <w:instrText xml:space="preserve"> PAGEREF _Toc298324948 \h </w:instrText>
        </w:r>
        <w:r w:rsidR="00444B40">
          <w:rPr>
            <w:noProof/>
          </w:rPr>
        </w:r>
        <w:r>
          <w:rPr>
            <w:noProof/>
            <w:webHidden/>
          </w:rPr>
          <w:fldChar w:fldCharType="separate"/>
        </w:r>
        <w:r w:rsidR="00C47959">
          <w:rPr>
            <w:noProof/>
            <w:webHidden/>
          </w:rPr>
          <w:t>1</w:t>
        </w:r>
        <w:r>
          <w:rPr>
            <w:noProof/>
            <w:webHidden/>
          </w:rPr>
          <w:fldChar w:fldCharType="end"/>
        </w:r>
      </w:hyperlink>
    </w:p>
    <w:p w:rsidR="00D061E2" w:rsidRDefault="00D061E2">
      <w:pPr>
        <w:pStyle w:val="TOC2"/>
        <w:rPr>
          <w:sz w:val="22"/>
          <w:szCs w:val="22"/>
          <w:lang w:eastAsia="en-AU"/>
        </w:rPr>
      </w:pPr>
      <w:hyperlink w:anchor="_Toc298324949" w:history="1">
        <w:r w:rsidRPr="003210A6">
          <w:rPr>
            <w:rStyle w:val="Hyperlink"/>
            <w:rFonts w:cs="Arial"/>
          </w:rPr>
          <w:t>1.1</w:t>
        </w:r>
        <w:r>
          <w:rPr>
            <w:sz w:val="22"/>
            <w:szCs w:val="22"/>
            <w:lang w:eastAsia="en-AU"/>
          </w:rPr>
          <w:tab/>
        </w:r>
        <w:r w:rsidRPr="003210A6">
          <w:rPr>
            <w:rStyle w:val="Hyperlink"/>
          </w:rPr>
          <w:t>Background</w:t>
        </w:r>
        <w:r>
          <w:rPr>
            <w:webHidden/>
          </w:rPr>
          <w:tab/>
        </w:r>
        <w:r>
          <w:rPr>
            <w:webHidden/>
          </w:rPr>
          <w:fldChar w:fldCharType="begin"/>
        </w:r>
        <w:r>
          <w:rPr>
            <w:webHidden/>
          </w:rPr>
          <w:instrText xml:space="preserve"> PAGEREF _Toc298324949 \h </w:instrText>
        </w:r>
        <w:r>
          <w:rPr>
            <w:webHidden/>
          </w:rPr>
          <w:fldChar w:fldCharType="separate"/>
        </w:r>
        <w:r w:rsidR="00C47959">
          <w:rPr>
            <w:webHidden/>
          </w:rPr>
          <w:t>1</w:t>
        </w:r>
        <w:r>
          <w:rPr>
            <w:webHidden/>
          </w:rPr>
          <w:fldChar w:fldCharType="end"/>
        </w:r>
      </w:hyperlink>
    </w:p>
    <w:p w:rsidR="00D061E2" w:rsidRDefault="00D061E2">
      <w:pPr>
        <w:pStyle w:val="TOC2"/>
        <w:rPr>
          <w:sz w:val="22"/>
          <w:szCs w:val="22"/>
          <w:lang w:eastAsia="en-AU"/>
        </w:rPr>
      </w:pPr>
      <w:hyperlink w:anchor="_Toc298324950" w:history="1">
        <w:r w:rsidRPr="003210A6">
          <w:rPr>
            <w:rStyle w:val="Hyperlink"/>
            <w:rFonts w:cs="Arial"/>
          </w:rPr>
          <w:t>1.2</w:t>
        </w:r>
        <w:r>
          <w:rPr>
            <w:sz w:val="22"/>
            <w:szCs w:val="22"/>
            <w:lang w:eastAsia="en-AU"/>
          </w:rPr>
          <w:tab/>
        </w:r>
        <w:r w:rsidRPr="003210A6">
          <w:rPr>
            <w:rStyle w:val="Hyperlink"/>
          </w:rPr>
          <w:t>Approach</w:t>
        </w:r>
        <w:r>
          <w:rPr>
            <w:webHidden/>
          </w:rPr>
          <w:tab/>
        </w:r>
        <w:r>
          <w:rPr>
            <w:webHidden/>
          </w:rPr>
          <w:fldChar w:fldCharType="begin"/>
        </w:r>
        <w:r>
          <w:rPr>
            <w:webHidden/>
          </w:rPr>
          <w:instrText xml:space="preserve"> PAGEREF _Toc298324950 \h </w:instrText>
        </w:r>
        <w:r>
          <w:rPr>
            <w:webHidden/>
          </w:rPr>
          <w:fldChar w:fldCharType="separate"/>
        </w:r>
        <w:r w:rsidR="00C47959">
          <w:rPr>
            <w:webHidden/>
          </w:rPr>
          <w:t>1</w:t>
        </w:r>
        <w:r>
          <w:rPr>
            <w:webHidden/>
          </w:rPr>
          <w:fldChar w:fldCharType="end"/>
        </w:r>
      </w:hyperlink>
    </w:p>
    <w:p w:rsidR="00D061E2" w:rsidRDefault="00D061E2">
      <w:pPr>
        <w:pStyle w:val="TOC2"/>
        <w:rPr>
          <w:sz w:val="22"/>
          <w:szCs w:val="22"/>
          <w:lang w:eastAsia="en-AU"/>
        </w:rPr>
      </w:pPr>
      <w:hyperlink w:anchor="_Toc298324951" w:history="1">
        <w:r w:rsidRPr="003210A6">
          <w:rPr>
            <w:rStyle w:val="Hyperlink"/>
            <w:rFonts w:cs="Arial"/>
          </w:rPr>
          <w:t>1.3</w:t>
        </w:r>
        <w:r>
          <w:rPr>
            <w:sz w:val="22"/>
            <w:szCs w:val="22"/>
            <w:lang w:eastAsia="en-AU"/>
          </w:rPr>
          <w:tab/>
        </w:r>
        <w:r w:rsidRPr="003210A6">
          <w:rPr>
            <w:rStyle w:val="Hyperlink"/>
          </w:rPr>
          <w:t>Structure of this report</w:t>
        </w:r>
        <w:r>
          <w:rPr>
            <w:webHidden/>
          </w:rPr>
          <w:tab/>
        </w:r>
        <w:r>
          <w:rPr>
            <w:webHidden/>
          </w:rPr>
          <w:fldChar w:fldCharType="begin"/>
        </w:r>
        <w:r>
          <w:rPr>
            <w:webHidden/>
          </w:rPr>
          <w:instrText xml:space="preserve"> PAGEREF _Toc298324951 \h </w:instrText>
        </w:r>
        <w:r>
          <w:rPr>
            <w:webHidden/>
          </w:rPr>
          <w:fldChar w:fldCharType="separate"/>
        </w:r>
        <w:r w:rsidR="00C47959">
          <w:rPr>
            <w:webHidden/>
          </w:rPr>
          <w:t>2</w:t>
        </w:r>
        <w:r>
          <w:rPr>
            <w:webHidden/>
          </w:rPr>
          <w:fldChar w:fldCharType="end"/>
        </w:r>
      </w:hyperlink>
    </w:p>
    <w:p w:rsidR="00D061E2" w:rsidRDefault="00D061E2">
      <w:pPr>
        <w:pStyle w:val="TOC1"/>
        <w:rPr>
          <w:rFonts w:cs="Times New Roman"/>
          <w:noProof/>
          <w:lang w:eastAsia="en-AU"/>
        </w:rPr>
      </w:pPr>
      <w:hyperlink w:anchor="_Toc298324952" w:history="1">
        <w:r w:rsidRPr="003210A6">
          <w:rPr>
            <w:rStyle w:val="Hyperlink"/>
            <w:noProof/>
          </w:rPr>
          <w:t>2</w:t>
        </w:r>
        <w:r>
          <w:rPr>
            <w:rFonts w:cs="Times New Roman"/>
            <w:noProof/>
            <w:lang w:eastAsia="en-AU"/>
          </w:rPr>
          <w:tab/>
        </w:r>
        <w:r w:rsidRPr="003210A6">
          <w:rPr>
            <w:rStyle w:val="Hyperlink"/>
            <w:noProof/>
          </w:rPr>
          <w:t>Higher education research training: funding and costs</w:t>
        </w:r>
        <w:r>
          <w:rPr>
            <w:noProof/>
            <w:webHidden/>
          </w:rPr>
          <w:tab/>
        </w:r>
        <w:r>
          <w:rPr>
            <w:noProof/>
            <w:webHidden/>
          </w:rPr>
          <w:fldChar w:fldCharType="begin"/>
        </w:r>
        <w:r>
          <w:rPr>
            <w:noProof/>
            <w:webHidden/>
          </w:rPr>
          <w:instrText xml:space="preserve"> PAGEREF _Toc298324952 \h </w:instrText>
        </w:r>
        <w:r w:rsidR="00444B40">
          <w:rPr>
            <w:noProof/>
          </w:rPr>
        </w:r>
        <w:r>
          <w:rPr>
            <w:noProof/>
            <w:webHidden/>
          </w:rPr>
          <w:fldChar w:fldCharType="separate"/>
        </w:r>
        <w:r w:rsidR="00C47959">
          <w:rPr>
            <w:noProof/>
            <w:webHidden/>
          </w:rPr>
          <w:t>3</w:t>
        </w:r>
        <w:r>
          <w:rPr>
            <w:noProof/>
            <w:webHidden/>
          </w:rPr>
          <w:fldChar w:fldCharType="end"/>
        </w:r>
      </w:hyperlink>
    </w:p>
    <w:p w:rsidR="00D061E2" w:rsidRDefault="00D061E2">
      <w:pPr>
        <w:pStyle w:val="TOC2"/>
        <w:rPr>
          <w:sz w:val="22"/>
          <w:szCs w:val="22"/>
          <w:lang w:eastAsia="en-AU"/>
        </w:rPr>
      </w:pPr>
      <w:hyperlink w:anchor="_Toc298324953" w:history="1">
        <w:r w:rsidRPr="003210A6">
          <w:rPr>
            <w:rStyle w:val="Hyperlink"/>
            <w:rFonts w:cs="Arial"/>
          </w:rPr>
          <w:t>2.1</w:t>
        </w:r>
        <w:r>
          <w:rPr>
            <w:sz w:val="22"/>
            <w:szCs w:val="22"/>
            <w:lang w:eastAsia="en-AU"/>
          </w:rPr>
          <w:tab/>
        </w:r>
        <w:r w:rsidRPr="003210A6">
          <w:rPr>
            <w:rStyle w:val="Hyperlink"/>
          </w:rPr>
          <w:t>Australia’s current funding system</w:t>
        </w:r>
        <w:r>
          <w:rPr>
            <w:webHidden/>
          </w:rPr>
          <w:tab/>
        </w:r>
        <w:r>
          <w:rPr>
            <w:webHidden/>
          </w:rPr>
          <w:fldChar w:fldCharType="begin"/>
        </w:r>
        <w:r>
          <w:rPr>
            <w:webHidden/>
          </w:rPr>
          <w:instrText xml:space="preserve"> PAGEREF _Toc298324953 \h </w:instrText>
        </w:r>
        <w:r>
          <w:rPr>
            <w:webHidden/>
          </w:rPr>
          <w:fldChar w:fldCharType="separate"/>
        </w:r>
        <w:r w:rsidR="00C47959">
          <w:rPr>
            <w:webHidden/>
          </w:rPr>
          <w:t>3</w:t>
        </w:r>
        <w:r>
          <w:rPr>
            <w:webHidden/>
          </w:rPr>
          <w:fldChar w:fldCharType="end"/>
        </w:r>
      </w:hyperlink>
    </w:p>
    <w:p w:rsidR="00D061E2" w:rsidRDefault="00D061E2">
      <w:pPr>
        <w:pStyle w:val="TOC2"/>
        <w:rPr>
          <w:sz w:val="22"/>
          <w:szCs w:val="22"/>
          <w:lang w:eastAsia="en-AU"/>
        </w:rPr>
      </w:pPr>
      <w:hyperlink w:anchor="_Toc298324954" w:history="1">
        <w:r w:rsidRPr="003210A6">
          <w:rPr>
            <w:rStyle w:val="Hyperlink"/>
            <w:rFonts w:cs="Arial"/>
          </w:rPr>
          <w:t>2.2</w:t>
        </w:r>
        <w:r>
          <w:rPr>
            <w:sz w:val="22"/>
            <w:szCs w:val="22"/>
            <w:lang w:eastAsia="en-AU"/>
          </w:rPr>
          <w:tab/>
        </w:r>
        <w:r w:rsidRPr="003210A6">
          <w:rPr>
            <w:rStyle w:val="Hyperlink"/>
          </w:rPr>
          <w:t>Issues with the current government funding system</w:t>
        </w:r>
        <w:r>
          <w:rPr>
            <w:webHidden/>
          </w:rPr>
          <w:tab/>
        </w:r>
        <w:r>
          <w:rPr>
            <w:webHidden/>
          </w:rPr>
          <w:fldChar w:fldCharType="begin"/>
        </w:r>
        <w:r>
          <w:rPr>
            <w:webHidden/>
          </w:rPr>
          <w:instrText xml:space="preserve"> PAGEREF _Toc298324954 \h </w:instrText>
        </w:r>
        <w:r>
          <w:rPr>
            <w:webHidden/>
          </w:rPr>
          <w:fldChar w:fldCharType="separate"/>
        </w:r>
        <w:r w:rsidR="00C47959">
          <w:rPr>
            <w:webHidden/>
          </w:rPr>
          <w:t>5</w:t>
        </w:r>
        <w:r>
          <w:rPr>
            <w:webHidden/>
          </w:rPr>
          <w:fldChar w:fldCharType="end"/>
        </w:r>
      </w:hyperlink>
    </w:p>
    <w:p w:rsidR="00D061E2" w:rsidRDefault="00D061E2">
      <w:pPr>
        <w:pStyle w:val="TOC1"/>
        <w:rPr>
          <w:rFonts w:cs="Times New Roman"/>
          <w:noProof/>
          <w:lang w:eastAsia="en-AU"/>
        </w:rPr>
      </w:pPr>
      <w:hyperlink w:anchor="_Toc298324955" w:history="1">
        <w:r w:rsidRPr="003210A6">
          <w:rPr>
            <w:rStyle w:val="Hyperlink"/>
            <w:noProof/>
          </w:rPr>
          <w:t>3</w:t>
        </w:r>
        <w:r>
          <w:rPr>
            <w:rFonts w:cs="Times New Roman"/>
            <w:noProof/>
            <w:lang w:eastAsia="en-AU"/>
          </w:rPr>
          <w:tab/>
        </w:r>
        <w:r w:rsidRPr="003210A6">
          <w:rPr>
            <w:rStyle w:val="Hyperlink"/>
            <w:noProof/>
          </w:rPr>
          <w:t>Literature review—International approaches to the costing of research training</w:t>
        </w:r>
        <w:r>
          <w:rPr>
            <w:noProof/>
            <w:webHidden/>
          </w:rPr>
          <w:tab/>
        </w:r>
        <w:r>
          <w:rPr>
            <w:noProof/>
            <w:webHidden/>
          </w:rPr>
          <w:fldChar w:fldCharType="begin"/>
        </w:r>
        <w:r>
          <w:rPr>
            <w:noProof/>
            <w:webHidden/>
          </w:rPr>
          <w:instrText xml:space="preserve"> PAGEREF _Toc298324955 \h </w:instrText>
        </w:r>
        <w:r w:rsidR="00444B40">
          <w:rPr>
            <w:noProof/>
          </w:rPr>
        </w:r>
        <w:r>
          <w:rPr>
            <w:noProof/>
            <w:webHidden/>
          </w:rPr>
          <w:fldChar w:fldCharType="separate"/>
        </w:r>
        <w:r w:rsidR="00C47959">
          <w:rPr>
            <w:noProof/>
            <w:webHidden/>
          </w:rPr>
          <w:t>6</w:t>
        </w:r>
        <w:r>
          <w:rPr>
            <w:noProof/>
            <w:webHidden/>
          </w:rPr>
          <w:fldChar w:fldCharType="end"/>
        </w:r>
      </w:hyperlink>
    </w:p>
    <w:p w:rsidR="00D061E2" w:rsidRDefault="00D061E2">
      <w:pPr>
        <w:pStyle w:val="TOC2"/>
        <w:rPr>
          <w:sz w:val="22"/>
          <w:szCs w:val="22"/>
          <w:lang w:eastAsia="en-AU"/>
        </w:rPr>
      </w:pPr>
      <w:hyperlink w:anchor="_Toc298324956" w:history="1">
        <w:r w:rsidRPr="003210A6">
          <w:rPr>
            <w:rStyle w:val="Hyperlink"/>
            <w:rFonts w:cs="Arial"/>
          </w:rPr>
          <w:t>3.1</w:t>
        </w:r>
        <w:r>
          <w:rPr>
            <w:sz w:val="22"/>
            <w:szCs w:val="22"/>
            <w:lang w:eastAsia="en-AU"/>
          </w:rPr>
          <w:tab/>
        </w:r>
        <w:r w:rsidRPr="003210A6">
          <w:rPr>
            <w:rStyle w:val="Hyperlink"/>
          </w:rPr>
          <w:t>Introduction</w:t>
        </w:r>
        <w:r>
          <w:rPr>
            <w:webHidden/>
          </w:rPr>
          <w:tab/>
        </w:r>
        <w:r>
          <w:rPr>
            <w:webHidden/>
          </w:rPr>
          <w:fldChar w:fldCharType="begin"/>
        </w:r>
        <w:r>
          <w:rPr>
            <w:webHidden/>
          </w:rPr>
          <w:instrText xml:space="preserve"> PAGEREF _Toc298324956 \h </w:instrText>
        </w:r>
        <w:r>
          <w:rPr>
            <w:webHidden/>
          </w:rPr>
          <w:fldChar w:fldCharType="separate"/>
        </w:r>
        <w:r w:rsidR="00C47959">
          <w:rPr>
            <w:webHidden/>
          </w:rPr>
          <w:t>6</w:t>
        </w:r>
        <w:r>
          <w:rPr>
            <w:webHidden/>
          </w:rPr>
          <w:fldChar w:fldCharType="end"/>
        </w:r>
      </w:hyperlink>
    </w:p>
    <w:p w:rsidR="00D061E2" w:rsidRDefault="00D061E2">
      <w:pPr>
        <w:pStyle w:val="TOC2"/>
        <w:rPr>
          <w:sz w:val="22"/>
          <w:szCs w:val="22"/>
          <w:lang w:eastAsia="en-AU"/>
        </w:rPr>
      </w:pPr>
      <w:hyperlink w:anchor="_Toc298324957" w:history="1">
        <w:r w:rsidRPr="003210A6">
          <w:rPr>
            <w:rStyle w:val="Hyperlink"/>
            <w:rFonts w:cs="Arial"/>
          </w:rPr>
          <w:t>3.2</w:t>
        </w:r>
        <w:r>
          <w:rPr>
            <w:sz w:val="22"/>
            <w:szCs w:val="22"/>
            <w:lang w:eastAsia="en-AU"/>
          </w:rPr>
          <w:tab/>
        </w:r>
        <w:r w:rsidRPr="003210A6">
          <w:rPr>
            <w:rStyle w:val="Hyperlink"/>
          </w:rPr>
          <w:t>International models for the costing of research training</w:t>
        </w:r>
        <w:r>
          <w:rPr>
            <w:webHidden/>
          </w:rPr>
          <w:tab/>
        </w:r>
        <w:r>
          <w:rPr>
            <w:webHidden/>
          </w:rPr>
          <w:fldChar w:fldCharType="begin"/>
        </w:r>
        <w:r>
          <w:rPr>
            <w:webHidden/>
          </w:rPr>
          <w:instrText xml:space="preserve"> PAGEREF _Toc298324957 \h </w:instrText>
        </w:r>
        <w:r>
          <w:rPr>
            <w:webHidden/>
          </w:rPr>
          <w:fldChar w:fldCharType="separate"/>
        </w:r>
        <w:r w:rsidR="00C47959">
          <w:rPr>
            <w:webHidden/>
          </w:rPr>
          <w:t>7</w:t>
        </w:r>
        <w:r>
          <w:rPr>
            <w:webHidden/>
          </w:rPr>
          <w:fldChar w:fldCharType="end"/>
        </w:r>
      </w:hyperlink>
    </w:p>
    <w:p w:rsidR="00D061E2" w:rsidRDefault="00D061E2">
      <w:pPr>
        <w:pStyle w:val="TOC1"/>
        <w:rPr>
          <w:rFonts w:cs="Times New Roman"/>
          <w:noProof/>
          <w:lang w:eastAsia="en-AU"/>
        </w:rPr>
      </w:pPr>
      <w:hyperlink w:anchor="_Toc298324958" w:history="1">
        <w:r w:rsidRPr="003210A6">
          <w:rPr>
            <w:rStyle w:val="Hyperlink"/>
            <w:noProof/>
          </w:rPr>
          <w:t>4</w:t>
        </w:r>
        <w:r>
          <w:rPr>
            <w:rFonts w:cs="Times New Roman"/>
            <w:noProof/>
            <w:lang w:eastAsia="en-AU"/>
          </w:rPr>
          <w:tab/>
        </w:r>
        <w:r w:rsidRPr="003210A6">
          <w:rPr>
            <w:rStyle w:val="Hyperlink"/>
            <w:noProof/>
          </w:rPr>
          <w:t>Methodology for the collection of data on research training costs</w:t>
        </w:r>
        <w:r>
          <w:rPr>
            <w:noProof/>
            <w:webHidden/>
          </w:rPr>
          <w:tab/>
        </w:r>
        <w:r>
          <w:rPr>
            <w:noProof/>
            <w:webHidden/>
          </w:rPr>
          <w:fldChar w:fldCharType="begin"/>
        </w:r>
        <w:r>
          <w:rPr>
            <w:noProof/>
            <w:webHidden/>
          </w:rPr>
          <w:instrText xml:space="preserve"> PAGEREF _Toc298324958 \h </w:instrText>
        </w:r>
        <w:r w:rsidR="00444B40">
          <w:rPr>
            <w:noProof/>
          </w:rPr>
        </w:r>
        <w:r>
          <w:rPr>
            <w:noProof/>
            <w:webHidden/>
          </w:rPr>
          <w:fldChar w:fldCharType="separate"/>
        </w:r>
        <w:r w:rsidR="00C47959">
          <w:rPr>
            <w:noProof/>
            <w:webHidden/>
          </w:rPr>
          <w:t>10</w:t>
        </w:r>
        <w:r>
          <w:rPr>
            <w:noProof/>
            <w:webHidden/>
          </w:rPr>
          <w:fldChar w:fldCharType="end"/>
        </w:r>
      </w:hyperlink>
    </w:p>
    <w:p w:rsidR="00D061E2" w:rsidRDefault="00D061E2">
      <w:pPr>
        <w:pStyle w:val="TOC2"/>
        <w:rPr>
          <w:sz w:val="22"/>
          <w:szCs w:val="22"/>
          <w:lang w:eastAsia="en-AU"/>
        </w:rPr>
      </w:pPr>
      <w:hyperlink w:anchor="_Toc298324959" w:history="1">
        <w:r w:rsidRPr="003210A6">
          <w:rPr>
            <w:rStyle w:val="Hyperlink"/>
            <w:rFonts w:cs="Arial"/>
          </w:rPr>
          <w:t>4.1</w:t>
        </w:r>
        <w:r>
          <w:rPr>
            <w:sz w:val="22"/>
            <w:szCs w:val="22"/>
            <w:lang w:eastAsia="en-AU"/>
          </w:rPr>
          <w:tab/>
        </w:r>
        <w:r w:rsidRPr="003210A6">
          <w:rPr>
            <w:rStyle w:val="Hyperlink"/>
          </w:rPr>
          <w:t>Data collection tool</w:t>
        </w:r>
        <w:r>
          <w:rPr>
            <w:webHidden/>
          </w:rPr>
          <w:tab/>
        </w:r>
        <w:r>
          <w:rPr>
            <w:webHidden/>
          </w:rPr>
          <w:fldChar w:fldCharType="begin"/>
        </w:r>
        <w:r>
          <w:rPr>
            <w:webHidden/>
          </w:rPr>
          <w:instrText xml:space="preserve"> PAGEREF _Toc298324959 \h </w:instrText>
        </w:r>
        <w:r>
          <w:rPr>
            <w:webHidden/>
          </w:rPr>
          <w:fldChar w:fldCharType="separate"/>
        </w:r>
        <w:r w:rsidR="00C47959">
          <w:rPr>
            <w:webHidden/>
          </w:rPr>
          <w:t>10</w:t>
        </w:r>
        <w:r>
          <w:rPr>
            <w:webHidden/>
          </w:rPr>
          <w:fldChar w:fldCharType="end"/>
        </w:r>
      </w:hyperlink>
    </w:p>
    <w:p w:rsidR="00D061E2" w:rsidRDefault="00D061E2">
      <w:pPr>
        <w:pStyle w:val="TOC2"/>
        <w:rPr>
          <w:sz w:val="22"/>
          <w:szCs w:val="22"/>
          <w:lang w:eastAsia="en-AU"/>
        </w:rPr>
      </w:pPr>
      <w:hyperlink w:anchor="_Toc298324960" w:history="1">
        <w:r w:rsidRPr="003210A6">
          <w:rPr>
            <w:rStyle w:val="Hyperlink"/>
            <w:rFonts w:cs="Arial"/>
          </w:rPr>
          <w:t>4.2</w:t>
        </w:r>
        <w:r>
          <w:rPr>
            <w:sz w:val="22"/>
            <w:szCs w:val="22"/>
            <w:lang w:eastAsia="en-AU"/>
          </w:rPr>
          <w:tab/>
        </w:r>
        <w:r w:rsidRPr="003210A6">
          <w:rPr>
            <w:rStyle w:val="Hyperlink"/>
          </w:rPr>
          <w:t>Data collection phase and response rate</w:t>
        </w:r>
        <w:r>
          <w:rPr>
            <w:webHidden/>
          </w:rPr>
          <w:tab/>
        </w:r>
        <w:r>
          <w:rPr>
            <w:webHidden/>
          </w:rPr>
          <w:fldChar w:fldCharType="begin"/>
        </w:r>
        <w:r>
          <w:rPr>
            <w:webHidden/>
          </w:rPr>
          <w:instrText xml:space="preserve"> PAGEREF _Toc298324960 \h </w:instrText>
        </w:r>
        <w:r>
          <w:rPr>
            <w:webHidden/>
          </w:rPr>
          <w:fldChar w:fldCharType="separate"/>
        </w:r>
        <w:r w:rsidR="00C47959">
          <w:rPr>
            <w:webHidden/>
          </w:rPr>
          <w:t>11</w:t>
        </w:r>
        <w:r>
          <w:rPr>
            <w:webHidden/>
          </w:rPr>
          <w:fldChar w:fldCharType="end"/>
        </w:r>
      </w:hyperlink>
    </w:p>
    <w:p w:rsidR="00D061E2" w:rsidRDefault="00D061E2">
      <w:pPr>
        <w:pStyle w:val="TOC2"/>
        <w:rPr>
          <w:sz w:val="22"/>
          <w:szCs w:val="22"/>
          <w:lang w:eastAsia="en-AU"/>
        </w:rPr>
      </w:pPr>
      <w:hyperlink w:anchor="_Toc298324961" w:history="1">
        <w:r w:rsidRPr="003210A6">
          <w:rPr>
            <w:rStyle w:val="Hyperlink"/>
            <w:rFonts w:cs="Arial"/>
          </w:rPr>
          <w:t>4.3</w:t>
        </w:r>
        <w:r>
          <w:rPr>
            <w:sz w:val="22"/>
            <w:szCs w:val="22"/>
            <w:lang w:eastAsia="en-AU"/>
          </w:rPr>
          <w:tab/>
        </w:r>
        <w:r w:rsidRPr="003210A6">
          <w:rPr>
            <w:rStyle w:val="Hyperlink"/>
          </w:rPr>
          <w:t>Data validation and quality issues</w:t>
        </w:r>
        <w:r>
          <w:rPr>
            <w:webHidden/>
          </w:rPr>
          <w:tab/>
        </w:r>
        <w:r>
          <w:rPr>
            <w:webHidden/>
          </w:rPr>
          <w:fldChar w:fldCharType="begin"/>
        </w:r>
        <w:r>
          <w:rPr>
            <w:webHidden/>
          </w:rPr>
          <w:instrText xml:space="preserve"> PAGEREF _Toc298324961 \h </w:instrText>
        </w:r>
        <w:r>
          <w:rPr>
            <w:webHidden/>
          </w:rPr>
          <w:fldChar w:fldCharType="separate"/>
        </w:r>
        <w:r w:rsidR="00C47959">
          <w:rPr>
            <w:webHidden/>
          </w:rPr>
          <w:t>11</w:t>
        </w:r>
        <w:r>
          <w:rPr>
            <w:webHidden/>
          </w:rPr>
          <w:fldChar w:fldCharType="end"/>
        </w:r>
      </w:hyperlink>
    </w:p>
    <w:p w:rsidR="00D061E2" w:rsidRDefault="00D061E2">
      <w:pPr>
        <w:pStyle w:val="TOC2"/>
        <w:rPr>
          <w:sz w:val="22"/>
          <w:szCs w:val="22"/>
          <w:lang w:eastAsia="en-AU"/>
        </w:rPr>
      </w:pPr>
      <w:hyperlink w:anchor="_Toc298324962" w:history="1">
        <w:r w:rsidRPr="003210A6">
          <w:rPr>
            <w:rStyle w:val="Hyperlink"/>
            <w:rFonts w:cs="Arial"/>
          </w:rPr>
          <w:t>4.4</w:t>
        </w:r>
        <w:r>
          <w:rPr>
            <w:sz w:val="22"/>
            <w:szCs w:val="22"/>
            <w:lang w:eastAsia="en-AU"/>
          </w:rPr>
          <w:tab/>
        </w:r>
        <w:r w:rsidRPr="003210A6">
          <w:rPr>
            <w:rStyle w:val="Hyperlink"/>
          </w:rPr>
          <w:t>Case studies</w:t>
        </w:r>
        <w:r>
          <w:rPr>
            <w:webHidden/>
          </w:rPr>
          <w:tab/>
        </w:r>
        <w:r>
          <w:rPr>
            <w:webHidden/>
          </w:rPr>
          <w:fldChar w:fldCharType="begin"/>
        </w:r>
        <w:r>
          <w:rPr>
            <w:webHidden/>
          </w:rPr>
          <w:instrText xml:space="preserve"> PAGEREF _Toc298324962 \h </w:instrText>
        </w:r>
        <w:r>
          <w:rPr>
            <w:webHidden/>
          </w:rPr>
          <w:fldChar w:fldCharType="separate"/>
        </w:r>
        <w:r w:rsidR="00C47959">
          <w:rPr>
            <w:webHidden/>
          </w:rPr>
          <w:t>12</w:t>
        </w:r>
        <w:r>
          <w:rPr>
            <w:webHidden/>
          </w:rPr>
          <w:fldChar w:fldCharType="end"/>
        </w:r>
      </w:hyperlink>
    </w:p>
    <w:p w:rsidR="00D061E2" w:rsidRDefault="00D061E2">
      <w:pPr>
        <w:pStyle w:val="TOC1"/>
        <w:rPr>
          <w:rFonts w:cs="Times New Roman"/>
          <w:noProof/>
          <w:lang w:eastAsia="en-AU"/>
        </w:rPr>
      </w:pPr>
      <w:hyperlink w:anchor="_Toc298324963" w:history="1">
        <w:r w:rsidRPr="003210A6">
          <w:rPr>
            <w:rStyle w:val="Hyperlink"/>
            <w:noProof/>
          </w:rPr>
          <w:t>5</w:t>
        </w:r>
        <w:r>
          <w:rPr>
            <w:rFonts w:cs="Times New Roman"/>
            <w:noProof/>
            <w:lang w:eastAsia="en-AU"/>
          </w:rPr>
          <w:tab/>
        </w:r>
        <w:r w:rsidRPr="003210A6">
          <w:rPr>
            <w:rStyle w:val="Hyperlink"/>
            <w:noProof/>
          </w:rPr>
          <w:t>Analysis of research training costs</w:t>
        </w:r>
        <w:r>
          <w:rPr>
            <w:noProof/>
            <w:webHidden/>
          </w:rPr>
          <w:tab/>
        </w:r>
        <w:r>
          <w:rPr>
            <w:noProof/>
            <w:webHidden/>
          </w:rPr>
          <w:fldChar w:fldCharType="begin"/>
        </w:r>
        <w:r>
          <w:rPr>
            <w:noProof/>
            <w:webHidden/>
          </w:rPr>
          <w:instrText xml:space="preserve"> PAGEREF _Toc298324963 \h </w:instrText>
        </w:r>
        <w:r w:rsidR="00444B40">
          <w:rPr>
            <w:noProof/>
          </w:rPr>
        </w:r>
        <w:r>
          <w:rPr>
            <w:noProof/>
            <w:webHidden/>
          </w:rPr>
          <w:fldChar w:fldCharType="separate"/>
        </w:r>
        <w:r w:rsidR="00C47959">
          <w:rPr>
            <w:noProof/>
            <w:webHidden/>
          </w:rPr>
          <w:t>13</w:t>
        </w:r>
        <w:r>
          <w:rPr>
            <w:noProof/>
            <w:webHidden/>
          </w:rPr>
          <w:fldChar w:fldCharType="end"/>
        </w:r>
      </w:hyperlink>
    </w:p>
    <w:p w:rsidR="00D061E2" w:rsidRDefault="00D061E2">
      <w:pPr>
        <w:pStyle w:val="TOC2"/>
        <w:rPr>
          <w:sz w:val="22"/>
          <w:szCs w:val="22"/>
          <w:lang w:eastAsia="en-AU"/>
        </w:rPr>
      </w:pPr>
      <w:hyperlink w:anchor="_Toc298324964" w:history="1">
        <w:r w:rsidRPr="003210A6">
          <w:rPr>
            <w:rStyle w:val="Hyperlink"/>
            <w:rFonts w:cs="Arial"/>
          </w:rPr>
          <w:t>5.1</w:t>
        </w:r>
        <w:r>
          <w:rPr>
            <w:sz w:val="22"/>
            <w:szCs w:val="22"/>
            <w:lang w:eastAsia="en-AU"/>
          </w:rPr>
          <w:tab/>
        </w:r>
        <w:r w:rsidRPr="003210A6">
          <w:rPr>
            <w:rStyle w:val="Hyperlink"/>
          </w:rPr>
          <w:t>Introduction</w:t>
        </w:r>
        <w:r>
          <w:rPr>
            <w:webHidden/>
          </w:rPr>
          <w:tab/>
        </w:r>
        <w:r>
          <w:rPr>
            <w:webHidden/>
          </w:rPr>
          <w:fldChar w:fldCharType="begin"/>
        </w:r>
        <w:r>
          <w:rPr>
            <w:webHidden/>
          </w:rPr>
          <w:instrText xml:space="preserve"> PAGEREF _Toc298324964 \h </w:instrText>
        </w:r>
        <w:r>
          <w:rPr>
            <w:webHidden/>
          </w:rPr>
          <w:fldChar w:fldCharType="separate"/>
        </w:r>
        <w:r w:rsidR="00C47959">
          <w:rPr>
            <w:webHidden/>
          </w:rPr>
          <w:t>13</w:t>
        </w:r>
        <w:r>
          <w:rPr>
            <w:webHidden/>
          </w:rPr>
          <w:fldChar w:fldCharType="end"/>
        </w:r>
      </w:hyperlink>
    </w:p>
    <w:p w:rsidR="00D061E2" w:rsidRDefault="00D061E2">
      <w:pPr>
        <w:pStyle w:val="TOC2"/>
        <w:rPr>
          <w:sz w:val="22"/>
          <w:szCs w:val="22"/>
          <w:lang w:eastAsia="en-AU"/>
        </w:rPr>
      </w:pPr>
      <w:hyperlink w:anchor="_Toc298324965" w:history="1">
        <w:r w:rsidRPr="003210A6">
          <w:rPr>
            <w:rStyle w:val="Hyperlink"/>
            <w:rFonts w:cs="Arial"/>
          </w:rPr>
          <w:t>5.2</w:t>
        </w:r>
        <w:r>
          <w:rPr>
            <w:sz w:val="22"/>
            <w:szCs w:val="22"/>
            <w:lang w:eastAsia="en-AU"/>
          </w:rPr>
          <w:tab/>
        </w:r>
        <w:r w:rsidRPr="003210A6">
          <w:rPr>
            <w:rStyle w:val="Hyperlink"/>
          </w:rPr>
          <w:t>Average research training costs across universities</w:t>
        </w:r>
        <w:r>
          <w:rPr>
            <w:webHidden/>
          </w:rPr>
          <w:tab/>
        </w:r>
        <w:r>
          <w:rPr>
            <w:webHidden/>
          </w:rPr>
          <w:fldChar w:fldCharType="begin"/>
        </w:r>
        <w:r>
          <w:rPr>
            <w:webHidden/>
          </w:rPr>
          <w:instrText xml:space="preserve"> PAGEREF _Toc298324965 \h </w:instrText>
        </w:r>
        <w:r>
          <w:rPr>
            <w:webHidden/>
          </w:rPr>
          <w:fldChar w:fldCharType="separate"/>
        </w:r>
        <w:r w:rsidR="00C47959">
          <w:rPr>
            <w:webHidden/>
          </w:rPr>
          <w:t>14</w:t>
        </w:r>
        <w:r>
          <w:rPr>
            <w:webHidden/>
          </w:rPr>
          <w:fldChar w:fldCharType="end"/>
        </w:r>
      </w:hyperlink>
    </w:p>
    <w:p w:rsidR="00D061E2" w:rsidRDefault="00D061E2">
      <w:pPr>
        <w:pStyle w:val="TOC2"/>
        <w:rPr>
          <w:sz w:val="22"/>
          <w:szCs w:val="22"/>
          <w:lang w:eastAsia="en-AU"/>
        </w:rPr>
      </w:pPr>
      <w:hyperlink w:anchor="_Toc298324966" w:history="1">
        <w:r w:rsidRPr="003210A6">
          <w:rPr>
            <w:rStyle w:val="Hyperlink"/>
            <w:rFonts w:cs="Arial"/>
          </w:rPr>
          <w:t>5.3</w:t>
        </w:r>
        <w:r>
          <w:rPr>
            <w:sz w:val="22"/>
            <w:szCs w:val="22"/>
            <w:lang w:eastAsia="en-AU"/>
          </w:rPr>
          <w:tab/>
        </w:r>
        <w:r w:rsidRPr="003210A6">
          <w:rPr>
            <w:rStyle w:val="Hyperlink"/>
          </w:rPr>
          <w:t>Cost drivers</w:t>
        </w:r>
        <w:r>
          <w:rPr>
            <w:webHidden/>
          </w:rPr>
          <w:tab/>
        </w:r>
        <w:r>
          <w:rPr>
            <w:webHidden/>
          </w:rPr>
          <w:fldChar w:fldCharType="begin"/>
        </w:r>
        <w:r>
          <w:rPr>
            <w:webHidden/>
          </w:rPr>
          <w:instrText xml:space="preserve"> PAGEREF _Toc298324966 \h </w:instrText>
        </w:r>
        <w:r>
          <w:rPr>
            <w:webHidden/>
          </w:rPr>
          <w:fldChar w:fldCharType="separate"/>
        </w:r>
        <w:r w:rsidR="00C47959">
          <w:rPr>
            <w:webHidden/>
          </w:rPr>
          <w:t>16</w:t>
        </w:r>
        <w:r>
          <w:rPr>
            <w:webHidden/>
          </w:rPr>
          <w:fldChar w:fldCharType="end"/>
        </w:r>
      </w:hyperlink>
    </w:p>
    <w:p w:rsidR="00D061E2" w:rsidRDefault="00D061E2">
      <w:pPr>
        <w:pStyle w:val="TOC2"/>
        <w:rPr>
          <w:sz w:val="22"/>
          <w:szCs w:val="22"/>
          <w:lang w:eastAsia="en-AU"/>
        </w:rPr>
      </w:pPr>
      <w:hyperlink w:anchor="_Toc298324967" w:history="1">
        <w:r w:rsidRPr="003210A6">
          <w:rPr>
            <w:rStyle w:val="Hyperlink"/>
            <w:rFonts w:cs="Arial"/>
          </w:rPr>
          <w:t>5.4</w:t>
        </w:r>
        <w:r>
          <w:rPr>
            <w:sz w:val="22"/>
            <w:szCs w:val="22"/>
            <w:lang w:eastAsia="en-AU"/>
          </w:rPr>
          <w:tab/>
        </w:r>
        <w:r w:rsidRPr="003210A6">
          <w:rPr>
            <w:rStyle w:val="Hyperlink"/>
          </w:rPr>
          <w:t>Difference between costs and RTS funding</w:t>
        </w:r>
        <w:r>
          <w:rPr>
            <w:webHidden/>
          </w:rPr>
          <w:tab/>
        </w:r>
        <w:r>
          <w:rPr>
            <w:webHidden/>
          </w:rPr>
          <w:fldChar w:fldCharType="begin"/>
        </w:r>
        <w:r>
          <w:rPr>
            <w:webHidden/>
          </w:rPr>
          <w:instrText xml:space="preserve"> PAGEREF _Toc298324967 \h </w:instrText>
        </w:r>
        <w:r>
          <w:rPr>
            <w:webHidden/>
          </w:rPr>
          <w:fldChar w:fldCharType="separate"/>
        </w:r>
        <w:r w:rsidR="00C47959">
          <w:rPr>
            <w:webHidden/>
          </w:rPr>
          <w:t>25</w:t>
        </w:r>
        <w:r>
          <w:rPr>
            <w:webHidden/>
          </w:rPr>
          <w:fldChar w:fldCharType="end"/>
        </w:r>
      </w:hyperlink>
    </w:p>
    <w:p w:rsidR="00D061E2" w:rsidRDefault="00D061E2">
      <w:pPr>
        <w:pStyle w:val="TOC2"/>
        <w:rPr>
          <w:sz w:val="22"/>
          <w:szCs w:val="22"/>
          <w:lang w:eastAsia="en-AU"/>
        </w:rPr>
      </w:pPr>
      <w:hyperlink w:anchor="_Toc298324968" w:history="1">
        <w:r w:rsidRPr="003210A6">
          <w:rPr>
            <w:rStyle w:val="Hyperlink"/>
            <w:rFonts w:cs="Arial"/>
          </w:rPr>
          <w:t>5.5</w:t>
        </w:r>
        <w:r>
          <w:rPr>
            <w:sz w:val="22"/>
            <w:szCs w:val="22"/>
            <w:lang w:eastAsia="en-AU"/>
          </w:rPr>
          <w:tab/>
        </w:r>
        <w:r w:rsidRPr="003210A6">
          <w:rPr>
            <w:rStyle w:val="Hyperlink"/>
          </w:rPr>
          <w:t>Regression analysis</w:t>
        </w:r>
        <w:r>
          <w:rPr>
            <w:webHidden/>
          </w:rPr>
          <w:tab/>
        </w:r>
        <w:r>
          <w:rPr>
            <w:webHidden/>
          </w:rPr>
          <w:fldChar w:fldCharType="begin"/>
        </w:r>
        <w:r>
          <w:rPr>
            <w:webHidden/>
          </w:rPr>
          <w:instrText xml:space="preserve"> PAGEREF _Toc298324968 \h </w:instrText>
        </w:r>
        <w:r>
          <w:rPr>
            <w:webHidden/>
          </w:rPr>
          <w:fldChar w:fldCharType="separate"/>
        </w:r>
        <w:r w:rsidR="00C47959">
          <w:rPr>
            <w:webHidden/>
          </w:rPr>
          <w:t>26</w:t>
        </w:r>
        <w:r>
          <w:rPr>
            <w:webHidden/>
          </w:rPr>
          <w:fldChar w:fldCharType="end"/>
        </w:r>
      </w:hyperlink>
    </w:p>
    <w:p w:rsidR="00D061E2" w:rsidRDefault="00D061E2">
      <w:pPr>
        <w:pStyle w:val="TOC1"/>
        <w:rPr>
          <w:rFonts w:cs="Times New Roman"/>
          <w:noProof/>
          <w:lang w:eastAsia="en-AU"/>
        </w:rPr>
      </w:pPr>
      <w:hyperlink w:anchor="_Toc298324969" w:history="1">
        <w:r w:rsidRPr="003210A6">
          <w:rPr>
            <w:rStyle w:val="Hyperlink"/>
            <w:noProof/>
          </w:rPr>
          <w:t>6</w:t>
        </w:r>
        <w:r>
          <w:rPr>
            <w:rFonts w:cs="Times New Roman"/>
            <w:noProof/>
            <w:lang w:eastAsia="en-AU"/>
          </w:rPr>
          <w:tab/>
        </w:r>
        <w:r w:rsidRPr="003210A6">
          <w:rPr>
            <w:rStyle w:val="Hyperlink"/>
            <w:noProof/>
          </w:rPr>
          <w:t>Case studies</w:t>
        </w:r>
        <w:r>
          <w:rPr>
            <w:noProof/>
            <w:webHidden/>
          </w:rPr>
          <w:tab/>
        </w:r>
        <w:r>
          <w:rPr>
            <w:noProof/>
            <w:webHidden/>
          </w:rPr>
          <w:fldChar w:fldCharType="begin"/>
        </w:r>
        <w:r>
          <w:rPr>
            <w:noProof/>
            <w:webHidden/>
          </w:rPr>
          <w:instrText xml:space="preserve"> PAGEREF _Toc298324969 \h </w:instrText>
        </w:r>
        <w:r w:rsidR="00444B40">
          <w:rPr>
            <w:noProof/>
          </w:rPr>
        </w:r>
        <w:r>
          <w:rPr>
            <w:noProof/>
            <w:webHidden/>
          </w:rPr>
          <w:fldChar w:fldCharType="separate"/>
        </w:r>
        <w:r w:rsidR="00C47959">
          <w:rPr>
            <w:noProof/>
            <w:webHidden/>
          </w:rPr>
          <w:t>32</w:t>
        </w:r>
        <w:r>
          <w:rPr>
            <w:noProof/>
            <w:webHidden/>
          </w:rPr>
          <w:fldChar w:fldCharType="end"/>
        </w:r>
      </w:hyperlink>
    </w:p>
    <w:p w:rsidR="00D061E2" w:rsidRDefault="00D061E2">
      <w:pPr>
        <w:pStyle w:val="TOC1"/>
        <w:rPr>
          <w:rFonts w:cs="Times New Roman"/>
          <w:noProof/>
          <w:lang w:eastAsia="en-AU"/>
        </w:rPr>
      </w:pPr>
      <w:hyperlink w:anchor="_Toc298324970" w:history="1">
        <w:r w:rsidRPr="003210A6">
          <w:rPr>
            <w:rStyle w:val="Hyperlink"/>
            <w:noProof/>
          </w:rPr>
          <w:t>7</w:t>
        </w:r>
        <w:r>
          <w:rPr>
            <w:rFonts w:cs="Times New Roman"/>
            <w:noProof/>
            <w:lang w:eastAsia="en-AU"/>
          </w:rPr>
          <w:tab/>
        </w:r>
        <w:r w:rsidRPr="003210A6">
          <w:rPr>
            <w:rStyle w:val="Hyperlink"/>
            <w:noProof/>
          </w:rPr>
          <w:t>Conclusions</w:t>
        </w:r>
        <w:r>
          <w:rPr>
            <w:noProof/>
            <w:webHidden/>
          </w:rPr>
          <w:tab/>
        </w:r>
        <w:r>
          <w:rPr>
            <w:noProof/>
            <w:webHidden/>
          </w:rPr>
          <w:fldChar w:fldCharType="begin"/>
        </w:r>
        <w:r>
          <w:rPr>
            <w:noProof/>
            <w:webHidden/>
          </w:rPr>
          <w:instrText xml:space="preserve"> PAGEREF _Toc298324970 \h </w:instrText>
        </w:r>
        <w:r w:rsidR="00444B40">
          <w:rPr>
            <w:noProof/>
          </w:rPr>
        </w:r>
        <w:r>
          <w:rPr>
            <w:noProof/>
            <w:webHidden/>
          </w:rPr>
          <w:fldChar w:fldCharType="separate"/>
        </w:r>
        <w:r w:rsidR="00C47959">
          <w:rPr>
            <w:noProof/>
            <w:webHidden/>
          </w:rPr>
          <w:t>34</w:t>
        </w:r>
        <w:r>
          <w:rPr>
            <w:noProof/>
            <w:webHidden/>
          </w:rPr>
          <w:fldChar w:fldCharType="end"/>
        </w:r>
      </w:hyperlink>
    </w:p>
    <w:p w:rsidR="00D061E2" w:rsidRDefault="00D061E2">
      <w:pPr>
        <w:pStyle w:val="TOC1"/>
        <w:rPr>
          <w:rFonts w:cs="Times New Roman"/>
          <w:noProof/>
          <w:lang w:eastAsia="en-AU"/>
        </w:rPr>
      </w:pPr>
      <w:hyperlink w:anchor="_Toc298324971" w:history="1">
        <w:r w:rsidRPr="003210A6">
          <w:rPr>
            <w:rStyle w:val="Hyperlink"/>
            <w:noProof/>
          </w:rPr>
          <w:t>References</w:t>
        </w:r>
        <w:r>
          <w:rPr>
            <w:noProof/>
            <w:webHidden/>
          </w:rPr>
          <w:tab/>
        </w:r>
        <w:r>
          <w:rPr>
            <w:noProof/>
            <w:webHidden/>
          </w:rPr>
          <w:fldChar w:fldCharType="begin"/>
        </w:r>
        <w:r>
          <w:rPr>
            <w:noProof/>
            <w:webHidden/>
          </w:rPr>
          <w:instrText xml:space="preserve"> PAGEREF _Toc298324971 \h </w:instrText>
        </w:r>
        <w:r w:rsidR="00444B40">
          <w:rPr>
            <w:noProof/>
          </w:rPr>
        </w:r>
        <w:r>
          <w:rPr>
            <w:noProof/>
            <w:webHidden/>
          </w:rPr>
          <w:fldChar w:fldCharType="separate"/>
        </w:r>
        <w:r w:rsidR="00C47959">
          <w:rPr>
            <w:noProof/>
            <w:webHidden/>
          </w:rPr>
          <w:t>37</w:t>
        </w:r>
        <w:r>
          <w:rPr>
            <w:noProof/>
            <w:webHidden/>
          </w:rPr>
          <w:fldChar w:fldCharType="end"/>
        </w:r>
      </w:hyperlink>
    </w:p>
    <w:p w:rsidR="00D061E2" w:rsidRDefault="00D061E2">
      <w:pPr>
        <w:pStyle w:val="TOC1"/>
        <w:rPr>
          <w:rFonts w:cs="Times New Roman"/>
          <w:noProof/>
          <w:lang w:eastAsia="en-AU"/>
        </w:rPr>
      </w:pPr>
      <w:hyperlink w:anchor="_Toc298324972" w:history="1">
        <w:r w:rsidRPr="003210A6">
          <w:rPr>
            <w:rStyle w:val="Hyperlink"/>
            <w:noProof/>
          </w:rPr>
          <w:t>Appendix A : High-cost fields of study for the RTS</w:t>
        </w:r>
        <w:r>
          <w:rPr>
            <w:noProof/>
            <w:webHidden/>
          </w:rPr>
          <w:tab/>
        </w:r>
        <w:r>
          <w:rPr>
            <w:noProof/>
            <w:webHidden/>
          </w:rPr>
          <w:fldChar w:fldCharType="begin"/>
        </w:r>
        <w:r>
          <w:rPr>
            <w:noProof/>
            <w:webHidden/>
          </w:rPr>
          <w:instrText xml:space="preserve"> PAGEREF _Toc298324972 \h </w:instrText>
        </w:r>
        <w:r w:rsidR="00444B40">
          <w:rPr>
            <w:noProof/>
          </w:rPr>
        </w:r>
        <w:r>
          <w:rPr>
            <w:noProof/>
            <w:webHidden/>
          </w:rPr>
          <w:fldChar w:fldCharType="separate"/>
        </w:r>
        <w:r w:rsidR="00C47959">
          <w:rPr>
            <w:noProof/>
            <w:webHidden/>
          </w:rPr>
          <w:t>39</w:t>
        </w:r>
        <w:r>
          <w:rPr>
            <w:noProof/>
            <w:webHidden/>
          </w:rPr>
          <w:fldChar w:fldCharType="end"/>
        </w:r>
      </w:hyperlink>
    </w:p>
    <w:p w:rsidR="00D061E2" w:rsidRDefault="00D061E2">
      <w:pPr>
        <w:pStyle w:val="TOC1"/>
        <w:rPr>
          <w:rFonts w:cs="Times New Roman"/>
          <w:noProof/>
          <w:lang w:eastAsia="en-AU"/>
        </w:rPr>
      </w:pPr>
      <w:hyperlink w:anchor="_Toc298324973" w:history="1">
        <w:r w:rsidRPr="003210A6">
          <w:rPr>
            <w:rStyle w:val="Hyperlink"/>
            <w:noProof/>
          </w:rPr>
          <w:t>Appendix B : Cost categories</w:t>
        </w:r>
        <w:r>
          <w:rPr>
            <w:noProof/>
            <w:webHidden/>
          </w:rPr>
          <w:tab/>
        </w:r>
        <w:r>
          <w:rPr>
            <w:noProof/>
            <w:webHidden/>
          </w:rPr>
          <w:fldChar w:fldCharType="begin"/>
        </w:r>
        <w:r>
          <w:rPr>
            <w:noProof/>
            <w:webHidden/>
          </w:rPr>
          <w:instrText xml:space="preserve"> PAGEREF _Toc298324973 \h </w:instrText>
        </w:r>
        <w:r w:rsidR="00444B40">
          <w:rPr>
            <w:noProof/>
          </w:rPr>
        </w:r>
        <w:r>
          <w:rPr>
            <w:noProof/>
            <w:webHidden/>
          </w:rPr>
          <w:fldChar w:fldCharType="separate"/>
        </w:r>
        <w:r w:rsidR="00C47959">
          <w:rPr>
            <w:noProof/>
            <w:webHidden/>
          </w:rPr>
          <w:t>41</w:t>
        </w:r>
        <w:r>
          <w:rPr>
            <w:noProof/>
            <w:webHidden/>
          </w:rPr>
          <w:fldChar w:fldCharType="end"/>
        </w:r>
      </w:hyperlink>
    </w:p>
    <w:p w:rsidR="00D061E2" w:rsidRDefault="00D061E2">
      <w:pPr>
        <w:pStyle w:val="TOC1"/>
        <w:rPr>
          <w:rFonts w:cs="Times New Roman"/>
          <w:noProof/>
          <w:lang w:eastAsia="en-AU"/>
        </w:rPr>
      </w:pPr>
      <w:hyperlink w:anchor="_Toc298324974" w:history="1">
        <w:r w:rsidRPr="003210A6">
          <w:rPr>
            <w:rStyle w:val="Hyperlink"/>
            <w:noProof/>
          </w:rPr>
          <w:t>Appendix C : Overview of international research funding systems</w:t>
        </w:r>
        <w:r>
          <w:rPr>
            <w:noProof/>
            <w:webHidden/>
          </w:rPr>
          <w:tab/>
        </w:r>
        <w:r>
          <w:rPr>
            <w:noProof/>
            <w:webHidden/>
          </w:rPr>
          <w:fldChar w:fldCharType="begin"/>
        </w:r>
        <w:r>
          <w:rPr>
            <w:noProof/>
            <w:webHidden/>
          </w:rPr>
          <w:instrText xml:space="preserve"> PAGEREF _Toc298324974 \h </w:instrText>
        </w:r>
        <w:r w:rsidR="00444B40">
          <w:rPr>
            <w:noProof/>
          </w:rPr>
        </w:r>
        <w:r>
          <w:rPr>
            <w:noProof/>
            <w:webHidden/>
          </w:rPr>
          <w:fldChar w:fldCharType="separate"/>
        </w:r>
        <w:r w:rsidR="00C47959">
          <w:rPr>
            <w:noProof/>
            <w:webHidden/>
          </w:rPr>
          <w:t>43</w:t>
        </w:r>
        <w:r>
          <w:rPr>
            <w:noProof/>
            <w:webHidden/>
          </w:rPr>
          <w:fldChar w:fldCharType="end"/>
        </w:r>
      </w:hyperlink>
    </w:p>
    <w:p w:rsidR="00D061E2" w:rsidRDefault="00D061E2">
      <w:pPr>
        <w:pStyle w:val="TOC1"/>
        <w:rPr>
          <w:rFonts w:cs="Times New Roman"/>
          <w:noProof/>
          <w:lang w:eastAsia="en-AU"/>
        </w:rPr>
      </w:pPr>
      <w:hyperlink w:anchor="_Toc298324975" w:history="1">
        <w:r w:rsidRPr="003210A6">
          <w:rPr>
            <w:rStyle w:val="Hyperlink"/>
            <w:noProof/>
          </w:rPr>
          <w:t>Appendix D : Case study questionnaire</w:t>
        </w:r>
        <w:r>
          <w:rPr>
            <w:noProof/>
            <w:webHidden/>
          </w:rPr>
          <w:tab/>
        </w:r>
        <w:r>
          <w:rPr>
            <w:noProof/>
            <w:webHidden/>
          </w:rPr>
          <w:fldChar w:fldCharType="begin"/>
        </w:r>
        <w:r>
          <w:rPr>
            <w:noProof/>
            <w:webHidden/>
          </w:rPr>
          <w:instrText xml:space="preserve"> PAGEREF _Toc298324975 \h </w:instrText>
        </w:r>
        <w:r w:rsidR="00444B40">
          <w:rPr>
            <w:noProof/>
          </w:rPr>
        </w:r>
        <w:r>
          <w:rPr>
            <w:noProof/>
            <w:webHidden/>
          </w:rPr>
          <w:fldChar w:fldCharType="separate"/>
        </w:r>
        <w:r w:rsidR="00C47959">
          <w:rPr>
            <w:noProof/>
            <w:webHidden/>
          </w:rPr>
          <w:t>48</w:t>
        </w:r>
        <w:r>
          <w:rPr>
            <w:noProof/>
            <w:webHidden/>
          </w:rPr>
          <w:fldChar w:fldCharType="end"/>
        </w:r>
      </w:hyperlink>
    </w:p>
    <w:p w:rsidR="00D061E2" w:rsidRDefault="00D061E2">
      <w:pPr>
        <w:pStyle w:val="TOC1"/>
        <w:rPr>
          <w:rFonts w:cs="Times New Roman"/>
          <w:noProof/>
          <w:lang w:eastAsia="en-AU"/>
        </w:rPr>
      </w:pPr>
      <w:hyperlink w:anchor="_Toc298324976" w:history="1">
        <w:r w:rsidRPr="003210A6">
          <w:rPr>
            <w:rStyle w:val="Hyperlink"/>
            <w:noProof/>
          </w:rPr>
          <w:t>Appendix E : Regression analysis—technical notes</w:t>
        </w:r>
        <w:r>
          <w:rPr>
            <w:noProof/>
            <w:webHidden/>
          </w:rPr>
          <w:tab/>
        </w:r>
        <w:r>
          <w:rPr>
            <w:noProof/>
            <w:webHidden/>
          </w:rPr>
          <w:fldChar w:fldCharType="begin"/>
        </w:r>
        <w:r>
          <w:rPr>
            <w:noProof/>
            <w:webHidden/>
          </w:rPr>
          <w:instrText xml:space="preserve"> PAGEREF _Toc298324976 \h </w:instrText>
        </w:r>
        <w:r w:rsidR="00444B40">
          <w:rPr>
            <w:noProof/>
          </w:rPr>
        </w:r>
        <w:r>
          <w:rPr>
            <w:noProof/>
            <w:webHidden/>
          </w:rPr>
          <w:fldChar w:fldCharType="separate"/>
        </w:r>
        <w:r w:rsidR="00C47959">
          <w:rPr>
            <w:noProof/>
            <w:webHidden/>
          </w:rPr>
          <w:t>50</w:t>
        </w:r>
        <w:r>
          <w:rPr>
            <w:noProof/>
            <w:webHidden/>
          </w:rPr>
          <w:fldChar w:fldCharType="end"/>
        </w:r>
      </w:hyperlink>
    </w:p>
    <w:p w:rsidR="00D061E2" w:rsidRDefault="00D061E2">
      <w:pPr>
        <w:pStyle w:val="TOC1"/>
        <w:rPr>
          <w:rFonts w:cs="Times New Roman"/>
          <w:noProof/>
          <w:lang w:eastAsia="en-AU"/>
        </w:rPr>
      </w:pPr>
      <w:hyperlink w:anchor="_Toc298324977" w:history="1">
        <w:r w:rsidRPr="003210A6">
          <w:rPr>
            <w:rStyle w:val="Hyperlink"/>
            <w:noProof/>
          </w:rPr>
          <w:t>Appendix F : Case study responses</w:t>
        </w:r>
        <w:r>
          <w:rPr>
            <w:noProof/>
            <w:webHidden/>
          </w:rPr>
          <w:tab/>
        </w:r>
        <w:r>
          <w:rPr>
            <w:noProof/>
            <w:webHidden/>
          </w:rPr>
          <w:fldChar w:fldCharType="begin"/>
        </w:r>
        <w:r>
          <w:rPr>
            <w:noProof/>
            <w:webHidden/>
          </w:rPr>
          <w:instrText xml:space="preserve"> PAGEREF _Toc298324977 \h </w:instrText>
        </w:r>
        <w:r w:rsidR="00444B40">
          <w:rPr>
            <w:noProof/>
          </w:rPr>
        </w:r>
        <w:r>
          <w:rPr>
            <w:noProof/>
            <w:webHidden/>
          </w:rPr>
          <w:fldChar w:fldCharType="separate"/>
        </w:r>
        <w:r w:rsidR="00C47959">
          <w:rPr>
            <w:noProof/>
            <w:webHidden/>
          </w:rPr>
          <w:t>52</w:t>
        </w:r>
        <w:r>
          <w:rPr>
            <w:noProof/>
            <w:webHidden/>
          </w:rPr>
          <w:fldChar w:fldCharType="end"/>
        </w:r>
      </w:hyperlink>
    </w:p>
    <w:p w:rsidR="00D061E2" w:rsidRDefault="00D061E2">
      <w:pPr>
        <w:pStyle w:val="TOC1"/>
        <w:rPr>
          <w:rFonts w:cs="Times New Roman"/>
          <w:noProof/>
          <w:lang w:eastAsia="en-AU"/>
        </w:rPr>
      </w:pPr>
      <w:hyperlink w:anchor="_Toc298324978" w:history="1">
        <w:r w:rsidRPr="003210A6">
          <w:rPr>
            <w:rStyle w:val="Hyperlink"/>
            <w:noProof/>
          </w:rPr>
          <w:t>University specific case study information:</w:t>
        </w:r>
        <w:r>
          <w:rPr>
            <w:noProof/>
            <w:webHidden/>
          </w:rPr>
          <w:tab/>
        </w:r>
        <w:r>
          <w:rPr>
            <w:noProof/>
            <w:webHidden/>
          </w:rPr>
          <w:fldChar w:fldCharType="begin"/>
        </w:r>
        <w:r>
          <w:rPr>
            <w:noProof/>
            <w:webHidden/>
          </w:rPr>
          <w:instrText xml:space="preserve"> PAGEREF _Toc298324978 \h </w:instrText>
        </w:r>
        <w:r w:rsidR="00444B40">
          <w:rPr>
            <w:noProof/>
          </w:rPr>
        </w:r>
        <w:r>
          <w:rPr>
            <w:noProof/>
            <w:webHidden/>
          </w:rPr>
          <w:fldChar w:fldCharType="separate"/>
        </w:r>
        <w:r w:rsidR="00C47959">
          <w:rPr>
            <w:noProof/>
            <w:webHidden/>
          </w:rPr>
          <w:t>56</w:t>
        </w:r>
        <w:r>
          <w:rPr>
            <w:noProof/>
            <w:webHidden/>
          </w:rPr>
          <w:fldChar w:fldCharType="end"/>
        </w:r>
      </w:hyperlink>
    </w:p>
    <w:p w:rsidR="00D061E2" w:rsidRDefault="00D061E2">
      <w:pPr>
        <w:pStyle w:val="TOC2"/>
        <w:rPr>
          <w:sz w:val="22"/>
          <w:szCs w:val="22"/>
          <w:lang w:eastAsia="en-AU"/>
        </w:rPr>
      </w:pPr>
      <w:hyperlink w:anchor="_Toc298324979" w:history="1">
        <w:r w:rsidRPr="003210A6">
          <w:rPr>
            <w:rStyle w:val="Hyperlink"/>
          </w:rPr>
          <w:t>University A</w:t>
        </w:r>
        <w:r>
          <w:rPr>
            <w:webHidden/>
          </w:rPr>
          <w:tab/>
        </w:r>
        <w:r>
          <w:rPr>
            <w:webHidden/>
          </w:rPr>
          <w:fldChar w:fldCharType="begin"/>
        </w:r>
        <w:r>
          <w:rPr>
            <w:webHidden/>
          </w:rPr>
          <w:instrText xml:space="preserve"> PAGEREF _Toc298324979 \h </w:instrText>
        </w:r>
        <w:r>
          <w:rPr>
            <w:webHidden/>
          </w:rPr>
          <w:fldChar w:fldCharType="separate"/>
        </w:r>
        <w:r w:rsidR="00C47959">
          <w:rPr>
            <w:webHidden/>
          </w:rPr>
          <w:t>56</w:t>
        </w:r>
        <w:r>
          <w:rPr>
            <w:webHidden/>
          </w:rPr>
          <w:fldChar w:fldCharType="end"/>
        </w:r>
      </w:hyperlink>
    </w:p>
    <w:p w:rsidR="00D061E2" w:rsidRDefault="00D061E2">
      <w:pPr>
        <w:pStyle w:val="TOC2"/>
        <w:rPr>
          <w:sz w:val="22"/>
          <w:szCs w:val="22"/>
          <w:lang w:eastAsia="en-AU"/>
        </w:rPr>
      </w:pPr>
      <w:hyperlink w:anchor="_Toc298324980" w:history="1">
        <w:r w:rsidRPr="003210A6">
          <w:rPr>
            <w:rStyle w:val="Hyperlink"/>
          </w:rPr>
          <w:t>University B</w:t>
        </w:r>
        <w:r>
          <w:rPr>
            <w:webHidden/>
          </w:rPr>
          <w:tab/>
        </w:r>
        <w:r>
          <w:rPr>
            <w:webHidden/>
          </w:rPr>
          <w:fldChar w:fldCharType="begin"/>
        </w:r>
        <w:r>
          <w:rPr>
            <w:webHidden/>
          </w:rPr>
          <w:instrText xml:space="preserve"> PAGEREF _Toc298324980 \h </w:instrText>
        </w:r>
        <w:r>
          <w:rPr>
            <w:webHidden/>
          </w:rPr>
          <w:fldChar w:fldCharType="separate"/>
        </w:r>
        <w:r w:rsidR="00C47959">
          <w:rPr>
            <w:webHidden/>
          </w:rPr>
          <w:t>57</w:t>
        </w:r>
        <w:r>
          <w:rPr>
            <w:webHidden/>
          </w:rPr>
          <w:fldChar w:fldCharType="end"/>
        </w:r>
      </w:hyperlink>
    </w:p>
    <w:p w:rsidR="00D061E2" w:rsidRDefault="00D061E2">
      <w:pPr>
        <w:pStyle w:val="TOC2"/>
        <w:rPr>
          <w:sz w:val="22"/>
          <w:szCs w:val="22"/>
          <w:lang w:eastAsia="en-AU"/>
        </w:rPr>
      </w:pPr>
      <w:hyperlink w:anchor="_Toc298324981" w:history="1">
        <w:r w:rsidRPr="003210A6">
          <w:rPr>
            <w:rStyle w:val="Hyperlink"/>
          </w:rPr>
          <w:t>University C</w:t>
        </w:r>
        <w:r>
          <w:rPr>
            <w:webHidden/>
          </w:rPr>
          <w:tab/>
        </w:r>
        <w:r>
          <w:rPr>
            <w:webHidden/>
          </w:rPr>
          <w:fldChar w:fldCharType="begin"/>
        </w:r>
        <w:r>
          <w:rPr>
            <w:webHidden/>
          </w:rPr>
          <w:instrText xml:space="preserve"> PAGEREF _Toc298324981 \h </w:instrText>
        </w:r>
        <w:r>
          <w:rPr>
            <w:webHidden/>
          </w:rPr>
          <w:fldChar w:fldCharType="separate"/>
        </w:r>
        <w:r w:rsidR="00C47959">
          <w:rPr>
            <w:webHidden/>
          </w:rPr>
          <w:t>58</w:t>
        </w:r>
        <w:r>
          <w:rPr>
            <w:webHidden/>
          </w:rPr>
          <w:fldChar w:fldCharType="end"/>
        </w:r>
      </w:hyperlink>
    </w:p>
    <w:p w:rsidR="00D061E2" w:rsidRDefault="00D061E2">
      <w:pPr>
        <w:pStyle w:val="TOC1"/>
        <w:rPr>
          <w:rFonts w:cs="Times New Roman"/>
          <w:noProof/>
          <w:lang w:eastAsia="en-AU"/>
        </w:rPr>
      </w:pPr>
      <w:hyperlink w:anchor="_Toc298324982" w:history="1">
        <w:r w:rsidRPr="003210A6">
          <w:rPr>
            <w:rStyle w:val="Hyperlink"/>
            <w:noProof/>
          </w:rPr>
          <w:t>Limitation of our work</w:t>
        </w:r>
        <w:r>
          <w:rPr>
            <w:noProof/>
            <w:webHidden/>
          </w:rPr>
          <w:tab/>
        </w:r>
        <w:r>
          <w:rPr>
            <w:noProof/>
            <w:webHidden/>
          </w:rPr>
          <w:fldChar w:fldCharType="begin"/>
        </w:r>
        <w:r>
          <w:rPr>
            <w:noProof/>
            <w:webHidden/>
          </w:rPr>
          <w:instrText xml:space="preserve"> PAGEREF _Toc298324982 \h </w:instrText>
        </w:r>
        <w:r w:rsidR="00444B40">
          <w:rPr>
            <w:noProof/>
          </w:rPr>
        </w:r>
        <w:r>
          <w:rPr>
            <w:noProof/>
            <w:webHidden/>
          </w:rPr>
          <w:fldChar w:fldCharType="separate"/>
        </w:r>
        <w:r w:rsidR="00C47959">
          <w:rPr>
            <w:noProof/>
            <w:webHidden/>
          </w:rPr>
          <w:t>59</w:t>
        </w:r>
        <w:r>
          <w:rPr>
            <w:noProof/>
            <w:webHidden/>
          </w:rPr>
          <w:fldChar w:fldCharType="end"/>
        </w:r>
      </w:hyperlink>
    </w:p>
    <w:p w:rsidR="001A5590" w:rsidRPr="00DE4E85" w:rsidRDefault="001A5590" w:rsidP="0008028A">
      <w:pPr>
        <w:pStyle w:val="Heading1Heading"/>
      </w:pPr>
      <w:r>
        <w:rPr>
          <w:b w:val="0"/>
          <w:caps/>
        </w:rPr>
        <w:lastRenderedPageBreak/>
        <w:fldChar w:fldCharType="end"/>
      </w:r>
      <w:r w:rsidRPr="00306EC6">
        <w:t>Charts</w:t>
      </w:r>
    </w:p>
    <w:p w:rsidR="00D061E2" w:rsidRDefault="001A5590">
      <w:pPr>
        <w:pStyle w:val="TOC1"/>
        <w:rPr>
          <w:rFonts w:cs="Times New Roman"/>
          <w:noProof/>
          <w:lang w:eastAsia="en-AU"/>
        </w:rPr>
      </w:pPr>
      <w:r>
        <w:rPr>
          <w:sz w:val="24"/>
          <w:szCs w:val="20"/>
        </w:rPr>
        <w:fldChar w:fldCharType="begin"/>
      </w:r>
      <w:r>
        <w:rPr>
          <w:sz w:val="24"/>
          <w:szCs w:val="20"/>
        </w:rPr>
        <w:instrText xml:space="preserve"> TOC \h \z \t "Appendix Chart Caption,1,Caption_Chart,1" </w:instrText>
      </w:r>
      <w:r>
        <w:rPr>
          <w:sz w:val="24"/>
          <w:szCs w:val="20"/>
        </w:rPr>
        <w:fldChar w:fldCharType="separate"/>
      </w:r>
      <w:hyperlink w:anchor="_Toc298324983" w:history="1">
        <w:r w:rsidR="00D061E2" w:rsidRPr="009F0446">
          <w:rPr>
            <w:rStyle w:val="Hyperlink"/>
            <w:rFonts w:cs="Arial"/>
            <w:noProof/>
          </w:rPr>
          <w:t>Chart 5.1</w:t>
        </w:r>
        <w:r w:rsidR="00D061E2" w:rsidRPr="009F0446">
          <w:rPr>
            <w:rStyle w:val="Hyperlink"/>
            <w:noProof/>
          </w:rPr>
          <w:t xml:space="preserve"> : Full cost of research training per HDR RTS EFTSL ($’000) reported by universities</w:t>
        </w:r>
        <w:r w:rsidR="00D061E2">
          <w:rPr>
            <w:noProof/>
            <w:webHidden/>
          </w:rPr>
          <w:tab/>
        </w:r>
        <w:r w:rsidR="00D061E2">
          <w:rPr>
            <w:noProof/>
            <w:webHidden/>
          </w:rPr>
          <w:fldChar w:fldCharType="begin"/>
        </w:r>
        <w:r w:rsidR="00D061E2">
          <w:rPr>
            <w:noProof/>
            <w:webHidden/>
          </w:rPr>
          <w:instrText xml:space="preserve"> PAGEREF _Toc298324983 \h </w:instrText>
        </w:r>
        <w:r w:rsidR="00444B40">
          <w:rPr>
            <w:noProof/>
          </w:rPr>
        </w:r>
        <w:r w:rsidR="00D061E2">
          <w:rPr>
            <w:noProof/>
            <w:webHidden/>
          </w:rPr>
          <w:fldChar w:fldCharType="separate"/>
        </w:r>
        <w:r w:rsidR="00C47959">
          <w:rPr>
            <w:noProof/>
            <w:webHidden/>
          </w:rPr>
          <w:t>15</w:t>
        </w:r>
        <w:r w:rsidR="00D061E2">
          <w:rPr>
            <w:noProof/>
            <w:webHidden/>
          </w:rPr>
          <w:fldChar w:fldCharType="end"/>
        </w:r>
      </w:hyperlink>
    </w:p>
    <w:p w:rsidR="00D061E2" w:rsidRDefault="00D061E2">
      <w:pPr>
        <w:pStyle w:val="TOC1"/>
        <w:rPr>
          <w:rFonts w:cs="Times New Roman"/>
          <w:noProof/>
          <w:lang w:eastAsia="en-AU"/>
        </w:rPr>
      </w:pPr>
      <w:hyperlink w:anchor="_Toc298324984" w:history="1">
        <w:r w:rsidRPr="009F0446">
          <w:rPr>
            <w:rStyle w:val="Hyperlink"/>
            <w:rFonts w:cs="Arial"/>
            <w:noProof/>
          </w:rPr>
          <w:t>Chart 5.2</w:t>
        </w:r>
        <w:r w:rsidRPr="009F0446">
          <w:rPr>
            <w:rStyle w:val="Hyperlink"/>
            <w:noProof/>
          </w:rPr>
          <w:t xml:space="preserve"> : Direct and indirect costs of research training per HDR RTS EFTSL</w:t>
        </w:r>
        <w:r>
          <w:rPr>
            <w:noProof/>
            <w:webHidden/>
          </w:rPr>
          <w:tab/>
        </w:r>
        <w:r>
          <w:rPr>
            <w:noProof/>
            <w:webHidden/>
          </w:rPr>
          <w:fldChar w:fldCharType="begin"/>
        </w:r>
        <w:r>
          <w:rPr>
            <w:noProof/>
            <w:webHidden/>
          </w:rPr>
          <w:instrText xml:space="preserve"> PAGEREF _Toc298324984 \h </w:instrText>
        </w:r>
        <w:r w:rsidR="00444B40">
          <w:rPr>
            <w:noProof/>
          </w:rPr>
        </w:r>
        <w:r>
          <w:rPr>
            <w:noProof/>
            <w:webHidden/>
          </w:rPr>
          <w:fldChar w:fldCharType="separate"/>
        </w:r>
        <w:r w:rsidR="00C47959">
          <w:rPr>
            <w:noProof/>
            <w:webHidden/>
          </w:rPr>
          <w:t>15</w:t>
        </w:r>
        <w:r>
          <w:rPr>
            <w:noProof/>
            <w:webHidden/>
          </w:rPr>
          <w:fldChar w:fldCharType="end"/>
        </w:r>
      </w:hyperlink>
    </w:p>
    <w:p w:rsidR="00D061E2" w:rsidRDefault="00D061E2">
      <w:pPr>
        <w:pStyle w:val="TOC1"/>
        <w:rPr>
          <w:rFonts w:cs="Times New Roman"/>
          <w:noProof/>
          <w:lang w:eastAsia="en-AU"/>
        </w:rPr>
      </w:pPr>
      <w:hyperlink w:anchor="_Toc298324985" w:history="1">
        <w:r w:rsidRPr="009F0446">
          <w:rPr>
            <w:rStyle w:val="Hyperlink"/>
            <w:rFonts w:cs="Arial"/>
            <w:noProof/>
          </w:rPr>
          <w:t>Chart 5.3</w:t>
        </w:r>
        <w:r w:rsidRPr="009F0446">
          <w:rPr>
            <w:rStyle w:val="Hyperlink"/>
            <w:noProof/>
          </w:rPr>
          <w:t xml:space="preserve"> : Direct costs per HDR RTS EFTSL</w:t>
        </w:r>
        <w:r>
          <w:rPr>
            <w:noProof/>
            <w:webHidden/>
          </w:rPr>
          <w:tab/>
        </w:r>
        <w:r>
          <w:rPr>
            <w:noProof/>
            <w:webHidden/>
          </w:rPr>
          <w:fldChar w:fldCharType="begin"/>
        </w:r>
        <w:r>
          <w:rPr>
            <w:noProof/>
            <w:webHidden/>
          </w:rPr>
          <w:instrText xml:space="preserve"> PAGEREF _Toc298324985 \h </w:instrText>
        </w:r>
        <w:r w:rsidR="00444B40">
          <w:rPr>
            <w:noProof/>
          </w:rPr>
        </w:r>
        <w:r>
          <w:rPr>
            <w:noProof/>
            <w:webHidden/>
          </w:rPr>
          <w:fldChar w:fldCharType="separate"/>
        </w:r>
        <w:r w:rsidR="00C47959">
          <w:rPr>
            <w:noProof/>
            <w:webHidden/>
          </w:rPr>
          <w:t>16</w:t>
        </w:r>
        <w:r>
          <w:rPr>
            <w:noProof/>
            <w:webHidden/>
          </w:rPr>
          <w:fldChar w:fldCharType="end"/>
        </w:r>
      </w:hyperlink>
    </w:p>
    <w:p w:rsidR="00D061E2" w:rsidRDefault="00D061E2">
      <w:pPr>
        <w:pStyle w:val="TOC1"/>
        <w:rPr>
          <w:rFonts w:cs="Times New Roman"/>
          <w:noProof/>
          <w:lang w:eastAsia="en-AU"/>
        </w:rPr>
      </w:pPr>
      <w:hyperlink w:anchor="_Toc298324986" w:history="1">
        <w:r w:rsidRPr="009F0446">
          <w:rPr>
            <w:rStyle w:val="Hyperlink"/>
            <w:rFonts w:cs="Arial"/>
            <w:noProof/>
          </w:rPr>
          <w:t>Chart 5.4</w:t>
        </w:r>
        <w:r w:rsidRPr="009F0446">
          <w:rPr>
            <w:rStyle w:val="Hyperlink"/>
            <w:noProof/>
          </w:rPr>
          <w:t xml:space="preserve"> : Total number of student enrolments at a university</w:t>
        </w:r>
        <w:r>
          <w:rPr>
            <w:noProof/>
            <w:webHidden/>
          </w:rPr>
          <w:tab/>
        </w:r>
        <w:r>
          <w:rPr>
            <w:noProof/>
            <w:webHidden/>
          </w:rPr>
          <w:fldChar w:fldCharType="begin"/>
        </w:r>
        <w:r>
          <w:rPr>
            <w:noProof/>
            <w:webHidden/>
          </w:rPr>
          <w:instrText xml:space="preserve"> PAGEREF _Toc298324986 \h </w:instrText>
        </w:r>
        <w:r w:rsidR="00444B40">
          <w:rPr>
            <w:noProof/>
          </w:rPr>
        </w:r>
        <w:r>
          <w:rPr>
            <w:noProof/>
            <w:webHidden/>
          </w:rPr>
          <w:fldChar w:fldCharType="separate"/>
        </w:r>
        <w:r w:rsidR="00C47959">
          <w:rPr>
            <w:noProof/>
            <w:webHidden/>
          </w:rPr>
          <w:t>17</w:t>
        </w:r>
        <w:r>
          <w:rPr>
            <w:noProof/>
            <w:webHidden/>
          </w:rPr>
          <w:fldChar w:fldCharType="end"/>
        </w:r>
      </w:hyperlink>
    </w:p>
    <w:p w:rsidR="00D061E2" w:rsidRDefault="00D061E2">
      <w:pPr>
        <w:pStyle w:val="TOC1"/>
        <w:rPr>
          <w:rFonts w:cs="Times New Roman"/>
          <w:noProof/>
          <w:lang w:eastAsia="en-AU"/>
        </w:rPr>
      </w:pPr>
      <w:hyperlink w:anchor="_Toc298324987" w:history="1">
        <w:r w:rsidRPr="009F0446">
          <w:rPr>
            <w:rStyle w:val="Hyperlink"/>
            <w:rFonts w:cs="Arial"/>
            <w:noProof/>
          </w:rPr>
          <w:t>Chart 5.5</w:t>
        </w:r>
        <w:r w:rsidRPr="009F0446">
          <w:rPr>
            <w:rStyle w:val="Hyperlink"/>
            <w:noProof/>
          </w:rPr>
          <w:t xml:space="preserve"> : Total HDR EFTSL (PhD and Masters by research)</w:t>
        </w:r>
        <w:r>
          <w:rPr>
            <w:noProof/>
            <w:webHidden/>
          </w:rPr>
          <w:tab/>
        </w:r>
        <w:r>
          <w:rPr>
            <w:noProof/>
            <w:webHidden/>
          </w:rPr>
          <w:fldChar w:fldCharType="begin"/>
        </w:r>
        <w:r>
          <w:rPr>
            <w:noProof/>
            <w:webHidden/>
          </w:rPr>
          <w:instrText xml:space="preserve"> PAGEREF _Toc298324987 \h </w:instrText>
        </w:r>
        <w:r w:rsidR="00444B40">
          <w:rPr>
            <w:noProof/>
          </w:rPr>
        </w:r>
        <w:r>
          <w:rPr>
            <w:noProof/>
            <w:webHidden/>
          </w:rPr>
          <w:fldChar w:fldCharType="separate"/>
        </w:r>
        <w:r w:rsidR="00C47959">
          <w:rPr>
            <w:noProof/>
            <w:webHidden/>
          </w:rPr>
          <w:t>19</w:t>
        </w:r>
        <w:r>
          <w:rPr>
            <w:noProof/>
            <w:webHidden/>
          </w:rPr>
          <w:fldChar w:fldCharType="end"/>
        </w:r>
      </w:hyperlink>
    </w:p>
    <w:p w:rsidR="00D061E2" w:rsidRDefault="00D061E2">
      <w:pPr>
        <w:pStyle w:val="TOC1"/>
        <w:rPr>
          <w:rFonts w:cs="Times New Roman"/>
          <w:noProof/>
          <w:lang w:eastAsia="en-AU"/>
        </w:rPr>
      </w:pPr>
      <w:hyperlink w:anchor="_Toc298324988" w:history="1">
        <w:r w:rsidRPr="009F0446">
          <w:rPr>
            <w:rStyle w:val="Hyperlink"/>
            <w:rFonts w:cs="Arial"/>
            <w:noProof/>
          </w:rPr>
          <w:t>Chart 5.6</w:t>
        </w:r>
        <w:r w:rsidRPr="009F0446">
          <w:rPr>
            <w:rStyle w:val="Hyperlink"/>
            <w:noProof/>
          </w:rPr>
          <w:t xml:space="preserve"> : Ratio of HDR candidates to total student enrolments at a university</w:t>
        </w:r>
        <w:r>
          <w:rPr>
            <w:noProof/>
            <w:webHidden/>
          </w:rPr>
          <w:tab/>
        </w:r>
        <w:r>
          <w:rPr>
            <w:noProof/>
            <w:webHidden/>
          </w:rPr>
          <w:fldChar w:fldCharType="begin"/>
        </w:r>
        <w:r>
          <w:rPr>
            <w:noProof/>
            <w:webHidden/>
          </w:rPr>
          <w:instrText xml:space="preserve"> PAGEREF _Toc298324988 \h </w:instrText>
        </w:r>
        <w:r w:rsidR="00444B40">
          <w:rPr>
            <w:noProof/>
          </w:rPr>
        </w:r>
        <w:r>
          <w:rPr>
            <w:noProof/>
            <w:webHidden/>
          </w:rPr>
          <w:fldChar w:fldCharType="separate"/>
        </w:r>
        <w:r w:rsidR="00C47959">
          <w:rPr>
            <w:noProof/>
            <w:webHidden/>
          </w:rPr>
          <w:t>19</w:t>
        </w:r>
        <w:r>
          <w:rPr>
            <w:noProof/>
            <w:webHidden/>
          </w:rPr>
          <w:fldChar w:fldCharType="end"/>
        </w:r>
      </w:hyperlink>
    </w:p>
    <w:p w:rsidR="00D061E2" w:rsidRDefault="00D061E2">
      <w:pPr>
        <w:pStyle w:val="TOC1"/>
        <w:rPr>
          <w:rFonts w:cs="Times New Roman"/>
          <w:noProof/>
          <w:lang w:eastAsia="en-AU"/>
        </w:rPr>
      </w:pPr>
      <w:hyperlink w:anchor="_Toc298324989" w:history="1">
        <w:r w:rsidRPr="009F0446">
          <w:rPr>
            <w:rStyle w:val="Hyperlink"/>
            <w:rFonts w:cs="Arial"/>
            <w:noProof/>
          </w:rPr>
          <w:t>Chart 5.7</w:t>
        </w:r>
        <w:r w:rsidRPr="009F0446">
          <w:rPr>
            <w:rStyle w:val="Hyperlink"/>
            <w:noProof/>
          </w:rPr>
          <w:t xml:space="preserve"> : Ratio of Masters HDR EFTSL to PhD HDR EFTSL at a university</w:t>
        </w:r>
        <w:r>
          <w:rPr>
            <w:noProof/>
            <w:webHidden/>
          </w:rPr>
          <w:tab/>
        </w:r>
        <w:r>
          <w:rPr>
            <w:noProof/>
            <w:webHidden/>
          </w:rPr>
          <w:fldChar w:fldCharType="begin"/>
        </w:r>
        <w:r>
          <w:rPr>
            <w:noProof/>
            <w:webHidden/>
          </w:rPr>
          <w:instrText xml:space="preserve"> PAGEREF _Toc298324989 \h </w:instrText>
        </w:r>
        <w:r w:rsidR="00444B40">
          <w:rPr>
            <w:noProof/>
          </w:rPr>
        </w:r>
        <w:r>
          <w:rPr>
            <w:noProof/>
            <w:webHidden/>
          </w:rPr>
          <w:fldChar w:fldCharType="separate"/>
        </w:r>
        <w:r w:rsidR="00C47959">
          <w:rPr>
            <w:noProof/>
            <w:webHidden/>
          </w:rPr>
          <w:t>20</w:t>
        </w:r>
        <w:r>
          <w:rPr>
            <w:noProof/>
            <w:webHidden/>
          </w:rPr>
          <w:fldChar w:fldCharType="end"/>
        </w:r>
      </w:hyperlink>
    </w:p>
    <w:p w:rsidR="00D061E2" w:rsidRDefault="00D061E2">
      <w:pPr>
        <w:pStyle w:val="TOC1"/>
        <w:rPr>
          <w:rFonts w:cs="Times New Roman"/>
          <w:noProof/>
          <w:lang w:eastAsia="en-AU"/>
        </w:rPr>
      </w:pPr>
      <w:hyperlink w:anchor="_Toc298324990" w:history="1">
        <w:r w:rsidRPr="009F0446">
          <w:rPr>
            <w:rStyle w:val="Hyperlink"/>
            <w:rFonts w:cs="Arial"/>
            <w:noProof/>
          </w:rPr>
          <w:t>Chart 5.8</w:t>
        </w:r>
        <w:r w:rsidRPr="009F0446">
          <w:rPr>
            <w:rStyle w:val="Hyperlink"/>
            <w:noProof/>
          </w:rPr>
          <w:t xml:space="preserve"> : Ratio of part-time to full-time HDR RTS candidates at a university</w:t>
        </w:r>
        <w:r>
          <w:rPr>
            <w:noProof/>
            <w:webHidden/>
          </w:rPr>
          <w:tab/>
        </w:r>
        <w:r>
          <w:rPr>
            <w:noProof/>
            <w:webHidden/>
          </w:rPr>
          <w:fldChar w:fldCharType="begin"/>
        </w:r>
        <w:r>
          <w:rPr>
            <w:noProof/>
            <w:webHidden/>
          </w:rPr>
          <w:instrText xml:space="preserve"> PAGEREF _Toc298324990 \h </w:instrText>
        </w:r>
        <w:r w:rsidR="00444B40">
          <w:rPr>
            <w:noProof/>
          </w:rPr>
        </w:r>
        <w:r>
          <w:rPr>
            <w:noProof/>
            <w:webHidden/>
          </w:rPr>
          <w:fldChar w:fldCharType="separate"/>
        </w:r>
        <w:r w:rsidR="00C47959">
          <w:rPr>
            <w:noProof/>
            <w:webHidden/>
          </w:rPr>
          <w:t>21</w:t>
        </w:r>
        <w:r>
          <w:rPr>
            <w:noProof/>
            <w:webHidden/>
          </w:rPr>
          <w:fldChar w:fldCharType="end"/>
        </w:r>
      </w:hyperlink>
    </w:p>
    <w:p w:rsidR="00D061E2" w:rsidRDefault="00D061E2">
      <w:pPr>
        <w:pStyle w:val="TOC1"/>
        <w:rPr>
          <w:rFonts w:cs="Times New Roman"/>
          <w:noProof/>
          <w:lang w:eastAsia="en-AU"/>
        </w:rPr>
      </w:pPr>
      <w:hyperlink w:anchor="_Toc298324991" w:history="1">
        <w:r w:rsidRPr="009F0446">
          <w:rPr>
            <w:rStyle w:val="Hyperlink"/>
            <w:rFonts w:cs="Arial"/>
            <w:noProof/>
          </w:rPr>
          <w:t>Chart 5.9</w:t>
        </w:r>
        <w:r w:rsidRPr="009F0446">
          <w:rPr>
            <w:rStyle w:val="Hyperlink"/>
            <w:noProof/>
          </w:rPr>
          <w:t xml:space="preserve"> : Research active staff per HDR EFTSL</w:t>
        </w:r>
        <w:r>
          <w:rPr>
            <w:noProof/>
            <w:webHidden/>
          </w:rPr>
          <w:tab/>
        </w:r>
        <w:r>
          <w:rPr>
            <w:noProof/>
            <w:webHidden/>
          </w:rPr>
          <w:fldChar w:fldCharType="begin"/>
        </w:r>
        <w:r>
          <w:rPr>
            <w:noProof/>
            <w:webHidden/>
          </w:rPr>
          <w:instrText xml:space="preserve"> PAGEREF _Toc298324991 \h </w:instrText>
        </w:r>
        <w:r w:rsidR="00444B40">
          <w:rPr>
            <w:noProof/>
          </w:rPr>
        </w:r>
        <w:r>
          <w:rPr>
            <w:noProof/>
            <w:webHidden/>
          </w:rPr>
          <w:fldChar w:fldCharType="separate"/>
        </w:r>
        <w:r w:rsidR="00C47959">
          <w:rPr>
            <w:noProof/>
            <w:webHidden/>
          </w:rPr>
          <w:t>21</w:t>
        </w:r>
        <w:r>
          <w:rPr>
            <w:noProof/>
            <w:webHidden/>
          </w:rPr>
          <w:fldChar w:fldCharType="end"/>
        </w:r>
      </w:hyperlink>
    </w:p>
    <w:p w:rsidR="00D061E2" w:rsidRDefault="00D061E2">
      <w:pPr>
        <w:pStyle w:val="TOC1"/>
        <w:rPr>
          <w:rFonts w:cs="Times New Roman"/>
          <w:noProof/>
          <w:lang w:eastAsia="en-AU"/>
        </w:rPr>
      </w:pPr>
      <w:hyperlink w:anchor="_Toc298324992" w:history="1">
        <w:r w:rsidRPr="009F0446">
          <w:rPr>
            <w:rStyle w:val="Hyperlink"/>
            <w:rFonts w:cs="Arial"/>
            <w:noProof/>
          </w:rPr>
          <w:t>Chart 5.10</w:t>
        </w:r>
        <w:r w:rsidRPr="009F0446">
          <w:rPr>
            <w:rStyle w:val="Hyperlink"/>
            <w:noProof/>
          </w:rPr>
          <w:t xml:space="preserve"> : Ratio of RTS candidates studying on-campus to candidates off-campus</w:t>
        </w:r>
        <w:r>
          <w:rPr>
            <w:noProof/>
            <w:webHidden/>
          </w:rPr>
          <w:tab/>
        </w:r>
        <w:r>
          <w:rPr>
            <w:noProof/>
            <w:webHidden/>
          </w:rPr>
          <w:fldChar w:fldCharType="begin"/>
        </w:r>
        <w:r>
          <w:rPr>
            <w:noProof/>
            <w:webHidden/>
          </w:rPr>
          <w:instrText xml:space="preserve"> PAGEREF _Toc298324992 \h </w:instrText>
        </w:r>
        <w:r w:rsidR="00444B40">
          <w:rPr>
            <w:noProof/>
          </w:rPr>
        </w:r>
        <w:r>
          <w:rPr>
            <w:noProof/>
            <w:webHidden/>
          </w:rPr>
          <w:fldChar w:fldCharType="separate"/>
        </w:r>
        <w:r w:rsidR="00C47959">
          <w:rPr>
            <w:noProof/>
            <w:webHidden/>
          </w:rPr>
          <w:t>22</w:t>
        </w:r>
        <w:r>
          <w:rPr>
            <w:noProof/>
            <w:webHidden/>
          </w:rPr>
          <w:fldChar w:fldCharType="end"/>
        </w:r>
      </w:hyperlink>
    </w:p>
    <w:p w:rsidR="00D061E2" w:rsidRDefault="00D061E2">
      <w:pPr>
        <w:pStyle w:val="TOC1"/>
        <w:rPr>
          <w:rFonts w:cs="Times New Roman"/>
          <w:noProof/>
          <w:lang w:eastAsia="en-AU"/>
        </w:rPr>
      </w:pPr>
      <w:hyperlink w:anchor="_Toc298324993" w:history="1">
        <w:r w:rsidRPr="009F0446">
          <w:rPr>
            <w:rStyle w:val="Hyperlink"/>
            <w:rFonts w:cs="Arial"/>
            <w:noProof/>
          </w:rPr>
          <w:t>Chart 5.11</w:t>
        </w:r>
        <w:r w:rsidRPr="009F0446">
          <w:rPr>
            <w:rStyle w:val="Hyperlink"/>
            <w:noProof/>
          </w:rPr>
          <w:t xml:space="preserve"> : Number of campuses per university</w:t>
        </w:r>
        <w:r>
          <w:rPr>
            <w:noProof/>
            <w:webHidden/>
          </w:rPr>
          <w:tab/>
        </w:r>
        <w:r>
          <w:rPr>
            <w:noProof/>
            <w:webHidden/>
          </w:rPr>
          <w:fldChar w:fldCharType="begin"/>
        </w:r>
        <w:r>
          <w:rPr>
            <w:noProof/>
            <w:webHidden/>
          </w:rPr>
          <w:instrText xml:space="preserve"> PAGEREF _Toc298324993 \h </w:instrText>
        </w:r>
        <w:r w:rsidR="00444B40">
          <w:rPr>
            <w:noProof/>
          </w:rPr>
        </w:r>
        <w:r>
          <w:rPr>
            <w:noProof/>
            <w:webHidden/>
          </w:rPr>
          <w:fldChar w:fldCharType="separate"/>
        </w:r>
        <w:r w:rsidR="00C47959">
          <w:rPr>
            <w:noProof/>
            <w:webHidden/>
          </w:rPr>
          <w:t>23</w:t>
        </w:r>
        <w:r>
          <w:rPr>
            <w:noProof/>
            <w:webHidden/>
          </w:rPr>
          <w:fldChar w:fldCharType="end"/>
        </w:r>
      </w:hyperlink>
    </w:p>
    <w:p w:rsidR="00D061E2" w:rsidRDefault="00D061E2">
      <w:pPr>
        <w:pStyle w:val="TOC1"/>
        <w:rPr>
          <w:rFonts w:cs="Times New Roman"/>
          <w:noProof/>
          <w:lang w:eastAsia="en-AU"/>
        </w:rPr>
      </w:pPr>
      <w:hyperlink w:anchor="_Toc298324994" w:history="1">
        <w:r w:rsidRPr="009F0446">
          <w:rPr>
            <w:rStyle w:val="Hyperlink"/>
            <w:rFonts w:cs="Arial"/>
            <w:noProof/>
          </w:rPr>
          <w:t>Chart 5.12</w:t>
        </w:r>
        <w:r w:rsidRPr="009F0446">
          <w:rPr>
            <w:rStyle w:val="Hyperlink"/>
            <w:noProof/>
          </w:rPr>
          <w:t xml:space="preserve"> : Ratio of RTS candidates to HDR candidates</w:t>
        </w:r>
        <w:r>
          <w:rPr>
            <w:noProof/>
            <w:webHidden/>
          </w:rPr>
          <w:tab/>
        </w:r>
        <w:r>
          <w:rPr>
            <w:noProof/>
            <w:webHidden/>
          </w:rPr>
          <w:fldChar w:fldCharType="begin"/>
        </w:r>
        <w:r>
          <w:rPr>
            <w:noProof/>
            <w:webHidden/>
          </w:rPr>
          <w:instrText xml:space="preserve"> PAGEREF _Toc298324994 \h </w:instrText>
        </w:r>
        <w:r w:rsidR="00444B40">
          <w:rPr>
            <w:noProof/>
          </w:rPr>
        </w:r>
        <w:r>
          <w:rPr>
            <w:noProof/>
            <w:webHidden/>
          </w:rPr>
          <w:fldChar w:fldCharType="separate"/>
        </w:r>
        <w:r w:rsidR="00C47959">
          <w:rPr>
            <w:noProof/>
            <w:webHidden/>
          </w:rPr>
          <w:t>23</w:t>
        </w:r>
        <w:r>
          <w:rPr>
            <w:noProof/>
            <w:webHidden/>
          </w:rPr>
          <w:fldChar w:fldCharType="end"/>
        </w:r>
      </w:hyperlink>
    </w:p>
    <w:p w:rsidR="00D061E2" w:rsidRDefault="00D061E2">
      <w:pPr>
        <w:pStyle w:val="TOC1"/>
        <w:rPr>
          <w:rFonts w:cs="Times New Roman"/>
          <w:noProof/>
          <w:lang w:eastAsia="en-AU"/>
        </w:rPr>
      </w:pPr>
      <w:hyperlink w:anchor="_Toc298324995" w:history="1">
        <w:r w:rsidRPr="009F0446">
          <w:rPr>
            <w:rStyle w:val="Hyperlink"/>
            <w:rFonts w:cs="Arial"/>
            <w:noProof/>
          </w:rPr>
          <w:t>Chart 5.13</w:t>
        </w:r>
        <w:r w:rsidRPr="009F0446">
          <w:rPr>
            <w:rStyle w:val="Hyperlink"/>
            <w:noProof/>
          </w:rPr>
          <w:t xml:space="preserve"> : Full research training cost per HDR RTS EFTSL broken into the funding gap per RTS EFTSL and funding received per RTS EFTSL</w:t>
        </w:r>
        <w:r>
          <w:rPr>
            <w:noProof/>
            <w:webHidden/>
          </w:rPr>
          <w:tab/>
        </w:r>
        <w:r>
          <w:rPr>
            <w:noProof/>
            <w:webHidden/>
          </w:rPr>
          <w:fldChar w:fldCharType="begin"/>
        </w:r>
        <w:r>
          <w:rPr>
            <w:noProof/>
            <w:webHidden/>
          </w:rPr>
          <w:instrText xml:space="preserve"> PAGEREF _Toc298324995 \h </w:instrText>
        </w:r>
        <w:r w:rsidR="00444B40">
          <w:rPr>
            <w:noProof/>
          </w:rPr>
        </w:r>
        <w:r>
          <w:rPr>
            <w:noProof/>
            <w:webHidden/>
          </w:rPr>
          <w:fldChar w:fldCharType="separate"/>
        </w:r>
        <w:r w:rsidR="00C47959">
          <w:rPr>
            <w:noProof/>
            <w:webHidden/>
          </w:rPr>
          <w:t>25</w:t>
        </w:r>
        <w:r>
          <w:rPr>
            <w:noProof/>
            <w:webHidden/>
          </w:rPr>
          <w:fldChar w:fldCharType="end"/>
        </w:r>
      </w:hyperlink>
    </w:p>
    <w:p w:rsidR="00D061E2" w:rsidRDefault="00D061E2">
      <w:pPr>
        <w:pStyle w:val="TOC1"/>
        <w:rPr>
          <w:rFonts w:cs="Times New Roman"/>
          <w:noProof/>
          <w:lang w:eastAsia="en-AU"/>
        </w:rPr>
      </w:pPr>
      <w:hyperlink w:anchor="_Toc298324996" w:history="1">
        <w:r w:rsidRPr="009F0446">
          <w:rPr>
            <w:rStyle w:val="Hyperlink"/>
            <w:rFonts w:cs="Arial"/>
            <w:noProof/>
          </w:rPr>
          <w:t>Chart 5.14</w:t>
        </w:r>
        <w:r w:rsidRPr="009F0446">
          <w:rPr>
            <w:rStyle w:val="Hyperlink"/>
            <w:noProof/>
          </w:rPr>
          <w:t xml:space="preserve"> : RTS funding received &amp; funding gaps as a % of cost of research training</w:t>
        </w:r>
        <w:r>
          <w:rPr>
            <w:noProof/>
            <w:webHidden/>
          </w:rPr>
          <w:tab/>
        </w:r>
        <w:r>
          <w:rPr>
            <w:noProof/>
            <w:webHidden/>
          </w:rPr>
          <w:fldChar w:fldCharType="begin"/>
        </w:r>
        <w:r>
          <w:rPr>
            <w:noProof/>
            <w:webHidden/>
          </w:rPr>
          <w:instrText xml:space="preserve"> PAGEREF _Toc298324996 \h </w:instrText>
        </w:r>
        <w:r w:rsidR="00444B40">
          <w:rPr>
            <w:noProof/>
          </w:rPr>
        </w:r>
        <w:r>
          <w:rPr>
            <w:noProof/>
            <w:webHidden/>
          </w:rPr>
          <w:fldChar w:fldCharType="separate"/>
        </w:r>
        <w:r w:rsidR="00C47959">
          <w:rPr>
            <w:noProof/>
            <w:webHidden/>
          </w:rPr>
          <w:t>26</w:t>
        </w:r>
        <w:r>
          <w:rPr>
            <w:noProof/>
            <w:webHidden/>
          </w:rPr>
          <w:fldChar w:fldCharType="end"/>
        </w:r>
      </w:hyperlink>
    </w:p>
    <w:p w:rsidR="00D061E2" w:rsidRDefault="00D061E2">
      <w:pPr>
        <w:pStyle w:val="TOC1"/>
        <w:rPr>
          <w:rFonts w:cs="Times New Roman"/>
          <w:noProof/>
          <w:lang w:eastAsia="en-AU"/>
        </w:rPr>
      </w:pPr>
      <w:hyperlink w:anchor="_Toc298324997" w:history="1">
        <w:r w:rsidRPr="009F0446">
          <w:rPr>
            <w:rStyle w:val="Hyperlink"/>
            <w:rFonts w:cs="Arial"/>
            <w:noProof/>
          </w:rPr>
          <w:t>Chart 5.15</w:t>
        </w:r>
        <w:r w:rsidRPr="009F0446">
          <w:rPr>
            <w:rStyle w:val="Hyperlink"/>
            <w:noProof/>
            <w:lang w:eastAsia="en-AU"/>
          </w:rPr>
          <w:t xml:space="preserve"> : Actual, fitted, residual analysis</w:t>
        </w:r>
        <w:r>
          <w:rPr>
            <w:noProof/>
            <w:webHidden/>
          </w:rPr>
          <w:tab/>
        </w:r>
        <w:r>
          <w:rPr>
            <w:noProof/>
            <w:webHidden/>
          </w:rPr>
          <w:fldChar w:fldCharType="begin"/>
        </w:r>
        <w:r>
          <w:rPr>
            <w:noProof/>
            <w:webHidden/>
          </w:rPr>
          <w:instrText xml:space="preserve"> PAGEREF _Toc298324997 \h </w:instrText>
        </w:r>
        <w:r w:rsidR="00444B40">
          <w:rPr>
            <w:noProof/>
          </w:rPr>
        </w:r>
        <w:r>
          <w:rPr>
            <w:noProof/>
            <w:webHidden/>
          </w:rPr>
          <w:fldChar w:fldCharType="separate"/>
        </w:r>
        <w:r w:rsidR="00C47959">
          <w:rPr>
            <w:noProof/>
            <w:webHidden/>
          </w:rPr>
          <w:t>31</w:t>
        </w:r>
        <w:r>
          <w:rPr>
            <w:noProof/>
            <w:webHidden/>
          </w:rPr>
          <w:fldChar w:fldCharType="end"/>
        </w:r>
      </w:hyperlink>
    </w:p>
    <w:p w:rsidR="001A5590" w:rsidRPr="00DE4E85" w:rsidRDefault="001A5590" w:rsidP="0008028A">
      <w:pPr>
        <w:pStyle w:val="Heading1Heading"/>
      </w:pPr>
      <w:r>
        <w:rPr>
          <w:sz w:val="24"/>
          <w:szCs w:val="20"/>
        </w:rPr>
        <w:fldChar w:fldCharType="end"/>
      </w:r>
      <w:r w:rsidRPr="00E267C5">
        <w:t>Tables</w:t>
      </w:r>
    </w:p>
    <w:p w:rsidR="00D061E2" w:rsidRDefault="001A5590">
      <w:pPr>
        <w:pStyle w:val="TOC1"/>
        <w:rPr>
          <w:rFonts w:cs="Times New Roman"/>
          <w:noProof/>
          <w:lang w:eastAsia="en-AU"/>
        </w:rPr>
      </w:pPr>
      <w:r>
        <w:rPr>
          <w:sz w:val="24"/>
          <w:szCs w:val="20"/>
        </w:rPr>
        <w:fldChar w:fldCharType="begin"/>
      </w:r>
      <w:r>
        <w:rPr>
          <w:sz w:val="24"/>
          <w:szCs w:val="20"/>
        </w:rPr>
        <w:instrText xml:space="preserve"> TOC \h \z \t "Appendix Table Caption,1,Caption_Table,1" </w:instrText>
      </w:r>
      <w:r>
        <w:rPr>
          <w:sz w:val="24"/>
          <w:szCs w:val="20"/>
        </w:rPr>
        <w:fldChar w:fldCharType="separate"/>
      </w:r>
      <w:hyperlink w:anchor="_Toc298324998" w:history="1">
        <w:r w:rsidR="00D061E2" w:rsidRPr="0044208E">
          <w:rPr>
            <w:rStyle w:val="Hyperlink"/>
            <w:rFonts w:cs="Arial"/>
            <w:noProof/>
          </w:rPr>
          <w:t>Table 5.1</w:t>
        </w:r>
        <w:r w:rsidR="00D061E2" w:rsidRPr="0044208E">
          <w:rPr>
            <w:rStyle w:val="Hyperlink"/>
            <w:noProof/>
          </w:rPr>
          <w:t xml:space="preserve"> : Costs per HDR RTS EFTSL according to Australian University Group</w:t>
        </w:r>
        <w:r w:rsidR="00D061E2">
          <w:rPr>
            <w:noProof/>
            <w:webHidden/>
          </w:rPr>
          <w:tab/>
        </w:r>
        <w:r w:rsidR="00D061E2">
          <w:rPr>
            <w:noProof/>
            <w:webHidden/>
          </w:rPr>
          <w:fldChar w:fldCharType="begin"/>
        </w:r>
        <w:r w:rsidR="00D061E2">
          <w:rPr>
            <w:noProof/>
            <w:webHidden/>
          </w:rPr>
          <w:instrText xml:space="preserve"> PAGEREF _Toc298324998 \h </w:instrText>
        </w:r>
        <w:r w:rsidR="00444B40">
          <w:rPr>
            <w:noProof/>
          </w:rPr>
        </w:r>
        <w:r w:rsidR="00D061E2">
          <w:rPr>
            <w:noProof/>
            <w:webHidden/>
          </w:rPr>
          <w:fldChar w:fldCharType="separate"/>
        </w:r>
        <w:r w:rsidR="00C47959">
          <w:rPr>
            <w:noProof/>
            <w:webHidden/>
          </w:rPr>
          <w:t>18</w:t>
        </w:r>
        <w:r w:rsidR="00D061E2">
          <w:rPr>
            <w:noProof/>
            <w:webHidden/>
          </w:rPr>
          <w:fldChar w:fldCharType="end"/>
        </w:r>
      </w:hyperlink>
    </w:p>
    <w:p w:rsidR="00D061E2" w:rsidRDefault="00D061E2">
      <w:pPr>
        <w:pStyle w:val="TOC1"/>
        <w:rPr>
          <w:rFonts w:cs="Times New Roman"/>
          <w:noProof/>
          <w:lang w:eastAsia="en-AU"/>
        </w:rPr>
      </w:pPr>
      <w:hyperlink w:anchor="_Toc298324999" w:history="1">
        <w:r w:rsidRPr="0044208E">
          <w:rPr>
            <w:rStyle w:val="Hyperlink"/>
            <w:rFonts w:cs="Arial"/>
            <w:noProof/>
          </w:rPr>
          <w:t>Table 5.2</w:t>
        </w:r>
        <w:r w:rsidRPr="0044208E">
          <w:rPr>
            <w:rStyle w:val="Hyperlink"/>
            <w:noProof/>
          </w:rPr>
          <w:t xml:space="preserve"> : Correlation between university cost clusters and cost drivers</w:t>
        </w:r>
        <w:r>
          <w:rPr>
            <w:noProof/>
            <w:webHidden/>
          </w:rPr>
          <w:tab/>
        </w:r>
        <w:r>
          <w:rPr>
            <w:noProof/>
            <w:webHidden/>
          </w:rPr>
          <w:fldChar w:fldCharType="begin"/>
        </w:r>
        <w:r>
          <w:rPr>
            <w:noProof/>
            <w:webHidden/>
          </w:rPr>
          <w:instrText xml:space="preserve"> PAGEREF _Toc298324999 \h </w:instrText>
        </w:r>
        <w:r w:rsidR="00444B40">
          <w:rPr>
            <w:noProof/>
          </w:rPr>
        </w:r>
        <w:r>
          <w:rPr>
            <w:noProof/>
            <w:webHidden/>
          </w:rPr>
          <w:fldChar w:fldCharType="separate"/>
        </w:r>
        <w:r w:rsidR="00C47959">
          <w:rPr>
            <w:noProof/>
            <w:webHidden/>
          </w:rPr>
          <w:t>24</w:t>
        </w:r>
        <w:r>
          <w:rPr>
            <w:noProof/>
            <w:webHidden/>
          </w:rPr>
          <w:fldChar w:fldCharType="end"/>
        </w:r>
      </w:hyperlink>
    </w:p>
    <w:p w:rsidR="00D061E2" w:rsidRDefault="00D061E2">
      <w:pPr>
        <w:pStyle w:val="TOC1"/>
        <w:rPr>
          <w:rFonts w:cs="Times New Roman"/>
          <w:noProof/>
          <w:lang w:eastAsia="en-AU"/>
        </w:rPr>
      </w:pPr>
      <w:hyperlink w:anchor="_Toc298325000" w:history="1">
        <w:r w:rsidRPr="0044208E">
          <w:rPr>
            <w:rStyle w:val="Hyperlink"/>
            <w:rFonts w:cs="Arial"/>
            <w:noProof/>
          </w:rPr>
          <w:t>Table 5.3</w:t>
        </w:r>
        <w:r w:rsidRPr="0044208E">
          <w:rPr>
            <w:rStyle w:val="Hyperlink"/>
            <w:noProof/>
          </w:rPr>
          <w:t xml:space="preserve"> : Model coefficients</w:t>
        </w:r>
        <w:r>
          <w:rPr>
            <w:noProof/>
            <w:webHidden/>
          </w:rPr>
          <w:tab/>
        </w:r>
        <w:r>
          <w:rPr>
            <w:noProof/>
            <w:webHidden/>
          </w:rPr>
          <w:fldChar w:fldCharType="begin"/>
        </w:r>
        <w:r>
          <w:rPr>
            <w:noProof/>
            <w:webHidden/>
          </w:rPr>
          <w:instrText xml:space="preserve"> PAGEREF _Toc298325000 \h </w:instrText>
        </w:r>
        <w:r w:rsidR="00444B40">
          <w:rPr>
            <w:noProof/>
          </w:rPr>
        </w:r>
        <w:r>
          <w:rPr>
            <w:noProof/>
            <w:webHidden/>
          </w:rPr>
          <w:fldChar w:fldCharType="separate"/>
        </w:r>
        <w:r w:rsidR="00C47959">
          <w:rPr>
            <w:noProof/>
            <w:webHidden/>
          </w:rPr>
          <w:t>28</w:t>
        </w:r>
        <w:r>
          <w:rPr>
            <w:noProof/>
            <w:webHidden/>
          </w:rPr>
          <w:fldChar w:fldCharType="end"/>
        </w:r>
      </w:hyperlink>
    </w:p>
    <w:p w:rsidR="00D061E2" w:rsidRDefault="00D061E2">
      <w:pPr>
        <w:pStyle w:val="TOC1"/>
        <w:rPr>
          <w:rFonts w:cs="Times New Roman"/>
          <w:noProof/>
          <w:lang w:eastAsia="en-AU"/>
        </w:rPr>
      </w:pPr>
      <w:hyperlink w:anchor="_Toc298325001" w:history="1">
        <w:r w:rsidRPr="0044208E">
          <w:rPr>
            <w:rStyle w:val="Hyperlink"/>
            <w:rFonts w:cs="Arial"/>
            <w:noProof/>
          </w:rPr>
          <w:t>Table 5.4</w:t>
        </w:r>
        <w:r w:rsidRPr="0044208E">
          <w:rPr>
            <w:rStyle w:val="Hyperlink"/>
            <w:noProof/>
          </w:rPr>
          <w:t xml:space="preserve"> : Econometric estimation output</w:t>
        </w:r>
        <w:r>
          <w:rPr>
            <w:noProof/>
            <w:webHidden/>
          </w:rPr>
          <w:tab/>
        </w:r>
        <w:r>
          <w:rPr>
            <w:noProof/>
            <w:webHidden/>
          </w:rPr>
          <w:fldChar w:fldCharType="begin"/>
        </w:r>
        <w:r>
          <w:rPr>
            <w:noProof/>
            <w:webHidden/>
          </w:rPr>
          <w:instrText xml:space="preserve"> PAGEREF _Toc298325001 \h </w:instrText>
        </w:r>
        <w:r w:rsidR="00444B40">
          <w:rPr>
            <w:noProof/>
          </w:rPr>
        </w:r>
        <w:r>
          <w:rPr>
            <w:noProof/>
            <w:webHidden/>
          </w:rPr>
          <w:fldChar w:fldCharType="separate"/>
        </w:r>
        <w:r w:rsidR="00C47959">
          <w:rPr>
            <w:noProof/>
            <w:webHidden/>
          </w:rPr>
          <w:t>29</w:t>
        </w:r>
        <w:r>
          <w:rPr>
            <w:noProof/>
            <w:webHidden/>
          </w:rPr>
          <w:fldChar w:fldCharType="end"/>
        </w:r>
      </w:hyperlink>
    </w:p>
    <w:p w:rsidR="00D061E2" w:rsidRDefault="00D061E2">
      <w:pPr>
        <w:pStyle w:val="TOC1"/>
        <w:rPr>
          <w:rFonts w:cs="Times New Roman"/>
          <w:noProof/>
          <w:lang w:eastAsia="en-AU"/>
        </w:rPr>
      </w:pPr>
      <w:hyperlink w:anchor="_Toc298325002" w:history="1">
        <w:r w:rsidRPr="0044208E">
          <w:rPr>
            <w:rStyle w:val="Hyperlink"/>
            <w:rFonts w:cs="Arial"/>
            <w:noProof/>
          </w:rPr>
          <w:t>Table A.1</w:t>
        </w:r>
        <w:r w:rsidRPr="0044208E">
          <w:rPr>
            <w:rStyle w:val="Hyperlink"/>
            <w:noProof/>
          </w:rPr>
          <w:t xml:space="preserve"> : High-cost fields of study - pre-2001 HDR completions</w:t>
        </w:r>
        <w:r>
          <w:rPr>
            <w:noProof/>
            <w:webHidden/>
          </w:rPr>
          <w:tab/>
        </w:r>
        <w:r>
          <w:rPr>
            <w:noProof/>
            <w:webHidden/>
          </w:rPr>
          <w:fldChar w:fldCharType="begin"/>
        </w:r>
        <w:r>
          <w:rPr>
            <w:noProof/>
            <w:webHidden/>
          </w:rPr>
          <w:instrText xml:space="preserve"> PAGEREF _Toc298325002 \h </w:instrText>
        </w:r>
        <w:r w:rsidR="00444B40">
          <w:rPr>
            <w:noProof/>
          </w:rPr>
        </w:r>
        <w:r>
          <w:rPr>
            <w:noProof/>
            <w:webHidden/>
          </w:rPr>
          <w:fldChar w:fldCharType="separate"/>
        </w:r>
        <w:r w:rsidR="00C47959">
          <w:rPr>
            <w:noProof/>
            <w:webHidden/>
          </w:rPr>
          <w:t>39</w:t>
        </w:r>
        <w:r>
          <w:rPr>
            <w:noProof/>
            <w:webHidden/>
          </w:rPr>
          <w:fldChar w:fldCharType="end"/>
        </w:r>
      </w:hyperlink>
    </w:p>
    <w:p w:rsidR="00D061E2" w:rsidRDefault="00D061E2">
      <w:pPr>
        <w:pStyle w:val="TOC1"/>
        <w:rPr>
          <w:rFonts w:cs="Times New Roman"/>
          <w:noProof/>
          <w:lang w:eastAsia="en-AU"/>
        </w:rPr>
      </w:pPr>
      <w:hyperlink w:anchor="_Toc298325003" w:history="1">
        <w:r w:rsidRPr="0044208E">
          <w:rPr>
            <w:rStyle w:val="Hyperlink"/>
            <w:rFonts w:cs="Arial"/>
            <w:noProof/>
          </w:rPr>
          <w:t>Table A.2</w:t>
        </w:r>
        <w:r w:rsidRPr="0044208E">
          <w:rPr>
            <w:rStyle w:val="Hyperlink"/>
            <w:noProof/>
          </w:rPr>
          <w:t xml:space="preserve"> : High-cost fields of study – 2001 onwards HDR completions</w:t>
        </w:r>
        <w:r>
          <w:rPr>
            <w:noProof/>
            <w:webHidden/>
          </w:rPr>
          <w:tab/>
        </w:r>
        <w:r>
          <w:rPr>
            <w:noProof/>
            <w:webHidden/>
          </w:rPr>
          <w:fldChar w:fldCharType="begin"/>
        </w:r>
        <w:r>
          <w:rPr>
            <w:noProof/>
            <w:webHidden/>
          </w:rPr>
          <w:instrText xml:space="preserve"> PAGEREF _Toc298325003 \h </w:instrText>
        </w:r>
        <w:r w:rsidR="00444B40">
          <w:rPr>
            <w:noProof/>
          </w:rPr>
        </w:r>
        <w:r>
          <w:rPr>
            <w:noProof/>
            <w:webHidden/>
          </w:rPr>
          <w:fldChar w:fldCharType="separate"/>
        </w:r>
        <w:r w:rsidR="00C47959">
          <w:rPr>
            <w:noProof/>
            <w:webHidden/>
          </w:rPr>
          <w:t>40</w:t>
        </w:r>
        <w:r>
          <w:rPr>
            <w:noProof/>
            <w:webHidden/>
          </w:rPr>
          <w:fldChar w:fldCharType="end"/>
        </w:r>
      </w:hyperlink>
    </w:p>
    <w:p w:rsidR="00D061E2" w:rsidRDefault="00D061E2">
      <w:pPr>
        <w:pStyle w:val="TOC1"/>
        <w:rPr>
          <w:rFonts w:cs="Times New Roman"/>
          <w:noProof/>
          <w:lang w:eastAsia="en-AU"/>
        </w:rPr>
      </w:pPr>
      <w:hyperlink w:anchor="_Toc298325004" w:history="1">
        <w:r w:rsidRPr="0044208E">
          <w:rPr>
            <w:rStyle w:val="Hyperlink"/>
            <w:rFonts w:cs="Arial"/>
            <w:noProof/>
          </w:rPr>
          <w:t>Table B.1</w:t>
        </w:r>
        <w:r w:rsidRPr="0044208E">
          <w:rPr>
            <w:rStyle w:val="Hyperlink"/>
            <w:noProof/>
          </w:rPr>
          <w:t xml:space="preserve"> : Direct cost categories</w:t>
        </w:r>
        <w:r>
          <w:rPr>
            <w:noProof/>
            <w:webHidden/>
          </w:rPr>
          <w:tab/>
        </w:r>
        <w:r>
          <w:rPr>
            <w:noProof/>
            <w:webHidden/>
          </w:rPr>
          <w:fldChar w:fldCharType="begin"/>
        </w:r>
        <w:r>
          <w:rPr>
            <w:noProof/>
            <w:webHidden/>
          </w:rPr>
          <w:instrText xml:space="preserve"> PAGEREF _Toc298325004 \h </w:instrText>
        </w:r>
        <w:r w:rsidR="00444B40">
          <w:rPr>
            <w:noProof/>
          </w:rPr>
        </w:r>
        <w:r>
          <w:rPr>
            <w:noProof/>
            <w:webHidden/>
          </w:rPr>
          <w:fldChar w:fldCharType="separate"/>
        </w:r>
        <w:r w:rsidR="00C47959">
          <w:rPr>
            <w:noProof/>
            <w:webHidden/>
          </w:rPr>
          <w:t>41</w:t>
        </w:r>
        <w:r>
          <w:rPr>
            <w:noProof/>
            <w:webHidden/>
          </w:rPr>
          <w:fldChar w:fldCharType="end"/>
        </w:r>
      </w:hyperlink>
    </w:p>
    <w:p w:rsidR="00D061E2" w:rsidRDefault="00D061E2">
      <w:pPr>
        <w:pStyle w:val="TOC1"/>
        <w:rPr>
          <w:rFonts w:cs="Times New Roman"/>
          <w:noProof/>
          <w:lang w:eastAsia="en-AU"/>
        </w:rPr>
      </w:pPr>
      <w:hyperlink w:anchor="_Toc298325005" w:history="1">
        <w:r w:rsidRPr="0044208E">
          <w:rPr>
            <w:rStyle w:val="Hyperlink"/>
            <w:rFonts w:cs="Arial"/>
            <w:noProof/>
          </w:rPr>
          <w:t>Table B.2</w:t>
        </w:r>
        <w:r w:rsidRPr="0044208E">
          <w:rPr>
            <w:rStyle w:val="Hyperlink"/>
            <w:noProof/>
          </w:rPr>
          <w:t xml:space="preserve"> : Indirect cost categories</w:t>
        </w:r>
        <w:r>
          <w:rPr>
            <w:noProof/>
            <w:webHidden/>
          </w:rPr>
          <w:tab/>
        </w:r>
        <w:r>
          <w:rPr>
            <w:noProof/>
            <w:webHidden/>
          </w:rPr>
          <w:fldChar w:fldCharType="begin"/>
        </w:r>
        <w:r>
          <w:rPr>
            <w:noProof/>
            <w:webHidden/>
          </w:rPr>
          <w:instrText xml:space="preserve"> PAGEREF _Toc298325005 \h </w:instrText>
        </w:r>
        <w:r w:rsidR="00444B40">
          <w:rPr>
            <w:noProof/>
          </w:rPr>
        </w:r>
        <w:r>
          <w:rPr>
            <w:noProof/>
            <w:webHidden/>
          </w:rPr>
          <w:fldChar w:fldCharType="separate"/>
        </w:r>
        <w:r w:rsidR="00C47959">
          <w:rPr>
            <w:noProof/>
            <w:webHidden/>
          </w:rPr>
          <w:t>42</w:t>
        </w:r>
        <w:r>
          <w:rPr>
            <w:noProof/>
            <w:webHidden/>
          </w:rPr>
          <w:fldChar w:fldCharType="end"/>
        </w:r>
      </w:hyperlink>
    </w:p>
    <w:p w:rsidR="00D061E2" w:rsidRDefault="00D061E2">
      <w:pPr>
        <w:pStyle w:val="TOC1"/>
        <w:rPr>
          <w:rFonts w:cs="Times New Roman"/>
          <w:noProof/>
          <w:lang w:eastAsia="en-AU"/>
        </w:rPr>
      </w:pPr>
      <w:hyperlink w:anchor="_Toc298325006" w:history="1">
        <w:r w:rsidRPr="0044208E">
          <w:rPr>
            <w:rStyle w:val="Hyperlink"/>
            <w:rFonts w:cs="Arial"/>
            <w:noProof/>
          </w:rPr>
          <w:t>Table C.1</w:t>
        </w:r>
        <w:r w:rsidRPr="0044208E">
          <w:rPr>
            <w:rStyle w:val="Hyperlink"/>
            <w:noProof/>
          </w:rPr>
          <w:t xml:space="preserve"> : Overview of international research funding systems</w:t>
        </w:r>
        <w:r>
          <w:rPr>
            <w:noProof/>
            <w:webHidden/>
          </w:rPr>
          <w:tab/>
        </w:r>
        <w:r>
          <w:rPr>
            <w:noProof/>
            <w:webHidden/>
          </w:rPr>
          <w:fldChar w:fldCharType="begin"/>
        </w:r>
        <w:r>
          <w:rPr>
            <w:noProof/>
            <w:webHidden/>
          </w:rPr>
          <w:instrText xml:space="preserve"> PAGEREF _Toc298325006 \h </w:instrText>
        </w:r>
        <w:r w:rsidR="00444B40">
          <w:rPr>
            <w:noProof/>
          </w:rPr>
        </w:r>
        <w:r>
          <w:rPr>
            <w:noProof/>
            <w:webHidden/>
          </w:rPr>
          <w:fldChar w:fldCharType="separate"/>
        </w:r>
        <w:r w:rsidR="00C47959">
          <w:rPr>
            <w:noProof/>
            <w:webHidden/>
          </w:rPr>
          <w:t>43</w:t>
        </w:r>
        <w:r>
          <w:rPr>
            <w:noProof/>
            <w:webHidden/>
          </w:rPr>
          <w:fldChar w:fldCharType="end"/>
        </w:r>
      </w:hyperlink>
    </w:p>
    <w:p w:rsidR="00D061E2" w:rsidRDefault="00D061E2">
      <w:pPr>
        <w:pStyle w:val="TOC1"/>
        <w:rPr>
          <w:rFonts w:cs="Times New Roman"/>
          <w:noProof/>
          <w:lang w:eastAsia="en-AU"/>
        </w:rPr>
      </w:pPr>
      <w:hyperlink w:anchor="_Toc298325007" w:history="1">
        <w:r w:rsidRPr="0044208E">
          <w:rPr>
            <w:rStyle w:val="Hyperlink"/>
            <w:rFonts w:cs="Arial"/>
            <w:noProof/>
          </w:rPr>
          <w:t>Table F.1</w:t>
        </w:r>
        <w:r w:rsidRPr="0044208E">
          <w:rPr>
            <w:rStyle w:val="Hyperlink"/>
            <w:noProof/>
          </w:rPr>
          <w:t xml:space="preserve"> : Case studies</w:t>
        </w:r>
        <w:r>
          <w:rPr>
            <w:noProof/>
            <w:webHidden/>
          </w:rPr>
          <w:tab/>
        </w:r>
        <w:r>
          <w:rPr>
            <w:noProof/>
            <w:webHidden/>
          </w:rPr>
          <w:fldChar w:fldCharType="begin"/>
        </w:r>
        <w:r>
          <w:rPr>
            <w:noProof/>
            <w:webHidden/>
          </w:rPr>
          <w:instrText xml:space="preserve"> PAGEREF _Toc298325007 \h </w:instrText>
        </w:r>
        <w:r w:rsidR="00444B40">
          <w:rPr>
            <w:noProof/>
          </w:rPr>
        </w:r>
        <w:r>
          <w:rPr>
            <w:noProof/>
            <w:webHidden/>
          </w:rPr>
          <w:fldChar w:fldCharType="separate"/>
        </w:r>
        <w:r w:rsidR="00C47959">
          <w:rPr>
            <w:noProof/>
            <w:webHidden/>
          </w:rPr>
          <w:t>52</w:t>
        </w:r>
        <w:r>
          <w:rPr>
            <w:noProof/>
            <w:webHidden/>
          </w:rPr>
          <w:fldChar w:fldCharType="end"/>
        </w:r>
      </w:hyperlink>
    </w:p>
    <w:p w:rsidR="00D061E2" w:rsidRDefault="00D061E2">
      <w:pPr>
        <w:pStyle w:val="TOC1"/>
        <w:rPr>
          <w:rFonts w:cs="Times New Roman"/>
          <w:noProof/>
          <w:lang w:eastAsia="en-AU"/>
        </w:rPr>
      </w:pPr>
      <w:hyperlink w:anchor="_Toc298325008" w:history="1">
        <w:r w:rsidRPr="0044208E">
          <w:rPr>
            <w:rStyle w:val="Hyperlink"/>
            <w:rFonts w:cs="Arial"/>
            <w:noProof/>
          </w:rPr>
          <w:t>Table F.2</w:t>
        </w:r>
        <w:r w:rsidRPr="0044208E">
          <w:rPr>
            <w:rStyle w:val="Hyperlink"/>
            <w:noProof/>
          </w:rPr>
          <w:t xml:space="preserve"> : Potential cost drivers</w:t>
        </w:r>
        <w:r>
          <w:rPr>
            <w:noProof/>
            <w:webHidden/>
          </w:rPr>
          <w:tab/>
        </w:r>
        <w:r>
          <w:rPr>
            <w:noProof/>
            <w:webHidden/>
          </w:rPr>
          <w:fldChar w:fldCharType="begin"/>
        </w:r>
        <w:r>
          <w:rPr>
            <w:noProof/>
            <w:webHidden/>
          </w:rPr>
          <w:instrText xml:space="preserve"> PAGEREF _Toc298325008 \h </w:instrText>
        </w:r>
        <w:r w:rsidR="00444B40">
          <w:rPr>
            <w:noProof/>
          </w:rPr>
        </w:r>
        <w:r>
          <w:rPr>
            <w:noProof/>
            <w:webHidden/>
          </w:rPr>
          <w:fldChar w:fldCharType="separate"/>
        </w:r>
        <w:r w:rsidR="00C47959">
          <w:rPr>
            <w:noProof/>
            <w:webHidden/>
          </w:rPr>
          <w:t>56</w:t>
        </w:r>
        <w:r>
          <w:rPr>
            <w:noProof/>
            <w:webHidden/>
          </w:rPr>
          <w:fldChar w:fldCharType="end"/>
        </w:r>
      </w:hyperlink>
    </w:p>
    <w:p w:rsidR="001A5590" w:rsidRPr="00DE4E85" w:rsidRDefault="001A5590" w:rsidP="0008028A">
      <w:pPr>
        <w:pStyle w:val="Heading1Heading"/>
      </w:pPr>
      <w:r>
        <w:rPr>
          <w:sz w:val="24"/>
          <w:szCs w:val="20"/>
        </w:rPr>
        <w:fldChar w:fldCharType="end"/>
      </w:r>
      <w:r w:rsidRPr="00381087">
        <w:t>Figures</w:t>
      </w:r>
    </w:p>
    <w:p w:rsidR="00D061E2" w:rsidRDefault="001A5590">
      <w:pPr>
        <w:pStyle w:val="TOC1"/>
        <w:rPr>
          <w:rFonts w:cs="Times New Roman"/>
          <w:noProof/>
          <w:lang w:eastAsia="en-AU"/>
        </w:rPr>
      </w:pPr>
      <w:r>
        <w:fldChar w:fldCharType="begin"/>
      </w:r>
      <w:r>
        <w:instrText xml:space="preserve"> TOC \h \z \t "Appendix Figure Caption,1,Caption_Figure,1" </w:instrText>
      </w:r>
      <w:r>
        <w:fldChar w:fldCharType="separate"/>
      </w:r>
      <w:hyperlink w:anchor="_Toc298325009" w:history="1">
        <w:r w:rsidR="00D061E2" w:rsidRPr="002B4D25">
          <w:rPr>
            <w:rStyle w:val="Hyperlink"/>
            <w:rFonts w:cs="Arial"/>
            <w:noProof/>
          </w:rPr>
          <w:t>Figure 3.1</w:t>
        </w:r>
        <w:r w:rsidR="00D061E2" w:rsidRPr="002B4D25">
          <w:rPr>
            <w:rStyle w:val="Hyperlink"/>
            <w:noProof/>
          </w:rPr>
          <w:t xml:space="preserve"> : Schematic representation of funding of research training</w:t>
        </w:r>
        <w:r w:rsidR="00D061E2">
          <w:rPr>
            <w:noProof/>
            <w:webHidden/>
          </w:rPr>
          <w:tab/>
        </w:r>
        <w:r w:rsidR="00D061E2">
          <w:rPr>
            <w:noProof/>
            <w:webHidden/>
          </w:rPr>
          <w:fldChar w:fldCharType="begin"/>
        </w:r>
        <w:r w:rsidR="00D061E2">
          <w:rPr>
            <w:noProof/>
            <w:webHidden/>
          </w:rPr>
          <w:instrText xml:space="preserve"> PAGEREF _Toc298325009 \h </w:instrText>
        </w:r>
        <w:r w:rsidR="00444B40">
          <w:rPr>
            <w:noProof/>
          </w:rPr>
        </w:r>
        <w:r w:rsidR="00D061E2">
          <w:rPr>
            <w:noProof/>
            <w:webHidden/>
          </w:rPr>
          <w:fldChar w:fldCharType="separate"/>
        </w:r>
        <w:r w:rsidR="00C47959">
          <w:rPr>
            <w:noProof/>
            <w:webHidden/>
          </w:rPr>
          <w:t>6</w:t>
        </w:r>
        <w:r w:rsidR="00D061E2">
          <w:rPr>
            <w:noProof/>
            <w:webHidden/>
          </w:rPr>
          <w:fldChar w:fldCharType="end"/>
        </w:r>
      </w:hyperlink>
    </w:p>
    <w:p w:rsidR="001A5590" w:rsidRDefault="001A5590" w:rsidP="002F4901">
      <w:pPr>
        <w:pStyle w:val="TOC1"/>
        <w:sectPr w:rsidR="001A5590" w:rsidSect="00D55D54">
          <w:footerReference w:type="default" r:id="rId11"/>
          <w:pgSz w:w="11906" w:h="16838" w:code="9"/>
          <w:pgMar w:top="2268" w:right="1134" w:bottom="900" w:left="2552" w:header="720" w:footer="720" w:gutter="0"/>
          <w:pgNumType w:fmt="lowerRoman" w:start="3"/>
          <w:cols w:space="720"/>
          <w:docGrid w:linePitch="360"/>
        </w:sectPr>
      </w:pPr>
      <w:r>
        <w:fldChar w:fldCharType="end"/>
      </w:r>
    </w:p>
    <w:p w:rsidR="001A5590" w:rsidRDefault="00A9656D" w:rsidP="0008028A">
      <w:pPr>
        <w:pStyle w:val="Heading1Heading"/>
      </w:pPr>
      <w:bookmarkStart w:id="1" w:name="_Toc228005204"/>
      <w:bookmarkStart w:id="2" w:name="_Toc298324946"/>
      <w:r>
        <w:lastRenderedPageBreak/>
        <w:t>Abbreviations</w:t>
      </w:r>
      <w:bookmarkEnd w:id="1"/>
      <w:bookmarkEnd w:id="2"/>
    </w:p>
    <w:tbl>
      <w:tblPr>
        <w:tblW w:w="0" w:type="auto"/>
        <w:tblBorders>
          <w:top w:val="single" w:sz="4" w:space="0" w:color="002776"/>
          <w:bottom w:val="single" w:sz="4" w:space="0" w:color="002776"/>
        </w:tblBorders>
        <w:tblLook w:val="00A0" w:firstRow="1" w:lastRow="0" w:firstColumn="1" w:lastColumn="0" w:noHBand="0" w:noVBand="0"/>
      </w:tblPr>
      <w:tblGrid>
        <w:gridCol w:w="2588"/>
        <w:gridCol w:w="5848"/>
      </w:tblGrid>
      <w:tr w:rsidR="001A5590" w:rsidTr="00C03B00">
        <w:tc>
          <w:tcPr>
            <w:tcW w:w="2588" w:type="dxa"/>
            <w:tcBorders>
              <w:top w:val="single" w:sz="4" w:space="0" w:color="002776"/>
              <w:bottom w:val="nil"/>
            </w:tcBorders>
          </w:tcPr>
          <w:p w:rsidR="001A5590" w:rsidRDefault="001A5590" w:rsidP="006B51A4">
            <w:pPr>
              <w:pStyle w:val="GlossaryAbbreviation"/>
            </w:pPr>
            <w:r>
              <w:t>APA</w:t>
            </w:r>
          </w:p>
        </w:tc>
        <w:tc>
          <w:tcPr>
            <w:tcW w:w="5848" w:type="dxa"/>
            <w:tcBorders>
              <w:top w:val="single" w:sz="4" w:space="0" w:color="002776"/>
              <w:bottom w:val="nil"/>
            </w:tcBorders>
          </w:tcPr>
          <w:p w:rsidR="001A5590" w:rsidRDefault="001A5590" w:rsidP="006B51A4">
            <w:pPr>
              <w:pStyle w:val="Glossarytext"/>
            </w:pPr>
            <w:r>
              <w:t>Australian Postgraduate Award</w:t>
            </w:r>
          </w:p>
        </w:tc>
      </w:tr>
      <w:tr w:rsidR="001A5590" w:rsidTr="00C03B00">
        <w:tc>
          <w:tcPr>
            <w:tcW w:w="2588" w:type="dxa"/>
          </w:tcPr>
          <w:p w:rsidR="001A5590" w:rsidRDefault="001A5590" w:rsidP="006B51A4">
            <w:pPr>
              <w:pStyle w:val="GlossaryAbbreviation"/>
            </w:pPr>
            <w:r>
              <w:t>ARC</w:t>
            </w:r>
          </w:p>
        </w:tc>
        <w:tc>
          <w:tcPr>
            <w:tcW w:w="5848" w:type="dxa"/>
          </w:tcPr>
          <w:p w:rsidR="001A5590" w:rsidRDefault="001A5590" w:rsidP="006B51A4">
            <w:pPr>
              <w:pStyle w:val="Glossarytext"/>
            </w:pPr>
            <w:r>
              <w:t>Australian Research Council</w:t>
            </w:r>
          </w:p>
        </w:tc>
      </w:tr>
      <w:tr w:rsidR="001A5590" w:rsidTr="00C03B00">
        <w:tc>
          <w:tcPr>
            <w:tcW w:w="2588" w:type="dxa"/>
          </w:tcPr>
          <w:p w:rsidR="001A5590" w:rsidRDefault="001A5590" w:rsidP="006B51A4">
            <w:pPr>
              <w:pStyle w:val="GlossaryAbbreviation"/>
            </w:pPr>
            <w:r>
              <w:t>ARIA+</w:t>
            </w:r>
          </w:p>
        </w:tc>
        <w:tc>
          <w:tcPr>
            <w:tcW w:w="5848" w:type="dxa"/>
          </w:tcPr>
          <w:p w:rsidR="001A5590" w:rsidRDefault="001A5590" w:rsidP="006B51A4">
            <w:pPr>
              <w:pStyle w:val="Glossarytext"/>
            </w:pPr>
            <w:r w:rsidRPr="00917C9D">
              <w:t xml:space="preserve">Accessibility/Remoteness Index of </w:t>
            </w:r>
            <w:smartTag w:uri="urn:schemas-microsoft-com:office:smarttags" w:element="country-region">
              <w:smartTag w:uri="urn:schemas-microsoft-com:office:smarttags" w:element="place">
                <w:r w:rsidRPr="00917C9D">
                  <w:t>Australia</w:t>
                </w:r>
              </w:smartTag>
            </w:smartTag>
            <w:r w:rsidRPr="00917C9D">
              <w:t xml:space="preserve"> Plus</w:t>
            </w:r>
          </w:p>
        </w:tc>
      </w:tr>
      <w:tr w:rsidR="001A5590" w:rsidTr="00C03B00">
        <w:tc>
          <w:tcPr>
            <w:tcW w:w="2588" w:type="dxa"/>
          </w:tcPr>
          <w:p w:rsidR="001A5590" w:rsidRDefault="001A5590" w:rsidP="006B51A4">
            <w:pPr>
              <w:pStyle w:val="GlossaryAbbreviation"/>
            </w:pPr>
            <w:r>
              <w:t>ASCED</w:t>
            </w:r>
          </w:p>
        </w:tc>
        <w:tc>
          <w:tcPr>
            <w:tcW w:w="5848" w:type="dxa"/>
          </w:tcPr>
          <w:p w:rsidR="001A5590" w:rsidRPr="00917C9D" w:rsidRDefault="001A5590" w:rsidP="006B51A4">
            <w:pPr>
              <w:pStyle w:val="Glossarytext"/>
            </w:pPr>
            <w:r>
              <w:t>Australian Standard Classification of Education</w:t>
            </w:r>
          </w:p>
        </w:tc>
      </w:tr>
      <w:tr w:rsidR="001A5590" w:rsidTr="00C03B00">
        <w:tc>
          <w:tcPr>
            <w:tcW w:w="2588" w:type="dxa"/>
          </w:tcPr>
          <w:p w:rsidR="001A5590" w:rsidRDefault="001A5590" w:rsidP="006B51A4">
            <w:pPr>
              <w:pStyle w:val="GlossaryAbbreviation"/>
            </w:pPr>
            <w:r>
              <w:t>CAPa</w:t>
            </w:r>
          </w:p>
        </w:tc>
        <w:tc>
          <w:tcPr>
            <w:tcW w:w="5848" w:type="dxa"/>
          </w:tcPr>
          <w:p w:rsidR="001A5590" w:rsidRDefault="001A5590" w:rsidP="006B51A4">
            <w:pPr>
              <w:pStyle w:val="Glossarytext"/>
            </w:pPr>
            <w:r w:rsidRPr="004245DB">
              <w:t>Council of Australian Postgraduate Associations</w:t>
            </w:r>
          </w:p>
        </w:tc>
      </w:tr>
      <w:tr w:rsidR="001A5590" w:rsidTr="00C03B00">
        <w:tc>
          <w:tcPr>
            <w:tcW w:w="2588" w:type="dxa"/>
          </w:tcPr>
          <w:p w:rsidR="001A5590" w:rsidRDefault="001A5590" w:rsidP="006B51A4">
            <w:pPr>
              <w:pStyle w:val="GlossaryAbbreviation"/>
            </w:pPr>
            <w:r>
              <w:t>DAE</w:t>
            </w:r>
          </w:p>
        </w:tc>
        <w:tc>
          <w:tcPr>
            <w:tcW w:w="5848" w:type="dxa"/>
          </w:tcPr>
          <w:p w:rsidR="001A5590" w:rsidRDefault="001A5590" w:rsidP="006B51A4">
            <w:pPr>
              <w:pStyle w:val="Glossarytext"/>
            </w:pPr>
            <w:r>
              <w:t>Deloitte Access Economics</w:t>
            </w:r>
          </w:p>
        </w:tc>
      </w:tr>
      <w:tr w:rsidR="001A5590" w:rsidTr="00C03B00">
        <w:tc>
          <w:tcPr>
            <w:tcW w:w="2588" w:type="dxa"/>
          </w:tcPr>
          <w:p w:rsidR="001A5590" w:rsidRDefault="001A5590" w:rsidP="006B51A4">
            <w:pPr>
              <w:pStyle w:val="GlossaryAbbreviation"/>
            </w:pPr>
            <w:r>
              <w:t>DIISR</w:t>
            </w:r>
          </w:p>
        </w:tc>
        <w:tc>
          <w:tcPr>
            <w:tcW w:w="5848" w:type="dxa"/>
          </w:tcPr>
          <w:p w:rsidR="001A5590" w:rsidRDefault="001A5590" w:rsidP="006B51A4">
            <w:pPr>
              <w:pStyle w:val="Glossarytext"/>
            </w:pPr>
            <w:r>
              <w:t>Department of Innovation, Industry, Science and Research</w:t>
            </w:r>
          </w:p>
        </w:tc>
      </w:tr>
      <w:tr w:rsidR="001A5590" w:rsidTr="00C03B00">
        <w:tc>
          <w:tcPr>
            <w:tcW w:w="2588" w:type="dxa"/>
          </w:tcPr>
          <w:p w:rsidR="001A5590" w:rsidRDefault="001A5590" w:rsidP="006B51A4">
            <w:pPr>
              <w:pStyle w:val="GlossaryAbbreviation"/>
            </w:pPr>
            <w:r>
              <w:t>EFTSL</w:t>
            </w:r>
          </w:p>
        </w:tc>
        <w:tc>
          <w:tcPr>
            <w:tcW w:w="5848" w:type="dxa"/>
          </w:tcPr>
          <w:p w:rsidR="001A5590" w:rsidRDefault="001A5590" w:rsidP="006B51A4">
            <w:pPr>
              <w:pStyle w:val="Glossarytext"/>
            </w:pPr>
            <w:r>
              <w:t>Equivalent full-time student load</w:t>
            </w:r>
          </w:p>
        </w:tc>
      </w:tr>
      <w:tr w:rsidR="001A5590" w:rsidTr="00C03B00">
        <w:tc>
          <w:tcPr>
            <w:tcW w:w="2588" w:type="dxa"/>
          </w:tcPr>
          <w:p w:rsidR="001A5590" w:rsidRDefault="001A5590" w:rsidP="006B51A4">
            <w:pPr>
              <w:pStyle w:val="GlossaryAbbreviation"/>
            </w:pPr>
            <w:r>
              <w:t>FCRT</w:t>
            </w:r>
          </w:p>
        </w:tc>
        <w:tc>
          <w:tcPr>
            <w:tcW w:w="5848" w:type="dxa"/>
          </w:tcPr>
          <w:p w:rsidR="001A5590" w:rsidRDefault="001A5590" w:rsidP="006B51A4">
            <w:pPr>
              <w:pStyle w:val="Glossarytext"/>
            </w:pPr>
            <w:r>
              <w:t>Full cost of research training</w:t>
            </w:r>
          </w:p>
        </w:tc>
      </w:tr>
      <w:tr w:rsidR="001A5590" w:rsidTr="00C03B00">
        <w:tc>
          <w:tcPr>
            <w:tcW w:w="2588" w:type="dxa"/>
          </w:tcPr>
          <w:p w:rsidR="001A5590" w:rsidRDefault="001A5590" w:rsidP="006B51A4">
            <w:pPr>
              <w:pStyle w:val="GlossaryAbbreviation"/>
            </w:pPr>
            <w:r>
              <w:t>FTE</w:t>
            </w:r>
          </w:p>
        </w:tc>
        <w:tc>
          <w:tcPr>
            <w:tcW w:w="5848" w:type="dxa"/>
          </w:tcPr>
          <w:p w:rsidR="001A5590" w:rsidRDefault="001A5590" w:rsidP="006B51A4">
            <w:pPr>
              <w:pStyle w:val="Glossarytext"/>
            </w:pPr>
            <w:r>
              <w:t>Full-time equivalent</w:t>
            </w:r>
          </w:p>
        </w:tc>
      </w:tr>
      <w:tr w:rsidR="001A5590" w:rsidTr="00C03B00">
        <w:tc>
          <w:tcPr>
            <w:tcW w:w="2588" w:type="dxa"/>
          </w:tcPr>
          <w:p w:rsidR="001A5590" w:rsidRPr="00C03B00" w:rsidRDefault="001A5590" w:rsidP="004245DB">
            <w:pPr>
              <w:pStyle w:val="GlossaryAbbreviation"/>
              <w:rPr>
                <w:caps w:val="0"/>
              </w:rPr>
            </w:pPr>
            <w:r w:rsidRPr="00C03B00">
              <w:rPr>
                <w:caps w:val="0"/>
              </w:rPr>
              <w:t>Go8</w:t>
            </w:r>
          </w:p>
        </w:tc>
        <w:tc>
          <w:tcPr>
            <w:tcW w:w="5848" w:type="dxa"/>
          </w:tcPr>
          <w:p w:rsidR="001A5590" w:rsidRDefault="001A5590" w:rsidP="006B51A4">
            <w:pPr>
              <w:pStyle w:val="Glossarytext"/>
            </w:pPr>
            <w:r>
              <w:t>Group of Eight</w:t>
            </w:r>
          </w:p>
        </w:tc>
      </w:tr>
      <w:tr w:rsidR="001A5590" w:rsidTr="00C03B00">
        <w:tc>
          <w:tcPr>
            <w:tcW w:w="2588" w:type="dxa"/>
          </w:tcPr>
          <w:p w:rsidR="001A5590" w:rsidRDefault="001A5590" w:rsidP="006B51A4">
            <w:pPr>
              <w:pStyle w:val="GlossaryAbbreviation"/>
            </w:pPr>
            <w:r>
              <w:t>HDR</w:t>
            </w:r>
          </w:p>
        </w:tc>
        <w:tc>
          <w:tcPr>
            <w:tcW w:w="5848" w:type="dxa"/>
          </w:tcPr>
          <w:p w:rsidR="001A5590" w:rsidRDefault="001A5590" w:rsidP="006B51A4">
            <w:pPr>
              <w:pStyle w:val="Glossarytext"/>
            </w:pPr>
            <w:r>
              <w:t>Higher degree by research</w:t>
            </w:r>
          </w:p>
        </w:tc>
      </w:tr>
      <w:tr w:rsidR="001A5590" w:rsidTr="00C03B00">
        <w:tc>
          <w:tcPr>
            <w:tcW w:w="2588" w:type="dxa"/>
          </w:tcPr>
          <w:p w:rsidR="001A5590" w:rsidRDefault="001A5590" w:rsidP="006B51A4">
            <w:pPr>
              <w:pStyle w:val="GlossaryAbbreviation"/>
            </w:pPr>
            <w:r>
              <w:t>HECS</w:t>
            </w:r>
          </w:p>
        </w:tc>
        <w:tc>
          <w:tcPr>
            <w:tcW w:w="5848" w:type="dxa"/>
          </w:tcPr>
          <w:p w:rsidR="001A5590" w:rsidRDefault="001A5590" w:rsidP="006B51A4">
            <w:pPr>
              <w:pStyle w:val="Glossarytext"/>
            </w:pPr>
            <w:r w:rsidRPr="00C03B00">
              <w:rPr>
                <w:szCs w:val="22"/>
              </w:rPr>
              <w:t>Higher Education Contribution Scheme</w:t>
            </w:r>
          </w:p>
        </w:tc>
      </w:tr>
      <w:tr w:rsidR="001A5590" w:rsidTr="00C03B00">
        <w:tc>
          <w:tcPr>
            <w:tcW w:w="2588" w:type="dxa"/>
          </w:tcPr>
          <w:p w:rsidR="001A5590" w:rsidRDefault="001A5590" w:rsidP="006B51A4">
            <w:pPr>
              <w:pStyle w:val="GlossaryAbbreviation"/>
            </w:pPr>
            <w:r>
              <w:t>HEFCE</w:t>
            </w:r>
          </w:p>
        </w:tc>
        <w:tc>
          <w:tcPr>
            <w:tcW w:w="5848" w:type="dxa"/>
          </w:tcPr>
          <w:p w:rsidR="001A5590" w:rsidRDefault="001A5590" w:rsidP="006B51A4">
            <w:pPr>
              <w:pStyle w:val="Glossarytext"/>
            </w:pPr>
            <w:r>
              <w:t xml:space="preserve">Higher Education Funding Council for </w:t>
            </w:r>
            <w:smartTag w:uri="urn:schemas-microsoft-com:office:smarttags" w:element="country-region">
              <w:smartTag w:uri="urn:schemas-microsoft-com:office:smarttags" w:element="place">
                <w:r>
                  <w:t>England</w:t>
                </w:r>
              </w:smartTag>
            </w:smartTag>
          </w:p>
        </w:tc>
      </w:tr>
      <w:tr w:rsidR="001A5590" w:rsidTr="00C03B00">
        <w:tc>
          <w:tcPr>
            <w:tcW w:w="2588" w:type="dxa"/>
          </w:tcPr>
          <w:p w:rsidR="001A5590" w:rsidRDefault="001A5590" w:rsidP="006B51A4">
            <w:pPr>
              <w:pStyle w:val="GlossaryAbbreviation"/>
            </w:pPr>
            <w:r>
              <w:t>HEP</w:t>
            </w:r>
          </w:p>
        </w:tc>
        <w:tc>
          <w:tcPr>
            <w:tcW w:w="5848" w:type="dxa"/>
          </w:tcPr>
          <w:p w:rsidR="001A5590" w:rsidRDefault="001A5590" w:rsidP="006B51A4">
            <w:pPr>
              <w:pStyle w:val="Glossarytext"/>
            </w:pPr>
            <w:r>
              <w:t>Higher Education Provider</w:t>
            </w:r>
          </w:p>
        </w:tc>
      </w:tr>
      <w:tr w:rsidR="001A5590" w:rsidTr="00C03B00">
        <w:tc>
          <w:tcPr>
            <w:tcW w:w="2588" w:type="dxa"/>
          </w:tcPr>
          <w:p w:rsidR="001A5590" w:rsidRDefault="001A5590" w:rsidP="006B51A4">
            <w:pPr>
              <w:pStyle w:val="GlossaryAbbreviation"/>
            </w:pPr>
            <w:r>
              <w:t>IPRS</w:t>
            </w:r>
          </w:p>
        </w:tc>
        <w:tc>
          <w:tcPr>
            <w:tcW w:w="5848" w:type="dxa"/>
          </w:tcPr>
          <w:p w:rsidR="001A5590" w:rsidRDefault="001A5590" w:rsidP="006B51A4">
            <w:pPr>
              <w:pStyle w:val="Glossarytext"/>
            </w:pPr>
            <w:r>
              <w:t>International Postgraduate Research Scholarship</w:t>
            </w:r>
          </w:p>
        </w:tc>
      </w:tr>
      <w:tr w:rsidR="001A5590" w:rsidTr="00C03B00">
        <w:tc>
          <w:tcPr>
            <w:tcW w:w="2588" w:type="dxa"/>
          </w:tcPr>
          <w:p w:rsidR="001A5590" w:rsidRDefault="001A5590" w:rsidP="006B51A4">
            <w:pPr>
              <w:pStyle w:val="GlossaryAbbreviation"/>
            </w:pPr>
            <w:r>
              <w:t>IRU</w:t>
            </w:r>
          </w:p>
        </w:tc>
        <w:tc>
          <w:tcPr>
            <w:tcW w:w="5848" w:type="dxa"/>
          </w:tcPr>
          <w:p w:rsidR="001A5590" w:rsidRDefault="001A5590" w:rsidP="006B51A4">
            <w:pPr>
              <w:pStyle w:val="Glossarytext"/>
            </w:pPr>
            <w:r>
              <w:t>Innovative research university</w:t>
            </w:r>
          </w:p>
        </w:tc>
      </w:tr>
      <w:tr w:rsidR="001A5590" w:rsidTr="00C03B00">
        <w:tc>
          <w:tcPr>
            <w:tcW w:w="2588" w:type="dxa"/>
          </w:tcPr>
          <w:p w:rsidR="001A5590" w:rsidRDefault="001A5590" w:rsidP="006B51A4">
            <w:pPr>
              <w:pStyle w:val="GlossaryAbbreviation"/>
            </w:pPr>
            <w:r>
              <w:t>IT</w:t>
            </w:r>
          </w:p>
        </w:tc>
        <w:tc>
          <w:tcPr>
            <w:tcW w:w="5848" w:type="dxa"/>
          </w:tcPr>
          <w:p w:rsidR="001A5590" w:rsidRDefault="001A5590" w:rsidP="006B51A4">
            <w:pPr>
              <w:pStyle w:val="Glossarytext"/>
            </w:pPr>
            <w:r>
              <w:t>Information technology</w:t>
            </w:r>
          </w:p>
        </w:tc>
      </w:tr>
      <w:tr w:rsidR="001A5590" w:rsidTr="00C03B00">
        <w:tc>
          <w:tcPr>
            <w:tcW w:w="2588" w:type="dxa"/>
          </w:tcPr>
          <w:p w:rsidR="001A5590" w:rsidRDefault="001A5590" w:rsidP="006B51A4">
            <w:pPr>
              <w:pStyle w:val="GlossaryAbbreviation"/>
            </w:pPr>
            <w:r>
              <w:t>LAD</w:t>
            </w:r>
          </w:p>
        </w:tc>
        <w:tc>
          <w:tcPr>
            <w:tcW w:w="5848" w:type="dxa"/>
          </w:tcPr>
          <w:p w:rsidR="001A5590" w:rsidRDefault="001A5590" w:rsidP="006B51A4">
            <w:pPr>
              <w:pStyle w:val="Glossarytext"/>
            </w:pPr>
            <w:r>
              <w:t>Least absolute deviations</w:t>
            </w:r>
          </w:p>
        </w:tc>
      </w:tr>
      <w:tr w:rsidR="001A5590" w:rsidTr="00C03B00">
        <w:tc>
          <w:tcPr>
            <w:tcW w:w="2588" w:type="dxa"/>
          </w:tcPr>
          <w:p w:rsidR="001A5590" w:rsidRDefault="001A5590" w:rsidP="006B51A4">
            <w:pPr>
              <w:pStyle w:val="GlossaryAbbreviation"/>
            </w:pPr>
            <w:r>
              <w:t>NHMRC</w:t>
            </w:r>
          </w:p>
        </w:tc>
        <w:tc>
          <w:tcPr>
            <w:tcW w:w="5848" w:type="dxa"/>
          </w:tcPr>
          <w:p w:rsidR="001A5590" w:rsidRDefault="001A5590" w:rsidP="006B51A4">
            <w:pPr>
              <w:pStyle w:val="Glossarytext"/>
            </w:pPr>
            <w:r>
              <w:t>National Health and Medical Research Council</w:t>
            </w:r>
          </w:p>
        </w:tc>
      </w:tr>
      <w:tr w:rsidR="001A5590" w:rsidTr="00C03B00">
        <w:tc>
          <w:tcPr>
            <w:tcW w:w="2588" w:type="dxa"/>
          </w:tcPr>
          <w:p w:rsidR="001A5590" w:rsidRDefault="001A5590" w:rsidP="006B51A4">
            <w:pPr>
              <w:pStyle w:val="GlossaryAbbreviation"/>
            </w:pPr>
            <w:r>
              <w:t>OLS</w:t>
            </w:r>
          </w:p>
        </w:tc>
        <w:tc>
          <w:tcPr>
            <w:tcW w:w="5848" w:type="dxa"/>
          </w:tcPr>
          <w:p w:rsidR="001A5590" w:rsidRDefault="001A5590" w:rsidP="006B51A4">
            <w:pPr>
              <w:pStyle w:val="Glossarytext"/>
            </w:pPr>
            <w:r>
              <w:t>Ordinary least squares</w:t>
            </w:r>
          </w:p>
        </w:tc>
      </w:tr>
      <w:tr w:rsidR="001A5590" w:rsidTr="00C03B00">
        <w:tc>
          <w:tcPr>
            <w:tcW w:w="2588" w:type="dxa"/>
          </w:tcPr>
          <w:p w:rsidR="001A5590" w:rsidRDefault="001A5590" w:rsidP="006B51A4">
            <w:pPr>
              <w:pStyle w:val="GlossaryAbbreviation"/>
            </w:pPr>
            <w:r>
              <w:t>R&amp;D</w:t>
            </w:r>
          </w:p>
        </w:tc>
        <w:tc>
          <w:tcPr>
            <w:tcW w:w="5848" w:type="dxa"/>
          </w:tcPr>
          <w:p w:rsidR="001A5590" w:rsidRDefault="001A5590" w:rsidP="006B51A4">
            <w:pPr>
              <w:pStyle w:val="Glossarytext"/>
            </w:pPr>
            <w:r>
              <w:t>Research and development</w:t>
            </w:r>
          </w:p>
        </w:tc>
      </w:tr>
      <w:tr w:rsidR="001A5590" w:rsidTr="00C03B00">
        <w:tc>
          <w:tcPr>
            <w:tcW w:w="2588" w:type="dxa"/>
          </w:tcPr>
          <w:p w:rsidR="001A5590" w:rsidRDefault="001A5590" w:rsidP="006B51A4">
            <w:pPr>
              <w:pStyle w:val="GlossaryAbbreviation"/>
            </w:pPr>
            <w:r>
              <w:t>RTS</w:t>
            </w:r>
          </w:p>
        </w:tc>
        <w:tc>
          <w:tcPr>
            <w:tcW w:w="5848" w:type="dxa"/>
          </w:tcPr>
          <w:p w:rsidR="001A5590" w:rsidRDefault="001A5590" w:rsidP="006B51A4">
            <w:pPr>
              <w:pStyle w:val="Glossarytext"/>
            </w:pPr>
            <w:r>
              <w:t>Research Training Scheme</w:t>
            </w:r>
          </w:p>
        </w:tc>
      </w:tr>
      <w:tr w:rsidR="001A5590" w:rsidTr="00C03B00">
        <w:tc>
          <w:tcPr>
            <w:tcW w:w="2588" w:type="dxa"/>
          </w:tcPr>
          <w:p w:rsidR="001A5590" w:rsidRDefault="001A5590" w:rsidP="006B51A4">
            <w:pPr>
              <w:pStyle w:val="GlossaryAbbreviation"/>
            </w:pPr>
            <w:r>
              <w:t>RWS</w:t>
            </w:r>
          </w:p>
        </w:tc>
        <w:tc>
          <w:tcPr>
            <w:tcW w:w="5848" w:type="dxa"/>
          </w:tcPr>
          <w:p w:rsidR="001A5590" w:rsidRDefault="001A5590" w:rsidP="006B51A4">
            <w:pPr>
              <w:pStyle w:val="Glossarytext"/>
            </w:pPr>
            <w:r>
              <w:rPr>
                <w:szCs w:val="22"/>
              </w:rPr>
              <w:t xml:space="preserve">Research </w:t>
            </w:r>
            <w:r w:rsidRPr="00AC684C">
              <w:rPr>
                <w:szCs w:val="22"/>
              </w:rPr>
              <w:t>Workforce Strategy</w:t>
            </w:r>
          </w:p>
        </w:tc>
      </w:tr>
      <w:tr w:rsidR="001A5590" w:rsidTr="00C03B00">
        <w:tc>
          <w:tcPr>
            <w:tcW w:w="2588" w:type="dxa"/>
          </w:tcPr>
          <w:p w:rsidR="001A5590" w:rsidRDefault="001A5590" w:rsidP="006B51A4">
            <w:pPr>
              <w:pStyle w:val="GlossaryAbbreviation"/>
            </w:pPr>
            <w:r>
              <w:t>SRE</w:t>
            </w:r>
          </w:p>
        </w:tc>
        <w:tc>
          <w:tcPr>
            <w:tcW w:w="5848" w:type="dxa"/>
          </w:tcPr>
          <w:p w:rsidR="001A5590" w:rsidRDefault="001A5590" w:rsidP="006B51A4">
            <w:pPr>
              <w:pStyle w:val="Glossarytext"/>
            </w:pPr>
            <w:r>
              <w:t>Sustainable Research Excellence</w:t>
            </w:r>
          </w:p>
        </w:tc>
      </w:tr>
      <w:tr w:rsidR="001A5590" w:rsidTr="00C03B00">
        <w:tc>
          <w:tcPr>
            <w:tcW w:w="2588" w:type="dxa"/>
          </w:tcPr>
          <w:p w:rsidR="001A5590" w:rsidRDefault="001A5590" w:rsidP="006B51A4">
            <w:pPr>
              <w:pStyle w:val="GlossaryAbbreviation"/>
            </w:pPr>
            <w:r>
              <w:t>TRAC</w:t>
            </w:r>
          </w:p>
        </w:tc>
        <w:tc>
          <w:tcPr>
            <w:tcW w:w="5848" w:type="dxa"/>
          </w:tcPr>
          <w:p w:rsidR="001A5590" w:rsidRDefault="001A5590" w:rsidP="006B51A4">
            <w:pPr>
              <w:pStyle w:val="Glossarytext"/>
            </w:pPr>
            <w:r>
              <w:t>Transparent Approach to Costing</w:t>
            </w:r>
          </w:p>
        </w:tc>
      </w:tr>
      <w:tr w:rsidR="001A5590" w:rsidTr="00C03B00">
        <w:tc>
          <w:tcPr>
            <w:tcW w:w="2588" w:type="dxa"/>
            <w:tcBorders>
              <w:bottom w:val="single" w:sz="4" w:space="0" w:color="002776"/>
            </w:tcBorders>
          </w:tcPr>
          <w:p w:rsidR="001A5590" w:rsidRDefault="001A5590" w:rsidP="00B82E0B">
            <w:pPr>
              <w:pStyle w:val="GlossaryAbbreviation"/>
            </w:pPr>
            <w:smartTag w:uri="urn:schemas-microsoft-com:office:smarttags" w:element="country-region">
              <w:smartTag w:uri="urn:schemas-microsoft-com:office:smarttags" w:element="place">
                <w:r>
                  <w:t>USA</w:t>
                </w:r>
              </w:smartTag>
            </w:smartTag>
          </w:p>
        </w:tc>
        <w:tc>
          <w:tcPr>
            <w:tcW w:w="5848" w:type="dxa"/>
            <w:tcBorders>
              <w:bottom w:val="single" w:sz="4" w:space="0" w:color="002776"/>
            </w:tcBorders>
          </w:tcPr>
          <w:p w:rsidR="001A5590" w:rsidRDefault="001A5590" w:rsidP="00B82E0B">
            <w:pPr>
              <w:pStyle w:val="Glossarytext"/>
            </w:pPr>
            <w:smartTag w:uri="urn:schemas-microsoft-com:office:smarttags" w:element="country-region">
              <w:smartTag w:uri="urn:schemas-microsoft-com:office:smarttags" w:element="place">
                <w:r>
                  <w:t>United States of America</w:t>
                </w:r>
              </w:smartTag>
            </w:smartTag>
          </w:p>
        </w:tc>
      </w:tr>
    </w:tbl>
    <w:p w:rsidR="001A5590" w:rsidRDefault="001A5590" w:rsidP="00FD179B">
      <w:pPr>
        <w:pStyle w:val="BodyText"/>
        <w:sectPr w:rsidR="001A5590" w:rsidSect="00FF3042">
          <w:footerReference w:type="default" r:id="rId12"/>
          <w:pgSz w:w="11906" w:h="16838" w:code="9"/>
          <w:pgMar w:top="2268" w:right="1134" w:bottom="1134" w:left="2552" w:header="720" w:footer="720" w:gutter="0"/>
          <w:pgNumType w:fmt="lowerRoman" w:start="1"/>
          <w:cols w:space="720"/>
          <w:docGrid w:linePitch="360"/>
        </w:sectPr>
      </w:pPr>
    </w:p>
    <w:p w:rsidR="001A5590" w:rsidRDefault="001A5590" w:rsidP="0008028A">
      <w:pPr>
        <w:pStyle w:val="Heading1Heading"/>
      </w:pPr>
      <w:bookmarkStart w:id="3" w:name="_Toc215906318"/>
      <w:bookmarkStart w:id="4" w:name="_Toc227746675"/>
      <w:bookmarkStart w:id="5" w:name="_Toc227746679"/>
      <w:bookmarkStart w:id="6" w:name="_Toc227746683"/>
      <w:bookmarkStart w:id="7" w:name="_Toc227746687"/>
      <w:bookmarkStart w:id="8" w:name="_Toc227748309"/>
      <w:bookmarkStart w:id="9" w:name="_Toc227748327"/>
      <w:bookmarkStart w:id="10" w:name="_Toc227748331"/>
      <w:bookmarkStart w:id="11" w:name="_Toc227748335"/>
      <w:bookmarkStart w:id="12" w:name="_Toc227748374"/>
      <w:bookmarkStart w:id="13" w:name="_Toc227748378"/>
      <w:bookmarkStart w:id="14" w:name="_Toc227748382"/>
      <w:bookmarkStart w:id="15" w:name="_Toc227748494"/>
      <w:bookmarkStart w:id="16" w:name="_Toc227748498"/>
      <w:bookmarkStart w:id="17" w:name="_Toc228005205"/>
      <w:bookmarkStart w:id="18" w:name="_Toc228092496"/>
      <w:bookmarkStart w:id="19" w:name="_Toc228264951"/>
      <w:bookmarkStart w:id="20" w:name="_Toc228264973"/>
      <w:bookmarkStart w:id="21" w:name="_Toc228264977"/>
      <w:bookmarkStart w:id="22" w:name="_Toc228264981"/>
      <w:bookmarkStart w:id="23" w:name="_Toc228264985"/>
      <w:bookmarkStart w:id="24" w:name="_Toc228265215"/>
      <w:bookmarkStart w:id="25" w:name="_Toc298324947"/>
      <w:r w:rsidRPr="00014351">
        <w:lastRenderedPageBreak/>
        <w:t xml:space="preserve">Executive </w:t>
      </w:r>
      <w:r w:rsidRPr="00221A8A">
        <w:t>Summary</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1A5590" w:rsidRDefault="001A5590">
      <w:pPr>
        <w:pStyle w:val="BodyText"/>
      </w:pPr>
      <w:r>
        <w:t xml:space="preserve">The Research Training Scheme (RTS) supports Higher Education Providers (HEPs) in meeting the costs of research training for domestic higher-degree-by-research (HDR) students.  RTS funding is administered by the Department of Innovation, Industry, Science and Research (DIISR) under the </w:t>
      </w:r>
      <w:r w:rsidRPr="002939B3">
        <w:rPr>
          <w:rStyle w:val="italicChar"/>
        </w:rPr>
        <w:t>Higher Education Support Act 2003</w:t>
      </w:r>
      <w:r>
        <w:t xml:space="preserve"> and is provided as a block grant to eligible HEPs on a calendar year basis.  RTS funds are not tied to any particular programs or projects</w:t>
      </w:r>
      <w:r w:rsidR="00B0395E">
        <w:t>,</w:t>
      </w:r>
      <w:r>
        <w:t xml:space="preserve"> thus giving universities the flexibility to determine how the funds are allocated according to their own internal cost structures.</w:t>
      </w:r>
    </w:p>
    <w:p w:rsidR="001A5590" w:rsidRDefault="001A5590">
      <w:pPr>
        <w:pStyle w:val="BodyText"/>
      </w:pPr>
      <w:r>
        <w:t>Recent consultations with stakeholders during the development of the Australian Government’s Research Workforce Strategy (RWS) have raised concerns that the current method for calculating RTS funds has resulted in mismatches between the full cost of research training and the funding allocation. Concerns include the adequacy of the low-cost/high cost ratio used for weighting completions in different disciplines.  Ultimately, the current approach to research funding was described as untenable in the context of the Government’s aspirations for increased business investment in research and the attainment of its</w:t>
      </w:r>
      <w:r w:rsidRPr="00372A21">
        <w:t xml:space="preserve"> </w:t>
      </w:r>
      <w:r>
        <w:t>goals for higher education.</w:t>
      </w:r>
    </w:p>
    <w:p w:rsidR="001A5590" w:rsidRDefault="001A5590">
      <w:pPr>
        <w:pStyle w:val="BodyText"/>
      </w:pPr>
      <w:r w:rsidRPr="009B7EB9">
        <w:t xml:space="preserve">The RWS </w:t>
      </w:r>
      <w:r w:rsidRPr="00C72F8E">
        <w:t xml:space="preserve">priorities include an examination of the </w:t>
      </w:r>
      <w:r>
        <w:t xml:space="preserve">current </w:t>
      </w:r>
      <w:r w:rsidRPr="00C72F8E">
        <w:t xml:space="preserve">Australian research training support arrangements. This </w:t>
      </w:r>
      <w:r w:rsidR="00B0395E">
        <w:t xml:space="preserve">work </w:t>
      </w:r>
      <w:r w:rsidRPr="00C72F8E">
        <w:t>will be underpinned by a deeper understanding of the costs of training a research student.</w:t>
      </w:r>
      <w:r w:rsidRPr="009B7EB9">
        <w:t xml:space="preserve"> </w:t>
      </w:r>
    </w:p>
    <w:p w:rsidR="001A5590" w:rsidRPr="0008028A" w:rsidRDefault="001A5590" w:rsidP="0008028A">
      <w:pPr>
        <w:pStyle w:val="Heading2Appendix"/>
      </w:pPr>
      <w:r w:rsidRPr="0008028A">
        <w:t>International literature informing this analysis</w:t>
      </w:r>
    </w:p>
    <w:p w:rsidR="001A5590" w:rsidRPr="006D4795" w:rsidRDefault="001A5590" w:rsidP="006D4795">
      <w:pPr>
        <w:pStyle w:val="BodyText"/>
      </w:pPr>
      <w:r w:rsidRPr="006D4795">
        <w:t>Two countries—</w:t>
      </w:r>
      <w:smartTag w:uri="urn:schemas-microsoft-com:office:smarttags" w:element="country-region">
        <w:smartTag w:uri="urn:schemas-microsoft-com:office:smarttags" w:element="place">
          <w:r w:rsidRPr="006D4795">
            <w:t>England</w:t>
          </w:r>
        </w:smartTag>
      </w:smartTag>
      <w:r w:rsidRPr="006D4795">
        <w:t xml:space="preserve"> and the United States of America</w:t>
      </w:r>
      <w:r w:rsidR="00FD17E5" w:rsidRPr="006D4795">
        <w:t xml:space="preserve"> (USA) </w:t>
      </w:r>
      <w:r w:rsidRPr="006D4795">
        <w:t>—were found to have examined the actual costs of research training in depth.  To calculate research funding allocations, the Higher Education Funding Council for England (HEFCE) divided all disciplines into three bands: Band A includes high-cost laboratory and clinical disciplines; Band B includes intermediate cost (part-laboratory) disciplines; and Band C includes other library-based disciplines.  The average costs of research training in each band were found to be £29,106, £23,815 and £17,461, respectively, in 2003/04, reflecting the costs of the activities that comprise these research types.</w:t>
      </w:r>
    </w:p>
    <w:p w:rsidR="001A5590" w:rsidRDefault="001A5590" w:rsidP="00C65712">
      <w:pPr>
        <w:pStyle w:val="BodyText"/>
      </w:pPr>
      <w:r>
        <w:t xml:space="preserve">In the </w:t>
      </w:r>
      <w:smartTag w:uri="urn:schemas-microsoft-com:office:smarttags" w:element="country-region">
        <w:smartTag w:uri="urn:schemas-microsoft-com:office:smarttags" w:element="place">
          <w:r>
            <w:t>USA</w:t>
          </w:r>
        </w:smartTag>
      </w:smartTag>
      <w:r>
        <w:t xml:space="preserve"> students predominantly fund their own studies through fees.  Fees are set by each university with reference to discipline differences set by individual faculties/departments with a range of fees from around US$12,000 to over US$40,000.  </w:t>
      </w:r>
    </w:p>
    <w:p w:rsidR="001A5590" w:rsidRPr="0008028A" w:rsidRDefault="001A5590" w:rsidP="0008028A">
      <w:pPr>
        <w:pStyle w:val="Heading2Appendix"/>
      </w:pPr>
      <w:r w:rsidRPr="0008028A">
        <w:t>The full cost of research training at Australian universities</w:t>
      </w:r>
    </w:p>
    <w:p w:rsidR="00B449CE" w:rsidRDefault="001A5590" w:rsidP="00B449CE">
      <w:pPr>
        <w:pStyle w:val="BodyText"/>
      </w:pPr>
      <w:r>
        <w:t xml:space="preserve">This report assesses the full cost of research training in </w:t>
      </w:r>
      <w:smartTag w:uri="urn:schemas-microsoft-com:office:smarttags" w:element="country-region">
        <w:smartTag w:uri="urn:schemas-microsoft-com:office:smarttags" w:element="place">
          <w:r>
            <w:t>Australia</w:t>
          </w:r>
        </w:smartTag>
      </w:smartTag>
      <w:r>
        <w:t xml:space="preserve"> based on data collected from universities by DIISR.  Research training costs were found to vary significantly across the 31 participating universities.  Costs ranged from around $18,000 per RTS equivalent full</w:t>
      </w:r>
      <w:r>
        <w:noBreakHyphen/>
        <w:t xml:space="preserve">time student load (EFTSL) to $56,000 per RTS EFTSL, with an average cost of $33,788 and a median cost of $32,789.  </w:t>
      </w:r>
    </w:p>
    <w:p w:rsidR="001A5590" w:rsidRDefault="001A5590" w:rsidP="00B449CE">
      <w:pPr>
        <w:pStyle w:val="BodyText"/>
      </w:pPr>
      <w:r>
        <w:t xml:space="preserve">Costs were further broken into direct and indirect costs.  The major contributor to direct costs was supervisor salaries and on-costs, ranging from 13% per RTS EFTSL to close to 100%.  </w:t>
      </w:r>
    </w:p>
    <w:p w:rsidR="001A5590" w:rsidRPr="0008028A" w:rsidRDefault="001A5590" w:rsidP="0008028A">
      <w:pPr>
        <w:pStyle w:val="Heading2Appendix"/>
      </w:pPr>
      <w:r w:rsidRPr="0008028A">
        <w:lastRenderedPageBreak/>
        <w:t xml:space="preserve">Drivers of research training costs – a basic snapshot </w:t>
      </w:r>
    </w:p>
    <w:p w:rsidR="001A5590" w:rsidRDefault="001A5590" w:rsidP="00B449CE">
      <w:pPr>
        <w:pStyle w:val="BodyText"/>
      </w:pPr>
      <w:r>
        <w:t xml:space="preserve">Different factors thought to have an impact on research training costs were analysed.  Basic statistical analysis showed some of these factors to be linked to research training costs but the associations were weak (see </w:t>
      </w:r>
      <w:r>
        <w:fldChar w:fldCharType="begin"/>
      </w:r>
      <w:r>
        <w:instrText xml:space="preserve"> REF _Ref296428647 \r \h </w:instrText>
      </w:r>
      <w:r w:rsidR="00B449CE">
        <w:instrText xml:space="preserve"> \* MERGEFORMAT </w:instrText>
      </w:r>
      <w:r>
        <w:fldChar w:fldCharType="separate"/>
      </w:r>
      <w:r w:rsidR="00A01A35">
        <w:t>Table i</w:t>
      </w:r>
      <w:r>
        <w:fldChar w:fldCharType="end"/>
      </w:r>
      <w:r>
        <w:t>).</w:t>
      </w:r>
    </w:p>
    <w:p w:rsidR="001A5590" w:rsidRDefault="001A5590" w:rsidP="001A5590">
      <w:pPr>
        <w:pStyle w:val="ExecTableCaption"/>
        <w:numPr>
          <w:ilvl w:val="1"/>
          <w:numId w:val="23"/>
        </w:numPr>
        <w:ind w:left="0" w:firstLine="0"/>
        <w:rPr>
          <w:lang w:eastAsia="en-AU"/>
        </w:rPr>
      </w:pPr>
      <w:bookmarkStart w:id="26" w:name="_Ref296428647"/>
      <w:bookmarkStart w:id="27" w:name="_Ref296429476"/>
      <w:bookmarkStart w:id="28" w:name="_Ref297707305"/>
      <w:r>
        <w:rPr>
          <w:lang w:eastAsia="en-AU"/>
        </w:rPr>
        <w:t>:</w:t>
      </w:r>
      <w:bookmarkEnd w:id="26"/>
      <w:r>
        <w:rPr>
          <w:lang w:eastAsia="en-AU"/>
        </w:rPr>
        <w:t xml:space="preserve"> Cost drivers for the full cost of research training per RTS EFTSL</w:t>
      </w:r>
      <w:bookmarkEnd w:id="27"/>
      <w:bookmarkEnd w:id="28"/>
    </w:p>
    <w:tbl>
      <w:tblPr>
        <w:tblW w:w="0" w:type="auto"/>
        <w:jc w:val="center"/>
        <w:tblBorders>
          <w:top w:val="single" w:sz="12" w:space="0" w:color="002776"/>
          <w:bottom w:val="single" w:sz="12" w:space="0" w:color="002776"/>
          <w:insideH w:val="single" w:sz="4" w:space="0" w:color="A6A6A6"/>
          <w:insideV w:val="single" w:sz="4" w:space="0" w:color="A6A6A6"/>
        </w:tblBorders>
        <w:tblLayout w:type="fixed"/>
        <w:tblLook w:val="00A0" w:firstRow="1" w:lastRow="0" w:firstColumn="1" w:lastColumn="0" w:noHBand="0" w:noVBand="0"/>
      </w:tblPr>
      <w:tblGrid>
        <w:gridCol w:w="4218"/>
        <w:gridCol w:w="4218"/>
      </w:tblGrid>
      <w:tr w:rsidR="001A5590" w:rsidTr="00C65712">
        <w:trPr>
          <w:cantSplit/>
          <w:jc w:val="center"/>
        </w:trPr>
        <w:tc>
          <w:tcPr>
            <w:tcW w:w="4218" w:type="dxa"/>
            <w:tcBorders>
              <w:top w:val="single" w:sz="12" w:space="0" w:color="002776"/>
            </w:tcBorders>
          </w:tcPr>
          <w:p w:rsidR="001A5590" w:rsidRPr="0008028A" w:rsidRDefault="001A5590" w:rsidP="0008028A">
            <w:pPr>
              <w:pStyle w:val="TableHeadingCentre"/>
            </w:pPr>
            <w:r w:rsidRPr="0008028A">
              <w:t>Cost driver</w:t>
            </w:r>
          </w:p>
        </w:tc>
        <w:tc>
          <w:tcPr>
            <w:tcW w:w="4218" w:type="dxa"/>
            <w:tcBorders>
              <w:top w:val="single" w:sz="12" w:space="0" w:color="002776"/>
            </w:tcBorders>
          </w:tcPr>
          <w:p w:rsidR="001A5590" w:rsidRPr="0008028A" w:rsidRDefault="001A5590" w:rsidP="0008028A">
            <w:pPr>
              <w:pStyle w:val="TableHeadingCentre"/>
            </w:pPr>
            <w:r w:rsidRPr="0008028A">
              <w:t>Correlation with cost of research training per RTS EFTSL*</w:t>
            </w:r>
          </w:p>
        </w:tc>
      </w:tr>
      <w:tr w:rsidR="001A5590" w:rsidRPr="00C65712" w:rsidTr="00C65712">
        <w:trPr>
          <w:cantSplit/>
          <w:jc w:val="center"/>
        </w:trPr>
        <w:tc>
          <w:tcPr>
            <w:tcW w:w="4218" w:type="dxa"/>
          </w:tcPr>
          <w:p w:rsidR="001A5590" w:rsidRPr="0008028A" w:rsidRDefault="001A5590" w:rsidP="0008028A">
            <w:pPr>
              <w:pStyle w:val="TabletextLeft"/>
            </w:pPr>
            <w:r w:rsidRPr="0008028A">
              <w:t>Total number of student enrolments at the university (undergraduate and postgraduate)</w:t>
            </w:r>
          </w:p>
        </w:tc>
        <w:tc>
          <w:tcPr>
            <w:tcW w:w="4218" w:type="dxa"/>
          </w:tcPr>
          <w:p w:rsidR="001A5590" w:rsidRPr="00C65712" w:rsidRDefault="001A5590" w:rsidP="0008028A">
            <w:pPr>
              <w:pStyle w:val="TabletextCentre"/>
            </w:pPr>
            <w:r w:rsidRPr="00C65712">
              <w:t>0.07</w:t>
            </w:r>
          </w:p>
        </w:tc>
      </w:tr>
      <w:tr w:rsidR="001A5590" w:rsidRPr="00C65712" w:rsidTr="00C65712">
        <w:trPr>
          <w:cantSplit/>
          <w:jc w:val="center"/>
        </w:trPr>
        <w:tc>
          <w:tcPr>
            <w:tcW w:w="4218" w:type="dxa"/>
          </w:tcPr>
          <w:p w:rsidR="001A5590" w:rsidRPr="0008028A" w:rsidRDefault="001A5590" w:rsidP="0008028A">
            <w:pPr>
              <w:pStyle w:val="TabletextLeft"/>
            </w:pPr>
            <w:r w:rsidRPr="0008028A">
              <w:t xml:space="preserve">Measure of research intensity - total HDR (Masters and PhD) EFTSL </w:t>
            </w:r>
          </w:p>
        </w:tc>
        <w:tc>
          <w:tcPr>
            <w:tcW w:w="4218" w:type="dxa"/>
          </w:tcPr>
          <w:p w:rsidR="001A5590" w:rsidRPr="00C65712" w:rsidRDefault="001A5590" w:rsidP="0008028A">
            <w:pPr>
              <w:pStyle w:val="TabletextCentre"/>
            </w:pPr>
            <w:r w:rsidRPr="00C65712">
              <w:t>0.06</w:t>
            </w:r>
          </w:p>
        </w:tc>
      </w:tr>
      <w:tr w:rsidR="001A5590" w:rsidRPr="00C65712" w:rsidTr="00C65712">
        <w:trPr>
          <w:cantSplit/>
          <w:jc w:val="center"/>
        </w:trPr>
        <w:tc>
          <w:tcPr>
            <w:tcW w:w="4218" w:type="dxa"/>
          </w:tcPr>
          <w:p w:rsidR="001A5590" w:rsidRPr="0008028A" w:rsidRDefault="001A5590" w:rsidP="0008028A">
            <w:pPr>
              <w:pStyle w:val="TabletextLeft"/>
            </w:pPr>
            <w:r w:rsidRPr="0008028A">
              <w:t>Measure of research intensity - ratio of HDR candidates to total student enrolments</w:t>
            </w:r>
          </w:p>
        </w:tc>
        <w:tc>
          <w:tcPr>
            <w:tcW w:w="4218" w:type="dxa"/>
          </w:tcPr>
          <w:p w:rsidR="001A5590" w:rsidRPr="00C65712" w:rsidRDefault="001A5590" w:rsidP="0008028A">
            <w:pPr>
              <w:pStyle w:val="TabletextCentre"/>
            </w:pPr>
            <w:r w:rsidRPr="00C65712">
              <w:t>0.05</w:t>
            </w:r>
          </w:p>
        </w:tc>
      </w:tr>
      <w:tr w:rsidR="001A5590" w:rsidRPr="00C65712" w:rsidTr="00C65712">
        <w:trPr>
          <w:cantSplit/>
          <w:jc w:val="center"/>
        </w:trPr>
        <w:tc>
          <w:tcPr>
            <w:tcW w:w="4218" w:type="dxa"/>
          </w:tcPr>
          <w:p w:rsidR="001A5590" w:rsidRPr="0008028A" w:rsidRDefault="001A5590" w:rsidP="0008028A">
            <w:pPr>
              <w:pStyle w:val="TabletextLeft"/>
            </w:pPr>
            <w:r w:rsidRPr="0008028A">
              <w:t>Ratio of RTS candidates to HDR candidates</w:t>
            </w:r>
          </w:p>
        </w:tc>
        <w:tc>
          <w:tcPr>
            <w:tcW w:w="4218" w:type="dxa"/>
          </w:tcPr>
          <w:p w:rsidR="001A5590" w:rsidRPr="00C65712" w:rsidRDefault="001A5590" w:rsidP="0008028A">
            <w:pPr>
              <w:pStyle w:val="TabletextCentre"/>
            </w:pPr>
            <w:r w:rsidRPr="00C65712">
              <w:t>-0.05</w:t>
            </w:r>
          </w:p>
        </w:tc>
      </w:tr>
      <w:tr w:rsidR="001A5590" w:rsidRPr="00C65712" w:rsidTr="00C65712">
        <w:trPr>
          <w:cantSplit/>
          <w:jc w:val="center"/>
        </w:trPr>
        <w:tc>
          <w:tcPr>
            <w:tcW w:w="4218" w:type="dxa"/>
          </w:tcPr>
          <w:p w:rsidR="001A5590" w:rsidRPr="0008028A" w:rsidRDefault="001A5590" w:rsidP="0008028A">
            <w:pPr>
              <w:pStyle w:val="TabletextLeft"/>
            </w:pPr>
            <w:r w:rsidRPr="0008028A">
              <w:t>Ratio of Masters HDR EFTSL to PhD HDR EFTSL</w:t>
            </w:r>
          </w:p>
        </w:tc>
        <w:tc>
          <w:tcPr>
            <w:tcW w:w="4218" w:type="dxa"/>
          </w:tcPr>
          <w:p w:rsidR="001A5590" w:rsidRPr="00C65712" w:rsidRDefault="001A5590" w:rsidP="0008028A">
            <w:pPr>
              <w:pStyle w:val="TabletextCentre"/>
            </w:pPr>
            <w:r w:rsidRPr="00C65712">
              <w:t>-0.20</w:t>
            </w:r>
          </w:p>
        </w:tc>
      </w:tr>
      <w:tr w:rsidR="001A5590" w:rsidRPr="00C65712" w:rsidTr="00C65712">
        <w:trPr>
          <w:cantSplit/>
          <w:jc w:val="center"/>
        </w:trPr>
        <w:tc>
          <w:tcPr>
            <w:tcW w:w="4218" w:type="dxa"/>
          </w:tcPr>
          <w:p w:rsidR="001A5590" w:rsidRPr="0008028A" w:rsidRDefault="001A5590" w:rsidP="0008028A">
            <w:pPr>
              <w:pStyle w:val="TabletextLeft"/>
            </w:pPr>
            <w:r w:rsidRPr="0008028A">
              <w:t>Ratio of part-time to full-time RTS candidates</w:t>
            </w:r>
          </w:p>
        </w:tc>
        <w:tc>
          <w:tcPr>
            <w:tcW w:w="4218" w:type="dxa"/>
          </w:tcPr>
          <w:p w:rsidR="001A5590" w:rsidRPr="00C65712" w:rsidRDefault="001A5590" w:rsidP="0008028A">
            <w:pPr>
              <w:pStyle w:val="TabletextCentre"/>
            </w:pPr>
            <w:r w:rsidRPr="00C65712">
              <w:t>-0.40</w:t>
            </w:r>
          </w:p>
        </w:tc>
      </w:tr>
      <w:tr w:rsidR="001A5590" w:rsidRPr="00C65712" w:rsidTr="00C65712">
        <w:trPr>
          <w:cantSplit/>
          <w:jc w:val="center"/>
        </w:trPr>
        <w:tc>
          <w:tcPr>
            <w:tcW w:w="4218" w:type="dxa"/>
          </w:tcPr>
          <w:p w:rsidR="001A5590" w:rsidRPr="0008028A" w:rsidRDefault="001A5590" w:rsidP="0008028A">
            <w:pPr>
              <w:pStyle w:val="TabletextLeft"/>
            </w:pPr>
            <w:r w:rsidRPr="0008028A">
              <w:t>Ratio of RTS candidates studying on-campus to RTS candidates studying at a distance.</w:t>
            </w:r>
          </w:p>
        </w:tc>
        <w:tc>
          <w:tcPr>
            <w:tcW w:w="4218" w:type="dxa"/>
          </w:tcPr>
          <w:p w:rsidR="001A5590" w:rsidRPr="00C65712" w:rsidRDefault="001A5590" w:rsidP="0008028A">
            <w:pPr>
              <w:pStyle w:val="TabletextCentre"/>
            </w:pPr>
            <w:r w:rsidRPr="00C65712">
              <w:t>0.09</w:t>
            </w:r>
          </w:p>
        </w:tc>
      </w:tr>
      <w:tr w:rsidR="001A5590" w:rsidRPr="00C65712" w:rsidTr="00C65712">
        <w:trPr>
          <w:cantSplit/>
          <w:jc w:val="center"/>
        </w:trPr>
        <w:tc>
          <w:tcPr>
            <w:tcW w:w="4218" w:type="dxa"/>
          </w:tcPr>
          <w:p w:rsidR="001A5590" w:rsidRPr="0008028A" w:rsidRDefault="001A5590" w:rsidP="0008028A">
            <w:pPr>
              <w:pStyle w:val="TabletextLeft"/>
            </w:pPr>
            <w:r w:rsidRPr="0008028A">
              <w:t>Research active staff per HDR EFTSL</w:t>
            </w:r>
          </w:p>
        </w:tc>
        <w:tc>
          <w:tcPr>
            <w:tcW w:w="4218" w:type="dxa"/>
          </w:tcPr>
          <w:p w:rsidR="001A5590" w:rsidRPr="00C65712" w:rsidRDefault="001A5590" w:rsidP="0008028A">
            <w:pPr>
              <w:pStyle w:val="TabletextCentre"/>
            </w:pPr>
            <w:r w:rsidRPr="00C65712">
              <w:t>0.05</w:t>
            </w:r>
          </w:p>
        </w:tc>
      </w:tr>
      <w:tr w:rsidR="001A5590" w:rsidRPr="00C65712" w:rsidTr="00C65712">
        <w:trPr>
          <w:cantSplit/>
          <w:jc w:val="center"/>
        </w:trPr>
        <w:tc>
          <w:tcPr>
            <w:tcW w:w="4218" w:type="dxa"/>
            <w:tcBorders>
              <w:bottom w:val="single" w:sz="12" w:space="0" w:color="002776"/>
            </w:tcBorders>
          </w:tcPr>
          <w:p w:rsidR="001A5590" w:rsidRPr="0008028A" w:rsidRDefault="001A5590" w:rsidP="0008028A">
            <w:pPr>
              <w:pStyle w:val="TabletextLeft"/>
            </w:pPr>
            <w:r w:rsidRPr="0008028A">
              <w:t>Number of campuses</w:t>
            </w:r>
          </w:p>
        </w:tc>
        <w:tc>
          <w:tcPr>
            <w:tcW w:w="4218" w:type="dxa"/>
            <w:tcBorders>
              <w:bottom w:val="single" w:sz="12" w:space="0" w:color="002776"/>
            </w:tcBorders>
          </w:tcPr>
          <w:p w:rsidR="001A5590" w:rsidRPr="00C65712" w:rsidRDefault="001A5590" w:rsidP="0008028A">
            <w:pPr>
              <w:pStyle w:val="TabletextCentre"/>
            </w:pPr>
            <w:r w:rsidRPr="00C65712">
              <w:t>-0.16</w:t>
            </w:r>
          </w:p>
        </w:tc>
      </w:tr>
    </w:tbl>
    <w:p w:rsidR="001A5590" w:rsidRDefault="001A5590" w:rsidP="002939B3">
      <w:pPr>
        <w:pStyle w:val="Source"/>
      </w:pPr>
      <w:r w:rsidRPr="00FB0DDC">
        <w:t>*Cost drivers with a correlation coefficient greater than 0.125 have a statistical</w:t>
      </w:r>
      <w:r>
        <w:t>ly significant (i.e. non-zero)</w:t>
      </w:r>
      <w:r w:rsidRPr="00FB0DDC">
        <w:t xml:space="preserve"> </w:t>
      </w:r>
      <w:r>
        <w:t>correlation</w:t>
      </w:r>
      <w:r w:rsidRPr="00FB0DDC">
        <w:t xml:space="preserve"> with average research training costs.</w:t>
      </w:r>
    </w:p>
    <w:p w:rsidR="001A5590" w:rsidRPr="006D4795" w:rsidRDefault="001A5590" w:rsidP="006D4795">
      <w:pPr>
        <w:pStyle w:val="BodyText"/>
        <w:rPr>
          <w:szCs w:val="18"/>
        </w:rPr>
      </w:pPr>
      <w:r w:rsidRPr="006D4795">
        <w:t>In addition to the measured correlations in</w:t>
      </w:r>
      <w:r w:rsidR="00B6102D" w:rsidRPr="006D4795">
        <w:t xml:space="preserve"> </w:t>
      </w:r>
      <w:r w:rsidR="00B6102D" w:rsidRPr="006D4795">
        <w:fldChar w:fldCharType="begin"/>
      </w:r>
      <w:r w:rsidR="00B6102D" w:rsidRPr="006D4795">
        <w:instrText xml:space="preserve"> REF _Ref297707305 \r \h </w:instrText>
      </w:r>
      <w:r w:rsidR="006D4795">
        <w:instrText xml:space="preserve"> \* MERGEFORMAT </w:instrText>
      </w:r>
      <w:r w:rsidR="00B6102D" w:rsidRPr="006D4795">
        <w:fldChar w:fldCharType="separate"/>
      </w:r>
      <w:r w:rsidR="00A01A35">
        <w:t>Table i</w:t>
      </w:r>
      <w:r w:rsidR="00B6102D" w:rsidRPr="006D4795">
        <w:fldChar w:fldCharType="end"/>
      </w:r>
      <w:r w:rsidRPr="006D4795">
        <w:t xml:space="preserve">, the influence of location of the main campus and the </w:t>
      </w:r>
      <w:smartTag w:uri="urn:schemas-microsoft-com:office:smarttags" w:element="PlaceName">
        <w:smartTag w:uri="urn:schemas-microsoft-com:office:smarttags" w:element="place">
          <w:smartTag w:uri="urn:schemas-microsoft-com:office:smarttags" w:element="PlaceName">
            <w:r w:rsidRPr="006D4795">
              <w:t>Australian</w:t>
            </w:r>
          </w:smartTag>
          <w:r w:rsidRPr="006D4795">
            <w:t xml:space="preserve"> </w:t>
          </w:r>
          <w:smartTag w:uri="urn:schemas-microsoft-com:office:smarttags" w:element="PlaceType">
            <w:r w:rsidRPr="006D4795">
              <w:t>University</w:t>
            </w:r>
          </w:smartTag>
        </w:smartTag>
      </w:smartTag>
      <w:r w:rsidRPr="006D4795">
        <w:t xml:space="preserve"> grouping was also studied.  The overall pattern for Australian university groups revealed little other than that higher paid research staff may be training students at universities with higher research intensity.  The mean cost of research training per RTS EFTSL for universities located in an inner regional centre was $29,381 and for those located in a major city was $34,381.</w:t>
      </w:r>
    </w:p>
    <w:p w:rsidR="001A5590" w:rsidRDefault="001A5590" w:rsidP="00C65712">
      <w:pPr>
        <w:pStyle w:val="BodyText"/>
      </w:pPr>
      <w:r>
        <w:t xml:space="preserve">Limitations on the data did not permit an analysis of specific disciplines or discipline mix as cost drivers and this remains an area for further investigation. </w:t>
      </w:r>
    </w:p>
    <w:p w:rsidR="001A5590" w:rsidRDefault="001A5590" w:rsidP="00C65712">
      <w:pPr>
        <w:pStyle w:val="Heading2Appendix"/>
      </w:pPr>
      <w:r>
        <w:t>Regression Analysis</w:t>
      </w:r>
    </w:p>
    <w:p w:rsidR="001A5590" w:rsidRDefault="001A5590" w:rsidP="00C65712">
      <w:pPr>
        <w:pStyle w:val="BodyText"/>
      </w:pPr>
      <w:r>
        <w:t>In the basic analysis each cost driver was studied in isolation and therefore may have been overshadowed by other forces masking significant relationships.  To identify the separate effects of the potential drivers considered above, a multivariate regression analysis was performed.  The only cost drivers found to be statistically significant, or non-zero, in the regression model were:</w:t>
      </w:r>
    </w:p>
    <w:p w:rsidR="001A5590" w:rsidRDefault="001A5590" w:rsidP="00C65712">
      <w:pPr>
        <w:pStyle w:val="Bullet1"/>
        <w:numPr>
          <w:ilvl w:val="0"/>
          <w:numId w:val="18"/>
        </w:numPr>
      </w:pPr>
      <w:r>
        <w:t>location (non-metropolitan universities have higher average research training costs per RTS HDR EFTSL than metropolitan universities);</w:t>
      </w:r>
    </w:p>
    <w:p w:rsidR="001A5590" w:rsidRDefault="001A5590" w:rsidP="00C65712">
      <w:pPr>
        <w:pStyle w:val="Bullet1"/>
        <w:numPr>
          <w:ilvl w:val="0"/>
          <w:numId w:val="18"/>
        </w:numPr>
      </w:pPr>
      <w:r>
        <w:t xml:space="preserve">the ratio of part-time to full-time students (with a higher ratio leading to reduced average research training costs); </w:t>
      </w:r>
    </w:p>
    <w:p w:rsidR="001A5590" w:rsidRDefault="001A5590" w:rsidP="00C65712">
      <w:pPr>
        <w:pStyle w:val="Bullet1"/>
        <w:numPr>
          <w:ilvl w:val="0"/>
          <w:numId w:val="18"/>
        </w:numPr>
      </w:pPr>
      <w:r>
        <w:t xml:space="preserve">the total number of students enrolled (with a larger number of students leading to increased average research training costs); and </w:t>
      </w:r>
    </w:p>
    <w:p w:rsidR="001A5590" w:rsidRDefault="001A5590" w:rsidP="00C65712">
      <w:pPr>
        <w:pStyle w:val="Bullet1"/>
        <w:numPr>
          <w:ilvl w:val="0"/>
          <w:numId w:val="18"/>
        </w:numPr>
      </w:pPr>
      <w:r>
        <w:lastRenderedPageBreak/>
        <w:t xml:space="preserve">the ratio of RTS candidates to total HDR candidates (with a higher ratio leading to reduced average research training costs). </w:t>
      </w:r>
    </w:p>
    <w:p w:rsidR="001A5590" w:rsidRDefault="001A5590" w:rsidP="00C65712">
      <w:pPr>
        <w:pStyle w:val="Heading2Appendix"/>
      </w:pPr>
      <w:r>
        <w:t>RTS funding</w:t>
      </w:r>
    </w:p>
    <w:p w:rsidR="001A5590" w:rsidRDefault="001A5590" w:rsidP="00C65712">
      <w:pPr>
        <w:pStyle w:val="BodyText"/>
      </w:pPr>
      <w:r>
        <w:t xml:space="preserve">The mean difference between RTS funding received per RTS EFTSL in 2009 and the full cost of research training per RTS EFTSL reported by the universities was $10,440 (min=-$1,135 (i.e., surplus funding), max=$38,851, median=$8,780).  This means that on average universities are funding 27% of the full costs of research training per RTS EFTSL from sources other than RTS block grants.  </w:t>
      </w:r>
    </w:p>
    <w:p w:rsidR="001A5590" w:rsidRDefault="001A5590" w:rsidP="00C65712">
      <w:pPr>
        <w:pStyle w:val="Heading2Appendix"/>
      </w:pPr>
      <w:r>
        <w:t>Case studies</w:t>
      </w:r>
    </w:p>
    <w:p w:rsidR="001A5590" w:rsidRDefault="001A5590" w:rsidP="00C65712">
      <w:pPr>
        <w:pStyle w:val="BodyText"/>
      </w:pPr>
      <w:r>
        <w:t xml:space="preserve">Case studies of three universities revealed that research training costs per RTS EFTSL are more likely to be linked to the requirements of individual research projects than certain disciplines.  Not only are there significant differences in research training costs across universities but also within universities and within certain disciplines.  </w:t>
      </w:r>
    </w:p>
    <w:p w:rsidR="001A5590" w:rsidRDefault="001A5590" w:rsidP="00C65712">
      <w:pPr>
        <w:pStyle w:val="BodyText"/>
      </w:pPr>
      <w:r>
        <w:t>Suggested items driving costs included: laboratory equipment; consumables and reagents; data acquisition and associated travel; survey costs (mail-out costs); access to external equipment and/or facilities; access to testing and analysis services; physical space requirements; industry placements (and associated travel, especially for placements overseas); animal laboratories; field trips and costs of presenting papers.  Additional costs associated with these items can be as high as $10,000 per RTS EFTSL and some research projects may involve several such items.  The mode of delivery, number of campuses and share of part-time and full-time students were also thought to influence costs.  University</w:t>
      </w:r>
      <w:r>
        <w:noBreakHyphen/>
        <w:t>wide economies of scale were not considered to be strong.</w:t>
      </w:r>
    </w:p>
    <w:p w:rsidR="001A5590" w:rsidRDefault="001A5590" w:rsidP="00800F9E">
      <w:pPr>
        <w:pStyle w:val="BodyText"/>
      </w:pPr>
      <w:r>
        <w:t xml:space="preserve">While (insufficient) RTS funding alone is unlikely to stop projects from proceeding, funding gaps affect the quality of the services provided, the study environment and, ultimately, student satisfaction.  The current level of funding may also hamper opportunities to increase the number of research training places provided in individual disciplines, especially where they are already close to saturation and expansion would require additional investment in infrastructure. </w:t>
      </w:r>
    </w:p>
    <w:p w:rsidR="001A5590" w:rsidRDefault="001A5590" w:rsidP="00C65712">
      <w:pPr>
        <w:pStyle w:val="Heading2Appendix"/>
      </w:pPr>
      <w:r>
        <w:t>Areas for further research</w:t>
      </w:r>
    </w:p>
    <w:p w:rsidR="001A5590" w:rsidRPr="00F21782" w:rsidRDefault="001A5590" w:rsidP="00C65712">
      <w:pPr>
        <w:pStyle w:val="BodyText"/>
      </w:pPr>
      <w:r>
        <w:t xml:space="preserve">To further inform the full cost of research training and a subsequent formula for its calculation, several areas for further investigation were identified, including: </w:t>
      </w:r>
      <w:r w:rsidRPr="00F21782">
        <w:t>collecting data on project-specific or discipline-specific costs</w:t>
      </w:r>
      <w:r>
        <w:t>; a s</w:t>
      </w:r>
      <w:r w:rsidRPr="00F21782">
        <w:t>tudy of activity</w:t>
      </w:r>
      <w:r>
        <w:t>-</w:t>
      </w:r>
      <w:r w:rsidRPr="00F21782">
        <w:t>based cost</w:t>
      </w:r>
      <w:r>
        <w:t>ing (instead of discipline-based costing); a reassessment of the foundation</w:t>
      </w:r>
      <w:r w:rsidRPr="00F21782">
        <w:t xml:space="preserve"> level funding for </w:t>
      </w:r>
      <w:r w:rsidRPr="002939B3">
        <w:rPr>
          <w:rStyle w:val="italicChar"/>
        </w:rPr>
        <w:t>all</w:t>
      </w:r>
      <w:r w:rsidRPr="00F21782">
        <w:t xml:space="preserve"> research students</w:t>
      </w:r>
      <w:r>
        <w:t>, regardless of discipline</w:t>
      </w:r>
      <w:r w:rsidRPr="00F21782">
        <w:t xml:space="preserve"> </w:t>
      </w:r>
      <w:r>
        <w:t xml:space="preserve">(to ensure that this is </w:t>
      </w:r>
      <w:r w:rsidRPr="00F21782">
        <w:t>adequate</w:t>
      </w:r>
      <w:r>
        <w:t xml:space="preserve">); a further analysis of the loadings that would be required on top of the minimum funding; and an assessment of the </w:t>
      </w:r>
      <w:r w:rsidRPr="00F21782">
        <w:t>efficiency of uni</w:t>
      </w:r>
      <w:r>
        <w:t xml:space="preserve">versity research (i.e. while </w:t>
      </w:r>
      <w:r w:rsidRPr="00F21782">
        <w:t xml:space="preserve">increased funding may be warranted, it </w:t>
      </w:r>
      <w:r>
        <w:t xml:space="preserve">is </w:t>
      </w:r>
      <w:r w:rsidRPr="00F21782">
        <w:t xml:space="preserve">also incumbent upon universities to use available funds </w:t>
      </w:r>
      <w:r>
        <w:t>efficiently and effectively)</w:t>
      </w:r>
      <w:r w:rsidRPr="00F21782">
        <w:t>.</w:t>
      </w:r>
    </w:p>
    <w:p w:rsidR="0008028A" w:rsidRDefault="001A5590" w:rsidP="0008028A">
      <w:pPr>
        <w:pStyle w:val="bold"/>
      </w:pPr>
      <w:r w:rsidRPr="008F70F5">
        <w:t>Deloitte Access Economics</w:t>
      </w:r>
    </w:p>
    <w:p w:rsidR="001A5590" w:rsidRPr="0008028A" w:rsidRDefault="001A5590" w:rsidP="0008028A">
      <w:pPr>
        <w:pStyle w:val="BodyText"/>
      </w:pPr>
      <w:r w:rsidRPr="0008028A">
        <w:br/>
      </w:r>
    </w:p>
    <w:p w:rsidR="001A5590" w:rsidRPr="00FD179B" w:rsidRDefault="001A5590" w:rsidP="00FD179B">
      <w:pPr>
        <w:sectPr w:rsidR="001A5590" w:rsidRPr="00FD179B" w:rsidSect="00791C4A">
          <w:footerReference w:type="default" r:id="rId13"/>
          <w:pgSz w:w="11906" w:h="16838" w:code="9"/>
          <w:pgMar w:top="1977" w:right="1134" w:bottom="1134" w:left="2552" w:header="720" w:footer="720" w:gutter="0"/>
          <w:pgNumType w:fmt="lowerRoman" w:start="1"/>
          <w:cols w:space="720"/>
          <w:docGrid w:linePitch="360"/>
        </w:sectPr>
      </w:pPr>
    </w:p>
    <w:p w:rsidR="001A5590" w:rsidRDefault="001A5590" w:rsidP="001A5590">
      <w:pPr>
        <w:pStyle w:val="Heading1"/>
        <w:numPr>
          <w:ilvl w:val="0"/>
          <w:numId w:val="21"/>
        </w:numPr>
        <w:ind w:left="0" w:hanging="567"/>
      </w:pPr>
      <w:bookmarkStart w:id="29" w:name="_Toc298324948"/>
      <w:r>
        <w:lastRenderedPageBreak/>
        <w:t>Introduction</w:t>
      </w:r>
      <w:bookmarkEnd w:id="29"/>
    </w:p>
    <w:p w:rsidR="001A5590" w:rsidRPr="00B449CE" w:rsidRDefault="001A5590" w:rsidP="00B449CE">
      <w:pPr>
        <w:pStyle w:val="BodyText"/>
      </w:pPr>
      <w:r w:rsidRPr="009A0825">
        <w:t xml:space="preserve">The Department of Innovation, Industry, Science and Research (DIISR) commissioned Deloitte Access Economics </w:t>
      </w:r>
      <w:r>
        <w:t xml:space="preserve">to </w:t>
      </w:r>
      <w:r w:rsidRPr="00B449CE">
        <w:t xml:space="preserve">examine the full cost of research training (FCRT) in Australian universities, focusing on the costs to universities of providing research training places under the Research Training Scheme (RTS).  </w:t>
      </w:r>
    </w:p>
    <w:p w:rsidR="001A5590" w:rsidRPr="00B449CE" w:rsidRDefault="001A5590" w:rsidP="00B449CE">
      <w:pPr>
        <w:pStyle w:val="BodyText"/>
      </w:pPr>
      <w:bookmarkStart w:id="30" w:name="_Toc288470894"/>
      <w:bookmarkStart w:id="31" w:name="_Toc293670200"/>
      <w:r w:rsidRPr="00B449CE">
        <w:t xml:space="preserve">The aim of this study is to determine the full cost of research training for a higher degree by research (HDR) candidate for one year (i.e. 2009), analyse how the costs vary according to study location, mode of study and field of research, and compare the costs with the RTS funding received in 2009.  The results from this study will enable a better understanding of the costs as well as the current and future investment required in the higher education research training system.  They will also inform discussions on the potential reform to the research training system which aligns with the priorities outlined in the </w:t>
      </w:r>
      <w:r w:rsidR="00B0395E" w:rsidRPr="002939B3">
        <w:rPr>
          <w:rStyle w:val="italicChar"/>
        </w:rPr>
        <w:t>Research Skills for an Innovative Future: a research workforce strategy to cover the decade to 2020 and beyond</w:t>
      </w:r>
      <w:r w:rsidR="00B6102D" w:rsidRPr="002939B3">
        <w:rPr>
          <w:rStyle w:val="italicChar"/>
        </w:rPr>
        <w:t xml:space="preserve"> </w:t>
      </w:r>
      <w:r w:rsidRPr="00B449CE">
        <w:t>(</w:t>
      </w:r>
      <w:r w:rsidR="00B6102D" w:rsidRPr="00B449CE">
        <w:t>DIISR 2011</w:t>
      </w:r>
      <w:r w:rsidR="00152C50" w:rsidRPr="00B449CE">
        <w:t>a</w:t>
      </w:r>
      <w:r w:rsidRPr="00B449CE">
        <w:t xml:space="preserve">).  </w:t>
      </w:r>
    </w:p>
    <w:p w:rsidR="001A5590" w:rsidRDefault="001A5590" w:rsidP="001A5590">
      <w:pPr>
        <w:pStyle w:val="Heading2"/>
        <w:numPr>
          <w:ilvl w:val="1"/>
          <w:numId w:val="21"/>
        </w:numPr>
        <w:tabs>
          <w:tab w:val="clear" w:pos="709"/>
        </w:tabs>
        <w:ind w:left="851" w:hanging="851"/>
      </w:pPr>
      <w:bookmarkStart w:id="32" w:name="_Toc298324949"/>
      <w:r>
        <w:t>Background</w:t>
      </w:r>
      <w:bookmarkEnd w:id="30"/>
      <w:bookmarkEnd w:id="31"/>
      <w:bookmarkEnd w:id="32"/>
    </w:p>
    <w:p w:rsidR="001A5590" w:rsidRPr="00B449CE" w:rsidRDefault="001A5590" w:rsidP="00B449CE">
      <w:pPr>
        <w:pStyle w:val="BodyText"/>
      </w:pPr>
      <w:bookmarkStart w:id="33" w:name="_Toc288470895"/>
      <w:bookmarkStart w:id="34" w:name="_Toc293670201"/>
      <w:r w:rsidRPr="00B449CE">
        <w:t xml:space="preserve">The Federal Government’s RTS is a program administered by DIISR under which block grants are provided to eligible Australian higher education providers (HEPs).  The grants are provided on a calendar year basis to support research training for candidates undertaking HDR degrees. </w:t>
      </w:r>
    </w:p>
    <w:p w:rsidR="001A5590" w:rsidRPr="00B449CE" w:rsidRDefault="001A5590" w:rsidP="00B449CE">
      <w:pPr>
        <w:pStyle w:val="BodyText"/>
      </w:pPr>
      <w:r w:rsidRPr="00B449CE">
        <w:t>Recent consultations with a range of stakeholders during the development of the RWS highlighted concerns that RTS funds are insufficient to meet the needs of candidates and employers (DIISR 2010</w:t>
      </w:r>
      <w:r w:rsidR="00443D06" w:rsidRPr="00B449CE">
        <w:t>a</w:t>
      </w:r>
      <w:r w:rsidRPr="00B449CE">
        <w:t>).  In addition, some HEPs claimed that they are subsidising RTS places to provide a sufficient research training experience for their candidates.  The sector questioned the appropriateness of funding differentials based on high</w:t>
      </w:r>
      <w:r w:rsidRPr="00B449CE">
        <w:noBreakHyphen/>
        <w:t>cost/low</w:t>
      </w:r>
      <w:r w:rsidRPr="00B449CE">
        <w:noBreakHyphen/>
        <w:t xml:space="preserve">cost courses of study, and the ability of HEPs to provide quality research training that develops the breadth of skills relevant to industry, academia and the wider workforce.  Ultimately the sector questioned whether </w:t>
      </w:r>
      <w:smartTag w:uri="urn:schemas-microsoft-com:office:smarttags" w:element="country-region">
        <w:smartTag w:uri="urn:schemas-microsoft-com:office:smarttags" w:element="place">
          <w:r w:rsidRPr="00B449CE">
            <w:t>Australia</w:t>
          </w:r>
        </w:smartTag>
      </w:smartTag>
      <w:r w:rsidRPr="00B449CE">
        <w:t xml:space="preserve">’s research workforce is currently well-placed to meet future needs and challenges, and will have the capacity to meet the Australian Government’s innovation agenda into the future.  </w:t>
      </w:r>
    </w:p>
    <w:p w:rsidR="001A5590" w:rsidRDefault="001A5590" w:rsidP="00791C4A">
      <w:pPr>
        <w:pStyle w:val="Heading2"/>
        <w:numPr>
          <w:ilvl w:val="1"/>
          <w:numId w:val="21"/>
        </w:numPr>
        <w:tabs>
          <w:tab w:val="clear" w:pos="709"/>
          <w:tab w:val="clear" w:pos="851"/>
          <w:tab w:val="num" w:pos="880"/>
        </w:tabs>
        <w:ind w:left="880" w:hanging="851"/>
      </w:pPr>
      <w:bookmarkStart w:id="35" w:name="_Toc298324950"/>
      <w:r>
        <w:t>Approach</w:t>
      </w:r>
      <w:bookmarkEnd w:id="33"/>
      <w:bookmarkEnd w:id="34"/>
      <w:bookmarkEnd w:id="35"/>
    </w:p>
    <w:p w:rsidR="001A5590" w:rsidRDefault="001A5590" w:rsidP="00DB04AE">
      <w:pPr>
        <w:pStyle w:val="BodyText"/>
      </w:pPr>
      <w:r>
        <w:t xml:space="preserve">Against this background, DIISR decided to examine the </w:t>
      </w:r>
      <w:r w:rsidRPr="00B449CE">
        <w:t xml:space="preserve">full cost of research training.  As part of the study, </w:t>
      </w:r>
      <w:r w:rsidRPr="003158B9">
        <w:t xml:space="preserve">national and international literature </w:t>
      </w:r>
      <w:r>
        <w:t xml:space="preserve">was reviewed </w:t>
      </w:r>
      <w:r w:rsidRPr="003158B9">
        <w:t>to</w:t>
      </w:r>
      <w:r>
        <w:t xml:space="preserve"> see whether other countries had undertaken similar studies.  Following this, a</w:t>
      </w:r>
      <w:r w:rsidRPr="00B449CE">
        <w:t xml:space="preserve"> data collection template was developed and distributed to 3</w:t>
      </w:r>
      <w:r w:rsidR="00826801" w:rsidRPr="00B449CE">
        <w:t>7</w:t>
      </w:r>
      <w:r w:rsidRPr="00B449CE">
        <w:t xml:space="preserve"> Australian universities.  Data on </w:t>
      </w:r>
      <w:r>
        <w:t xml:space="preserve">the cost of research training in 2009 were collected from 31 Australian universities.  </w:t>
      </w:r>
    </w:p>
    <w:p w:rsidR="001A5590" w:rsidRPr="00595C71" w:rsidRDefault="001A5590" w:rsidP="00EE7DE0">
      <w:pPr>
        <w:pStyle w:val="BodyText"/>
        <w:keepNext/>
      </w:pPr>
      <w:r w:rsidRPr="00595C71">
        <w:t xml:space="preserve">Deloitte Access Economics was </w:t>
      </w:r>
      <w:r>
        <w:t xml:space="preserve">subsequently </w:t>
      </w:r>
      <w:r w:rsidRPr="00595C71">
        <w:t>engaged to:</w:t>
      </w:r>
    </w:p>
    <w:p w:rsidR="001A5590" w:rsidRPr="002939B3" w:rsidRDefault="001A5590" w:rsidP="002A2860">
      <w:pPr>
        <w:pStyle w:val="Bullet1"/>
        <w:numPr>
          <w:ilvl w:val="0"/>
          <w:numId w:val="18"/>
        </w:numPr>
      </w:pPr>
      <w:r w:rsidRPr="00EE7DE0">
        <w:rPr>
          <w:szCs w:val="23"/>
        </w:rPr>
        <w:t>review national and international literature and augment any information provided by DIISR, to put the analysis into context and to better identify all potential costs incurred and cost drivers involved in delivering research training to HDR candidates;</w:t>
      </w:r>
    </w:p>
    <w:p w:rsidR="001A5590" w:rsidRPr="00E171E4" w:rsidRDefault="001A5590" w:rsidP="00E171E4">
      <w:pPr>
        <w:pStyle w:val="Bullet1"/>
        <w:numPr>
          <w:ilvl w:val="0"/>
          <w:numId w:val="18"/>
        </w:numPr>
      </w:pPr>
      <w:r w:rsidRPr="00E171E4">
        <w:lastRenderedPageBreak/>
        <w:t>examine the research training cost da</w:t>
      </w:r>
      <w:r>
        <w:t>ta provided by the universities, analyse the average cost of research training for one year for an individual RTS-eligible HDR candidate at each institution, compare research training costs and funding, and assess</w:t>
      </w:r>
      <w:r w:rsidRPr="00E171E4">
        <w:t xml:space="preserve"> </w:t>
      </w:r>
      <w:r>
        <w:t>the</w:t>
      </w:r>
      <w:r w:rsidRPr="00E171E4">
        <w:t xml:space="preserve"> extent </w:t>
      </w:r>
      <w:r>
        <w:t xml:space="preserve">to which </w:t>
      </w:r>
      <w:r w:rsidRPr="00E171E4">
        <w:t>costs differ within and between institutions due to measurable factors such as:</w:t>
      </w:r>
    </w:p>
    <w:p w:rsidR="001A5590" w:rsidRPr="00E171E4" w:rsidRDefault="001A5590" w:rsidP="00E171E4">
      <w:pPr>
        <w:pStyle w:val="Bullet2"/>
      </w:pPr>
      <w:r>
        <w:t>t</w:t>
      </w:r>
      <w:r w:rsidRPr="00E171E4">
        <w:t>he d</w:t>
      </w:r>
      <w:r>
        <w:t>iscipline mix of HDR candidates;</w:t>
      </w:r>
    </w:p>
    <w:p w:rsidR="001A5590" w:rsidRPr="00E171E4" w:rsidRDefault="001A5590" w:rsidP="00E171E4">
      <w:pPr>
        <w:pStyle w:val="Bullet2"/>
      </w:pPr>
      <w:r>
        <w:t>w</w:t>
      </w:r>
      <w:r w:rsidRPr="00E171E4">
        <w:t>hether the institution and/or the candidate is in a regional location</w:t>
      </w:r>
      <w:r>
        <w:t>;</w:t>
      </w:r>
    </w:p>
    <w:p w:rsidR="001A5590" w:rsidRPr="00E171E4" w:rsidRDefault="001A5590" w:rsidP="00E171E4">
      <w:pPr>
        <w:pStyle w:val="Bullet2"/>
      </w:pPr>
      <w:r>
        <w:t>t</w:t>
      </w:r>
      <w:r w:rsidRPr="00E171E4">
        <w:t>he scale of the HDR population in the institution</w:t>
      </w:r>
      <w:r>
        <w:t>; and</w:t>
      </w:r>
    </w:p>
    <w:p w:rsidR="001A5590" w:rsidRPr="00E171E4" w:rsidRDefault="001A5590" w:rsidP="00E171E4">
      <w:pPr>
        <w:pStyle w:val="Bullet2"/>
      </w:pPr>
      <w:r>
        <w:t>t</w:t>
      </w:r>
      <w:r w:rsidRPr="00E171E4">
        <w:t>he proportion of full-time vs. part-time candidate</w:t>
      </w:r>
      <w:r>
        <w:t>s; and</w:t>
      </w:r>
    </w:p>
    <w:p w:rsidR="001A5590" w:rsidRPr="003A30C6" w:rsidRDefault="001A5590" w:rsidP="002A2860">
      <w:pPr>
        <w:pStyle w:val="Bullet1"/>
        <w:numPr>
          <w:ilvl w:val="0"/>
          <w:numId w:val="18"/>
        </w:numPr>
      </w:pPr>
      <w:r w:rsidRPr="003A30C6">
        <w:t xml:space="preserve">undertake case study interviews with three universities to </w:t>
      </w:r>
      <w:r>
        <w:t xml:space="preserve">better understand </w:t>
      </w:r>
      <w:r w:rsidRPr="003A30C6">
        <w:t>discipline</w:t>
      </w:r>
      <w:r>
        <w:noBreakHyphen/>
      </w:r>
      <w:r w:rsidRPr="003A30C6">
        <w:t xml:space="preserve">specific cost differences. </w:t>
      </w:r>
    </w:p>
    <w:p w:rsidR="001A5590" w:rsidRDefault="001A5590" w:rsidP="00791C4A">
      <w:pPr>
        <w:pStyle w:val="Heading2"/>
        <w:numPr>
          <w:ilvl w:val="1"/>
          <w:numId w:val="21"/>
        </w:numPr>
        <w:tabs>
          <w:tab w:val="clear" w:pos="709"/>
          <w:tab w:val="clear" w:pos="851"/>
          <w:tab w:val="num" w:pos="880"/>
        </w:tabs>
        <w:ind w:left="880" w:hanging="851"/>
      </w:pPr>
      <w:bookmarkStart w:id="36" w:name="_Toc298324951"/>
      <w:r>
        <w:t>Structure of this report</w:t>
      </w:r>
      <w:bookmarkEnd w:id="36"/>
    </w:p>
    <w:p w:rsidR="001A5590" w:rsidRDefault="001A5590" w:rsidP="007A60E7">
      <w:pPr>
        <w:pStyle w:val="BodyText"/>
      </w:pPr>
      <w:r>
        <w:t>The remainder of the report is structured as follows:</w:t>
      </w:r>
    </w:p>
    <w:p w:rsidR="001A5590" w:rsidRDefault="001A5590" w:rsidP="00BC105C">
      <w:pPr>
        <w:pStyle w:val="Bullet1"/>
        <w:numPr>
          <w:ilvl w:val="0"/>
          <w:numId w:val="18"/>
        </w:numPr>
      </w:pPr>
      <w:r w:rsidRPr="00872551">
        <w:t>Chapter 2 provides some background to Australia’s higher education</w:t>
      </w:r>
      <w:r>
        <w:t xml:space="preserve"> RTS</w:t>
      </w:r>
      <w:r w:rsidRPr="00872551">
        <w:t>, its costs and current f</w:t>
      </w:r>
      <w:r>
        <w:t>unding structure as well as issues raised in relation to the current funding scheme;</w:t>
      </w:r>
    </w:p>
    <w:p w:rsidR="001A5590" w:rsidRDefault="001A5590" w:rsidP="00872551">
      <w:pPr>
        <w:pStyle w:val="Bullet1"/>
        <w:numPr>
          <w:ilvl w:val="0"/>
          <w:numId w:val="18"/>
        </w:numPr>
      </w:pPr>
      <w:r>
        <w:t>Chapter 3 considers information from studies in other countries that have examined the actual cost of a research training place;</w:t>
      </w:r>
    </w:p>
    <w:p w:rsidR="001A5590" w:rsidRPr="00872551" w:rsidRDefault="001A5590" w:rsidP="009A0825">
      <w:pPr>
        <w:pStyle w:val="Bullet1"/>
        <w:numPr>
          <w:ilvl w:val="0"/>
          <w:numId w:val="18"/>
        </w:numPr>
      </w:pPr>
      <w:r w:rsidRPr="00872551">
        <w:t>Chapter 4 o</w:t>
      </w:r>
      <w:r>
        <w:t>utlines</w:t>
      </w:r>
      <w:r w:rsidRPr="00872551">
        <w:t xml:space="preserve"> the methodology for th</w:t>
      </w:r>
      <w:r>
        <w:t>e</w:t>
      </w:r>
      <w:r w:rsidRPr="00872551">
        <w:t xml:space="preserve"> </w:t>
      </w:r>
      <w:r>
        <w:t xml:space="preserve">data collection exercise undertaken by DIISR to collect information on the cost of research training provided by HEPs; </w:t>
      </w:r>
    </w:p>
    <w:p w:rsidR="001A5590" w:rsidRDefault="001A5590" w:rsidP="009A0825">
      <w:pPr>
        <w:pStyle w:val="Bullet1"/>
        <w:numPr>
          <w:ilvl w:val="0"/>
          <w:numId w:val="18"/>
        </w:numPr>
      </w:pPr>
      <w:r w:rsidRPr="00872551">
        <w:t>Chapter 5 discusses the findings from the research</w:t>
      </w:r>
      <w:r>
        <w:t xml:space="preserve"> training cost study, analyses </w:t>
      </w:r>
      <w:r w:rsidRPr="00872551">
        <w:t>resear</w:t>
      </w:r>
      <w:r>
        <w:t xml:space="preserve">ch training costs per HDR RTS EFTSL and its cost drivers, </w:t>
      </w:r>
      <w:r w:rsidRPr="00872551">
        <w:t xml:space="preserve">provides a comparison with current funding rates and </w:t>
      </w:r>
      <w:r>
        <w:t xml:space="preserve">examines discipline-specific cost differences; </w:t>
      </w:r>
    </w:p>
    <w:p w:rsidR="001A5590" w:rsidRPr="00872551" w:rsidRDefault="001A5590" w:rsidP="009A0825">
      <w:pPr>
        <w:pStyle w:val="Bullet1"/>
        <w:numPr>
          <w:ilvl w:val="0"/>
          <w:numId w:val="18"/>
        </w:numPr>
      </w:pPr>
      <w:r>
        <w:t xml:space="preserve">Chapter 6 provides a summary of the case study interviews that were undertaken to supplement the data analysis; and </w:t>
      </w:r>
    </w:p>
    <w:p w:rsidR="001A5590" w:rsidRPr="00C537EC" w:rsidRDefault="001A5590" w:rsidP="009A0825">
      <w:pPr>
        <w:pStyle w:val="Bullet1"/>
        <w:numPr>
          <w:ilvl w:val="0"/>
          <w:numId w:val="18"/>
        </w:numPr>
      </w:pPr>
      <w:r>
        <w:t>Chapter 7 concludes the report with a summary of drivers of costs and recommendations for further study.</w:t>
      </w:r>
    </w:p>
    <w:p w:rsidR="001A5590" w:rsidRPr="0090151A" w:rsidRDefault="001A5590" w:rsidP="0090151A">
      <w:pPr>
        <w:pStyle w:val="BodyText"/>
      </w:pPr>
    </w:p>
    <w:p w:rsidR="001A5590" w:rsidRDefault="001A5590" w:rsidP="001A5590">
      <w:pPr>
        <w:pStyle w:val="Heading1"/>
        <w:numPr>
          <w:ilvl w:val="0"/>
          <w:numId w:val="21"/>
        </w:numPr>
        <w:ind w:left="0" w:hanging="567"/>
      </w:pPr>
      <w:bookmarkStart w:id="37" w:name="_Toc298324952"/>
      <w:r>
        <w:lastRenderedPageBreak/>
        <w:t>Higher education research training: funding and costs</w:t>
      </w:r>
      <w:bookmarkEnd w:id="37"/>
    </w:p>
    <w:p w:rsidR="001A5590" w:rsidRDefault="001A5590" w:rsidP="001A5590">
      <w:pPr>
        <w:pStyle w:val="Heading2"/>
        <w:numPr>
          <w:ilvl w:val="1"/>
          <w:numId w:val="21"/>
        </w:numPr>
        <w:tabs>
          <w:tab w:val="clear" w:pos="709"/>
        </w:tabs>
        <w:ind w:left="851" w:hanging="851"/>
      </w:pPr>
      <w:bookmarkStart w:id="38" w:name="_Toc294689572"/>
      <w:bookmarkStart w:id="39" w:name="_Toc298324953"/>
      <w:smartTag w:uri="urn:schemas-microsoft-com:office:smarttags" w:element="country-region">
        <w:smartTag w:uri="urn:schemas-microsoft-com:office:smarttags" w:element="place">
          <w:r>
            <w:t>Australia</w:t>
          </w:r>
        </w:smartTag>
      </w:smartTag>
      <w:r>
        <w:t>’s current funding system</w:t>
      </w:r>
      <w:bookmarkEnd w:id="38"/>
      <w:bookmarkEnd w:id="39"/>
    </w:p>
    <w:p w:rsidR="001A5590" w:rsidRDefault="001A5590" w:rsidP="000C4BEA">
      <w:pPr>
        <w:pStyle w:val="BodyText"/>
      </w:pPr>
      <w:r w:rsidRPr="00CF352B">
        <w:t xml:space="preserve">The Research Training Scheme (RTS), Australian Postgraduate Awards (APA) and </w:t>
      </w:r>
      <w:r w:rsidRPr="00790395">
        <w:t xml:space="preserve">International Postgraduate Research Scholarships </w:t>
      </w:r>
      <w:r>
        <w:t xml:space="preserve">(IPRS) </w:t>
      </w:r>
      <w:r w:rsidRPr="00790395">
        <w:t>are the three primary schemes</w:t>
      </w:r>
      <w:r>
        <w:t xml:space="preserve"> administered</w:t>
      </w:r>
      <w:r w:rsidRPr="00790395">
        <w:t xml:space="preserve"> by DIISR </w:t>
      </w:r>
      <w:r>
        <w:t xml:space="preserve">under the Higher Education Support Act 2003.  </w:t>
      </w:r>
      <w:r w:rsidRPr="00790395">
        <w:t>Each scheme supports different objectives: while the APA and IPRS provide direct financial support for domestic and international HDR candidate</w:t>
      </w:r>
      <w:r>
        <w:t>s, the RTS supports HEPs</w:t>
      </w:r>
      <w:r w:rsidRPr="00790395">
        <w:t xml:space="preserve"> in meeting the costs of research training</w:t>
      </w:r>
      <w:r>
        <w:t xml:space="preserve"> for domestic HDR students.  </w:t>
      </w:r>
      <w:r w:rsidRPr="00790395">
        <w:t xml:space="preserve">In 2011 the RTS will provide approximately $620 million to Australian HEPs, making </w:t>
      </w:r>
      <w:r>
        <w:t>the RTS</w:t>
      </w:r>
      <w:r w:rsidRPr="00790395">
        <w:t xml:space="preserve"> responsible for the </w:t>
      </w:r>
      <w:r>
        <w:t>largest share</w:t>
      </w:r>
      <w:r w:rsidRPr="00790395">
        <w:t xml:space="preserve"> of total government funds </w:t>
      </w:r>
      <w:r>
        <w:t xml:space="preserve">($1.51 billion) </w:t>
      </w:r>
      <w:r w:rsidRPr="00790395">
        <w:t xml:space="preserve">dedicated to </w:t>
      </w:r>
      <w:r>
        <w:t xml:space="preserve">research and </w:t>
      </w:r>
      <w:r w:rsidRPr="00790395">
        <w:t xml:space="preserve">research training.    </w:t>
      </w:r>
      <w:r>
        <w:t xml:space="preserve"> </w:t>
      </w:r>
    </w:p>
    <w:p w:rsidR="001A5590" w:rsidRDefault="001A5590" w:rsidP="00C53003">
      <w:pPr>
        <w:pStyle w:val="BodyText"/>
      </w:pPr>
      <w:r>
        <w:t>T</w:t>
      </w:r>
      <w:r w:rsidRPr="00790395">
        <w:t xml:space="preserve">he </w:t>
      </w:r>
      <w:r>
        <w:t xml:space="preserve">specific aims of the RTS are to </w:t>
      </w:r>
      <w:r w:rsidRPr="00790395">
        <w:t>:</w:t>
      </w:r>
    </w:p>
    <w:p w:rsidR="001A5590" w:rsidRPr="003048E4" w:rsidRDefault="001A5590" w:rsidP="00C53003">
      <w:pPr>
        <w:pStyle w:val="Bullet1"/>
        <w:numPr>
          <w:ilvl w:val="0"/>
          <w:numId w:val="18"/>
        </w:numPr>
      </w:pPr>
      <w:r w:rsidRPr="003048E4">
        <w:t xml:space="preserve">enhance the quality of research training in </w:t>
      </w:r>
      <w:smartTag w:uri="urn:schemas-microsoft-com:office:smarttags" w:element="country-region">
        <w:smartTag w:uri="urn:schemas-microsoft-com:office:smarttags" w:element="place">
          <w:r w:rsidRPr="003048E4">
            <w:t>Australia</w:t>
          </w:r>
        </w:smartTag>
      </w:smartTag>
      <w:r w:rsidRPr="003048E4">
        <w:t>;</w:t>
      </w:r>
    </w:p>
    <w:p w:rsidR="001A5590" w:rsidRPr="003048E4" w:rsidRDefault="001A5590" w:rsidP="00C53003">
      <w:pPr>
        <w:pStyle w:val="Bullet1"/>
        <w:numPr>
          <w:ilvl w:val="0"/>
          <w:numId w:val="18"/>
        </w:numPr>
      </w:pPr>
      <w:r w:rsidRPr="003048E4">
        <w:t>improve the responsiveness of HEPs to the needs of their research students;</w:t>
      </w:r>
    </w:p>
    <w:p w:rsidR="001A5590" w:rsidRPr="003048E4" w:rsidRDefault="001A5590" w:rsidP="00C53003">
      <w:pPr>
        <w:pStyle w:val="Bullet1"/>
        <w:numPr>
          <w:ilvl w:val="0"/>
          <w:numId w:val="18"/>
        </w:numPr>
      </w:pPr>
      <w:r w:rsidRPr="003048E4">
        <w:t>encourage HEPs to develop their own research training profiles;</w:t>
      </w:r>
    </w:p>
    <w:p w:rsidR="001A5590" w:rsidRPr="003048E4" w:rsidRDefault="001A5590" w:rsidP="00C53003">
      <w:pPr>
        <w:pStyle w:val="Bullet1"/>
        <w:numPr>
          <w:ilvl w:val="0"/>
          <w:numId w:val="18"/>
        </w:numPr>
      </w:pPr>
      <w:r w:rsidRPr="003048E4">
        <w:t>ensure the relevance of research degree programs to labour market requirements; and</w:t>
      </w:r>
    </w:p>
    <w:p w:rsidR="001A5590" w:rsidRDefault="001A5590" w:rsidP="00C53003">
      <w:pPr>
        <w:pStyle w:val="Bullet1"/>
        <w:numPr>
          <w:ilvl w:val="0"/>
          <w:numId w:val="18"/>
        </w:numPr>
      </w:pPr>
      <w:r w:rsidRPr="003048E4">
        <w:t>improve the efficiency and effectiveness of research training.</w:t>
      </w:r>
    </w:p>
    <w:p w:rsidR="001A5590" w:rsidRDefault="001A5590" w:rsidP="000C4BEA">
      <w:pPr>
        <w:pStyle w:val="BodyText"/>
      </w:pPr>
      <w:r>
        <w:t xml:space="preserve">RTS funds are provided as a block grant on a calendar year basis to eligible HEPs.  The RTS entitles each RTS student to a maximum of four years full-time equivalent (FTE) study if undertaking a PhD by research or two years FTE study if undertaking a Masters degree by research.  The student does not accrue any liability for this subsidization.  </w:t>
      </w:r>
      <w:r w:rsidRPr="007A6A75">
        <w:t xml:space="preserve">Upon receiving RTS funds, HEPs decide how many HDR candidates they can support based on their own internal cost structures. </w:t>
      </w:r>
    </w:p>
    <w:p w:rsidR="001A5590" w:rsidRDefault="001A5590" w:rsidP="000C4BEA">
      <w:pPr>
        <w:pStyle w:val="BodyText"/>
      </w:pPr>
      <w:r>
        <w:t>Direct costs of research training supported by the RTS may include but are not limited to:</w:t>
      </w:r>
    </w:p>
    <w:p w:rsidR="001A5590" w:rsidRDefault="001A5590" w:rsidP="00C53003">
      <w:pPr>
        <w:pStyle w:val="Bullet1"/>
        <w:numPr>
          <w:ilvl w:val="0"/>
          <w:numId w:val="18"/>
        </w:numPr>
      </w:pPr>
      <w:r>
        <w:t>salary for supervisor(s) while engaged in supervision activities;</w:t>
      </w:r>
    </w:p>
    <w:p w:rsidR="001A5590" w:rsidRDefault="001A5590" w:rsidP="00C53003">
      <w:pPr>
        <w:pStyle w:val="Bullet1"/>
        <w:numPr>
          <w:ilvl w:val="0"/>
          <w:numId w:val="18"/>
        </w:numPr>
      </w:pPr>
      <w:r>
        <w:t>provision of work environment for candidates, including services such as desk space, information technology (IT), library, phone and parking;</w:t>
      </w:r>
    </w:p>
    <w:p w:rsidR="001A5590" w:rsidRDefault="001A5590" w:rsidP="00C53003">
      <w:pPr>
        <w:pStyle w:val="Bullet1"/>
        <w:numPr>
          <w:ilvl w:val="0"/>
          <w:numId w:val="18"/>
        </w:numPr>
      </w:pPr>
      <w:r>
        <w:t>provision of research materials and/or laboratory space and equipment, including hire of significant infrastructure as required;</w:t>
      </w:r>
    </w:p>
    <w:p w:rsidR="001A5590" w:rsidRDefault="001A5590" w:rsidP="00C53003">
      <w:pPr>
        <w:pStyle w:val="Bullet1"/>
        <w:numPr>
          <w:ilvl w:val="0"/>
          <w:numId w:val="18"/>
        </w:numPr>
      </w:pPr>
      <w:r>
        <w:t>assistance with conference fees, travel and printing costs for dissertations;</w:t>
      </w:r>
    </w:p>
    <w:p w:rsidR="001A5590" w:rsidRDefault="001A5590" w:rsidP="00C53003">
      <w:pPr>
        <w:pStyle w:val="Bullet1"/>
        <w:numPr>
          <w:ilvl w:val="0"/>
          <w:numId w:val="18"/>
        </w:numPr>
      </w:pPr>
      <w:r>
        <w:t>other sources of financial assistance provided by an institution; and</w:t>
      </w:r>
    </w:p>
    <w:p w:rsidR="001A5590" w:rsidRDefault="001A5590" w:rsidP="00C53003">
      <w:pPr>
        <w:pStyle w:val="Bullet1"/>
        <w:numPr>
          <w:ilvl w:val="0"/>
          <w:numId w:val="18"/>
        </w:numPr>
      </w:pPr>
      <w:r>
        <w:t>costs not covered or reimbursed by HEPs, inc</w:t>
      </w:r>
      <w:r w:rsidR="00B6102D">
        <w:t>luding materials and journal subscriptions.</w:t>
      </w:r>
    </w:p>
    <w:p w:rsidR="001A5590" w:rsidRDefault="001A5590" w:rsidP="000C4BEA">
      <w:pPr>
        <w:pStyle w:val="BodyText"/>
      </w:pPr>
      <w:r>
        <w:t>Other institution costs supported by the RTS, either directly or indirectly associated with research training, may include:</w:t>
      </w:r>
    </w:p>
    <w:p w:rsidR="001A5590" w:rsidRDefault="001A5590" w:rsidP="00C53003">
      <w:pPr>
        <w:pStyle w:val="Bullet1"/>
        <w:numPr>
          <w:ilvl w:val="0"/>
          <w:numId w:val="18"/>
        </w:numPr>
      </w:pPr>
      <w:r>
        <w:t>provision of generic and/or discipline-specific training for HDR candidates (for example, intellectual property training);</w:t>
      </w:r>
    </w:p>
    <w:p w:rsidR="001A5590" w:rsidRDefault="001A5590" w:rsidP="00C53003">
      <w:pPr>
        <w:pStyle w:val="Bullet1"/>
        <w:numPr>
          <w:ilvl w:val="0"/>
          <w:numId w:val="18"/>
        </w:numPr>
      </w:pPr>
      <w:r>
        <w:lastRenderedPageBreak/>
        <w:t>teacher training and/or supervision (mainly for candidates likely to take up academic positions); and</w:t>
      </w:r>
    </w:p>
    <w:p w:rsidR="001A5590" w:rsidRDefault="001A5590" w:rsidP="00C53003">
      <w:pPr>
        <w:pStyle w:val="Bullet1"/>
        <w:numPr>
          <w:ilvl w:val="0"/>
          <w:numId w:val="18"/>
        </w:numPr>
      </w:pPr>
      <w:r>
        <w:t>counselling, career guidance and other services provided centrally.</w:t>
      </w:r>
    </w:p>
    <w:p w:rsidR="001A5590" w:rsidRDefault="001A5590" w:rsidP="000C4BEA">
      <w:pPr>
        <w:pStyle w:val="BodyText"/>
      </w:pPr>
      <w:r>
        <w:t xml:space="preserve">The RTS is part of a raft of policies implemented by the Australian Government in 1999 through its </w:t>
      </w:r>
      <w:r w:rsidRPr="002939B3">
        <w:rPr>
          <w:rStyle w:val="italicChar"/>
        </w:rPr>
        <w:t>Knowledge and Innovation: A policy statement on research and research training</w:t>
      </w:r>
      <w:r>
        <w:t xml:space="preserve"> </w:t>
      </w:r>
      <w:r w:rsidRPr="002939B3">
        <w:rPr>
          <w:rStyle w:val="italicChar"/>
        </w:rPr>
        <w:t>reforms to the higher education sector.</w:t>
      </w:r>
      <w:r w:rsidRPr="00D65F13">
        <w:rPr>
          <w:rStyle w:val="StyleFootnoteReference"/>
          <w:sz w:val="18"/>
        </w:rPr>
        <w:footnoteReference w:id="1"/>
      </w:r>
      <w:r>
        <w:t xml:space="preserve">  These reforms were introduced following concerns raised by students, research institutions and employers regarding the breadth and quality of research training available at the time.  In its initial phase, RTS funding was delivered as Higher Education Contribution Scheme (HECS) exempt scholarships for eligible students undertaking PhDs or Research Masters courses in order to recognise the important contribution by research students to national innovation.  Similar to current arrangements, funding for the scholarships was delivered as block grants to universities.  Students undertaking PhD programs or Masters HDR programs could hold a scholarship for a maximum of four years FTE study or two years FTE study, respectively.  </w:t>
      </w:r>
    </w:p>
    <w:p w:rsidR="001A5590" w:rsidRDefault="001A5590" w:rsidP="000C4BEA">
      <w:pPr>
        <w:pStyle w:val="BodyText"/>
      </w:pPr>
      <w:r>
        <w:t>Since the introduction of the RTS in 1999, its method of funding allocation has remained largely unchanged.  Funding for each eligible HEP under the RTS has always been performance-driven and is based on a calculation combining:</w:t>
      </w:r>
    </w:p>
    <w:p w:rsidR="001A5590" w:rsidRDefault="001A5590" w:rsidP="00B23D7F">
      <w:pPr>
        <w:pStyle w:val="Bullet1"/>
        <w:numPr>
          <w:ilvl w:val="0"/>
          <w:numId w:val="18"/>
        </w:numPr>
        <w:rPr>
          <w:rFonts w:cs="Times New Roman"/>
          <w:szCs w:val="22"/>
        </w:rPr>
      </w:pPr>
      <w:r w:rsidRPr="00AA4A6F">
        <w:rPr>
          <w:rFonts w:cs="Times New Roman"/>
          <w:szCs w:val="22"/>
        </w:rPr>
        <w:t>previous RTS payments indexed to current prices (</w:t>
      </w:r>
      <w:r>
        <w:rPr>
          <w:rFonts w:cs="Times New Roman"/>
          <w:szCs w:val="22"/>
        </w:rPr>
        <w:t xml:space="preserve">e.g. </w:t>
      </w:r>
      <w:r w:rsidRPr="00AA4A6F">
        <w:rPr>
          <w:rFonts w:cs="Times New Roman"/>
          <w:szCs w:val="22"/>
        </w:rPr>
        <w:t>for 2011</w:t>
      </w:r>
      <w:r>
        <w:rPr>
          <w:rFonts w:cs="Times New Roman"/>
          <w:szCs w:val="22"/>
        </w:rPr>
        <w:t>,</w:t>
      </w:r>
      <w:r w:rsidRPr="00AA4A6F">
        <w:rPr>
          <w:rFonts w:cs="Times New Roman"/>
          <w:szCs w:val="22"/>
        </w:rPr>
        <w:t xml:space="preserve"> payments over the last 3 years were included); and </w:t>
      </w:r>
    </w:p>
    <w:p w:rsidR="001A5590" w:rsidRDefault="001A5590" w:rsidP="00B23D7F">
      <w:pPr>
        <w:pStyle w:val="Bullet1"/>
        <w:numPr>
          <w:ilvl w:val="0"/>
          <w:numId w:val="18"/>
        </w:numPr>
        <w:rPr>
          <w:rFonts w:cs="Times New Roman"/>
          <w:szCs w:val="22"/>
        </w:rPr>
      </w:pPr>
      <w:r w:rsidRPr="00AA4A6F">
        <w:rPr>
          <w:rFonts w:cs="Times New Roman"/>
          <w:szCs w:val="22"/>
        </w:rPr>
        <w:t xml:space="preserve">the RTS performance index where HDR student completions are weighted </w:t>
      </w:r>
      <w:r>
        <w:rPr>
          <w:rFonts w:cs="Times New Roman"/>
          <w:szCs w:val="22"/>
        </w:rPr>
        <w:t xml:space="preserve">at </w:t>
      </w:r>
      <w:r w:rsidRPr="00AA4A6F">
        <w:rPr>
          <w:rFonts w:cs="Times New Roman"/>
          <w:szCs w:val="22"/>
        </w:rPr>
        <w:t>50%, research income is weighted at 40% and research publications are weighted at 10% (averaged over the most recent two years for which they are available</w:t>
      </w:r>
      <w:r w:rsidRPr="00E95D71">
        <w:rPr>
          <w:rFonts w:cs="Times New Roman"/>
          <w:szCs w:val="22"/>
        </w:rPr>
        <w:t xml:space="preserve">) </w:t>
      </w:r>
      <w:r w:rsidR="00152C50" w:rsidRPr="00E95D71">
        <w:t>(DIISR 2011b</w:t>
      </w:r>
      <w:r w:rsidRPr="00E95D71">
        <w:t>)</w:t>
      </w:r>
      <w:r>
        <w:t>.</w:t>
      </w:r>
    </w:p>
    <w:p w:rsidR="001A5590" w:rsidRDefault="001A5590" w:rsidP="000C4BEA">
      <w:pPr>
        <w:pStyle w:val="BodyText"/>
        <w:rPr>
          <w:lang w:val="en-US"/>
        </w:rPr>
      </w:pPr>
      <w:r w:rsidRPr="006465A3">
        <w:t xml:space="preserve">The RTS performance index </w:t>
      </w:r>
      <w:r>
        <w:t>induces</w:t>
      </w:r>
      <w:r w:rsidRPr="006465A3">
        <w:t xml:space="preserve"> universities to deliver both quantity and quality outcomes.  HDR student completions </w:t>
      </w:r>
      <w:r>
        <w:t xml:space="preserve">measures the number of skilled researchers a university produces, </w:t>
      </w:r>
      <w:r w:rsidRPr="006465A3">
        <w:t xml:space="preserve">while the research income generated </w:t>
      </w:r>
      <w:r>
        <w:t xml:space="preserve">and </w:t>
      </w:r>
      <w:r w:rsidRPr="006465A3">
        <w:t xml:space="preserve">the number of research publications </w:t>
      </w:r>
      <w:r>
        <w:t>are</w:t>
      </w:r>
      <w:r w:rsidRPr="006465A3">
        <w:t xml:space="preserve"> used as </w:t>
      </w:r>
      <w:r>
        <w:t xml:space="preserve">a </w:t>
      </w:r>
      <w:r w:rsidRPr="006465A3">
        <w:t xml:space="preserve">proxy for the quality of the environment in which research is </w:t>
      </w:r>
      <w:r w:rsidRPr="006F34A4">
        <w:t xml:space="preserve">conducted. </w:t>
      </w:r>
      <w:r>
        <w:t xml:space="preserve"> </w:t>
      </w:r>
      <w:r w:rsidRPr="006F34A4">
        <w:rPr>
          <w:lang w:val="en-US"/>
        </w:rPr>
        <w:t>To</w:t>
      </w:r>
      <w:r w:rsidRPr="00C00198">
        <w:t xml:space="preserve"> recognise</w:t>
      </w:r>
      <w:r w:rsidRPr="006F34A4">
        <w:rPr>
          <w:lang w:val="en-US"/>
        </w:rPr>
        <w:t xml:space="preserve"> the cost differentials </w:t>
      </w:r>
      <w:r>
        <w:rPr>
          <w:lang w:val="en-US"/>
        </w:rPr>
        <w:t>among</w:t>
      </w:r>
      <w:r w:rsidRPr="006F34A4">
        <w:rPr>
          <w:lang w:val="en-US"/>
        </w:rPr>
        <w:t xml:space="preserve"> different courses of study, the ratio </w:t>
      </w:r>
      <w:r>
        <w:rPr>
          <w:lang w:val="en-US"/>
        </w:rPr>
        <w:t xml:space="preserve">of </w:t>
      </w:r>
      <w:r w:rsidRPr="006F34A4">
        <w:rPr>
          <w:lang w:val="en-US"/>
        </w:rPr>
        <w:t>low</w:t>
      </w:r>
      <w:r>
        <w:rPr>
          <w:lang w:val="en-US"/>
        </w:rPr>
        <w:t>-</w:t>
      </w:r>
      <w:r w:rsidRPr="006F34A4">
        <w:rPr>
          <w:lang w:val="en-US"/>
        </w:rPr>
        <w:t>cost completions to high</w:t>
      </w:r>
      <w:r>
        <w:rPr>
          <w:lang w:val="en-US"/>
        </w:rPr>
        <w:t>-</w:t>
      </w:r>
      <w:r w:rsidRPr="006F34A4">
        <w:rPr>
          <w:lang w:val="en-US"/>
        </w:rPr>
        <w:t xml:space="preserve">cost completions </w:t>
      </w:r>
      <w:r>
        <w:rPr>
          <w:lang w:val="en-US"/>
        </w:rPr>
        <w:t>is</w:t>
      </w:r>
      <w:r w:rsidRPr="006F34A4">
        <w:rPr>
          <w:lang w:val="en-US"/>
        </w:rPr>
        <w:t xml:space="preserve"> weighted </w:t>
      </w:r>
      <w:r w:rsidRPr="008340EE">
        <w:rPr>
          <w:lang w:val="en-US"/>
        </w:rPr>
        <w:t>at 1:2.35 (see</w:t>
      </w:r>
      <w:r w:rsidR="004E4B29">
        <w:rPr>
          <w:lang w:val="en-US"/>
        </w:rPr>
        <w:t xml:space="preserve"> </w:t>
      </w:r>
      <w:r w:rsidR="004E4B29">
        <w:rPr>
          <w:lang w:val="en-US"/>
        </w:rPr>
        <w:fldChar w:fldCharType="begin"/>
      </w:r>
      <w:r w:rsidR="004E4B29">
        <w:rPr>
          <w:lang w:val="en-US"/>
        </w:rPr>
        <w:instrText xml:space="preserve"> REF _Ref295125025 \r \h </w:instrText>
      </w:r>
      <w:r w:rsidR="00444B40" w:rsidRPr="00A01A35">
        <w:rPr>
          <w:lang w:val="en-US"/>
        </w:rPr>
      </w:r>
      <w:r w:rsidR="004E4B29">
        <w:rPr>
          <w:lang w:val="en-US"/>
        </w:rPr>
        <w:fldChar w:fldCharType="separate"/>
      </w:r>
      <w:r w:rsidR="00A01A35">
        <w:rPr>
          <w:lang w:val="en-US"/>
        </w:rPr>
        <w:t>Appendix A</w:t>
      </w:r>
      <w:r w:rsidR="004E4B29">
        <w:rPr>
          <w:lang w:val="en-US"/>
        </w:rPr>
        <w:fldChar w:fldCharType="end"/>
      </w:r>
      <w:r w:rsidRPr="008340EE">
        <w:rPr>
          <w:lang w:val="en-US"/>
        </w:rPr>
        <w:t xml:space="preserve">  for a full list).  The ratio of </w:t>
      </w:r>
      <w:r w:rsidR="00A744FB">
        <w:rPr>
          <w:lang w:val="en-US"/>
        </w:rPr>
        <w:t xml:space="preserve">Doctorate </w:t>
      </w:r>
      <w:r w:rsidRPr="008340EE">
        <w:rPr>
          <w:lang w:val="en-US"/>
        </w:rPr>
        <w:t>degrees by research to Master degrees by</w:t>
      </w:r>
      <w:r w:rsidRPr="006F34A4">
        <w:rPr>
          <w:lang w:val="en-US"/>
        </w:rPr>
        <w:t xml:space="preserve"> research is weighted at 2:1 to recognize the greater consumption of resources needed to complete a </w:t>
      </w:r>
      <w:r>
        <w:rPr>
          <w:lang w:val="en-US"/>
        </w:rPr>
        <w:t>PhD</w:t>
      </w:r>
      <w:r w:rsidRPr="006F34A4">
        <w:rPr>
          <w:lang w:val="en-US"/>
        </w:rPr>
        <w:t xml:space="preserve"> degree compared to a Master</w:t>
      </w:r>
      <w:r>
        <w:rPr>
          <w:lang w:val="en-US"/>
        </w:rPr>
        <w:t>s</w:t>
      </w:r>
      <w:r w:rsidRPr="006F34A4">
        <w:rPr>
          <w:lang w:val="en-US"/>
        </w:rPr>
        <w:t xml:space="preserve"> degree</w:t>
      </w:r>
      <w:r>
        <w:rPr>
          <w:lang w:val="en-US"/>
        </w:rPr>
        <w:t xml:space="preserve"> </w:t>
      </w:r>
      <w:r w:rsidR="00152C50" w:rsidRPr="00E95D71">
        <w:rPr>
          <w:lang w:val="en-US"/>
        </w:rPr>
        <w:t>(DIISR 2011b</w:t>
      </w:r>
      <w:r w:rsidRPr="00E95D71">
        <w:rPr>
          <w:lang w:val="en-US"/>
        </w:rPr>
        <w:t>).</w:t>
      </w:r>
      <w:r>
        <w:rPr>
          <w:lang w:val="en-US"/>
        </w:rPr>
        <w:t xml:space="preserve"> </w:t>
      </w:r>
    </w:p>
    <w:p w:rsidR="001A5590" w:rsidRPr="006465A3" w:rsidRDefault="001A5590" w:rsidP="002939B3">
      <w:pPr>
        <w:pStyle w:val="BodyText"/>
      </w:pPr>
    </w:p>
    <w:p w:rsidR="001A5590" w:rsidRDefault="001A5590" w:rsidP="00C53003">
      <w:pPr>
        <w:pStyle w:val="BodyText"/>
      </w:pPr>
    </w:p>
    <w:p w:rsidR="00791C4A" w:rsidRDefault="00791C4A" w:rsidP="00C53003">
      <w:pPr>
        <w:pStyle w:val="BodyText"/>
      </w:pPr>
    </w:p>
    <w:p w:rsidR="001A5590" w:rsidRDefault="00791C4A" w:rsidP="001A5590">
      <w:pPr>
        <w:pStyle w:val="Heading2"/>
        <w:numPr>
          <w:ilvl w:val="1"/>
          <w:numId w:val="21"/>
        </w:numPr>
        <w:tabs>
          <w:tab w:val="clear" w:pos="709"/>
        </w:tabs>
        <w:ind w:left="851" w:hanging="851"/>
      </w:pPr>
      <w:bookmarkStart w:id="40" w:name="_Toc294689573"/>
      <w:bookmarkStart w:id="41" w:name="_Toc298324954"/>
      <w:r>
        <w:br w:type="page"/>
      </w:r>
      <w:r w:rsidR="001A5590">
        <w:lastRenderedPageBreak/>
        <w:t>Issues with the current government funding system</w:t>
      </w:r>
      <w:bookmarkEnd w:id="40"/>
      <w:bookmarkEnd w:id="41"/>
    </w:p>
    <w:p w:rsidR="001A5590" w:rsidRPr="005814C9" w:rsidRDefault="001A5590" w:rsidP="00C53003">
      <w:pPr>
        <w:pStyle w:val="BodyText"/>
        <w:rPr>
          <w:szCs w:val="22"/>
        </w:rPr>
      </w:pPr>
      <w:r w:rsidRPr="00AC684C">
        <w:rPr>
          <w:szCs w:val="22"/>
        </w:rPr>
        <w:t xml:space="preserve">Recent consultation with the research workforce during development of the Research Workforce Strategy (RWS) highlighted concerns that </w:t>
      </w:r>
      <w:r>
        <w:rPr>
          <w:szCs w:val="22"/>
        </w:rPr>
        <w:t xml:space="preserve">funding for </w:t>
      </w:r>
      <w:r w:rsidRPr="00AC684C">
        <w:rPr>
          <w:szCs w:val="22"/>
        </w:rPr>
        <w:t>research</w:t>
      </w:r>
      <w:r>
        <w:rPr>
          <w:szCs w:val="22"/>
        </w:rPr>
        <w:t xml:space="preserve"> training</w:t>
      </w:r>
      <w:r w:rsidRPr="00AC684C">
        <w:rPr>
          <w:szCs w:val="22"/>
        </w:rPr>
        <w:t xml:space="preserve"> is</w:t>
      </w:r>
      <w:r w:rsidRPr="005814C9">
        <w:rPr>
          <w:szCs w:val="22"/>
        </w:rPr>
        <w:t xml:space="preserve"> currently insufficient to meet the needs of candidates and employers</w:t>
      </w:r>
      <w:r w:rsidR="00CB027C">
        <w:rPr>
          <w:szCs w:val="22"/>
        </w:rPr>
        <w:t xml:space="preserve"> (DIISR 2010</w:t>
      </w:r>
      <w:r w:rsidR="00443D06">
        <w:rPr>
          <w:szCs w:val="22"/>
        </w:rPr>
        <w:t>a</w:t>
      </w:r>
      <w:r w:rsidR="00CB027C">
        <w:rPr>
          <w:szCs w:val="22"/>
        </w:rPr>
        <w:t>)</w:t>
      </w:r>
      <w:r w:rsidRPr="005814C9">
        <w:rPr>
          <w:szCs w:val="22"/>
        </w:rPr>
        <w:t xml:space="preserve">.  </w:t>
      </w:r>
      <w:r>
        <w:rPr>
          <w:szCs w:val="22"/>
        </w:rPr>
        <w:t>Feedback</w:t>
      </w:r>
      <w:r w:rsidRPr="005814C9">
        <w:rPr>
          <w:szCs w:val="22"/>
        </w:rPr>
        <w:t xml:space="preserve"> suggests that current arrangements are unsustainable if the nation’s future needs are to be met.  The </w:t>
      </w:r>
      <w:r>
        <w:rPr>
          <w:szCs w:val="22"/>
        </w:rPr>
        <w:t>G</w:t>
      </w:r>
      <w:r w:rsidRPr="005814C9">
        <w:rPr>
          <w:szCs w:val="22"/>
        </w:rPr>
        <w:t>overnment’s aspirations for increased business investment in research</w:t>
      </w:r>
      <w:r>
        <w:rPr>
          <w:szCs w:val="22"/>
        </w:rPr>
        <w:t xml:space="preserve"> and development</w:t>
      </w:r>
      <w:r w:rsidRPr="005814C9">
        <w:rPr>
          <w:szCs w:val="22"/>
        </w:rPr>
        <w:t xml:space="preserve"> will depend</w:t>
      </w:r>
      <w:r>
        <w:rPr>
          <w:szCs w:val="22"/>
        </w:rPr>
        <w:t xml:space="preserve"> up</w:t>
      </w:r>
      <w:r w:rsidRPr="005814C9">
        <w:rPr>
          <w:szCs w:val="22"/>
        </w:rPr>
        <w:t xml:space="preserve">on the availability of researchers with the required skills mix.  In addition, achieving the </w:t>
      </w:r>
      <w:r>
        <w:rPr>
          <w:szCs w:val="22"/>
        </w:rPr>
        <w:t>G</w:t>
      </w:r>
      <w:r w:rsidRPr="005814C9">
        <w:rPr>
          <w:szCs w:val="22"/>
        </w:rPr>
        <w:t xml:space="preserve">overnment’s higher education goals by increasing the attainment of </w:t>
      </w:r>
      <w:r>
        <w:rPr>
          <w:szCs w:val="22"/>
        </w:rPr>
        <w:t>B</w:t>
      </w:r>
      <w:r w:rsidRPr="005814C9">
        <w:rPr>
          <w:szCs w:val="22"/>
        </w:rPr>
        <w:t xml:space="preserve">achelor degrees or </w:t>
      </w:r>
      <w:r>
        <w:rPr>
          <w:szCs w:val="22"/>
        </w:rPr>
        <w:t>higher</w:t>
      </w:r>
      <w:r w:rsidRPr="005814C9">
        <w:rPr>
          <w:szCs w:val="22"/>
        </w:rPr>
        <w:t xml:space="preserve"> among 25-34 year olds will require an increase in </w:t>
      </w:r>
      <w:r>
        <w:rPr>
          <w:szCs w:val="22"/>
        </w:rPr>
        <w:t xml:space="preserve">numbers of </w:t>
      </w:r>
      <w:r w:rsidRPr="005814C9">
        <w:rPr>
          <w:szCs w:val="22"/>
        </w:rPr>
        <w:t>academic teaching staff.</w:t>
      </w:r>
      <w:r>
        <w:rPr>
          <w:szCs w:val="22"/>
        </w:rPr>
        <w:t xml:space="preserve"> </w:t>
      </w:r>
      <w:r w:rsidRPr="005814C9">
        <w:rPr>
          <w:szCs w:val="22"/>
        </w:rPr>
        <w:t xml:space="preserve"> Looking forward to 2020, in the context of current funding arrangements and an increasingly competitive global market for highly skilled researchers, the supply of HDR</w:t>
      </w:r>
      <w:r>
        <w:rPr>
          <w:szCs w:val="22"/>
        </w:rPr>
        <w:t>-</w:t>
      </w:r>
      <w:r w:rsidRPr="005814C9">
        <w:rPr>
          <w:szCs w:val="22"/>
        </w:rPr>
        <w:t>qualified individuals is predicted to fall short of demand</w:t>
      </w:r>
      <w:r>
        <w:rPr>
          <w:szCs w:val="22"/>
        </w:rPr>
        <w:t>.</w:t>
      </w:r>
      <w:r w:rsidRPr="00D65F13">
        <w:rPr>
          <w:rStyle w:val="StyleFootnoteReference"/>
          <w:sz w:val="18"/>
        </w:rPr>
        <w:footnoteReference w:id="2"/>
      </w:r>
      <w:r w:rsidRPr="005814C9">
        <w:rPr>
          <w:szCs w:val="22"/>
        </w:rPr>
        <w:t xml:space="preserve">  Ultimately, this will </w:t>
      </w:r>
      <w:r>
        <w:rPr>
          <w:szCs w:val="22"/>
        </w:rPr>
        <w:t>adversely affect</w:t>
      </w:r>
      <w:r w:rsidRPr="005814C9">
        <w:rPr>
          <w:szCs w:val="22"/>
        </w:rPr>
        <w:t xml:space="preserve"> </w:t>
      </w:r>
      <w:smartTag w:uri="urn:schemas-microsoft-com:office:smarttags" w:element="country-region">
        <w:smartTag w:uri="urn:schemas-microsoft-com:office:smarttags" w:element="place">
          <w:r w:rsidRPr="005814C9">
            <w:rPr>
              <w:szCs w:val="22"/>
            </w:rPr>
            <w:t>Australia</w:t>
          </w:r>
        </w:smartTag>
      </w:smartTag>
      <w:r w:rsidRPr="005814C9">
        <w:rPr>
          <w:szCs w:val="22"/>
        </w:rPr>
        <w:t xml:space="preserve">’s potential for innovation and </w:t>
      </w:r>
      <w:r>
        <w:rPr>
          <w:szCs w:val="22"/>
        </w:rPr>
        <w:t xml:space="preserve">improved </w:t>
      </w:r>
      <w:r w:rsidRPr="005814C9">
        <w:rPr>
          <w:szCs w:val="22"/>
        </w:rPr>
        <w:t>productivity</w:t>
      </w:r>
      <w:r>
        <w:rPr>
          <w:szCs w:val="22"/>
        </w:rPr>
        <w:t xml:space="preserve"> growth rates</w:t>
      </w:r>
      <w:r w:rsidRPr="005814C9">
        <w:rPr>
          <w:szCs w:val="22"/>
        </w:rPr>
        <w:t xml:space="preserve">. </w:t>
      </w:r>
    </w:p>
    <w:p w:rsidR="001A5590" w:rsidRPr="005814C9" w:rsidRDefault="001A5590" w:rsidP="00C53003">
      <w:pPr>
        <w:pStyle w:val="BodyText"/>
        <w:rPr>
          <w:szCs w:val="22"/>
        </w:rPr>
      </w:pPr>
      <w:r>
        <w:rPr>
          <w:szCs w:val="22"/>
        </w:rPr>
        <w:t>Five key priority areas identified in the RWS</w:t>
      </w:r>
      <w:r w:rsidRPr="005814C9">
        <w:rPr>
          <w:szCs w:val="22"/>
        </w:rPr>
        <w:t xml:space="preserve"> </w:t>
      </w:r>
      <w:r>
        <w:rPr>
          <w:szCs w:val="22"/>
        </w:rPr>
        <w:t>are to</w:t>
      </w:r>
      <w:r w:rsidRPr="005814C9">
        <w:rPr>
          <w:szCs w:val="22"/>
        </w:rPr>
        <w:t>:</w:t>
      </w:r>
    </w:p>
    <w:p w:rsidR="001A5590" w:rsidRPr="00C173BE" w:rsidRDefault="001A5590" w:rsidP="00BC105C">
      <w:pPr>
        <w:pStyle w:val="Bullet1"/>
        <w:numPr>
          <w:ilvl w:val="0"/>
          <w:numId w:val="18"/>
        </w:numPr>
      </w:pPr>
      <w:r w:rsidRPr="00C72F8E">
        <w:t xml:space="preserve">meet the need for research skills in </w:t>
      </w:r>
      <w:smartTag w:uri="urn:schemas-microsoft-com:office:smarttags" w:element="place">
        <w:smartTag w:uri="urn:schemas-microsoft-com:office:smarttags" w:element="country-region">
          <w:r w:rsidRPr="00C72F8E">
            <w:t>Australia</w:t>
          </w:r>
        </w:smartTag>
      </w:smartTag>
      <w:r w:rsidRPr="00C72F8E">
        <w:t xml:space="preserve">; </w:t>
      </w:r>
    </w:p>
    <w:p w:rsidR="001A5590" w:rsidRPr="00C173BE" w:rsidRDefault="001A5590" w:rsidP="00BC105C">
      <w:pPr>
        <w:pStyle w:val="Bullet1"/>
        <w:numPr>
          <w:ilvl w:val="0"/>
          <w:numId w:val="18"/>
        </w:numPr>
      </w:pPr>
      <w:r w:rsidRPr="00C72F8E">
        <w:t xml:space="preserve">strengthen the quality of supply through </w:t>
      </w:r>
      <w:smartTag w:uri="urn:schemas-microsoft-com:office:smarttags" w:element="place">
        <w:smartTag w:uri="urn:schemas-microsoft-com:office:smarttags" w:element="country-region">
          <w:r w:rsidRPr="00C72F8E">
            <w:t>Australia</w:t>
          </w:r>
        </w:smartTag>
      </w:smartTag>
      <w:r w:rsidRPr="00C72F8E">
        <w:t xml:space="preserve">’s research training system; </w:t>
      </w:r>
    </w:p>
    <w:p w:rsidR="001A5590" w:rsidRPr="00C173BE" w:rsidRDefault="001A5590" w:rsidP="00BC105C">
      <w:pPr>
        <w:pStyle w:val="Bullet1"/>
        <w:numPr>
          <w:ilvl w:val="0"/>
          <w:numId w:val="18"/>
        </w:numPr>
      </w:pPr>
      <w:r w:rsidRPr="00C72F8E">
        <w:t>enhanc</w:t>
      </w:r>
      <w:r>
        <w:t>e</w:t>
      </w:r>
      <w:r w:rsidRPr="00C72F8E">
        <w:t xml:space="preserve"> the attractiveness of research careers in </w:t>
      </w:r>
      <w:smartTag w:uri="urn:schemas-microsoft-com:office:smarttags" w:element="place">
        <w:smartTag w:uri="urn:schemas-microsoft-com:office:smarttags" w:element="country-region">
          <w:r w:rsidRPr="00C72F8E">
            <w:t>Australia</w:t>
          </w:r>
        </w:smartTag>
      </w:smartTag>
      <w:r w:rsidRPr="00C72F8E">
        <w:t xml:space="preserve">; </w:t>
      </w:r>
    </w:p>
    <w:p w:rsidR="001A5590" w:rsidRPr="00C173BE" w:rsidRDefault="001A5590" w:rsidP="00BC105C">
      <w:pPr>
        <w:pStyle w:val="Bullet1"/>
        <w:numPr>
          <w:ilvl w:val="0"/>
          <w:numId w:val="18"/>
        </w:numPr>
      </w:pPr>
      <w:r w:rsidRPr="00C72F8E">
        <w:t>facilitat</w:t>
      </w:r>
      <w:r>
        <w:t xml:space="preserve">e </w:t>
      </w:r>
      <w:r w:rsidRPr="00C72F8E">
        <w:t xml:space="preserve">research workforce mobility; and </w:t>
      </w:r>
    </w:p>
    <w:p w:rsidR="001A5590" w:rsidRPr="00C173BE" w:rsidRDefault="001A5590" w:rsidP="00BC105C">
      <w:pPr>
        <w:pStyle w:val="Bullet1"/>
        <w:numPr>
          <w:ilvl w:val="0"/>
          <w:numId w:val="18"/>
        </w:numPr>
      </w:pPr>
      <w:r w:rsidRPr="00C72F8E">
        <w:t>increas</w:t>
      </w:r>
      <w:r>
        <w:t>e</w:t>
      </w:r>
      <w:r w:rsidRPr="00C72F8E">
        <w:t xml:space="preserve"> participation in </w:t>
      </w:r>
      <w:smartTag w:uri="urn:schemas-microsoft-com:office:smarttags" w:element="place">
        <w:smartTag w:uri="urn:schemas-microsoft-com:office:smarttags" w:element="country-region">
          <w:r w:rsidRPr="00C72F8E">
            <w:t>Australia</w:t>
          </w:r>
        </w:smartTag>
      </w:smartTag>
      <w:r w:rsidRPr="00C72F8E">
        <w:t>’s research workforce.</w:t>
      </w:r>
    </w:p>
    <w:p w:rsidR="001A5590" w:rsidRPr="00FC3437" w:rsidRDefault="001A5590" w:rsidP="00FC3437">
      <w:pPr>
        <w:pStyle w:val="BodyText"/>
        <w:rPr>
          <w:szCs w:val="22"/>
        </w:rPr>
      </w:pPr>
      <w:r>
        <w:rPr>
          <w:szCs w:val="22"/>
        </w:rPr>
        <w:t>Background studies underpinning t</w:t>
      </w:r>
      <w:r w:rsidRPr="00FC3437">
        <w:rPr>
          <w:szCs w:val="22"/>
        </w:rPr>
        <w:t xml:space="preserve">he RWS suggested </w:t>
      </w:r>
      <w:r>
        <w:rPr>
          <w:szCs w:val="22"/>
        </w:rPr>
        <w:t>a possible</w:t>
      </w:r>
      <w:r w:rsidRPr="00FC3437">
        <w:rPr>
          <w:szCs w:val="22"/>
        </w:rPr>
        <w:t xml:space="preserve"> expansion of the fixed pool of funding available through the RTS to </w:t>
      </w:r>
      <w:r>
        <w:rPr>
          <w:szCs w:val="22"/>
        </w:rPr>
        <w:t>induce</w:t>
      </w:r>
      <w:r w:rsidRPr="00FC3437">
        <w:rPr>
          <w:szCs w:val="22"/>
        </w:rPr>
        <w:t xml:space="preserve"> HEPs </w:t>
      </w:r>
      <w:r>
        <w:rPr>
          <w:szCs w:val="22"/>
        </w:rPr>
        <w:t xml:space="preserve">to </w:t>
      </w:r>
      <w:r w:rsidRPr="00FC3437">
        <w:rPr>
          <w:szCs w:val="22"/>
        </w:rPr>
        <w:t xml:space="preserve">strengthen the quality of research training offered and better meet the costs involved </w:t>
      </w:r>
      <w:r>
        <w:rPr>
          <w:szCs w:val="22"/>
        </w:rPr>
        <w:t>in</w:t>
      </w:r>
      <w:r w:rsidRPr="00FC3437">
        <w:rPr>
          <w:szCs w:val="22"/>
        </w:rPr>
        <w:t xml:space="preserve"> taking on more HDR candidates. </w:t>
      </w:r>
      <w:r>
        <w:rPr>
          <w:szCs w:val="22"/>
        </w:rPr>
        <w:t xml:space="preserve"> </w:t>
      </w:r>
      <w:r w:rsidRPr="00FC3437">
        <w:rPr>
          <w:szCs w:val="22"/>
        </w:rPr>
        <w:t xml:space="preserve">For example, it has been identified that the low-cost discipline weighting applied to </w:t>
      </w:r>
      <w:r>
        <w:rPr>
          <w:szCs w:val="22"/>
        </w:rPr>
        <w:t>a</w:t>
      </w:r>
      <w:r w:rsidRPr="00FC3437">
        <w:rPr>
          <w:szCs w:val="22"/>
        </w:rPr>
        <w:t xml:space="preserve">rchaeology and </w:t>
      </w:r>
      <w:r>
        <w:rPr>
          <w:szCs w:val="22"/>
        </w:rPr>
        <w:t>h</w:t>
      </w:r>
      <w:r w:rsidRPr="00FC3437">
        <w:rPr>
          <w:szCs w:val="22"/>
        </w:rPr>
        <w:t>istory HDR completions may underestimate their true cost</w:t>
      </w:r>
      <w:r>
        <w:rPr>
          <w:szCs w:val="22"/>
        </w:rPr>
        <w:t>—</w:t>
      </w:r>
      <w:r w:rsidRPr="00FC3437">
        <w:rPr>
          <w:szCs w:val="22"/>
        </w:rPr>
        <w:t>archaeology requiring extensive laboratory and field work and history requiring extensive travel and field work</w:t>
      </w:r>
      <w:r>
        <w:rPr>
          <w:szCs w:val="22"/>
        </w:rPr>
        <w:t xml:space="preserve"> </w:t>
      </w:r>
      <w:r w:rsidR="00152C50" w:rsidRPr="00443D06">
        <w:rPr>
          <w:szCs w:val="22"/>
        </w:rPr>
        <w:t>(DIISR 2011c</w:t>
      </w:r>
      <w:r w:rsidRPr="00443D06">
        <w:rPr>
          <w:szCs w:val="22"/>
        </w:rPr>
        <w:t xml:space="preserve">).  According to the </w:t>
      </w:r>
      <w:r w:rsidR="00A2286A" w:rsidRPr="00443D06">
        <w:rPr>
          <w:szCs w:val="22"/>
        </w:rPr>
        <w:t>DIISR Portfolio Budgets</w:t>
      </w:r>
      <w:r w:rsidRPr="00443D06">
        <w:rPr>
          <w:szCs w:val="22"/>
        </w:rPr>
        <w:t>, RTS funding has been essentially fixed</w:t>
      </w:r>
      <w:r w:rsidR="00B23D7F">
        <w:rPr>
          <w:szCs w:val="22"/>
        </w:rPr>
        <w:t>,</w:t>
      </w:r>
      <w:r w:rsidRPr="00443D06">
        <w:rPr>
          <w:szCs w:val="22"/>
        </w:rPr>
        <w:t xml:space="preserve"> barring indexation since 2001</w:t>
      </w:r>
      <w:r w:rsidR="00945DF9">
        <w:rPr>
          <w:szCs w:val="22"/>
        </w:rPr>
        <w:t xml:space="preserve">. </w:t>
      </w:r>
      <w:r w:rsidR="00A2286A" w:rsidRPr="00443D06">
        <w:rPr>
          <w:szCs w:val="22"/>
        </w:rPr>
        <w:t>It</w:t>
      </w:r>
      <w:r w:rsidRPr="00443D06">
        <w:rPr>
          <w:szCs w:val="22"/>
        </w:rPr>
        <w:t xml:space="preserve"> is projected to remain so in the future, therefore limiting the increase in numbers of sup</w:t>
      </w:r>
      <w:r w:rsidR="00152C50" w:rsidRPr="00443D06">
        <w:rPr>
          <w:szCs w:val="22"/>
        </w:rPr>
        <w:t>ported HDR students</w:t>
      </w:r>
      <w:r w:rsidR="00A2286A" w:rsidRPr="00443D06">
        <w:rPr>
          <w:szCs w:val="22"/>
        </w:rPr>
        <w:t xml:space="preserve"> (DIISR 2001 to 2010</w:t>
      </w:r>
      <w:r w:rsidR="00443D06" w:rsidRPr="00443D06">
        <w:rPr>
          <w:szCs w:val="22"/>
        </w:rPr>
        <w:t>b</w:t>
      </w:r>
      <w:r w:rsidRPr="00443D06">
        <w:rPr>
          <w:szCs w:val="22"/>
        </w:rPr>
        <w:t>)</w:t>
      </w:r>
      <w:r w:rsidRPr="00FC3437">
        <w:rPr>
          <w:szCs w:val="22"/>
        </w:rPr>
        <w:t>.  The RWS suggest</w:t>
      </w:r>
      <w:r>
        <w:rPr>
          <w:szCs w:val="22"/>
        </w:rPr>
        <w:t>s</w:t>
      </w:r>
      <w:r w:rsidRPr="00FC3437">
        <w:rPr>
          <w:szCs w:val="22"/>
        </w:rPr>
        <w:t xml:space="preserve"> r</w:t>
      </w:r>
      <w:r>
        <w:rPr>
          <w:szCs w:val="22"/>
        </w:rPr>
        <w:t xml:space="preserve">e-examining </w:t>
      </w:r>
      <w:r w:rsidRPr="00FC3437">
        <w:rPr>
          <w:szCs w:val="22"/>
        </w:rPr>
        <w:t xml:space="preserve">the RTS </w:t>
      </w:r>
      <w:r>
        <w:rPr>
          <w:szCs w:val="22"/>
        </w:rPr>
        <w:t>funding drivers, such a</w:t>
      </w:r>
      <w:r w:rsidR="00443D06">
        <w:rPr>
          <w:szCs w:val="22"/>
        </w:rPr>
        <w:t>s</w:t>
      </w:r>
      <w:r>
        <w:rPr>
          <w:szCs w:val="22"/>
        </w:rPr>
        <w:t xml:space="preserve"> the </w:t>
      </w:r>
      <w:r w:rsidRPr="00FC3437">
        <w:rPr>
          <w:szCs w:val="22"/>
        </w:rPr>
        <w:t xml:space="preserve">high-cost/low-cost funding weights </w:t>
      </w:r>
      <w:r>
        <w:rPr>
          <w:szCs w:val="22"/>
        </w:rPr>
        <w:t>in response</w:t>
      </w:r>
      <w:r w:rsidRPr="00FC3437">
        <w:rPr>
          <w:szCs w:val="22"/>
        </w:rPr>
        <w:t xml:space="preserve"> to the changed nature of practices and demands across disciplines and the changed competency base expected of HDR candidates by employers. </w:t>
      </w:r>
      <w:r>
        <w:rPr>
          <w:szCs w:val="22"/>
        </w:rPr>
        <w:t xml:space="preserve"> </w:t>
      </w:r>
      <w:r w:rsidRPr="00FC3437">
        <w:rPr>
          <w:szCs w:val="22"/>
        </w:rPr>
        <w:t xml:space="preserve">Expanding the pool of RTS funding will </w:t>
      </w:r>
      <w:r>
        <w:rPr>
          <w:szCs w:val="22"/>
        </w:rPr>
        <w:t>reduce the incentive for HEPs to pursue</w:t>
      </w:r>
      <w:r w:rsidRPr="00FC3437">
        <w:rPr>
          <w:szCs w:val="22"/>
        </w:rPr>
        <w:t xml:space="preserve"> unsustainable practices</w:t>
      </w:r>
      <w:r>
        <w:rPr>
          <w:szCs w:val="22"/>
        </w:rPr>
        <w:t>—</w:t>
      </w:r>
      <w:r w:rsidRPr="00FC3437">
        <w:rPr>
          <w:szCs w:val="22"/>
        </w:rPr>
        <w:t>such as cross-subsidising research training from funds dedicated for other purposes and reducing the amount of funding per HDR candidate</w:t>
      </w:r>
      <w:r>
        <w:rPr>
          <w:szCs w:val="22"/>
        </w:rPr>
        <w:t>—</w:t>
      </w:r>
      <w:r w:rsidRPr="00FC3437">
        <w:rPr>
          <w:szCs w:val="22"/>
        </w:rPr>
        <w:t xml:space="preserve">and thus compromising the quality of training offered.  This measure was strongly supported by the research workforce sector in response to the RWS.  </w:t>
      </w:r>
    </w:p>
    <w:p w:rsidR="001A5590" w:rsidRDefault="001A5590" w:rsidP="00007895">
      <w:pPr>
        <w:pStyle w:val="BodyText"/>
      </w:pPr>
      <w:r w:rsidRPr="005C10C7">
        <w:rPr>
          <w:szCs w:val="22"/>
        </w:rPr>
        <w:t>A research training system that adequately addresses the challenges identified above requires a clear understanding of the current and future costs of training HDR candidates.</w:t>
      </w:r>
    </w:p>
    <w:p w:rsidR="001A5590" w:rsidRDefault="001A5590" w:rsidP="001A5590">
      <w:pPr>
        <w:pStyle w:val="Heading1"/>
        <w:numPr>
          <w:ilvl w:val="0"/>
          <w:numId w:val="21"/>
        </w:numPr>
        <w:ind w:left="0" w:hanging="567"/>
      </w:pPr>
      <w:bookmarkStart w:id="42" w:name="_Toc298324955"/>
      <w:r>
        <w:lastRenderedPageBreak/>
        <w:t>Literature review—International approaches to the costing of research training</w:t>
      </w:r>
      <w:bookmarkEnd w:id="42"/>
    </w:p>
    <w:p w:rsidR="001A5590" w:rsidRDefault="001A5590" w:rsidP="001A5590">
      <w:pPr>
        <w:pStyle w:val="Heading2"/>
        <w:numPr>
          <w:ilvl w:val="1"/>
          <w:numId w:val="21"/>
        </w:numPr>
        <w:tabs>
          <w:tab w:val="clear" w:pos="709"/>
        </w:tabs>
        <w:ind w:left="851" w:hanging="851"/>
      </w:pPr>
      <w:bookmarkStart w:id="43" w:name="_Toc298324956"/>
      <w:bookmarkStart w:id="44" w:name="OLE_LINK6"/>
      <w:r>
        <w:t>Introduction</w:t>
      </w:r>
      <w:bookmarkEnd w:id="43"/>
    </w:p>
    <w:p w:rsidR="001A5590" w:rsidRDefault="001A5590" w:rsidP="00837248">
      <w:pPr>
        <w:pStyle w:val="BodyText"/>
      </w:pPr>
      <w:r>
        <w:t xml:space="preserve">The purpose of this literature review is to consider the results of research in other countries that have examined the actual cost of a research training place. </w:t>
      </w:r>
    </w:p>
    <w:p w:rsidR="001A5590" w:rsidRDefault="001A5590" w:rsidP="00837248">
      <w:pPr>
        <w:pStyle w:val="BodyText"/>
      </w:pPr>
      <w:r>
        <w:t>A review of available international sources established that research training is funded by governments (represented by Box B in</w:t>
      </w:r>
      <w:r w:rsidR="00B6102D">
        <w:t xml:space="preserve"> </w:t>
      </w:r>
      <w:r w:rsidR="00B6102D">
        <w:fldChar w:fldCharType="begin"/>
      </w:r>
      <w:r w:rsidR="00B6102D">
        <w:instrText xml:space="preserve"> REF _Ref294775433 \r \h </w:instrText>
      </w:r>
      <w:r w:rsidR="00B6102D">
        <w:fldChar w:fldCharType="separate"/>
      </w:r>
      <w:r w:rsidR="00A01A35">
        <w:t>Figure 3.1</w:t>
      </w:r>
      <w:r w:rsidR="00B6102D">
        <w:fldChar w:fldCharType="end"/>
      </w:r>
      <w:r>
        <w:t xml:space="preserve">) and in some cases through fees charged to postgraduate students (Box C).  However, very few countries appear to have examined the actual cost of a research training place (Box E).  </w:t>
      </w:r>
    </w:p>
    <w:p w:rsidR="001A5590" w:rsidRDefault="001A5590" w:rsidP="00837248">
      <w:pPr>
        <w:pStyle w:val="BodyText"/>
      </w:pPr>
      <w:r>
        <w:fldChar w:fldCharType="begin"/>
      </w:r>
      <w:r>
        <w:instrText xml:space="preserve"> REF _Ref294775445 \r \h </w:instrText>
      </w:r>
      <w:r>
        <w:fldChar w:fldCharType="separate"/>
      </w:r>
      <w:r w:rsidR="00A01A35">
        <w:t>Figure 3.1</w:t>
      </w:r>
      <w:r>
        <w:fldChar w:fldCharType="end"/>
      </w:r>
      <w:r>
        <w:t xml:space="preserve"> attempts to illustrate the relationship between funding for research training (Boxes A to D), actual cost of a research training place (Box E) and the total cost of funding an individual to complete a research training degree (Box G). </w:t>
      </w:r>
    </w:p>
    <w:bookmarkEnd w:id="44"/>
    <w:p w:rsidR="001A5590" w:rsidRDefault="001A5590" w:rsidP="00837248">
      <w:pPr>
        <w:pStyle w:val="BodyText"/>
      </w:pPr>
      <w:r w:rsidRPr="007A1B00">
        <w:t>External income and other sources of university funding are also used to subsidise and fund the cost of research training.</w:t>
      </w:r>
      <w:r>
        <w:t xml:space="preserve"> </w:t>
      </w:r>
      <w:r w:rsidRPr="007A1B00">
        <w:t xml:space="preserve"> Research grants from all sources secured by universities may have a research training component that is used to fund the cost of training for a HDR student associated with </w:t>
      </w:r>
      <w:r>
        <w:t>a</w:t>
      </w:r>
      <w:r w:rsidRPr="007A1B00">
        <w:t xml:space="preserve"> research project. </w:t>
      </w:r>
      <w:r>
        <w:t xml:space="preserve"> </w:t>
      </w:r>
      <w:r w:rsidRPr="007A1B00">
        <w:t>External sources such as donations, beques</w:t>
      </w:r>
      <w:r>
        <w:t>ts</w:t>
      </w:r>
      <w:r w:rsidRPr="007A1B00">
        <w:t xml:space="preserve"> or gifts may also be used to subsidise research training costs.</w:t>
      </w:r>
    </w:p>
    <w:p w:rsidR="001A5590" w:rsidRPr="0032681C" w:rsidRDefault="001A5590" w:rsidP="00837248">
      <w:pPr>
        <w:pStyle w:val="BodyText"/>
      </w:pPr>
      <w:r w:rsidRPr="0032681C">
        <w:t xml:space="preserve">In addition to the costs required to fund the training of a HDR student, living allowances and scholarship fees are also required to maintain a student undertaking a research </w:t>
      </w:r>
      <w:r>
        <w:t xml:space="preserve">higher </w:t>
      </w:r>
      <w:r w:rsidRPr="0032681C">
        <w:t>degree (</w:t>
      </w:r>
      <w:r>
        <w:t>B</w:t>
      </w:r>
      <w:r w:rsidRPr="0032681C">
        <w:t xml:space="preserve">ox F). </w:t>
      </w:r>
      <w:r>
        <w:t xml:space="preserve"> </w:t>
      </w:r>
      <w:r w:rsidRPr="0032681C">
        <w:t>For the purposes of this study</w:t>
      </w:r>
      <w:r>
        <w:t>,</w:t>
      </w:r>
      <w:r w:rsidRPr="0032681C">
        <w:t xml:space="preserve"> however</w:t>
      </w:r>
      <w:r>
        <w:t>,</w:t>
      </w:r>
      <w:r w:rsidRPr="0032681C">
        <w:t xml:space="preserve"> the focus is on </w:t>
      </w:r>
      <w:r>
        <w:t>B</w:t>
      </w:r>
      <w:r w:rsidRPr="0032681C">
        <w:t>oxes A to D.</w:t>
      </w:r>
    </w:p>
    <w:p w:rsidR="001A5590" w:rsidRPr="00BC7A05" w:rsidRDefault="001A5590" w:rsidP="00BC7A05">
      <w:pPr>
        <w:pStyle w:val="BodyText"/>
      </w:pPr>
      <w:r>
        <w:t>In this literature review, only two countries—</w:t>
      </w:r>
      <w:smartTag w:uri="urn:schemas-microsoft-com:office:smarttags" w:element="country-region">
        <w:r>
          <w:t>England</w:t>
        </w:r>
      </w:smartTag>
      <w:r>
        <w:t xml:space="preserve"> and the </w:t>
      </w:r>
      <w:smartTag w:uri="urn:schemas-microsoft-com:office:smarttags" w:element="place">
        <w:smartTag w:uri="urn:schemas-microsoft-com:office:smarttags" w:element="country-region">
          <w:r>
            <w:t>USA</w:t>
          </w:r>
        </w:smartTag>
      </w:smartTag>
      <w:r>
        <w:t xml:space="preserve">—were found to have examined the actual costs of research training (i.e. Box E).  Further information on how English and </w:t>
      </w:r>
      <w:smartTag w:uri="urn:schemas-microsoft-com:office:smarttags" w:element="place">
        <w:smartTag w:uri="urn:schemas-microsoft-com:office:smarttags" w:element="country-region">
          <w:r>
            <w:t>US</w:t>
          </w:r>
          <w:r w:rsidR="00B23D7F">
            <w:t>A</w:t>
          </w:r>
        </w:smartTag>
      </w:smartTag>
      <w:r>
        <w:t xml:space="preserve"> research training costs are calculated appears in the next section.</w:t>
      </w:r>
    </w:p>
    <w:p w:rsidR="001A5590" w:rsidRDefault="001A5590" w:rsidP="00837248">
      <w:pPr>
        <w:pStyle w:val="CaptionFigure"/>
        <w:numPr>
          <w:ilvl w:val="8"/>
          <w:numId w:val="21"/>
        </w:numPr>
        <w:ind w:left="0" w:firstLine="0"/>
      </w:pPr>
      <w:bookmarkStart w:id="45" w:name="_Ref294775433"/>
      <w:bookmarkStart w:id="46" w:name="_Ref294775445"/>
      <w:bookmarkStart w:id="47" w:name="_Toc298325009"/>
      <w:r>
        <w:t xml:space="preserve">: </w:t>
      </w:r>
      <w:r w:rsidRPr="00481F2D">
        <w:t>Schematic representation of funding of research training</w:t>
      </w:r>
      <w:bookmarkEnd w:id="45"/>
      <w:bookmarkEnd w:id="46"/>
      <w:bookmarkEnd w:id="47"/>
    </w:p>
    <w:p w:rsidR="001A5590" w:rsidRPr="006D4795" w:rsidRDefault="00DD6724" w:rsidP="00BC7A05">
      <w:pPr>
        <w:pStyle w:val="BodyText"/>
      </w:pPr>
      <w:r>
        <w:rPr>
          <w:b/>
          <w:i/>
          <w:noProof/>
          <w:lang w:eastAsia="en-AU"/>
        </w:rPr>
        <mc:AlternateContent>
          <mc:Choice Requires="wpc">
            <w:drawing>
              <wp:inline distT="0" distB="0" distL="0" distR="0">
                <wp:extent cx="5321300" cy="1714500"/>
                <wp:effectExtent l="0" t="0" r="3175" b="0"/>
                <wp:docPr id="47" name="Canvas 12" descr="Figure 3.1: Schematic representation of funding of research training"/>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4" name="Text Box 14"/>
                        <wps:cNvSpPr txBox="1">
                          <a:spLocks noChangeArrowheads="1"/>
                        </wps:cNvSpPr>
                        <wps:spPr bwMode="auto">
                          <a:xfrm>
                            <a:off x="4613947" y="568855"/>
                            <a:ext cx="515495" cy="680812"/>
                          </a:xfrm>
                          <a:prstGeom prst="rect">
                            <a:avLst/>
                          </a:prstGeom>
                          <a:solidFill>
                            <a:srgbClr val="FFFF99"/>
                          </a:solidFill>
                          <a:ln w="9525">
                            <a:solidFill>
                              <a:srgbClr val="000000"/>
                            </a:solidFill>
                            <a:miter lim="800000"/>
                            <a:headEnd/>
                            <a:tailEnd/>
                          </a:ln>
                        </wps:spPr>
                        <wps:txbx>
                          <w:txbxContent>
                            <w:p w:rsidR="003E3674" w:rsidRPr="004A1A70" w:rsidRDefault="003E3674" w:rsidP="00CB25D7">
                              <w:pPr>
                                <w:jc w:val="center"/>
                                <w:rPr>
                                  <w:b/>
                                  <w:sz w:val="16"/>
                                </w:rPr>
                              </w:pPr>
                              <w:r w:rsidRPr="004A1A70">
                                <w:rPr>
                                  <w:b/>
                                  <w:sz w:val="16"/>
                                </w:rPr>
                                <w:t xml:space="preserve">G. Total funding for research training </w:t>
                              </w:r>
                            </w:p>
                            <w:p w:rsidR="003E3674" w:rsidRPr="004A1A70" w:rsidRDefault="003E3674" w:rsidP="00CB25D7">
                              <w:pPr>
                                <w:jc w:val="center"/>
                                <w:rPr>
                                  <w:b/>
                                  <w:sz w:val="16"/>
                                </w:rPr>
                              </w:pPr>
                              <w:r w:rsidRPr="004A1A70">
                                <w:rPr>
                                  <w:b/>
                                  <w:sz w:val="16"/>
                                </w:rPr>
                                <w:t>(i.e. E+F)</w:t>
                              </w:r>
                            </w:p>
                          </w:txbxContent>
                        </wps:txbx>
                        <wps:bodyPr rot="0" vert="horz" wrap="square" lIns="60350" tIns="30175" rIns="60350" bIns="30175" anchor="t" anchorCtr="0" upright="1">
                          <a:noAutofit/>
                        </wps:bodyPr>
                      </wps:wsp>
                      <wps:wsp>
                        <wps:cNvPr id="35" name="Text Box 15"/>
                        <wps:cNvSpPr txBox="1">
                          <a:spLocks noChangeArrowheads="1"/>
                        </wps:cNvSpPr>
                        <wps:spPr bwMode="auto">
                          <a:xfrm>
                            <a:off x="2326103" y="356845"/>
                            <a:ext cx="136596" cy="212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3674" w:rsidRPr="004A1A70" w:rsidRDefault="003E3674" w:rsidP="00CB25D7">
                              <w:pPr>
                                <w:rPr>
                                  <w:b/>
                                </w:rPr>
                              </w:pPr>
                              <w:r w:rsidRPr="004A1A70">
                                <w:rPr>
                                  <w:b/>
                                </w:rPr>
                                <w:t>+</w:t>
                              </w:r>
                            </w:p>
                          </w:txbxContent>
                        </wps:txbx>
                        <wps:bodyPr rot="0" vert="horz" wrap="square" lIns="60350" tIns="30175" rIns="60350" bIns="30175" anchor="t" anchorCtr="0" upright="1">
                          <a:noAutofit/>
                        </wps:bodyPr>
                      </wps:wsp>
                      <wps:wsp>
                        <wps:cNvPr id="36" name="Text Box 16"/>
                        <wps:cNvSpPr txBox="1">
                          <a:spLocks noChangeArrowheads="1"/>
                        </wps:cNvSpPr>
                        <wps:spPr bwMode="auto">
                          <a:xfrm>
                            <a:off x="1630652" y="356845"/>
                            <a:ext cx="136596" cy="212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3674" w:rsidRPr="004A1A70" w:rsidRDefault="003E3674" w:rsidP="00CB25D7">
                              <w:pPr>
                                <w:rPr>
                                  <w:b/>
                                </w:rPr>
                              </w:pPr>
                              <w:r w:rsidRPr="004A1A70">
                                <w:rPr>
                                  <w:b/>
                                </w:rPr>
                                <w:t>+</w:t>
                              </w:r>
                            </w:p>
                          </w:txbxContent>
                        </wps:txbx>
                        <wps:bodyPr rot="0" vert="horz" wrap="square" lIns="60350" tIns="30175" rIns="60350" bIns="30175" anchor="t" anchorCtr="0" upright="1">
                          <a:noAutofit/>
                        </wps:bodyPr>
                      </wps:wsp>
                      <wps:wsp>
                        <wps:cNvPr id="37" name="Text Box 17"/>
                        <wps:cNvSpPr txBox="1">
                          <a:spLocks noChangeArrowheads="1"/>
                        </wps:cNvSpPr>
                        <wps:spPr bwMode="auto">
                          <a:xfrm>
                            <a:off x="3159850" y="925700"/>
                            <a:ext cx="969493" cy="738632"/>
                          </a:xfrm>
                          <a:prstGeom prst="rect">
                            <a:avLst/>
                          </a:prstGeom>
                          <a:solidFill>
                            <a:srgbClr val="FF9900"/>
                          </a:solidFill>
                          <a:ln w="9525">
                            <a:solidFill>
                              <a:srgbClr val="000000"/>
                            </a:solidFill>
                            <a:miter lim="800000"/>
                            <a:headEnd/>
                            <a:tailEnd/>
                          </a:ln>
                        </wps:spPr>
                        <wps:txbx>
                          <w:txbxContent>
                            <w:p w:rsidR="003E3674" w:rsidRPr="004A1A70" w:rsidRDefault="003E3674" w:rsidP="00CB25D7">
                              <w:pPr>
                                <w:jc w:val="center"/>
                                <w:rPr>
                                  <w:b/>
                                  <w:sz w:val="16"/>
                                </w:rPr>
                              </w:pPr>
                              <w:r w:rsidRPr="004A1A70">
                                <w:rPr>
                                  <w:b/>
                                  <w:sz w:val="16"/>
                                </w:rPr>
                                <w:t>F</w:t>
                              </w:r>
                            </w:p>
                            <w:p w:rsidR="003E3674" w:rsidRPr="004A1A70" w:rsidRDefault="003E3674" w:rsidP="00CB25D7">
                              <w:pPr>
                                <w:jc w:val="center"/>
                                <w:rPr>
                                  <w:b/>
                                  <w:sz w:val="16"/>
                                </w:rPr>
                              </w:pPr>
                              <w:r w:rsidRPr="004A1A70">
                                <w:rPr>
                                  <w:b/>
                                  <w:sz w:val="16"/>
                                </w:rPr>
                                <w:t xml:space="preserve">Funding for the </w:t>
                              </w:r>
                              <w:r w:rsidRPr="004A1A70">
                                <w:rPr>
                                  <w:b/>
                                  <w:i/>
                                  <w:sz w:val="16"/>
                                </w:rPr>
                                <w:t xml:space="preserve">research student </w:t>
                              </w:r>
                              <w:r w:rsidRPr="004A1A70">
                                <w:rPr>
                                  <w:b/>
                                  <w:sz w:val="16"/>
                                </w:rPr>
                                <w:t>(living stipend, scholarship)</w:t>
                              </w:r>
                            </w:p>
                          </w:txbxContent>
                        </wps:txbx>
                        <wps:bodyPr rot="0" vert="horz" wrap="square" lIns="60350" tIns="30175" rIns="60350" bIns="30175" anchor="t" anchorCtr="0" upright="1">
                          <a:noAutofit/>
                        </wps:bodyPr>
                      </wps:wsp>
                      <wps:wsp>
                        <wps:cNvPr id="38" name="Text Box 18"/>
                        <wps:cNvSpPr txBox="1">
                          <a:spLocks noChangeArrowheads="1"/>
                        </wps:cNvSpPr>
                        <wps:spPr bwMode="auto">
                          <a:xfrm>
                            <a:off x="3262722" y="321982"/>
                            <a:ext cx="199793" cy="212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3674" w:rsidRPr="004A1A70" w:rsidRDefault="003E3674" w:rsidP="00CB25D7">
                              <w:pPr>
                                <w:rPr>
                                  <w:b/>
                                </w:rPr>
                              </w:pPr>
                              <w:r>
                                <w:rPr>
                                  <w:b/>
                                </w:rPr>
                                <w:t>=</w:t>
                              </w:r>
                            </w:p>
                          </w:txbxContent>
                        </wps:txbx>
                        <wps:bodyPr rot="0" vert="horz" wrap="square" lIns="60350" tIns="30175" rIns="60350" bIns="30175" anchor="t" anchorCtr="0" upright="1">
                          <a:noAutofit/>
                        </wps:bodyPr>
                      </wps:wsp>
                      <wps:wsp>
                        <wps:cNvPr id="39" name="Text Box 19"/>
                        <wps:cNvSpPr txBox="1">
                          <a:spLocks noChangeArrowheads="1"/>
                        </wps:cNvSpPr>
                        <wps:spPr bwMode="auto">
                          <a:xfrm>
                            <a:off x="3462798" y="58388"/>
                            <a:ext cx="666544" cy="711989"/>
                          </a:xfrm>
                          <a:prstGeom prst="rect">
                            <a:avLst/>
                          </a:prstGeom>
                          <a:solidFill>
                            <a:srgbClr val="66FFFF"/>
                          </a:solidFill>
                          <a:ln w="9525">
                            <a:solidFill>
                              <a:srgbClr val="000000"/>
                            </a:solidFill>
                            <a:miter lim="800000"/>
                            <a:headEnd/>
                            <a:tailEnd/>
                          </a:ln>
                        </wps:spPr>
                        <wps:txbx>
                          <w:txbxContent>
                            <w:p w:rsidR="003E3674" w:rsidRPr="004A1A70" w:rsidRDefault="003E3674" w:rsidP="00CB25D7">
                              <w:pPr>
                                <w:jc w:val="center"/>
                                <w:rPr>
                                  <w:b/>
                                  <w:sz w:val="16"/>
                                </w:rPr>
                              </w:pPr>
                              <w:r w:rsidRPr="004A1A70">
                                <w:rPr>
                                  <w:b/>
                                  <w:sz w:val="16"/>
                                </w:rPr>
                                <w:t>E.</w:t>
                              </w:r>
                            </w:p>
                            <w:p w:rsidR="003E3674" w:rsidRPr="004A1A70" w:rsidRDefault="003E3674" w:rsidP="00CB25D7">
                              <w:pPr>
                                <w:jc w:val="center"/>
                                <w:rPr>
                                  <w:b/>
                                  <w:sz w:val="16"/>
                                </w:rPr>
                              </w:pPr>
                              <w:r w:rsidRPr="004A1A70">
                                <w:rPr>
                                  <w:b/>
                                  <w:sz w:val="16"/>
                                </w:rPr>
                                <w:t xml:space="preserve">Actual cost of </w:t>
                              </w:r>
                              <w:r w:rsidRPr="004A1A70">
                                <w:rPr>
                                  <w:b/>
                                  <w:i/>
                                  <w:sz w:val="16"/>
                                </w:rPr>
                                <w:t>research training place</w:t>
                              </w:r>
                            </w:p>
                          </w:txbxContent>
                        </wps:txbx>
                        <wps:bodyPr rot="0" vert="horz" wrap="square" lIns="60350" tIns="30175" rIns="60350" bIns="30175" anchor="t" anchorCtr="0" upright="1">
                          <a:noAutofit/>
                        </wps:bodyPr>
                      </wps:wsp>
                      <wps:wsp>
                        <wps:cNvPr id="40" name="Text Box 20"/>
                        <wps:cNvSpPr txBox="1">
                          <a:spLocks noChangeArrowheads="1"/>
                        </wps:cNvSpPr>
                        <wps:spPr bwMode="auto">
                          <a:xfrm>
                            <a:off x="1058479" y="58388"/>
                            <a:ext cx="572174" cy="1262988"/>
                          </a:xfrm>
                          <a:prstGeom prst="rect">
                            <a:avLst/>
                          </a:prstGeom>
                          <a:solidFill>
                            <a:srgbClr val="CCFFFF"/>
                          </a:solidFill>
                          <a:ln w="9525">
                            <a:solidFill>
                              <a:srgbClr val="000000"/>
                            </a:solidFill>
                            <a:miter lim="800000"/>
                            <a:headEnd/>
                            <a:tailEnd/>
                          </a:ln>
                        </wps:spPr>
                        <wps:txbx>
                          <w:txbxContent>
                            <w:p w:rsidR="003E3674" w:rsidRPr="004A1A70" w:rsidRDefault="003E3674" w:rsidP="00CB25D7">
                              <w:pPr>
                                <w:jc w:val="center"/>
                                <w:rPr>
                                  <w:sz w:val="16"/>
                                </w:rPr>
                              </w:pPr>
                              <w:r w:rsidRPr="004A1A70">
                                <w:rPr>
                                  <w:sz w:val="16"/>
                                </w:rPr>
                                <w:t xml:space="preserve">B. </w:t>
                              </w:r>
                            </w:p>
                            <w:p w:rsidR="003E3674" w:rsidRPr="004A1A70" w:rsidRDefault="003E3674" w:rsidP="00CB25D7">
                              <w:pPr>
                                <w:jc w:val="center"/>
                                <w:rPr>
                                  <w:sz w:val="16"/>
                                </w:rPr>
                              </w:pPr>
                              <w:r w:rsidRPr="004A1A70">
                                <w:rPr>
                                  <w:sz w:val="16"/>
                                </w:rPr>
                                <w:t>Government funding to institute for research training place</w:t>
                              </w:r>
                            </w:p>
                          </w:txbxContent>
                        </wps:txbx>
                        <wps:bodyPr rot="0" vert="horz" wrap="square" lIns="60350" tIns="30175" rIns="60350" bIns="30175" anchor="t" anchorCtr="0" upright="1">
                          <a:noAutofit/>
                        </wps:bodyPr>
                      </wps:wsp>
                      <wps:wsp>
                        <wps:cNvPr id="41" name="Text Box 21"/>
                        <wps:cNvSpPr txBox="1">
                          <a:spLocks noChangeArrowheads="1"/>
                        </wps:cNvSpPr>
                        <wps:spPr bwMode="auto">
                          <a:xfrm>
                            <a:off x="1819960" y="58388"/>
                            <a:ext cx="506143" cy="1262988"/>
                          </a:xfrm>
                          <a:prstGeom prst="rect">
                            <a:avLst/>
                          </a:prstGeom>
                          <a:solidFill>
                            <a:srgbClr val="CCFFFF"/>
                          </a:solidFill>
                          <a:ln w="9525">
                            <a:solidFill>
                              <a:srgbClr val="000000"/>
                            </a:solidFill>
                            <a:miter lim="800000"/>
                            <a:headEnd/>
                            <a:tailEnd/>
                          </a:ln>
                        </wps:spPr>
                        <wps:txbx>
                          <w:txbxContent>
                            <w:p w:rsidR="003E3674" w:rsidRPr="004A1A70" w:rsidRDefault="003E3674" w:rsidP="00CB25D7">
                              <w:pPr>
                                <w:jc w:val="center"/>
                                <w:rPr>
                                  <w:sz w:val="16"/>
                                </w:rPr>
                              </w:pPr>
                              <w:r w:rsidRPr="004A1A70">
                                <w:rPr>
                                  <w:sz w:val="16"/>
                                </w:rPr>
                                <w:t>C* Postgraduate student fees paid by student</w:t>
                              </w:r>
                            </w:p>
                          </w:txbxContent>
                        </wps:txbx>
                        <wps:bodyPr rot="0" vert="horz" wrap="square" lIns="60350" tIns="30175" rIns="60350" bIns="30175" anchor="t" anchorCtr="0" upright="1">
                          <a:noAutofit/>
                        </wps:bodyPr>
                      </wps:wsp>
                      <wps:wsp>
                        <wps:cNvPr id="42" name="Text Box 22"/>
                        <wps:cNvSpPr txBox="1">
                          <a:spLocks noChangeArrowheads="1"/>
                        </wps:cNvSpPr>
                        <wps:spPr bwMode="auto">
                          <a:xfrm>
                            <a:off x="2557069" y="58388"/>
                            <a:ext cx="705653" cy="711989"/>
                          </a:xfrm>
                          <a:prstGeom prst="rect">
                            <a:avLst/>
                          </a:prstGeom>
                          <a:solidFill>
                            <a:srgbClr val="CCFFFF"/>
                          </a:solidFill>
                          <a:ln w="22225">
                            <a:solidFill>
                              <a:srgbClr val="000000"/>
                            </a:solidFill>
                            <a:prstDash val="sysDot"/>
                            <a:miter lim="800000"/>
                            <a:headEnd/>
                            <a:tailEnd/>
                          </a:ln>
                        </wps:spPr>
                        <wps:txbx>
                          <w:txbxContent>
                            <w:p w:rsidR="003E3674" w:rsidRDefault="003E3674" w:rsidP="00CB25D7">
                              <w:pPr>
                                <w:jc w:val="center"/>
                                <w:rPr>
                                  <w:sz w:val="16"/>
                                </w:rPr>
                              </w:pPr>
                              <w:r w:rsidRPr="004A1A70">
                                <w:rPr>
                                  <w:sz w:val="16"/>
                                </w:rPr>
                                <w:t xml:space="preserve">D. </w:t>
                              </w:r>
                            </w:p>
                            <w:p w:rsidR="003E3674" w:rsidRPr="004A1A70" w:rsidRDefault="003E3674" w:rsidP="00CB25D7">
                              <w:pPr>
                                <w:jc w:val="center"/>
                                <w:rPr>
                                  <w:sz w:val="16"/>
                                </w:rPr>
                              </w:pPr>
                              <w:r w:rsidRPr="004A1A70">
                                <w:rPr>
                                  <w:sz w:val="16"/>
                                </w:rPr>
                                <w:t>Possible gap between funding and cost</w:t>
                              </w:r>
                            </w:p>
                          </w:txbxContent>
                        </wps:txbx>
                        <wps:bodyPr rot="0" vert="horz" wrap="square" lIns="60350" tIns="30175" rIns="60350" bIns="30175" anchor="t" anchorCtr="0" upright="1">
                          <a:noAutofit/>
                        </wps:bodyPr>
                      </wps:wsp>
                      <wps:wsp>
                        <wps:cNvPr id="43" name="Rectangle 23"/>
                        <wps:cNvSpPr>
                          <a:spLocks noChangeArrowheads="1"/>
                        </wps:cNvSpPr>
                        <wps:spPr bwMode="auto">
                          <a:xfrm>
                            <a:off x="59796" y="58388"/>
                            <a:ext cx="729458" cy="1262988"/>
                          </a:xfrm>
                          <a:prstGeom prst="rect">
                            <a:avLst/>
                          </a:prstGeom>
                          <a:solidFill>
                            <a:srgbClr val="CCFFFF"/>
                          </a:solidFill>
                          <a:ln w="9525">
                            <a:solidFill>
                              <a:srgbClr val="000000"/>
                            </a:solidFill>
                            <a:miter lim="800000"/>
                            <a:headEnd/>
                            <a:tailEnd/>
                          </a:ln>
                        </wps:spPr>
                        <wps:txbx>
                          <w:txbxContent>
                            <w:p w:rsidR="003E3674" w:rsidRPr="004A1A70" w:rsidRDefault="003E3674" w:rsidP="00CB25D7">
                              <w:pPr>
                                <w:jc w:val="center"/>
                                <w:rPr>
                                  <w:sz w:val="16"/>
                                </w:rPr>
                              </w:pPr>
                              <w:r w:rsidRPr="004A1A70">
                                <w:rPr>
                                  <w:sz w:val="16"/>
                                </w:rPr>
                                <w:t>A.</w:t>
                              </w:r>
                            </w:p>
                            <w:p w:rsidR="003E3674" w:rsidRPr="004A1A70" w:rsidRDefault="003E3674" w:rsidP="00CB25D7">
                              <w:pPr>
                                <w:jc w:val="center"/>
                                <w:rPr>
                                  <w:sz w:val="16"/>
                                </w:rPr>
                              </w:pPr>
                              <w:r w:rsidRPr="004A1A70">
                                <w:rPr>
                                  <w:sz w:val="16"/>
                                </w:rPr>
                                <w:t>External and other sources of funding, i.e. research grants; gifts.</w:t>
                              </w:r>
                            </w:p>
                          </w:txbxContent>
                        </wps:txbx>
                        <wps:bodyPr rot="0" vert="horz" wrap="square" lIns="60350" tIns="30175" rIns="60350" bIns="30175" anchor="t" anchorCtr="0" upright="1">
                          <a:noAutofit/>
                        </wps:bodyPr>
                      </wps:wsp>
                      <wps:wsp>
                        <wps:cNvPr id="44" name="Line 24"/>
                        <wps:cNvCnPr/>
                        <wps:spPr bwMode="auto">
                          <a:xfrm>
                            <a:off x="4197924" y="533992"/>
                            <a:ext cx="340357" cy="408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25"/>
                        <wps:cNvCnPr/>
                        <wps:spPr bwMode="auto">
                          <a:xfrm flipV="1">
                            <a:off x="4197924" y="977285"/>
                            <a:ext cx="340357" cy="1530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Text Box 26"/>
                        <wps:cNvSpPr txBox="1">
                          <a:spLocks noChangeArrowheads="1"/>
                        </wps:cNvSpPr>
                        <wps:spPr bwMode="auto">
                          <a:xfrm>
                            <a:off x="838281" y="356845"/>
                            <a:ext cx="136596" cy="212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3674" w:rsidRPr="004A1A70" w:rsidRDefault="003E3674" w:rsidP="00CB25D7">
                              <w:pPr>
                                <w:rPr>
                                  <w:b/>
                                </w:rPr>
                              </w:pPr>
                              <w:r w:rsidRPr="004A1A70">
                                <w:rPr>
                                  <w:b/>
                                </w:rPr>
                                <w:t>+</w:t>
                              </w:r>
                            </w:p>
                          </w:txbxContent>
                        </wps:txbx>
                        <wps:bodyPr rot="0" vert="horz" wrap="square" lIns="60350" tIns="30175" rIns="60350" bIns="30175" anchor="t" anchorCtr="0" upright="1">
                          <a:noAutofit/>
                        </wps:bodyPr>
                      </wps:wsp>
                    </wpc:wpc>
                  </a:graphicData>
                </a:graphic>
              </wp:inline>
            </w:drawing>
          </mc:Choice>
          <mc:Fallback>
            <w:pict>
              <v:group id="Canvas 12" o:spid="_x0000_s1026" editas="canvas" alt="Figure 3.1: Schematic representation of funding of research training" style="width:419pt;height:135pt;mso-position-horizontal-relative:char;mso-position-vertical-relative:line" coordsize="53213,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igure 3.1: Schematic representation of funding of research training" style="position:absolute;width:53213;height:17145;visibility:visible;mso-wrap-style:square">
                  <v:fill o:detectmouseclick="t"/>
                  <v:path o:connecttype="none"/>
                </v:shape>
                <v:shapetype id="_x0000_t202" coordsize="21600,21600" o:spt="202" path="m,l,21600r21600,l21600,xe">
                  <v:stroke joinstyle="miter"/>
                  <v:path gradientshapeok="t" o:connecttype="rect"/>
                </v:shapetype>
                <v:shape id="_x0000_s1028" type="#_x0000_t202" style="position:absolute;left:46139;top:5688;width:5155;height:6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Vn48QA&#10;AADbAAAADwAAAGRycy9kb3ducmV2LnhtbESPQWvCQBSE7wX/w/KE3upGDRKiq4ggSmkPtdHzI/tM&#10;gtm3Mbua5N93C4Ueh5n5hlltelOLJ7WusqxgOolAEOdWV1woyL73bwkI55E11pZJwUAONuvRywpT&#10;bTv+oufJFyJA2KWooPS+SaV0eUkG3cQ2xMG72tagD7ItpG6xC3BTy1kULaTBisNCiQ3tSspvp4dR&#10;cH7fNn4/ZAPHi/tMHz6Sz+HilHod99slCE+9/w//tY9awTyG3y/h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VZ+PEAAAA2wAAAA8AAAAAAAAAAAAAAAAAmAIAAGRycy9k&#10;b3ducmV2LnhtbFBLBQYAAAAABAAEAPUAAACJAwAAAAA=&#10;" fillcolor="#ff9">
                  <v:textbox inset="1.67639mm,.83819mm,1.67639mm,.83819mm">
                    <w:txbxContent>
                      <w:p w:rsidR="003E3674" w:rsidRPr="004A1A70" w:rsidRDefault="003E3674" w:rsidP="00CB25D7">
                        <w:pPr>
                          <w:jc w:val="center"/>
                          <w:rPr>
                            <w:b/>
                            <w:sz w:val="16"/>
                          </w:rPr>
                        </w:pPr>
                        <w:r w:rsidRPr="004A1A70">
                          <w:rPr>
                            <w:b/>
                            <w:sz w:val="16"/>
                          </w:rPr>
                          <w:t xml:space="preserve">G. Total funding for research training </w:t>
                        </w:r>
                      </w:p>
                      <w:p w:rsidR="003E3674" w:rsidRPr="004A1A70" w:rsidRDefault="003E3674" w:rsidP="00CB25D7">
                        <w:pPr>
                          <w:jc w:val="center"/>
                          <w:rPr>
                            <w:b/>
                            <w:sz w:val="16"/>
                          </w:rPr>
                        </w:pPr>
                        <w:r w:rsidRPr="004A1A70">
                          <w:rPr>
                            <w:b/>
                            <w:sz w:val="16"/>
                          </w:rPr>
                          <w:t>(i.e. E+F)</w:t>
                        </w:r>
                      </w:p>
                    </w:txbxContent>
                  </v:textbox>
                </v:shape>
                <v:shape id="Text Box 15" o:spid="_x0000_s1029" type="#_x0000_t202" style="position:absolute;left:23261;top:3568;width:1365;height:2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6mssYA&#10;AADbAAAADwAAAGRycy9kb3ducmV2LnhtbESP0WrCQBRE3wv9h+UW+lLqRkVpo5sggtQ+CFX7AZfs&#10;TTY2ezfNrhr9+q4g9HGYmTPMPO9tI07U+dqxguEgAUFcOF1zpeB7v3p9A+EDssbGMSm4kIc8e3yY&#10;Y6rdmbd02oVKRAj7FBWYENpUSl8YsugHriWOXuk6iyHKrpK6w3OE20aOkmQqLdYcFwy2tDRU/OyO&#10;VsFh+PX+UsrjYn3d/H58Gly6aXlR6vmpX8xABOrDf/jeXmsF4wncvsQf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26mssYAAADbAAAADwAAAAAAAAAAAAAAAACYAgAAZHJz&#10;L2Rvd25yZXYueG1sUEsFBgAAAAAEAAQA9QAAAIsDAAAAAA==&#10;" stroked="f">
                  <v:textbox inset="1.67639mm,.83819mm,1.67639mm,.83819mm">
                    <w:txbxContent>
                      <w:p w:rsidR="003E3674" w:rsidRPr="004A1A70" w:rsidRDefault="003E3674" w:rsidP="00CB25D7">
                        <w:pPr>
                          <w:rPr>
                            <w:b/>
                          </w:rPr>
                        </w:pPr>
                        <w:r w:rsidRPr="004A1A70">
                          <w:rPr>
                            <w:b/>
                          </w:rPr>
                          <w:t>+</w:t>
                        </w:r>
                      </w:p>
                    </w:txbxContent>
                  </v:textbox>
                </v:shape>
                <v:shape id="Text Box 16" o:spid="_x0000_s1030" type="#_x0000_t202" style="position:absolute;left:16306;top:3568;width:1366;height:2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w4xcUA&#10;AADbAAAADwAAAGRycy9kb3ducmV2LnhtbESP3WrCQBSE7wu+w3KE3hTdaCFodBURivZCqD8PcMie&#10;ZKPZs2l21dindwuFXg4z8w0zX3a2FjdqfeVYwWiYgCDOna64VHA6fgwmIHxA1lg7JgUP8rBc9F7m&#10;mGl35z3dDqEUEcI+QwUmhCaT0ueGLPqha4ijV7jWYoiyLaVu8R7htpbjJEmlxYrjgsGG1obyy+Fq&#10;FZxHX9O3Ql5X25/d9+bT4NqlxUOp1363moEI1IX/8F97qxW8p/D7Jf4A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vDjFxQAAANsAAAAPAAAAAAAAAAAAAAAAAJgCAABkcnMv&#10;ZG93bnJldi54bWxQSwUGAAAAAAQABAD1AAAAigMAAAAA&#10;" stroked="f">
                  <v:textbox inset="1.67639mm,.83819mm,1.67639mm,.83819mm">
                    <w:txbxContent>
                      <w:p w:rsidR="003E3674" w:rsidRPr="004A1A70" w:rsidRDefault="003E3674" w:rsidP="00CB25D7">
                        <w:pPr>
                          <w:rPr>
                            <w:b/>
                          </w:rPr>
                        </w:pPr>
                        <w:r w:rsidRPr="004A1A70">
                          <w:rPr>
                            <w:b/>
                          </w:rPr>
                          <w:t>+</w:t>
                        </w:r>
                      </w:p>
                    </w:txbxContent>
                  </v:textbox>
                </v:shape>
                <v:shape id="Text Box 17" o:spid="_x0000_s1031" type="#_x0000_t202" style="position:absolute;left:31598;top:9257;width:9695;height:7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Q18MEA&#10;AADbAAAADwAAAGRycy9kb3ducmV2LnhtbESPT4vCMBTE78J+h/AWvGm6LupSjSILhb0o+Ic9P5pn&#10;U2xeShJr/fZGEDwOM/MbZrnubSM68qF2rOBrnIEgLp2uuVJwOhajHxAhImtsHJOCOwVYrz4GS8y1&#10;u/GeukOsRIJwyFGBibHNpQylIYth7Fri5J2dtxiT9JXUHm8Jbhs5ybKZtFhzWjDY0q+h8nK4WgXT&#10;f7sp3Kndbct9Z82lMD7reqWGn/1mASJSH9/hV/tPK/iew/NL+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0NfDBAAAA2wAAAA8AAAAAAAAAAAAAAAAAmAIAAGRycy9kb3du&#10;cmV2LnhtbFBLBQYAAAAABAAEAPUAAACGAwAAAAA=&#10;" fillcolor="#f90">
                  <v:textbox inset="1.67639mm,.83819mm,1.67639mm,.83819mm">
                    <w:txbxContent>
                      <w:p w:rsidR="003E3674" w:rsidRPr="004A1A70" w:rsidRDefault="003E3674" w:rsidP="00CB25D7">
                        <w:pPr>
                          <w:jc w:val="center"/>
                          <w:rPr>
                            <w:b/>
                            <w:sz w:val="16"/>
                          </w:rPr>
                        </w:pPr>
                        <w:r w:rsidRPr="004A1A70">
                          <w:rPr>
                            <w:b/>
                            <w:sz w:val="16"/>
                          </w:rPr>
                          <w:t>F</w:t>
                        </w:r>
                      </w:p>
                      <w:p w:rsidR="003E3674" w:rsidRPr="004A1A70" w:rsidRDefault="003E3674" w:rsidP="00CB25D7">
                        <w:pPr>
                          <w:jc w:val="center"/>
                          <w:rPr>
                            <w:b/>
                            <w:sz w:val="16"/>
                          </w:rPr>
                        </w:pPr>
                        <w:r w:rsidRPr="004A1A70">
                          <w:rPr>
                            <w:b/>
                            <w:sz w:val="16"/>
                          </w:rPr>
                          <w:t xml:space="preserve">Funding for the </w:t>
                        </w:r>
                        <w:r w:rsidRPr="004A1A70">
                          <w:rPr>
                            <w:b/>
                            <w:i/>
                            <w:sz w:val="16"/>
                          </w:rPr>
                          <w:t xml:space="preserve">research student </w:t>
                        </w:r>
                        <w:r w:rsidRPr="004A1A70">
                          <w:rPr>
                            <w:b/>
                            <w:sz w:val="16"/>
                          </w:rPr>
                          <w:t>(living stipend, scholarship)</w:t>
                        </w:r>
                      </w:p>
                    </w:txbxContent>
                  </v:textbox>
                </v:shape>
                <v:shape id="Text Box 18" o:spid="_x0000_s1032" type="#_x0000_t202" style="position:absolute;left:32627;top:3219;width:1998;height:2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8JLMEA&#10;AADbAAAADwAAAGRycy9kb3ducmV2LnhtbERPzYrCMBC+C/sOYQQvoqkuiFajiLCsexDU3QcYmmlT&#10;bSbdJmr16c1B8Pjx/S9Wra3ElRpfOlYwGiYgiDOnSy4U/P1+DaYgfEDWWDkmBXfysFp+dBaYanfj&#10;A12PoRAxhH2KCkwIdSqlzwxZ9ENXE0cud43FEGFTSN3gLYbbSo6TZCItlhwbDNa0MZSdjxer4DTa&#10;z/q5vKy3j93/94/BjZvkd6V63XY9BxGoDW/xy73VCj7j2Pgl/g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vCSzBAAAA2wAAAA8AAAAAAAAAAAAAAAAAmAIAAGRycy9kb3du&#10;cmV2LnhtbFBLBQYAAAAABAAEAPUAAACGAwAAAAA=&#10;" stroked="f">
                  <v:textbox inset="1.67639mm,.83819mm,1.67639mm,.83819mm">
                    <w:txbxContent>
                      <w:p w:rsidR="003E3674" w:rsidRPr="004A1A70" w:rsidRDefault="003E3674" w:rsidP="00CB25D7">
                        <w:pPr>
                          <w:rPr>
                            <w:b/>
                          </w:rPr>
                        </w:pPr>
                        <w:r>
                          <w:rPr>
                            <w:b/>
                          </w:rPr>
                          <w:t>=</w:t>
                        </w:r>
                      </w:p>
                    </w:txbxContent>
                  </v:textbox>
                </v:shape>
                <v:shape id="Text Box 19" o:spid="_x0000_s1033" type="#_x0000_t202" style="position:absolute;left:34627;top:583;width:6666;height:7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33t8EA&#10;AADbAAAADwAAAGRycy9kb3ducmV2LnhtbESPT2sCMRTE7wW/Q3iCl1KzWlra1ShSEOrRf/fH5rm7&#10;uHlZkjRZ++lNQehxmJnfMMv1YDoRyfnWsoLZtABBXFndcq3gdNy+fIDwAVljZ5kU3MjDejV6WmKp&#10;beI9xUOoRYawL1FBE0JfSumrhgz6qe2Js3exzmDI0tVSO0wZbjo5L4p3abDlvNBgT18NVdfDj1GQ&#10;ztXbmX8vMaRZfL7GFK3bRaUm42GzABFoCP/hR/tbK3j9hL8v+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d97fBAAAA2wAAAA8AAAAAAAAAAAAAAAAAmAIAAGRycy9kb3du&#10;cmV2LnhtbFBLBQYAAAAABAAEAPUAAACGAwAAAAA=&#10;" fillcolor="#6ff">
                  <v:textbox inset="1.67639mm,.83819mm,1.67639mm,.83819mm">
                    <w:txbxContent>
                      <w:p w:rsidR="003E3674" w:rsidRPr="004A1A70" w:rsidRDefault="003E3674" w:rsidP="00CB25D7">
                        <w:pPr>
                          <w:jc w:val="center"/>
                          <w:rPr>
                            <w:b/>
                            <w:sz w:val="16"/>
                          </w:rPr>
                        </w:pPr>
                        <w:r w:rsidRPr="004A1A70">
                          <w:rPr>
                            <w:b/>
                            <w:sz w:val="16"/>
                          </w:rPr>
                          <w:t>E.</w:t>
                        </w:r>
                      </w:p>
                      <w:p w:rsidR="003E3674" w:rsidRPr="004A1A70" w:rsidRDefault="003E3674" w:rsidP="00CB25D7">
                        <w:pPr>
                          <w:jc w:val="center"/>
                          <w:rPr>
                            <w:b/>
                            <w:sz w:val="16"/>
                          </w:rPr>
                        </w:pPr>
                        <w:r w:rsidRPr="004A1A70">
                          <w:rPr>
                            <w:b/>
                            <w:sz w:val="16"/>
                          </w:rPr>
                          <w:t xml:space="preserve">Actual cost of </w:t>
                        </w:r>
                        <w:r w:rsidRPr="004A1A70">
                          <w:rPr>
                            <w:b/>
                            <w:i/>
                            <w:sz w:val="16"/>
                          </w:rPr>
                          <w:t>research training place</w:t>
                        </w:r>
                      </w:p>
                    </w:txbxContent>
                  </v:textbox>
                </v:shape>
                <v:shape id="Text Box 20" o:spid="_x0000_s1034" type="#_x0000_t202" style="position:absolute;left:10584;top:583;width:5722;height:12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BhwMIA&#10;AADbAAAADwAAAGRycy9kb3ducmV2LnhtbERPTWvCQBC9C/6HZYTezEZbQpu6CRqwlB4UUyn0NmSn&#10;SWh2NmS3Jv5791Dw+Hjfm3wynbjQ4FrLClZRDIK4srrlWsH5c798BuE8ssbOMim4koM8m882mGo7&#10;8okupa9FCGGXooLG+z6V0lUNGXSR7YkD92MHgz7AoZZ6wDGEm06u4ziRBlsODQ32VDRU/ZZ/RsFU&#10;HsbHZFUUycfLzvMx+Tq77zelHhbT9hWEp8nfxf/ud63gKawPX8IPk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GHAwgAAANsAAAAPAAAAAAAAAAAAAAAAAJgCAABkcnMvZG93&#10;bnJldi54bWxQSwUGAAAAAAQABAD1AAAAhwMAAAAA&#10;" fillcolor="#cff">
                  <v:textbox inset="1.67639mm,.83819mm,1.67639mm,.83819mm">
                    <w:txbxContent>
                      <w:p w:rsidR="003E3674" w:rsidRPr="004A1A70" w:rsidRDefault="003E3674" w:rsidP="00CB25D7">
                        <w:pPr>
                          <w:jc w:val="center"/>
                          <w:rPr>
                            <w:sz w:val="16"/>
                          </w:rPr>
                        </w:pPr>
                        <w:r w:rsidRPr="004A1A70">
                          <w:rPr>
                            <w:sz w:val="16"/>
                          </w:rPr>
                          <w:t xml:space="preserve">B. </w:t>
                        </w:r>
                      </w:p>
                      <w:p w:rsidR="003E3674" w:rsidRPr="004A1A70" w:rsidRDefault="003E3674" w:rsidP="00CB25D7">
                        <w:pPr>
                          <w:jc w:val="center"/>
                          <w:rPr>
                            <w:sz w:val="16"/>
                          </w:rPr>
                        </w:pPr>
                        <w:r w:rsidRPr="004A1A70">
                          <w:rPr>
                            <w:sz w:val="16"/>
                          </w:rPr>
                          <w:t>Government funding to institute for research training place</w:t>
                        </w:r>
                      </w:p>
                    </w:txbxContent>
                  </v:textbox>
                </v:shape>
                <v:shape id="Text Box 21" o:spid="_x0000_s1035" type="#_x0000_t202" style="position:absolute;left:18199;top:583;width:5062;height:12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EW8UA&#10;AADbAAAADwAAAGRycy9kb3ducmV2LnhtbESPQWvCQBSE74X+h+UVvJlNrAQbXaUGWkoPFVMRvD2y&#10;zyQ0+zZkVxP/fbcg9DjMzDfMajOaVlypd41lBUkUgyAurW64UnD4fpsuQDiPrLG1TApu5GCzfnxY&#10;YabtwHu6Fr4SAcIuQwW1910mpStrMugi2xEH72x7gz7IvpK6xyHATStncZxKgw2HhRo7ymsqf4qL&#10;UTAWX8NzmuR5+vmy9bxLjwd3eldq8jS+LkF4Gv1/+N7+0Arm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DMRbxQAAANsAAAAPAAAAAAAAAAAAAAAAAJgCAABkcnMv&#10;ZG93bnJldi54bWxQSwUGAAAAAAQABAD1AAAAigMAAAAA&#10;" fillcolor="#cff">
                  <v:textbox inset="1.67639mm,.83819mm,1.67639mm,.83819mm">
                    <w:txbxContent>
                      <w:p w:rsidR="003E3674" w:rsidRPr="004A1A70" w:rsidRDefault="003E3674" w:rsidP="00CB25D7">
                        <w:pPr>
                          <w:jc w:val="center"/>
                          <w:rPr>
                            <w:sz w:val="16"/>
                          </w:rPr>
                        </w:pPr>
                        <w:r w:rsidRPr="004A1A70">
                          <w:rPr>
                            <w:sz w:val="16"/>
                          </w:rPr>
                          <w:t>C* Postgraduate student fees paid by student</w:t>
                        </w:r>
                      </w:p>
                    </w:txbxContent>
                  </v:textbox>
                </v:shape>
                <v:shape id="Text Box 22" o:spid="_x0000_s1036" type="#_x0000_t202" style="position:absolute;left:25570;top:583;width:7057;height:7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C2MEA&#10;AADbAAAADwAAAGRycy9kb3ducmV2LnhtbESPS4sCMRCE78L+h9ALe9OM4nM0yuIiePSJ12bSzgxO&#10;OiHJ6vjvjbCwx6KqvqIWq9Y04k4+1JYV9HsZCOLC6ppLBafjpjsFESKyxsYyKXhSgNXyo7PAXNsH&#10;7+l+iKVIEA45KqhidLmUoajIYOhZR5y8q/UGY5K+lNrjI8FNIwdZNpYGa04LFTpaV1TcDr9GgenH&#10;6XD3szGT/Xjm3NnzbbS+KPX12X7PQURq43/4r73VCoYDeH9JP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CwtjBAAAA2wAAAA8AAAAAAAAAAAAAAAAAmAIAAGRycy9kb3du&#10;cmV2LnhtbFBLBQYAAAAABAAEAPUAAACGAwAAAAA=&#10;" fillcolor="#cff" strokeweight="1.75pt">
                  <v:stroke dashstyle="1 1"/>
                  <v:textbox inset="1.67639mm,.83819mm,1.67639mm,.83819mm">
                    <w:txbxContent>
                      <w:p w:rsidR="003E3674" w:rsidRDefault="003E3674" w:rsidP="00CB25D7">
                        <w:pPr>
                          <w:jc w:val="center"/>
                          <w:rPr>
                            <w:sz w:val="16"/>
                          </w:rPr>
                        </w:pPr>
                        <w:r w:rsidRPr="004A1A70">
                          <w:rPr>
                            <w:sz w:val="16"/>
                          </w:rPr>
                          <w:t xml:space="preserve">D. </w:t>
                        </w:r>
                      </w:p>
                      <w:p w:rsidR="003E3674" w:rsidRPr="004A1A70" w:rsidRDefault="003E3674" w:rsidP="00CB25D7">
                        <w:pPr>
                          <w:jc w:val="center"/>
                          <w:rPr>
                            <w:sz w:val="16"/>
                          </w:rPr>
                        </w:pPr>
                        <w:r w:rsidRPr="004A1A70">
                          <w:rPr>
                            <w:sz w:val="16"/>
                          </w:rPr>
                          <w:t>Possible gap between funding and cost</w:t>
                        </w:r>
                      </w:p>
                    </w:txbxContent>
                  </v:textbox>
                </v:shape>
                <v:rect id="Rectangle 23" o:spid="_x0000_s1037" style="position:absolute;left:597;top:583;width:7295;height:12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68MUA&#10;AADbAAAADwAAAGRycy9kb3ducmV2LnhtbESPT2vCQBTE74LfYXlCb7qxLVajq4TSFil48A94fWaf&#10;STD7NuyuGvPpu4VCj8PM/IZZrFpTixs5X1lWMB4lIIhzqysuFBz2n8MpCB+QNdaWScGDPKyW/d4C&#10;U23vvKXbLhQiQtinqKAMoUml9HlJBv3INsTRO1tnMETpCqkd3iPc1PI5SSbSYMVxocSG3kvKL7ur&#10;UdB1bmrezrPt5PrV5d8fWTieso1ST4M2m4MI1Ib/8F97rRW8vsDvl/gD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2frwxQAAANsAAAAPAAAAAAAAAAAAAAAAAJgCAABkcnMv&#10;ZG93bnJldi54bWxQSwUGAAAAAAQABAD1AAAAigMAAAAA&#10;" fillcolor="#cff">
                  <v:textbox inset="1.67639mm,.83819mm,1.67639mm,.83819mm">
                    <w:txbxContent>
                      <w:p w:rsidR="003E3674" w:rsidRPr="004A1A70" w:rsidRDefault="003E3674" w:rsidP="00CB25D7">
                        <w:pPr>
                          <w:jc w:val="center"/>
                          <w:rPr>
                            <w:sz w:val="16"/>
                          </w:rPr>
                        </w:pPr>
                        <w:r w:rsidRPr="004A1A70">
                          <w:rPr>
                            <w:sz w:val="16"/>
                          </w:rPr>
                          <w:t>A.</w:t>
                        </w:r>
                      </w:p>
                      <w:p w:rsidR="003E3674" w:rsidRPr="004A1A70" w:rsidRDefault="003E3674" w:rsidP="00CB25D7">
                        <w:pPr>
                          <w:jc w:val="center"/>
                          <w:rPr>
                            <w:sz w:val="16"/>
                          </w:rPr>
                        </w:pPr>
                        <w:r w:rsidRPr="004A1A70">
                          <w:rPr>
                            <w:sz w:val="16"/>
                          </w:rPr>
                          <w:t>External and other sources of funding, i.e. research grants; gifts.</w:t>
                        </w:r>
                      </w:p>
                    </w:txbxContent>
                  </v:textbox>
                </v:rect>
                <v:line id="Line 24" o:spid="_x0000_s1038" style="position:absolute;visibility:visible;mso-wrap-style:square" from="41979,5339" to="45382,9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25" o:spid="_x0000_s1039" style="position:absolute;flip:y;visibility:visible;mso-wrap-style:square" from="41979,9772" to="45382,11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sE98UAAADbAAAADwAAAGRycy9kb3ducmV2LnhtbESPT2vCQBDF74LfYRnBS6gbqy01uor9&#10;Iwilh9oeehyyYxLMzobsqOm3dwXB4+PN+715i1XnanWiNlSeDYxHKSji3NuKCwO/P5uHF1BBkC3W&#10;nsnAPwVYLfu9BWbWn/mbTjspVIRwyNBAKdJkWoe8JIdh5Bvi6O1961CibAttWzxHuKv1Y5o+a4cV&#10;x4YSG3orKT/sji6+sfni98kkeXU6SWb08SefqRZjhoNuPQcl1Mn9+JbeWgPTJ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sE98UAAADbAAAADwAAAAAAAAAA&#10;AAAAAAChAgAAZHJzL2Rvd25yZXYueG1sUEsFBgAAAAAEAAQA+QAAAJMDAAAAAA==&#10;">
                  <v:stroke endarrow="block"/>
                </v:line>
                <v:shape id="Text Box 26" o:spid="_x0000_s1040" type="#_x0000_t202" style="position:absolute;left:8382;top:3568;width:1366;height:2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pLuMUA&#10;AADbAAAADwAAAGRycy9kb3ducmV2LnhtbESP3WrCQBSE7wu+w3KE3hTdKCVodBURivZCqD8PcMie&#10;ZKPZs2l21dindwuFXg4z8w0zX3a2FjdqfeVYwWiYgCDOna64VHA6fgwmIHxA1lg7JgUP8rBc9F7m&#10;mGl35z3dDqEUEcI+QwUmhCaT0ueGLPqha4ijV7jWYoiyLaVu8R7htpbjJEmlxYrjgsGG1obyy+Fq&#10;FZxHX9O3Ql5X25/d9+bT4NqlxUOp1363moEI1IX/8F97qxW8p/D7Jf4A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uku4xQAAANsAAAAPAAAAAAAAAAAAAAAAAJgCAABkcnMv&#10;ZG93bnJldi54bWxQSwUGAAAAAAQABAD1AAAAigMAAAAA&#10;" stroked="f">
                  <v:textbox inset="1.67639mm,.83819mm,1.67639mm,.83819mm">
                    <w:txbxContent>
                      <w:p w:rsidR="003E3674" w:rsidRPr="004A1A70" w:rsidRDefault="003E3674" w:rsidP="00CB25D7">
                        <w:pPr>
                          <w:rPr>
                            <w:b/>
                          </w:rPr>
                        </w:pPr>
                        <w:r w:rsidRPr="004A1A70">
                          <w:rPr>
                            <w:b/>
                          </w:rPr>
                          <w:t>+</w:t>
                        </w:r>
                      </w:p>
                    </w:txbxContent>
                  </v:textbox>
                </v:shape>
                <w10:anchorlock/>
              </v:group>
            </w:pict>
          </mc:Fallback>
        </mc:AlternateContent>
      </w:r>
    </w:p>
    <w:p w:rsidR="001A5590" w:rsidRPr="00D24927" w:rsidRDefault="001A5590" w:rsidP="00DA1A88">
      <w:pPr>
        <w:pStyle w:val="Source"/>
      </w:pPr>
      <w:r w:rsidRPr="00963EBD">
        <w:t>* Note: Not all countries charge postgraduate students fees to undertake research training</w:t>
      </w:r>
    </w:p>
    <w:p w:rsidR="001A5590" w:rsidRDefault="001A5590" w:rsidP="001A5590">
      <w:pPr>
        <w:pStyle w:val="Heading2"/>
        <w:numPr>
          <w:ilvl w:val="1"/>
          <w:numId w:val="21"/>
        </w:numPr>
        <w:tabs>
          <w:tab w:val="clear" w:pos="709"/>
        </w:tabs>
        <w:ind w:left="851" w:hanging="851"/>
      </w:pPr>
      <w:bookmarkStart w:id="48" w:name="_Toc298324957"/>
      <w:r>
        <w:lastRenderedPageBreak/>
        <w:t>International models for the costing of research training</w:t>
      </w:r>
      <w:bookmarkEnd w:id="48"/>
    </w:p>
    <w:p w:rsidR="001A5590" w:rsidRPr="00837248" w:rsidRDefault="001A5590" w:rsidP="00EB0EEA">
      <w:pPr>
        <w:pStyle w:val="Heading3"/>
        <w:numPr>
          <w:ilvl w:val="2"/>
          <w:numId w:val="21"/>
        </w:numPr>
      </w:pPr>
      <w:smartTag w:uri="urn:schemas-microsoft-com:office:smarttags" w:element="place">
        <w:smartTag w:uri="urn:schemas-microsoft-com:office:smarttags" w:element="country-region">
          <w:r w:rsidRPr="00837248">
            <w:t>England</w:t>
          </w:r>
        </w:smartTag>
      </w:smartTag>
    </w:p>
    <w:p w:rsidR="001A5590" w:rsidRDefault="001A5590" w:rsidP="00837248">
      <w:pPr>
        <w:pStyle w:val="BodyText"/>
      </w:pPr>
      <w:r>
        <w:t xml:space="preserve">In </w:t>
      </w:r>
      <w:smartTag w:uri="urn:schemas-microsoft-com:office:smarttags" w:element="place">
        <w:smartTag w:uri="urn:schemas-microsoft-com:office:smarttags" w:element="country-region">
          <w:r>
            <w:t>England</w:t>
          </w:r>
        </w:smartTag>
      </w:smartTag>
      <w:r>
        <w:t>, the Higher Education Funding Council for England (HEFCE) has adopted a block grant approach, based on research student load, to partly fund research training.  This approach allows for other funding sources, including student fees, to contribute to funding the full cost of training.</w:t>
      </w:r>
    </w:p>
    <w:p w:rsidR="001A5590" w:rsidRDefault="001A5590" w:rsidP="00837248">
      <w:pPr>
        <w:pStyle w:val="BodyText"/>
      </w:pPr>
      <w:r>
        <w:t xml:space="preserve">The full cost of research training in </w:t>
      </w:r>
      <w:smartTag w:uri="urn:schemas-microsoft-com:office:smarttags" w:element="place">
        <w:smartTag w:uri="urn:schemas-microsoft-com:office:smarttags" w:element="country-region">
          <w:r>
            <w:t>England</w:t>
          </w:r>
        </w:smartTag>
      </w:smartTag>
      <w:r>
        <w:t xml:space="preserve"> was examined through an exercise that included in-depth case-studies with supervisors of HDR students at four research-intensive universities (JM Consulting, 2005).  It was supplemented by data provided by a survey of research supervisors from six additional institutions and with data from the latest transparent costing exercise carried out at a further 37 institutions under the Transparent Approach to Costing (TRAC) program.</w:t>
      </w:r>
    </w:p>
    <w:p w:rsidR="001A5590" w:rsidRDefault="001A5590" w:rsidP="00837248">
      <w:pPr>
        <w:pStyle w:val="BodyText"/>
      </w:pPr>
      <w:r>
        <w:t>To calculate research funding allocations, HEFCE divides all subjects into three broad bands according to their relative costs.  These are: Band A, high-cost laboratory and clinical disciplines; Band B, intermediate cost (part-laboratory)</w:t>
      </w:r>
      <w:r w:rsidRPr="00024B92">
        <w:t xml:space="preserve"> </w:t>
      </w:r>
      <w:r>
        <w:t>disciplines; and Band C, other (library-based</w:t>
      </w:r>
      <w:r w:rsidRPr="0073281E">
        <w:t>)</w:t>
      </w:r>
      <w:r>
        <w:t xml:space="preserve"> disciplines</w:t>
      </w:r>
      <w:r w:rsidRPr="0073281E">
        <w:t>.</w:t>
      </w:r>
    </w:p>
    <w:p w:rsidR="001A5590" w:rsidRDefault="001A5590" w:rsidP="00837248">
      <w:pPr>
        <w:pStyle w:val="BodyText"/>
      </w:pPr>
      <w:r>
        <w:t>Despite significant differences among institutions, the ‘average’ cost of research training was determined for the three discipline bands.  The main result from the exercise was that Band A (the highest cost band) costs were 167% of the lowest cost band (Band C), and that net annual costs for research training in the three bands were £29,106, £23,815 and £17,461, respectively, in 2003/04.</w:t>
      </w:r>
    </w:p>
    <w:p w:rsidR="001A5590" w:rsidRDefault="001A5590" w:rsidP="00837248">
      <w:pPr>
        <w:pStyle w:val="BodyText"/>
      </w:pPr>
      <w:r>
        <w:t>In the HEFCE exercise the cost elements, directly and indirectly related to research training, under consideration were:</w:t>
      </w:r>
    </w:p>
    <w:p w:rsidR="001A5590" w:rsidRDefault="001A5590" w:rsidP="00837248">
      <w:pPr>
        <w:pStyle w:val="Bullet1"/>
        <w:numPr>
          <w:ilvl w:val="0"/>
          <w:numId w:val="18"/>
        </w:numPr>
      </w:pPr>
      <w:r>
        <w:t>academic staff time;</w:t>
      </w:r>
    </w:p>
    <w:p w:rsidR="001A5590" w:rsidRDefault="001A5590" w:rsidP="00837248">
      <w:pPr>
        <w:pStyle w:val="Bullet1"/>
        <w:numPr>
          <w:ilvl w:val="0"/>
          <w:numId w:val="18"/>
        </w:numPr>
      </w:pPr>
      <w:r>
        <w:t>academic staff salaries;</w:t>
      </w:r>
    </w:p>
    <w:p w:rsidR="001A5590" w:rsidRDefault="001A5590" w:rsidP="00837248">
      <w:pPr>
        <w:pStyle w:val="Bullet1"/>
        <w:numPr>
          <w:ilvl w:val="0"/>
          <w:numId w:val="18"/>
        </w:numPr>
      </w:pPr>
      <w:r>
        <w:t>travel and subsistence;</w:t>
      </w:r>
    </w:p>
    <w:p w:rsidR="001A5590" w:rsidRDefault="001A5590" w:rsidP="00837248">
      <w:pPr>
        <w:pStyle w:val="Bullet1"/>
        <w:numPr>
          <w:ilvl w:val="0"/>
          <w:numId w:val="18"/>
        </w:numPr>
      </w:pPr>
      <w:r>
        <w:t>consumables;</w:t>
      </w:r>
    </w:p>
    <w:p w:rsidR="001A5590" w:rsidRDefault="001A5590" w:rsidP="00837248">
      <w:pPr>
        <w:pStyle w:val="Bullet1"/>
        <w:numPr>
          <w:ilvl w:val="0"/>
          <w:numId w:val="18"/>
        </w:numPr>
      </w:pPr>
      <w:r>
        <w:t>bursaries and fee remissions;</w:t>
      </w:r>
    </w:p>
    <w:p w:rsidR="001A5590" w:rsidRDefault="001A5590" w:rsidP="00837248">
      <w:pPr>
        <w:pStyle w:val="Bullet1"/>
        <w:numPr>
          <w:ilvl w:val="0"/>
          <w:numId w:val="18"/>
        </w:numPr>
      </w:pPr>
      <w:r>
        <w:t>equipment;</w:t>
      </w:r>
    </w:p>
    <w:p w:rsidR="001A5590" w:rsidRDefault="001A5590" w:rsidP="00837248">
      <w:pPr>
        <w:pStyle w:val="Bullet1"/>
        <w:numPr>
          <w:ilvl w:val="0"/>
          <w:numId w:val="18"/>
        </w:numPr>
      </w:pPr>
      <w:r>
        <w:t>estates</w:t>
      </w:r>
      <w:r w:rsidRPr="00D65F13">
        <w:rPr>
          <w:rStyle w:val="StyleFootnoteReference"/>
          <w:sz w:val="18"/>
        </w:rPr>
        <w:footnoteReference w:id="3"/>
      </w:r>
      <w:r>
        <w:t>;</w:t>
      </w:r>
    </w:p>
    <w:p w:rsidR="001A5590" w:rsidRDefault="001A5590" w:rsidP="00837248">
      <w:pPr>
        <w:pStyle w:val="Bullet1"/>
        <w:numPr>
          <w:ilvl w:val="0"/>
          <w:numId w:val="18"/>
        </w:numPr>
      </w:pPr>
      <w:r>
        <w:t>management and administration; and</w:t>
      </w:r>
    </w:p>
    <w:p w:rsidR="001A5590" w:rsidRDefault="001A5590" w:rsidP="00837248">
      <w:pPr>
        <w:pStyle w:val="Bullet1"/>
        <w:numPr>
          <w:ilvl w:val="0"/>
          <w:numId w:val="18"/>
        </w:numPr>
      </w:pPr>
      <w:r>
        <w:t>indirect or support costs.</w:t>
      </w:r>
    </w:p>
    <w:p w:rsidR="001A5590" w:rsidRDefault="001A5590" w:rsidP="00837248">
      <w:pPr>
        <w:pStyle w:val="BodyText"/>
      </w:pPr>
      <w:r>
        <w:t>Four main costs were identified and studied in detail:</w:t>
      </w:r>
    </w:p>
    <w:p w:rsidR="001A5590" w:rsidRDefault="001A5590" w:rsidP="00837248">
      <w:pPr>
        <w:pStyle w:val="Bullet1"/>
        <w:numPr>
          <w:ilvl w:val="0"/>
          <w:numId w:val="18"/>
        </w:numPr>
      </w:pPr>
      <w:r>
        <w:t xml:space="preserve">time spent by supervisors, examiners and lecturers on training and supervising postgraduate students, consisting of their salary costs and the indirect and estates costs </w:t>
      </w:r>
      <w:r>
        <w:lastRenderedPageBreak/>
        <w:t>associated with their time (making up 13% and 6% of total postgraduate costs, respectively);</w:t>
      </w:r>
    </w:p>
    <w:p w:rsidR="001A5590" w:rsidRDefault="001A5590" w:rsidP="00837248">
      <w:pPr>
        <w:pStyle w:val="Bullet1"/>
        <w:numPr>
          <w:ilvl w:val="0"/>
          <w:numId w:val="18"/>
        </w:numPr>
      </w:pPr>
      <w:r>
        <w:t>consumables (31%);</w:t>
      </w:r>
    </w:p>
    <w:p w:rsidR="001A5590" w:rsidRDefault="001A5590" w:rsidP="00837248">
      <w:pPr>
        <w:pStyle w:val="Bullet1"/>
        <w:numPr>
          <w:ilvl w:val="0"/>
          <w:numId w:val="18"/>
        </w:numPr>
      </w:pPr>
      <w:r>
        <w:t>scholarship/bursaries/fees remission (9%); and</w:t>
      </w:r>
    </w:p>
    <w:p w:rsidR="001A5590" w:rsidRDefault="001A5590" w:rsidP="00837248">
      <w:pPr>
        <w:pStyle w:val="Bullet1"/>
        <w:numPr>
          <w:ilvl w:val="0"/>
          <w:numId w:val="18"/>
        </w:numPr>
      </w:pPr>
      <w:r>
        <w:t>indirect costs and estate costs (40%).  Indirect costs consist of central services (registry, finance, planning etc); the support time of academics; the cost of capital employed; and support costs, staff and non-staff, in academic departments.</w:t>
      </w:r>
    </w:p>
    <w:p w:rsidR="001A5590" w:rsidRDefault="001A5590" w:rsidP="00837248">
      <w:pPr>
        <w:pStyle w:val="BodyText"/>
      </w:pPr>
      <w:r>
        <w:t>The English model also considered the cost drivers and weighting methods for student costs where a full-time equivalent (FTE) measure was not considered accurate due to different intensity of utilisation—for example, the intensity of library use where a simple research student share of these resources based on relative student FTE values would significantly undervalue research student utilisation and hence cost.  These issues were canvassed extensively in the JM Consulting (2005) report, and subsequently adopted by HEFCE.</w:t>
      </w:r>
    </w:p>
    <w:p w:rsidR="001A5590" w:rsidRPr="00D34143" w:rsidRDefault="001A5590" w:rsidP="00EB0EEA">
      <w:pPr>
        <w:pStyle w:val="Heading3"/>
        <w:numPr>
          <w:ilvl w:val="2"/>
          <w:numId w:val="21"/>
        </w:numPr>
      </w:pPr>
      <w:smartTag w:uri="urn:schemas-microsoft-com:office:smarttags" w:element="place">
        <w:smartTag w:uri="urn:schemas-microsoft-com:office:smarttags" w:element="country-region">
          <w:r w:rsidRPr="00D34143">
            <w:t>United States</w:t>
          </w:r>
          <w:r>
            <w:t xml:space="preserve"> of America</w:t>
          </w:r>
        </w:smartTag>
      </w:smartTag>
    </w:p>
    <w:p w:rsidR="001A5590" w:rsidRDefault="001A5590" w:rsidP="00837248">
      <w:pPr>
        <w:pStyle w:val="BodyText"/>
      </w:pPr>
      <w:r>
        <w:t>US</w:t>
      </w:r>
      <w:r w:rsidR="00465B67">
        <w:t>A</w:t>
      </w:r>
      <w:r>
        <w:t xml:space="preserve"> Federal funding for research training only occurs if a student is in receipt of a federally funded scholarship or fellowship, or is part of a research team in receipt of a federal research grant.</w:t>
      </w:r>
      <w:r w:rsidRPr="00D65F13">
        <w:rPr>
          <w:rStyle w:val="StyleFootnoteReference"/>
          <w:sz w:val="18"/>
        </w:rPr>
        <w:footnoteReference w:id="4"/>
      </w:r>
    </w:p>
    <w:p w:rsidR="001A5590" w:rsidRDefault="001A5590" w:rsidP="00837248">
      <w:pPr>
        <w:pStyle w:val="BodyText"/>
      </w:pPr>
      <w:r>
        <w:t xml:space="preserve">In </w:t>
      </w:r>
      <w:smartTag w:uri="urn:schemas-microsoft-com:office:smarttags" w:element="place">
        <w:smartTag w:uri="urn:schemas-microsoft-com:office:smarttags" w:element="country-region">
          <w:r>
            <w:t>US</w:t>
          </w:r>
          <w:r w:rsidR="00465B67">
            <w:t>A</w:t>
          </w:r>
        </w:smartTag>
      </w:smartTag>
      <w:r>
        <w:t xml:space="preserve"> graduate schools, research students are primarily responsible for funding their studies through student fees.  A literature review indicates that fees are set by each university, typically with reference to discipline differences set by individual faculties/departments with a range of fees from around US$12,000 to over US$40,000.</w:t>
      </w:r>
    </w:p>
    <w:p w:rsidR="001A5590" w:rsidRDefault="001A5590" w:rsidP="00837248">
      <w:pPr>
        <w:pStyle w:val="BodyText"/>
      </w:pPr>
      <w:r>
        <w:t>Despite the quoted fees, most universities state up front that many graduate students will pay considerably less than the full quoted price due to:</w:t>
      </w:r>
    </w:p>
    <w:p w:rsidR="001A5590" w:rsidRDefault="001A5590" w:rsidP="00837248">
      <w:pPr>
        <w:pStyle w:val="Bullet1"/>
        <w:numPr>
          <w:ilvl w:val="0"/>
          <w:numId w:val="18"/>
        </w:numPr>
      </w:pPr>
      <w:r>
        <w:t>scholarships—from a variety of sources;</w:t>
      </w:r>
    </w:p>
    <w:p w:rsidR="001A5590" w:rsidRDefault="001A5590" w:rsidP="00837248">
      <w:pPr>
        <w:pStyle w:val="Bullet1"/>
        <w:numPr>
          <w:ilvl w:val="0"/>
          <w:numId w:val="18"/>
        </w:numPr>
      </w:pPr>
      <w:r>
        <w:t>fee waivers for students of low socio-economic status;</w:t>
      </w:r>
    </w:p>
    <w:p w:rsidR="001A5590" w:rsidRDefault="001A5590" w:rsidP="00837248">
      <w:pPr>
        <w:pStyle w:val="Bullet1"/>
        <w:numPr>
          <w:ilvl w:val="0"/>
          <w:numId w:val="18"/>
        </w:numPr>
      </w:pPr>
      <w:r>
        <w:t>fellowships—from a variety of sources; and</w:t>
      </w:r>
    </w:p>
    <w:p w:rsidR="001A5590" w:rsidRDefault="001A5590" w:rsidP="00837248">
      <w:pPr>
        <w:pStyle w:val="Bullet1"/>
        <w:numPr>
          <w:ilvl w:val="0"/>
          <w:numId w:val="18"/>
        </w:numPr>
      </w:pPr>
      <w:r>
        <w:t xml:space="preserve">grant income directed towards tuition for graduate students—from federal grants. </w:t>
      </w:r>
    </w:p>
    <w:p w:rsidR="001A5590" w:rsidRDefault="001A5590" w:rsidP="00837248">
      <w:pPr>
        <w:pStyle w:val="BodyText"/>
      </w:pPr>
      <w:r>
        <w:t xml:space="preserve">Federally funded research grants are fully funded, including an allowance for indirect costs.  There is a tacit acknowledgement that full research costs include the costs of research training.  </w:t>
      </w:r>
    </w:p>
    <w:p w:rsidR="001A5590" w:rsidRDefault="001A5590" w:rsidP="00837248">
      <w:pPr>
        <w:pStyle w:val="BodyText"/>
      </w:pPr>
      <w:r>
        <w:t xml:space="preserve">The full cost of research in the </w:t>
      </w:r>
      <w:smartTag w:uri="urn:schemas-microsoft-com:office:smarttags" w:element="place">
        <w:smartTag w:uri="urn:schemas-microsoft-com:office:smarttags" w:element="country-region">
          <w:r>
            <w:t>USA</w:t>
          </w:r>
        </w:smartTag>
      </w:smartTag>
      <w:r>
        <w:t xml:space="preserve"> is determined by agreement between granting bodies, represented by either the Department of Health and Human Services or the Office of Naval Research.  The amount or share of grant funding allocated to research training is determined by each research team and/or university management.</w:t>
      </w:r>
    </w:p>
    <w:p w:rsidR="001A5590" w:rsidRDefault="001A5590" w:rsidP="00837248">
      <w:pPr>
        <w:pStyle w:val="BodyText"/>
      </w:pPr>
      <w:r>
        <w:t xml:space="preserve">Each institution (usually limited to those with current or prospective government research grants) conducts regular negotiations over the full cost of research to be used as the benchmark for federal research grants won by that institution in the short term.  The </w:t>
      </w:r>
      <w:r>
        <w:lastRenderedPageBreak/>
        <w:t xml:space="preserve">agreements are quite detailed and account for differences in costing down to individual research teams.  </w:t>
      </w:r>
    </w:p>
    <w:p w:rsidR="001A5590" w:rsidRDefault="001A5590" w:rsidP="00837248">
      <w:pPr>
        <w:pStyle w:val="BodyText"/>
      </w:pPr>
      <w:r>
        <w:t>Indirect costs are not identifiable with any individual grant or research contract as they are considered to be incurred for common or overall objectives of the institution.  Indirect costs are negotiated on a three-to-four year cycle where universities must justify and document indirect costs and then negotiate with funding bodies for funds.  They include depreciation and use allowances for facilities, operational and maintenance costs, administration costs (mainly salaries and on-costs) and library expenses.  Cost drivers are based on the proportion of staff effort devoted to research and the proportion of building space used (Allen Consulting Group 2009).  During the period of the funding agreement, any award of a federal research grant for which research training is a component usually results in a student fee reduction or remission for graduate students in the successful team.  In many cases the payment for the research training component of a research grant is supplemented by the institution and then rebated against fees payable by students.</w:t>
      </w:r>
    </w:p>
    <w:p w:rsidR="001A5590" w:rsidRDefault="001A5590" w:rsidP="00837248">
      <w:pPr>
        <w:pStyle w:val="BodyText"/>
      </w:pPr>
      <w:r>
        <w:t xml:space="preserve">As the cost of research training is determined by each institution (and quite often at the faculty or school level), using its own criteria, it is difficult to establish how amounts are calculated.  There appears to be no consolidated list of calculation methods, and very few if any institutions publish their calculations.  </w:t>
      </w:r>
    </w:p>
    <w:p w:rsidR="001A5590" w:rsidRDefault="001A5590" w:rsidP="00837248">
      <w:pPr>
        <w:pStyle w:val="BodyText"/>
      </w:pPr>
    </w:p>
    <w:p w:rsidR="001A5590" w:rsidRPr="00A86844" w:rsidRDefault="001A5590" w:rsidP="002939B3">
      <w:pPr>
        <w:pStyle w:val="Callout"/>
      </w:pPr>
      <w:smartTag w:uri="urn:schemas-microsoft-com:office:smarttags" w:element="place">
        <w:smartTag w:uri="urn:schemas-microsoft-com:office:smarttags" w:element="address">
          <w:smartTag w:uri="urn:schemas-microsoft-com:office:smarttags" w:element="Street">
            <w:r>
              <w:t>Box</w:t>
            </w:r>
          </w:smartTag>
        </w:smartTag>
        <w:r>
          <w:t xml:space="preserve"> 1</w:t>
        </w:r>
      </w:smartTag>
      <w:r>
        <w:t xml:space="preserve">: </w:t>
      </w:r>
      <w:r w:rsidRPr="003C7CB2">
        <w:t xml:space="preserve">Supplementary information on international research funding </w:t>
      </w:r>
    </w:p>
    <w:p w:rsidR="001A5590" w:rsidRDefault="001A5590" w:rsidP="002939B3">
      <w:pPr>
        <w:pStyle w:val="Callouttext"/>
      </w:pPr>
      <w:r>
        <w:t>This review also examined research funding models in Argentina, Canada, Finland, Denmark, France, Hungary, Italy, Ireland, Netherlands, New Zealand, Poland, Singapore, Spain and Sweden (see</w:t>
      </w:r>
      <w:r w:rsidR="00CB25D7">
        <w:t xml:space="preserve"> </w:t>
      </w:r>
      <w:r w:rsidR="00CB25D7">
        <w:fldChar w:fldCharType="begin"/>
      </w:r>
      <w:r w:rsidR="00CB25D7">
        <w:instrText xml:space="preserve"> REF _Ref295125233 \r \h </w:instrText>
      </w:r>
      <w:r w:rsidR="002939B3">
        <w:instrText xml:space="preserve"> \* MERGEFORMAT </w:instrText>
      </w:r>
      <w:r w:rsidR="00CB25D7">
        <w:fldChar w:fldCharType="separate"/>
      </w:r>
      <w:r w:rsidR="00A01A35">
        <w:t>Appendix C</w:t>
      </w:r>
      <w:r w:rsidR="00CB25D7">
        <w:fldChar w:fldCharType="end"/>
      </w:r>
      <w:r>
        <w:t xml:space="preserve">). </w:t>
      </w:r>
    </w:p>
    <w:p w:rsidR="001A5590" w:rsidRDefault="001A5590" w:rsidP="002939B3">
      <w:pPr>
        <w:pStyle w:val="Callouttext"/>
      </w:pPr>
      <w:r>
        <w:t xml:space="preserve">Information regarding </w:t>
      </w:r>
      <w:r w:rsidRPr="001759D5">
        <w:rPr>
          <w:i/>
        </w:rPr>
        <w:t>research</w:t>
      </w:r>
      <w:r>
        <w:t xml:space="preserve"> funding was readily available (in most cases funded through the country’s Ministry of Education or its equivalent).  However, information regarding how </w:t>
      </w:r>
      <w:r w:rsidRPr="002939B3">
        <w:rPr>
          <w:rStyle w:val="italicChar"/>
        </w:rPr>
        <w:t>research training</w:t>
      </w:r>
      <w:r>
        <w:t xml:space="preserve"> was funded in these countries was harder to identify—although many did appear to charge discipline-based fees to students for postgraduate research training places.</w:t>
      </w:r>
    </w:p>
    <w:p w:rsidR="001A5590" w:rsidRPr="00E95106" w:rsidRDefault="001A5590" w:rsidP="002939B3">
      <w:pPr>
        <w:pStyle w:val="Callouttext"/>
      </w:pPr>
      <w:r>
        <w:t xml:space="preserve">It is presumed that discipline-based fee differences reflect actual training cost differences, but they might also reflect an economic decision based on student demand for particular courses. </w:t>
      </w:r>
    </w:p>
    <w:p w:rsidR="001A5590" w:rsidRDefault="001A5590" w:rsidP="00931813">
      <w:pPr>
        <w:pStyle w:val="BodyText"/>
      </w:pPr>
    </w:p>
    <w:p w:rsidR="001A5590" w:rsidRDefault="001A5590" w:rsidP="001A5590">
      <w:pPr>
        <w:pStyle w:val="Heading1"/>
        <w:numPr>
          <w:ilvl w:val="0"/>
          <w:numId w:val="21"/>
        </w:numPr>
        <w:ind w:left="0" w:hanging="567"/>
      </w:pPr>
      <w:bookmarkStart w:id="49" w:name="_Toc298324958"/>
      <w:r>
        <w:lastRenderedPageBreak/>
        <w:t>Methodology for the collection of data on research training costs</w:t>
      </w:r>
      <w:bookmarkEnd w:id="49"/>
    </w:p>
    <w:p w:rsidR="001A5590" w:rsidRDefault="001A5590" w:rsidP="001A5590">
      <w:pPr>
        <w:pStyle w:val="Heading2"/>
        <w:numPr>
          <w:ilvl w:val="1"/>
          <w:numId w:val="21"/>
        </w:numPr>
        <w:tabs>
          <w:tab w:val="clear" w:pos="709"/>
        </w:tabs>
        <w:ind w:left="851" w:hanging="851"/>
      </w:pPr>
      <w:bookmarkStart w:id="50" w:name="_Toc298324959"/>
      <w:r w:rsidRPr="00F26A29">
        <w:t>Data collection tool</w:t>
      </w:r>
      <w:bookmarkEnd w:id="50"/>
    </w:p>
    <w:p w:rsidR="001A5590" w:rsidRDefault="001A5590" w:rsidP="00103771">
      <w:pPr>
        <w:pStyle w:val="BodyText"/>
      </w:pPr>
      <w:r>
        <w:t xml:space="preserve">In order to collect data on the cost of research training, DIISR—with input from the Technical Working Group and Deloitte Access Economics—developed a data collection tool that was distributed to </w:t>
      </w:r>
      <w:r w:rsidR="00E76816">
        <w:t xml:space="preserve">37 </w:t>
      </w:r>
      <w:r>
        <w:t xml:space="preserve">Australian universities. </w:t>
      </w:r>
    </w:p>
    <w:p w:rsidR="001A5590" w:rsidRPr="00DA3D05" w:rsidRDefault="001A5590" w:rsidP="00F26A29">
      <w:pPr>
        <w:pStyle w:val="BodyText"/>
      </w:pPr>
      <w:r w:rsidRPr="00DA3D05">
        <w:t xml:space="preserve">The data collection </w:t>
      </w:r>
      <w:r>
        <w:t>template</w:t>
      </w:r>
      <w:r w:rsidRPr="00DA3D05">
        <w:t xml:space="preserve"> </w:t>
      </w:r>
      <w:r>
        <w:t xml:space="preserve">(in Excel format) </w:t>
      </w:r>
      <w:r w:rsidRPr="00DA3D05">
        <w:t>included:</w:t>
      </w:r>
    </w:p>
    <w:p w:rsidR="001A5590" w:rsidRDefault="001A5590" w:rsidP="003E1DA9">
      <w:pPr>
        <w:pStyle w:val="Bullet1"/>
        <w:numPr>
          <w:ilvl w:val="0"/>
          <w:numId w:val="18"/>
        </w:numPr>
      </w:pPr>
      <w:r>
        <w:t>detailed instructions for completing the costing templates;</w:t>
      </w:r>
    </w:p>
    <w:p w:rsidR="001A5590" w:rsidRDefault="001A5590" w:rsidP="003E1DA9">
      <w:pPr>
        <w:pStyle w:val="Bullet1"/>
        <w:numPr>
          <w:ilvl w:val="0"/>
          <w:numId w:val="18"/>
        </w:numPr>
      </w:pPr>
      <w:r>
        <w:t>two spreadsheets to be populated with the cost of research training incurred by a university (universities were encouraged to adopt the best approach that approximated their costs of research training:</w:t>
      </w:r>
    </w:p>
    <w:p w:rsidR="001A5590" w:rsidRPr="00DA3D05" w:rsidRDefault="001A5590" w:rsidP="003E1DA9">
      <w:pPr>
        <w:pStyle w:val="Bullet2"/>
      </w:pPr>
      <w:r>
        <w:t xml:space="preserve">Universities were asked to use </w:t>
      </w:r>
      <w:r w:rsidRPr="00DA1A88">
        <w:rPr>
          <w:rStyle w:val="boldChar"/>
        </w:rPr>
        <w:t>Method 1</w:t>
      </w:r>
      <w:r w:rsidRPr="00DA3D05">
        <w:t xml:space="preserve"> where costs </w:t>
      </w:r>
      <w:r>
        <w:t>were</w:t>
      </w:r>
      <w:r w:rsidRPr="00DA3D05">
        <w:t xml:space="preserve"> known in total but not separately identified for RTS cand</w:t>
      </w:r>
      <w:r>
        <w:t>idates</w:t>
      </w:r>
      <w:r w:rsidRPr="00DA3D05">
        <w:t>;</w:t>
      </w:r>
      <w:r>
        <w:t xml:space="preserve"> and</w:t>
      </w:r>
    </w:p>
    <w:p w:rsidR="001A5590" w:rsidRPr="00DA3D05" w:rsidRDefault="001A5590" w:rsidP="003E1DA9">
      <w:pPr>
        <w:pStyle w:val="Bullet2"/>
      </w:pPr>
      <w:r>
        <w:t xml:space="preserve">to use </w:t>
      </w:r>
      <w:r w:rsidRPr="00DA1A88">
        <w:rPr>
          <w:rStyle w:val="boldChar"/>
        </w:rPr>
        <w:t>Method 2</w:t>
      </w:r>
      <w:r w:rsidRPr="00DA3D05">
        <w:t xml:space="preserve"> where costs </w:t>
      </w:r>
      <w:r>
        <w:t>were</w:t>
      </w:r>
      <w:r w:rsidRPr="00DA3D05">
        <w:t xml:space="preserve"> kn</w:t>
      </w:r>
      <w:r>
        <w:t>own uniquely for RTS candidates</w:t>
      </w:r>
      <w:r w:rsidRPr="00DA3D05">
        <w:t xml:space="preserve">; </w:t>
      </w:r>
    </w:p>
    <w:p w:rsidR="001A5590" w:rsidRPr="00DA3D05" w:rsidRDefault="001A5590" w:rsidP="00DA3D05">
      <w:pPr>
        <w:pStyle w:val="Bullet1"/>
        <w:numPr>
          <w:ilvl w:val="0"/>
          <w:numId w:val="18"/>
        </w:numPr>
      </w:pPr>
      <w:r>
        <w:t>a spreadsheet asking universitie</w:t>
      </w:r>
      <w:r w:rsidRPr="00DA3D05">
        <w:t>s to outline differences in costs attributable to discipline differences of HDR candidates; and</w:t>
      </w:r>
    </w:p>
    <w:p w:rsidR="001A5590" w:rsidRDefault="001A5590" w:rsidP="003E1DA9">
      <w:pPr>
        <w:pStyle w:val="Bullet1"/>
        <w:numPr>
          <w:ilvl w:val="0"/>
          <w:numId w:val="18"/>
        </w:numPr>
      </w:pPr>
      <w:r w:rsidRPr="00DA3D05">
        <w:t xml:space="preserve">a request for additional information such as student numbers. </w:t>
      </w:r>
    </w:p>
    <w:p w:rsidR="001A5590" w:rsidRDefault="001A5590" w:rsidP="008121FB">
      <w:pPr>
        <w:pStyle w:val="BodyText"/>
      </w:pPr>
      <w:r>
        <w:t xml:space="preserve">An explanatory note was provided along with the data collection template. </w:t>
      </w:r>
    </w:p>
    <w:p w:rsidR="001A5590" w:rsidRPr="00E1113E" w:rsidRDefault="001A5590" w:rsidP="00E76816">
      <w:pPr>
        <w:pStyle w:val="BodyText"/>
      </w:pPr>
      <w:r>
        <w:t xml:space="preserve">Universities were asked to provide cost information for the </w:t>
      </w:r>
      <w:r w:rsidRPr="008121FB">
        <w:t xml:space="preserve">2009 </w:t>
      </w:r>
      <w:r>
        <w:t xml:space="preserve">academic year, as this accorded with the transparent costing exercise carried out as part of the Sustainable Research Excellence (SRE) project.  Only costs actually incurred during 2009 were to be provided (not, for example, forthcoming costs for printing or for staging compulsory seminars).  </w:t>
      </w:r>
    </w:p>
    <w:p w:rsidR="001A5590" w:rsidRDefault="001A5590" w:rsidP="008121FB">
      <w:pPr>
        <w:pStyle w:val="BodyText"/>
      </w:pPr>
      <w:r>
        <w:t>The data collection template asked universities to provide two types of cost data:</w:t>
      </w:r>
    </w:p>
    <w:p w:rsidR="001A5590" w:rsidRPr="001734E8" w:rsidRDefault="001A5590" w:rsidP="001734E8">
      <w:pPr>
        <w:pStyle w:val="Bullet1"/>
        <w:numPr>
          <w:ilvl w:val="0"/>
          <w:numId w:val="18"/>
        </w:numPr>
      </w:pPr>
      <w:r w:rsidRPr="00DA1A88">
        <w:rPr>
          <w:rStyle w:val="boldChar"/>
        </w:rPr>
        <w:t>Direct costs:</w:t>
      </w:r>
      <w:r w:rsidRPr="001734E8">
        <w:t xml:space="preserve"> Costs uniquely associated with an HDR student during the course of </w:t>
      </w:r>
      <w:r>
        <w:t>his or her</w:t>
      </w:r>
      <w:r w:rsidRPr="001734E8">
        <w:t xml:space="preserve"> research training.  </w:t>
      </w:r>
      <w:r>
        <w:t>These included</w:t>
      </w:r>
      <w:r w:rsidRPr="001734E8">
        <w:t xml:space="preserve"> </w:t>
      </w:r>
      <w:r>
        <w:t>c</w:t>
      </w:r>
      <w:r w:rsidRPr="001734E8">
        <w:t>omputing equipment, field trip expenses, salary costs for supervisors</w:t>
      </w:r>
      <w:r>
        <w:t xml:space="preserve">, etc. </w:t>
      </w:r>
    </w:p>
    <w:p w:rsidR="001A5590" w:rsidRPr="001734E8" w:rsidRDefault="001A5590" w:rsidP="001734E8">
      <w:pPr>
        <w:pStyle w:val="Bullet1"/>
        <w:numPr>
          <w:ilvl w:val="0"/>
          <w:numId w:val="18"/>
        </w:numPr>
      </w:pPr>
      <w:r w:rsidRPr="00DA1A88">
        <w:rPr>
          <w:rStyle w:val="boldChar"/>
        </w:rPr>
        <w:t>Indirect costs:</w:t>
      </w:r>
      <w:r w:rsidRPr="001734E8">
        <w:t xml:space="preserve"> </w:t>
      </w:r>
      <w:r>
        <w:t>Costs incurred by a university</w:t>
      </w:r>
      <w:r w:rsidRPr="001734E8">
        <w:t xml:space="preserve"> that are related to research training or the HDR student but </w:t>
      </w:r>
      <w:r>
        <w:t xml:space="preserve">which </w:t>
      </w:r>
      <w:r w:rsidRPr="001734E8">
        <w:t>are also shared by facul</w:t>
      </w:r>
      <w:r>
        <w:t>ties, staff or other students.  These included c</w:t>
      </w:r>
      <w:r w:rsidRPr="001734E8">
        <w:t>ounselling</w:t>
      </w:r>
      <w:r>
        <w:t xml:space="preserve"> services, IT services, etc. </w:t>
      </w:r>
    </w:p>
    <w:p w:rsidR="001A5590" w:rsidRDefault="001A5590" w:rsidP="00B656C3">
      <w:pPr>
        <w:pStyle w:val="BodyText"/>
      </w:pPr>
      <w:r w:rsidRPr="0094038A">
        <w:t xml:space="preserve">These cost categories (and sub-categories) are outlined in more detail in </w:t>
      </w:r>
      <w:r w:rsidR="00CB25D7">
        <w:fldChar w:fldCharType="begin"/>
      </w:r>
      <w:r w:rsidR="00CB25D7">
        <w:instrText xml:space="preserve"> REF _Ref296584866 \r \h </w:instrText>
      </w:r>
      <w:r w:rsidR="00CB25D7">
        <w:fldChar w:fldCharType="separate"/>
      </w:r>
      <w:r w:rsidR="00A01A35">
        <w:t>Appendix B</w:t>
      </w:r>
      <w:r w:rsidR="00CB25D7">
        <w:fldChar w:fldCharType="end"/>
      </w:r>
      <w:r>
        <w:t xml:space="preserve"> </w:t>
      </w:r>
      <w:r w:rsidRPr="0094038A">
        <w:t>in</w:t>
      </w:r>
      <w:r>
        <w:t xml:space="preserve"> </w:t>
      </w:r>
      <w:r>
        <w:fldChar w:fldCharType="begin"/>
      </w:r>
      <w:r>
        <w:instrText xml:space="preserve"> REF _Ref296584888 \r \h </w:instrText>
      </w:r>
      <w:r>
        <w:fldChar w:fldCharType="separate"/>
      </w:r>
      <w:r w:rsidR="00A01A35">
        <w:t>Table B.1</w:t>
      </w:r>
      <w:r>
        <w:fldChar w:fldCharType="end"/>
      </w:r>
      <w:r>
        <w:t xml:space="preserve"> </w:t>
      </w:r>
      <w:r w:rsidRPr="0094038A">
        <w:t>and</w:t>
      </w:r>
      <w:r>
        <w:t xml:space="preserve"> </w:t>
      </w:r>
      <w:r>
        <w:fldChar w:fldCharType="begin"/>
      </w:r>
      <w:r>
        <w:instrText xml:space="preserve"> REF _Ref296584906 \r \h </w:instrText>
      </w:r>
      <w:r>
        <w:fldChar w:fldCharType="separate"/>
      </w:r>
      <w:r w:rsidR="00A01A35">
        <w:t>Table B.2</w:t>
      </w:r>
      <w:r>
        <w:fldChar w:fldCharType="end"/>
      </w:r>
      <w:r>
        <w:t>.</w:t>
      </w:r>
    </w:p>
    <w:p w:rsidR="001A5590" w:rsidRDefault="001A5590" w:rsidP="001A5590">
      <w:pPr>
        <w:pStyle w:val="Heading2"/>
        <w:numPr>
          <w:ilvl w:val="1"/>
          <w:numId w:val="21"/>
        </w:numPr>
        <w:tabs>
          <w:tab w:val="clear" w:pos="709"/>
        </w:tabs>
        <w:ind w:left="851" w:hanging="851"/>
      </w:pPr>
      <w:bookmarkStart w:id="51" w:name="_Ref294780625"/>
      <w:bookmarkStart w:id="52" w:name="_Toc298324960"/>
      <w:r>
        <w:lastRenderedPageBreak/>
        <w:t>Data collection phase and response rate</w:t>
      </w:r>
      <w:bookmarkEnd w:id="51"/>
      <w:bookmarkEnd w:id="52"/>
    </w:p>
    <w:p w:rsidR="001A5590" w:rsidRDefault="001A5590" w:rsidP="00795A68">
      <w:pPr>
        <w:pStyle w:val="BodyText"/>
      </w:pPr>
      <w:r>
        <w:t>In December 2010 DIISR approached all 41 HEPs to contribute to the study by providing information on their research training related costs.  Of the 41 institutions, 3</w:t>
      </w:r>
      <w:r w:rsidR="00826801">
        <w:t>7</w:t>
      </w:r>
      <w:r>
        <w:t xml:space="preserve"> agreed to participate in the study.  </w:t>
      </w:r>
    </w:p>
    <w:p w:rsidR="001A5590" w:rsidRDefault="001A5590" w:rsidP="00795A68">
      <w:pPr>
        <w:pStyle w:val="BodyText"/>
      </w:pPr>
      <w:r>
        <w:t>The data were collected between March 2011 and May 2011.  Of the 3</w:t>
      </w:r>
      <w:r w:rsidR="00826801">
        <w:t>7</w:t>
      </w:r>
      <w:r>
        <w:t xml:space="preserve"> universities that were sent the survey form, 31 responded within the required timeframe giving an 8</w:t>
      </w:r>
      <w:r w:rsidR="00826801">
        <w:t>3</w:t>
      </w:r>
      <w:r>
        <w:t>.</w:t>
      </w:r>
      <w:r w:rsidR="00826801">
        <w:t>8</w:t>
      </w:r>
      <w:r>
        <w:t xml:space="preserve">% response rate.  </w:t>
      </w:r>
    </w:p>
    <w:p w:rsidR="001A5590" w:rsidRDefault="001A5590" w:rsidP="00795A68">
      <w:pPr>
        <w:pStyle w:val="BodyText"/>
      </w:pPr>
      <w:r>
        <w:t xml:space="preserve">To maintain the anonymity of all universities, they were placed in a random order and numbered from 1 to </w:t>
      </w:r>
      <w:r w:rsidR="00D511CA">
        <w:t>37</w:t>
      </w:r>
      <w:r>
        <w:t>.  Universities that did not respond within the specified time were removed.</w:t>
      </w:r>
    </w:p>
    <w:p w:rsidR="001A5590" w:rsidRDefault="001A5590" w:rsidP="001A5590">
      <w:pPr>
        <w:pStyle w:val="Heading2"/>
        <w:numPr>
          <w:ilvl w:val="1"/>
          <w:numId w:val="21"/>
        </w:numPr>
        <w:tabs>
          <w:tab w:val="clear" w:pos="709"/>
        </w:tabs>
        <w:ind w:left="851" w:hanging="851"/>
      </w:pPr>
      <w:bookmarkStart w:id="53" w:name="_Ref294778205"/>
      <w:bookmarkStart w:id="54" w:name="_Toc298324961"/>
      <w:r>
        <w:t>Data validation and quality issues</w:t>
      </w:r>
      <w:bookmarkEnd w:id="53"/>
      <w:bookmarkEnd w:id="54"/>
    </w:p>
    <w:p w:rsidR="001A5590" w:rsidRDefault="001A5590" w:rsidP="00231C39">
      <w:pPr>
        <w:pStyle w:val="BodyText"/>
      </w:pPr>
      <w:r w:rsidRPr="00F638EB">
        <w:t xml:space="preserve">DIISR </w:t>
      </w:r>
      <w:r>
        <w:t xml:space="preserve">and Deloitte Access Economics cross-checked all responses and noted </w:t>
      </w:r>
      <w:r w:rsidRPr="00B449CE">
        <w:t xml:space="preserve">inconsistencies in the costing and student data provided.  DIISR then followed up with the sample universities to validate data.  </w:t>
      </w:r>
    </w:p>
    <w:p w:rsidR="001A5590" w:rsidRDefault="001A5590" w:rsidP="00231C39">
      <w:pPr>
        <w:pStyle w:val="BodyText"/>
      </w:pPr>
      <w:r>
        <w:t>Upon analysing the data collected, it was noted that:</w:t>
      </w:r>
    </w:p>
    <w:p w:rsidR="001A5590" w:rsidRDefault="001A5590" w:rsidP="00231C39">
      <w:pPr>
        <w:pStyle w:val="Bullet1"/>
        <w:numPr>
          <w:ilvl w:val="0"/>
          <w:numId w:val="18"/>
        </w:numPr>
      </w:pPr>
      <w:r>
        <w:t xml:space="preserve">universities used different methods to complete the data collection form such as adding in extra categories of cost to describe items not recognised; </w:t>
      </w:r>
    </w:p>
    <w:p w:rsidR="001A5590" w:rsidRDefault="001A5590" w:rsidP="00231C39">
      <w:pPr>
        <w:pStyle w:val="Bullet1"/>
        <w:numPr>
          <w:ilvl w:val="0"/>
          <w:numId w:val="18"/>
        </w:numPr>
      </w:pPr>
      <w:r>
        <w:t>universities held differing interpretations of some cost categories, attributing some costs to indirect cost categories rather than direct cost categories and vice versa;</w:t>
      </w:r>
    </w:p>
    <w:p w:rsidR="001A5590" w:rsidRDefault="001A5590" w:rsidP="00231C39">
      <w:pPr>
        <w:pStyle w:val="Bullet1"/>
        <w:numPr>
          <w:ilvl w:val="0"/>
          <w:numId w:val="18"/>
        </w:numPr>
      </w:pPr>
      <w:r>
        <w:t>most universities were unable to complete all cost categories because their own cost data were not described in the same way or with the same level of granularity;</w:t>
      </w:r>
    </w:p>
    <w:p w:rsidR="001A5590" w:rsidRDefault="001A5590" w:rsidP="00231C39">
      <w:pPr>
        <w:pStyle w:val="Bullet1"/>
        <w:numPr>
          <w:ilvl w:val="0"/>
          <w:numId w:val="18"/>
        </w:numPr>
      </w:pPr>
      <w:r>
        <w:t>SRE data were used to attribute the costs of supervisor salaries and on-costs for university returns where supervisory costs were not provided by the university; and</w:t>
      </w:r>
    </w:p>
    <w:p w:rsidR="001A5590" w:rsidRDefault="001A5590" w:rsidP="00231C39">
      <w:pPr>
        <w:pStyle w:val="Bullet1"/>
        <w:numPr>
          <w:ilvl w:val="0"/>
          <w:numId w:val="18"/>
        </w:numPr>
      </w:pPr>
      <w:r>
        <w:t xml:space="preserve">discipline-specific research training cost data were largely unavailable, therefore precluding the analysis of discipline-specific cost-drivers. </w:t>
      </w:r>
      <w:r w:rsidRPr="005C10C7">
        <w:t>Case studies were required to fill in the knowledge gap regarding discipline-specific costs.</w:t>
      </w:r>
      <w:r>
        <w:t xml:space="preserve"> </w:t>
      </w:r>
    </w:p>
    <w:p w:rsidR="001A5590" w:rsidRDefault="001A5590" w:rsidP="00231C39">
      <w:pPr>
        <w:pStyle w:val="BodyText"/>
      </w:pPr>
      <w:r>
        <w:t xml:space="preserve">Although DIISR followed up with the universities and sought further clarification around some of the costs reported, most universities found it difficult to reconcile all of their cost information to the categories in the data collection form.  As a result, other than supervisor salaries and on-costs, categories of cost were not comparable across the universities.  The total direct and indirect costs reported should therefore be considered with caution.  In general it was found that universities had more difficulty attributing costs under the indirect cost categories, and hence these remain largely unreported.  </w:t>
      </w:r>
    </w:p>
    <w:p w:rsidR="001A5590" w:rsidRDefault="001A5590" w:rsidP="00231C39">
      <w:pPr>
        <w:pStyle w:val="BodyText"/>
      </w:pPr>
      <w:r>
        <w:t>As a cumulative amount, the full cost of research training incurred by each university was the main data item collected where valid comparisons could be made as it avoids differing interpretations.  However, even these comparisons should be treated with caution in the knowledge that universities employ different accounting</w:t>
      </w:r>
      <w:r w:rsidRPr="00231C39">
        <w:t xml:space="preserve"> methods.</w:t>
      </w:r>
      <w:r>
        <w:t xml:space="preserve">              </w:t>
      </w:r>
    </w:p>
    <w:p w:rsidR="003E3674" w:rsidRDefault="001A5590" w:rsidP="003E3674">
      <w:pPr>
        <w:pStyle w:val="BodyText"/>
      </w:pPr>
      <w:r>
        <w:t>The universities themselves expressed concerns over</w:t>
      </w:r>
      <w:r w:rsidRPr="00650EE6">
        <w:t xml:space="preserve"> the </w:t>
      </w:r>
      <w:r>
        <w:t xml:space="preserve">data collection methodology and hence the </w:t>
      </w:r>
      <w:r w:rsidRPr="00650EE6">
        <w:t>quality of data collected</w:t>
      </w:r>
      <w:r>
        <w:t xml:space="preserve">.  </w:t>
      </w:r>
      <w:smartTag w:uri="urn:schemas-microsoft-com:office:smarttags" w:element="place">
        <w:smartTag w:uri="urn:schemas-microsoft-com:office:smarttags" w:element="address">
          <w:smartTag w:uri="urn:schemas-microsoft-com:office:smarttags" w:element="Street">
            <w:r>
              <w:t>Box</w:t>
            </w:r>
          </w:smartTag>
        </w:smartTag>
        <w:r>
          <w:t xml:space="preserve"> 2</w:t>
        </w:r>
      </w:smartTag>
      <w:r>
        <w:t xml:space="preserve"> outlines some of the issues raised by universities.</w:t>
      </w:r>
    </w:p>
    <w:p w:rsidR="003E3674" w:rsidRPr="00D65F13" w:rsidRDefault="003E3674" w:rsidP="003E3674">
      <w:pPr>
        <w:pStyle w:val="Callout"/>
      </w:pPr>
      <w:smartTag w:uri="urn:schemas-microsoft-com:office:smarttags" w:element="place">
        <w:smartTag w:uri="urn:schemas-microsoft-com:office:smarttags" w:element="place">
          <w:smartTag w:uri="urn:schemas-microsoft-com:office:smarttags" w:element="Street">
            <w:r w:rsidRPr="001B1867">
              <w:lastRenderedPageBreak/>
              <w:t>Box</w:t>
            </w:r>
          </w:smartTag>
        </w:smartTag>
        <w:r>
          <w:t xml:space="preserve"> 2</w:t>
        </w:r>
      </w:smartTag>
      <w:r>
        <w:t>: Data quality issues</w:t>
      </w:r>
    </w:p>
    <w:p w:rsidR="003E3674" w:rsidRPr="00D65F13" w:rsidRDefault="003E3674" w:rsidP="003E3674">
      <w:pPr>
        <w:pStyle w:val="Callouttext"/>
      </w:pPr>
      <w:r>
        <w:t>Data limitations of this survey due to the use of the SRE data should be acknowledged.  Using these data to attribute the portion of supervisor salaries and on-costs spent on delivering research training to HDR candidates may under-report the actual costs for supervisory salaries and on-costs.</w:t>
      </w:r>
    </w:p>
    <w:p w:rsidR="003E3674" w:rsidRPr="00DE3DC5" w:rsidRDefault="003E3674" w:rsidP="003E3674">
      <w:pPr>
        <w:pStyle w:val="Callouttext"/>
      </w:pPr>
      <w:r w:rsidRPr="00DE3DC5">
        <w:t>Costs provided should be considered a broad estimation</w:t>
      </w:r>
      <w:r>
        <w:t>,</w:t>
      </w:r>
      <w:r w:rsidRPr="00DE3DC5">
        <w:t xml:space="preserve"> as data collection methodologies between institutions and even between different types of line items vary.  Some institutions do not have sufficiently detailed ledgers to provide the costs requested. </w:t>
      </w:r>
    </w:p>
    <w:p w:rsidR="003E3674" w:rsidRPr="00DE3DC5" w:rsidRDefault="003E3674" w:rsidP="003E3674">
      <w:pPr>
        <w:pStyle w:val="Callouttext"/>
      </w:pPr>
      <w:r w:rsidRPr="00DE3DC5">
        <w:t xml:space="preserve">Costs may exclude salary costs associated with staff who teach RTS students but do not supervise them. </w:t>
      </w:r>
    </w:p>
    <w:p w:rsidR="00CB25D7" w:rsidRDefault="00CB25D7" w:rsidP="00231C39">
      <w:pPr>
        <w:pStyle w:val="BodyText"/>
      </w:pPr>
    </w:p>
    <w:p w:rsidR="001A5590" w:rsidRDefault="001A5590" w:rsidP="001A5590">
      <w:pPr>
        <w:pStyle w:val="Heading2"/>
        <w:numPr>
          <w:ilvl w:val="1"/>
          <w:numId w:val="21"/>
        </w:numPr>
        <w:tabs>
          <w:tab w:val="clear" w:pos="709"/>
        </w:tabs>
        <w:ind w:left="851" w:hanging="851"/>
      </w:pPr>
      <w:bookmarkStart w:id="55" w:name="_Toc298324962"/>
      <w:r w:rsidRPr="000F4517">
        <w:t>Case studies</w:t>
      </w:r>
      <w:bookmarkEnd w:id="55"/>
    </w:p>
    <w:p w:rsidR="001A5590" w:rsidRDefault="001A5590" w:rsidP="00231C39">
      <w:pPr>
        <w:pStyle w:val="BodyText"/>
      </w:pPr>
      <w:r>
        <w:t xml:space="preserve">Case studies were intended to collect information that could not be easily quantified through the survey instrument, supplementing the quantitative data provided by the universities.  Given that most universities did not provide information on discipline-specific cost differences, the case studies were important for developing a better understanding of such cost differences.  </w:t>
      </w:r>
    </w:p>
    <w:p w:rsidR="001A5590" w:rsidRDefault="001A5590" w:rsidP="00231C39">
      <w:pPr>
        <w:pStyle w:val="BodyText"/>
      </w:pPr>
      <w:r>
        <w:t>Deloitte Access Economics developed a supplementary questionnaire, as outlined in</w:t>
      </w:r>
      <w:r w:rsidR="00CB25D7">
        <w:t xml:space="preserve"> </w:t>
      </w:r>
      <w:r w:rsidR="00CB25D7">
        <w:fldChar w:fldCharType="begin"/>
      </w:r>
      <w:r w:rsidR="00CB25D7">
        <w:instrText xml:space="preserve"> REF _Ref294776975 \r \h </w:instrText>
      </w:r>
      <w:r w:rsidR="00CB25D7">
        <w:fldChar w:fldCharType="separate"/>
      </w:r>
      <w:r w:rsidR="00A01A35">
        <w:t>Appendix D</w:t>
      </w:r>
      <w:r w:rsidR="00CB25D7">
        <w:fldChar w:fldCharType="end"/>
      </w:r>
      <w:r>
        <w:t>.  Three sample universities were asked to provide further information on, and identify any differences in, research training costs as a consequence of discipline of study and other factors.  Interviews were undertaken with the case study participants in order to further examine whether cost differences vary significantly across different institutional structures.</w:t>
      </w:r>
    </w:p>
    <w:p w:rsidR="001A5590" w:rsidRPr="00211DF8" w:rsidRDefault="001A5590" w:rsidP="00DA1A88">
      <w:pPr>
        <w:pStyle w:val="BodyText"/>
        <w:rPr>
          <w:highlight w:val="yellow"/>
        </w:rPr>
      </w:pPr>
    </w:p>
    <w:p w:rsidR="001A5590" w:rsidRDefault="001A5590" w:rsidP="001A5590">
      <w:pPr>
        <w:pStyle w:val="Heading1"/>
        <w:numPr>
          <w:ilvl w:val="0"/>
          <w:numId w:val="21"/>
        </w:numPr>
        <w:ind w:left="0" w:hanging="567"/>
      </w:pPr>
      <w:bookmarkStart w:id="56" w:name="_Toc298324963"/>
      <w:r>
        <w:lastRenderedPageBreak/>
        <w:t>Analysis of research training costs</w:t>
      </w:r>
      <w:bookmarkEnd w:id="56"/>
    </w:p>
    <w:p w:rsidR="001A5590" w:rsidRDefault="001A5590" w:rsidP="001A5590">
      <w:pPr>
        <w:pStyle w:val="Heading2"/>
        <w:numPr>
          <w:ilvl w:val="1"/>
          <w:numId w:val="21"/>
        </w:numPr>
        <w:tabs>
          <w:tab w:val="clear" w:pos="709"/>
        </w:tabs>
        <w:ind w:left="851" w:hanging="851"/>
      </w:pPr>
      <w:bookmarkStart w:id="57" w:name="_Toc298324964"/>
      <w:r>
        <w:t>Introduction</w:t>
      </w:r>
      <w:bookmarkEnd w:id="57"/>
    </w:p>
    <w:p w:rsidR="001A5590" w:rsidRDefault="001A5590" w:rsidP="00B27D7A">
      <w:pPr>
        <w:pStyle w:val="BodyText"/>
      </w:pPr>
      <w:r>
        <w:t xml:space="preserve">This chapter presents basic statistics describing the full cost of research training per HDR RTS EFTSL, as reported by the 31 universities who responded to the survey </w:t>
      </w:r>
      <w:r w:rsidR="00CB25D7">
        <w:t xml:space="preserve">(Section </w:t>
      </w:r>
      <w:r w:rsidR="00CB25D7">
        <w:fldChar w:fldCharType="begin"/>
      </w:r>
      <w:r w:rsidR="00CB25D7">
        <w:instrText xml:space="preserve"> REF _Ref294778135 \r \h </w:instrText>
      </w:r>
      <w:r w:rsidR="00CB25D7">
        <w:fldChar w:fldCharType="separate"/>
      </w:r>
      <w:r w:rsidR="00A01A35">
        <w:t>5.2</w:t>
      </w:r>
      <w:r w:rsidR="00CB25D7">
        <w:fldChar w:fldCharType="end"/>
      </w:r>
      <w:r>
        <w:t>).  It then explores different university characteristics that potentially affect the reported cost of research training at each university (Section</w:t>
      </w:r>
      <w:r w:rsidR="00CB25D7">
        <w:t xml:space="preserve"> </w:t>
      </w:r>
      <w:r w:rsidR="00CB25D7">
        <w:fldChar w:fldCharType="begin"/>
      </w:r>
      <w:r w:rsidR="00CB25D7">
        <w:instrText xml:space="preserve"> REF _Ref294778144 \r \h </w:instrText>
      </w:r>
      <w:r w:rsidR="00CB25D7">
        <w:fldChar w:fldCharType="separate"/>
      </w:r>
      <w:r w:rsidR="00A01A35">
        <w:t>5.3</w:t>
      </w:r>
      <w:r w:rsidR="00CB25D7">
        <w:fldChar w:fldCharType="end"/>
      </w:r>
      <w:r>
        <w:t xml:space="preserve">) and compares the research training cost per HDR RTS EFTSL and funding received per HDR RTS EFTSL (Section </w:t>
      </w:r>
      <w:r>
        <w:fldChar w:fldCharType="begin"/>
      </w:r>
      <w:r>
        <w:instrText xml:space="preserve"> REF _Ref295307517 \r \h </w:instrText>
      </w:r>
      <w:r>
        <w:fldChar w:fldCharType="separate"/>
      </w:r>
      <w:r w:rsidR="00A01A35">
        <w:t>5.4</w:t>
      </w:r>
      <w:r>
        <w:fldChar w:fldCharType="end"/>
      </w:r>
      <w:r>
        <w:t xml:space="preserve">).  The possible relationships between university characteristics and research training costs and their magnitude are explored further by regression analysis (Section </w:t>
      </w:r>
      <w:r>
        <w:fldChar w:fldCharType="begin"/>
      </w:r>
      <w:r>
        <w:instrText xml:space="preserve"> REF _Ref296523843 \r \h </w:instrText>
      </w:r>
      <w:r>
        <w:fldChar w:fldCharType="separate"/>
      </w:r>
      <w:r w:rsidR="00A01A35">
        <w:t>5.5</w:t>
      </w:r>
      <w:r>
        <w:fldChar w:fldCharType="end"/>
      </w:r>
      <w:r>
        <w:t>).</w:t>
      </w:r>
    </w:p>
    <w:p w:rsidR="001A5590" w:rsidRDefault="001A5590" w:rsidP="00B27D7A">
      <w:pPr>
        <w:pStyle w:val="BodyText"/>
      </w:pPr>
      <w:r>
        <w:t>Potential characteristics or cost drivers that were thought to have an impact on research training costs per HDR RTS EFTSL and could be analysed include:</w:t>
      </w:r>
    </w:p>
    <w:p w:rsidR="001A5590" w:rsidRDefault="001A5590" w:rsidP="00C74029">
      <w:pPr>
        <w:pStyle w:val="Bullet1"/>
        <w:numPr>
          <w:ilvl w:val="0"/>
          <w:numId w:val="18"/>
        </w:numPr>
      </w:pPr>
      <w:r w:rsidRPr="00FD179B">
        <w:rPr>
          <w:rStyle w:val="BulletboldChar"/>
        </w:rPr>
        <w:t>Location of university—</w:t>
      </w:r>
      <w:r>
        <w:t>a university located outside a major city is more likely to have higher costs of research training per EFTSL due to less access to resources, higher transportation costs</w:t>
      </w:r>
      <w:r w:rsidRPr="005E2FCB">
        <w:t xml:space="preserve"> </w:t>
      </w:r>
      <w:r>
        <w:t>and offering higher salaries to attract high-quality staff.  H</w:t>
      </w:r>
      <w:r w:rsidRPr="006A471F">
        <w:t xml:space="preserve">owever, without considering quality aspects, a regional location may also be low-cost due to factors such as </w:t>
      </w:r>
      <w:r>
        <w:t xml:space="preserve">a </w:t>
      </w:r>
      <w:r w:rsidRPr="006A471F">
        <w:t>lack of alternative employment opportunities and lower cost equipment</w:t>
      </w:r>
      <w:r>
        <w:t>.</w:t>
      </w:r>
    </w:p>
    <w:p w:rsidR="001A5590" w:rsidRPr="00F918DD" w:rsidRDefault="001A5590" w:rsidP="007C11C5">
      <w:pPr>
        <w:pStyle w:val="Bullet1"/>
        <w:numPr>
          <w:ilvl w:val="0"/>
          <w:numId w:val="18"/>
        </w:numPr>
      </w:pPr>
      <w:r w:rsidRPr="00FD179B">
        <w:rPr>
          <w:rStyle w:val="BulletboldChar"/>
        </w:rPr>
        <w:t>Total number of student enrolments at a university—</w:t>
      </w:r>
      <w:r w:rsidRPr="006E316B">
        <w:t>universities with more student enrolments (both undergraduate and postgraduate) experience economies of scale which are likely to drive research training costs per EFTSL down.  However, larger universities may also offer more expensive disciplines which may drive average costs up.</w:t>
      </w:r>
    </w:p>
    <w:p w:rsidR="001A5590" w:rsidRDefault="001A5590" w:rsidP="00C74029">
      <w:pPr>
        <w:pStyle w:val="Bullet1"/>
        <w:numPr>
          <w:ilvl w:val="0"/>
          <w:numId w:val="18"/>
        </w:numPr>
      </w:pPr>
      <w:r w:rsidRPr="00FD179B">
        <w:rPr>
          <w:rStyle w:val="BulletboldChar"/>
        </w:rPr>
        <w:t>Australian universities grouping—</w:t>
      </w:r>
      <w:r w:rsidRPr="0013691C">
        <w:t>a university</w:t>
      </w:r>
      <w:r>
        <w:t>’s Australian university grouping may reflect its research intensity.  Those with</w:t>
      </w:r>
      <w:r w:rsidRPr="0013691C">
        <w:t xml:space="preserve"> </w:t>
      </w:r>
      <w:r>
        <w:t xml:space="preserve">higher research output may have lower research training costs per EFTSL as, according to </w:t>
      </w:r>
      <w:r w:rsidRPr="0013691C">
        <w:t>the</w:t>
      </w:r>
      <w:r>
        <w:t xml:space="preserve"> </w:t>
      </w:r>
      <w:r w:rsidRPr="0013691C">
        <w:t>SRE study</w:t>
      </w:r>
      <w:r>
        <w:t>,</w:t>
      </w:r>
      <w:r w:rsidRPr="0013691C">
        <w:t xml:space="preserve"> supervisors</w:t>
      </w:r>
      <w:r>
        <w:t xml:space="preserve"> at these institutions may be spending more time on their research grants, which may mean they have less time to supervise research students (which means that the average time spent supervising a research training student is lower).  Universities with higher research intensity may also employ more expensive staff which may drive up research training costs per EFTSL.</w:t>
      </w:r>
    </w:p>
    <w:p w:rsidR="001A5590" w:rsidRDefault="001A5590" w:rsidP="000945F9">
      <w:pPr>
        <w:pStyle w:val="Bullet1"/>
        <w:numPr>
          <w:ilvl w:val="0"/>
          <w:numId w:val="18"/>
        </w:numPr>
      </w:pPr>
      <w:r w:rsidRPr="00FD179B">
        <w:rPr>
          <w:rStyle w:val="BulletboldChar"/>
        </w:rPr>
        <w:t>Total HDR EFTSL (PhD and Masters HDR)—</w:t>
      </w:r>
      <w:r>
        <w:t>similar impact on research training costs per EFTSL to the research intensity of a university discussed above.</w:t>
      </w:r>
    </w:p>
    <w:p w:rsidR="001A5590" w:rsidRDefault="001A5590" w:rsidP="00C74029">
      <w:pPr>
        <w:pStyle w:val="Bullet1"/>
        <w:numPr>
          <w:ilvl w:val="0"/>
          <w:numId w:val="18"/>
        </w:numPr>
      </w:pPr>
      <w:r w:rsidRPr="00FD179B">
        <w:rPr>
          <w:rStyle w:val="BulletboldChar"/>
        </w:rPr>
        <w:t>Ratio of HDR candidates to total student enrolments—</w:t>
      </w:r>
      <w:r>
        <w:t>similar impact on research training costs per EFTSL to the research intensity of a university discussed above.</w:t>
      </w:r>
    </w:p>
    <w:p w:rsidR="001A5590" w:rsidRPr="00D03AA8" w:rsidRDefault="001A5590" w:rsidP="007C11C5">
      <w:pPr>
        <w:pStyle w:val="Bullet1"/>
        <w:numPr>
          <w:ilvl w:val="0"/>
          <w:numId w:val="18"/>
        </w:numPr>
      </w:pPr>
      <w:r w:rsidRPr="00FD179B">
        <w:rPr>
          <w:rStyle w:val="BulletboldChar"/>
        </w:rPr>
        <w:t>Ratio of RTS candidates to HDR candidates—</w:t>
      </w:r>
      <w:r w:rsidRPr="006E316B">
        <w:t>a greater ratio of HDR students eligible for RTS funding to HDR students not eligible for the RTS (</w:t>
      </w:r>
      <w:r w:rsidRPr="000B5D55">
        <w:t>e.g.</w:t>
      </w:r>
      <w:r w:rsidRPr="006E316B">
        <w:t>, international students and domestic students receiving funding from other sources) is likely to drive costs down.  This may be because these universities have more success in attracting better quality students who require less supervisory time.</w:t>
      </w:r>
    </w:p>
    <w:p w:rsidR="001A5590" w:rsidRPr="004C676A" w:rsidRDefault="001A5590" w:rsidP="00C74029">
      <w:pPr>
        <w:pStyle w:val="Bullet1"/>
        <w:numPr>
          <w:ilvl w:val="0"/>
          <w:numId w:val="18"/>
        </w:numPr>
        <w:rPr>
          <w:i/>
        </w:rPr>
      </w:pPr>
      <w:r w:rsidRPr="00FD179B">
        <w:rPr>
          <w:rStyle w:val="BulletboldChar"/>
        </w:rPr>
        <w:t>Ratio of Masters HDR to PhD HDR EFTSL—</w:t>
      </w:r>
      <w:r>
        <w:t>Masters HDR EFTSL use resources less intensively, therefore a higher ratio of Masters to PhD HDR EFTSL is likely to drive down research training costs per EFTSL.</w:t>
      </w:r>
    </w:p>
    <w:p w:rsidR="001A5590" w:rsidRPr="004417D5" w:rsidRDefault="001A5590" w:rsidP="004417D5">
      <w:pPr>
        <w:pStyle w:val="Bullet1"/>
        <w:numPr>
          <w:ilvl w:val="0"/>
          <w:numId w:val="18"/>
        </w:numPr>
        <w:rPr>
          <w:i/>
        </w:rPr>
      </w:pPr>
      <w:r w:rsidRPr="00FD179B">
        <w:rPr>
          <w:rStyle w:val="BulletboldChar"/>
        </w:rPr>
        <w:lastRenderedPageBreak/>
        <w:t>Ratio of part-time to full-time RTS HDR candidates—</w:t>
      </w:r>
      <w:r>
        <w:t>a greater share of part-time candidates is likely to drive up the cost per RTS EFTSL as the actual co</w:t>
      </w:r>
      <w:r w:rsidRPr="004C676A">
        <w:t>st of a part-time student contributing 0.5</w:t>
      </w:r>
      <w:r>
        <w:t xml:space="preserve"> </w:t>
      </w:r>
      <w:r w:rsidRPr="004C676A">
        <w:t>EFTSL is g</w:t>
      </w:r>
      <w:r>
        <w:t>reater than half that of a full-time student contributing 1.0 EFTSL—similar fixed costs for part-time and full-time students mean average cost per EFTSL is higher for part-time students than full-time students.</w:t>
      </w:r>
    </w:p>
    <w:p w:rsidR="001A5590" w:rsidRDefault="001A5590" w:rsidP="00C74029">
      <w:pPr>
        <w:pStyle w:val="Bullet1"/>
        <w:numPr>
          <w:ilvl w:val="0"/>
          <w:numId w:val="18"/>
        </w:numPr>
      </w:pPr>
      <w:r w:rsidRPr="00FD179B">
        <w:rPr>
          <w:rStyle w:val="BulletboldChar"/>
        </w:rPr>
        <w:t>Research active staff per HDR EFTSL—</w:t>
      </w:r>
      <w:r>
        <w:t>a higher number of research-active staff per HDR EFTSL may drive up research training costs per EFTSL due to greater salary costs per student.  However, the h</w:t>
      </w:r>
      <w:r w:rsidRPr="006A471F">
        <w:t xml:space="preserve">igher number of research-active staff per HDR EFTSL </w:t>
      </w:r>
      <w:r>
        <w:t>could also</w:t>
      </w:r>
      <w:r w:rsidRPr="006A471F">
        <w:t xml:space="preserve"> drive economies of scale in resource utilisation.  Costs may also be lower for institutions with high research intensity due to staff spending less time supervising HDR candidates</w:t>
      </w:r>
      <w:r>
        <w:t>.</w:t>
      </w:r>
    </w:p>
    <w:p w:rsidR="001A5590" w:rsidRDefault="001A5590" w:rsidP="004417D5">
      <w:pPr>
        <w:pStyle w:val="Bullet1"/>
        <w:numPr>
          <w:ilvl w:val="0"/>
          <w:numId w:val="18"/>
        </w:numPr>
      </w:pPr>
      <w:r w:rsidRPr="00FD179B">
        <w:rPr>
          <w:rStyle w:val="BulletboldChar"/>
        </w:rPr>
        <w:t>Ratio of total RTS candidates studying on-campus to total RTS candidates studying at a distance—</w:t>
      </w:r>
      <w:r>
        <w:t>a higher ratio of students studying on-campus is likely to drive up research training costs per EFTSL as on-campus students require greater resources to be provided by the university—for example, desk space, a computer and other infrastructure.</w:t>
      </w:r>
    </w:p>
    <w:p w:rsidR="001A5590" w:rsidRDefault="001A5590" w:rsidP="00C74029">
      <w:pPr>
        <w:pStyle w:val="Bullet1"/>
        <w:numPr>
          <w:ilvl w:val="0"/>
          <w:numId w:val="18"/>
        </w:numPr>
      </w:pPr>
      <w:r w:rsidRPr="00FD179B">
        <w:rPr>
          <w:rStyle w:val="BulletboldChar"/>
        </w:rPr>
        <w:t>Number of campuses—</w:t>
      </w:r>
      <w:r>
        <w:t>universities with a greater number of campuses may result in duplication of resources which is likely to drive up research training costs per EFTSL.</w:t>
      </w:r>
    </w:p>
    <w:p w:rsidR="001A5590" w:rsidRPr="00C80EFB" w:rsidRDefault="001A5590" w:rsidP="00C74029">
      <w:pPr>
        <w:pStyle w:val="Bullet1"/>
        <w:numPr>
          <w:ilvl w:val="0"/>
          <w:numId w:val="18"/>
        </w:numPr>
        <w:rPr>
          <w:i/>
        </w:rPr>
      </w:pPr>
      <w:r w:rsidRPr="00FD179B">
        <w:rPr>
          <w:rStyle w:val="BulletboldChar"/>
        </w:rPr>
        <w:t>Discipline mix</w:t>
      </w:r>
      <w:r>
        <w:t>—discipline-mix is a variable that could have been considered as a cost driver but was not included due to data limitations.</w:t>
      </w:r>
      <w:r w:rsidRPr="00D65F13">
        <w:rPr>
          <w:rStyle w:val="StyleFootnoteReference"/>
          <w:sz w:val="18"/>
        </w:rPr>
        <w:footnoteReference w:id="5"/>
      </w:r>
    </w:p>
    <w:p w:rsidR="001A5590" w:rsidRDefault="001A5590" w:rsidP="001A5590">
      <w:pPr>
        <w:pStyle w:val="Heading2"/>
        <w:numPr>
          <w:ilvl w:val="1"/>
          <w:numId w:val="21"/>
        </w:numPr>
        <w:tabs>
          <w:tab w:val="clear" w:pos="709"/>
        </w:tabs>
        <w:ind w:left="851" w:hanging="851"/>
      </w:pPr>
      <w:bookmarkStart w:id="58" w:name="_Ref294778135"/>
      <w:bookmarkStart w:id="59" w:name="_Toc298324965"/>
      <w:r>
        <w:t>Average research training costs across universities</w:t>
      </w:r>
      <w:bookmarkEnd w:id="58"/>
      <w:bookmarkEnd w:id="59"/>
    </w:p>
    <w:p w:rsidR="001A5590" w:rsidRPr="00EC239D" w:rsidRDefault="001A5590" w:rsidP="00C80EFB">
      <w:pPr>
        <w:pStyle w:val="BodyText"/>
      </w:pPr>
      <w:r>
        <w:t xml:space="preserve">Research training costs are reported as costs per EFTSL and not as costs per student as the reported costs </w:t>
      </w:r>
      <w:r w:rsidRPr="00EC239D">
        <w:t>could not be separated into those for full-time students and those for part</w:t>
      </w:r>
      <w:r>
        <w:noBreakHyphen/>
      </w:r>
      <w:r w:rsidRPr="00EC239D">
        <w:t xml:space="preserve">time students.  The effect of the part-time to full-time HDR student ratio on reported cost per EFTSL is explored in Section </w:t>
      </w:r>
      <w:r>
        <w:fldChar w:fldCharType="begin"/>
      </w:r>
      <w:r>
        <w:instrText xml:space="preserve"> REF _Ref294778115 \r \h  \* MERGEFORMAT </w:instrText>
      </w:r>
      <w:r>
        <w:fldChar w:fldCharType="separate"/>
      </w:r>
      <w:r w:rsidR="00A01A35">
        <w:t>5.3.7</w:t>
      </w:r>
      <w:r>
        <w:fldChar w:fldCharType="end"/>
      </w:r>
      <w:r w:rsidRPr="00EC239D">
        <w:t xml:space="preserve">.  </w:t>
      </w:r>
    </w:p>
    <w:p w:rsidR="001A5590" w:rsidRDefault="001A5590" w:rsidP="00C80EFB">
      <w:pPr>
        <w:pStyle w:val="BodyText"/>
      </w:pPr>
      <w:r w:rsidRPr="00EC239D">
        <w:t xml:space="preserve">In the following section the de-identified sample </w:t>
      </w:r>
      <w:r>
        <w:t>universities</w:t>
      </w:r>
      <w:r w:rsidRPr="00EC239D">
        <w:t xml:space="preserve"> appear on all charts on the x</w:t>
      </w:r>
      <w:r>
        <w:noBreakHyphen/>
      </w:r>
      <w:r w:rsidRPr="00EC239D">
        <w:t xml:space="preserve">axis </w:t>
      </w:r>
      <w:r>
        <w:t xml:space="preserve">as numbers </w:t>
      </w:r>
      <w:r w:rsidRPr="00EC239D">
        <w:t>labelled 1 to 37.</w:t>
      </w:r>
      <w:r w:rsidR="00CB25D7">
        <w:t xml:space="preserve">  Each university bears the same number throughout the report.</w:t>
      </w:r>
      <w:r w:rsidRPr="00EC239D">
        <w:t xml:space="preserve">  Of the </w:t>
      </w:r>
      <w:r>
        <w:t>3</w:t>
      </w:r>
      <w:r w:rsidR="00330704">
        <w:t>7</w:t>
      </w:r>
      <w:r w:rsidRPr="00EC239D">
        <w:t xml:space="preserve"> </w:t>
      </w:r>
      <w:r>
        <w:t>universities</w:t>
      </w:r>
      <w:r w:rsidRPr="00EC239D">
        <w:t xml:space="preserve"> </w:t>
      </w:r>
      <w:r w:rsidR="00330704">
        <w:t xml:space="preserve">that agreed </w:t>
      </w:r>
      <w:r w:rsidRPr="00EC239D">
        <w:t xml:space="preserve"> to participate, </w:t>
      </w:r>
      <w:r>
        <w:t>31</w:t>
      </w:r>
      <w:r w:rsidRPr="00EC239D">
        <w:t xml:space="preserve"> returned their s</w:t>
      </w:r>
      <w:r>
        <w:t>urveys within the required time</w:t>
      </w:r>
      <w:r w:rsidRPr="00EC239D">
        <w:t>frame</w:t>
      </w:r>
      <w:r>
        <w:t>,</w:t>
      </w:r>
      <w:r w:rsidRPr="00EC239D">
        <w:t xml:space="preserve"> </w:t>
      </w:r>
      <w:r>
        <w:t>thus providing an 8</w:t>
      </w:r>
      <w:r w:rsidR="00826801">
        <w:t>3</w:t>
      </w:r>
      <w:r>
        <w:t>.</w:t>
      </w:r>
      <w:r w:rsidR="00826801">
        <w:t>8</w:t>
      </w:r>
      <w:r>
        <w:t xml:space="preserve">% response </w:t>
      </w:r>
      <w:r w:rsidRPr="00EC239D">
        <w:t>rate.</w:t>
      </w:r>
      <w:r>
        <w:t xml:space="preserve">  The</w:t>
      </w:r>
      <w:r w:rsidR="00826801">
        <w:t xml:space="preserve"> six</w:t>
      </w:r>
      <w:r>
        <w:t xml:space="preserve"> de-identified universities that did not respond within the timeframe were removed from the analysis</w:t>
      </w:r>
      <w:r w:rsidR="00CB25D7">
        <w:t xml:space="preserve"> hence</w:t>
      </w:r>
      <w:r w:rsidR="009E6728">
        <w:t>,</w:t>
      </w:r>
      <w:r w:rsidR="00CB25D7">
        <w:t xml:space="preserve"> not all numbers from 1 to 37 are used</w:t>
      </w:r>
      <w:r>
        <w:t>.</w:t>
      </w:r>
    </w:p>
    <w:p w:rsidR="001A5590" w:rsidRDefault="001A5590" w:rsidP="00C80EFB">
      <w:pPr>
        <w:pStyle w:val="BodyText"/>
      </w:pPr>
      <w:r w:rsidRPr="00EC239D">
        <w:t>The full cost of research training</w:t>
      </w:r>
      <w:r>
        <w:t xml:space="preserve"> per RTS EFTSL reported by the universities has a mean of $33,788 (min= $18,027, max=$56,218) and a median of $32,789.  </w:t>
      </w:r>
      <w:r w:rsidR="00CB25D7">
        <w:fldChar w:fldCharType="begin"/>
      </w:r>
      <w:r w:rsidR="00CB25D7">
        <w:instrText xml:space="preserve"> REF _Ref297710230 \r \h </w:instrText>
      </w:r>
      <w:r w:rsidR="00CB25D7">
        <w:fldChar w:fldCharType="separate"/>
      </w:r>
      <w:r w:rsidR="00A01A35">
        <w:t>Chart 5.1</w:t>
      </w:r>
      <w:r w:rsidR="00CB25D7">
        <w:fldChar w:fldCharType="end"/>
      </w:r>
      <w:r w:rsidR="00CB25D7">
        <w:t xml:space="preserve"> </w:t>
      </w:r>
      <w:r>
        <w:t xml:space="preserve">shows the wide range of reported research training costs per HDR RTS EFTSL across the sample.  </w:t>
      </w:r>
    </w:p>
    <w:p w:rsidR="001A5590" w:rsidRPr="00B04B2B" w:rsidRDefault="001A5590" w:rsidP="00B04B2B">
      <w:pPr>
        <w:pStyle w:val="BodyText"/>
      </w:pPr>
    </w:p>
    <w:p w:rsidR="001A5590" w:rsidRPr="002F4901" w:rsidRDefault="001A5590" w:rsidP="002F4901">
      <w:pPr>
        <w:pStyle w:val="CaptionChart"/>
        <w:numPr>
          <w:ilvl w:val="7"/>
          <w:numId w:val="21"/>
        </w:numPr>
        <w:ind w:left="0" w:firstLine="0"/>
      </w:pPr>
      <w:bookmarkStart w:id="60" w:name="_Ref295129113"/>
      <w:bookmarkStart w:id="61" w:name="_Toc298324983"/>
      <w:bookmarkStart w:id="62" w:name="_Ref297710230"/>
      <w:r>
        <w:lastRenderedPageBreak/>
        <w:t>: Full cost of research training per HDR RTS EFTSL ($’000) reported by universities</w:t>
      </w:r>
      <w:bookmarkEnd w:id="60"/>
      <w:bookmarkEnd w:id="61"/>
      <w:r w:rsidRPr="00583160">
        <w:rPr>
          <w:noProof/>
          <w:lang w:val="en-US"/>
        </w:rPr>
        <w:t xml:space="preserve"> </w:t>
      </w:r>
      <w:bookmarkEnd w:id="62"/>
    </w:p>
    <w:p w:rsidR="001A5590" w:rsidRDefault="00DD6724" w:rsidP="00B04B2B">
      <w:pPr>
        <w:pStyle w:val="Figure"/>
      </w:pPr>
      <w:r>
        <w:drawing>
          <wp:inline distT="0" distB="0" distL="0" distR="0">
            <wp:extent cx="5210175" cy="2657475"/>
            <wp:effectExtent l="0" t="0" r="9525" b="9525"/>
            <wp:docPr id="24" name="Picture 4" descr="Chart 5.1: Full cost of research training per HDR RTS EFTSL ($'000) reported by univers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5.1: Full cost of research training per HDR RTS EFTSL ($'000) reported by universiti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0175" cy="2657475"/>
                    </a:xfrm>
                    <a:prstGeom prst="rect">
                      <a:avLst/>
                    </a:prstGeom>
                    <a:noFill/>
                    <a:ln>
                      <a:noFill/>
                    </a:ln>
                  </pic:spPr>
                </pic:pic>
              </a:graphicData>
            </a:graphic>
          </wp:inline>
        </w:drawing>
      </w:r>
    </w:p>
    <w:p w:rsidR="001A5590" w:rsidRDefault="001A5590" w:rsidP="000723D8">
      <w:pPr>
        <w:pStyle w:val="BodyText"/>
      </w:pPr>
      <w:r>
        <w:t xml:space="preserve">The full cost of research training per RTS EFTSL comprises direct and indirect costs as described in Chapter 4.  Due to the difficulties of data collection, direct costs and indirect costs reported should be viewed with some caution as the separate categories under each are not directly comparable.  The mean direct costs and indirect costs per RTS EFTSL are $18,599 and $15,243, respectively, and the median direct and indirect costs per RTS EFTSL are $17,005 and $15,289, respectively (see </w:t>
      </w:r>
      <w:r>
        <w:fldChar w:fldCharType="begin"/>
      </w:r>
      <w:r>
        <w:instrText xml:space="preserve"> REF _Ref295297627 \r \h </w:instrText>
      </w:r>
      <w:r>
        <w:fldChar w:fldCharType="separate"/>
      </w:r>
      <w:r w:rsidR="00A01A35">
        <w:t>Chart 5.2</w:t>
      </w:r>
      <w:r>
        <w:fldChar w:fldCharType="end"/>
      </w:r>
      <w:r>
        <w:t>)</w:t>
      </w:r>
      <w:r w:rsidRPr="001D5D39">
        <w:t xml:space="preserve">.  This similarity </w:t>
      </w:r>
      <w:r>
        <w:t>indicates</w:t>
      </w:r>
      <w:r w:rsidRPr="001D5D39">
        <w:t xml:space="preserve"> that, </w:t>
      </w:r>
      <w:r>
        <w:t>while</w:t>
      </w:r>
      <w:r w:rsidRPr="001D5D39">
        <w:t xml:space="preserve"> universities use</w:t>
      </w:r>
      <w:r>
        <w:t>d</w:t>
      </w:r>
      <w:r w:rsidRPr="001D5D39">
        <w:t xml:space="preserve"> differ</w:t>
      </w:r>
      <w:r>
        <w:t>ent</w:t>
      </w:r>
      <w:r w:rsidRPr="001D5D39">
        <w:t xml:space="preserve"> methods and interpretations to </w:t>
      </w:r>
      <w:r>
        <w:t>complete the data collection template</w:t>
      </w:r>
      <w:r w:rsidRPr="001D5D39">
        <w:t>, broadly speaking, the indirect and direct costs are comparable.</w:t>
      </w:r>
      <w:r>
        <w:t xml:space="preserve">   </w:t>
      </w:r>
    </w:p>
    <w:p w:rsidR="001A5590" w:rsidRDefault="001A5590" w:rsidP="00864928">
      <w:pPr>
        <w:pStyle w:val="CaptionChart"/>
        <w:numPr>
          <w:ilvl w:val="7"/>
          <w:numId w:val="21"/>
        </w:numPr>
        <w:ind w:left="0" w:firstLine="0"/>
      </w:pPr>
      <w:bookmarkStart w:id="63" w:name="_Ref295297627"/>
      <w:bookmarkStart w:id="64" w:name="_Ref295298227"/>
      <w:bookmarkStart w:id="65" w:name="_Toc298324984"/>
      <w:r>
        <w:t>: Direct and indirect costs of research training per HDR RTS EFTSL</w:t>
      </w:r>
      <w:bookmarkEnd w:id="63"/>
      <w:bookmarkEnd w:id="64"/>
      <w:bookmarkEnd w:id="65"/>
    </w:p>
    <w:p w:rsidR="00B04B2B" w:rsidRDefault="00DD6724" w:rsidP="00B04B2B">
      <w:pPr>
        <w:pStyle w:val="Figure"/>
      </w:pPr>
      <w:r>
        <w:drawing>
          <wp:inline distT="0" distB="0" distL="0" distR="0">
            <wp:extent cx="5172075" cy="2819400"/>
            <wp:effectExtent l="0" t="0" r="9525" b="0"/>
            <wp:docPr id="23" name="Picture 5" descr="Chart 5.2: Direct and indirect costs of research training per HDR RTS EFT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t 5.2: Direct and indirect costs of research training per HDR RTS EFTS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72075" cy="2819400"/>
                    </a:xfrm>
                    <a:prstGeom prst="rect">
                      <a:avLst/>
                    </a:prstGeom>
                    <a:noFill/>
                    <a:ln>
                      <a:noFill/>
                    </a:ln>
                  </pic:spPr>
                </pic:pic>
              </a:graphicData>
            </a:graphic>
          </wp:inline>
        </w:drawing>
      </w:r>
    </w:p>
    <w:p w:rsidR="001A5590" w:rsidRPr="00B04B2B" w:rsidRDefault="001A5590" w:rsidP="00B04B2B">
      <w:pPr>
        <w:pStyle w:val="Source"/>
      </w:pPr>
      <w:r w:rsidRPr="00B04B2B">
        <w:t>Note: University 1 did not supply data for direct and indirect costs.</w:t>
      </w:r>
    </w:p>
    <w:p w:rsidR="001A5590" w:rsidRDefault="001A5590" w:rsidP="00571200">
      <w:pPr>
        <w:pStyle w:val="BodyText"/>
      </w:pPr>
      <w:r>
        <w:t xml:space="preserve">In </w:t>
      </w:r>
      <w:r>
        <w:fldChar w:fldCharType="begin"/>
      </w:r>
      <w:r>
        <w:instrText xml:space="preserve"> REF _Ref294796596 \r \h </w:instrText>
      </w:r>
      <w:r>
        <w:fldChar w:fldCharType="separate"/>
      </w:r>
      <w:r w:rsidR="00A01A35">
        <w:t>Chart 5.3</w:t>
      </w:r>
      <w:r>
        <w:fldChar w:fldCharType="end"/>
      </w:r>
      <w:r>
        <w:t xml:space="preserve"> direct costs have been split into their broad categories of supervisor salary and on-costs per RTS EFTSL, candidate work environment per RTS EFTSL, research project costs per RTS EFTSL and other costs per RTS EFTSL.  Supervisor salaries and on-costs make up the largest proportion of direct costs for 23 universities ranging from 13% to close to 100% for </w:t>
      </w:r>
      <w:r>
        <w:lastRenderedPageBreak/>
        <w:t xml:space="preserve">the 30 universities reporting direct costs (as per </w:t>
      </w:r>
      <w:r>
        <w:fldChar w:fldCharType="begin"/>
      </w:r>
      <w:r>
        <w:instrText xml:space="preserve"> REF _Ref295298227 \r \h </w:instrText>
      </w:r>
      <w:r>
        <w:fldChar w:fldCharType="separate"/>
      </w:r>
      <w:r w:rsidR="00A01A35">
        <w:t>Chart 5.2</w:t>
      </w:r>
      <w:r>
        <w:fldChar w:fldCharType="end"/>
      </w:r>
      <w:r>
        <w:t xml:space="preserve">, only 30 of the 31 universities reported costs split by direct and indirect categories).  The reported mean of 65% and a median of 68% demonstrate that supervisor salaries and on-costs make up the largest share of direct costs. </w:t>
      </w:r>
    </w:p>
    <w:p w:rsidR="001A5590" w:rsidRDefault="001A5590" w:rsidP="00571200">
      <w:pPr>
        <w:pStyle w:val="CaptionChart"/>
        <w:numPr>
          <w:ilvl w:val="7"/>
          <w:numId w:val="21"/>
        </w:numPr>
        <w:ind w:left="0" w:firstLine="0"/>
      </w:pPr>
      <w:bookmarkStart w:id="66" w:name="_Toc294773820"/>
      <w:bookmarkStart w:id="67" w:name="_Ref294796596"/>
      <w:bookmarkStart w:id="68" w:name="_Toc298324985"/>
      <w:r>
        <w:t>: Direct costs per HDR RTS EFTS</w:t>
      </w:r>
      <w:bookmarkEnd w:id="66"/>
      <w:r>
        <w:t>L</w:t>
      </w:r>
      <w:bookmarkEnd w:id="67"/>
      <w:bookmarkEnd w:id="68"/>
    </w:p>
    <w:p w:rsidR="001A5590" w:rsidRDefault="00DD6724" w:rsidP="00B04B2B">
      <w:pPr>
        <w:pStyle w:val="Figure"/>
      </w:pPr>
      <w:r>
        <w:drawing>
          <wp:inline distT="0" distB="0" distL="0" distR="0">
            <wp:extent cx="5191125" cy="2676525"/>
            <wp:effectExtent l="0" t="0" r="9525" b="9525"/>
            <wp:docPr id="22" name="Picture 6" descr="Chart 5.3: Direct costs per HDR RTS EFT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rt 5.3: Direct costs per HDR RTS EFTS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91125" cy="2676525"/>
                    </a:xfrm>
                    <a:prstGeom prst="rect">
                      <a:avLst/>
                    </a:prstGeom>
                    <a:noFill/>
                    <a:ln>
                      <a:noFill/>
                    </a:ln>
                  </pic:spPr>
                </pic:pic>
              </a:graphicData>
            </a:graphic>
          </wp:inline>
        </w:drawing>
      </w:r>
    </w:p>
    <w:p w:rsidR="001A5590" w:rsidRPr="00B449CE" w:rsidRDefault="001A5590" w:rsidP="00B449CE">
      <w:pPr>
        <w:pStyle w:val="Source"/>
      </w:pPr>
      <w:r w:rsidRPr="00B449CE">
        <w:t>Note: *Three universities did not report costs across all categories but 31 universities reported a total direct cost and a supervisor salary and on-costs figure.</w:t>
      </w:r>
    </w:p>
    <w:p w:rsidR="001A5590" w:rsidRDefault="001A5590" w:rsidP="00564741">
      <w:pPr>
        <w:pStyle w:val="BodyText"/>
      </w:pPr>
      <w:r>
        <w:t xml:space="preserve">Supervisor salaries and on-costs are an important part of </w:t>
      </w:r>
      <w:r w:rsidRPr="002939B3">
        <w:rPr>
          <w:rStyle w:val="italicChar"/>
        </w:rPr>
        <w:t>total</w:t>
      </w:r>
      <w:r>
        <w:t xml:space="preserve"> costs contributing over one-third (37%) of total reported costs per HDR RTS EFTSL, the median being slightly lower at 32%.  The mean has been driven up by universities 26, 9 and 12, who report that supervisor salaries make up more than 70% of total costs per HDR RTS EFTSL (72%, 78% and 80%, respectively).  </w:t>
      </w:r>
    </w:p>
    <w:p w:rsidR="001A5590" w:rsidRDefault="001A5590" w:rsidP="001A5590">
      <w:pPr>
        <w:pStyle w:val="Heading2"/>
        <w:numPr>
          <w:ilvl w:val="1"/>
          <w:numId w:val="21"/>
        </w:numPr>
        <w:tabs>
          <w:tab w:val="clear" w:pos="709"/>
        </w:tabs>
        <w:ind w:left="851" w:hanging="851"/>
      </w:pPr>
      <w:bookmarkStart w:id="69" w:name="_Ref294778144"/>
      <w:bookmarkStart w:id="70" w:name="_Toc298324966"/>
      <w:r>
        <w:t>Cost drivers</w:t>
      </w:r>
      <w:bookmarkEnd w:id="69"/>
      <w:bookmarkEnd w:id="70"/>
    </w:p>
    <w:p w:rsidR="001A5590" w:rsidRDefault="001A5590" w:rsidP="001825F4">
      <w:pPr>
        <w:pStyle w:val="Heading3"/>
        <w:numPr>
          <w:ilvl w:val="2"/>
          <w:numId w:val="21"/>
        </w:numPr>
      </w:pPr>
      <w:r>
        <w:t>Location of university</w:t>
      </w:r>
    </w:p>
    <w:p w:rsidR="001A5590" w:rsidRDefault="001A5590" w:rsidP="00AC3912">
      <w:pPr>
        <w:pStyle w:val="BodyText"/>
      </w:pPr>
      <w:r>
        <w:t>Three universities (universities 4, 26 and 32) have their main campus or Vice-Chancellor’s office located in an inner regional centre, while 28 universities are located in a major city according to their ARIA+ score.</w:t>
      </w:r>
      <w:r w:rsidRPr="00D65F13">
        <w:rPr>
          <w:rStyle w:val="StyleFootnoteReference"/>
          <w:sz w:val="18"/>
        </w:rPr>
        <w:footnoteReference w:id="6"/>
      </w:r>
      <w:r>
        <w:t xml:space="preserve">  The mean and median costs of research training per RTS EFTSL for universities located in an inner regional centre are $29,381 and $20,012, respectively, and for those located in a major city are $34,260 and $32,890, respectively.  The effect of ‘location’ as a cost driver is opposite to that expected, perhaps due to the overwhelming influence of other cost drivers.  </w:t>
      </w:r>
    </w:p>
    <w:p w:rsidR="001A5590" w:rsidRPr="00D03AA8" w:rsidRDefault="001A5590" w:rsidP="007C11C5">
      <w:pPr>
        <w:pStyle w:val="Heading3"/>
        <w:numPr>
          <w:ilvl w:val="2"/>
          <w:numId w:val="21"/>
        </w:numPr>
      </w:pPr>
      <w:r w:rsidRPr="006E316B">
        <w:lastRenderedPageBreak/>
        <w:t>Total student enrolments at a university</w:t>
      </w:r>
    </w:p>
    <w:p w:rsidR="001A5590" w:rsidRDefault="00AD7832" w:rsidP="007C11C5">
      <w:pPr>
        <w:pStyle w:val="BodyText"/>
      </w:pPr>
      <w:r>
        <w:fldChar w:fldCharType="begin"/>
      </w:r>
      <w:r>
        <w:instrText xml:space="preserve"> REF _Ref295816518 \r \h </w:instrText>
      </w:r>
      <w:r>
        <w:fldChar w:fldCharType="separate"/>
      </w:r>
      <w:r w:rsidR="00A01A35">
        <w:t>Chart 5.4</w:t>
      </w:r>
      <w:r>
        <w:fldChar w:fldCharType="end"/>
      </w:r>
      <w:r w:rsidR="001A5590" w:rsidRPr="006E316B">
        <w:t xml:space="preserve"> shows the total number of students enrolled at each university (undergraduate and postgraduate) and research training costs per EFTSL.  There does not appear to be any clear relationship between the two variables and a correlation coefficient</w:t>
      </w:r>
      <w:r w:rsidR="001A5590" w:rsidRPr="00D65F13">
        <w:rPr>
          <w:rStyle w:val="StyleFootnoteReference"/>
          <w:sz w:val="18"/>
        </w:rPr>
        <w:footnoteReference w:id="7"/>
      </w:r>
      <w:r w:rsidR="001A5590" w:rsidRPr="006E316B">
        <w:t xml:space="preserve"> of 0.07 suggests that there is no significant relationship between student enrolments and research training costs per EFTSL (see </w:t>
      </w:r>
      <w:smartTag w:uri="urn:schemas-microsoft-com:office:smarttags" w:element="place">
        <w:smartTag w:uri="urn:schemas-microsoft-com:office:smarttags" w:element="place">
          <w:r w:rsidR="001A5590" w:rsidRPr="006E316B">
            <w:t>Box</w:t>
          </w:r>
        </w:smartTag>
        <w:r w:rsidR="001A5590" w:rsidRPr="006E316B">
          <w:t xml:space="preserve"> 3</w:t>
        </w:r>
      </w:smartTag>
      <w:r w:rsidR="001A5590" w:rsidRPr="006E316B">
        <w:t xml:space="preserve"> for a discussion of statistical significance).</w:t>
      </w:r>
      <w:r w:rsidR="001A5590">
        <w:t xml:space="preserve"> </w:t>
      </w:r>
    </w:p>
    <w:p w:rsidR="001A5590" w:rsidRDefault="001A5590" w:rsidP="007C11C5">
      <w:pPr>
        <w:pStyle w:val="CaptionChart"/>
        <w:numPr>
          <w:ilvl w:val="7"/>
          <w:numId w:val="21"/>
        </w:numPr>
        <w:ind w:left="0" w:firstLine="0"/>
      </w:pPr>
      <w:bookmarkStart w:id="71" w:name="_Ref295816518"/>
      <w:bookmarkStart w:id="72" w:name="_Toc298324986"/>
      <w:r>
        <w:t>: Total number of student enrolments at a university</w:t>
      </w:r>
      <w:bookmarkEnd w:id="71"/>
      <w:bookmarkEnd w:id="72"/>
    </w:p>
    <w:p w:rsidR="001A5590" w:rsidRDefault="00DD6724" w:rsidP="00B04B2B">
      <w:pPr>
        <w:pStyle w:val="Figure"/>
      </w:pPr>
      <w:r>
        <mc:AlternateContent>
          <mc:Choice Requires="wps">
            <w:drawing>
              <wp:anchor distT="0" distB="0" distL="114300" distR="114300" simplePos="0" relativeHeight="251658240" behindDoc="0" locked="0" layoutInCell="1" allowOverlap="1">
                <wp:simplePos x="0" y="0"/>
                <wp:positionH relativeFrom="column">
                  <wp:posOffset>419735</wp:posOffset>
                </wp:positionH>
                <wp:positionV relativeFrom="paragraph">
                  <wp:posOffset>248285</wp:posOffset>
                </wp:positionV>
                <wp:extent cx="883920" cy="371475"/>
                <wp:effectExtent l="10160" t="10160" r="10795" b="8890"/>
                <wp:wrapNone/>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371475"/>
                        </a:xfrm>
                        <a:prstGeom prst="rect">
                          <a:avLst/>
                        </a:prstGeom>
                        <a:solidFill>
                          <a:srgbClr val="FFFFFF"/>
                        </a:solidFill>
                        <a:ln w="9525">
                          <a:solidFill>
                            <a:srgbClr val="A5A5A5"/>
                          </a:solidFill>
                          <a:miter lim="800000"/>
                          <a:headEnd/>
                          <a:tailEnd/>
                        </a:ln>
                      </wps:spPr>
                      <wps:txbx>
                        <w:txbxContent>
                          <w:p w:rsidR="003E3674" w:rsidRPr="00B14920" w:rsidRDefault="003E3674" w:rsidP="007C11C5">
                            <w:pPr>
                              <w:jc w:val="both"/>
                              <w:rPr>
                                <w:sz w:val="16"/>
                                <w:szCs w:val="16"/>
                              </w:rPr>
                            </w:pPr>
                            <w:r>
                              <w:rPr>
                                <w:sz w:val="16"/>
                                <w:szCs w:val="16"/>
                              </w:rPr>
                              <w:t>Correlation: coefficient: 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1" type="#_x0000_t202" style="position:absolute;left:0;text-align:left;margin-left:33.05pt;margin-top:19.55pt;width:69.6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" strokecolor="#a5a5a5">
                <v:textbox>
                  <w:txbxContent>
                    <w:p w:rsidR="003E3674" w:rsidRPr="00B14920" w:rsidRDefault="003E3674" w:rsidP="007C11C5">
                      <w:pPr>
                        <w:jc w:val="both"/>
                        <w:rPr>
                          <w:sz w:val="16"/>
                          <w:szCs w:val="16"/>
                        </w:rPr>
                      </w:pPr>
                      <w:r>
                        <w:rPr>
                          <w:sz w:val="16"/>
                          <w:szCs w:val="16"/>
                        </w:rPr>
                        <w:t>Correlation: coefficient: 0.07</w:t>
                      </w:r>
                    </w:p>
                  </w:txbxContent>
                </v:textbox>
              </v:shape>
            </w:pict>
          </mc:Fallback>
        </mc:AlternateContent>
      </w:r>
      <w:r>
        <w:drawing>
          <wp:inline distT="0" distB="0" distL="0" distR="0">
            <wp:extent cx="5229225" cy="3019425"/>
            <wp:effectExtent l="0" t="0" r="9525" b="9525"/>
            <wp:docPr id="21" name="Picture 7" descr="Chart 5.4: Total number of studen enrolments at a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rt 5.4: Total number of studen enrolments at a universit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9225" cy="3019425"/>
                    </a:xfrm>
                    <a:prstGeom prst="rect">
                      <a:avLst/>
                    </a:prstGeom>
                    <a:noFill/>
                    <a:ln>
                      <a:noFill/>
                    </a:ln>
                  </pic:spPr>
                </pic:pic>
              </a:graphicData>
            </a:graphic>
          </wp:inline>
        </w:drawing>
      </w:r>
    </w:p>
    <w:p w:rsidR="001A5590" w:rsidRDefault="001A5590" w:rsidP="007C11C5">
      <w:pPr>
        <w:pStyle w:val="BodyText"/>
      </w:pPr>
    </w:p>
    <w:p w:rsidR="001A5590" w:rsidRDefault="001A5590" w:rsidP="007C11C5">
      <w:pPr>
        <w:pStyle w:val="BodyText"/>
      </w:pPr>
    </w:p>
    <w:p w:rsidR="001A5590" w:rsidRPr="007A37F5" w:rsidRDefault="001A5590" w:rsidP="001D6F9A">
      <w:pPr>
        <w:pStyle w:val="Callout"/>
      </w:pPr>
      <w:r w:rsidRPr="007A60B5">
        <w:lastRenderedPageBreak/>
        <w:t xml:space="preserve"> </w:t>
      </w:r>
      <w:smartTag w:uri="urn:schemas-microsoft-com:office:smarttags" w:element="place">
        <w:smartTag w:uri="urn:schemas-microsoft-com:office:smarttags" w:element="place">
          <w:r>
            <w:t>Box</w:t>
          </w:r>
        </w:smartTag>
        <w:r>
          <w:t xml:space="preserve"> 3</w:t>
        </w:r>
      </w:smartTag>
      <w:r>
        <w:t xml:space="preserve">: </w:t>
      </w:r>
      <w:r w:rsidRPr="007A37F5">
        <w:t>Correlation Coefficient</w:t>
      </w:r>
    </w:p>
    <w:p w:rsidR="001A5590" w:rsidRDefault="001A5590" w:rsidP="001D6F9A">
      <w:pPr>
        <w:pStyle w:val="Callouttext"/>
      </w:pPr>
      <w:r>
        <w:t>The (sample) correlation coefficient has been included in this analysis to determine whether there is evidence of a statistically significant bilateral relationship between the average research training cost per EFTSL and the cost drivers outlined below.</w:t>
      </w:r>
    </w:p>
    <w:p w:rsidR="001A5590" w:rsidRDefault="001A5590" w:rsidP="001D6F9A">
      <w:pPr>
        <w:pStyle w:val="Callouttext"/>
      </w:pPr>
      <w:r>
        <w:t>Where ρ is the population correlation coefficient, the null and alternative hypotheses are:</w:t>
      </w:r>
    </w:p>
    <w:p w:rsidR="001A5590" w:rsidRDefault="001A5590" w:rsidP="001D6F9A">
      <w:pPr>
        <w:pStyle w:val="Callouttext"/>
      </w:pPr>
      <w:r>
        <w:t>H</w:t>
      </w:r>
      <w:r w:rsidRPr="008D7AED">
        <w:rPr>
          <w:vertAlign w:val="subscript"/>
        </w:rPr>
        <w:t>0</w:t>
      </w:r>
      <w:r>
        <w:t>: ρ = 0 (no correlation)</w:t>
      </w:r>
    </w:p>
    <w:p w:rsidR="001A5590" w:rsidRDefault="001A5590" w:rsidP="001D6F9A">
      <w:pPr>
        <w:pStyle w:val="Callouttext"/>
      </w:pPr>
      <w:r>
        <w:t>H</w:t>
      </w:r>
      <w:r>
        <w:rPr>
          <w:vertAlign w:val="subscript"/>
        </w:rPr>
        <w:t>1</w:t>
      </w:r>
      <w:r>
        <w:t>: ρ ≠ 0 (correlation)</w:t>
      </w:r>
    </w:p>
    <w:p w:rsidR="001A5590" w:rsidRDefault="001A5590" w:rsidP="001D6F9A">
      <w:pPr>
        <w:pStyle w:val="Callouttext"/>
      </w:pPr>
      <w:r>
        <w:t xml:space="preserve">Based on a 0.05 level of significance with 29 degrees of freedom, cost drivers with a correlation coefficient greater than |0.12555| have a statistically significant (i.e. non-zero) association with average research training costs. </w:t>
      </w:r>
    </w:p>
    <w:p w:rsidR="001A5590" w:rsidRDefault="001A5590" w:rsidP="00E33D39">
      <w:pPr>
        <w:pStyle w:val="Heading3"/>
        <w:numPr>
          <w:ilvl w:val="2"/>
          <w:numId w:val="21"/>
        </w:numPr>
      </w:pPr>
      <w:smartTag w:uri="urn:schemas-microsoft-com:office:smarttags" w:element="place">
        <w:smartTag w:uri="urn:schemas-microsoft-com:office:smarttags" w:element="place">
          <w:r>
            <w:t>Australian</w:t>
          </w:r>
        </w:smartTag>
        <w:r>
          <w:t xml:space="preserve"> </w:t>
        </w:r>
        <w:smartTag w:uri="urn:schemas-microsoft-com:office:smarttags" w:element="place">
          <w:r>
            <w:t>University</w:t>
          </w:r>
        </w:smartTag>
      </w:smartTag>
      <w:r>
        <w:t xml:space="preserve"> Grouping </w:t>
      </w:r>
    </w:p>
    <w:p w:rsidR="001A5590" w:rsidRPr="007B0515" w:rsidRDefault="001A5590" w:rsidP="007B0515">
      <w:pPr>
        <w:pStyle w:val="BodyText"/>
      </w:pPr>
      <w:r>
        <w:fldChar w:fldCharType="begin"/>
      </w:r>
      <w:r>
        <w:instrText xml:space="preserve"> REF _Ref294705821 \r \h </w:instrText>
      </w:r>
      <w:r>
        <w:fldChar w:fldCharType="separate"/>
      </w:r>
      <w:r w:rsidR="00A01A35">
        <w:t>Table 5.1</w:t>
      </w:r>
      <w:r>
        <w:fldChar w:fldCharType="end"/>
      </w:r>
      <w:r>
        <w:t xml:space="preserve"> shows that cost of research training per HDR RTS EFTSL is below the mean for non-aligned and Australian Technology Network universities and above the mean for Group of Eight, Innovative Research and former New Generation universities.  Once the effect of the outliers has been removed, the individual median costs for each group indicate that non-aligned, former New Generation and </w:t>
      </w:r>
      <w:smartTag w:uri="urn:schemas-microsoft-com:office:smarttags" w:element="place">
        <w:smartTag w:uri="urn:schemas-microsoft-com:office:smarttags" w:element="place">
          <w:r>
            <w:t>Innovative</w:t>
          </w:r>
        </w:smartTag>
        <w:r>
          <w:t xml:space="preserve"> </w:t>
        </w:r>
        <w:smartTag w:uri="urn:schemas-microsoft-com:office:smarttags" w:element="place">
          <w:r>
            <w:t>Research</w:t>
          </w:r>
        </w:smartTag>
        <w:r>
          <w:t xml:space="preserve"> </w:t>
        </w:r>
        <w:smartTag w:uri="urn:schemas-microsoft-com:office:smarttags" w:element="place">
          <w:r>
            <w:t>Universities</w:t>
          </w:r>
        </w:smartTag>
      </w:smartTag>
      <w:r>
        <w:t xml:space="preserve"> are below the overall median whereas Group of Eight and Australian Technology Network universities are above the overall median.  These figures may reflect research intensity.  If so, the overall pattern observed may indicate that higher paid research staff undertake HDR student research training at universities with higher research intensity.</w:t>
      </w:r>
    </w:p>
    <w:p w:rsidR="001A5590" w:rsidRDefault="001A5590" w:rsidP="00EE2F0E">
      <w:pPr>
        <w:pStyle w:val="CaptionTable"/>
        <w:numPr>
          <w:ilvl w:val="6"/>
          <w:numId w:val="21"/>
        </w:numPr>
        <w:ind w:left="0" w:firstLine="0"/>
      </w:pPr>
      <w:bookmarkStart w:id="73" w:name="_Ref294705614"/>
      <w:bookmarkStart w:id="74" w:name="_Ref294705821"/>
      <w:bookmarkStart w:id="75" w:name="_Ref294707194"/>
      <w:bookmarkStart w:id="76" w:name="_Toc298324998"/>
      <w:r>
        <w:t>: Costs per HDR RTS EFTSL according to Australian University Group</w:t>
      </w:r>
      <w:bookmarkEnd w:id="73"/>
      <w:bookmarkEnd w:id="74"/>
      <w:bookmarkEnd w:id="75"/>
      <w:bookmarkEnd w:id="76"/>
    </w:p>
    <w:tbl>
      <w:tblPr>
        <w:tblW w:w="8513" w:type="dxa"/>
        <w:jc w:val="center"/>
        <w:tblBorders>
          <w:top w:val="single" w:sz="12" w:space="0" w:color="002776"/>
          <w:bottom w:val="single" w:sz="12" w:space="0" w:color="002776"/>
          <w:insideH w:val="single" w:sz="4" w:space="0" w:color="A6A6A6"/>
          <w:insideV w:val="single" w:sz="4" w:space="0" w:color="A6A6A6"/>
        </w:tblBorders>
        <w:tblLayout w:type="fixed"/>
        <w:tblLook w:val="00A0" w:firstRow="1" w:lastRow="0" w:firstColumn="1" w:lastColumn="0" w:noHBand="0" w:noVBand="0"/>
      </w:tblPr>
      <w:tblGrid>
        <w:gridCol w:w="2109"/>
        <w:gridCol w:w="2109"/>
        <w:gridCol w:w="2109"/>
        <w:gridCol w:w="2186"/>
      </w:tblGrid>
      <w:tr w:rsidR="001A5590" w:rsidTr="00BB333E">
        <w:trPr>
          <w:cantSplit/>
          <w:jc w:val="center"/>
        </w:trPr>
        <w:tc>
          <w:tcPr>
            <w:tcW w:w="2109" w:type="dxa"/>
            <w:tcBorders>
              <w:top w:val="single" w:sz="12" w:space="0" w:color="002776"/>
              <w:left w:val="nil"/>
              <w:bottom w:val="single" w:sz="8" w:space="0" w:color="002776"/>
            </w:tcBorders>
          </w:tcPr>
          <w:p w:rsidR="001A5590" w:rsidRDefault="001A5590" w:rsidP="00D65F13">
            <w:pPr>
              <w:pStyle w:val="TableHeadingLeft"/>
            </w:pPr>
            <w:r>
              <w:t>Group</w:t>
            </w:r>
          </w:p>
        </w:tc>
        <w:tc>
          <w:tcPr>
            <w:tcW w:w="2109" w:type="dxa"/>
            <w:tcBorders>
              <w:top w:val="single" w:sz="12" w:space="0" w:color="002776"/>
              <w:bottom w:val="single" w:sz="8" w:space="0" w:color="002776"/>
            </w:tcBorders>
          </w:tcPr>
          <w:p w:rsidR="001A5590" w:rsidRDefault="001A5590" w:rsidP="00EE2F0E">
            <w:pPr>
              <w:pStyle w:val="TableHeadingCentre"/>
            </w:pPr>
            <w:r>
              <w:t xml:space="preserve">Mean </w:t>
            </w:r>
          </w:p>
        </w:tc>
        <w:tc>
          <w:tcPr>
            <w:tcW w:w="2109" w:type="dxa"/>
            <w:tcBorders>
              <w:top w:val="single" w:sz="12" w:space="0" w:color="002776"/>
              <w:bottom w:val="single" w:sz="8" w:space="0" w:color="002776"/>
            </w:tcBorders>
          </w:tcPr>
          <w:p w:rsidR="001A5590" w:rsidRDefault="001A5590" w:rsidP="00EE2F0E">
            <w:pPr>
              <w:pStyle w:val="TableHeadingCentre"/>
            </w:pPr>
            <w:r>
              <w:t>Median</w:t>
            </w:r>
          </w:p>
        </w:tc>
        <w:tc>
          <w:tcPr>
            <w:tcW w:w="2186" w:type="dxa"/>
            <w:tcBorders>
              <w:top w:val="single" w:sz="12" w:space="0" w:color="002776"/>
              <w:bottom w:val="single" w:sz="8" w:space="0" w:color="002776"/>
              <w:right w:val="nil"/>
            </w:tcBorders>
          </w:tcPr>
          <w:p w:rsidR="001A5590" w:rsidRDefault="001A5590" w:rsidP="00EE2F0E">
            <w:pPr>
              <w:pStyle w:val="TableHeadingCentre"/>
            </w:pPr>
            <w:r>
              <w:t>Min; Max</w:t>
            </w:r>
          </w:p>
        </w:tc>
      </w:tr>
      <w:tr w:rsidR="001A5590" w:rsidTr="00BB333E">
        <w:trPr>
          <w:cantSplit/>
          <w:jc w:val="center"/>
        </w:trPr>
        <w:tc>
          <w:tcPr>
            <w:tcW w:w="2109" w:type="dxa"/>
          </w:tcPr>
          <w:p w:rsidR="001A5590" w:rsidRDefault="001A5590" w:rsidP="00EE2F0E">
            <w:pPr>
              <w:pStyle w:val="TabletextLeft"/>
            </w:pPr>
            <w:r>
              <w:t>Group of Eight Universities (n=8)</w:t>
            </w:r>
          </w:p>
        </w:tc>
        <w:tc>
          <w:tcPr>
            <w:tcW w:w="2109" w:type="dxa"/>
          </w:tcPr>
          <w:p w:rsidR="001A5590" w:rsidRDefault="001A5590" w:rsidP="001D6F9A">
            <w:pPr>
              <w:pStyle w:val="TabletextCentre"/>
            </w:pPr>
            <w:r>
              <w:t>$35,467</w:t>
            </w:r>
          </w:p>
        </w:tc>
        <w:tc>
          <w:tcPr>
            <w:tcW w:w="2109" w:type="dxa"/>
          </w:tcPr>
          <w:p w:rsidR="001A5590" w:rsidRDefault="001A5590" w:rsidP="001D6F9A">
            <w:pPr>
              <w:pStyle w:val="TabletextCentre"/>
            </w:pPr>
            <w:r>
              <w:t>$34,826</w:t>
            </w:r>
          </w:p>
        </w:tc>
        <w:tc>
          <w:tcPr>
            <w:tcW w:w="2186" w:type="dxa"/>
          </w:tcPr>
          <w:p w:rsidR="001A5590" w:rsidRDefault="001A5590" w:rsidP="001D6F9A">
            <w:pPr>
              <w:pStyle w:val="TabletextCentre"/>
            </w:pPr>
            <w:r>
              <w:t>$28,354; $45,845</w:t>
            </w:r>
          </w:p>
        </w:tc>
      </w:tr>
      <w:tr w:rsidR="001A5590" w:rsidTr="00BB333E">
        <w:trPr>
          <w:cantSplit/>
          <w:jc w:val="center"/>
        </w:trPr>
        <w:tc>
          <w:tcPr>
            <w:tcW w:w="2109" w:type="dxa"/>
          </w:tcPr>
          <w:p w:rsidR="001A5590" w:rsidRDefault="001A5590" w:rsidP="00EE2F0E">
            <w:pPr>
              <w:pStyle w:val="TabletextLeft"/>
            </w:pPr>
            <w:r>
              <w:t>Innovative Research Universities (n=6)</w:t>
            </w:r>
          </w:p>
        </w:tc>
        <w:tc>
          <w:tcPr>
            <w:tcW w:w="2109" w:type="dxa"/>
          </w:tcPr>
          <w:p w:rsidR="001A5590" w:rsidRDefault="001A5590" w:rsidP="001D6F9A">
            <w:pPr>
              <w:pStyle w:val="TabletextCentre"/>
            </w:pPr>
            <w:r>
              <w:t>$35,153</w:t>
            </w:r>
          </w:p>
        </w:tc>
        <w:tc>
          <w:tcPr>
            <w:tcW w:w="2109" w:type="dxa"/>
          </w:tcPr>
          <w:p w:rsidR="001A5590" w:rsidRDefault="001A5590" w:rsidP="001D6F9A">
            <w:pPr>
              <w:pStyle w:val="TabletextCentre"/>
            </w:pPr>
            <w:r>
              <w:t>$31,329</w:t>
            </w:r>
          </w:p>
        </w:tc>
        <w:tc>
          <w:tcPr>
            <w:tcW w:w="2186" w:type="dxa"/>
          </w:tcPr>
          <w:p w:rsidR="001A5590" w:rsidRDefault="001A5590" w:rsidP="001D6F9A">
            <w:pPr>
              <w:pStyle w:val="TabletextCentre"/>
            </w:pPr>
            <w:r>
              <w:t>$23,469; $56,218</w:t>
            </w:r>
          </w:p>
        </w:tc>
      </w:tr>
      <w:tr w:rsidR="001A5590" w:rsidTr="00BB333E">
        <w:trPr>
          <w:cantSplit/>
          <w:jc w:val="center"/>
        </w:trPr>
        <w:tc>
          <w:tcPr>
            <w:tcW w:w="2109" w:type="dxa"/>
          </w:tcPr>
          <w:p w:rsidR="001A5590" w:rsidRDefault="001A5590" w:rsidP="00EE2F0E">
            <w:pPr>
              <w:pStyle w:val="TabletextLeft"/>
            </w:pPr>
            <w:r>
              <w:t>Australian Technology Network (n=5)</w:t>
            </w:r>
          </w:p>
        </w:tc>
        <w:tc>
          <w:tcPr>
            <w:tcW w:w="2109" w:type="dxa"/>
          </w:tcPr>
          <w:p w:rsidR="001A5590" w:rsidRDefault="001A5590" w:rsidP="001D6F9A">
            <w:pPr>
              <w:pStyle w:val="TabletextCentre"/>
            </w:pPr>
            <w:r>
              <w:t>$32,006</w:t>
            </w:r>
          </w:p>
        </w:tc>
        <w:tc>
          <w:tcPr>
            <w:tcW w:w="2109" w:type="dxa"/>
          </w:tcPr>
          <w:p w:rsidR="001A5590" w:rsidRDefault="001A5590" w:rsidP="001D6F9A">
            <w:pPr>
              <w:pStyle w:val="TabletextCentre"/>
            </w:pPr>
            <w:r>
              <w:t>$33,476</w:t>
            </w:r>
          </w:p>
        </w:tc>
        <w:tc>
          <w:tcPr>
            <w:tcW w:w="2186" w:type="dxa"/>
          </w:tcPr>
          <w:p w:rsidR="001A5590" w:rsidRDefault="001A5590" w:rsidP="001D6F9A">
            <w:pPr>
              <w:pStyle w:val="TabletextCentre"/>
            </w:pPr>
            <w:r>
              <w:t>$23,673; $35,383</w:t>
            </w:r>
          </w:p>
        </w:tc>
      </w:tr>
      <w:tr w:rsidR="001A5590" w:rsidTr="00BB333E">
        <w:trPr>
          <w:cantSplit/>
          <w:jc w:val="center"/>
        </w:trPr>
        <w:tc>
          <w:tcPr>
            <w:tcW w:w="2109" w:type="dxa"/>
          </w:tcPr>
          <w:p w:rsidR="001A5590" w:rsidRDefault="001A5590" w:rsidP="00EE2F0E">
            <w:pPr>
              <w:pStyle w:val="TabletextLeft"/>
            </w:pPr>
            <w:r>
              <w:t>Former New Generation Universities (n=7)</w:t>
            </w:r>
          </w:p>
        </w:tc>
        <w:tc>
          <w:tcPr>
            <w:tcW w:w="2109" w:type="dxa"/>
          </w:tcPr>
          <w:p w:rsidR="001A5590" w:rsidRDefault="001A5590" w:rsidP="001D6F9A">
            <w:pPr>
              <w:pStyle w:val="TabletextCentre"/>
            </w:pPr>
            <w:r>
              <w:t>$35,769</w:t>
            </w:r>
          </w:p>
        </w:tc>
        <w:tc>
          <w:tcPr>
            <w:tcW w:w="2109" w:type="dxa"/>
          </w:tcPr>
          <w:p w:rsidR="001A5590" w:rsidRDefault="001A5590" w:rsidP="001D6F9A">
            <w:pPr>
              <w:pStyle w:val="TabletextCentre"/>
            </w:pPr>
            <w:r>
              <w:t>$32,168</w:t>
            </w:r>
          </w:p>
        </w:tc>
        <w:tc>
          <w:tcPr>
            <w:tcW w:w="2186" w:type="dxa"/>
          </w:tcPr>
          <w:p w:rsidR="001A5590" w:rsidRDefault="001A5590" w:rsidP="001D6F9A">
            <w:pPr>
              <w:pStyle w:val="TabletextCentre"/>
            </w:pPr>
            <w:r>
              <w:t>$18,027; $55,639</w:t>
            </w:r>
          </w:p>
        </w:tc>
      </w:tr>
      <w:tr w:rsidR="001A5590" w:rsidTr="00BB333E">
        <w:trPr>
          <w:cantSplit/>
          <w:jc w:val="center"/>
        </w:trPr>
        <w:tc>
          <w:tcPr>
            <w:tcW w:w="2109" w:type="dxa"/>
          </w:tcPr>
          <w:p w:rsidR="001A5590" w:rsidRDefault="001A5590" w:rsidP="00EE2F0E">
            <w:pPr>
              <w:pStyle w:val="TabletextLeft"/>
            </w:pPr>
            <w:r>
              <w:t>Non-aligned Universities (n=5)</w:t>
            </w:r>
          </w:p>
        </w:tc>
        <w:tc>
          <w:tcPr>
            <w:tcW w:w="2109" w:type="dxa"/>
          </w:tcPr>
          <w:p w:rsidR="001A5590" w:rsidRDefault="001A5590" w:rsidP="001D6F9A">
            <w:pPr>
              <w:pStyle w:val="TabletextCentre"/>
            </w:pPr>
            <w:r>
              <w:t>$28,472</w:t>
            </w:r>
          </w:p>
        </w:tc>
        <w:tc>
          <w:tcPr>
            <w:tcW w:w="2109" w:type="dxa"/>
          </w:tcPr>
          <w:p w:rsidR="001A5590" w:rsidRDefault="001A5590" w:rsidP="001D6F9A">
            <w:pPr>
              <w:pStyle w:val="TabletextCentre"/>
            </w:pPr>
            <w:r>
              <w:t>$27, 636</w:t>
            </w:r>
          </w:p>
        </w:tc>
        <w:tc>
          <w:tcPr>
            <w:tcW w:w="2186" w:type="dxa"/>
          </w:tcPr>
          <w:p w:rsidR="001A5590" w:rsidRDefault="001A5590" w:rsidP="001D6F9A">
            <w:pPr>
              <w:pStyle w:val="TabletextCentre"/>
            </w:pPr>
            <w:r>
              <w:t>$18,857; $46,495</w:t>
            </w:r>
          </w:p>
        </w:tc>
      </w:tr>
      <w:tr w:rsidR="001A5590" w:rsidTr="00BB333E">
        <w:trPr>
          <w:cantSplit/>
          <w:jc w:val="center"/>
        </w:trPr>
        <w:tc>
          <w:tcPr>
            <w:tcW w:w="2109" w:type="dxa"/>
            <w:tcBorders>
              <w:bottom w:val="single" w:sz="12" w:space="0" w:color="002776"/>
            </w:tcBorders>
          </w:tcPr>
          <w:p w:rsidR="001A5590" w:rsidRDefault="001A5590" w:rsidP="00EE2F0E">
            <w:pPr>
              <w:pStyle w:val="TabletextLeft"/>
            </w:pPr>
            <w:r>
              <w:t>All (n=31)</w:t>
            </w:r>
          </w:p>
        </w:tc>
        <w:tc>
          <w:tcPr>
            <w:tcW w:w="2109" w:type="dxa"/>
            <w:tcBorders>
              <w:bottom w:val="single" w:sz="12" w:space="0" w:color="002776"/>
            </w:tcBorders>
          </w:tcPr>
          <w:p w:rsidR="001A5590" w:rsidRDefault="001A5590" w:rsidP="001D6F9A">
            <w:pPr>
              <w:pStyle w:val="TabletextCentre"/>
            </w:pPr>
            <w:r>
              <w:t>$33,788</w:t>
            </w:r>
          </w:p>
        </w:tc>
        <w:tc>
          <w:tcPr>
            <w:tcW w:w="2109" w:type="dxa"/>
            <w:tcBorders>
              <w:bottom w:val="single" w:sz="12" w:space="0" w:color="002776"/>
            </w:tcBorders>
          </w:tcPr>
          <w:p w:rsidR="001A5590" w:rsidRDefault="001A5590" w:rsidP="001D6F9A">
            <w:pPr>
              <w:pStyle w:val="TabletextCentre"/>
            </w:pPr>
            <w:r>
              <w:t>$32,789</w:t>
            </w:r>
          </w:p>
        </w:tc>
        <w:tc>
          <w:tcPr>
            <w:tcW w:w="2186" w:type="dxa"/>
            <w:tcBorders>
              <w:bottom w:val="single" w:sz="12" w:space="0" w:color="002776"/>
            </w:tcBorders>
          </w:tcPr>
          <w:p w:rsidR="001A5590" w:rsidRDefault="001A5590" w:rsidP="001D6F9A">
            <w:pPr>
              <w:pStyle w:val="TabletextCentre"/>
            </w:pPr>
            <w:r>
              <w:t>$18,027; $56,218</w:t>
            </w:r>
          </w:p>
        </w:tc>
      </w:tr>
    </w:tbl>
    <w:p w:rsidR="001A5590" w:rsidRDefault="001A5590" w:rsidP="001825F4">
      <w:pPr>
        <w:pStyle w:val="Heading3"/>
        <w:numPr>
          <w:ilvl w:val="2"/>
          <w:numId w:val="21"/>
        </w:numPr>
      </w:pPr>
      <w:r>
        <w:t>Total HDR (PhD and Masters) EFTSL</w:t>
      </w:r>
    </w:p>
    <w:bookmarkStart w:id="77" w:name="_Ref294706711"/>
    <w:p w:rsidR="001A5590" w:rsidRDefault="001A5590" w:rsidP="00571200">
      <w:pPr>
        <w:pStyle w:val="BodyText"/>
      </w:pPr>
      <w:r>
        <w:fldChar w:fldCharType="begin"/>
      </w:r>
      <w:r>
        <w:instrText xml:space="preserve"> REF _Ref295300563 \r \h </w:instrText>
      </w:r>
      <w:r>
        <w:fldChar w:fldCharType="separate"/>
      </w:r>
      <w:r w:rsidR="00A01A35">
        <w:t>Chart 5.5</w:t>
      </w:r>
      <w:r>
        <w:fldChar w:fldCharType="end"/>
      </w:r>
      <w:r>
        <w:t xml:space="preserve"> shows the HDR student population (in EFTSL)</w:t>
      </w:r>
      <w:r w:rsidRPr="00686040">
        <w:t xml:space="preserve"> </w:t>
      </w:r>
      <w:r>
        <w:t xml:space="preserve">at a university, used here as a measure of research intensity, and research training costs per EFTSL.  There does not appear to be any clear relationship between the two variables and a correlation coefficient of 0.06 suggests any relationship is not statistically significant. </w:t>
      </w:r>
    </w:p>
    <w:p w:rsidR="001A5590" w:rsidRPr="001825F4" w:rsidRDefault="001A5590" w:rsidP="001825F4">
      <w:pPr>
        <w:pStyle w:val="CaptionChart"/>
        <w:numPr>
          <w:ilvl w:val="7"/>
          <w:numId w:val="21"/>
        </w:numPr>
        <w:ind w:left="0" w:firstLine="0"/>
      </w:pPr>
      <w:bookmarkStart w:id="78" w:name="_Ref294796597"/>
      <w:bookmarkStart w:id="79" w:name="_Ref294796629"/>
      <w:bookmarkStart w:id="80" w:name="_Ref295300563"/>
      <w:bookmarkStart w:id="81" w:name="_Toc298324987"/>
      <w:r>
        <w:lastRenderedPageBreak/>
        <w:t>: Total HDR EFTSL (PhD and Masters by research)</w:t>
      </w:r>
      <w:bookmarkEnd w:id="77"/>
      <w:bookmarkEnd w:id="78"/>
      <w:bookmarkEnd w:id="79"/>
      <w:bookmarkEnd w:id="80"/>
      <w:bookmarkEnd w:id="81"/>
    </w:p>
    <w:p w:rsidR="001A5590" w:rsidRPr="00B449CE" w:rsidRDefault="00DD6724" w:rsidP="003E3674">
      <w:pPr>
        <w:pStyle w:val="Figure"/>
      </w:pPr>
      <w:r>
        <mc:AlternateContent>
          <mc:Choice Requires="wps">
            <w:drawing>
              <wp:anchor distT="0" distB="0" distL="114300" distR="114300" simplePos="0" relativeHeight="251653120" behindDoc="0" locked="0" layoutInCell="1" allowOverlap="1">
                <wp:simplePos x="0" y="0"/>
                <wp:positionH relativeFrom="column">
                  <wp:posOffset>410210</wp:posOffset>
                </wp:positionH>
                <wp:positionV relativeFrom="paragraph">
                  <wp:posOffset>255905</wp:posOffset>
                </wp:positionV>
                <wp:extent cx="883920" cy="371475"/>
                <wp:effectExtent l="10160" t="8255" r="10795" b="1079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371475"/>
                        </a:xfrm>
                        <a:prstGeom prst="rect">
                          <a:avLst/>
                        </a:prstGeom>
                        <a:solidFill>
                          <a:srgbClr val="FFFFFF"/>
                        </a:solidFill>
                        <a:ln w="9525">
                          <a:solidFill>
                            <a:srgbClr val="A5A5A5"/>
                          </a:solidFill>
                          <a:miter lim="800000"/>
                          <a:headEnd/>
                          <a:tailEnd/>
                        </a:ln>
                      </wps:spPr>
                      <wps:txbx>
                        <w:txbxContent>
                          <w:p w:rsidR="003E3674" w:rsidRPr="00B14920" w:rsidRDefault="003E3674" w:rsidP="002368C2">
                            <w:pPr>
                              <w:jc w:val="both"/>
                              <w:rPr>
                                <w:sz w:val="16"/>
                                <w:szCs w:val="16"/>
                              </w:rPr>
                            </w:pPr>
                            <w:r>
                              <w:rPr>
                                <w:sz w:val="16"/>
                                <w:szCs w:val="16"/>
                              </w:rPr>
                              <w:t>Correlation: coefficient: 0.06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2" type="#_x0000_t202" style="position:absolute;left:0;text-align:left;margin-left:32.3pt;margin-top:20.15pt;width:69.6pt;height:2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" strokecolor="#a5a5a5">
                <v:textbox>
                  <w:txbxContent>
                    <w:p w:rsidR="003E3674" w:rsidRPr="00B14920" w:rsidRDefault="003E3674" w:rsidP="002368C2">
                      <w:pPr>
                        <w:jc w:val="both"/>
                        <w:rPr>
                          <w:sz w:val="16"/>
                          <w:szCs w:val="16"/>
                        </w:rPr>
                      </w:pPr>
                      <w:r>
                        <w:rPr>
                          <w:sz w:val="16"/>
                          <w:szCs w:val="16"/>
                        </w:rPr>
                        <w:t>Correlation: coefficient: 0.06</w:t>
                      </w:r>
                    </w:p>
                  </w:txbxContent>
                </v:textbox>
              </v:shape>
            </w:pict>
          </mc:Fallback>
        </mc:AlternateContent>
      </w:r>
      <w:r w:rsidR="001A5590" w:rsidRPr="00B449CE">
        <w:t xml:space="preserve"> </w:t>
      </w:r>
      <w:r>
        <w:drawing>
          <wp:inline distT="0" distB="0" distL="0" distR="0">
            <wp:extent cx="5181600" cy="2981325"/>
            <wp:effectExtent l="0" t="0" r="0" b="9525"/>
            <wp:docPr id="20" name="Picture 8" descr="Chart 5.5: Total HDR EFTSL (PhD and Masters by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rt 5.5: Total HDR EFTSL (PhD and Masters by researc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81600" cy="2981325"/>
                    </a:xfrm>
                    <a:prstGeom prst="rect">
                      <a:avLst/>
                    </a:prstGeom>
                    <a:noFill/>
                    <a:ln>
                      <a:noFill/>
                    </a:ln>
                  </pic:spPr>
                </pic:pic>
              </a:graphicData>
            </a:graphic>
          </wp:inline>
        </w:drawing>
      </w:r>
    </w:p>
    <w:p w:rsidR="001A5590" w:rsidRDefault="001A5590" w:rsidP="00BB333E">
      <w:pPr>
        <w:pStyle w:val="Heading3"/>
        <w:numPr>
          <w:ilvl w:val="2"/>
          <w:numId w:val="21"/>
        </w:numPr>
      </w:pPr>
      <w:r>
        <w:t>R</w:t>
      </w:r>
      <w:r w:rsidRPr="000945F9">
        <w:t>atio of HDR candidates to total student enrolments</w:t>
      </w:r>
    </w:p>
    <w:bookmarkStart w:id="82" w:name="_Ref294707013"/>
    <w:p w:rsidR="001A5590" w:rsidRPr="009B6432" w:rsidRDefault="001A5590" w:rsidP="00571200">
      <w:pPr>
        <w:pStyle w:val="BodyText"/>
      </w:pPr>
      <w:r>
        <w:fldChar w:fldCharType="begin"/>
      </w:r>
      <w:r>
        <w:instrText xml:space="preserve"> REF _Ref294796606 \r \h </w:instrText>
      </w:r>
      <w:r>
        <w:fldChar w:fldCharType="separate"/>
      </w:r>
      <w:r w:rsidR="00A01A35">
        <w:t>Chart 5.6</w:t>
      </w:r>
      <w:r>
        <w:fldChar w:fldCharType="end"/>
      </w:r>
      <w:r>
        <w:t xml:space="preserve"> shows that there is little relationship between the ratio of HDR (Masters and PhD) candidates at a university to total student (undergraduate and postgraduate) enrolments and research training cost per HDR RTS EFTSL.  A correlation coefficient of 0.05 also suggests that there is no link between the two data sets. </w:t>
      </w:r>
    </w:p>
    <w:p w:rsidR="001A5590" w:rsidRPr="00B1727E" w:rsidRDefault="001A5590" w:rsidP="00B1727E">
      <w:pPr>
        <w:pStyle w:val="CaptionChart"/>
        <w:numPr>
          <w:ilvl w:val="7"/>
          <w:numId w:val="21"/>
        </w:numPr>
        <w:ind w:left="0" w:firstLine="0"/>
      </w:pPr>
      <w:bookmarkStart w:id="83" w:name="_Toc298324988"/>
      <w:bookmarkStart w:id="84" w:name="_Ref294796606"/>
      <w:bookmarkStart w:id="85" w:name="_Ref294796636"/>
      <w:r>
        <w:t>: Ratio of HDR candidates to total student enrolments at a university</w:t>
      </w:r>
      <w:bookmarkEnd w:id="83"/>
      <w:r>
        <w:t xml:space="preserve"> </w:t>
      </w:r>
      <w:bookmarkEnd w:id="82"/>
      <w:bookmarkEnd w:id="84"/>
      <w:bookmarkEnd w:id="85"/>
      <w:r>
        <w:t xml:space="preserve">  </w:t>
      </w:r>
    </w:p>
    <w:p w:rsidR="001A5590" w:rsidRDefault="00DD6724" w:rsidP="003E3674">
      <w:pPr>
        <w:pStyle w:val="Figure"/>
      </w:pPr>
      <w:r>
        <mc:AlternateContent>
          <mc:Choice Requires="wps">
            <w:drawing>
              <wp:anchor distT="0" distB="0" distL="114300" distR="114300" simplePos="0" relativeHeight="251654144" behindDoc="0" locked="0" layoutInCell="1" allowOverlap="1">
                <wp:simplePos x="0" y="0"/>
                <wp:positionH relativeFrom="column">
                  <wp:posOffset>400685</wp:posOffset>
                </wp:positionH>
                <wp:positionV relativeFrom="paragraph">
                  <wp:posOffset>228600</wp:posOffset>
                </wp:positionV>
                <wp:extent cx="883920" cy="371475"/>
                <wp:effectExtent l="10160" t="9525" r="10795" b="9525"/>
                <wp:wrapNone/>
                <wp:docPr id="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371475"/>
                        </a:xfrm>
                        <a:prstGeom prst="rect">
                          <a:avLst/>
                        </a:prstGeom>
                        <a:solidFill>
                          <a:srgbClr val="FFFFFF"/>
                        </a:solidFill>
                        <a:ln w="9525">
                          <a:solidFill>
                            <a:srgbClr val="A5A5A5"/>
                          </a:solidFill>
                          <a:miter lim="800000"/>
                          <a:headEnd/>
                          <a:tailEnd/>
                        </a:ln>
                      </wps:spPr>
                      <wps:txbx>
                        <w:txbxContent>
                          <w:p w:rsidR="003E3674" w:rsidRPr="00B14920" w:rsidRDefault="003E3674" w:rsidP="002368C2">
                            <w:pPr>
                              <w:jc w:val="both"/>
                              <w:rPr>
                                <w:sz w:val="16"/>
                                <w:szCs w:val="16"/>
                              </w:rPr>
                            </w:pPr>
                            <w:r>
                              <w:rPr>
                                <w:sz w:val="16"/>
                                <w:szCs w:val="16"/>
                              </w:rPr>
                              <w:t>Correlation: coefficient: 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3" type="#_x0000_t202" style="position:absolute;left:0;text-align:left;margin-left:31.55pt;margin-top:18pt;width:69.6pt;height:2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" strokecolor="#a5a5a5">
                <v:textbox>
                  <w:txbxContent>
                    <w:p w:rsidR="003E3674" w:rsidRPr="00B14920" w:rsidRDefault="003E3674" w:rsidP="002368C2">
                      <w:pPr>
                        <w:jc w:val="both"/>
                        <w:rPr>
                          <w:sz w:val="16"/>
                          <w:szCs w:val="16"/>
                        </w:rPr>
                      </w:pPr>
                      <w:r>
                        <w:rPr>
                          <w:sz w:val="16"/>
                          <w:szCs w:val="16"/>
                        </w:rPr>
                        <w:t>Correlation: coefficient: 0.05</w:t>
                      </w:r>
                    </w:p>
                  </w:txbxContent>
                </v:textbox>
              </v:shape>
            </w:pict>
          </mc:Fallback>
        </mc:AlternateContent>
      </w:r>
      <w:r>
        <w:drawing>
          <wp:inline distT="0" distB="0" distL="0" distR="0">
            <wp:extent cx="5086350" cy="2886075"/>
            <wp:effectExtent l="0" t="0" r="0" b="9525"/>
            <wp:docPr id="19" name="Picture 9" descr="Chart 5.6: Ration of HDR candidate to total student enrolments at a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rt 5.6: Ration of HDR candidate to total student enrolments at a universit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86350" cy="2886075"/>
                    </a:xfrm>
                    <a:prstGeom prst="rect">
                      <a:avLst/>
                    </a:prstGeom>
                    <a:noFill/>
                    <a:ln>
                      <a:noFill/>
                    </a:ln>
                  </pic:spPr>
                </pic:pic>
              </a:graphicData>
            </a:graphic>
          </wp:inline>
        </w:drawing>
      </w:r>
    </w:p>
    <w:p w:rsidR="001A5590" w:rsidRDefault="001A5590" w:rsidP="009B6432">
      <w:pPr>
        <w:pStyle w:val="BodyText"/>
      </w:pPr>
      <w:r>
        <w:fldChar w:fldCharType="begin"/>
      </w:r>
      <w:r>
        <w:instrText xml:space="preserve"> REF _Ref294707194 \r \h </w:instrText>
      </w:r>
      <w:r>
        <w:fldChar w:fldCharType="separate"/>
      </w:r>
      <w:r w:rsidR="00A01A35">
        <w:t>Table 5.1</w:t>
      </w:r>
      <w:r>
        <w:fldChar w:fldCharType="end"/>
      </w:r>
      <w:r>
        <w:t xml:space="preserve">, </w:t>
      </w:r>
      <w:r>
        <w:fldChar w:fldCharType="begin"/>
      </w:r>
      <w:r>
        <w:instrText xml:space="preserve"> REF _Ref294796629 \r \h </w:instrText>
      </w:r>
      <w:r>
        <w:fldChar w:fldCharType="separate"/>
      </w:r>
      <w:r w:rsidR="00A01A35">
        <w:t>Chart 5.5</w:t>
      </w:r>
      <w:r>
        <w:fldChar w:fldCharType="end"/>
      </w:r>
      <w:r>
        <w:t xml:space="preserve"> and </w:t>
      </w:r>
      <w:r>
        <w:fldChar w:fldCharType="begin"/>
      </w:r>
      <w:r>
        <w:instrText xml:space="preserve"> REF _Ref294796636 \r \h </w:instrText>
      </w:r>
      <w:r>
        <w:fldChar w:fldCharType="separate"/>
      </w:r>
      <w:r w:rsidR="00A01A35">
        <w:t>Chart 5.6</w:t>
      </w:r>
      <w:r>
        <w:fldChar w:fldCharType="end"/>
      </w:r>
      <w:r>
        <w:t xml:space="preserve"> suggest that overall, as the research intensity of a university increases, the costs of research training per HDR RTS EFTSL increase.  However, this link appears to be very weak.  As hypothesised, increased research training costs per EFTSL may be due to more expensive staff attracting higher salaries choosing to work at </w:t>
      </w:r>
      <w:r>
        <w:lastRenderedPageBreak/>
        <w:t xml:space="preserve">universities with higher research output.  Scale advantages do not seem to have influenced reported costs. </w:t>
      </w:r>
    </w:p>
    <w:p w:rsidR="001A5590" w:rsidRDefault="001A5590" w:rsidP="00B36711">
      <w:pPr>
        <w:pStyle w:val="Heading3"/>
        <w:numPr>
          <w:ilvl w:val="2"/>
          <w:numId w:val="21"/>
        </w:numPr>
      </w:pPr>
      <w:r w:rsidRPr="000945F9">
        <w:t>Ratio of Masters HDR to PhD HDR EFTSL</w:t>
      </w:r>
    </w:p>
    <w:p w:rsidR="001A5590" w:rsidRPr="00EE4E73" w:rsidRDefault="001A5590" w:rsidP="00571200">
      <w:pPr>
        <w:pStyle w:val="BodyText"/>
      </w:pPr>
      <w:bookmarkStart w:id="86" w:name="_Ref294707607"/>
      <w:r>
        <w:t xml:space="preserve">As demonstrated in </w:t>
      </w:r>
      <w:r>
        <w:fldChar w:fldCharType="begin"/>
      </w:r>
      <w:r>
        <w:instrText xml:space="preserve"> REF _Ref294796647 \r \h </w:instrText>
      </w:r>
      <w:r>
        <w:fldChar w:fldCharType="separate"/>
      </w:r>
      <w:r w:rsidR="00A01A35">
        <w:t>Chart 5.7</w:t>
      </w:r>
      <w:r>
        <w:fldChar w:fldCharType="end"/>
      </w:r>
      <w:r>
        <w:t xml:space="preserve">, a higher proportion of HDR Masters EFTSL than PhD HDR EFTSL has a weak but statistically significant negative association with research training costs per HDR RTS EFTSL with a correlation coefficient of -0.20.  This is as predicted: Masters HDR candidates use fewer resources than PhD HDR candidates and hence a higher proportional load of Masters HDR candidates will drive down research training costs per EFTSL. </w:t>
      </w:r>
    </w:p>
    <w:p w:rsidR="001A5590" w:rsidRPr="00B36711" w:rsidRDefault="001A5590" w:rsidP="00B36711">
      <w:pPr>
        <w:pStyle w:val="CaptionChart"/>
        <w:numPr>
          <w:ilvl w:val="7"/>
          <w:numId w:val="21"/>
        </w:numPr>
        <w:ind w:left="0" w:firstLine="0"/>
      </w:pPr>
      <w:bookmarkStart w:id="87" w:name="_Toc298324989"/>
      <w:bookmarkStart w:id="88" w:name="_Ref294796647"/>
      <w:r>
        <w:t>: Ratio of Masters HDR EFTSL to PhD HDR EFTSL at a university</w:t>
      </w:r>
      <w:bookmarkEnd w:id="87"/>
      <w:r>
        <w:t xml:space="preserve"> </w:t>
      </w:r>
      <w:bookmarkEnd w:id="86"/>
      <w:bookmarkEnd w:id="88"/>
    </w:p>
    <w:p w:rsidR="001A5590" w:rsidRDefault="00DD6724" w:rsidP="002939B3">
      <w:pPr>
        <w:pStyle w:val="Figure"/>
      </w:pPr>
      <w:r>
        <mc:AlternateContent>
          <mc:Choice Requires="wps">
            <w:drawing>
              <wp:anchor distT="0" distB="0" distL="114300" distR="114300" simplePos="0" relativeHeight="251655168" behindDoc="0" locked="0" layoutInCell="1" allowOverlap="1">
                <wp:simplePos x="0" y="0"/>
                <wp:positionH relativeFrom="column">
                  <wp:posOffset>381635</wp:posOffset>
                </wp:positionH>
                <wp:positionV relativeFrom="paragraph">
                  <wp:posOffset>160655</wp:posOffset>
                </wp:positionV>
                <wp:extent cx="941070" cy="371475"/>
                <wp:effectExtent l="10160" t="8255" r="10795" b="10795"/>
                <wp:wrapNone/>
                <wp:docPr id="3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371475"/>
                        </a:xfrm>
                        <a:prstGeom prst="rect">
                          <a:avLst/>
                        </a:prstGeom>
                        <a:solidFill>
                          <a:srgbClr val="FFFFFF"/>
                        </a:solidFill>
                        <a:ln w="9525">
                          <a:solidFill>
                            <a:srgbClr val="A5A5A5"/>
                          </a:solidFill>
                          <a:miter lim="800000"/>
                          <a:headEnd/>
                          <a:tailEnd/>
                        </a:ln>
                      </wps:spPr>
                      <wps:txbx>
                        <w:txbxContent>
                          <w:p w:rsidR="003E3674" w:rsidRPr="00B14920" w:rsidRDefault="003E3674" w:rsidP="002368C2">
                            <w:pPr>
                              <w:jc w:val="both"/>
                              <w:rPr>
                                <w:sz w:val="16"/>
                                <w:szCs w:val="16"/>
                              </w:rPr>
                            </w:pPr>
                            <w:r>
                              <w:rPr>
                                <w:sz w:val="16"/>
                                <w:szCs w:val="16"/>
                              </w:rPr>
                              <w:t>Correlation: coefficient: -0.20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4" type="#_x0000_t202" style="position:absolute;left:0;text-align:left;margin-left:30.05pt;margin-top:12.65pt;width:74.1pt;height:2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" strokecolor="#a5a5a5">
                <v:textbox>
                  <w:txbxContent>
                    <w:p w:rsidR="003E3674" w:rsidRPr="00B14920" w:rsidRDefault="003E3674" w:rsidP="002368C2">
                      <w:pPr>
                        <w:jc w:val="both"/>
                        <w:rPr>
                          <w:sz w:val="16"/>
                          <w:szCs w:val="16"/>
                        </w:rPr>
                      </w:pPr>
                      <w:r>
                        <w:rPr>
                          <w:sz w:val="16"/>
                          <w:szCs w:val="16"/>
                        </w:rPr>
                        <w:t>Correlation: coefficient: -0.20</w:t>
                      </w:r>
                    </w:p>
                  </w:txbxContent>
                </v:textbox>
              </v:shape>
            </w:pict>
          </mc:Fallback>
        </mc:AlternateContent>
      </w:r>
      <w:r>
        <w:drawing>
          <wp:inline distT="0" distB="0" distL="0" distR="0">
            <wp:extent cx="5153025" cy="2781300"/>
            <wp:effectExtent l="0" t="0" r="9525" b="0"/>
            <wp:docPr id="18" name="Picture 10" descr="Chart 5.7: Ration of Masters HDR EFTSL to PhD HDR EFTSL at a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art 5.7: Ration of Masters HDR EFTSL to PhD HDR EFTSL at a universit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53025" cy="2781300"/>
                    </a:xfrm>
                    <a:prstGeom prst="rect">
                      <a:avLst/>
                    </a:prstGeom>
                    <a:noFill/>
                    <a:ln>
                      <a:noFill/>
                    </a:ln>
                  </pic:spPr>
                </pic:pic>
              </a:graphicData>
            </a:graphic>
          </wp:inline>
        </w:drawing>
      </w:r>
    </w:p>
    <w:p w:rsidR="001A5590" w:rsidRDefault="001A5590" w:rsidP="007C7B8A">
      <w:pPr>
        <w:pStyle w:val="Heading3"/>
        <w:numPr>
          <w:ilvl w:val="2"/>
          <w:numId w:val="21"/>
        </w:numPr>
      </w:pPr>
      <w:bookmarkStart w:id="89" w:name="_Ref294778115"/>
      <w:r w:rsidRPr="000945F9">
        <w:t>Ratio of part-time to full-time RTS HDR candidates</w:t>
      </w:r>
      <w:bookmarkEnd w:id="89"/>
    </w:p>
    <w:p w:rsidR="001A5590" w:rsidRDefault="001A5590" w:rsidP="00571200">
      <w:pPr>
        <w:pStyle w:val="BodyText"/>
      </w:pPr>
      <w:r>
        <w:fldChar w:fldCharType="begin"/>
      </w:r>
      <w:r>
        <w:instrText xml:space="preserve"> REF _Ref294708022 \r \h </w:instrText>
      </w:r>
      <w:r>
        <w:fldChar w:fldCharType="separate"/>
      </w:r>
      <w:r w:rsidR="00A01A35">
        <w:t>Chart 5.8</w:t>
      </w:r>
      <w:r>
        <w:fldChar w:fldCharType="end"/>
      </w:r>
      <w:r>
        <w:t xml:space="preserve"> suggests that a higher proportion of part-time RTS HDR candidates compared to full-time HDR candidates drives down the research training cost per EFTSL with a correlation coefficient of -0.40.  Although this relationship is weak, it is in the opposite direction to the predicted relationship.  While the reason behind this relationship is not clear, the fact that the research training cost per EFTSL for part-time students appears to be higher than the research training cost per EFTSL for full-time students could mean that the ratio of part-time to full-time RTS HDR candidates is linked to another cost driver which has a negative impact on research training cost per EFTSL (such as a difference in the discipline mix, the percentage of Masters students, etc).</w:t>
      </w:r>
    </w:p>
    <w:p w:rsidR="001A5590" w:rsidRPr="004C53DD" w:rsidRDefault="001A5590" w:rsidP="00571200">
      <w:pPr>
        <w:pStyle w:val="BodyText"/>
      </w:pPr>
    </w:p>
    <w:p w:rsidR="001A5590" w:rsidRDefault="001A5590" w:rsidP="00B121FA">
      <w:pPr>
        <w:pStyle w:val="CaptionChart"/>
        <w:numPr>
          <w:ilvl w:val="7"/>
          <w:numId w:val="21"/>
        </w:numPr>
        <w:spacing w:after="120"/>
        <w:ind w:left="0" w:firstLine="0"/>
      </w:pPr>
      <w:bookmarkStart w:id="90" w:name="_Toc298324990"/>
      <w:bookmarkStart w:id="91" w:name="_Ref294708022"/>
      <w:bookmarkStart w:id="92" w:name="_Toc294773824"/>
      <w:r>
        <w:lastRenderedPageBreak/>
        <w:t>: Ratio of part-time to full-time HDR RTS candidates at a university</w:t>
      </w:r>
      <w:bookmarkEnd w:id="90"/>
      <w:r>
        <w:t xml:space="preserve"> </w:t>
      </w:r>
      <w:bookmarkEnd w:id="91"/>
      <w:bookmarkEnd w:id="92"/>
    </w:p>
    <w:p w:rsidR="001A5590" w:rsidRDefault="00DD6724" w:rsidP="00393BD4">
      <w:pPr>
        <w:pStyle w:val="Figure"/>
      </w:pPr>
      <w:r>
        <mc:AlternateContent>
          <mc:Choice Requires="wps">
            <w:drawing>
              <wp:anchor distT="0" distB="0" distL="114300" distR="114300" simplePos="0" relativeHeight="251656192" behindDoc="0" locked="0" layoutInCell="1" allowOverlap="1">
                <wp:simplePos x="0" y="0"/>
                <wp:positionH relativeFrom="column">
                  <wp:posOffset>1446530</wp:posOffset>
                </wp:positionH>
                <wp:positionV relativeFrom="paragraph">
                  <wp:posOffset>227330</wp:posOffset>
                </wp:positionV>
                <wp:extent cx="941070" cy="323850"/>
                <wp:effectExtent l="8255" t="8255" r="12700" b="10795"/>
                <wp:wrapNone/>
                <wp:docPr id="2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323850"/>
                        </a:xfrm>
                        <a:prstGeom prst="rect">
                          <a:avLst/>
                        </a:prstGeom>
                        <a:solidFill>
                          <a:srgbClr val="FFFFFF"/>
                        </a:solidFill>
                        <a:ln w="9525">
                          <a:solidFill>
                            <a:srgbClr val="A5A5A5"/>
                          </a:solidFill>
                          <a:miter lim="800000"/>
                          <a:headEnd/>
                          <a:tailEnd/>
                        </a:ln>
                      </wps:spPr>
                      <wps:txbx>
                        <w:txbxContent>
                          <w:p w:rsidR="003E3674" w:rsidRPr="00B14920" w:rsidRDefault="003E3674" w:rsidP="002368C2">
                            <w:pPr>
                              <w:jc w:val="both"/>
                              <w:rPr>
                                <w:sz w:val="16"/>
                                <w:szCs w:val="16"/>
                              </w:rPr>
                            </w:pPr>
                            <w:r>
                              <w:rPr>
                                <w:b/>
                                <w:bCs/>
                                <w:sz w:val="16"/>
                                <w:szCs w:val="16"/>
                              </w:rPr>
                              <w:t>Correlation: coefficient: -0.40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5" type="#_x0000_t202" style="position:absolute;left:0;text-align:left;margin-left:113.9pt;margin-top:17.9pt;width:74.1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" strokecolor="#a5a5a5">
                <v:textbox>
                  <w:txbxContent>
                    <w:p w:rsidR="003E3674" w:rsidRPr="00B14920" w:rsidRDefault="003E3674" w:rsidP="002368C2">
                      <w:pPr>
                        <w:jc w:val="both"/>
                        <w:rPr>
                          <w:sz w:val="16"/>
                          <w:szCs w:val="16"/>
                        </w:rPr>
                      </w:pPr>
                      <w:r>
                        <w:rPr>
                          <w:b/>
                          <w:bCs/>
                          <w:sz w:val="16"/>
                          <w:szCs w:val="16"/>
                        </w:rPr>
                        <w:t>Correlation: coefficient: -0.40</w:t>
                      </w:r>
                    </w:p>
                  </w:txbxContent>
                </v:textbox>
              </v:shape>
            </w:pict>
          </mc:Fallback>
        </mc:AlternateContent>
      </w:r>
      <w:r>
        <w:drawing>
          <wp:inline distT="0" distB="0" distL="0" distR="0">
            <wp:extent cx="5162550" cy="2943225"/>
            <wp:effectExtent l="0" t="0" r="0" b="9525"/>
            <wp:docPr id="17" name="Picture 11" descr="Chart 5.8: Ratio of part-time to full-time HDR RTS candidates at a univers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art 5.8: Ratio of part-time to full-time HDR RTS candidates at a university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62550" cy="2943225"/>
                    </a:xfrm>
                    <a:prstGeom prst="rect">
                      <a:avLst/>
                    </a:prstGeom>
                    <a:noFill/>
                    <a:ln>
                      <a:noFill/>
                    </a:ln>
                  </pic:spPr>
                </pic:pic>
              </a:graphicData>
            </a:graphic>
          </wp:inline>
        </w:drawing>
      </w:r>
    </w:p>
    <w:p w:rsidR="001A5590" w:rsidRPr="00B449CE" w:rsidRDefault="001A5590" w:rsidP="00B449CE">
      <w:pPr>
        <w:pStyle w:val="Source"/>
      </w:pPr>
      <w:r w:rsidRPr="00B449CE">
        <w:t>Note: Seven universities did not provide part-time and full-time HDR RTS candidate information but 31 universities did provide cost data.</w:t>
      </w:r>
    </w:p>
    <w:p w:rsidR="001A5590" w:rsidRDefault="001A5590" w:rsidP="001C5FA7">
      <w:pPr>
        <w:pStyle w:val="Heading3"/>
        <w:numPr>
          <w:ilvl w:val="2"/>
          <w:numId w:val="21"/>
        </w:numPr>
        <w:spacing w:before="0"/>
      </w:pPr>
      <w:r w:rsidRPr="001117E2">
        <w:t>Research active staff per HDR EFTSL</w:t>
      </w:r>
    </w:p>
    <w:p w:rsidR="001A5590" w:rsidRPr="004C53DD" w:rsidRDefault="001A5590" w:rsidP="00571200">
      <w:pPr>
        <w:pStyle w:val="BodyText"/>
      </w:pPr>
      <w:bookmarkStart w:id="93" w:name="_Ref294708494"/>
      <w:r>
        <w:t xml:space="preserve">Supervisor salaries and on-costs were shown to have a large impact on the mean cost of research training per HDR RTS EFTSL.  However, </w:t>
      </w:r>
      <w:r>
        <w:fldChar w:fldCharType="begin"/>
      </w:r>
      <w:r>
        <w:instrText xml:space="preserve"> REF _Ref294796681 \r \h </w:instrText>
      </w:r>
      <w:r>
        <w:fldChar w:fldCharType="separate"/>
      </w:r>
      <w:r w:rsidR="00A01A35">
        <w:t>Chart 5.9</w:t>
      </w:r>
      <w:r>
        <w:fldChar w:fldCharType="end"/>
      </w:r>
      <w:r>
        <w:t xml:space="preserve"> shows that there is little </w:t>
      </w:r>
      <w:r w:rsidRPr="00E0549B">
        <w:t>relationship between research</w:t>
      </w:r>
      <w:r>
        <w:t>-</w:t>
      </w:r>
      <w:r w:rsidRPr="00E0549B">
        <w:t>active staff</w:t>
      </w:r>
      <w:r w:rsidRPr="006E316B">
        <w:t>*</w:t>
      </w:r>
      <w:r w:rsidRPr="00E0549B">
        <w:t xml:space="preserve"> per HDR EFTSL and the cost of research training per </w:t>
      </w:r>
      <w:r w:rsidRPr="006E316B">
        <w:t>HDR RTS EFTSL</w:t>
      </w:r>
      <w:r w:rsidRPr="00E0549B">
        <w:t xml:space="preserve">.  A correlation coefficient of 0.05 further suggests that there is no link between the two data sets.  </w:t>
      </w:r>
      <w:r w:rsidRPr="006E316B">
        <w:t>This may be due to the variation in research staff salaries across universities exerting a strong influence on research training costs per HDR RTS EFTSL</w:t>
      </w:r>
      <w:r w:rsidRPr="00E0549B">
        <w:t>.</w:t>
      </w:r>
      <w:r>
        <w:t xml:space="preserve">  </w:t>
      </w:r>
    </w:p>
    <w:p w:rsidR="001A5590" w:rsidRPr="00231814" w:rsidRDefault="001A5590" w:rsidP="00231814">
      <w:pPr>
        <w:pStyle w:val="CaptionChart"/>
        <w:numPr>
          <w:ilvl w:val="7"/>
          <w:numId w:val="21"/>
        </w:numPr>
        <w:ind w:left="0" w:firstLine="0"/>
      </w:pPr>
      <w:bookmarkStart w:id="94" w:name="_Toc298324991"/>
      <w:bookmarkStart w:id="95" w:name="_Ref294796681"/>
      <w:r>
        <w:t>: Research active staff per HDR EFTSL</w:t>
      </w:r>
      <w:bookmarkEnd w:id="94"/>
      <w:r>
        <w:t xml:space="preserve"> </w:t>
      </w:r>
      <w:bookmarkEnd w:id="93"/>
      <w:bookmarkEnd w:id="95"/>
    </w:p>
    <w:p w:rsidR="001A5590" w:rsidRDefault="00DD6724" w:rsidP="00393BD4">
      <w:pPr>
        <w:pStyle w:val="Figure"/>
      </w:pPr>
      <w:r>
        <mc:AlternateContent>
          <mc:Choice Requires="wps">
            <w:drawing>
              <wp:anchor distT="0" distB="0" distL="114300" distR="114300" simplePos="0" relativeHeight="251657216" behindDoc="0" locked="0" layoutInCell="1" allowOverlap="1">
                <wp:simplePos x="0" y="0"/>
                <wp:positionH relativeFrom="column">
                  <wp:posOffset>410210</wp:posOffset>
                </wp:positionH>
                <wp:positionV relativeFrom="paragraph">
                  <wp:posOffset>174625</wp:posOffset>
                </wp:positionV>
                <wp:extent cx="941070" cy="371475"/>
                <wp:effectExtent l="10160" t="12700" r="10795" b="6350"/>
                <wp:wrapNone/>
                <wp:docPr id="2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371475"/>
                        </a:xfrm>
                        <a:prstGeom prst="rect">
                          <a:avLst/>
                        </a:prstGeom>
                        <a:solidFill>
                          <a:srgbClr val="FFFFFF"/>
                        </a:solidFill>
                        <a:ln w="9525">
                          <a:solidFill>
                            <a:srgbClr val="A5A5A5"/>
                          </a:solidFill>
                          <a:miter lim="800000"/>
                          <a:headEnd/>
                          <a:tailEnd/>
                        </a:ln>
                      </wps:spPr>
                      <wps:txbx>
                        <w:txbxContent>
                          <w:p w:rsidR="003E3674" w:rsidRPr="00B14920" w:rsidRDefault="003E3674" w:rsidP="002368C2">
                            <w:pPr>
                              <w:jc w:val="both"/>
                              <w:rPr>
                                <w:sz w:val="16"/>
                                <w:szCs w:val="16"/>
                              </w:rPr>
                            </w:pPr>
                            <w:r>
                              <w:rPr>
                                <w:sz w:val="16"/>
                                <w:szCs w:val="16"/>
                              </w:rPr>
                              <w:t>Correlation: coefficient: 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6" type="#_x0000_t202" style="position:absolute;left:0;text-align:left;margin-left:32.3pt;margin-top:13.75pt;width:74.1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" strokecolor="#a5a5a5">
                <v:textbox>
                  <w:txbxContent>
                    <w:p w:rsidR="003E3674" w:rsidRPr="00B14920" w:rsidRDefault="003E3674" w:rsidP="002368C2">
                      <w:pPr>
                        <w:jc w:val="both"/>
                        <w:rPr>
                          <w:sz w:val="16"/>
                          <w:szCs w:val="16"/>
                        </w:rPr>
                      </w:pPr>
                      <w:r>
                        <w:rPr>
                          <w:sz w:val="16"/>
                          <w:szCs w:val="16"/>
                        </w:rPr>
                        <w:t>Correlation: coefficient: 0.05</w:t>
                      </w:r>
                    </w:p>
                  </w:txbxContent>
                </v:textbox>
              </v:shape>
            </w:pict>
          </mc:Fallback>
        </mc:AlternateContent>
      </w:r>
      <w:r>
        <w:drawing>
          <wp:inline distT="0" distB="0" distL="0" distR="0">
            <wp:extent cx="5191125" cy="2743200"/>
            <wp:effectExtent l="0" t="0" r="9525" b="0"/>
            <wp:docPr id="10" name="Picture 12" descr="Chart 5.9: Research active staff per HDR EFTS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art 5.9: Research active staff per HDR EFTSL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91125" cy="2743200"/>
                    </a:xfrm>
                    <a:prstGeom prst="rect">
                      <a:avLst/>
                    </a:prstGeom>
                    <a:noFill/>
                    <a:ln>
                      <a:noFill/>
                    </a:ln>
                  </pic:spPr>
                </pic:pic>
              </a:graphicData>
            </a:graphic>
          </wp:inline>
        </w:drawing>
      </w:r>
    </w:p>
    <w:p w:rsidR="001A5590" w:rsidRPr="00E0549B" w:rsidRDefault="001A5590" w:rsidP="002939B3">
      <w:pPr>
        <w:pStyle w:val="Source"/>
      </w:pPr>
      <w:r w:rsidRPr="006E316B">
        <w:t>*Note: Research</w:t>
      </w:r>
      <w:r>
        <w:t>-</w:t>
      </w:r>
      <w:r w:rsidRPr="006E316B">
        <w:t xml:space="preserve">active staff </w:t>
      </w:r>
      <w:r>
        <w:t>is</w:t>
      </w:r>
      <w:r w:rsidRPr="006E316B">
        <w:t xml:space="preserve"> defined as full-time equivalent of research only and teaching and research staff.</w:t>
      </w:r>
    </w:p>
    <w:p w:rsidR="001A5590" w:rsidRPr="00E0549B" w:rsidRDefault="001A5590" w:rsidP="002939B3">
      <w:pPr>
        <w:pStyle w:val="Source"/>
      </w:pPr>
    </w:p>
    <w:p w:rsidR="001A5590" w:rsidRPr="00E0549B" w:rsidRDefault="001A5590" w:rsidP="008F3D5B">
      <w:pPr>
        <w:pStyle w:val="Heading3"/>
        <w:numPr>
          <w:ilvl w:val="2"/>
          <w:numId w:val="21"/>
        </w:numPr>
        <w:spacing w:before="0"/>
      </w:pPr>
      <w:r w:rsidRPr="006E316B">
        <w:lastRenderedPageBreak/>
        <w:t>Ratio of RTS candidates studying on-campus to RTS candidates studying off-campus</w:t>
      </w:r>
    </w:p>
    <w:p w:rsidR="001A5590" w:rsidRPr="00E9294E" w:rsidRDefault="001A5590" w:rsidP="00571200">
      <w:pPr>
        <w:pStyle w:val="BodyText"/>
      </w:pPr>
      <w:r>
        <w:fldChar w:fldCharType="begin"/>
      </w:r>
      <w:r>
        <w:instrText xml:space="preserve"> REF _Ref294708760 \r \h </w:instrText>
      </w:r>
      <w:r>
        <w:fldChar w:fldCharType="separate"/>
      </w:r>
      <w:r w:rsidR="00A01A35">
        <w:t>Chart 5.10</w:t>
      </w:r>
      <w:r>
        <w:fldChar w:fldCharType="end"/>
      </w:r>
      <w:r>
        <w:t xml:space="preserve"> demonstrates that there is little relationship between the ratio of the number of RTS candidates studying on-campus to the number of RTS candidates studying off</w:t>
      </w:r>
      <w:r>
        <w:noBreakHyphen/>
        <w:t xml:space="preserve">campus*(see note below chart) and research training costs per HDR RTS EFTSL.  The lack of a link between the two data sets is further illustrated by a low and statistically insignificant correlation coefficient of 0.09.   </w:t>
      </w:r>
    </w:p>
    <w:p w:rsidR="001A5590" w:rsidRDefault="001A5590" w:rsidP="00571200">
      <w:pPr>
        <w:pStyle w:val="CaptionChart"/>
        <w:numPr>
          <w:ilvl w:val="7"/>
          <w:numId w:val="21"/>
        </w:numPr>
        <w:ind w:left="0" w:firstLine="0"/>
      </w:pPr>
      <w:bookmarkStart w:id="96" w:name="_Toc298324992"/>
      <w:bookmarkStart w:id="97" w:name="_Ref294708760"/>
      <w:bookmarkStart w:id="98" w:name="_Toc294773826"/>
      <w:r>
        <w:t>: Ratio of RTS candidates studying on-campus to candidates off-campus</w:t>
      </w:r>
      <w:bookmarkEnd w:id="96"/>
      <w:r>
        <w:t xml:space="preserve"> </w:t>
      </w:r>
      <w:bookmarkEnd w:id="97"/>
      <w:bookmarkEnd w:id="98"/>
    </w:p>
    <w:p w:rsidR="001A5590" w:rsidRDefault="00DD6724" w:rsidP="00393BD4">
      <w:pPr>
        <w:pStyle w:val="Figure"/>
      </w:pPr>
      <w:r>
        <mc:AlternateContent>
          <mc:Choice Requires="wps">
            <w:drawing>
              <wp:anchor distT="0" distB="0" distL="114300" distR="114300" simplePos="0" relativeHeight="251659264" behindDoc="0" locked="0" layoutInCell="1" allowOverlap="1">
                <wp:simplePos x="0" y="0"/>
                <wp:positionH relativeFrom="column">
                  <wp:posOffset>486410</wp:posOffset>
                </wp:positionH>
                <wp:positionV relativeFrom="paragraph">
                  <wp:posOffset>325755</wp:posOffset>
                </wp:positionV>
                <wp:extent cx="941070" cy="371475"/>
                <wp:effectExtent l="10160" t="11430" r="10795" b="7620"/>
                <wp:wrapNone/>
                <wp:docPr id="2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371475"/>
                        </a:xfrm>
                        <a:prstGeom prst="rect">
                          <a:avLst/>
                        </a:prstGeom>
                        <a:solidFill>
                          <a:srgbClr val="FFFFFF"/>
                        </a:solidFill>
                        <a:ln w="9525">
                          <a:solidFill>
                            <a:srgbClr val="A5A5A5"/>
                          </a:solidFill>
                          <a:miter lim="800000"/>
                          <a:headEnd/>
                          <a:tailEnd/>
                        </a:ln>
                      </wps:spPr>
                      <wps:txbx>
                        <w:txbxContent>
                          <w:p w:rsidR="003E3674" w:rsidRPr="00B14920" w:rsidRDefault="003E3674" w:rsidP="002368C2">
                            <w:pPr>
                              <w:jc w:val="both"/>
                              <w:rPr>
                                <w:sz w:val="16"/>
                                <w:szCs w:val="16"/>
                              </w:rPr>
                            </w:pPr>
                            <w:r>
                              <w:rPr>
                                <w:sz w:val="16"/>
                                <w:szCs w:val="16"/>
                              </w:rPr>
                              <w:t>Correlation: coefficient: 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7" type="#_x0000_t202" style="position:absolute;left:0;text-align:left;margin-left:38.3pt;margin-top:25.65pt;width:74.1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" strokecolor="#a5a5a5">
                <v:textbox>
                  <w:txbxContent>
                    <w:p w:rsidR="003E3674" w:rsidRPr="00B14920" w:rsidRDefault="003E3674" w:rsidP="002368C2">
                      <w:pPr>
                        <w:jc w:val="both"/>
                        <w:rPr>
                          <w:sz w:val="16"/>
                          <w:szCs w:val="16"/>
                        </w:rPr>
                      </w:pPr>
                      <w:r>
                        <w:rPr>
                          <w:sz w:val="16"/>
                          <w:szCs w:val="16"/>
                        </w:rPr>
                        <w:t>Correlation: coefficient: 0.09</w:t>
                      </w:r>
                    </w:p>
                  </w:txbxContent>
                </v:textbox>
              </v:shape>
            </w:pict>
          </mc:Fallback>
        </mc:AlternateContent>
      </w:r>
      <w:r>
        <w:drawing>
          <wp:inline distT="0" distB="0" distL="0" distR="0">
            <wp:extent cx="5267325" cy="3162300"/>
            <wp:effectExtent l="0" t="0" r="9525" b="0"/>
            <wp:docPr id="11" name="Picture 13" descr="Chart 5.10: Ratio of RTS candidates studying on-campus to candidates off-camp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art 5.10: Ratio of RTS candidates studying on-campus to candidates off-campu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67325" cy="3162300"/>
                    </a:xfrm>
                    <a:prstGeom prst="rect">
                      <a:avLst/>
                    </a:prstGeom>
                    <a:noFill/>
                    <a:ln>
                      <a:noFill/>
                    </a:ln>
                  </pic:spPr>
                </pic:pic>
              </a:graphicData>
            </a:graphic>
          </wp:inline>
        </w:drawing>
      </w:r>
    </w:p>
    <w:p w:rsidR="001A5590" w:rsidRPr="00B449CE" w:rsidRDefault="001A5590" w:rsidP="00B449CE">
      <w:pPr>
        <w:pStyle w:val="Source"/>
      </w:pPr>
      <w:r w:rsidRPr="00B449CE">
        <w:t>*Note: Seven universities did not provide complete information regarding RTS candidates studying on-campus or off-campus but 31 universities did provide cost data.  Where zero RTS candidates are studying off-campus, the total number of RTS candidates studying on-campus is substituted for the ratio.</w:t>
      </w:r>
    </w:p>
    <w:p w:rsidR="001A5590" w:rsidRDefault="001A5590" w:rsidP="00BE23F3">
      <w:pPr>
        <w:pStyle w:val="Heading3"/>
        <w:numPr>
          <w:ilvl w:val="2"/>
          <w:numId w:val="21"/>
        </w:numPr>
      </w:pPr>
      <w:r w:rsidRPr="009E6BFF">
        <w:t>Number of campuses</w:t>
      </w:r>
    </w:p>
    <w:p w:rsidR="001A5590" w:rsidRPr="00E9294E" w:rsidRDefault="001A5590" w:rsidP="00571200">
      <w:pPr>
        <w:pStyle w:val="BodyText"/>
      </w:pPr>
      <w:bookmarkStart w:id="99" w:name="_Ref294709314"/>
      <w:r>
        <w:t xml:space="preserve">The number of campuses appears to have a weak but statistically significant negative relationship with research training cost per RTS EFTSL with a correlation coefficient of -0.16 (see </w:t>
      </w:r>
      <w:r>
        <w:fldChar w:fldCharType="begin"/>
      </w:r>
      <w:r>
        <w:instrText xml:space="preserve"> REF _Ref294796700 \r \h </w:instrText>
      </w:r>
      <w:r>
        <w:fldChar w:fldCharType="separate"/>
      </w:r>
      <w:r w:rsidR="00A01A35">
        <w:t>Chart 5.11</w:t>
      </w:r>
      <w:r>
        <w:fldChar w:fldCharType="end"/>
      </w:r>
      <w:r>
        <w:t xml:space="preserve">).  This may indicate that, contrary to expectation, rather than duplication of resources driving up research training costs per EFTSL, costs are possibly driven down as a result of scale advantages available to universities with more campuses (although universities with more campuses are not necessarily larger in size than universities with only one campus). </w:t>
      </w:r>
    </w:p>
    <w:p w:rsidR="001A5590" w:rsidRDefault="001A5590" w:rsidP="005A2A4B">
      <w:pPr>
        <w:pStyle w:val="CaptionChart"/>
        <w:numPr>
          <w:ilvl w:val="7"/>
          <w:numId w:val="21"/>
        </w:numPr>
        <w:ind w:left="0" w:firstLine="0"/>
      </w:pPr>
      <w:bookmarkStart w:id="100" w:name="_Toc298324993"/>
      <w:bookmarkStart w:id="101" w:name="_Ref294796700"/>
      <w:r>
        <w:lastRenderedPageBreak/>
        <w:t>: Number of campuses per university</w:t>
      </w:r>
      <w:bookmarkEnd w:id="100"/>
      <w:r>
        <w:t xml:space="preserve"> </w:t>
      </w:r>
      <w:bookmarkEnd w:id="99"/>
      <w:bookmarkEnd w:id="101"/>
    </w:p>
    <w:p w:rsidR="001A5590" w:rsidRDefault="00DD6724" w:rsidP="00393BD4">
      <w:pPr>
        <w:pStyle w:val="Figure"/>
      </w:pPr>
      <w:r>
        <mc:AlternateContent>
          <mc:Choice Requires="wps">
            <w:drawing>
              <wp:anchor distT="0" distB="0" distL="114300" distR="114300" simplePos="0" relativeHeight="251660288" behindDoc="0" locked="0" layoutInCell="1" allowOverlap="1">
                <wp:simplePos x="0" y="0"/>
                <wp:positionH relativeFrom="column">
                  <wp:posOffset>572135</wp:posOffset>
                </wp:positionH>
                <wp:positionV relativeFrom="paragraph">
                  <wp:posOffset>141605</wp:posOffset>
                </wp:positionV>
                <wp:extent cx="941070" cy="323850"/>
                <wp:effectExtent l="10160" t="8255" r="10795" b="10795"/>
                <wp:wrapNone/>
                <wp:docPr id="2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323850"/>
                        </a:xfrm>
                        <a:prstGeom prst="rect">
                          <a:avLst/>
                        </a:prstGeom>
                        <a:solidFill>
                          <a:srgbClr val="FFFFFF"/>
                        </a:solidFill>
                        <a:ln w="9525">
                          <a:solidFill>
                            <a:srgbClr val="A5A5A5"/>
                          </a:solidFill>
                          <a:miter lim="800000"/>
                          <a:headEnd/>
                          <a:tailEnd/>
                        </a:ln>
                      </wps:spPr>
                      <wps:txbx>
                        <w:txbxContent>
                          <w:p w:rsidR="003E3674" w:rsidRPr="00B14920" w:rsidRDefault="003E3674" w:rsidP="002368C2">
                            <w:pPr>
                              <w:jc w:val="both"/>
                              <w:rPr>
                                <w:sz w:val="16"/>
                                <w:szCs w:val="16"/>
                              </w:rPr>
                            </w:pPr>
                            <w:r>
                              <w:rPr>
                                <w:b/>
                                <w:bCs/>
                                <w:sz w:val="16"/>
                                <w:szCs w:val="16"/>
                              </w:rPr>
                              <w:t>Correlation: coefficient: -0.16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8" type="#_x0000_t202" style="position:absolute;left:0;text-align:left;margin-left:45.05pt;margin-top:11.15pt;width:74.1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" strokecolor="#a5a5a5">
                <v:textbox>
                  <w:txbxContent>
                    <w:p w:rsidR="003E3674" w:rsidRPr="00B14920" w:rsidRDefault="003E3674" w:rsidP="002368C2">
                      <w:pPr>
                        <w:jc w:val="both"/>
                        <w:rPr>
                          <w:sz w:val="16"/>
                          <w:szCs w:val="16"/>
                        </w:rPr>
                      </w:pPr>
                      <w:r>
                        <w:rPr>
                          <w:b/>
                          <w:bCs/>
                          <w:sz w:val="16"/>
                          <w:szCs w:val="16"/>
                        </w:rPr>
                        <w:t>Correlation: coefficient: -0.16</w:t>
                      </w:r>
                    </w:p>
                  </w:txbxContent>
                </v:textbox>
              </v:shape>
            </w:pict>
          </mc:Fallback>
        </mc:AlternateContent>
      </w:r>
      <w:r>
        <w:drawing>
          <wp:inline distT="0" distB="0" distL="0" distR="0">
            <wp:extent cx="5172075" cy="3057525"/>
            <wp:effectExtent l="0" t="0" r="9525" b="9525"/>
            <wp:docPr id="12" name="Picture 14" descr="Chart 5.11: Number of campuses per univers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art 5.11: Number of campuses per university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72075" cy="3057525"/>
                    </a:xfrm>
                    <a:prstGeom prst="rect">
                      <a:avLst/>
                    </a:prstGeom>
                    <a:noFill/>
                    <a:ln>
                      <a:noFill/>
                    </a:ln>
                  </pic:spPr>
                </pic:pic>
              </a:graphicData>
            </a:graphic>
          </wp:inline>
        </w:drawing>
      </w:r>
    </w:p>
    <w:p w:rsidR="001A5590" w:rsidRPr="004123F1" w:rsidRDefault="001A5590" w:rsidP="007C11C5">
      <w:pPr>
        <w:pStyle w:val="Heading3"/>
        <w:numPr>
          <w:ilvl w:val="2"/>
          <w:numId w:val="21"/>
        </w:numPr>
      </w:pPr>
      <w:r w:rsidRPr="006E316B">
        <w:t>Ratio of RTS candidates to HDR candidates</w:t>
      </w:r>
    </w:p>
    <w:p w:rsidR="001A5590" w:rsidRPr="004123F1" w:rsidRDefault="001A5590" w:rsidP="007C11C5">
      <w:pPr>
        <w:pStyle w:val="BodyText"/>
      </w:pPr>
      <w:r w:rsidRPr="006E316B">
        <w:t xml:space="preserve">The ratio of RTS EFTSL to HDR EFTSL appears to have a statistically </w:t>
      </w:r>
      <w:r>
        <w:t>in</w:t>
      </w:r>
      <w:r w:rsidRPr="006E316B">
        <w:t xml:space="preserve">significant relationship with research training cost per RTS EFTSL with a correlation coefficient of -0.05 (see </w:t>
      </w:r>
      <w:r>
        <w:fldChar w:fldCharType="begin"/>
      </w:r>
      <w:r>
        <w:instrText xml:space="preserve"> REF _Ref295824472 \r \h  \* MERGEFORMAT </w:instrText>
      </w:r>
      <w:r>
        <w:fldChar w:fldCharType="separate"/>
      </w:r>
      <w:r w:rsidR="00A01A35">
        <w:t>Chart 5.12</w:t>
      </w:r>
      <w:r>
        <w:fldChar w:fldCharType="end"/>
      </w:r>
      <w:r w:rsidRPr="006E316B">
        <w:t xml:space="preserve">).  </w:t>
      </w:r>
    </w:p>
    <w:p w:rsidR="001A5590" w:rsidRDefault="001A5590" w:rsidP="007C11C5">
      <w:pPr>
        <w:pStyle w:val="CaptionChart"/>
        <w:numPr>
          <w:ilvl w:val="7"/>
          <w:numId w:val="21"/>
        </w:numPr>
        <w:ind w:left="0" w:firstLine="0"/>
      </w:pPr>
      <w:bookmarkStart w:id="102" w:name="_Toc298324994"/>
      <w:bookmarkStart w:id="103" w:name="_Ref295824472"/>
      <w:r>
        <w:t>: Ratio of RTS candidates to HDR candidates</w:t>
      </w:r>
      <w:bookmarkEnd w:id="102"/>
      <w:r>
        <w:t xml:space="preserve"> </w:t>
      </w:r>
      <w:bookmarkEnd w:id="103"/>
    </w:p>
    <w:p w:rsidR="001A5590" w:rsidRDefault="00DD6724" w:rsidP="00393BD4">
      <w:pPr>
        <w:pStyle w:val="Figure"/>
      </w:pPr>
      <w:r>
        <mc:AlternateContent>
          <mc:Choice Requires="wps">
            <w:drawing>
              <wp:anchor distT="0" distB="0" distL="114300" distR="114300" simplePos="0" relativeHeight="251661312" behindDoc="0" locked="0" layoutInCell="1" allowOverlap="1">
                <wp:simplePos x="0" y="0"/>
                <wp:positionH relativeFrom="column">
                  <wp:posOffset>991235</wp:posOffset>
                </wp:positionH>
                <wp:positionV relativeFrom="paragraph">
                  <wp:posOffset>132080</wp:posOffset>
                </wp:positionV>
                <wp:extent cx="941070" cy="323850"/>
                <wp:effectExtent l="10160" t="8255" r="10795" b="10795"/>
                <wp:wrapNone/>
                <wp:docPr id="2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323850"/>
                        </a:xfrm>
                        <a:prstGeom prst="rect">
                          <a:avLst/>
                        </a:prstGeom>
                        <a:solidFill>
                          <a:srgbClr val="FFFFFF"/>
                        </a:solidFill>
                        <a:ln w="9525">
                          <a:solidFill>
                            <a:srgbClr val="A5A5A5"/>
                          </a:solidFill>
                          <a:miter lim="800000"/>
                          <a:headEnd/>
                          <a:tailEnd/>
                        </a:ln>
                      </wps:spPr>
                      <wps:txbx>
                        <w:txbxContent>
                          <w:p w:rsidR="003E3674" w:rsidRPr="00B14920" w:rsidRDefault="003E3674" w:rsidP="007C11C5">
                            <w:pPr>
                              <w:jc w:val="both"/>
                              <w:rPr>
                                <w:sz w:val="16"/>
                                <w:szCs w:val="16"/>
                              </w:rPr>
                            </w:pPr>
                            <w:r>
                              <w:rPr>
                                <w:sz w:val="16"/>
                                <w:szCs w:val="16"/>
                              </w:rPr>
                              <w:t>Correlation: coefficient: -0.05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9" type="#_x0000_t202" style="position:absolute;left:0;text-align:left;margin-left:78.05pt;margin-top:10.4pt;width:74.1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" strokecolor="#a5a5a5">
                <v:textbox>
                  <w:txbxContent>
                    <w:p w:rsidR="003E3674" w:rsidRPr="00B14920" w:rsidRDefault="003E3674" w:rsidP="007C11C5">
                      <w:pPr>
                        <w:jc w:val="both"/>
                        <w:rPr>
                          <w:sz w:val="16"/>
                          <w:szCs w:val="16"/>
                        </w:rPr>
                      </w:pPr>
                      <w:r>
                        <w:rPr>
                          <w:sz w:val="16"/>
                          <w:szCs w:val="16"/>
                        </w:rPr>
                        <w:t>Correlation: coefficient: -0.05</w:t>
                      </w:r>
                    </w:p>
                  </w:txbxContent>
                </v:textbox>
              </v:shape>
            </w:pict>
          </mc:Fallback>
        </mc:AlternateContent>
      </w:r>
      <w:r>
        <w:drawing>
          <wp:inline distT="0" distB="0" distL="0" distR="0">
            <wp:extent cx="5191125" cy="3305175"/>
            <wp:effectExtent l="0" t="0" r="9525" b="9525"/>
            <wp:docPr id="13" name="Picture 15" descr="Chart 5.12: Ratio of RTS candidates to HDR candida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art 5.12: Ratio of RTS candidates to HDR candidates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91125" cy="3305175"/>
                    </a:xfrm>
                    <a:prstGeom prst="rect">
                      <a:avLst/>
                    </a:prstGeom>
                    <a:noFill/>
                    <a:ln>
                      <a:noFill/>
                    </a:ln>
                  </pic:spPr>
                </pic:pic>
              </a:graphicData>
            </a:graphic>
          </wp:inline>
        </w:drawing>
      </w:r>
    </w:p>
    <w:p w:rsidR="001A5590" w:rsidRPr="00A3745F" w:rsidRDefault="001A5590" w:rsidP="002939B3">
      <w:pPr>
        <w:pStyle w:val="Source"/>
      </w:pPr>
      <w:r w:rsidRPr="00240F72">
        <w:t>Note</w:t>
      </w:r>
      <w:r>
        <w:t>:</w:t>
      </w:r>
      <w:r w:rsidRPr="00240F72">
        <w:t xml:space="preserve"> five universities did not provide RTS candidate data but 31 did provide cost data</w:t>
      </w:r>
      <w:r>
        <w:t>.</w:t>
      </w:r>
    </w:p>
    <w:p w:rsidR="001A5590" w:rsidRPr="004123F1" w:rsidRDefault="001A5590" w:rsidP="00A3745F">
      <w:pPr>
        <w:pStyle w:val="Heading3"/>
        <w:numPr>
          <w:ilvl w:val="2"/>
          <w:numId w:val="21"/>
        </w:numPr>
        <w:spacing w:after="240"/>
      </w:pPr>
      <w:r w:rsidRPr="006E316B">
        <w:lastRenderedPageBreak/>
        <w:t>Low, middle and high research training costs</w:t>
      </w:r>
    </w:p>
    <w:p w:rsidR="001A5590" w:rsidRPr="006D4795" w:rsidRDefault="001A5590" w:rsidP="00B449CE">
      <w:pPr>
        <w:pStyle w:val="BodyText"/>
      </w:pPr>
      <w:r>
        <w:t xml:space="preserve">As per </w:t>
      </w:r>
      <w:r>
        <w:fldChar w:fldCharType="begin"/>
      </w:r>
      <w:r>
        <w:instrText xml:space="preserve"> REF _Ref295129113 \r \h </w:instrText>
      </w:r>
      <w:r w:rsidR="00B449CE">
        <w:instrText xml:space="preserve"> \* MERGEFORMAT </w:instrText>
      </w:r>
      <w:r>
        <w:fldChar w:fldCharType="separate"/>
      </w:r>
      <w:r w:rsidR="00A01A35">
        <w:t>Chart 5.1</w:t>
      </w:r>
      <w:r>
        <w:fldChar w:fldCharType="end"/>
      </w:r>
      <w:r>
        <w:t xml:space="preserve">, there appears to be three broad clusters for cost of research training per HDR RTS EFTSL: those with costs below $25,000 per HDR RTS EFTSL (n=6); those with costs between $25,000 and $40,000 (n=18); and those with costs greater than $40,000 (n=7).  The mean cost of research training per HDR EFTSL for the low, middle and high cost clusters is $20,906, $32,447 and $48,279, respectively.  Given the large difference in mean cost across the three university clusters, the effect of potential cost drivers in isolation on research training costs was measured for each group using correlation coefficients (see </w:t>
      </w:r>
      <w:r>
        <w:fldChar w:fldCharType="begin"/>
      </w:r>
      <w:r>
        <w:instrText xml:space="preserve"> REF _Ref296409026 \r \h </w:instrText>
      </w:r>
      <w:r w:rsidR="00B449CE">
        <w:instrText xml:space="preserve"> \* MERGEFORMAT </w:instrText>
      </w:r>
      <w:r>
        <w:fldChar w:fldCharType="separate"/>
      </w:r>
      <w:r w:rsidR="00A01A35">
        <w:t>Table 5.2</w:t>
      </w:r>
      <w:r>
        <w:fldChar w:fldCharType="end"/>
      </w:r>
      <w:r>
        <w:t>).</w:t>
      </w:r>
    </w:p>
    <w:p w:rsidR="001A5590" w:rsidRPr="00D65F13" w:rsidRDefault="001A5590" w:rsidP="00BC105C">
      <w:pPr>
        <w:pStyle w:val="CaptionTable"/>
        <w:numPr>
          <w:ilvl w:val="6"/>
          <w:numId w:val="21"/>
        </w:numPr>
        <w:ind w:left="0" w:firstLine="0"/>
      </w:pPr>
      <w:bookmarkStart w:id="104" w:name="_Ref296409026"/>
      <w:bookmarkStart w:id="105" w:name="_Toc298324999"/>
      <w:r>
        <w:t>: Correlation between university cost clusters and cost drivers</w:t>
      </w:r>
      <w:bookmarkEnd w:id="104"/>
      <w:bookmarkEnd w:id="105"/>
    </w:p>
    <w:tbl>
      <w:tblPr>
        <w:tblW w:w="8324" w:type="dxa"/>
        <w:jc w:val="center"/>
        <w:tblInd w:w="1507" w:type="dxa"/>
        <w:tblBorders>
          <w:top w:val="single" w:sz="12" w:space="0" w:color="002776"/>
          <w:bottom w:val="single" w:sz="12" w:space="0" w:color="002776"/>
          <w:insideH w:val="single" w:sz="4" w:space="0" w:color="A6A6A6"/>
          <w:insideV w:val="single" w:sz="4" w:space="0" w:color="A6A6A6"/>
        </w:tblBorders>
        <w:tblLayout w:type="fixed"/>
        <w:tblLook w:val="00A0" w:firstRow="1" w:lastRow="0" w:firstColumn="1" w:lastColumn="0" w:noHBand="0" w:noVBand="0"/>
      </w:tblPr>
      <w:tblGrid>
        <w:gridCol w:w="1860"/>
        <w:gridCol w:w="1559"/>
        <w:gridCol w:w="1701"/>
        <w:gridCol w:w="1418"/>
        <w:gridCol w:w="1786"/>
      </w:tblGrid>
      <w:tr w:rsidR="001A5590" w:rsidTr="00A3745F">
        <w:trPr>
          <w:cantSplit/>
          <w:jc w:val="center"/>
        </w:trPr>
        <w:tc>
          <w:tcPr>
            <w:tcW w:w="1860" w:type="dxa"/>
            <w:tcBorders>
              <w:top w:val="single" w:sz="12" w:space="0" w:color="002776"/>
              <w:left w:val="nil"/>
              <w:bottom w:val="single" w:sz="8" w:space="0" w:color="002776"/>
            </w:tcBorders>
          </w:tcPr>
          <w:p w:rsidR="001A5590" w:rsidRPr="00A01A35" w:rsidRDefault="001A5590" w:rsidP="00A01A35">
            <w:pPr>
              <w:pStyle w:val="TableHeadingCentre"/>
            </w:pPr>
            <w:r w:rsidRPr="00A01A35">
              <w:t>Cost driver</w:t>
            </w:r>
          </w:p>
        </w:tc>
        <w:tc>
          <w:tcPr>
            <w:tcW w:w="1559" w:type="dxa"/>
            <w:tcBorders>
              <w:top w:val="single" w:sz="12" w:space="0" w:color="002776"/>
              <w:bottom w:val="single" w:sz="8" w:space="0" w:color="002776"/>
            </w:tcBorders>
          </w:tcPr>
          <w:p w:rsidR="001A5590" w:rsidRPr="00A01A35" w:rsidRDefault="001A5590" w:rsidP="00A01A35">
            <w:pPr>
              <w:pStyle w:val="TableHeadingCentre"/>
            </w:pPr>
            <w:r w:rsidRPr="00A01A35">
              <w:t>Low cost per RTS EFTSL (n=6)</w:t>
            </w:r>
          </w:p>
        </w:tc>
        <w:tc>
          <w:tcPr>
            <w:tcW w:w="1701" w:type="dxa"/>
            <w:tcBorders>
              <w:top w:val="single" w:sz="12" w:space="0" w:color="002776"/>
              <w:bottom w:val="single" w:sz="8" w:space="0" w:color="002776"/>
            </w:tcBorders>
          </w:tcPr>
          <w:p w:rsidR="001A5590" w:rsidRPr="00A01A35" w:rsidRDefault="001A5590" w:rsidP="00A01A35">
            <w:pPr>
              <w:pStyle w:val="TableHeadingCentre"/>
            </w:pPr>
            <w:r w:rsidRPr="00A01A35">
              <w:t>Middle cost per RTS EFTSL (n=18)</w:t>
            </w:r>
          </w:p>
        </w:tc>
        <w:tc>
          <w:tcPr>
            <w:tcW w:w="1418" w:type="dxa"/>
            <w:tcBorders>
              <w:top w:val="single" w:sz="12" w:space="0" w:color="002776"/>
              <w:bottom w:val="single" w:sz="8" w:space="0" w:color="002776"/>
              <w:right w:val="nil"/>
            </w:tcBorders>
          </w:tcPr>
          <w:p w:rsidR="001A5590" w:rsidRPr="00A01A35" w:rsidRDefault="001A5590" w:rsidP="00A01A35">
            <w:pPr>
              <w:pStyle w:val="TableHeadingCentre"/>
            </w:pPr>
            <w:r w:rsidRPr="00A01A35">
              <w:t>High cost per RTS EFTSL (n=7)</w:t>
            </w:r>
          </w:p>
        </w:tc>
        <w:tc>
          <w:tcPr>
            <w:tcW w:w="1786" w:type="dxa"/>
            <w:tcBorders>
              <w:top w:val="single" w:sz="12" w:space="0" w:color="002776"/>
              <w:bottom w:val="single" w:sz="8" w:space="0" w:color="002776"/>
              <w:right w:val="nil"/>
            </w:tcBorders>
          </w:tcPr>
          <w:p w:rsidR="001A5590" w:rsidRPr="00A01A35" w:rsidRDefault="001A5590" w:rsidP="00A01A35">
            <w:pPr>
              <w:pStyle w:val="TableHeadingCentre"/>
            </w:pPr>
            <w:r w:rsidRPr="00A01A35">
              <w:t>All cost per RTS EFTSL (n=31)</w:t>
            </w:r>
          </w:p>
        </w:tc>
      </w:tr>
      <w:tr w:rsidR="001A5590" w:rsidTr="00A3745F">
        <w:trPr>
          <w:cantSplit/>
          <w:jc w:val="center"/>
        </w:trPr>
        <w:tc>
          <w:tcPr>
            <w:tcW w:w="1860" w:type="dxa"/>
          </w:tcPr>
          <w:p w:rsidR="001A5590" w:rsidRDefault="001A5590" w:rsidP="00A3745F">
            <w:pPr>
              <w:pStyle w:val="TabletextLeft"/>
            </w:pPr>
            <w:r>
              <w:t>Total number of student enrolments</w:t>
            </w:r>
          </w:p>
        </w:tc>
        <w:tc>
          <w:tcPr>
            <w:tcW w:w="1559" w:type="dxa"/>
          </w:tcPr>
          <w:p w:rsidR="001A5590" w:rsidRDefault="001A5590" w:rsidP="00481593">
            <w:pPr>
              <w:pStyle w:val="TabletextCentre"/>
            </w:pPr>
            <w:r>
              <w:t>0.41</w:t>
            </w:r>
          </w:p>
        </w:tc>
        <w:tc>
          <w:tcPr>
            <w:tcW w:w="1701" w:type="dxa"/>
          </w:tcPr>
          <w:p w:rsidR="001A5590" w:rsidRDefault="001A5590" w:rsidP="00481593">
            <w:pPr>
              <w:pStyle w:val="TabletextCentre"/>
            </w:pPr>
            <w:r>
              <w:t>0.00</w:t>
            </w:r>
          </w:p>
        </w:tc>
        <w:tc>
          <w:tcPr>
            <w:tcW w:w="1418" w:type="dxa"/>
          </w:tcPr>
          <w:p w:rsidR="001A5590" w:rsidRDefault="001A5590" w:rsidP="00481593">
            <w:pPr>
              <w:pStyle w:val="TabletextCentre"/>
            </w:pPr>
            <w:r>
              <w:t>0.51</w:t>
            </w:r>
          </w:p>
        </w:tc>
        <w:tc>
          <w:tcPr>
            <w:tcW w:w="1786" w:type="dxa"/>
          </w:tcPr>
          <w:p w:rsidR="001A5590" w:rsidRDefault="001A5590" w:rsidP="00481593">
            <w:pPr>
              <w:pStyle w:val="TabletextCentre"/>
            </w:pPr>
            <w:r>
              <w:t>0.07</w:t>
            </w:r>
          </w:p>
        </w:tc>
      </w:tr>
      <w:tr w:rsidR="001A5590" w:rsidTr="00A3745F">
        <w:trPr>
          <w:cantSplit/>
          <w:trHeight w:val="421"/>
          <w:jc w:val="center"/>
        </w:trPr>
        <w:tc>
          <w:tcPr>
            <w:tcW w:w="1860" w:type="dxa"/>
          </w:tcPr>
          <w:p w:rsidR="001A5590" w:rsidRDefault="001A5590" w:rsidP="00A3745F">
            <w:pPr>
              <w:pStyle w:val="TabletextLeft"/>
            </w:pPr>
            <w:r>
              <w:t>Total HDR EFTSL</w:t>
            </w:r>
          </w:p>
        </w:tc>
        <w:tc>
          <w:tcPr>
            <w:tcW w:w="1559" w:type="dxa"/>
          </w:tcPr>
          <w:p w:rsidR="001A5590" w:rsidRDefault="001A5590" w:rsidP="00481593">
            <w:pPr>
              <w:pStyle w:val="TabletextCentre"/>
            </w:pPr>
            <w:r>
              <w:t>0.71</w:t>
            </w:r>
          </w:p>
        </w:tc>
        <w:tc>
          <w:tcPr>
            <w:tcW w:w="1701" w:type="dxa"/>
          </w:tcPr>
          <w:p w:rsidR="001A5590" w:rsidRDefault="001A5590" w:rsidP="00481593">
            <w:pPr>
              <w:pStyle w:val="TabletextCentre"/>
            </w:pPr>
            <w:r>
              <w:t>0.15</w:t>
            </w:r>
          </w:p>
        </w:tc>
        <w:tc>
          <w:tcPr>
            <w:tcW w:w="1418" w:type="dxa"/>
          </w:tcPr>
          <w:p w:rsidR="001A5590" w:rsidRDefault="001A5590" w:rsidP="00481593">
            <w:pPr>
              <w:pStyle w:val="TabletextCentre"/>
            </w:pPr>
            <w:r>
              <w:t>0.02</w:t>
            </w:r>
          </w:p>
        </w:tc>
        <w:tc>
          <w:tcPr>
            <w:tcW w:w="1786" w:type="dxa"/>
          </w:tcPr>
          <w:p w:rsidR="001A5590" w:rsidRDefault="001A5590" w:rsidP="00481593">
            <w:pPr>
              <w:pStyle w:val="TabletextCentre"/>
            </w:pPr>
            <w:r>
              <w:t>0.06</w:t>
            </w:r>
          </w:p>
        </w:tc>
      </w:tr>
      <w:tr w:rsidR="001A5590" w:rsidTr="00A3745F">
        <w:trPr>
          <w:cantSplit/>
          <w:jc w:val="center"/>
        </w:trPr>
        <w:tc>
          <w:tcPr>
            <w:tcW w:w="1860" w:type="dxa"/>
          </w:tcPr>
          <w:p w:rsidR="001A5590" w:rsidRDefault="001A5590" w:rsidP="00A3745F">
            <w:pPr>
              <w:pStyle w:val="TabletextLeft"/>
            </w:pPr>
            <w:r>
              <w:t>Ratio of RTS candidates to HDR candidates</w:t>
            </w:r>
          </w:p>
        </w:tc>
        <w:tc>
          <w:tcPr>
            <w:tcW w:w="1559" w:type="dxa"/>
          </w:tcPr>
          <w:p w:rsidR="001A5590" w:rsidRDefault="001A5590" w:rsidP="00481593">
            <w:pPr>
              <w:pStyle w:val="TabletextCentre"/>
            </w:pPr>
            <w:r>
              <w:t>-0.42</w:t>
            </w:r>
          </w:p>
          <w:p w:rsidR="001A5590" w:rsidRDefault="001A5590" w:rsidP="00481593">
            <w:pPr>
              <w:pStyle w:val="TabletextCentre"/>
            </w:pPr>
            <w:r>
              <w:t>(n=5)</w:t>
            </w:r>
          </w:p>
        </w:tc>
        <w:tc>
          <w:tcPr>
            <w:tcW w:w="1701" w:type="dxa"/>
          </w:tcPr>
          <w:p w:rsidR="001A5590" w:rsidRDefault="001A5590" w:rsidP="00481593">
            <w:pPr>
              <w:pStyle w:val="TabletextCentre"/>
            </w:pPr>
            <w:r>
              <w:t>0.48</w:t>
            </w:r>
          </w:p>
          <w:p w:rsidR="001A5590" w:rsidRDefault="001A5590" w:rsidP="00481593">
            <w:pPr>
              <w:pStyle w:val="TabletextCentre"/>
            </w:pPr>
            <w:r>
              <w:t>(n=15)</w:t>
            </w:r>
          </w:p>
        </w:tc>
        <w:tc>
          <w:tcPr>
            <w:tcW w:w="1418" w:type="dxa"/>
          </w:tcPr>
          <w:p w:rsidR="001A5590" w:rsidRDefault="001A5590" w:rsidP="00481593">
            <w:pPr>
              <w:pStyle w:val="TabletextCentre"/>
            </w:pPr>
            <w:r>
              <w:t>-0.35</w:t>
            </w:r>
          </w:p>
          <w:p w:rsidR="001A5590" w:rsidRDefault="001A5590" w:rsidP="00481593">
            <w:pPr>
              <w:pStyle w:val="TabletextCentre"/>
            </w:pPr>
            <w:r>
              <w:t>(n=6)</w:t>
            </w:r>
          </w:p>
        </w:tc>
        <w:tc>
          <w:tcPr>
            <w:tcW w:w="1786" w:type="dxa"/>
          </w:tcPr>
          <w:p w:rsidR="001A5590" w:rsidRDefault="001A5590" w:rsidP="00481593">
            <w:pPr>
              <w:pStyle w:val="TabletextCentre"/>
            </w:pPr>
            <w:r>
              <w:t>-0.05</w:t>
            </w:r>
          </w:p>
          <w:p w:rsidR="001A5590" w:rsidRDefault="001A5590" w:rsidP="00481593">
            <w:pPr>
              <w:pStyle w:val="TabletextCentre"/>
            </w:pPr>
            <w:r>
              <w:t>(n=26)</w:t>
            </w:r>
          </w:p>
        </w:tc>
      </w:tr>
      <w:tr w:rsidR="001A5590" w:rsidTr="00A3745F">
        <w:trPr>
          <w:cantSplit/>
          <w:jc w:val="center"/>
        </w:trPr>
        <w:tc>
          <w:tcPr>
            <w:tcW w:w="1860" w:type="dxa"/>
          </w:tcPr>
          <w:p w:rsidR="001A5590" w:rsidRDefault="001A5590" w:rsidP="00A3745F">
            <w:pPr>
              <w:pStyle w:val="TabletextLeft"/>
            </w:pPr>
            <w:r>
              <w:t>Ratio of HDR candidates to total student enrolments</w:t>
            </w:r>
          </w:p>
        </w:tc>
        <w:tc>
          <w:tcPr>
            <w:tcW w:w="1559" w:type="dxa"/>
          </w:tcPr>
          <w:p w:rsidR="001A5590" w:rsidRDefault="001A5590" w:rsidP="00481593">
            <w:pPr>
              <w:pStyle w:val="TabletextCentre"/>
            </w:pPr>
            <w:r>
              <w:t>-0.04</w:t>
            </w:r>
          </w:p>
        </w:tc>
        <w:tc>
          <w:tcPr>
            <w:tcW w:w="1701" w:type="dxa"/>
          </w:tcPr>
          <w:p w:rsidR="001A5590" w:rsidRDefault="001A5590" w:rsidP="00481593">
            <w:pPr>
              <w:pStyle w:val="TabletextCentre"/>
            </w:pPr>
            <w:r>
              <w:t>0.60</w:t>
            </w:r>
          </w:p>
        </w:tc>
        <w:tc>
          <w:tcPr>
            <w:tcW w:w="1418" w:type="dxa"/>
          </w:tcPr>
          <w:p w:rsidR="001A5590" w:rsidRDefault="001A5590" w:rsidP="00481593">
            <w:pPr>
              <w:pStyle w:val="TabletextCentre"/>
            </w:pPr>
            <w:r>
              <w:t>0.87</w:t>
            </w:r>
          </w:p>
        </w:tc>
        <w:tc>
          <w:tcPr>
            <w:tcW w:w="1786" w:type="dxa"/>
          </w:tcPr>
          <w:p w:rsidR="001A5590" w:rsidRDefault="001A5590" w:rsidP="00481593">
            <w:pPr>
              <w:pStyle w:val="TabletextCentre"/>
            </w:pPr>
            <w:r>
              <w:t>0.05</w:t>
            </w:r>
          </w:p>
        </w:tc>
      </w:tr>
      <w:tr w:rsidR="001A5590" w:rsidTr="00A3745F">
        <w:trPr>
          <w:cantSplit/>
          <w:jc w:val="center"/>
        </w:trPr>
        <w:tc>
          <w:tcPr>
            <w:tcW w:w="1860" w:type="dxa"/>
          </w:tcPr>
          <w:p w:rsidR="001A5590" w:rsidRDefault="001A5590" w:rsidP="00A3745F">
            <w:pPr>
              <w:pStyle w:val="TabletextLeft"/>
            </w:pPr>
            <w:r>
              <w:t>Ratio of Masters HDR EFTSL to PhD HDR EFTSL</w:t>
            </w:r>
          </w:p>
        </w:tc>
        <w:tc>
          <w:tcPr>
            <w:tcW w:w="1559" w:type="dxa"/>
          </w:tcPr>
          <w:p w:rsidR="001A5590" w:rsidRDefault="001A5590" w:rsidP="00481593">
            <w:pPr>
              <w:pStyle w:val="TabletextCentre"/>
            </w:pPr>
            <w:r>
              <w:t>0.28</w:t>
            </w:r>
          </w:p>
        </w:tc>
        <w:tc>
          <w:tcPr>
            <w:tcW w:w="1701" w:type="dxa"/>
          </w:tcPr>
          <w:p w:rsidR="001A5590" w:rsidRDefault="001A5590" w:rsidP="00481593">
            <w:pPr>
              <w:pStyle w:val="TabletextCentre"/>
            </w:pPr>
            <w:r>
              <w:t>-0.09</w:t>
            </w:r>
          </w:p>
        </w:tc>
        <w:tc>
          <w:tcPr>
            <w:tcW w:w="1418" w:type="dxa"/>
          </w:tcPr>
          <w:p w:rsidR="001A5590" w:rsidRDefault="001A5590" w:rsidP="00481593">
            <w:pPr>
              <w:pStyle w:val="TabletextCentre"/>
            </w:pPr>
            <w:r>
              <w:t>-0.22</w:t>
            </w:r>
          </w:p>
        </w:tc>
        <w:tc>
          <w:tcPr>
            <w:tcW w:w="1786" w:type="dxa"/>
          </w:tcPr>
          <w:p w:rsidR="001A5590" w:rsidRDefault="001A5590" w:rsidP="00481593">
            <w:pPr>
              <w:pStyle w:val="TabletextCentre"/>
            </w:pPr>
            <w:r>
              <w:t>-0.20</w:t>
            </w:r>
          </w:p>
        </w:tc>
      </w:tr>
      <w:tr w:rsidR="001A5590" w:rsidTr="00A3745F">
        <w:trPr>
          <w:cantSplit/>
          <w:jc w:val="center"/>
        </w:trPr>
        <w:tc>
          <w:tcPr>
            <w:tcW w:w="1860" w:type="dxa"/>
          </w:tcPr>
          <w:p w:rsidR="001A5590" w:rsidRDefault="001A5590" w:rsidP="00A3745F">
            <w:pPr>
              <w:pStyle w:val="TabletextLeft"/>
            </w:pPr>
            <w:r>
              <w:t xml:space="preserve">Ratio of part-time to full-time RTS candidates </w:t>
            </w:r>
          </w:p>
        </w:tc>
        <w:tc>
          <w:tcPr>
            <w:tcW w:w="1559" w:type="dxa"/>
          </w:tcPr>
          <w:p w:rsidR="001A5590" w:rsidRDefault="001A5590" w:rsidP="00481593">
            <w:pPr>
              <w:pStyle w:val="TabletextCentre"/>
            </w:pPr>
            <w:r>
              <w:t xml:space="preserve">-0.80 </w:t>
            </w:r>
          </w:p>
          <w:p w:rsidR="001A5590" w:rsidRDefault="001A5590" w:rsidP="00481593">
            <w:pPr>
              <w:pStyle w:val="TabletextCentre"/>
            </w:pPr>
            <w:r>
              <w:t>(n=5)</w:t>
            </w:r>
          </w:p>
        </w:tc>
        <w:tc>
          <w:tcPr>
            <w:tcW w:w="1701" w:type="dxa"/>
          </w:tcPr>
          <w:p w:rsidR="001A5590" w:rsidRDefault="001A5590" w:rsidP="00481593">
            <w:pPr>
              <w:pStyle w:val="TabletextCentre"/>
            </w:pPr>
            <w:r>
              <w:t>0.00</w:t>
            </w:r>
          </w:p>
          <w:p w:rsidR="001A5590" w:rsidRDefault="001A5590" w:rsidP="00481593">
            <w:pPr>
              <w:pStyle w:val="TabletextCentre"/>
            </w:pPr>
            <w:r>
              <w:t>(n=14)</w:t>
            </w:r>
          </w:p>
        </w:tc>
        <w:tc>
          <w:tcPr>
            <w:tcW w:w="1418" w:type="dxa"/>
          </w:tcPr>
          <w:p w:rsidR="001A5590" w:rsidRDefault="001A5590" w:rsidP="00481593">
            <w:pPr>
              <w:pStyle w:val="TabletextCentre"/>
            </w:pPr>
            <w:r>
              <w:t>-0.02</w:t>
            </w:r>
          </w:p>
          <w:p w:rsidR="001A5590" w:rsidRDefault="001A5590" w:rsidP="00481593">
            <w:pPr>
              <w:pStyle w:val="TabletextCentre"/>
            </w:pPr>
            <w:r>
              <w:t>(n=5)</w:t>
            </w:r>
          </w:p>
        </w:tc>
        <w:tc>
          <w:tcPr>
            <w:tcW w:w="1786" w:type="dxa"/>
          </w:tcPr>
          <w:p w:rsidR="001A5590" w:rsidRDefault="001A5590" w:rsidP="00481593">
            <w:pPr>
              <w:pStyle w:val="TabletextCentre"/>
            </w:pPr>
            <w:r>
              <w:t>-0.40</w:t>
            </w:r>
          </w:p>
          <w:p w:rsidR="001A5590" w:rsidRDefault="001A5590" w:rsidP="00481593">
            <w:pPr>
              <w:pStyle w:val="TabletextCentre"/>
            </w:pPr>
            <w:r>
              <w:t>(n=24)</w:t>
            </w:r>
          </w:p>
        </w:tc>
      </w:tr>
      <w:tr w:rsidR="001A5590" w:rsidTr="00A3745F">
        <w:trPr>
          <w:cantSplit/>
          <w:jc w:val="center"/>
        </w:trPr>
        <w:tc>
          <w:tcPr>
            <w:tcW w:w="1860" w:type="dxa"/>
          </w:tcPr>
          <w:p w:rsidR="001A5590" w:rsidRDefault="001A5590" w:rsidP="00A3745F">
            <w:pPr>
              <w:pStyle w:val="TabletextLeft"/>
            </w:pPr>
            <w:r>
              <w:t>Ratio of RTS candidates studying on-campus to RTS candidates studying at a distance.</w:t>
            </w:r>
          </w:p>
        </w:tc>
        <w:tc>
          <w:tcPr>
            <w:tcW w:w="1559" w:type="dxa"/>
          </w:tcPr>
          <w:p w:rsidR="001A5590" w:rsidRDefault="001A5590" w:rsidP="00481593">
            <w:pPr>
              <w:pStyle w:val="TabletextCentre"/>
            </w:pPr>
            <w:r>
              <w:t xml:space="preserve">-0.09 </w:t>
            </w:r>
          </w:p>
          <w:p w:rsidR="001A5590" w:rsidRDefault="001A5590" w:rsidP="00481593">
            <w:pPr>
              <w:pStyle w:val="TabletextCentre"/>
            </w:pPr>
            <w:r>
              <w:t>(n=5)</w:t>
            </w:r>
          </w:p>
        </w:tc>
        <w:tc>
          <w:tcPr>
            <w:tcW w:w="1701" w:type="dxa"/>
          </w:tcPr>
          <w:p w:rsidR="001A5590" w:rsidRDefault="001A5590" w:rsidP="00481593">
            <w:pPr>
              <w:pStyle w:val="TabletextCentre"/>
            </w:pPr>
            <w:r>
              <w:t>-0.11</w:t>
            </w:r>
          </w:p>
          <w:p w:rsidR="001A5590" w:rsidRDefault="001A5590" w:rsidP="00481593">
            <w:pPr>
              <w:pStyle w:val="TabletextCentre"/>
            </w:pPr>
            <w:r>
              <w:t>(n=14)</w:t>
            </w:r>
          </w:p>
        </w:tc>
        <w:tc>
          <w:tcPr>
            <w:tcW w:w="1418" w:type="dxa"/>
          </w:tcPr>
          <w:p w:rsidR="001A5590" w:rsidRDefault="001A5590" w:rsidP="00481593">
            <w:pPr>
              <w:pStyle w:val="TabletextCentre"/>
            </w:pPr>
            <w:r>
              <w:t>0.08</w:t>
            </w:r>
          </w:p>
          <w:p w:rsidR="001A5590" w:rsidRDefault="001A5590" w:rsidP="00481593">
            <w:pPr>
              <w:pStyle w:val="TabletextCentre"/>
            </w:pPr>
            <w:r>
              <w:t>(n=5)</w:t>
            </w:r>
          </w:p>
        </w:tc>
        <w:tc>
          <w:tcPr>
            <w:tcW w:w="1786" w:type="dxa"/>
          </w:tcPr>
          <w:p w:rsidR="001A5590" w:rsidRDefault="001A5590" w:rsidP="00481593">
            <w:pPr>
              <w:pStyle w:val="TabletextCentre"/>
            </w:pPr>
            <w:r>
              <w:t>0.09</w:t>
            </w:r>
          </w:p>
          <w:p w:rsidR="001A5590" w:rsidRDefault="001A5590" w:rsidP="00481593">
            <w:pPr>
              <w:pStyle w:val="TabletextCentre"/>
            </w:pPr>
            <w:r>
              <w:t>(n=24)</w:t>
            </w:r>
          </w:p>
        </w:tc>
      </w:tr>
      <w:tr w:rsidR="001A5590" w:rsidTr="00A3745F">
        <w:trPr>
          <w:cantSplit/>
          <w:jc w:val="center"/>
        </w:trPr>
        <w:tc>
          <w:tcPr>
            <w:tcW w:w="1860" w:type="dxa"/>
          </w:tcPr>
          <w:p w:rsidR="001A5590" w:rsidRDefault="001A5590" w:rsidP="00A3745F">
            <w:pPr>
              <w:pStyle w:val="TabletextLeft"/>
            </w:pPr>
            <w:r>
              <w:t>Research active staff per HDR EFTSL</w:t>
            </w:r>
          </w:p>
        </w:tc>
        <w:tc>
          <w:tcPr>
            <w:tcW w:w="1559" w:type="dxa"/>
          </w:tcPr>
          <w:p w:rsidR="001A5590" w:rsidRDefault="001A5590" w:rsidP="00481593">
            <w:pPr>
              <w:pStyle w:val="TabletextCentre"/>
            </w:pPr>
            <w:r>
              <w:t>-0.17</w:t>
            </w:r>
          </w:p>
        </w:tc>
        <w:tc>
          <w:tcPr>
            <w:tcW w:w="1701" w:type="dxa"/>
          </w:tcPr>
          <w:p w:rsidR="001A5590" w:rsidRDefault="001A5590" w:rsidP="00481593">
            <w:pPr>
              <w:pStyle w:val="TabletextCentre"/>
            </w:pPr>
            <w:r>
              <w:t>-0.23</w:t>
            </w:r>
          </w:p>
        </w:tc>
        <w:tc>
          <w:tcPr>
            <w:tcW w:w="1418" w:type="dxa"/>
          </w:tcPr>
          <w:p w:rsidR="001A5590" w:rsidRDefault="001A5590" w:rsidP="00481593">
            <w:pPr>
              <w:pStyle w:val="TabletextCentre"/>
            </w:pPr>
            <w:r>
              <w:t>0.14</w:t>
            </w:r>
          </w:p>
        </w:tc>
        <w:tc>
          <w:tcPr>
            <w:tcW w:w="1786" w:type="dxa"/>
          </w:tcPr>
          <w:p w:rsidR="001A5590" w:rsidRDefault="001A5590" w:rsidP="00481593">
            <w:pPr>
              <w:pStyle w:val="TabletextCentre"/>
            </w:pPr>
            <w:r>
              <w:t>0.05</w:t>
            </w:r>
          </w:p>
        </w:tc>
      </w:tr>
      <w:tr w:rsidR="001A5590" w:rsidTr="00A3745F">
        <w:trPr>
          <w:cantSplit/>
          <w:jc w:val="center"/>
        </w:trPr>
        <w:tc>
          <w:tcPr>
            <w:tcW w:w="1860" w:type="dxa"/>
            <w:tcBorders>
              <w:bottom w:val="single" w:sz="12" w:space="0" w:color="002776"/>
            </w:tcBorders>
          </w:tcPr>
          <w:p w:rsidR="001A5590" w:rsidRDefault="001A5590" w:rsidP="00A3745F">
            <w:pPr>
              <w:pStyle w:val="TabletextLeft"/>
            </w:pPr>
            <w:r>
              <w:t>Number of campuses.</w:t>
            </w:r>
          </w:p>
        </w:tc>
        <w:tc>
          <w:tcPr>
            <w:tcW w:w="1559" w:type="dxa"/>
            <w:tcBorders>
              <w:bottom w:val="single" w:sz="12" w:space="0" w:color="002776"/>
            </w:tcBorders>
          </w:tcPr>
          <w:p w:rsidR="001A5590" w:rsidRDefault="001A5590" w:rsidP="00481593">
            <w:pPr>
              <w:pStyle w:val="TabletextCentre"/>
            </w:pPr>
            <w:r>
              <w:t>-0.22</w:t>
            </w:r>
          </w:p>
        </w:tc>
        <w:tc>
          <w:tcPr>
            <w:tcW w:w="1701" w:type="dxa"/>
            <w:tcBorders>
              <w:bottom w:val="single" w:sz="12" w:space="0" w:color="002776"/>
            </w:tcBorders>
          </w:tcPr>
          <w:p w:rsidR="001A5590" w:rsidRDefault="001A5590" w:rsidP="00481593">
            <w:pPr>
              <w:pStyle w:val="TabletextCentre"/>
            </w:pPr>
            <w:r>
              <w:t>0.03</w:t>
            </w:r>
          </w:p>
        </w:tc>
        <w:tc>
          <w:tcPr>
            <w:tcW w:w="1418" w:type="dxa"/>
            <w:tcBorders>
              <w:bottom w:val="single" w:sz="12" w:space="0" w:color="002776"/>
            </w:tcBorders>
          </w:tcPr>
          <w:p w:rsidR="001A5590" w:rsidRDefault="001A5590" w:rsidP="00481593">
            <w:pPr>
              <w:pStyle w:val="TabletextCentre"/>
            </w:pPr>
            <w:r>
              <w:t>-0.34</w:t>
            </w:r>
          </w:p>
        </w:tc>
        <w:tc>
          <w:tcPr>
            <w:tcW w:w="1786" w:type="dxa"/>
            <w:tcBorders>
              <w:bottom w:val="single" w:sz="12" w:space="0" w:color="002776"/>
            </w:tcBorders>
          </w:tcPr>
          <w:p w:rsidR="001A5590" w:rsidRDefault="001A5590" w:rsidP="00481593">
            <w:pPr>
              <w:pStyle w:val="TabletextCentre"/>
            </w:pPr>
            <w:r>
              <w:t>-0.16</w:t>
            </w:r>
          </w:p>
        </w:tc>
      </w:tr>
    </w:tbl>
    <w:p w:rsidR="001A5590" w:rsidRDefault="001A5590">
      <w:pPr>
        <w:pStyle w:val="BodyText"/>
      </w:pPr>
      <w:r>
        <w:fldChar w:fldCharType="begin"/>
      </w:r>
      <w:r>
        <w:instrText xml:space="preserve"> REF _Ref296409026 \r \h  \* MERGEFORMAT </w:instrText>
      </w:r>
      <w:r>
        <w:fldChar w:fldCharType="separate"/>
      </w:r>
      <w:r w:rsidR="00A01A35">
        <w:t>Table 5.2</w:t>
      </w:r>
      <w:r>
        <w:fldChar w:fldCharType="end"/>
      </w:r>
      <w:r w:rsidRPr="00481593">
        <w:t xml:space="preserve"> </w:t>
      </w:r>
      <w:r w:rsidRPr="004123F1">
        <w:t xml:space="preserve">shows </w:t>
      </w:r>
      <w:r>
        <w:t xml:space="preserve">that </w:t>
      </w:r>
      <w:r w:rsidRPr="004123F1">
        <w:t xml:space="preserve">the </w:t>
      </w:r>
      <w:r>
        <w:t>sign on coefficients</w:t>
      </w:r>
      <w:r w:rsidRPr="004123F1">
        <w:t xml:space="preserve"> in which these cost drivers exert their influence changes for each university cost cluster</w:t>
      </w:r>
      <w:r>
        <w:t>,</w:t>
      </w:r>
      <w:r w:rsidRPr="004123F1">
        <w:t xml:space="preserve"> thus rendering their overall </w:t>
      </w:r>
      <w:r>
        <w:t>implications</w:t>
      </w:r>
      <w:r w:rsidRPr="004123F1">
        <w:t xml:space="preserve"> </w:t>
      </w:r>
      <w:r>
        <w:t>unclear</w:t>
      </w:r>
      <w:r w:rsidRPr="004123F1">
        <w:t xml:space="preserve">.  </w:t>
      </w:r>
    </w:p>
    <w:p w:rsidR="001A5590" w:rsidRDefault="001A5590">
      <w:pPr>
        <w:pStyle w:val="BodyText"/>
      </w:pPr>
      <w:r w:rsidRPr="004123F1">
        <w:t xml:space="preserve">The cost drivers appear to have the strongest influence on </w:t>
      </w:r>
      <w:r>
        <w:t>t</w:t>
      </w:r>
      <w:r w:rsidRPr="004123F1">
        <w:t>he ‘Low cost per RTS EFTSL’ cluster of universities</w:t>
      </w:r>
      <w:r>
        <w:t>,</w:t>
      </w:r>
      <w:r w:rsidRPr="004123F1">
        <w:t xml:space="preserve"> with seven of the eight cost drivers showing </w:t>
      </w:r>
      <w:r>
        <w:t>sizeable</w:t>
      </w:r>
      <w:r w:rsidRPr="004123F1">
        <w:t xml:space="preserve"> correlation with research training cost per RTS EFTSL.  However, due to the small sample size, these associations </w:t>
      </w:r>
      <w:r>
        <w:t>should be treated with caution</w:t>
      </w:r>
      <w:r w:rsidRPr="004123F1">
        <w:t>.</w:t>
      </w:r>
    </w:p>
    <w:p w:rsidR="001A5590" w:rsidRDefault="001A5590" w:rsidP="001A5590">
      <w:pPr>
        <w:pStyle w:val="Heading2"/>
        <w:numPr>
          <w:ilvl w:val="1"/>
          <w:numId w:val="21"/>
        </w:numPr>
        <w:tabs>
          <w:tab w:val="clear" w:pos="709"/>
        </w:tabs>
        <w:ind w:left="851" w:hanging="851"/>
      </w:pPr>
      <w:bookmarkStart w:id="106" w:name="_Ref295307517"/>
      <w:bookmarkStart w:id="107" w:name="_Toc298324967"/>
      <w:r>
        <w:lastRenderedPageBreak/>
        <w:t>Difference between costs and RTS funding</w:t>
      </w:r>
      <w:bookmarkEnd w:id="106"/>
      <w:bookmarkEnd w:id="107"/>
    </w:p>
    <w:p w:rsidR="001A5590" w:rsidRDefault="001A5590" w:rsidP="00571200">
      <w:pPr>
        <w:pStyle w:val="BodyText"/>
      </w:pPr>
      <w:r>
        <w:t xml:space="preserve">In 2009 universities received an average of $17.9 million (min=$0.5 million, max=$68.2 million) in RTS funding.  Per RTS EFTSL this is equivalent to a mean of $23,348 (min=$14,040, max= $33,716, median= $23,084).  </w:t>
      </w:r>
    </w:p>
    <w:p w:rsidR="001A5590" w:rsidRDefault="001A5590" w:rsidP="00571200">
      <w:pPr>
        <w:pStyle w:val="BodyText"/>
      </w:pPr>
      <w:r>
        <w:t>The reported average difference between RTS funding received and research training costs for RTS students (the difference in funding) was $5.7 million, with one university reporting a ‘surplus’ of $377,660 and a ‘deficit’ of $24.8 million reported by another.  The median amount by which costs exceeded funding per university was $4.2 million.</w:t>
      </w:r>
    </w:p>
    <w:p w:rsidR="001A5590" w:rsidRDefault="001A5590" w:rsidP="00571200">
      <w:pPr>
        <w:pStyle w:val="BodyText"/>
      </w:pPr>
      <w:r>
        <w:t xml:space="preserve">The mean difference in funding per HDR RTS EFTSL reported by the universities was $10,440 (min=-$1,135 (surplus), max=$38,851, median=$8,780) (see </w:t>
      </w:r>
      <w:r>
        <w:fldChar w:fldCharType="begin"/>
      </w:r>
      <w:r>
        <w:instrText xml:space="preserve"> REF _Ref294791802 \r \h </w:instrText>
      </w:r>
      <w:r>
        <w:fldChar w:fldCharType="separate"/>
      </w:r>
      <w:r w:rsidR="00A01A35">
        <w:t>Chart 5.13</w:t>
      </w:r>
      <w:r>
        <w:fldChar w:fldCharType="end"/>
      </w:r>
      <w:r>
        <w:t xml:space="preserve">).  </w:t>
      </w:r>
    </w:p>
    <w:p w:rsidR="001A5590" w:rsidRDefault="001A5590" w:rsidP="00571200">
      <w:pPr>
        <w:pStyle w:val="CaptionChart"/>
        <w:numPr>
          <w:ilvl w:val="7"/>
          <w:numId w:val="21"/>
        </w:numPr>
        <w:ind w:left="0" w:firstLine="0"/>
      </w:pPr>
      <w:bookmarkStart w:id="108" w:name="_Ref294791802"/>
      <w:bookmarkStart w:id="109" w:name="_Toc298324995"/>
      <w:r>
        <w:t>: Full research training cost per HDR RTS EFTSL broken into the funding gap per RTS EFTSL and funding received per RTS EFTSL</w:t>
      </w:r>
      <w:bookmarkEnd w:id="108"/>
      <w:bookmarkEnd w:id="109"/>
    </w:p>
    <w:p w:rsidR="001A5590" w:rsidRDefault="00DD6724" w:rsidP="00757A8E">
      <w:pPr>
        <w:pStyle w:val="Figure"/>
      </w:pPr>
      <w:r>
        <w:drawing>
          <wp:inline distT="0" distB="0" distL="0" distR="0">
            <wp:extent cx="5219700" cy="2962275"/>
            <wp:effectExtent l="0" t="0" r="0" b="9525"/>
            <wp:docPr id="14" name="Picture 17" descr="Chart 5.13: Full research training cost per HDR RTS EFTSL broken into the funding gap per RTS EFTSL and funding received per RTS EFT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art 5.13: Full research training cost per HDR RTS EFTSL broken into the funding gap per RTS EFTSL and funding received per RTS EFTS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19700" cy="2962275"/>
                    </a:xfrm>
                    <a:prstGeom prst="rect">
                      <a:avLst/>
                    </a:prstGeom>
                    <a:noFill/>
                    <a:ln>
                      <a:noFill/>
                    </a:ln>
                  </pic:spPr>
                </pic:pic>
              </a:graphicData>
            </a:graphic>
          </wp:inline>
        </w:drawing>
      </w:r>
    </w:p>
    <w:p w:rsidR="001A5590" w:rsidRDefault="001A5590" w:rsidP="00571200">
      <w:pPr>
        <w:pStyle w:val="BodyText"/>
      </w:pPr>
      <w:r>
        <w:t xml:space="preserve">The mean reported funding gap per HDR RTS EFTSL as a percentage of reported research training costs per RTS EFTSL was 27%—therefore, on average, universities are providing 27% of the full costs of research training per HDR RTS EFTSL from sources other than the RTS.  </w:t>
      </w:r>
    </w:p>
    <w:p w:rsidR="001A5590" w:rsidRPr="001B59B4" w:rsidRDefault="001A5590" w:rsidP="00927561">
      <w:pPr>
        <w:pStyle w:val="BodyText"/>
      </w:pPr>
      <w:r>
        <w:t xml:space="preserve">As illustrated in </w:t>
      </w:r>
      <w:r>
        <w:fldChar w:fldCharType="begin"/>
      </w:r>
      <w:r>
        <w:instrText xml:space="preserve"> REF _Ref294791802 \r \h </w:instrText>
      </w:r>
      <w:r>
        <w:fldChar w:fldCharType="separate"/>
      </w:r>
      <w:r w:rsidR="00A01A35">
        <w:t>Chart 5.13</w:t>
      </w:r>
      <w:r>
        <w:fldChar w:fldCharType="end"/>
      </w:r>
      <w:r>
        <w:t xml:space="preserve"> and </w:t>
      </w:r>
      <w:r>
        <w:fldChar w:fldCharType="begin"/>
      </w:r>
      <w:r>
        <w:instrText xml:space="preserve"> REF _Ref294702989 \r \h </w:instrText>
      </w:r>
      <w:r>
        <w:fldChar w:fldCharType="separate"/>
      </w:r>
      <w:r w:rsidR="00A01A35">
        <w:t>Chart 5.14</w:t>
      </w:r>
      <w:r>
        <w:fldChar w:fldCharType="end"/>
      </w:r>
      <w:r>
        <w:t xml:space="preserve">, the reported difference in funding per HDR RTS EFTSL exceeded the funding received per HDR RTS EFTSL for universities 4, 12, 27 and 35.  At the </w:t>
      </w:r>
      <w:r w:rsidRPr="001B59B4">
        <w:t>high end, University 12’s data suggest that it contributed 69% of research training costs for RTS students.</w:t>
      </w:r>
    </w:p>
    <w:p w:rsidR="001A5590" w:rsidRPr="00C23BBB" w:rsidRDefault="001A5590" w:rsidP="00C23BBB">
      <w:pPr>
        <w:pStyle w:val="BodyText"/>
      </w:pPr>
      <w:r w:rsidRPr="00C23BBB">
        <w:t xml:space="preserve">The reasons behind the differences in the reported gap in funding </w:t>
      </w:r>
      <w:r>
        <w:t>across</w:t>
      </w:r>
      <w:r w:rsidRPr="00C23BBB">
        <w:t xml:space="preserve"> universities are not clear but are likely to be linked to the cost drivers discussed </w:t>
      </w:r>
      <w:r>
        <w:t>above</w:t>
      </w:r>
      <w:r w:rsidRPr="00C23BBB">
        <w:t xml:space="preserve"> (e.g. differences in the discipline mix, a university’s size, the number of RTS students or a university’s research intensity).  For instance, increasing university research intensity as measured by the HDR EFTSL per university and the ratio of HDR candidates to total student enrolments appears to be correlated with a decrease in the reported funding gap as a percentage of total RTS HDR </w:t>
      </w:r>
      <w:r w:rsidRPr="00C23BBB">
        <w:lastRenderedPageBreak/>
        <w:t xml:space="preserve">student </w:t>
      </w:r>
      <w:r>
        <w:t>costs (the correlation coefficients are</w:t>
      </w:r>
      <w:r w:rsidRPr="00C23BBB">
        <w:t xml:space="preserve"> </w:t>
      </w:r>
      <w:r>
        <w:t xml:space="preserve">-0.33 and -0.32, respectively).  </w:t>
      </w:r>
      <w:r w:rsidRPr="00C23BBB">
        <w:t xml:space="preserve">In addition, the correlation for RTS EFTSL and the funding gap as a percentage of total RTS HDR student costs is -0.29.  </w:t>
      </w:r>
    </w:p>
    <w:p w:rsidR="001A5590" w:rsidRDefault="001A5590" w:rsidP="00DA2CF8">
      <w:pPr>
        <w:pStyle w:val="CaptionChart"/>
        <w:numPr>
          <w:ilvl w:val="7"/>
          <w:numId w:val="21"/>
        </w:numPr>
        <w:ind w:left="0" w:firstLine="0"/>
      </w:pPr>
      <w:bookmarkStart w:id="110" w:name="_Toc298324996"/>
      <w:bookmarkStart w:id="111" w:name="_Ref294702989"/>
      <w:r w:rsidRPr="00C23BBB">
        <w:t xml:space="preserve">: RTS funding received </w:t>
      </w:r>
      <w:r>
        <w:t>&amp;</w:t>
      </w:r>
      <w:r w:rsidRPr="00C23BBB">
        <w:t xml:space="preserve"> funding gaps as a </w:t>
      </w:r>
      <w:r>
        <w:t>%</w:t>
      </w:r>
      <w:r w:rsidRPr="00C23BBB">
        <w:t xml:space="preserve"> of cost of research</w:t>
      </w:r>
      <w:r>
        <w:t xml:space="preserve"> training</w:t>
      </w:r>
      <w:bookmarkEnd w:id="110"/>
      <w:r>
        <w:t xml:space="preserve"> </w:t>
      </w:r>
      <w:bookmarkEnd w:id="111"/>
      <w:r>
        <w:t xml:space="preserve">  </w:t>
      </w:r>
    </w:p>
    <w:p w:rsidR="001A5590" w:rsidRDefault="00DD6724" w:rsidP="00757A8E">
      <w:pPr>
        <w:pStyle w:val="Figure"/>
      </w:pPr>
      <w:r>
        <w:drawing>
          <wp:inline distT="0" distB="0" distL="0" distR="0">
            <wp:extent cx="5133975" cy="2762250"/>
            <wp:effectExtent l="0" t="0" r="9525" b="0"/>
            <wp:docPr id="15" name="Picture 18" descr="Chart 5.14: RTS funding received &amp; funding gaps as a % of cost of research trai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art 5.14: RTS funding received &amp; funding gaps as a % of cost of research training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33975" cy="2762250"/>
                    </a:xfrm>
                    <a:prstGeom prst="rect">
                      <a:avLst/>
                    </a:prstGeom>
                    <a:noFill/>
                    <a:ln>
                      <a:noFill/>
                    </a:ln>
                  </pic:spPr>
                </pic:pic>
              </a:graphicData>
            </a:graphic>
          </wp:inline>
        </w:drawing>
      </w:r>
    </w:p>
    <w:p w:rsidR="001A5590" w:rsidRDefault="001A5590" w:rsidP="00B14920">
      <w:pPr>
        <w:pStyle w:val="BodyText"/>
      </w:pPr>
      <w:r>
        <w:t>In order to reach the average cost of research training, the survey data suggest that on average RTS funding would need to be increased by 51%.  However, the range is wide, with one university’s data showing that at the minimum RTS funding could be decreased by 4% and at the maximum funding needs to be increased by 224%.  The median of the sample suggests an increase in RTS funding of 34% is required to fill the gap.</w:t>
      </w:r>
    </w:p>
    <w:p w:rsidR="001A5590" w:rsidRDefault="001A5590" w:rsidP="001A5590">
      <w:pPr>
        <w:pStyle w:val="Heading2"/>
        <w:numPr>
          <w:ilvl w:val="1"/>
          <w:numId w:val="21"/>
        </w:numPr>
        <w:tabs>
          <w:tab w:val="clear" w:pos="709"/>
        </w:tabs>
        <w:ind w:left="851" w:hanging="851"/>
      </w:pPr>
      <w:bookmarkStart w:id="112" w:name="_Toc295915505"/>
      <w:bookmarkStart w:id="113" w:name="_Ref296523843"/>
      <w:bookmarkStart w:id="114" w:name="_Toc298324968"/>
      <w:r>
        <w:t>Regression analysis</w:t>
      </w:r>
      <w:bookmarkEnd w:id="112"/>
      <w:bookmarkEnd w:id="113"/>
      <w:bookmarkEnd w:id="114"/>
    </w:p>
    <w:p w:rsidR="001A5590" w:rsidRDefault="001A5590" w:rsidP="00BE45B4">
      <w:pPr>
        <w:pStyle w:val="BodyText"/>
      </w:pPr>
      <w:r>
        <w:t xml:space="preserve">The analysis presented in this report employs a multiple linear regression model to estimate the relationship between the average cost of research training per RTS HDR EFTSL and a number of cost drivers which are, </w:t>
      </w:r>
      <w:r w:rsidRPr="002939B3">
        <w:rPr>
          <w:rStyle w:val="italicChar"/>
        </w:rPr>
        <w:t>a priori</w:t>
      </w:r>
      <w:r>
        <w:t>, expected to have a relationship.  The purpose of this analysis is to identify which cost drivers may be causing the variation in research training costs across higher education institutions.  The previous section considered potential drivers in isolation and it was difficult to identify significant relationships.  This may be because other forces overshadow individual effects.  Therefore, a multivariate approach may help to identify the separate effects of individual drivers.</w:t>
      </w:r>
    </w:p>
    <w:p w:rsidR="001A5590" w:rsidRDefault="001A5590" w:rsidP="00BE45B4">
      <w:pPr>
        <w:pStyle w:val="BodyText"/>
      </w:pPr>
      <w:r>
        <w:t>The model incorporates factors including the location of universities (metropolitan versus non-metropolitan), university group (Group of Eight member), total size of the university (number of students), proportion enrolled as part-time versus full-time, proportion enrolled in Masters programs versus PhD programs, staff-student ratios, proportion of HDR candidates funded through RTS, and discipline mix.  The individual significance of these variables is determined through specification tests (t-tests of individual significance and goodness-of-fit tests of model significance).</w:t>
      </w:r>
    </w:p>
    <w:p w:rsidR="001A5590" w:rsidRDefault="001A5590" w:rsidP="00BE45B4">
      <w:pPr>
        <w:pStyle w:val="Heading3"/>
        <w:numPr>
          <w:ilvl w:val="2"/>
          <w:numId w:val="21"/>
        </w:numPr>
      </w:pPr>
      <w:r>
        <w:lastRenderedPageBreak/>
        <w:t>Methodology</w:t>
      </w:r>
    </w:p>
    <w:p w:rsidR="001A5590" w:rsidRDefault="001A5590" w:rsidP="00BE45B4">
      <w:pPr>
        <w:pStyle w:val="Heading2Appendix"/>
      </w:pPr>
      <w:r>
        <w:t>Econometric equation</w:t>
      </w:r>
    </w:p>
    <w:p w:rsidR="001A5590" w:rsidRDefault="001A5590" w:rsidP="00BE45B4">
      <w:pPr>
        <w:pStyle w:val="BodyText"/>
      </w:pPr>
      <w:r>
        <w:t xml:space="preserve">The </w:t>
      </w:r>
      <w:r w:rsidRPr="00E35E11">
        <w:t>econometric equation</w:t>
      </w:r>
      <w:r>
        <w:t xml:space="preserve"> for average cost of research training per RTS HDR candidate is:</w:t>
      </w:r>
    </w:p>
    <w:p w:rsidR="001A5590" w:rsidRDefault="001A5590" w:rsidP="00BE45B4">
      <w:pPr>
        <w:pStyle w:val="Equation"/>
      </w:pPr>
      <w:r>
        <w:t>Cost = α + ∑</w:t>
      </w:r>
      <w:bookmarkStart w:id="115" w:name="OLE_LINK1"/>
      <w:bookmarkStart w:id="116" w:name="OLE_LINK2"/>
      <w:r>
        <w:t>β</w:t>
      </w:r>
      <w:r>
        <w:rPr>
          <w:vertAlign w:val="subscript"/>
        </w:rPr>
        <w:t>i</w:t>
      </w:r>
      <w:bookmarkEnd w:id="115"/>
      <w:bookmarkEnd w:id="116"/>
      <w:r>
        <w:t>X</w:t>
      </w:r>
      <w:r>
        <w:rPr>
          <w:vertAlign w:val="subscript"/>
        </w:rPr>
        <w:t>i</w:t>
      </w:r>
      <w:r>
        <w:t xml:space="preserve"> + </w:t>
      </w:r>
      <w:r w:rsidRPr="008B4CD9">
        <w:t>ε</w:t>
      </w:r>
    </w:p>
    <w:p w:rsidR="001A5590" w:rsidRDefault="001A5590" w:rsidP="00BE45B4">
      <w:pPr>
        <w:pStyle w:val="BodyText"/>
      </w:pPr>
      <w:r>
        <w:t>Where Cost is the average cost of research training per RTS HDR EFTSL (by university), and the explanatory variables (</w:t>
      </w:r>
      <w:r w:rsidRPr="002939B3">
        <w:rPr>
          <w:rStyle w:val="italicChar"/>
        </w:rPr>
        <w:t>i</w:t>
      </w:r>
      <w:r>
        <w:t xml:space="preserve">) </w:t>
      </w:r>
      <w:r w:rsidRPr="005A5E52">
        <w:t>include</w:t>
      </w:r>
      <w:r>
        <w:t xml:space="preserve"> a constant (α), location, Go8, IRU, HDR, part-time, type, students, RTS, staff, internal, campus, an outlier dummy, with (β) a measure of how much Cost changes for a 1 unit change in each of the explanatory variables and ε is an error term capturing the unexplained part of Cost.</w:t>
      </w:r>
      <w:r w:rsidRPr="00D65F13">
        <w:rPr>
          <w:rStyle w:val="StyleFootnoteReference"/>
          <w:sz w:val="18"/>
        </w:rPr>
        <w:footnoteReference w:id="8"/>
      </w:r>
      <w:r>
        <w:t xml:space="preserve">  The definition of each variable is provided in </w:t>
      </w:r>
      <w:r>
        <w:fldChar w:fldCharType="begin"/>
      </w:r>
      <w:r>
        <w:instrText xml:space="preserve"> REF _Ref296522338 \r \h </w:instrText>
      </w:r>
      <w:r>
        <w:fldChar w:fldCharType="separate"/>
      </w:r>
      <w:r w:rsidR="00A01A35">
        <w:t>Table 5.3</w:t>
      </w:r>
      <w:r>
        <w:fldChar w:fldCharType="end"/>
      </w:r>
      <w:r>
        <w:t xml:space="preserve">. </w:t>
      </w:r>
    </w:p>
    <w:p w:rsidR="001A5590" w:rsidRDefault="001A5590" w:rsidP="00BE45B4">
      <w:pPr>
        <w:pStyle w:val="BodyText"/>
      </w:pPr>
      <w:r>
        <w:t xml:space="preserve">The model was estimated using the data provided by 31 universities as outlined in Section </w:t>
      </w:r>
      <w:r>
        <w:fldChar w:fldCharType="begin"/>
      </w:r>
      <w:r>
        <w:instrText xml:space="preserve"> REF _Ref294780625 \r \h </w:instrText>
      </w:r>
      <w:r>
        <w:fldChar w:fldCharType="separate"/>
      </w:r>
      <w:r w:rsidR="00A01A35">
        <w:t>4.2</w:t>
      </w:r>
      <w:r>
        <w:fldChar w:fldCharType="end"/>
      </w:r>
      <w:r>
        <w:t>.</w:t>
      </w:r>
    </w:p>
    <w:p w:rsidR="001A5590" w:rsidRDefault="001A5590" w:rsidP="00BE45B4">
      <w:pPr>
        <w:pStyle w:val="BodyText"/>
      </w:pPr>
      <w:r>
        <w:fldChar w:fldCharType="begin"/>
      </w:r>
      <w:r>
        <w:instrText xml:space="preserve"> REF _Ref296522338 \r \h </w:instrText>
      </w:r>
      <w:r>
        <w:fldChar w:fldCharType="separate"/>
      </w:r>
      <w:r w:rsidR="00A01A35">
        <w:t>Table 5.3</w:t>
      </w:r>
      <w:r>
        <w:fldChar w:fldCharType="end"/>
      </w:r>
      <w:r>
        <w:t xml:space="preserve"> summarises the expected signs of the coefficients on each of the explanatory variables based on </w:t>
      </w:r>
      <w:r w:rsidRPr="002939B3">
        <w:rPr>
          <w:rStyle w:val="italicChar"/>
        </w:rPr>
        <w:t>a priori</w:t>
      </w:r>
      <w:r>
        <w:t xml:space="preserve"> assumptions. </w:t>
      </w:r>
    </w:p>
    <w:p w:rsidR="001A5590" w:rsidRDefault="001A5590" w:rsidP="00BE45B4">
      <w:pPr>
        <w:pStyle w:val="BodyText"/>
      </w:pPr>
    </w:p>
    <w:p w:rsidR="001A5590" w:rsidRDefault="001A5590" w:rsidP="00BE45B4">
      <w:pPr>
        <w:pStyle w:val="BodyText"/>
      </w:pPr>
    </w:p>
    <w:p w:rsidR="001A5590" w:rsidRDefault="001A5590" w:rsidP="00BE45B4">
      <w:pPr>
        <w:pStyle w:val="BodyText"/>
      </w:pPr>
    </w:p>
    <w:p w:rsidR="001A5590" w:rsidRDefault="001A5590" w:rsidP="00BE45B4">
      <w:pPr>
        <w:pStyle w:val="BodyText"/>
      </w:pPr>
    </w:p>
    <w:p w:rsidR="001A5590" w:rsidRDefault="001A5590" w:rsidP="00BE45B4">
      <w:pPr>
        <w:pStyle w:val="BodyText"/>
      </w:pPr>
    </w:p>
    <w:p w:rsidR="001A5590" w:rsidRDefault="001A5590" w:rsidP="00BE45B4">
      <w:pPr>
        <w:pStyle w:val="BodyText"/>
      </w:pPr>
    </w:p>
    <w:p w:rsidR="001A5590" w:rsidRDefault="001A5590" w:rsidP="00BE45B4">
      <w:pPr>
        <w:pStyle w:val="BodyText"/>
      </w:pPr>
    </w:p>
    <w:p w:rsidR="001A5590" w:rsidRDefault="001A5590" w:rsidP="00BE45B4">
      <w:pPr>
        <w:pStyle w:val="BodyText"/>
      </w:pPr>
    </w:p>
    <w:p w:rsidR="001A5590" w:rsidRDefault="001A5590" w:rsidP="00BE45B4">
      <w:pPr>
        <w:pStyle w:val="BodyText"/>
      </w:pPr>
    </w:p>
    <w:p w:rsidR="001A5590" w:rsidRDefault="001A5590" w:rsidP="00BE45B4">
      <w:pPr>
        <w:pStyle w:val="BodyText"/>
      </w:pPr>
    </w:p>
    <w:p w:rsidR="001A5590" w:rsidRDefault="001A5590" w:rsidP="00BE45B4">
      <w:pPr>
        <w:pStyle w:val="BodyText"/>
      </w:pPr>
    </w:p>
    <w:p w:rsidR="001A5590" w:rsidRDefault="001A5590" w:rsidP="00BE45B4">
      <w:pPr>
        <w:pStyle w:val="CaptionTable"/>
        <w:numPr>
          <w:ilvl w:val="6"/>
          <w:numId w:val="21"/>
        </w:numPr>
        <w:ind w:left="0" w:firstLine="0"/>
      </w:pPr>
      <w:bookmarkStart w:id="117" w:name="_Toc295897470"/>
      <w:bookmarkStart w:id="118" w:name="_Ref296522338"/>
      <w:bookmarkStart w:id="119" w:name="_Ref296585855"/>
      <w:bookmarkStart w:id="120" w:name="_Ref297043315"/>
      <w:bookmarkStart w:id="121" w:name="_Toc298325000"/>
      <w:r>
        <w:lastRenderedPageBreak/>
        <w:t>: Model coefficients</w:t>
      </w:r>
      <w:bookmarkEnd w:id="117"/>
      <w:bookmarkEnd w:id="118"/>
      <w:bookmarkEnd w:id="119"/>
      <w:bookmarkEnd w:id="120"/>
      <w:bookmarkEnd w:id="121"/>
    </w:p>
    <w:tbl>
      <w:tblPr>
        <w:tblW w:w="8253" w:type="dxa"/>
        <w:jc w:val="center"/>
        <w:tblInd w:w="33" w:type="dxa"/>
        <w:tblBorders>
          <w:bottom w:val="single" w:sz="12" w:space="0" w:color="002776"/>
        </w:tblBorders>
        <w:tblLayout w:type="fixed"/>
        <w:tblLook w:val="00A0" w:firstRow="1" w:lastRow="0" w:firstColumn="1" w:lastColumn="0" w:noHBand="0" w:noVBand="0"/>
      </w:tblPr>
      <w:tblGrid>
        <w:gridCol w:w="1068"/>
        <w:gridCol w:w="1984"/>
        <w:gridCol w:w="1076"/>
        <w:gridCol w:w="4125"/>
      </w:tblGrid>
      <w:tr w:rsidR="001A5590" w:rsidTr="00BE45B4">
        <w:trPr>
          <w:cantSplit/>
          <w:jc w:val="center"/>
        </w:trPr>
        <w:tc>
          <w:tcPr>
            <w:tcW w:w="1068" w:type="dxa"/>
            <w:tcBorders>
              <w:top w:val="single" w:sz="12" w:space="0" w:color="002776"/>
              <w:left w:val="nil"/>
              <w:bottom w:val="single" w:sz="8" w:space="0" w:color="002776"/>
              <w:right w:val="nil"/>
            </w:tcBorders>
          </w:tcPr>
          <w:p w:rsidR="001A5590" w:rsidRDefault="001A5590" w:rsidP="00757A8E">
            <w:pPr>
              <w:pStyle w:val="TableHeadingLeft"/>
            </w:pPr>
            <w:r>
              <w:t>Variable</w:t>
            </w:r>
          </w:p>
        </w:tc>
        <w:tc>
          <w:tcPr>
            <w:tcW w:w="1984" w:type="dxa"/>
            <w:tcBorders>
              <w:top w:val="single" w:sz="12" w:space="0" w:color="002776"/>
              <w:left w:val="nil"/>
              <w:bottom w:val="single" w:sz="8" w:space="0" w:color="002776"/>
              <w:right w:val="nil"/>
            </w:tcBorders>
          </w:tcPr>
          <w:p w:rsidR="001A5590" w:rsidRDefault="001A5590" w:rsidP="00757A8E">
            <w:pPr>
              <w:pStyle w:val="TableHeadingLeft"/>
            </w:pPr>
            <w:r>
              <w:t>Description</w:t>
            </w:r>
          </w:p>
        </w:tc>
        <w:tc>
          <w:tcPr>
            <w:tcW w:w="1076" w:type="dxa"/>
            <w:tcBorders>
              <w:top w:val="single" w:sz="12" w:space="0" w:color="002776"/>
              <w:left w:val="nil"/>
              <w:bottom w:val="single" w:sz="8" w:space="0" w:color="002776"/>
              <w:right w:val="nil"/>
            </w:tcBorders>
          </w:tcPr>
          <w:p w:rsidR="001A5590" w:rsidRDefault="001A5590" w:rsidP="00757A8E">
            <w:pPr>
              <w:pStyle w:val="TableHeadingLeft"/>
            </w:pPr>
            <w:r>
              <w:t>Expected sign</w:t>
            </w:r>
          </w:p>
        </w:tc>
        <w:tc>
          <w:tcPr>
            <w:tcW w:w="4125" w:type="dxa"/>
            <w:tcBorders>
              <w:top w:val="single" w:sz="12" w:space="0" w:color="002776"/>
              <w:left w:val="nil"/>
              <w:bottom w:val="single" w:sz="8" w:space="0" w:color="002776"/>
              <w:right w:val="nil"/>
            </w:tcBorders>
          </w:tcPr>
          <w:p w:rsidR="001A5590" w:rsidRDefault="001A5590" w:rsidP="00757A8E">
            <w:pPr>
              <w:pStyle w:val="TableHeadingLeft"/>
            </w:pPr>
            <w:r>
              <w:t>Reasoning (all else equal)</w:t>
            </w:r>
          </w:p>
        </w:tc>
      </w:tr>
      <w:tr w:rsidR="001A5590" w:rsidTr="00BE45B4">
        <w:trPr>
          <w:cantSplit/>
          <w:jc w:val="center"/>
        </w:trPr>
        <w:tc>
          <w:tcPr>
            <w:tcW w:w="1068" w:type="dxa"/>
          </w:tcPr>
          <w:p w:rsidR="001A5590" w:rsidRDefault="001A5590" w:rsidP="00BE45B4">
            <w:pPr>
              <w:pStyle w:val="TabletextLeft"/>
            </w:pPr>
            <w:r>
              <w:t>Location</w:t>
            </w:r>
          </w:p>
        </w:tc>
        <w:tc>
          <w:tcPr>
            <w:tcW w:w="1984" w:type="dxa"/>
          </w:tcPr>
          <w:p w:rsidR="001A5590" w:rsidRDefault="001A5590" w:rsidP="00BE45B4">
            <w:pPr>
              <w:pStyle w:val="TabletextLeft"/>
            </w:pPr>
            <w:r>
              <w:t>Non-metropolitan=1</w:t>
            </w:r>
          </w:p>
        </w:tc>
        <w:tc>
          <w:tcPr>
            <w:tcW w:w="1076" w:type="dxa"/>
          </w:tcPr>
          <w:p w:rsidR="001A5590" w:rsidRDefault="001A5590" w:rsidP="00D65F13">
            <w:pPr>
              <w:pStyle w:val="TabletextCentre"/>
            </w:pPr>
            <w:r>
              <w:t>+</w:t>
            </w:r>
          </w:p>
        </w:tc>
        <w:tc>
          <w:tcPr>
            <w:tcW w:w="4125" w:type="dxa"/>
          </w:tcPr>
          <w:p w:rsidR="001A5590" w:rsidRPr="00757A8E" w:rsidRDefault="001A5590" w:rsidP="00757A8E">
            <w:pPr>
              <w:pStyle w:val="TabletextLeft"/>
            </w:pPr>
            <w:r w:rsidRPr="00757A8E">
              <w:t>Non-metropolitan universities have less access to resources and have higher transportation costs</w:t>
            </w:r>
          </w:p>
        </w:tc>
      </w:tr>
      <w:tr w:rsidR="001A5590" w:rsidTr="00BE45B4">
        <w:trPr>
          <w:cantSplit/>
          <w:jc w:val="center"/>
        </w:trPr>
        <w:tc>
          <w:tcPr>
            <w:tcW w:w="1068" w:type="dxa"/>
          </w:tcPr>
          <w:p w:rsidR="001A5590" w:rsidRDefault="001A5590" w:rsidP="00BE45B4">
            <w:pPr>
              <w:pStyle w:val="TabletextLeft"/>
            </w:pPr>
            <w:r>
              <w:t>Go8</w:t>
            </w:r>
          </w:p>
        </w:tc>
        <w:tc>
          <w:tcPr>
            <w:tcW w:w="1984" w:type="dxa"/>
          </w:tcPr>
          <w:p w:rsidR="001A5590" w:rsidRDefault="001A5590" w:rsidP="00BE45B4">
            <w:pPr>
              <w:pStyle w:val="TabletextLeft"/>
            </w:pPr>
            <w:r>
              <w:t>Group of Eight=1</w:t>
            </w:r>
          </w:p>
        </w:tc>
        <w:tc>
          <w:tcPr>
            <w:tcW w:w="1076" w:type="dxa"/>
          </w:tcPr>
          <w:p w:rsidR="001A5590" w:rsidRDefault="001A5590" w:rsidP="00D65F13">
            <w:pPr>
              <w:pStyle w:val="TabletextCentre"/>
            </w:pPr>
            <w:r>
              <w:t>+/-</w:t>
            </w:r>
          </w:p>
        </w:tc>
        <w:tc>
          <w:tcPr>
            <w:tcW w:w="4125" w:type="dxa"/>
          </w:tcPr>
          <w:p w:rsidR="001A5590" w:rsidRPr="00757A8E" w:rsidRDefault="001A5590" w:rsidP="00757A8E">
            <w:pPr>
              <w:pStyle w:val="TabletextLeft"/>
            </w:pPr>
            <w:r w:rsidRPr="00757A8E">
              <w:t>May be more research intensive than other groups, and retain more expensive staff, or specialise in high cost research and disciplines (medicine)</w:t>
            </w:r>
          </w:p>
        </w:tc>
      </w:tr>
      <w:tr w:rsidR="001A5590" w:rsidTr="00BE45B4">
        <w:trPr>
          <w:cantSplit/>
          <w:jc w:val="center"/>
        </w:trPr>
        <w:tc>
          <w:tcPr>
            <w:tcW w:w="1068" w:type="dxa"/>
          </w:tcPr>
          <w:p w:rsidR="001A5590" w:rsidRDefault="001A5590" w:rsidP="00BE45B4">
            <w:pPr>
              <w:pStyle w:val="TabletextLeft"/>
            </w:pPr>
            <w:r>
              <w:t>IRU</w:t>
            </w:r>
          </w:p>
        </w:tc>
        <w:tc>
          <w:tcPr>
            <w:tcW w:w="1984" w:type="dxa"/>
          </w:tcPr>
          <w:p w:rsidR="001A5590" w:rsidRDefault="001A5590" w:rsidP="00BE45B4">
            <w:pPr>
              <w:pStyle w:val="TabletextLeft"/>
            </w:pPr>
            <w:r>
              <w:t xml:space="preserve">Innovative </w:t>
            </w:r>
            <w:smartTag w:uri="urn:schemas-microsoft-com:office:smarttags" w:element="place">
              <w:smartTag w:uri="urn:schemas-microsoft-com:office:smarttags" w:element="place">
                <w:r>
                  <w:t>Research</w:t>
                </w:r>
              </w:smartTag>
              <w:r>
                <w:t xml:space="preserve"> </w:t>
              </w:r>
              <w:smartTag w:uri="urn:schemas-microsoft-com:office:smarttags" w:element="place">
                <w:r>
                  <w:t>University</w:t>
                </w:r>
              </w:smartTag>
            </w:smartTag>
            <w:r>
              <w:t>=1</w:t>
            </w:r>
          </w:p>
        </w:tc>
        <w:tc>
          <w:tcPr>
            <w:tcW w:w="1076" w:type="dxa"/>
          </w:tcPr>
          <w:p w:rsidR="001A5590" w:rsidRDefault="001A5590" w:rsidP="00D65F13">
            <w:pPr>
              <w:pStyle w:val="TabletextCentre"/>
            </w:pPr>
            <w:r>
              <w:t>+/-</w:t>
            </w:r>
          </w:p>
        </w:tc>
        <w:tc>
          <w:tcPr>
            <w:tcW w:w="4125" w:type="dxa"/>
          </w:tcPr>
          <w:p w:rsidR="001A5590" w:rsidRPr="00757A8E" w:rsidRDefault="001A5590" w:rsidP="00757A8E">
            <w:pPr>
              <w:pStyle w:val="TabletextLeft"/>
            </w:pPr>
            <w:r w:rsidRPr="00757A8E">
              <w:t>See Group of Eight</w:t>
            </w:r>
          </w:p>
        </w:tc>
      </w:tr>
      <w:tr w:rsidR="001A5590" w:rsidTr="00BE45B4">
        <w:trPr>
          <w:cantSplit/>
          <w:jc w:val="center"/>
        </w:trPr>
        <w:tc>
          <w:tcPr>
            <w:tcW w:w="1068" w:type="dxa"/>
          </w:tcPr>
          <w:p w:rsidR="001A5590" w:rsidRDefault="001A5590" w:rsidP="00BE45B4">
            <w:pPr>
              <w:pStyle w:val="TabletextLeft"/>
            </w:pPr>
            <w:r>
              <w:t>HDR</w:t>
            </w:r>
          </w:p>
        </w:tc>
        <w:tc>
          <w:tcPr>
            <w:tcW w:w="1984" w:type="dxa"/>
          </w:tcPr>
          <w:p w:rsidR="001A5590" w:rsidRDefault="001A5590" w:rsidP="00BE45B4">
            <w:pPr>
              <w:pStyle w:val="TabletextLeft"/>
            </w:pPr>
            <w:r>
              <w:t>HDR candidates / Total students</w:t>
            </w:r>
          </w:p>
        </w:tc>
        <w:tc>
          <w:tcPr>
            <w:tcW w:w="1076" w:type="dxa"/>
          </w:tcPr>
          <w:p w:rsidR="001A5590" w:rsidRDefault="001A5590" w:rsidP="00D65F13">
            <w:pPr>
              <w:pStyle w:val="TabletextCentre"/>
            </w:pPr>
            <w:r>
              <w:t>+/-</w:t>
            </w:r>
          </w:p>
        </w:tc>
        <w:tc>
          <w:tcPr>
            <w:tcW w:w="4125" w:type="dxa"/>
          </w:tcPr>
          <w:p w:rsidR="001A5590" w:rsidRPr="00757A8E" w:rsidRDefault="001A5590" w:rsidP="00757A8E">
            <w:pPr>
              <w:pStyle w:val="TabletextLeft"/>
            </w:pPr>
            <w:r w:rsidRPr="00757A8E">
              <w:t>See Group of Eight</w:t>
            </w:r>
          </w:p>
        </w:tc>
      </w:tr>
      <w:tr w:rsidR="001A5590" w:rsidTr="00BE45B4">
        <w:trPr>
          <w:cantSplit/>
          <w:jc w:val="center"/>
        </w:trPr>
        <w:tc>
          <w:tcPr>
            <w:tcW w:w="1068" w:type="dxa"/>
          </w:tcPr>
          <w:p w:rsidR="001A5590" w:rsidRPr="00D65F13" w:rsidRDefault="001A5590" w:rsidP="00D65F13">
            <w:pPr>
              <w:pStyle w:val="TabletextLeft"/>
            </w:pPr>
            <w:r w:rsidRPr="00D65F13">
              <w:t>Part-time</w:t>
            </w:r>
          </w:p>
        </w:tc>
        <w:tc>
          <w:tcPr>
            <w:tcW w:w="1984" w:type="dxa"/>
          </w:tcPr>
          <w:p w:rsidR="001A5590" w:rsidRDefault="001A5590" w:rsidP="00BE45B4">
            <w:pPr>
              <w:pStyle w:val="TabletextLeft"/>
            </w:pPr>
            <w:r>
              <w:t>Part-time / Full-time RTS candidates</w:t>
            </w:r>
          </w:p>
        </w:tc>
        <w:tc>
          <w:tcPr>
            <w:tcW w:w="1076" w:type="dxa"/>
          </w:tcPr>
          <w:p w:rsidR="001A5590" w:rsidRDefault="001A5590" w:rsidP="00D65F13">
            <w:pPr>
              <w:pStyle w:val="TabletextCentre"/>
            </w:pPr>
            <w:r>
              <w:t>+/-</w:t>
            </w:r>
          </w:p>
        </w:tc>
        <w:tc>
          <w:tcPr>
            <w:tcW w:w="4125" w:type="dxa"/>
          </w:tcPr>
          <w:p w:rsidR="001A5590" w:rsidRPr="00757A8E" w:rsidRDefault="001A5590" w:rsidP="00757A8E">
            <w:pPr>
              <w:pStyle w:val="TabletextLeft"/>
            </w:pPr>
            <w:r w:rsidRPr="00757A8E">
              <w:t xml:space="preserve">Part-time and full-time students are likely to have the same fixed costs, but different variable costs, resulting in higher average costs for part-time students (when calculated per EFTSL).  </w:t>
            </w:r>
          </w:p>
        </w:tc>
      </w:tr>
      <w:tr w:rsidR="001A5590" w:rsidTr="00BE45B4">
        <w:trPr>
          <w:cantSplit/>
          <w:jc w:val="center"/>
        </w:trPr>
        <w:tc>
          <w:tcPr>
            <w:tcW w:w="1068" w:type="dxa"/>
          </w:tcPr>
          <w:p w:rsidR="001A5590" w:rsidRDefault="001A5590" w:rsidP="00BE45B4">
            <w:pPr>
              <w:pStyle w:val="TabletextLeft"/>
            </w:pPr>
            <w:r>
              <w:t>Type</w:t>
            </w:r>
          </w:p>
        </w:tc>
        <w:tc>
          <w:tcPr>
            <w:tcW w:w="1984" w:type="dxa"/>
          </w:tcPr>
          <w:p w:rsidR="001A5590" w:rsidRDefault="001A5590" w:rsidP="00BE45B4">
            <w:pPr>
              <w:pStyle w:val="TabletextLeft"/>
            </w:pPr>
            <w:r>
              <w:t>Masters / Doctorate RTS candidates</w:t>
            </w:r>
          </w:p>
        </w:tc>
        <w:tc>
          <w:tcPr>
            <w:tcW w:w="1076" w:type="dxa"/>
          </w:tcPr>
          <w:p w:rsidR="001A5590" w:rsidRDefault="001A5590" w:rsidP="00D65F13">
            <w:pPr>
              <w:pStyle w:val="TabletextCentre"/>
            </w:pPr>
            <w:r>
              <w:t>-</w:t>
            </w:r>
          </w:p>
        </w:tc>
        <w:tc>
          <w:tcPr>
            <w:tcW w:w="4125" w:type="dxa"/>
          </w:tcPr>
          <w:p w:rsidR="001A5590" w:rsidRPr="00757A8E" w:rsidRDefault="001A5590" w:rsidP="00757A8E">
            <w:pPr>
              <w:pStyle w:val="TabletextLeft"/>
            </w:pPr>
            <w:r w:rsidRPr="00757A8E">
              <w:t>Master degree HDR candidates use resources less intensively than Doctorate degree HDR candidates</w:t>
            </w:r>
          </w:p>
        </w:tc>
      </w:tr>
      <w:tr w:rsidR="001A5590" w:rsidTr="00BE45B4">
        <w:trPr>
          <w:cantSplit/>
          <w:jc w:val="center"/>
        </w:trPr>
        <w:tc>
          <w:tcPr>
            <w:tcW w:w="1068" w:type="dxa"/>
          </w:tcPr>
          <w:p w:rsidR="001A5590" w:rsidRDefault="001A5590" w:rsidP="00BE45B4">
            <w:pPr>
              <w:pStyle w:val="TabletextLeft"/>
            </w:pPr>
            <w:r>
              <w:t>Students</w:t>
            </w:r>
          </w:p>
        </w:tc>
        <w:tc>
          <w:tcPr>
            <w:tcW w:w="1984" w:type="dxa"/>
          </w:tcPr>
          <w:p w:rsidR="001A5590" w:rsidRDefault="001A5590" w:rsidP="00BE45B4">
            <w:pPr>
              <w:pStyle w:val="TabletextLeft"/>
            </w:pPr>
            <w:r>
              <w:t>Number of students enrolled</w:t>
            </w:r>
          </w:p>
        </w:tc>
        <w:tc>
          <w:tcPr>
            <w:tcW w:w="1076" w:type="dxa"/>
          </w:tcPr>
          <w:p w:rsidR="001A5590" w:rsidRDefault="001A5590" w:rsidP="00D65F13">
            <w:pPr>
              <w:pStyle w:val="TabletextCentre"/>
            </w:pPr>
            <w:r>
              <w:t>+/-</w:t>
            </w:r>
          </w:p>
        </w:tc>
        <w:tc>
          <w:tcPr>
            <w:tcW w:w="4125" w:type="dxa"/>
          </w:tcPr>
          <w:p w:rsidR="001A5590" w:rsidRPr="00757A8E" w:rsidRDefault="001A5590" w:rsidP="00757A8E">
            <w:pPr>
              <w:pStyle w:val="TabletextLeft"/>
            </w:pPr>
            <w:r w:rsidRPr="00757A8E">
              <w:t>Larger universities experience economies of scale and scope but are required to provide more services and will be adversely affected by a more widely dispersed student body</w:t>
            </w:r>
          </w:p>
        </w:tc>
      </w:tr>
      <w:tr w:rsidR="001A5590" w:rsidTr="00BE45B4">
        <w:trPr>
          <w:cantSplit/>
          <w:jc w:val="center"/>
        </w:trPr>
        <w:tc>
          <w:tcPr>
            <w:tcW w:w="1068" w:type="dxa"/>
          </w:tcPr>
          <w:p w:rsidR="001A5590" w:rsidRPr="00D65F13" w:rsidRDefault="001A5590" w:rsidP="00D65F13">
            <w:pPr>
              <w:pStyle w:val="TabletextLeft"/>
            </w:pPr>
            <w:r w:rsidRPr="00D65F13">
              <w:t>RTS</w:t>
            </w:r>
          </w:p>
        </w:tc>
        <w:tc>
          <w:tcPr>
            <w:tcW w:w="1984" w:type="dxa"/>
          </w:tcPr>
          <w:p w:rsidR="001A5590" w:rsidRPr="00D65F13" w:rsidRDefault="001A5590" w:rsidP="00D65F13">
            <w:pPr>
              <w:pStyle w:val="TabletextLeft"/>
            </w:pPr>
            <w:r w:rsidRPr="00D65F13">
              <w:t>RTS candidates / HDR candidates</w:t>
            </w:r>
          </w:p>
        </w:tc>
        <w:tc>
          <w:tcPr>
            <w:tcW w:w="1076" w:type="dxa"/>
          </w:tcPr>
          <w:p w:rsidR="001A5590" w:rsidRPr="00204FBE" w:rsidRDefault="001A5590" w:rsidP="00D65F13">
            <w:pPr>
              <w:pStyle w:val="TabletextCentre"/>
            </w:pPr>
            <w:r w:rsidRPr="00B042CC">
              <w:t>+/-</w:t>
            </w:r>
          </w:p>
        </w:tc>
        <w:tc>
          <w:tcPr>
            <w:tcW w:w="4125" w:type="dxa"/>
          </w:tcPr>
          <w:p w:rsidR="001A5590" w:rsidRPr="00757A8E" w:rsidRDefault="001A5590" w:rsidP="00757A8E">
            <w:pPr>
              <w:pStyle w:val="TabletextLeft"/>
              <w:rPr>
                <w:highlight w:val="yellow"/>
              </w:rPr>
            </w:pPr>
            <w:r w:rsidRPr="00757A8E">
              <w:t>Higher proportion of RTS candidates may limit the scope for cross-subsidisation from international full-fee paying students.  However, universities with a higher proportion of international HDR candidates may also provide research training in more costly disciplines.</w:t>
            </w:r>
          </w:p>
        </w:tc>
      </w:tr>
      <w:tr w:rsidR="001A5590" w:rsidTr="00BE45B4">
        <w:trPr>
          <w:cantSplit/>
          <w:jc w:val="center"/>
        </w:trPr>
        <w:tc>
          <w:tcPr>
            <w:tcW w:w="1068" w:type="dxa"/>
          </w:tcPr>
          <w:p w:rsidR="001A5590" w:rsidRDefault="001A5590" w:rsidP="00BE45B4">
            <w:pPr>
              <w:pStyle w:val="TabletextLeft"/>
            </w:pPr>
            <w:r>
              <w:t>Staff</w:t>
            </w:r>
          </w:p>
        </w:tc>
        <w:tc>
          <w:tcPr>
            <w:tcW w:w="1984" w:type="dxa"/>
          </w:tcPr>
          <w:p w:rsidR="001A5590" w:rsidRDefault="001A5590" w:rsidP="00BE45B4">
            <w:pPr>
              <w:pStyle w:val="TabletextLeft"/>
            </w:pPr>
            <w:r>
              <w:t>Research supervising staff / research students</w:t>
            </w:r>
          </w:p>
        </w:tc>
        <w:tc>
          <w:tcPr>
            <w:tcW w:w="1076" w:type="dxa"/>
          </w:tcPr>
          <w:p w:rsidR="001A5590" w:rsidRDefault="001A5590" w:rsidP="00D65F13">
            <w:pPr>
              <w:pStyle w:val="TabletextCentre"/>
            </w:pPr>
            <w:r>
              <w:t>+</w:t>
            </w:r>
          </w:p>
        </w:tc>
        <w:tc>
          <w:tcPr>
            <w:tcW w:w="4125" w:type="dxa"/>
          </w:tcPr>
          <w:p w:rsidR="001A5590" w:rsidRPr="00757A8E" w:rsidRDefault="001A5590" w:rsidP="00757A8E">
            <w:pPr>
              <w:pStyle w:val="TabletextLeft"/>
            </w:pPr>
            <w:r w:rsidRPr="00757A8E">
              <w:t>Holding the number of research students fixed, more research supervising staff will result in higher salary costs per student</w:t>
            </w:r>
          </w:p>
        </w:tc>
      </w:tr>
      <w:tr w:rsidR="001A5590" w:rsidTr="00BE45B4">
        <w:trPr>
          <w:cantSplit/>
          <w:jc w:val="center"/>
        </w:trPr>
        <w:tc>
          <w:tcPr>
            <w:tcW w:w="1068" w:type="dxa"/>
          </w:tcPr>
          <w:p w:rsidR="001A5590" w:rsidRDefault="001A5590" w:rsidP="00BE45B4">
            <w:pPr>
              <w:pStyle w:val="TabletextLeft"/>
            </w:pPr>
            <w:r>
              <w:t>Internal</w:t>
            </w:r>
          </w:p>
        </w:tc>
        <w:tc>
          <w:tcPr>
            <w:tcW w:w="1984" w:type="dxa"/>
          </w:tcPr>
          <w:p w:rsidR="001A5590" w:rsidRDefault="001A5590" w:rsidP="00BE45B4">
            <w:pPr>
              <w:pStyle w:val="TabletextLeft"/>
            </w:pPr>
            <w:r>
              <w:t>Internal / External students</w:t>
            </w:r>
          </w:p>
        </w:tc>
        <w:tc>
          <w:tcPr>
            <w:tcW w:w="1076" w:type="dxa"/>
          </w:tcPr>
          <w:p w:rsidR="001A5590" w:rsidRDefault="001A5590" w:rsidP="00D65F13">
            <w:pPr>
              <w:pStyle w:val="TabletextCentre"/>
            </w:pPr>
            <w:r>
              <w:t>+</w:t>
            </w:r>
          </w:p>
        </w:tc>
        <w:tc>
          <w:tcPr>
            <w:tcW w:w="4125" w:type="dxa"/>
          </w:tcPr>
          <w:p w:rsidR="001A5590" w:rsidRPr="00757A8E" w:rsidRDefault="001A5590" w:rsidP="00757A8E">
            <w:pPr>
              <w:pStyle w:val="TabletextLeft"/>
            </w:pPr>
            <w:r w:rsidRPr="00757A8E">
              <w:t>Internal students require more resources to be provided than external students, increasing the provision of services, infrastructure, etc and thus costs</w:t>
            </w:r>
          </w:p>
        </w:tc>
      </w:tr>
      <w:tr w:rsidR="001A5590" w:rsidTr="00BE45B4">
        <w:trPr>
          <w:cantSplit/>
          <w:jc w:val="center"/>
        </w:trPr>
        <w:tc>
          <w:tcPr>
            <w:tcW w:w="1068" w:type="dxa"/>
            <w:tcBorders>
              <w:bottom w:val="single" w:sz="12" w:space="0" w:color="002776"/>
            </w:tcBorders>
          </w:tcPr>
          <w:p w:rsidR="001A5590" w:rsidRDefault="001A5590" w:rsidP="00BE45B4">
            <w:pPr>
              <w:pStyle w:val="TabletextLeft"/>
            </w:pPr>
            <w:r>
              <w:t>Campus</w:t>
            </w:r>
          </w:p>
        </w:tc>
        <w:tc>
          <w:tcPr>
            <w:tcW w:w="1984" w:type="dxa"/>
            <w:tcBorders>
              <w:bottom w:val="single" w:sz="12" w:space="0" w:color="002776"/>
            </w:tcBorders>
          </w:tcPr>
          <w:p w:rsidR="001A5590" w:rsidRDefault="001A5590" w:rsidP="00BE45B4">
            <w:pPr>
              <w:pStyle w:val="TabletextLeft"/>
            </w:pPr>
            <w:r>
              <w:t>Number of campuses</w:t>
            </w:r>
          </w:p>
        </w:tc>
        <w:tc>
          <w:tcPr>
            <w:tcW w:w="1076" w:type="dxa"/>
            <w:tcBorders>
              <w:bottom w:val="single" w:sz="12" w:space="0" w:color="002776"/>
            </w:tcBorders>
          </w:tcPr>
          <w:p w:rsidR="001A5590" w:rsidRDefault="001A5590" w:rsidP="00D65F13">
            <w:pPr>
              <w:pStyle w:val="TabletextCentre"/>
            </w:pPr>
            <w:r>
              <w:t>+</w:t>
            </w:r>
          </w:p>
        </w:tc>
        <w:tc>
          <w:tcPr>
            <w:tcW w:w="4125" w:type="dxa"/>
            <w:tcBorders>
              <w:bottom w:val="single" w:sz="12" w:space="0" w:color="002776"/>
            </w:tcBorders>
          </w:tcPr>
          <w:p w:rsidR="001A5590" w:rsidRPr="00757A8E" w:rsidRDefault="001A5590" w:rsidP="00757A8E">
            <w:pPr>
              <w:pStyle w:val="TabletextLeft"/>
            </w:pPr>
            <w:r w:rsidRPr="00757A8E">
              <w:t>Duplication of resources will result in higher average costs</w:t>
            </w:r>
          </w:p>
        </w:tc>
      </w:tr>
    </w:tbl>
    <w:p w:rsidR="001A5590" w:rsidRDefault="001A5590" w:rsidP="00BE45B4">
      <w:pPr>
        <w:pStyle w:val="Heading2Appendix"/>
      </w:pPr>
      <w:r w:rsidRPr="00D155BE">
        <w:t>Model specification</w:t>
      </w:r>
    </w:p>
    <w:p w:rsidR="001A5590" w:rsidRDefault="001A5590" w:rsidP="00BE45B4">
      <w:pPr>
        <w:pStyle w:val="BodyText"/>
      </w:pPr>
      <w:r>
        <w:t xml:space="preserve">Due to shortcomings in the data supplied, it was expected that the regression analysis would result in unexplained differences in costs.  Model specification procedures confirmed the statistical insignificance of most of the independent variables in explaining variation in costs (both individually and jointly).  However, as the purpose of this analysis is to examine the relationship between the explanatory variables and cost variations—and not as a </w:t>
      </w:r>
      <w:r>
        <w:lastRenderedPageBreak/>
        <w:t>predictive or inferential tool—the modelling outcomes still provide useful insights into the drivers of research training costs.</w:t>
      </w:r>
    </w:p>
    <w:p w:rsidR="001A5590" w:rsidRDefault="001A5590" w:rsidP="00BE45B4">
      <w:pPr>
        <w:pStyle w:val="BodyText"/>
      </w:pPr>
      <w:r>
        <w:t>Testing highlighted that one university was an outlier, as its reported costs were at odds with those of other universities with similar characteristics.  As there was already a limited sample size this particular university was attributed a dummy variable to capture its unexplained cost difference (as opposed to excluding it from the sample).  This variable is named ‘university dummy’.</w:t>
      </w:r>
    </w:p>
    <w:p w:rsidR="001A5590" w:rsidRDefault="001A5590" w:rsidP="00BE45B4">
      <w:pPr>
        <w:pStyle w:val="BodyText"/>
      </w:pPr>
      <w:r>
        <w:t xml:space="preserve">See </w:t>
      </w:r>
      <w:r>
        <w:fldChar w:fldCharType="begin"/>
      </w:r>
      <w:r>
        <w:instrText xml:space="preserve"> REF _Ref295083435 \r \h </w:instrText>
      </w:r>
      <w:r>
        <w:fldChar w:fldCharType="separate"/>
      </w:r>
      <w:r w:rsidR="00A01A35">
        <w:t>Appendix E</w:t>
      </w:r>
      <w:r>
        <w:fldChar w:fldCharType="end"/>
      </w:r>
      <w:r>
        <w:t xml:space="preserve"> for more detail on the econometric methodology and model specification. </w:t>
      </w:r>
    </w:p>
    <w:p w:rsidR="001A5590" w:rsidRDefault="001A5590" w:rsidP="00BE45B4">
      <w:pPr>
        <w:pStyle w:val="Heading3"/>
        <w:numPr>
          <w:ilvl w:val="2"/>
          <w:numId w:val="21"/>
        </w:numPr>
      </w:pPr>
      <w:r>
        <w:t>Results</w:t>
      </w:r>
    </w:p>
    <w:p w:rsidR="001A5590" w:rsidRDefault="001A5590" w:rsidP="00BE45B4">
      <w:pPr>
        <w:pStyle w:val="BodyText"/>
      </w:pPr>
      <w:r>
        <w:t xml:space="preserve">The results of the regression analysis are presented in </w:t>
      </w:r>
      <w:r>
        <w:fldChar w:fldCharType="begin"/>
      </w:r>
      <w:r>
        <w:instrText xml:space="preserve"> REF _Ref296522458 \r \h </w:instrText>
      </w:r>
      <w:r>
        <w:fldChar w:fldCharType="separate"/>
      </w:r>
      <w:r w:rsidR="00A01A35">
        <w:t>Table 5.4</w:t>
      </w:r>
      <w:r>
        <w:fldChar w:fldCharType="end"/>
      </w:r>
      <w:r>
        <w:t>.  Eight cost drivers included in the model were found to have a significant explanatory relationship (at the 10% level of significance) with the average cost</w:t>
      </w:r>
      <w:r w:rsidRPr="009C5188">
        <w:t xml:space="preserve"> </w:t>
      </w:r>
      <w:r>
        <w:t xml:space="preserve">of research training per HDR RTS EFTSL, with five significant at the 5% level (that is, we are 95% confident these variables have a significant effect on research training costs).  The variables significant at the 5% level were: </w:t>
      </w:r>
    </w:p>
    <w:p w:rsidR="001A5590" w:rsidRPr="00B836A3" w:rsidRDefault="001A5590" w:rsidP="00BE45B4">
      <w:pPr>
        <w:pStyle w:val="Bullet1"/>
        <w:numPr>
          <w:ilvl w:val="0"/>
          <w:numId w:val="18"/>
        </w:numPr>
      </w:pPr>
      <w:r>
        <w:t>t</w:t>
      </w:r>
      <w:r w:rsidRPr="006E316B">
        <w:t>he location of universities (metropolitan versus non-metropolitan);</w:t>
      </w:r>
    </w:p>
    <w:p w:rsidR="001A5590" w:rsidRPr="00B836A3" w:rsidRDefault="001A5590" w:rsidP="00BE45B4">
      <w:pPr>
        <w:pStyle w:val="Bullet1"/>
        <w:numPr>
          <w:ilvl w:val="0"/>
          <w:numId w:val="18"/>
        </w:numPr>
      </w:pPr>
      <w:r w:rsidRPr="006E316B">
        <w:t xml:space="preserve">the ratio of part-time to full-time students; </w:t>
      </w:r>
    </w:p>
    <w:p w:rsidR="001A5590" w:rsidRPr="00B836A3" w:rsidRDefault="001A5590" w:rsidP="00BE45B4">
      <w:pPr>
        <w:pStyle w:val="Bullet1"/>
        <w:numPr>
          <w:ilvl w:val="0"/>
          <w:numId w:val="18"/>
        </w:numPr>
      </w:pPr>
      <w:r w:rsidRPr="006E316B">
        <w:t xml:space="preserve">the total number of students enrolled; </w:t>
      </w:r>
    </w:p>
    <w:p w:rsidR="001A5590" w:rsidRPr="00B836A3" w:rsidRDefault="001A5590" w:rsidP="00BE45B4">
      <w:pPr>
        <w:pStyle w:val="Bullet1"/>
        <w:numPr>
          <w:ilvl w:val="0"/>
          <w:numId w:val="18"/>
        </w:numPr>
      </w:pPr>
      <w:r w:rsidRPr="006E316B">
        <w:t>the ratio of RTS candidates to all HDR candidates; and</w:t>
      </w:r>
    </w:p>
    <w:p w:rsidR="001A5590" w:rsidRPr="00B836A3" w:rsidRDefault="001A5590" w:rsidP="00BE45B4">
      <w:pPr>
        <w:pStyle w:val="Bullet1"/>
        <w:numPr>
          <w:ilvl w:val="0"/>
          <w:numId w:val="18"/>
        </w:numPr>
      </w:pPr>
      <w:r w:rsidRPr="006E316B">
        <w:t xml:space="preserve">the outlier university. </w:t>
      </w:r>
    </w:p>
    <w:p w:rsidR="001A5590" w:rsidRDefault="001A5590" w:rsidP="00BE45B4">
      <w:pPr>
        <w:pStyle w:val="CaptionTable"/>
        <w:numPr>
          <w:ilvl w:val="6"/>
          <w:numId w:val="21"/>
        </w:numPr>
        <w:ind w:left="0" w:firstLine="0"/>
      </w:pPr>
      <w:bookmarkStart w:id="122" w:name="_Toc295897471"/>
      <w:bookmarkStart w:id="123" w:name="_Ref296522458"/>
      <w:bookmarkStart w:id="124" w:name="_Toc298325001"/>
      <w:r>
        <w:t>: Econometric estimation output</w:t>
      </w:r>
      <w:bookmarkEnd w:id="122"/>
      <w:bookmarkEnd w:id="123"/>
      <w:bookmarkEnd w:id="124"/>
    </w:p>
    <w:tbl>
      <w:tblPr>
        <w:tblW w:w="5000" w:type="pct"/>
        <w:jc w:val="center"/>
        <w:tblBorders>
          <w:bottom w:val="single" w:sz="12" w:space="0" w:color="002776"/>
        </w:tblBorders>
        <w:tblLook w:val="00A0" w:firstRow="1" w:lastRow="0" w:firstColumn="1" w:lastColumn="0" w:noHBand="0" w:noVBand="0"/>
      </w:tblPr>
      <w:tblGrid>
        <w:gridCol w:w="2914"/>
        <w:gridCol w:w="3049"/>
        <w:gridCol w:w="2474"/>
      </w:tblGrid>
      <w:tr w:rsidR="001A5590" w:rsidTr="00BE45B4">
        <w:trPr>
          <w:cantSplit/>
          <w:tblHeader/>
          <w:jc w:val="center"/>
        </w:trPr>
        <w:tc>
          <w:tcPr>
            <w:tcW w:w="1727" w:type="pct"/>
            <w:tcBorders>
              <w:top w:val="single" w:sz="12" w:space="0" w:color="002776"/>
              <w:left w:val="nil"/>
              <w:bottom w:val="single" w:sz="8" w:space="0" w:color="002776"/>
              <w:right w:val="nil"/>
            </w:tcBorders>
          </w:tcPr>
          <w:p w:rsidR="001A5590" w:rsidRPr="00B449CE" w:rsidRDefault="001A5590" w:rsidP="00757A8E">
            <w:pPr>
              <w:pStyle w:val="TableHeadingLeft"/>
            </w:pPr>
            <w:r w:rsidRPr="00B449CE">
              <w:t>Estimator</w:t>
            </w:r>
          </w:p>
        </w:tc>
        <w:tc>
          <w:tcPr>
            <w:tcW w:w="1807" w:type="pct"/>
            <w:tcBorders>
              <w:top w:val="single" w:sz="12" w:space="0" w:color="002776"/>
              <w:left w:val="nil"/>
              <w:bottom w:val="single" w:sz="8" w:space="0" w:color="002776"/>
              <w:right w:val="nil"/>
            </w:tcBorders>
          </w:tcPr>
          <w:p w:rsidR="001A5590" w:rsidRPr="00B449CE" w:rsidRDefault="001A5590" w:rsidP="00757A8E">
            <w:pPr>
              <w:pStyle w:val="TableHeadingLeft"/>
            </w:pPr>
            <w:r w:rsidRPr="00B449CE">
              <w:t>Coefficient</w:t>
            </w:r>
          </w:p>
        </w:tc>
        <w:tc>
          <w:tcPr>
            <w:tcW w:w="1466" w:type="pct"/>
            <w:tcBorders>
              <w:top w:val="single" w:sz="12" w:space="0" w:color="002776"/>
              <w:left w:val="nil"/>
              <w:bottom w:val="single" w:sz="8" w:space="0" w:color="002776"/>
              <w:right w:val="nil"/>
            </w:tcBorders>
          </w:tcPr>
          <w:p w:rsidR="001A5590" w:rsidRPr="00B449CE" w:rsidRDefault="001A5590" w:rsidP="00757A8E">
            <w:pPr>
              <w:pStyle w:val="TableHeadingLeft"/>
            </w:pPr>
            <w:r w:rsidRPr="00B449CE">
              <w:t>p-value</w:t>
            </w:r>
          </w:p>
        </w:tc>
      </w:tr>
      <w:tr w:rsidR="001A5590" w:rsidRPr="002B45FA" w:rsidTr="00BE45B4">
        <w:trPr>
          <w:cantSplit/>
          <w:jc w:val="center"/>
        </w:trPr>
        <w:tc>
          <w:tcPr>
            <w:tcW w:w="1727" w:type="pct"/>
          </w:tcPr>
          <w:p w:rsidR="001A5590" w:rsidRPr="00670B7B" w:rsidRDefault="001A5590" w:rsidP="00BE45B4">
            <w:pPr>
              <w:pStyle w:val="TabletextLeft"/>
            </w:pPr>
            <w:r w:rsidRPr="00B042CC">
              <w:t>Constant</w:t>
            </w:r>
          </w:p>
        </w:tc>
        <w:tc>
          <w:tcPr>
            <w:tcW w:w="1807" w:type="pct"/>
          </w:tcPr>
          <w:p w:rsidR="001A5590" w:rsidRPr="00C03B00" w:rsidRDefault="001A5590" w:rsidP="00BE45B4">
            <w:pPr>
              <w:pStyle w:val="TabletextLeft"/>
              <w:tabs>
                <w:tab w:val="decimal" w:pos="401"/>
              </w:tabs>
              <w:rPr>
                <w:b/>
              </w:rPr>
            </w:pPr>
            <w:r>
              <w:t>3.37</w:t>
            </w:r>
          </w:p>
        </w:tc>
        <w:tc>
          <w:tcPr>
            <w:tcW w:w="1466" w:type="pct"/>
          </w:tcPr>
          <w:p w:rsidR="001A5590" w:rsidRPr="00C03B00" w:rsidRDefault="001A5590" w:rsidP="00BE45B4">
            <w:pPr>
              <w:pStyle w:val="TabletextLeft"/>
              <w:tabs>
                <w:tab w:val="decimal" w:pos="427"/>
              </w:tabs>
              <w:rPr>
                <w:b/>
              </w:rPr>
            </w:pPr>
            <w:r w:rsidRPr="006B7FDF">
              <w:t>0.2381</w:t>
            </w:r>
          </w:p>
        </w:tc>
      </w:tr>
      <w:tr w:rsidR="001A5590" w:rsidTr="00BE45B4">
        <w:trPr>
          <w:cantSplit/>
          <w:jc w:val="center"/>
        </w:trPr>
        <w:tc>
          <w:tcPr>
            <w:tcW w:w="1727" w:type="pct"/>
          </w:tcPr>
          <w:p w:rsidR="001A5590" w:rsidRPr="00670B7B" w:rsidRDefault="001A5590" w:rsidP="00BE45B4">
            <w:pPr>
              <w:pStyle w:val="TabletextLeft"/>
              <w:rPr>
                <w:b/>
              </w:rPr>
            </w:pPr>
            <w:r w:rsidRPr="00B042CC">
              <w:rPr>
                <w:b/>
              </w:rPr>
              <w:t>Location</w:t>
            </w:r>
          </w:p>
        </w:tc>
        <w:tc>
          <w:tcPr>
            <w:tcW w:w="1807" w:type="pct"/>
          </w:tcPr>
          <w:p w:rsidR="001A5590" w:rsidRPr="00670B7B" w:rsidRDefault="001A5590" w:rsidP="00BE45B4">
            <w:pPr>
              <w:pStyle w:val="TabletextLeft"/>
              <w:tabs>
                <w:tab w:val="decimal" w:pos="401"/>
              </w:tabs>
              <w:rPr>
                <w:b/>
              </w:rPr>
            </w:pPr>
            <w:r w:rsidRPr="00B042CC">
              <w:rPr>
                <w:b/>
              </w:rPr>
              <w:t>1.19</w:t>
            </w:r>
          </w:p>
        </w:tc>
        <w:tc>
          <w:tcPr>
            <w:tcW w:w="1466" w:type="pct"/>
          </w:tcPr>
          <w:p w:rsidR="001A5590" w:rsidRPr="00670B7B" w:rsidRDefault="001A5590" w:rsidP="00BE45B4">
            <w:pPr>
              <w:pStyle w:val="TabletextLeft"/>
              <w:tabs>
                <w:tab w:val="decimal" w:pos="427"/>
              </w:tabs>
              <w:rPr>
                <w:b/>
              </w:rPr>
            </w:pPr>
            <w:r w:rsidRPr="00B042CC">
              <w:rPr>
                <w:b/>
              </w:rPr>
              <w:t>0.0265**</w:t>
            </w:r>
          </w:p>
        </w:tc>
      </w:tr>
      <w:tr w:rsidR="001A5590" w:rsidTr="00BE45B4">
        <w:trPr>
          <w:cantSplit/>
          <w:jc w:val="center"/>
        </w:trPr>
        <w:tc>
          <w:tcPr>
            <w:tcW w:w="1727" w:type="pct"/>
          </w:tcPr>
          <w:p w:rsidR="001A5590" w:rsidRPr="00670B7B" w:rsidRDefault="001A5590" w:rsidP="00BE45B4">
            <w:pPr>
              <w:pStyle w:val="TabletextLeft"/>
              <w:rPr>
                <w:b/>
              </w:rPr>
            </w:pPr>
            <w:r w:rsidRPr="00B042CC">
              <w:rPr>
                <w:b/>
              </w:rPr>
              <w:t>Go8</w:t>
            </w:r>
          </w:p>
        </w:tc>
        <w:tc>
          <w:tcPr>
            <w:tcW w:w="1807" w:type="pct"/>
          </w:tcPr>
          <w:p w:rsidR="001A5590" w:rsidRPr="00670B7B" w:rsidRDefault="001A5590" w:rsidP="00BE45B4">
            <w:pPr>
              <w:pStyle w:val="TabletextLeft"/>
              <w:tabs>
                <w:tab w:val="decimal" w:pos="401"/>
              </w:tabs>
              <w:rPr>
                <w:b/>
              </w:rPr>
            </w:pPr>
            <w:r w:rsidRPr="00B042CC">
              <w:rPr>
                <w:b/>
              </w:rPr>
              <w:t>-0.54</w:t>
            </w:r>
          </w:p>
        </w:tc>
        <w:tc>
          <w:tcPr>
            <w:tcW w:w="1466" w:type="pct"/>
          </w:tcPr>
          <w:p w:rsidR="001A5590" w:rsidRPr="00670B7B" w:rsidRDefault="001A5590" w:rsidP="00BE45B4">
            <w:pPr>
              <w:pStyle w:val="TabletextLeft"/>
              <w:tabs>
                <w:tab w:val="decimal" w:pos="427"/>
              </w:tabs>
              <w:rPr>
                <w:b/>
              </w:rPr>
            </w:pPr>
            <w:r w:rsidRPr="00B042CC">
              <w:rPr>
                <w:b/>
              </w:rPr>
              <w:t>0.0511*</w:t>
            </w:r>
          </w:p>
        </w:tc>
      </w:tr>
      <w:tr w:rsidR="001A5590" w:rsidTr="00BE45B4">
        <w:trPr>
          <w:cantSplit/>
          <w:jc w:val="center"/>
        </w:trPr>
        <w:tc>
          <w:tcPr>
            <w:tcW w:w="1727" w:type="pct"/>
          </w:tcPr>
          <w:p w:rsidR="001A5590" w:rsidRPr="00670B7B" w:rsidRDefault="001A5590" w:rsidP="00BE45B4">
            <w:pPr>
              <w:pStyle w:val="TabletextLeft"/>
              <w:rPr>
                <w:b/>
              </w:rPr>
            </w:pPr>
            <w:r w:rsidRPr="00B042CC">
              <w:rPr>
                <w:b/>
              </w:rPr>
              <w:t>IRU</w:t>
            </w:r>
          </w:p>
        </w:tc>
        <w:tc>
          <w:tcPr>
            <w:tcW w:w="1807" w:type="pct"/>
          </w:tcPr>
          <w:p w:rsidR="001A5590" w:rsidRPr="00670B7B" w:rsidRDefault="001A5590" w:rsidP="00BE45B4">
            <w:pPr>
              <w:pStyle w:val="TabletextLeft"/>
              <w:tabs>
                <w:tab w:val="decimal" w:pos="401"/>
              </w:tabs>
              <w:rPr>
                <w:b/>
              </w:rPr>
            </w:pPr>
            <w:r w:rsidRPr="00B042CC">
              <w:rPr>
                <w:b/>
              </w:rPr>
              <w:t>0.42</w:t>
            </w:r>
          </w:p>
        </w:tc>
        <w:tc>
          <w:tcPr>
            <w:tcW w:w="1466" w:type="pct"/>
          </w:tcPr>
          <w:p w:rsidR="001A5590" w:rsidRPr="00670B7B" w:rsidRDefault="001A5590" w:rsidP="00BE45B4">
            <w:pPr>
              <w:pStyle w:val="TabletextLeft"/>
              <w:tabs>
                <w:tab w:val="decimal" w:pos="427"/>
              </w:tabs>
              <w:rPr>
                <w:b/>
              </w:rPr>
            </w:pPr>
            <w:r w:rsidRPr="00B042CC">
              <w:rPr>
                <w:b/>
              </w:rPr>
              <w:t>0.0614*</w:t>
            </w:r>
          </w:p>
        </w:tc>
      </w:tr>
      <w:tr w:rsidR="001A5590" w:rsidTr="00BE45B4">
        <w:trPr>
          <w:cantSplit/>
          <w:jc w:val="center"/>
        </w:trPr>
        <w:tc>
          <w:tcPr>
            <w:tcW w:w="1727" w:type="pct"/>
          </w:tcPr>
          <w:p w:rsidR="001A5590" w:rsidRPr="00670B7B" w:rsidRDefault="001A5590" w:rsidP="00BE45B4">
            <w:pPr>
              <w:pStyle w:val="TabletextLeft"/>
              <w:rPr>
                <w:b/>
              </w:rPr>
            </w:pPr>
            <w:r>
              <w:rPr>
                <w:b/>
              </w:rPr>
              <w:t>Part-time</w:t>
            </w:r>
          </w:p>
        </w:tc>
        <w:tc>
          <w:tcPr>
            <w:tcW w:w="1807" w:type="pct"/>
          </w:tcPr>
          <w:p w:rsidR="001A5590" w:rsidRPr="00670B7B" w:rsidRDefault="001A5590" w:rsidP="00BE45B4">
            <w:pPr>
              <w:pStyle w:val="TabletextLeft"/>
              <w:tabs>
                <w:tab w:val="decimal" w:pos="401"/>
              </w:tabs>
              <w:rPr>
                <w:b/>
              </w:rPr>
            </w:pPr>
            <w:r w:rsidRPr="00B042CC">
              <w:rPr>
                <w:b/>
              </w:rPr>
              <w:t>-0.63</w:t>
            </w:r>
          </w:p>
        </w:tc>
        <w:tc>
          <w:tcPr>
            <w:tcW w:w="1466" w:type="pct"/>
          </w:tcPr>
          <w:p w:rsidR="001A5590" w:rsidRPr="00670B7B" w:rsidRDefault="001A5590" w:rsidP="00BE45B4">
            <w:pPr>
              <w:pStyle w:val="TabletextLeft"/>
              <w:tabs>
                <w:tab w:val="decimal" w:pos="427"/>
              </w:tabs>
              <w:rPr>
                <w:b/>
              </w:rPr>
            </w:pPr>
            <w:r w:rsidRPr="00B042CC">
              <w:rPr>
                <w:b/>
              </w:rPr>
              <w:t>0.0032**</w:t>
            </w:r>
          </w:p>
        </w:tc>
      </w:tr>
      <w:tr w:rsidR="001A5590" w:rsidTr="00BE45B4">
        <w:trPr>
          <w:cantSplit/>
          <w:jc w:val="center"/>
        </w:trPr>
        <w:tc>
          <w:tcPr>
            <w:tcW w:w="1727" w:type="pct"/>
          </w:tcPr>
          <w:p w:rsidR="001A5590" w:rsidRPr="00670B7B" w:rsidRDefault="001A5590" w:rsidP="00BE45B4">
            <w:pPr>
              <w:pStyle w:val="TabletextLeft"/>
              <w:rPr>
                <w:b/>
              </w:rPr>
            </w:pPr>
            <w:r w:rsidRPr="00B042CC">
              <w:rPr>
                <w:b/>
              </w:rPr>
              <w:t>Type</w:t>
            </w:r>
          </w:p>
        </w:tc>
        <w:tc>
          <w:tcPr>
            <w:tcW w:w="1807" w:type="pct"/>
          </w:tcPr>
          <w:p w:rsidR="001A5590" w:rsidRPr="00670B7B" w:rsidRDefault="001A5590" w:rsidP="00BE45B4">
            <w:pPr>
              <w:pStyle w:val="TabletextLeft"/>
              <w:tabs>
                <w:tab w:val="decimal" w:pos="401"/>
              </w:tabs>
              <w:rPr>
                <w:b/>
              </w:rPr>
            </w:pPr>
            <w:r w:rsidRPr="00B042CC">
              <w:rPr>
                <w:b/>
              </w:rPr>
              <w:t>-1.78</w:t>
            </w:r>
          </w:p>
        </w:tc>
        <w:tc>
          <w:tcPr>
            <w:tcW w:w="1466" w:type="pct"/>
          </w:tcPr>
          <w:p w:rsidR="001A5590" w:rsidRPr="00670B7B" w:rsidRDefault="001A5590" w:rsidP="00BE45B4">
            <w:pPr>
              <w:pStyle w:val="TabletextLeft"/>
              <w:tabs>
                <w:tab w:val="decimal" w:pos="427"/>
              </w:tabs>
              <w:rPr>
                <w:b/>
              </w:rPr>
            </w:pPr>
            <w:r w:rsidRPr="00B042CC">
              <w:rPr>
                <w:b/>
              </w:rPr>
              <w:t>0.0698*</w:t>
            </w:r>
          </w:p>
        </w:tc>
      </w:tr>
      <w:tr w:rsidR="001A5590" w:rsidTr="00BE45B4">
        <w:trPr>
          <w:cantSplit/>
          <w:jc w:val="center"/>
        </w:trPr>
        <w:tc>
          <w:tcPr>
            <w:tcW w:w="1727" w:type="pct"/>
          </w:tcPr>
          <w:p w:rsidR="001A5590" w:rsidRPr="00670B7B" w:rsidRDefault="001A5590" w:rsidP="00BE45B4">
            <w:pPr>
              <w:pStyle w:val="TabletextLeft"/>
              <w:rPr>
                <w:b/>
              </w:rPr>
            </w:pPr>
            <w:r>
              <w:rPr>
                <w:b/>
              </w:rPr>
              <w:t>Students</w:t>
            </w:r>
          </w:p>
        </w:tc>
        <w:tc>
          <w:tcPr>
            <w:tcW w:w="1807" w:type="pct"/>
          </w:tcPr>
          <w:p w:rsidR="001A5590" w:rsidRPr="00670B7B" w:rsidRDefault="001A5590" w:rsidP="00BE45B4">
            <w:pPr>
              <w:pStyle w:val="TabletextLeft"/>
              <w:tabs>
                <w:tab w:val="decimal" w:pos="401"/>
              </w:tabs>
              <w:rPr>
                <w:b/>
              </w:rPr>
            </w:pPr>
            <w:r w:rsidRPr="00B042CC">
              <w:rPr>
                <w:b/>
              </w:rPr>
              <w:t>0.88</w:t>
            </w:r>
          </w:p>
        </w:tc>
        <w:tc>
          <w:tcPr>
            <w:tcW w:w="1466" w:type="pct"/>
          </w:tcPr>
          <w:p w:rsidR="001A5590" w:rsidRPr="00670B7B" w:rsidRDefault="001A5590" w:rsidP="00BE45B4">
            <w:pPr>
              <w:pStyle w:val="TabletextLeft"/>
              <w:tabs>
                <w:tab w:val="decimal" w:pos="427"/>
              </w:tabs>
              <w:rPr>
                <w:b/>
              </w:rPr>
            </w:pPr>
            <w:r w:rsidRPr="00B042CC">
              <w:rPr>
                <w:b/>
              </w:rPr>
              <w:t>0.0158**</w:t>
            </w:r>
          </w:p>
        </w:tc>
      </w:tr>
      <w:tr w:rsidR="001A5590" w:rsidTr="00BE45B4">
        <w:trPr>
          <w:cantSplit/>
          <w:jc w:val="center"/>
        </w:trPr>
        <w:tc>
          <w:tcPr>
            <w:tcW w:w="1727" w:type="pct"/>
          </w:tcPr>
          <w:p w:rsidR="001A5590" w:rsidRPr="00670B7B" w:rsidRDefault="001A5590" w:rsidP="00BE45B4">
            <w:pPr>
              <w:pStyle w:val="TabletextLeft"/>
              <w:rPr>
                <w:b/>
              </w:rPr>
            </w:pPr>
            <w:r>
              <w:rPr>
                <w:b/>
              </w:rPr>
              <w:t>RTS</w:t>
            </w:r>
          </w:p>
        </w:tc>
        <w:tc>
          <w:tcPr>
            <w:tcW w:w="1807" w:type="pct"/>
          </w:tcPr>
          <w:p w:rsidR="001A5590" w:rsidRPr="00670B7B" w:rsidRDefault="001A5590" w:rsidP="00BE45B4">
            <w:pPr>
              <w:pStyle w:val="TabletextLeft"/>
              <w:tabs>
                <w:tab w:val="decimal" w:pos="401"/>
              </w:tabs>
              <w:rPr>
                <w:b/>
              </w:rPr>
            </w:pPr>
            <w:r w:rsidRPr="00B042CC">
              <w:rPr>
                <w:b/>
              </w:rPr>
              <w:t>-1.92</w:t>
            </w:r>
          </w:p>
        </w:tc>
        <w:tc>
          <w:tcPr>
            <w:tcW w:w="1466" w:type="pct"/>
          </w:tcPr>
          <w:p w:rsidR="001A5590" w:rsidRPr="00670B7B" w:rsidRDefault="001A5590" w:rsidP="00BE45B4">
            <w:pPr>
              <w:pStyle w:val="TabletextLeft"/>
              <w:tabs>
                <w:tab w:val="decimal" w:pos="427"/>
              </w:tabs>
              <w:rPr>
                <w:b/>
              </w:rPr>
            </w:pPr>
            <w:r w:rsidRPr="00B042CC">
              <w:rPr>
                <w:b/>
              </w:rPr>
              <w:t>0.0157**</w:t>
            </w:r>
          </w:p>
        </w:tc>
      </w:tr>
      <w:tr w:rsidR="001A5590" w:rsidTr="00BE45B4">
        <w:trPr>
          <w:cantSplit/>
          <w:jc w:val="center"/>
        </w:trPr>
        <w:tc>
          <w:tcPr>
            <w:tcW w:w="1727" w:type="pct"/>
            <w:tcBorders>
              <w:bottom w:val="nil"/>
            </w:tcBorders>
          </w:tcPr>
          <w:p w:rsidR="001A5590" w:rsidRDefault="001A5590" w:rsidP="00BE45B4">
            <w:pPr>
              <w:pStyle w:val="TabletextLeft"/>
            </w:pPr>
            <w:r>
              <w:t>Staff</w:t>
            </w:r>
          </w:p>
        </w:tc>
        <w:tc>
          <w:tcPr>
            <w:tcW w:w="1807" w:type="pct"/>
            <w:tcBorders>
              <w:bottom w:val="nil"/>
            </w:tcBorders>
          </w:tcPr>
          <w:p w:rsidR="001A5590" w:rsidRDefault="001A5590" w:rsidP="00BE45B4">
            <w:pPr>
              <w:pStyle w:val="TabletextLeft"/>
              <w:tabs>
                <w:tab w:val="decimal" w:pos="401"/>
              </w:tabs>
            </w:pPr>
            <w:r>
              <w:t>0.02</w:t>
            </w:r>
          </w:p>
        </w:tc>
        <w:tc>
          <w:tcPr>
            <w:tcW w:w="1466" w:type="pct"/>
            <w:tcBorders>
              <w:bottom w:val="nil"/>
            </w:tcBorders>
          </w:tcPr>
          <w:p w:rsidR="001A5590" w:rsidRDefault="001A5590" w:rsidP="00BE45B4">
            <w:pPr>
              <w:pStyle w:val="TabletextLeft"/>
              <w:tabs>
                <w:tab w:val="decimal" w:pos="427"/>
              </w:tabs>
            </w:pPr>
            <w:r w:rsidRPr="006B7FDF">
              <w:t>0.683</w:t>
            </w:r>
            <w:r>
              <w:t>0</w:t>
            </w:r>
          </w:p>
        </w:tc>
      </w:tr>
      <w:tr w:rsidR="001A5590" w:rsidTr="00BE45B4">
        <w:trPr>
          <w:cantSplit/>
          <w:jc w:val="center"/>
        </w:trPr>
        <w:tc>
          <w:tcPr>
            <w:tcW w:w="1727" w:type="pct"/>
            <w:tcBorders>
              <w:bottom w:val="nil"/>
            </w:tcBorders>
          </w:tcPr>
          <w:p w:rsidR="001A5590" w:rsidRDefault="001A5590" w:rsidP="00BE45B4">
            <w:pPr>
              <w:pStyle w:val="TabletextLeft"/>
            </w:pPr>
            <w:r>
              <w:t>Campus</w:t>
            </w:r>
          </w:p>
        </w:tc>
        <w:tc>
          <w:tcPr>
            <w:tcW w:w="1807" w:type="pct"/>
            <w:tcBorders>
              <w:bottom w:val="nil"/>
            </w:tcBorders>
          </w:tcPr>
          <w:p w:rsidR="001A5590" w:rsidRDefault="001A5590" w:rsidP="00BE45B4">
            <w:pPr>
              <w:pStyle w:val="TabletextLeft"/>
              <w:tabs>
                <w:tab w:val="decimal" w:pos="401"/>
              </w:tabs>
            </w:pPr>
            <w:r>
              <w:t>0.01</w:t>
            </w:r>
          </w:p>
        </w:tc>
        <w:tc>
          <w:tcPr>
            <w:tcW w:w="1466" w:type="pct"/>
            <w:tcBorders>
              <w:bottom w:val="nil"/>
            </w:tcBorders>
          </w:tcPr>
          <w:p w:rsidR="001A5590" w:rsidRDefault="001A5590" w:rsidP="00BE45B4">
            <w:pPr>
              <w:pStyle w:val="TabletextLeft"/>
              <w:tabs>
                <w:tab w:val="decimal" w:pos="427"/>
              </w:tabs>
            </w:pPr>
            <w:r w:rsidRPr="006B7FDF">
              <w:t>0.4474</w:t>
            </w:r>
          </w:p>
        </w:tc>
      </w:tr>
      <w:tr w:rsidR="001A5590" w:rsidTr="00BE45B4">
        <w:trPr>
          <w:cantSplit/>
          <w:jc w:val="center"/>
        </w:trPr>
        <w:tc>
          <w:tcPr>
            <w:tcW w:w="1727" w:type="pct"/>
            <w:tcBorders>
              <w:bottom w:val="single" w:sz="4" w:space="0" w:color="auto"/>
            </w:tcBorders>
          </w:tcPr>
          <w:p w:rsidR="001A5590" w:rsidRPr="00670B7B" w:rsidRDefault="001A5590" w:rsidP="00BE45B4">
            <w:pPr>
              <w:pStyle w:val="TabletextLeft"/>
              <w:rPr>
                <w:b/>
              </w:rPr>
            </w:pPr>
            <w:r w:rsidRPr="00B042CC">
              <w:rPr>
                <w:b/>
              </w:rPr>
              <w:t>University dummy</w:t>
            </w:r>
          </w:p>
        </w:tc>
        <w:tc>
          <w:tcPr>
            <w:tcW w:w="1807" w:type="pct"/>
            <w:tcBorders>
              <w:bottom w:val="single" w:sz="4" w:space="0" w:color="auto"/>
            </w:tcBorders>
          </w:tcPr>
          <w:p w:rsidR="001A5590" w:rsidRPr="00670B7B" w:rsidRDefault="001A5590" w:rsidP="00BE45B4">
            <w:pPr>
              <w:pStyle w:val="TabletextLeft"/>
              <w:tabs>
                <w:tab w:val="decimal" w:pos="401"/>
              </w:tabs>
              <w:rPr>
                <w:b/>
              </w:rPr>
            </w:pPr>
            <w:r w:rsidRPr="00B042CC">
              <w:rPr>
                <w:b/>
              </w:rPr>
              <w:t>-0.88</w:t>
            </w:r>
          </w:p>
        </w:tc>
        <w:tc>
          <w:tcPr>
            <w:tcW w:w="1466" w:type="pct"/>
            <w:tcBorders>
              <w:bottom w:val="single" w:sz="4" w:space="0" w:color="auto"/>
            </w:tcBorders>
          </w:tcPr>
          <w:p w:rsidR="001A5590" w:rsidRPr="00670B7B" w:rsidRDefault="001A5590" w:rsidP="00BE45B4">
            <w:pPr>
              <w:pStyle w:val="TabletextLeft"/>
              <w:tabs>
                <w:tab w:val="decimal" w:pos="427"/>
              </w:tabs>
              <w:rPr>
                <w:b/>
              </w:rPr>
            </w:pPr>
            <w:r w:rsidRPr="00B042CC">
              <w:rPr>
                <w:b/>
              </w:rPr>
              <w:t>0.0003**</w:t>
            </w:r>
          </w:p>
        </w:tc>
      </w:tr>
      <w:tr w:rsidR="001A5590" w:rsidTr="00BE45B4">
        <w:trPr>
          <w:cantSplit/>
          <w:jc w:val="center"/>
        </w:trPr>
        <w:tc>
          <w:tcPr>
            <w:tcW w:w="1727" w:type="pct"/>
            <w:tcBorders>
              <w:top w:val="single" w:sz="4" w:space="0" w:color="auto"/>
            </w:tcBorders>
          </w:tcPr>
          <w:p w:rsidR="001A5590" w:rsidRDefault="001A5590" w:rsidP="00BE45B4">
            <w:pPr>
              <w:pStyle w:val="TabletextLeft"/>
            </w:pPr>
            <w:r>
              <w:t>R-squared</w:t>
            </w:r>
          </w:p>
        </w:tc>
        <w:tc>
          <w:tcPr>
            <w:tcW w:w="1807" w:type="pct"/>
            <w:tcBorders>
              <w:top w:val="single" w:sz="4" w:space="0" w:color="auto"/>
            </w:tcBorders>
          </w:tcPr>
          <w:p w:rsidR="001A5590" w:rsidRDefault="001A5590" w:rsidP="00BE45B4">
            <w:pPr>
              <w:pStyle w:val="TabletextLeft"/>
              <w:tabs>
                <w:tab w:val="decimal" w:pos="401"/>
              </w:tabs>
            </w:pPr>
            <w:r>
              <w:t>0.7676</w:t>
            </w:r>
          </w:p>
        </w:tc>
        <w:tc>
          <w:tcPr>
            <w:tcW w:w="1466" w:type="pct"/>
            <w:tcBorders>
              <w:top w:val="single" w:sz="4" w:space="0" w:color="auto"/>
            </w:tcBorders>
          </w:tcPr>
          <w:p w:rsidR="001A5590" w:rsidRDefault="001A5590" w:rsidP="00BE45B4">
            <w:pPr>
              <w:pStyle w:val="TabletextLeft"/>
              <w:tabs>
                <w:tab w:val="decimal" w:pos="427"/>
              </w:tabs>
            </w:pPr>
          </w:p>
        </w:tc>
      </w:tr>
      <w:tr w:rsidR="001A5590" w:rsidTr="00BE45B4">
        <w:trPr>
          <w:cantSplit/>
          <w:jc w:val="center"/>
        </w:trPr>
        <w:tc>
          <w:tcPr>
            <w:tcW w:w="1727" w:type="pct"/>
          </w:tcPr>
          <w:p w:rsidR="001A5590" w:rsidRDefault="001A5590" w:rsidP="00BE45B4">
            <w:pPr>
              <w:pStyle w:val="TabletextLeft"/>
            </w:pPr>
            <w:r>
              <w:t>F-statistic</w:t>
            </w:r>
          </w:p>
        </w:tc>
        <w:tc>
          <w:tcPr>
            <w:tcW w:w="1807" w:type="pct"/>
          </w:tcPr>
          <w:p w:rsidR="001A5590" w:rsidRDefault="001A5590" w:rsidP="00BE45B4">
            <w:pPr>
              <w:pStyle w:val="TabletextLeft"/>
              <w:tabs>
                <w:tab w:val="decimal" w:pos="401"/>
              </w:tabs>
            </w:pPr>
            <w:r>
              <w:t>2.3115</w:t>
            </w:r>
          </w:p>
        </w:tc>
        <w:tc>
          <w:tcPr>
            <w:tcW w:w="1466" w:type="pct"/>
          </w:tcPr>
          <w:p w:rsidR="001A5590" w:rsidRDefault="001A5590" w:rsidP="00BE45B4">
            <w:pPr>
              <w:pStyle w:val="TabletextLeft"/>
              <w:tabs>
                <w:tab w:val="decimal" w:pos="427"/>
              </w:tabs>
            </w:pPr>
          </w:p>
        </w:tc>
      </w:tr>
      <w:tr w:rsidR="001A5590" w:rsidTr="00BE45B4">
        <w:trPr>
          <w:cantSplit/>
          <w:jc w:val="center"/>
        </w:trPr>
        <w:tc>
          <w:tcPr>
            <w:tcW w:w="1727" w:type="pct"/>
            <w:tcBorders>
              <w:bottom w:val="single" w:sz="12" w:space="0" w:color="002776"/>
            </w:tcBorders>
          </w:tcPr>
          <w:p w:rsidR="001A5590" w:rsidRDefault="001A5590" w:rsidP="00BE45B4">
            <w:pPr>
              <w:pStyle w:val="TabletextLeft"/>
            </w:pPr>
            <w:r>
              <w:t>Prob (F-statistic)</w:t>
            </w:r>
          </w:p>
        </w:tc>
        <w:tc>
          <w:tcPr>
            <w:tcW w:w="1807" w:type="pct"/>
            <w:tcBorders>
              <w:bottom w:val="single" w:sz="12" w:space="0" w:color="002776"/>
            </w:tcBorders>
          </w:tcPr>
          <w:p w:rsidR="001A5590" w:rsidRDefault="001A5590" w:rsidP="00BE45B4">
            <w:pPr>
              <w:pStyle w:val="TabletextLeft"/>
              <w:tabs>
                <w:tab w:val="decimal" w:pos="401"/>
              </w:tabs>
            </w:pPr>
            <w:r>
              <w:t>0.1393</w:t>
            </w:r>
          </w:p>
        </w:tc>
        <w:tc>
          <w:tcPr>
            <w:tcW w:w="1466" w:type="pct"/>
            <w:tcBorders>
              <w:bottom w:val="single" w:sz="12" w:space="0" w:color="002776"/>
            </w:tcBorders>
          </w:tcPr>
          <w:p w:rsidR="001A5590" w:rsidRDefault="001A5590" w:rsidP="00BE45B4">
            <w:pPr>
              <w:pStyle w:val="TabletextLeft"/>
              <w:tabs>
                <w:tab w:val="decimal" w:pos="427"/>
              </w:tabs>
            </w:pPr>
          </w:p>
        </w:tc>
      </w:tr>
    </w:tbl>
    <w:p w:rsidR="001A5590" w:rsidRPr="00B449CE" w:rsidRDefault="001A5590" w:rsidP="00B449CE">
      <w:pPr>
        <w:pStyle w:val="Source"/>
      </w:pPr>
      <w:r w:rsidRPr="00B449CE">
        <w:t>Note: Estimation was performed using Eviews 6; * indicates statistical significance at the 90% level of confidence; ** indicates statistical significance at the 95% level of confidence.</w:t>
      </w:r>
    </w:p>
    <w:p w:rsidR="001A5590" w:rsidRDefault="001A5590" w:rsidP="00BE45B4">
      <w:pPr>
        <w:pStyle w:val="BodyText"/>
      </w:pPr>
      <w:r>
        <w:t xml:space="preserve">The positive coefficient on </w:t>
      </w:r>
      <w:r w:rsidRPr="00DA1A88">
        <w:rPr>
          <w:rStyle w:val="boldChar"/>
        </w:rPr>
        <w:t>location</w:t>
      </w:r>
      <w:r>
        <w:t xml:space="preserve"> indicates that, all else equal, non-metropolitan universities have higher average research training costs per RTS HDR EFTSL than metropolitan universities.  This result may be due to the increased costs of transportation </w:t>
      </w:r>
      <w:r>
        <w:lastRenderedPageBreak/>
        <w:t xml:space="preserve">for non-metropolitan universities and/or reflect the additional costs of accessing and maintaining resources. </w:t>
      </w:r>
    </w:p>
    <w:p w:rsidR="001A5590" w:rsidRDefault="001A5590" w:rsidP="00BE45B4">
      <w:pPr>
        <w:pStyle w:val="BodyText"/>
      </w:pPr>
      <w:r>
        <w:t xml:space="preserve">Holding all else equal, a university that is a member of the </w:t>
      </w:r>
      <w:r w:rsidRPr="00DA1A88">
        <w:rPr>
          <w:rStyle w:val="boldChar"/>
        </w:rPr>
        <w:t>Group of Eight</w:t>
      </w:r>
      <w:r>
        <w:t xml:space="preserve"> will have lower average research training costs per RTS HDR EFTSL than non-members.  Group of Eight universities profit from scale advantages in the provision of research intensive programs and possibly attract higher calibre HDR candidates (and thus lower costs through reduced supervision time).  In contrast</w:t>
      </w:r>
      <w:r w:rsidRPr="00DA1A88">
        <w:rPr>
          <w:rStyle w:val="boldChar"/>
        </w:rPr>
        <w:t>, Innovative Research Universities</w:t>
      </w:r>
      <w:r>
        <w:t xml:space="preserve"> have higher costs per RTS HDR EFTSL than other universities.  This may suggest that IRUs are yet to capture the scale advantages benefiting Group of Eight members but are incurring higher costs from research intensity.</w:t>
      </w:r>
    </w:p>
    <w:p w:rsidR="001A5590" w:rsidRDefault="001A5590" w:rsidP="00BE45B4">
      <w:pPr>
        <w:pStyle w:val="BodyText"/>
      </w:pPr>
      <w:r>
        <w:t xml:space="preserve">A 0.1 unit increase in the </w:t>
      </w:r>
      <w:r w:rsidRPr="00DA1A88">
        <w:rPr>
          <w:rStyle w:val="boldChar"/>
        </w:rPr>
        <w:t>ratio of part-time students to full-time students</w:t>
      </w:r>
      <w:r>
        <w:t xml:space="preserve"> was found to correspond to a 6% decline in the average cost of research training per RTS HDR EFTSL (where 1 signifies equal numbers of part-time and full-time students).  For example, all else equal, a university with a ratio of six part-time students to 10 full-time students (0.6) will have 6% lower average cost than a university with a ratio of five part-time students to 10 full-time students (0.5).  This result may be a reflection of the mix of part-time to full-time students across disciplines.  For example, higher cost disciplines such as medicine are less likely to be offered on a part-time basis and as such, a reduction in the proportion of full-time students will see a shift towards less costly disciplines.</w:t>
      </w:r>
    </w:p>
    <w:p w:rsidR="001A5590" w:rsidRDefault="001A5590" w:rsidP="00BE45B4">
      <w:pPr>
        <w:pStyle w:val="BodyText"/>
      </w:pPr>
      <w:r>
        <w:t xml:space="preserve">The coefficient on the </w:t>
      </w:r>
      <w:r w:rsidRPr="00DA1A88">
        <w:rPr>
          <w:rStyle w:val="boldChar"/>
        </w:rPr>
        <w:t>type</w:t>
      </w:r>
      <w:r w:rsidRPr="00DA1A88">
        <w:t xml:space="preserve"> </w:t>
      </w:r>
      <w:r>
        <w:t>variable shows that a 0.1 unit increase in the ratio of masters to doctorate students corresponds to an 18% decline in the average research training cost per RTS HDR EFTSL.  Masters degree HDR candidates utilise resources less intensively than PhD candidates with costs per EFTSL of Masters students higher than doctorate candidates.</w:t>
      </w:r>
    </w:p>
    <w:p w:rsidR="001A5590" w:rsidRDefault="001A5590" w:rsidP="00BE45B4">
      <w:pPr>
        <w:pStyle w:val="BodyText"/>
      </w:pPr>
      <w:r>
        <w:t xml:space="preserve">A 1% increase in the total number of </w:t>
      </w:r>
      <w:r w:rsidRPr="00DA1A88">
        <w:rPr>
          <w:rStyle w:val="boldChar"/>
        </w:rPr>
        <w:t>students</w:t>
      </w:r>
      <w:r>
        <w:t xml:space="preserve"> enrolled at a university corresponds to a 0.9% increase in the average cost of research training per RTS HDR EFTSL.  This result suggests that, while it was expected that larger universities would benefit from economies of scale in the provision of research training, they are actually experiencing diseconomies of scale, which may arise from universities reaching capacity constraints and needing to duplicate resources. </w:t>
      </w:r>
    </w:p>
    <w:p w:rsidR="001A5590" w:rsidRDefault="001A5590" w:rsidP="00BE45B4">
      <w:pPr>
        <w:pStyle w:val="BodyText"/>
      </w:pPr>
      <w:r>
        <w:t xml:space="preserve">The model also found that a 0.1 unit increase in the </w:t>
      </w:r>
      <w:r w:rsidRPr="00DA1A88">
        <w:rPr>
          <w:rStyle w:val="boldChar"/>
        </w:rPr>
        <w:t>ratio of RTS HDR candidates to all HDR candidates</w:t>
      </w:r>
      <w:r>
        <w:t xml:space="preserve"> is associated with a 19% decline of the average cost of research training per RTS HDR EFTSL (where a ratio of 1 means all HDR candidates are RTS HDR candidates).  That is, all else equal, a university with a higher ratio of RTS HDR candidates (and therefore a lower ratio of international HDR students and domestic HDR students funded through other sources) will experience a lower average cost of research training per RTS HDR EFTSL.</w:t>
      </w:r>
      <w:r w:rsidRPr="00D65F13">
        <w:rPr>
          <w:rStyle w:val="StyleFootnoteReference"/>
          <w:sz w:val="18"/>
        </w:rPr>
        <w:footnoteReference w:id="9"/>
      </w:r>
      <w:r>
        <w:t xml:space="preserve">  </w:t>
      </w:r>
    </w:p>
    <w:p w:rsidR="001A5590" w:rsidRDefault="001A5590" w:rsidP="00BE45B4">
      <w:pPr>
        <w:pStyle w:val="BodyText"/>
      </w:pPr>
      <w:r>
        <w:t xml:space="preserve">This finding may be an indication that universities with a higher proportion of international HDR candidates (relative to domestic RTS HDR candidates) are also providing research training in more costly disciplines.  However, without data on the differences in universities’ discipline mix, it is not possible to test this conclusion. </w:t>
      </w:r>
    </w:p>
    <w:p w:rsidR="001A5590" w:rsidRDefault="001A5590" w:rsidP="00BE45B4">
      <w:pPr>
        <w:pStyle w:val="BodyText"/>
      </w:pPr>
      <w:r>
        <w:t xml:space="preserve">Finally, the </w:t>
      </w:r>
      <w:r w:rsidRPr="00DA1A88">
        <w:rPr>
          <w:rStyle w:val="boldChar"/>
        </w:rPr>
        <w:t>university dummy</w:t>
      </w:r>
      <w:r>
        <w:t xml:space="preserve"> variable shows that this particular university outlier does have a lower average cost per RTS HDR EFTSL than the other universities included in the model (with all other characteristics held equal).</w:t>
      </w:r>
    </w:p>
    <w:p w:rsidR="001A5590" w:rsidRDefault="001A5590">
      <w:pPr>
        <w:pStyle w:val="Heading3"/>
        <w:numPr>
          <w:ilvl w:val="2"/>
          <w:numId w:val="21"/>
        </w:numPr>
      </w:pPr>
      <w:r>
        <w:lastRenderedPageBreak/>
        <w:t>Implications of results</w:t>
      </w:r>
    </w:p>
    <w:p w:rsidR="001A5590" w:rsidRDefault="001A5590" w:rsidP="00BE45B4">
      <w:pPr>
        <w:pStyle w:val="BodyText"/>
      </w:pPr>
      <w:r>
        <w:t>These results highlight the importance of discipline mix in understanding the cost drivers of research training.  The lack of discipline-specific as well as course-specific cost data across the sample of universities means that this remains an important area for future research.</w:t>
      </w:r>
    </w:p>
    <w:p w:rsidR="001A5590" w:rsidRDefault="001A5590" w:rsidP="00BE45B4">
      <w:pPr>
        <w:pStyle w:val="BodyText"/>
      </w:pPr>
      <w:r>
        <w:t>While data quality issues hindered the explanatory ability of the model (as shown by the F</w:t>
      </w:r>
      <w:r>
        <w:noBreakHyphen/>
        <w:t>statistic), the final regression equation provided a reasonable fit for the data.  The adjusted R-squared indicates that 44% of the variation in the average cost of research training</w:t>
      </w:r>
      <w:r w:rsidRPr="00813023">
        <w:t xml:space="preserve"> </w:t>
      </w:r>
      <w:r>
        <w:t xml:space="preserve">per RTS HDR candidate across universities can be explained by the explanatory variables included in the analysis.  Furthermore, as </w:t>
      </w:r>
      <w:r>
        <w:fldChar w:fldCharType="begin"/>
      </w:r>
      <w:r>
        <w:instrText xml:space="preserve"> REF _Ref296522599 \r \h </w:instrText>
      </w:r>
      <w:r>
        <w:fldChar w:fldCharType="separate"/>
      </w:r>
      <w:r w:rsidR="00A01A35">
        <w:t>Chart 5.15</w:t>
      </w:r>
      <w:r>
        <w:fldChar w:fldCharType="end"/>
      </w:r>
      <w:r>
        <w:t xml:space="preserve"> illustrates, the fitted values of the regression equation are within 0.30 of their actual values (where actual equals fitted plus residual), indicating this model explains these cost data reasonably well.</w:t>
      </w:r>
    </w:p>
    <w:p w:rsidR="001A5590" w:rsidRDefault="001A5590" w:rsidP="00BE45B4">
      <w:pPr>
        <w:pStyle w:val="CaptionChart"/>
        <w:numPr>
          <w:ilvl w:val="7"/>
          <w:numId w:val="21"/>
        </w:numPr>
        <w:ind w:left="0" w:firstLine="0"/>
      </w:pPr>
      <w:bookmarkStart w:id="125" w:name="_Toc295897466"/>
      <w:bookmarkStart w:id="126" w:name="_Ref296522599"/>
      <w:bookmarkStart w:id="127" w:name="_Toc298324997"/>
      <w:r>
        <w:rPr>
          <w:noProof/>
          <w:lang w:eastAsia="en-AU"/>
        </w:rPr>
        <w:t>: Actual, fitted, residual analysis</w:t>
      </w:r>
      <w:bookmarkEnd w:id="125"/>
      <w:bookmarkEnd w:id="126"/>
      <w:bookmarkEnd w:id="127"/>
    </w:p>
    <w:p w:rsidR="001A5590" w:rsidRDefault="00DD6724" w:rsidP="00B04B2B">
      <w:pPr>
        <w:pStyle w:val="Figure"/>
      </w:pPr>
      <w:r>
        <w:drawing>
          <wp:inline distT="0" distB="0" distL="0" distR="0">
            <wp:extent cx="4295775" cy="3505200"/>
            <wp:effectExtent l="0" t="0" r="9525" b="0"/>
            <wp:docPr id="9" name="Picture 21" descr="Chart 5.15: Actual, fitted, residual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art 5.15: Actual, fitted, residual analysi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95775" cy="3505200"/>
                    </a:xfrm>
                    <a:prstGeom prst="rect">
                      <a:avLst/>
                    </a:prstGeom>
                    <a:noFill/>
                    <a:ln>
                      <a:noFill/>
                    </a:ln>
                  </pic:spPr>
                </pic:pic>
              </a:graphicData>
            </a:graphic>
          </wp:inline>
        </w:drawing>
      </w:r>
    </w:p>
    <w:p w:rsidR="001A5590" w:rsidRPr="00B449CE" w:rsidRDefault="001A5590" w:rsidP="00B449CE">
      <w:pPr>
        <w:pStyle w:val="Source"/>
      </w:pPr>
      <w:r w:rsidRPr="00B449CE">
        <w:t>Source: Deloitte Access Economics</w:t>
      </w:r>
    </w:p>
    <w:p w:rsidR="001A5590" w:rsidRDefault="001A5590" w:rsidP="00B14920">
      <w:pPr>
        <w:pStyle w:val="BodyText"/>
      </w:pPr>
    </w:p>
    <w:p w:rsidR="001A5590" w:rsidRDefault="001A5590" w:rsidP="001A5590">
      <w:pPr>
        <w:pStyle w:val="Heading1"/>
        <w:numPr>
          <w:ilvl w:val="0"/>
          <w:numId w:val="21"/>
        </w:numPr>
        <w:ind w:left="0" w:hanging="567"/>
      </w:pPr>
      <w:bookmarkStart w:id="128" w:name="_Ref294778175"/>
      <w:bookmarkStart w:id="129" w:name="_Ref294778188"/>
      <w:bookmarkStart w:id="130" w:name="_Toc298324969"/>
      <w:r w:rsidRPr="00640F03">
        <w:lastRenderedPageBreak/>
        <w:t>Case studies</w:t>
      </w:r>
      <w:bookmarkEnd w:id="128"/>
      <w:bookmarkEnd w:id="129"/>
      <w:bookmarkEnd w:id="130"/>
    </w:p>
    <w:p w:rsidR="001A5590" w:rsidRDefault="001A5590" w:rsidP="00691E22">
      <w:pPr>
        <w:pStyle w:val="BodyText"/>
      </w:pPr>
      <w:r>
        <w:t xml:space="preserve">Interviews were held with three case study universities to better understand drivers of research training costs, discipline-specific cost differences and the impact of the current funding structure on the type of research training provided and to supplement the quantitative information outlined above.  Detailed responses can be found in </w:t>
      </w:r>
      <w:r>
        <w:fldChar w:fldCharType="begin"/>
      </w:r>
      <w:r>
        <w:instrText xml:space="preserve"> REF _Ref296586174 \r \h </w:instrText>
      </w:r>
      <w:r>
        <w:fldChar w:fldCharType="separate"/>
      </w:r>
      <w:r w:rsidR="00A01A35">
        <w:t>Appendix F</w:t>
      </w:r>
      <w:r>
        <w:fldChar w:fldCharType="end"/>
      </w:r>
      <w:r>
        <w:t xml:space="preserve">.  </w:t>
      </w:r>
    </w:p>
    <w:p w:rsidR="001A5590" w:rsidRDefault="001A5590" w:rsidP="00640F03">
      <w:pPr>
        <w:pStyle w:val="BodyText"/>
      </w:pPr>
      <w:r>
        <w:t>The universities included:</w:t>
      </w:r>
    </w:p>
    <w:p w:rsidR="001A5590" w:rsidRDefault="001A5590" w:rsidP="00640F03">
      <w:pPr>
        <w:pStyle w:val="Bullet1"/>
        <w:numPr>
          <w:ilvl w:val="0"/>
          <w:numId w:val="18"/>
        </w:numPr>
      </w:pPr>
      <w:r>
        <w:t>a Group of Eight university, which provided data on faculty-specific cost differences;</w:t>
      </w:r>
    </w:p>
    <w:p w:rsidR="001A5590" w:rsidRDefault="001A5590" w:rsidP="00640F03">
      <w:pPr>
        <w:pStyle w:val="Bullet1"/>
        <w:numPr>
          <w:ilvl w:val="0"/>
          <w:numId w:val="18"/>
        </w:numPr>
      </w:pPr>
      <w:r>
        <w:t>an Australian Technology Network university, which provided data on cost weightings for a range of disciplines; and</w:t>
      </w:r>
    </w:p>
    <w:p w:rsidR="001A5590" w:rsidRDefault="001A5590" w:rsidP="00640F03">
      <w:pPr>
        <w:pStyle w:val="Bullet1"/>
        <w:numPr>
          <w:ilvl w:val="0"/>
          <w:numId w:val="18"/>
        </w:numPr>
      </w:pPr>
      <w:r>
        <w:t xml:space="preserve">a non-aligned university, which provided data on project-specific cost differences and how they align with different disciplines. </w:t>
      </w:r>
    </w:p>
    <w:p w:rsidR="001A5590" w:rsidRDefault="001A5590" w:rsidP="00471966">
      <w:pPr>
        <w:pStyle w:val="BodyText"/>
      </w:pPr>
      <w:r w:rsidRPr="00731450">
        <w:t xml:space="preserve">The </w:t>
      </w:r>
      <w:r>
        <w:t>universities</w:t>
      </w:r>
      <w:r w:rsidRPr="00731450">
        <w:t xml:space="preserve"> </w:t>
      </w:r>
      <w:r>
        <w:t>reported</w:t>
      </w:r>
      <w:r w:rsidRPr="00731450">
        <w:t xml:space="preserve"> that cost differences are typically more project</w:t>
      </w:r>
      <w:r>
        <w:t>-</w:t>
      </w:r>
      <w:r w:rsidRPr="00731450">
        <w:t>specific rather than discipline</w:t>
      </w:r>
      <w:r>
        <w:t>-</w:t>
      </w:r>
      <w:r w:rsidRPr="00731450">
        <w:t xml:space="preserve">specific, although some disciplines are more likely to </w:t>
      </w:r>
      <w:r>
        <w:t>incur higher project costs than others.  Cost items that are typically linked to additional costs include:</w:t>
      </w:r>
    </w:p>
    <w:p w:rsidR="001A5590" w:rsidRDefault="001A5590" w:rsidP="00640F03">
      <w:pPr>
        <w:pStyle w:val="Bullet1"/>
        <w:numPr>
          <w:ilvl w:val="0"/>
          <w:numId w:val="18"/>
        </w:numPr>
      </w:pPr>
      <w:r>
        <w:t>laboratory equipment, consumables and reagents;</w:t>
      </w:r>
    </w:p>
    <w:p w:rsidR="001A5590" w:rsidRDefault="001A5590" w:rsidP="00640F03">
      <w:pPr>
        <w:pStyle w:val="Bullet1"/>
        <w:numPr>
          <w:ilvl w:val="0"/>
          <w:numId w:val="18"/>
        </w:numPr>
      </w:pPr>
      <w:r>
        <w:t>data acquisition and associated travel;</w:t>
      </w:r>
    </w:p>
    <w:p w:rsidR="001A5590" w:rsidRDefault="001A5590" w:rsidP="00640F03">
      <w:pPr>
        <w:pStyle w:val="Bullet1"/>
        <w:numPr>
          <w:ilvl w:val="0"/>
          <w:numId w:val="18"/>
        </w:numPr>
      </w:pPr>
      <w:r>
        <w:t>survey costs (including mail-out costs);</w:t>
      </w:r>
    </w:p>
    <w:p w:rsidR="001A5590" w:rsidRDefault="001A5590" w:rsidP="00640F03">
      <w:pPr>
        <w:pStyle w:val="Bullet1"/>
        <w:numPr>
          <w:ilvl w:val="0"/>
          <w:numId w:val="18"/>
        </w:numPr>
      </w:pPr>
      <w:r>
        <w:t>access to external equipment and/or facilities;</w:t>
      </w:r>
    </w:p>
    <w:p w:rsidR="001A5590" w:rsidRDefault="001A5590" w:rsidP="00640F03">
      <w:pPr>
        <w:pStyle w:val="Bullet1"/>
        <w:numPr>
          <w:ilvl w:val="0"/>
          <w:numId w:val="18"/>
        </w:numPr>
      </w:pPr>
      <w:r>
        <w:t xml:space="preserve">access to testing and analysis services; </w:t>
      </w:r>
    </w:p>
    <w:p w:rsidR="001A5590" w:rsidRDefault="001A5590" w:rsidP="00640F03">
      <w:pPr>
        <w:pStyle w:val="Bullet1"/>
        <w:numPr>
          <w:ilvl w:val="0"/>
          <w:numId w:val="18"/>
        </w:numPr>
      </w:pPr>
      <w:r>
        <w:t>industry placements (and associated travel, especially if placements are overseas);</w:t>
      </w:r>
    </w:p>
    <w:p w:rsidR="001A5590" w:rsidRDefault="001A5590" w:rsidP="00640F03">
      <w:pPr>
        <w:pStyle w:val="Bullet1"/>
        <w:numPr>
          <w:ilvl w:val="0"/>
          <w:numId w:val="18"/>
        </w:numPr>
      </w:pPr>
      <w:r>
        <w:t xml:space="preserve">animal laboratory; </w:t>
      </w:r>
    </w:p>
    <w:p w:rsidR="001A5590" w:rsidRDefault="001A5590" w:rsidP="00640F03">
      <w:pPr>
        <w:pStyle w:val="Bullet1"/>
        <w:numPr>
          <w:ilvl w:val="0"/>
          <w:numId w:val="18"/>
        </w:numPr>
      </w:pPr>
      <w:r>
        <w:t xml:space="preserve">field trips; </w:t>
      </w:r>
    </w:p>
    <w:p w:rsidR="001A5590" w:rsidRDefault="001A5590" w:rsidP="00640F03">
      <w:pPr>
        <w:pStyle w:val="Bullet1"/>
        <w:numPr>
          <w:ilvl w:val="0"/>
          <w:numId w:val="18"/>
        </w:numPr>
      </w:pPr>
      <w:r>
        <w:t xml:space="preserve">costs of presenting papers and associated travel; and </w:t>
      </w:r>
    </w:p>
    <w:p w:rsidR="001A5590" w:rsidRDefault="001A5590" w:rsidP="00640F03">
      <w:pPr>
        <w:pStyle w:val="Bullet1"/>
        <w:numPr>
          <w:ilvl w:val="0"/>
          <w:numId w:val="18"/>
        </w:numPr>
      </w:pPr>
      <w:r>
        <w:t xml:space="preserve">physical space for creative arts (e.g. galleries, workshops). </w:t>
      </w:r>
    </w:p>
    <w:p w:rsidR="001A5590" w:rsidRDefault="001A5590" w:rsidP="00640F03">
      <w:pPr>
        <w:pStyle w:val="BodyText"/>
      </w:pPr>
      <w:r>
        <w:t>Additional costs associated with these cost items can be up to $10,000 per RTS EFTSL and some research projects may require a number of such items.  In addition, discipline-specific costs are affected by the relative size of a school (i.e. the cost base per student is significantly higher in a school that only has one or two research training places).</w:t>
      </w:r>
    </w:p>
    <w:p w:rsidR="001A5590" w:rsidRDefault="001A5590" w:rsidP="00640F03">
      <w:pPr>
        <w:pStyle w:val="BodyText"/>
      </w:pPr>
      <w:r>
        <w:t>Other cost drivers also considered relevant include the following:</w:t>
      </w:r>
    </w:p>
    <w:p w:rsidR="001A5590" w:rsidRDefault="001A5590" w:rsidP="00640F03">
      <w:pPr>
        <w:pStyle w:val="Bullet1"/>
        <w:numPr>
          <w:ilvl w:val="0"/>
          <w:numId w:val="18"/>
        </w:numPr>
      </w:pPr>
      <w:r>
        <w:t xml:space="preserve">The mode of delivery was thought to significantly affect costs.  For instance, costs are significantly higher for students studying on-campus rather than off-campus. </w:t>
      </w:r>
    </w:p>
    <w:p w:rsidR="001A5590" w:rsidRDefault="001A5590" w:rsidP="00640F03">
      <w:pPr>
        <w:pStyle w:val="Bullet1"/>
        <w:numPr>
          <w:ilvl w:val="0"/>
          <w:numId w:val="18"/>
        </w:numPr>
      </w:pPr>
      <w:r>
        <w:t xml:space="preserve">Being split across multiple campuses was thought to have a small impact (e.g. if students study at multiple campuses, hot desks need to be provided at the second campus) but distance between campuses has the biggest effect (e.g. a large distance between campuses may mean that services have to be duplicated which significantly increases costs).  </w:t>
      </w:r>
    </w:p>
    <w:p w:rsidR="001A5590" w:rsidRPr="00556C5A" w:rsidRDefault="001A5590" w:rsidP="00640F03">
      <w:pPr>
        <w:pStyle w:val="Bullet1"/>
        <w:numPr>
          <w:ilvl w:val="0"/>
          <w:numId w:val="18"/>
        </w:numPr>
      </w:pPr>
      <w:r>
        <w:t>Although regression results did not substantiate this, a</w:t>
      </w:r>
      <w:r w:rsidRPr="00556C5A">
        <w:t xml:space="preserve"> higher share of part-time students was thought to increase research training costs per EFTSL</w:t>
      </w:r>
      <w:r>
        <w:t>,</w:t>
      </w:r>
      <w:r w:rsidRPr="00556C5A">
        <w:t xml:space="preserve"> as some costs (such as office space) depend on student volume (head count) rather than attendance mode. </w:t>
      </w:r>
    </w:p>
    <w:p w:rsidR="001A5590" w:rsidRDefault="001A5590" w:rsidP="00640F03">
      <w:pPr>
        <w:pStyle w:val="BodyText"/>
      </w:pPr>
      <w:r>
        <w:lastRenderedPageBreak/>
        <w:t xml:space="preserve">In contrast, university-wide economies of scale were not considered to be strong, as additional size may lead to additional costs, especially as universities reach capacity constraints (e.g. in relation to resources available, supervisory staff and physical space).  </w:t>
      </w:r>
    </w:p>
    <w:p w:rsidR="001A5590" w:rsidRDefault="001A5590" w:rsidP="00640F03">
      <w:pPr>
        <w:pStyle w:val="BodyText"/>
      </w:pPr>
      <w:r w:rsidRPr="00AD7FB1">
        <w:t>RTS funding is typically distributed to faculties or schools, which can then</w:t>
      </w:r>
      <w:r>
        <w:t xml:space="preserve"> determine how to allocate funds to individual projects.  A number of factors determine whether a research project will proceed.  These include the students’ research interest, individual supervisors and their ability to provide research training to students as part of research projects they are running and the availability of external funding (such as ARC or NHMRC grants).  </w:t>
      </w:r>
    </w:p>
    <w:p w:rsidR="001A5590" w:rsidRDefault="001A5590" w:rsidP="00640F03">
      <w:pPr>
        <w:pStyle w:val="BodyText"/>
      </w:pPr>
      <w:r>
        <w:t xml:space="preserve">While the level of RTS funding alone is unlikely to stop projects from proceeding, funding gaps affect the quality of the services provided, the study environment and, ultimately, student satisfaction.  Current funding is also likely to hamper opportunities to increase the number of research training places provided in individual disciplines, especially when they are already close to saturation and expansion would require additional infrastructure investment. </w:t>
      </w:r>
    </w:p>
    <w:p w:rsidR="001A5590" w:rsidRDefault="001A5590" w:rsidP="001A5590">
      <w:pPr>
        <w:pStyle w:val="Heading1"/>
        <w:numPr>
          <w:ilvl w:val="0"/>
          <w:numId w:val="21"/>
        </w:numPr>
        <w:ind w:left="0" w:hanging="567"/>
      </w:pPr>
      <w:bookmarkStart w:id="131" w:name="_Toc215906320"/>
      <w:bookmarkStart w:id="132" w:name="_Toc227746677"/>
      <w:bookmarkStart w:id="133" w:name="_Toc227746681"/>
      <w:bookmarkStart w:id="134" w:name="_Toc227746685"/>
      <w:bookmarkStart w:id="135" w:name="_Toc227746689"/>
      <w:bookmarkStart w:id="136" w:name="_Toc227748311"/>
      <w:bookmarkStart w:id="137" w:name="_Toc227748329"/>
      <w:bookmarkStart w:id="138" w:name="_Toc227748333"/>
      <w:bookmarkStart w:id="139" w:name="_Toc227748337"/>
      <w:bookmarkStart w:id="140" w:name="_Toc227748376"/>
      <w:bookmarkStart w:id="141" w:name="_Toc227748380"/>
      <w:bookmarkStart w:id="142" w:name="_Toc227748384"/>
      <w:bookmarkStart w:id="143" w:name="_Toc227748496"/>
      <w:bookmarkStart w:id="144" w:name="_Toc227748500"/>
      <w:bookmarkStart w:id="145" w:name="_Toc228005207"/>
      <w:bookmarkStart w:id="146" w:name="_Toc228092498"/>
      <w:bookmarkStart w:id="147" w:name="_Toc228264953"/>
      <w:bookmarkStart w:id="148" w:name="_Toc228264975"/>
      <w:bookmarkStart w:id="149" w:name="_Toc228264979"/>
      <w:bookmarkStart w:id="150" w:name="_Toc228264983"/>
      <w:bookmarkStart w:id="151" w:name="_Toc228264987"/>
      <w:bookmarkStart w:id="152" w:name="_Toc228265217"/>
      <w:bookmarkStart w:id="153" w:name="_Toc298324970"/>
      <w:r w:rsidRPr="00640F03">
        <w:lastRenderedPageBreak/>
        <w:t>Conclusions</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1A5590" w:rsidRDefault="001A5590" w:rsidP="00640F03">
      <w:pPr>
        <w:pStyle w:val="BodyText"/>
      </w:pPr>
      <w:r>
        <w:t xml:space="preserve">Research training costs were found to vary significantly across Australian universities, ranging from around $18,000 per RTS EFTSL to around $56,000 per RTS EFTSL.  The reasons for the cost differences across universities are not well understood. </w:t>
      </w:r>
    </w:p>
    <w:p w:rsidR="001A5590" w:rsidRDefault="001A5590" w:rsidP="00224781">
      <w:pPr>
        <w:pStyle w:val="Heading2Appendix"/>
      </w:pPr>
      <w:r>
        <w:t>Drivers of research training costs</w:t>
      </w:r>
    </w:p>
    <w:p w:rsidR="001A5590" w:rsidRDefault="001A5590" w:rsidP="001A5590">
      <w:pPr>
        <w:pStyle w:val="BodyText"/>
      </w:pPr>
      <w:r>
        <w:t>A number of different factors thought to have an impact on costs were analysed.  They include location, number of campuses, scale, research intensity, ratio of Masters to PhD students, ratio of part-time to full-time students, staff-student ratio, study mode (on</w:t>
      </w:r>
      <w:r>
        <w:noBreakHyphen/>
        <w:t>campus versus off-campus) and total student enrolments.  While basic statistical analysis showed some, although often weak, links between those factors and research training costs, the cost drivers found to be statistically significant at the 5% level in the regression model were:</w:t>
      </w:r>
    </w:p>
    <w:p w:rsidR="001A5590" w:rsidRDefault="001A5590">
      <w:pPr>
        <w:pStyle w:val="Bullet1"/>
        <w:numPr>
          <w:ilvl w:val="0"/>
          <w:numId w:val="18"/>
        </w:numPr>
      </w:pPr>
      <w:r>
        <w:t xml:space="preserve">location (non-metropolitan universities have higher average research training costs per RTS HDR EFTSL than metropolitan universities);  </w:t>
      </w:r>
    </w:p>
    <w:p w:rsidR="001A5590" w:rsidRDefault="001A5590" w:rsidP="00781336">
      <w:pPr>
        <w:pStyle w:val="Bullet1"/>
        <w:numPr>
          <w:ilvl w:val="0"/>
          <w:numId w:val="18"/>
        </w:numPr>
      </w:pPr>
      <w:r>
        <w:t xml:space="preserve">the ratio of part-time to full-time students (with a higher ratio leading to reduced average research training costs); </w:t>
      </w:r>
    </w:p>
    <w:p w:rsidR="001A5590" w:rsidRDefault="001A5590" w:rsidP="00781336">
      <w:pPr>
        <w:pStyle w:val="Bullet1"/>
        <w:numPr>
          <w:ilvl w:val="0"/>
          <w:numId w:val="18"/>
        </w:numPr>
      </w:pPr>
      <w:r>
        <w:t xml:space="preserve">the total number of students enrolled (with a larger number of students leading to increased average research training costs); and </w:t>
      </w:r>
    </w:p>
    <w:p w:rsidR="001A5590" w:rsidRDefault="001A5590" w:rsidP="00781336">
      <w:pPr>
        <w:pStyle w:val="Bullet1"/>
        <w:numPr>
          <w:ilvl w:val="0"/>
          <w:numId w:val="18"/>
        </w:numPr>
      </w:pPr>
      <w:r>
        <w:t xml:space="preserve">the ratio of RTS candidates to total HDR candidates (with a higher ratio leading to reduced average research training costs). </w:t>
      </w:r>
    </w:p>
    <w:p w:rsidR="001A5590" w:rsidRDefault="001A5590" w:rsidP="00B7544D">
      <w:pPr>
        <w:pStyle w:val="BodyText"/>
      </w:pPr>
      <w:r>
        <w:t xml:space="preserve">Due to the methodological issues surrounding the data, the limited links between the potential costs drivers and actual research training costs were not unexpected.  It is impossible to conclude accurately whether most university-specific differences exert no significant impact on average research training costs (as the results show) or whether the quality of the cost data have influenced these results.   </w:t>
      </w:r>
    </w:p>
    <w:p w:rsidR="001A5590" w:rsidRDefault="001A5590" w:rsidP="00B7544D">
      <w:pPr>
        <w:pStyle w:val="BodyText"/>
      </w:pPr>
      <w:r>
        <w:t>It is also possible</w:t>
      </w:r>
      <w:r w:rsidRPr="004D0383">
        <w:t xml:space="preserve"> that a number of additional variables</w:t>
      </w:r>
      <w:r>
        <w:t xml:space="preserve">, which could </w:t>
      </w:r>
      <w:r w:rsidRPr="004D0383">
        <w:t>not be tested due to data limitations</w:t>
      </w:r>
      <w:r>
        <w:t>,</w:t>
      </w:r>
      <w:r w:rsidRPr="004D0383">
        <w:t xml:space="preserve"> are significant cost drivers.</w:t>
      </w:r>
      <w:r>
        <w:t xml:space="preserve">  For instance, universities suggested that some universities’ encouragement of all students to attend conferences to present papers, the establishment and maintenance of specialist facilities and the need to retain </w:t>
      </w:r>
      <w:r w:rsidRPr="00690342">
        <w:t>flexibility (to adapt to technical change ) also have a significant impact on research training costs.</w:t>
      </w:r>
      <w:r>
        <w:t xml:space="preserve">  </w:t>
      </w:r>
    </w:p>
    <w:p w:rsidR="001A5590" w:rsidRDefault="001A5590" w:rsidP="00640F03">
      <w:pPr>
        <w:pStyle w:val="BodyText"/>
      </w:pPr>
      <w:r>
        <w:t>Furthermore, universities suggested that research training costs per RTS EFTSL not only vary across universities but that there is also a significant variation within universities.  Costs are more likely to be linked to the requirements of individual research projects than to disciplines and hence a university’s strategic decision-making and choice of research projects could be another important cost driver.  However, given that data on project</w:t>
      </w:r>
      <w:r>
        <w:noBreakHyphen/>
        <w:t xml:space="preserve">specific or discipline-specific costs are limited, this remains an area for further </w:t>
      </w:r>
      <w:r w:rsidRPr="00B7544D">
        <w:t>investigation.</w:t>
      </w:r>
    </w:p>
    <w:p w:rsidR="001A5590" w:rsidRDefault="001A5590" w:rsidP="00224781">
      <w:pPr>
        <w:pStyle w:val="Heading2Appendix"/>
      </w:pPr>
      <w:r>
        <w:lastRenderedPageBreak/>
        <w:t>RTS funding</w:t>
      </w:r>
    </w:p>
    <w:p w:rsidR="001A5590" w:rsidRDefault="001A5590" w:rsidP="00640F03">
      <w:pPr>
        <w:pStyle w:val="BodyText"/>
      </w:pPr>
      <w:r>
        <w:t>Overall, the data substantiated the claim that there is a funding difference in the provision of RTS places.  Most universities appear to spend more on research training than their RTS funding provides. By way of illustration, some universities indicated in face-to-face interviews that for low cost disciplines such as humanities the funding gap is currently largest.  This affects their provision of basic infrastructure such as office space.</w:t>
      </w:r>
    </w:p>
    <w:p w:rsidR="001A5590" w:rsidRDefault="001A5590" w:rsidP="00640F03">
      <w:pPr>
        <w:pStyle w:val="BodyText"/>
      </w:pPr>
      <w:r>
        <w:t xml:space="preserve">However, research projects are determined by strategic decisions made by schools rather than funding alone.  Research training is typically cross-subsidised (e.g. through teaching funding or income from other sources).  The extent to which there is a funding gap is not always clear.  Furthermore, no assessment was made on how well managed university programs are.  Hence the actual funding gap, especially in particular disciplines, is another area for further study. </w:t>
      </w:r>
    </w:p>
    <w:p w:rsidR="001A5590" w:rsidRDefault="001A5590" w:rsidP="001A5590">
      <w:pPr>
        <w:pStyle w:val="BodyText"/>
      </w:pPr>
      <w:r>
        <w:t>Universities suggested</w:t>
      </w:r>
      <w:r w:rsidRPr="004D0383">
        <w:t xml:space="preserve"> alternatives to the </w:t>
      </w:r>
      <w:r>
        <w:t xml:space="preserve">current </w:t>
      </w:r>
      <w:r w:rsidRPr="004D0383">
        <w:t xml:space="preserve">high-cost/low-cost </w:t>
      </w:r>
      <w:r>
        <w:t>funding approach:</w:t>
      </w:r>
    </w:p>
    <w:p w:rsidR="001A5590" w:rsidRDefault="001A5590" w:rsidP="00427B28">
      <w:pPr>
        <w:pStyle w:val="Bullet1"/>
        <w:numPr>
          <w:ilvl w:val="0"/>
          <w:numId w:val="18"/>
        </w:numPr>
      </w:pPr>
      <w:r>
        <w:t xml:space="preserve">One approach could be to review the current high-cost/low-cost disciplines, particularly as technology changes may have affected costs since disciplines were first categorised, and add a medium-cost category.  </w:t>
      </w:r>
    </w:p>
    <w:p w:rsidR="001A5590" w:rsidRDefault="001A5590" w:rsidP="00D03826">
      <w:pPr>
        <w:pStyle w:val="Bullet1"/>
        <w:numPr>
          <w:ilvl w:val="0"/>
          <w:numId w:val="18"/>
        </w:numPr>
      </w:pPr>
      <w:r w:rsidRPr="004058E1">
        <w:t xml:space="preserve">Another approach could be </w:t>
      </w:r>
      <w:r>
        <w:t xml:space="preserve">to provide </w:t>
      </w:r>
      <w:r w:rsidRPr="004058E1">
        <w:t xml:space="preserve">a </w:t>
      </w:r>
      <w:r>
        <w:t>foundation</w:t>
      </w:r>
      <w:r w:rsidRPr="004058E1">
        <w:t xml:space="preserve"> level of funding </w:t>
      </w:r>
      <w:r>
        <w:t xml:space="preserve">regardless of discipline </w:t>
      </w:r>
      <w:r w:rsidRPr="004058E1">
        <w:t>to meet the essential requirements of every research training student independent of the field of study (reflecting the fact that all HDR candidates require desk, library access, supervisors, travel/conference, basic skills training, etc).  On top</w:t>
      </w:r>
      <w:r>
        <w:t xml:space="preserve"> of that, funding could be linked to loadings based on requirements and costs of specific research topics or disciplines (e.g. academic staff in disciplines where alternative commercial opportunities are readily available will command higher salaries; research training in scientific disciplines may require access to expensive research infrastructure; artists require large amounts of space, etc). </w:t>
      </w:r>
    </w:p>
    <w:p w:rsidR="001A5590" w:rsidRDefault="001A5590" w:rsidP="00640F03">
      <w:pPr>
        <w:pStyle w:val="BodyText"/>
      </w:pPr>
      <w:r>
        <w:t xml:space="preserve">The key difficulty is to find a funding approach that is efficient and cost reflective yet simple enough to administer.  There is a trade-off between cost reflection and simplicity, as a cost reflective approach is likely to be very complex (given the unique nature of research projects).  </w:t>
      </w:r>
    </w:p>
    <w:p w:rsidR="001A5590" w:rsidRPr="00B7544D" w:rsidRDefault="001A5590" w:rsidP="00640F03">
      <w:pPr>
        <w:pStyle w:val="BodyText"/>
      </w:pPr>
      <w:r>
        <w:t xml:space="preserve">Sometimes the full costs of a research project are only known once the project is completed and it would be challenging for any model to determine the precise funding amount </w:t>
      </w:r>
      <w:r w:rsidRPr="002939B3">
        <w:rPr>
          <w:rStyle w:val="italicChar"/>
        </w:rPr>
        <w:t>a priori</w:t>
      </w:r>
      <w:r>
        <w:t xml:space="preserve">.  Another challenge is the change of offerings and the shift in disciplines over time.  Hence, funding requirements may change significantly over time. </w:t>
      </w:r>
    </w:p>
    <w:p w:rsidR="001A5590" w:rsidRDefault="001A5590" w:rsidP="00224781">
      <w:pPr>
        <w:pStyle w:val="Heading2Appendix"/>
      </w:pPr>
      <w:r>
        <w:t>Areas for further research</w:t>
      </w:r>
    </w:p>
    <w:p w:rsidR="001A5590" w:rsidRDefault="001A5590" w:rsidP="00F21782">
      <w:pPr>
        <w:pStyle w:val="BodyText"/>
      </w:pPr>
      <w:r>
        <w:t xml:space="preserve">Areas for further investigation could include: </w:t>
      </w:r>
    </w:p>
    <w:p w:rsidR="001A5590" w:rsidRDefault="001A5590" w:rsidP="00471966">
      <w:pPr>
        <w:pStyle w:val="Bullet1"/>
        <w:numPr>
          <w:ilvl w:val="0"/>
          <w:numId w:val="18"/>
        </w:numPr>
      </w:pPr>
      <w:r>
        <w:t>c</w:t>
      </w:r>
      <w:r w:rsidRPr="00F21782">
        <w:t>ollecting better data on project-specific or discipline-specific costs</w:t>
      </w:r>
      <w:r>
        <w:t>.</w:t>
      </w:r>
    </w:p>
    <w:p w:rsidR="001A5590" w:rsidRDefault="001A5590" w:rsidP="00471966">
      <w:pPr>
        <w:pStyle w:val="Bullet1"/>
        <w:numPr>
          <w:ilvl w:val="0"/>
          <w:numId w:val="18"/>
        </w:numPr>
      </w:pPr>
      <w:r>
        <w:t>drawing on work on the implementation of research training policies in universities to inform future work on the costs of research training.</w:t>
      </w:r>
    </w:p>
    <w:p w:rsidR="001A5590" w:rsidRPr="00471966" w:rsidRDefault="001A5590" w:rsidP="00471966">
      <w:pPr>
        <w:pStyle w:val="Bullet1"/>
        <w:numPr>
          <w:ilvl w:val="0"/>
          <w:numId w:val="18"/>
        </w:numPr>
      </w:pPr>
      <w:r>
        <w:t xml:space="preserve">collecting </w:t>
      </w:r>
      <w:r w:rsidRPr="00F21782">
        <w:t>further</w:t>
      </w:r>
      <w:r>
        <w:t xml:space="preserve"> information on the difference between research training costs and funding that universities are experiencing.</w:t>
      </w:r>
    </w:p>
    <w:p w:rsidR="001A5590" w:rsidRPr="00F21782" w:rsidRDefault="001A5590" w:rsidP="00F21782">
      <w:pPr>
        <w:pStyle w:val="Bullet1"/>
        <w:numPr>
          <w:ilvl w:val="0"/>
          <w:numId w:val="18"/>
        </w:numPr>
      </w:pPr>
      <w:r>
        <w:t>undertaking a s</w:t>
      </w:r>
      <w:r w:rsidRPr="00F21782">
        <w:t>tudy of activity</w:t>
      </w:r>
      <w:r>
        <w:t>-</w:t>
      </w:r>
      <w:r w:rsidRPr="00F21782">
        <w:t>based cost</w:t>
      </w:r>
      <w:r>
        <w:t>ing (instead of discipline costing).</w:t>
      </w:r>
    </w:p>
    <w:p w:rsidR="001A5590" w:rsidRPr="00F21782" w:rsidRDefault="001A5590" w:rsidP="00F21782">
      <w:pPr>
        <w:pStyle w:val="Bullet1"/>
        <w:numPr>
          <w:ilvl w:val="0"/>
          <w:numId w:val="18"/>
        </w:numPr>
      </w:pPr>
      <w:r>
        <w:lastRenderedPageBreak/>
        <w:t xml:space="preserve">undertaking a reassessment of the foundation </w:t>
      </w:r>
      <w:r w:rsidRPr="00F21782">
        <w:t xml:space="preserve">level funding for all research students </w:t>
      </w:r>
      <w:r>
        <w:t xml:space="preserve">(to ensure that this is </w:t>
      </w:r>
      <w:r w:rsidRPr="00F21782">
        <w:t>adequate</w:t>
      </w:r>
      <w:r>
        <w:t xml:space="preserve">). </w:t>
      </w:r>
    </w:p>
    <w:p w:rsidR="001A5590" w:rsidRPr="00F21782" w:rsidRDefault="001A5590" w:rsidP="00F21782">
      <w:pPr>
        <w:pStyle w:val="Bullet1"/>
        <w:numPr>
          <w:ilvl w:val="0"/>
          <w:numId w:val="18"/>
        </w:numPr>
      </w:pPr>
      <w:r>
        <w:t>a further analysis of the loadings that would be required on top of the minimum base</w:t>
      </w:r>
      <w:r>
        <w:noBreakHyphen/>
        <w:t xml:space="preserve">level funding. </w:t>
      </w:r>
    </w:p>
    <w:p w:rsidR="001A5590" w:rsidRPr="00F21782" w:rsidRDefault="001A5590" w:rsidP="00F21782">
      <w:pPr>
        <w:pStyle w:val="Bullet1"/>
        <w:numPr>
          <w:ilvl w:val="0"/>
          <w:numId w:val="18"/>
        </w:numPr>
      </w:pPr>
      <w:r>
        <w:t xml:space="preserve">an assessment of the </w:t>
      </w:r>
      <w:r w:rsidRPr="00F21782">
        <w:t>efficiency of uni</w:t>
      </w:r>
      <w:r>
        <w:t xml:space="preserve">versity research (i.e. while </w:t>
      </w:r>
      <w:r w:rsidRPr="00F21782">
        <w:t xml:space="preserve">increased funding may be warranted, it also incumbent upon universities to use available funds </w:t>
      </w:r>
      <w:r>
        <w:t>efficiently and effectively)</w:t>
      </w:r>
      <w:r w:rsidRPr="00F21782">
        <w:t>.</w:t>
      </w:r>
    </w:p>
    <w:p w:rsidR="001A5590" w:rsidRDefault="001A5590" w:rsidP="00FD179B">
      <w:pPr>
        <w:pStyle w:val="BodyText"/>
        <w:rPr>
          <w:highlight w:val="yellow"/>
        </w:rPr>
      </w:pPr>
    </w:p>
    <w:p w:rsidR="001A5590" w:rsidRDefault="001A5590" w:rsidP="00FD179B">
      <w:pPr>
        <w:pStyle w:val="Heading1Heading"/>
      </w:pPr>
      <w:r>
        <w:br w:type="page"/>
      </w:r>
      <w:bookmarkStart w:id="154" w:name="_Toc298324971"/>
      <w:r w:rsidRPr="0007747C">
        <w:lastRenderedPageBreak/>
        <w:t>References</w:t>
      </w:r>
      <w:bookmarkEnd w:id="154"/>
    </w:p>
    <w:p w:rsidR="001A5590" w:rsidRPr="004321B8" w:rsidRDefault="001A5590" w:rsidP="00481593">
      <w:pPr>
        <w:pStyle w:val="Reference"/>
      </w:pPr>
      <w:r>
        <w:t xml:space="preserve">Allen Consulting Group, 2008, </w:t>
      </w:r>
      <w:r>
        <w:rPr>
          <w:i/>
        </w:rPr>
        <w:t xml:space="preserve">Recognising the full cost of university research, Issues </w:t>
      </w:r>
      <w:r w:rsidR="00AD7832">
        <w:rPr>
          <w:i/>
        </w:rPr>
        <w:t>paper,</w:t>
      </w:r>
      <w:r>
        <w:rPr>
          <w:i/>
        </w:rPr>
        <w:t xml:space="preserve"> </w:t>
      </w:r>
      <w:r w:rsidR="00152C50" w:rsidRPr="00152C50">
        <w:t>http://www.innovation.gov.au/Research/ResearchBlockGrants/Documents/Allen_Issues_Paper.pdf</w:t>
      </w:r>
      <w:r w:rsidRPr="004321B8">
        <w:t>, accessed 21 June, 2011.</w:t>
      </w:r>
    </w:p>
    <w:p w:rsidR="00AD7832" w:rsidRDefault="001A5590" w:rsidP="00AD7832">
      <w:pPr>
        <w:pStyle w:val="Reference"/>
      </w:pPr>
      <w:r w:rsidRPr="00AC3912">
        <w:t xml:space="preserve">Access Economics, 2010, </w:t>
      </w:r>
      <w:smartTag w:uri="urn:schemas-microsoft-com:office:smarttags" w:element="place">
        <w:r w:rsidRPr="00AC3912">
          <w:rPr>
            <w:i/>
          </w:rPr>
          <w:t>Australia</w:t>
        </w:r>
      </w:smartTag>
      <w:r w:rsidRPr="00AC3912">
        <w:rPr>
          <w:i/>
        </w:rPr>
        <w:t>’s future research workforce: supply, demand and influence factors,</w:t>
      </w:r>
      <w:r w:rsidRPr="00AC3912">
        <w:t xml:space="preserve"> report for the Department of Innovation, Industry, Science and Research, 30 April</w:t>
      </w:r>
      <w:r w:rsidR="00A2286A">
        <w:t xml:space="preserve">, </w:t>
      </w:r>
      <w:r w:rsidRPr="00AC3912">
        <w:t>2010.</w:t>
      </w:r>
    </w:p>
    <w:p w:rsidR="00A2286A" w:rsidRDefault="00A2286A" w:rsidP="00A2286A">
      <w:pPr>
        <w:pStyle w:val="Reference"/>
      </w:pPr>
      <w:r w:rsidRPr="00AC3912">
        <w:t>Department of Innovation, Industry, Sc</w:t>
      </w:r>
      <w:r>
        <w:t xml:space="preserve">ience and Research (DIISR), 2001, </w:t>
      </w:r>
      <w:r>
        <w:rPr>
          <w:i/>
        </w:rPr>
        <w:t xml:space="preserve">Portfolio Budget Statements 2001-02, </w:t>
      </w:r>
      <w:r>
        <w:t xml:space="preserve">Budget related paper no. 1.13, </w:t>
      </w:r>
      <w:hyperlink r:id="rId29" w:history="1">
        <w:r w:rsidRPr="00FD01DF">
          <w:rPr>
            <w:rStyle w:val="Hyperlink"/>
          </w:rPr>
          <w:t>http://www.innovation.gov.au/AboutUs/FinancialInformationandLegislation/BudgetInformation/Documents/PortfolioBudgetStatementsFull2001-02.pdf</w:t>
        </w:r>
      </w:hyperlink>
      <w:r>
        <w:t>, accessed 6 July, 2011.</w:t>
      </w:r>
    </w:p>
    <w:p w:rsidR="00A2286A" w:rsidRDefault="00A2286A" w:rsidP="00A2286A">
      <w:pPr>
        <w:pStyle w:val="Reference"/>
      </w:pPr>
      <w:r w:rsidRPr="00AC3912">
        <w:t>Department of Innovation, Industry, Sc</w:t>
      </w:r>
      <w:r>
        <w:t xml:space="preserve">ience and Research (DIISR), 2002, </w:t>
      </w:r>
      <w:r>
        <w:rPr>
          <w:i/>
        </w:rPr>
        <w:t xml:space="preserve">Portfolio Budget Statements 2002-03, </w:t>
      </w:r>
      <w:r>
        <w:t xml:space="preserve">Budget related paper no. 1.13, </w:t>
      </w:r>
      <w:hyperlink r:id="rId30" w:history="1">
        <w:r w:rsidR="001F56F9" w:rsidRPr="00FD01DF">
          <w:rPr>
            <w:rStyle w:val="Hyperlink"/>
          </w:rPr>
          <w:t>http://www.innovation.gov.au/AboutUs/FinancialInformationandLegislation/BudgetInformation/Documents/PortfolioBudgetStatementsFull2002-03.pdf</w:t>
        </w:r>
      </w:hyperlink>
      <w:r w:rsidR="001F56F9">
        <w:t>, accessed 6 July, 2011.</w:t>
      </w:r>
    </w:p>
    <w:p w:rsidR="001F56F9" w:rsidRDefault="001F56F9" w:rsidP="00A2286A">
      <w:pPr>
        <w:pStyle w:val="Reference"/>
      </w:pPr>
      <w:r w:rsidRPr="00AC3912">
        <w:t>Department of Innovation, Industry, Sc</w:t>
      </w:r>
      <w:r>
        <w:t xml:space="preserve">ience and Research (DIISR), 2003, </w:t>
      </w:r>
      <w:r>
        <w:rPr>
          <w:i/>
        </w:rPr>
        <w:t xml:space="preserve">Portfolio Budget Statements 2003-04, </w:t>
      </w:r>
      <w:r>
        <w:t xml:space="preserve">Budget related paper no. 1.13, </w:t>
      </w:r>
      <w:hyperlink r:id="rId31" w:history="1">
        <w:r w:rsidRPr="00FD01DF">
          <w:rPr>
            <w:rStyle w:val="Hyperlink"/>
          </w:rPr>
          <w:t>http://www.innovation.gov.au/AboutUs/FinancialInformationandLegislation/BudgetInformation/Documents/PortfolioBudgetStatementsFull2003-04.pdf</w:t>
        </w:r>
      </w:hyperlink>
      <w:r>
        <w:t>, accessed 6 July, 2011.</w:t>
      </w:r>
    </w:p>
    <w:p w:rsidR="001F56F9" w:rsidRDefault="001F56F9" w:rsidP="00A2286A">
      <w:pPr>
        <w:pStyle w:val="Reference"/>
      </w:pPr>
      <w:r w:rsidRPr="00AC3912">
        <w:t>Department of Innovation, Industry, Sc</w:t>
      </w:r>
      <w:r>
        <w:t xml:space="preserve">ience and Research (DIISR), 2004, </w:t>
      </w:r>
      <w:r>
        <w:rPr>
          <w:i/>
        </w:rPr>
        <w:t xml:space="preserve">Portfolio Budget Statements 2004-05, </w:t>
      </w:r>
      <w:r>
        <w:t xml:space="preserve">Budget related paper no. 1.13, </w:t>
      </w:r>
      <w:hyperlink r:id="rId32" w:history="1">
        <w:r w:rsidRPr="00FD01DF">
          <w:rPr>
            <w:rStyle w:val="Hyperlink"/>
          </w:rPr>
          <w:t>http://www.innovation.gov.au/AboutUs/FinancialInformationandLegislation/BudgetInformation/Documents/PortfolioBudgetStatementsFull2004-05.pdf</w:t>
        </w:r>
      </w:hyperlink>
      <w:r>
        <w:t>, accessed 6 July, 2011.</w:t>
      </w:r>
    </w:p>
    <w:p w:rsidR="001F56F9" w:rsidRDefault="001F56F9" w:rsidP="00A2286A">
      <w:pPr>
        <w:pStyle w:val="Reference"/>
      </w:pPr>
      <w:r w:rsidRPr="00AC3912">
        <w:t>Department of Innovation, Industry, Sc</w:t>
      </w:r>
      <w:r>
        <w:t xml:space="preserve">ience and Research (DIISR), 2005, </w:t>
      </w:r>
      <w:r>
        <w:rPr>
          <w:i/>
        </w:rPr>
        <w:t xml:space="preserve">Portfolio Budget Statements 2005-06, </w:t>
      </w:r>
      <w:r>
        <w:t>Budget related paper no. 1.13,</w:t>
      </w:r>
      <w:r w:rsidRPr="001F56F9">
        <w:t xml:space="preserve"> </w:t>
      </w:r>
      <w:hyperlink r:id="rId33" w:history="1">
        <w:r w:rsidRPr="00FD01DF">
          <w:rPr>
            <w:rStyle w:val="Hyperlink"/>
          </w:rPr>
          <w:t>http://www.innovation.gov.au/AboutUs/FinancialInformationandLegislation/BudgetInformation/Documents/PortfolioBudgetStatementsFull2005-06.pdf</w:t>
        </w:r>
      </w:hyperlink>
      <w:r>
        <w:t>, accessed 6 July, 2011.</w:t>
      </w:r>
    </w:p>
    <w:p w:rsidR="001F56F9" w:rsidRDefault="001F56F9" w:rsidP="00A2286A">
      <w:pPr>
        <w:pStyle w:val="Reference"/>
      </w:pPr>
      <w:r w:rsidRPr="00AC3912">
        <w:t>Department of Innovation, Industry, Sc</w:t>
      </w:r>
      <w:r>
        <w:t xml:space="preserve">ience and Research (DIISR), 2006, </w:t>
      </w:r>
      <w:r>
        <w:rPr>
          <w:i/>
        </w:rPr>
        <w:t xml:space="preserve">Portfolio Budget Statements 2006-07, </w:t>
      </w:r>
      <w:r>
        <w:t xml:space="preserve">Budget related paper no. 1.13, </w:t>
      </w:r>
      <w:hyperlink r:id="rId34" w:history="1">
        <w:r w:rsidRPr="00FD01DF">
          <w:rPr>
            <w:rStyle w:val="Hyperlink"/>
          </w:rPr>
          <w:t>http://www.innovation.gov.au/AboutUs/FinancialInformationandLegislation/BudgetInformation/Documents/PortfolioBudgetStatementsFull2006-07.pdf</w:t>
        </w:r>
      </w:hyperlink>
      <w:r>
        <w:t>, accessed 6 July, 2011.</w:t>
      </w:r>
    </w:p>
    <w:p w:rsidR="001F56F9" w:rsidRDefault="001F56F9" w:rsidP="00A2286A">
      <w:pPr>
        <w:pStyle w:val="Reference"/>
      </w:pPr>
      <w:r w:rsidRPr="00AC3912">
        <w:t>Department of Innovation, Industry, Sc</w:t>
      </w:r>
      <w:r>
        <w:t xml:space="preserve">ience and Research (DIISR), 2007, </w:t>
      </w:r>
      <w:r>
        <w:rPr>
          <w:i/>
        </w:rPr>
        <w:t xml:space="preserve">Portfolio Budget Statements 2007-08, </w:t>
      </w:r>
      <w:r>
        <w:t>Budget related paper no. 1.14,</w:t>
      </w:r>
      <w:r w:rsidRPr="001F56F9">
        <w:t xml:space="preserve"> http://www.innovation.gov.au/AboutUs/FinancialInformationandLegislation/BudgetInformation/Documents/PortfolioBudgetStatementsFull2007-08.pdf</w:t>
      </w:r>
      <w:r>
        <w:t>, accessed 6 July, 2011.</w:t>
      </w:r>
    </w:p>
    <w:p w:rsidR="001F56F9" w:rsidRDefault="001F56F9" w:rsidP="00A2286A">
      <w:pPr>
        <w:pStyle w:val="Reference"/>
      </w:pPr>
      <w:r w:rsidRPr="00AC3912">
        <w:lastRenderedPageBreak/>
        <w:t>Department of Innovation, Industry, Sc</w:t>
      </w:r>
      <w:r>
        <w:t xml:space="preserve">ience and Research (DIISR), 2008, </w:t>
      </w:r>
      <w:r>
        <w:rPr>
          <w:i/>
        </w:rPr>
        <w:t xml:space="preserve">Portfolio Budget Statements 2008-09, </w:t>
      </w:r>
      <w:r>
        <w:t xml:space="preserve">Budget related paper no. 1.14, </w:t>
      </w:r>
      <w:hyperlink r:id="rId35" w:history="1">
        <w:r w:rsidRPr="00FD01DF">
          <w:rPr>
            <w:rStyle w:val="Hyperlink"/>
          </w:rPr>
          <w:t>http://www.innovation.gov.au/AboutUs/FinancialInformationandLegislation/BudgetInformation/Documents/PortfolioBudgetStatementsFull2008-09.pdf</w:t>
        </w:r>
      </w:hyperlink>
      <w:r>
        <w:t>, accessed 6 July, 2011.</w:t>
      </w:r>
    </w:p>
    <w:p w:rsidR="00A2286A" w:rsidRDefault="001F56F9" w:rsidP="00913AED">
      <w:pPr>
        <w:pStyle w:val="Reference"/>
      </w:pPr>
      <w:r w:rsidRPr="00AC3912">
        <w:t>Department of Innovation, Industry, Sc</w:t>
      </w:r>
      <w:r>
        <w:t xml:space="preserve">ience and Research (DIISR), 2009, </w:t>
      </w:r>
      <w:r w:rsidR="00913AED">
        <w:rPr>
          <w:i/>
        </w:rPr>
        <w:t>Portfolio Budget Statements 2009-10</w:t>
      </w:r>
      <w:r>
        <w:rPr>
          <w:i/>
        </w:rPr>
        <w:t xml:space="preserve">, </w:t>
      </w:r>
      <w:r>
        <w:t>Budget related paper no. 1.14,</w:t>
      </w:r>
      <w:r w:rsidR="00913AED">
        <w:t xml:space="preserve"> </w:t>
      </w:r>
      <w:hyperlink r:id="rId36" w:history="1">
        <w:r w:rsidR="00913AED" w:rsidRPr="00FD01DF">
          <w:rPr>
            <w:rStyle w:val="Hyperlink"/>
          </w:rPr>
          <w:t>http://www.innovation.gov.au/AboutUs/FinancialInformationandLegislation/BudgetInformation/Documents/PortfolioBudgetStatementsFull2009-10.pdf</w:t>
        </w:r>
      </w:hyperlink>
      <w:r w:rsidR="00913AED">
        <w:t>, accessed 6 July, 2011.</w:t>
      </w:r>
    </w:p>
    <w:p w:rsidR="00443D06" w:rsidRPr="00A2286A" w:rsidRDefault="00443D06" w:rsidP="00913AED">
      <w:pPr>
        <w:pStyle w:val="Reference"/>
      </w:pPr>
      <w:r w:rsidRPr="00AC3912">
        <w:t>Department of Innovation, Industry, Sc</w:t>
      </w:r>
      <w:r>
        <w:t xml:space="preserve">ience and Research (DIISR), 2010b, </w:t>
      </w:r>
      <w:r>
        <w:rPr>
          <w:i/>
        </w:rPr>
        <w:t xml:space="preserve">Portfolio Budget Statements 2010-11, </w:t>
      </w:r>
      <w:r>
        <w:t xml:space="preserve">Budget related paper no. 1.15, </w:t>
      </w:r>
      <w:hyperlink r:id="rId37" w:history="1">
        <w:r w:rsidRPr="00FD01DF">
          <w:rPr>
            <w:rStyle w:val="Hyperlink"/>
          </w:rPr>
          <w:t>http://www.innovation.gov.au/AboutUs/FinancialInformationandLegislation/BudgetInformation/Documents/PortfolioBudgetStatementsFull2010-11.pdf</w:t>
        </w:r>
      </w:hyperlink>
      <w:r>
        <w:t>, accessed 6 July, 2011.</w:t>
      </w:r>
    </w:p>
    <w:p w:rsidR="001A5590" w:rsidRDefault="001A5590" w:rsidP="00442088">
      <w:pPr>
        <w:pStyle w:val="Reference"/>
        <w:rPr>
          <w:i/>
        </w:rPr>
      </w:pPr>
      <w:r w:rsidRPr="00AC3912">
        <w:t>Department of Innovation, Industry, Science and Research (DIISR), 2010</w:t>
      </w:r>
      <w:r w:rsidR="00443D06">
        <w:t>a</w:t>
      </w:r>
      <w:r w:rsidRPr="00AC3912">
        <w:t xml:space="preserve">, </w:t>
      </w:r>
      <w:r w:rsidRPr="00AC3912">
        <w:rPr>
          <w:i/>
        </w:rPr>
        <w:t xml:space="preserve">Meeting </w:t>
      </w:r>
      <w:smartTag w:uri="urn:schemas-microsoft-com:office:smarttags" w:element="place">
        <w:r w:rsidRPr="00AC3912">
          <w:rPr>
            <w:i/>
          </w:rPr>
          <w:t>Australia</w:t>
        </w:r>
      </w:smartTag>
      <w:r w:rsidRPr="00AC3912">
        <w:rPr>
          <w:i/>
        </w:rPr>
        <w:t>’s research workforce needs: A consultation paper to inform the development of the Australian Government’s research workforce strategy,</w:t>
      </w:r>
      <w:r w:rsidRPr="00AC3912">
        <w:t xml:space="preserve"> </w:t>
      </w:r>
      <w:r w:rsidRPr="00152C50">
        <w:t>http://www.innovation.gov.au/Research/ResearchWorkforceIssues/Documents/ResearchWorkforceStrategyConsultationPaper.pdf</w:t>
      </w:r>
      <w:r w:rsidRPr="00AC3912">
        <w:rPr>
          <w:i/>
        </w:rPr>
        <w:t>,</w:t>
      </w:r>
      <w:r w:rsidRPr="00AC3912">
        <w:t xml:space="preserve"> accessed 3 June, 2011.</w:t>
      </w:r>
      <w:r w:rsidRPr="00AC3912">
        <w:rPr>
          <w:i/>
        </w:rPr>
        <w:t xml:space="preserve"> </w:t>
      </w:r>
    </w:p>
    <w:p w:rsidR="00AD7832" w:rsidRPr="00152C50" w:rsidRDefault="00AD7832" w:rsidP="00442088">
      <w:pPr>
        <w:pStyle w:val="Reference"/>
      </w:pPr>
      <w:r w:rsidRPr="00AC3912">
        <w:t>Department of Innovation, Industry, Sc</w:t>
      </w:r>
      <w:r>
        <w:t xml:space="preserve">ience and Research (DIISR), 2011a, </w:t>
      </w:r>
      <w:r w:rsidR="00152C50">
        <w:rPr>
          <w:i/>
        </w:rPr>
        <w:t>Research Skills for an innovative future: a research workforce strategy to cover the decade to 2020 and beyond</w:t>
      </w:r>
      <w:r w:rsidR="00152C50" w:rsidRPr="00152C50">
        <w:t>,http://www.innovation.gov.au/Research/ResearchWorkforceIssues/Documents/ResearchSkillsforanInnovativeFuture.pdf</w:t>
      </w:r>
      <w:r w:rsidR="00152C50">
        <w:t>, accessed</w:t>
      </w:r>
      <w:r w:rsidR="001D0DB3">
        <w:t>2 June</w:t>
      </w:r>
      <w:r w:rsidR="00152C50">
        <w:t>, 2011.</w:t>
      </w:r>
    </w:p>
    <w:p w:rsidR="001A5590" w:rsidRPr="00AC3912" w:rsidRDefault="001A5590" w:rsidP="00442088">
      <w:pPr>
        <w:pStyle w:val="Reference"/>
      </w:pPr>
      <w:r w:rsidRPr="00AC3912">
        <w:t>Department of Innovation, Industry, Sci</w:t>
      </w:r>
      <w:r w:rsidR="00152C50">
        <w:t>ence and Research (DIISR), 2011b</w:t>
      </w:r>
      <w:r w:rsidRPr="00AC3912">
        <w:t xml:space="preserve">, </w:t>
      </w:r>
      <w:r w:rsidRPr="00AC3912">
        <w:rPr>
          <w:i/>
        </w:rPr>
        <w:t>The process for determining Research Training Scheme (RTS) grant amounts,</w:t>
      </w:r>
      <w:r w:rsidRPr="00AC3912">
        <w:t xml:space="preserve"> </w:t>
      </w:r>
      <w:hyperlink r:id="rId38" w:history="1">
        <w:r w:rsidR="00152C50" w:rsidRPr="0047648D">
          <w:rPr>
            <w:rStyle w:val="Hyperlink"/>
          </w:rPr>
          <w:t>http://www.innovation.gov.au/Research/ResearchBlockGrants/Documents/RTSProcessCalculations2011.pdf</w:t>
        </w:r>
      </w:hyperlink>
      <w:r w:rsidRPr="00AC3912">
        <w:t>, accessed 3 June, 2011.</w:t>
      </w:r>
    </w:p>
    <w:p w:rsidR="001A5590" w:rsidRPr="00AC3912" w:rsidRDefault="001A5590" w:rsidP="00442088">
      <w:pPr>
        <w:pStyle w:val="Reference"/>
      </w:pPr>
      <w:r w:rsidRPr="00AC3912">
        <w:t>Department of Innovation, Industry, Sci</w:t>
      </w:r>
      <w:r w:rsidR="00152C50">
        <w:t>ence and Research (DIISR), 2011c</w:t>
      </w:r>
      <w:r w:rsidRPr="00AC3912">
        <w:t xml:space="preserve">, </w:t>
      </w:r>
      <w:r w:rsidRPr="00AC3912">
        <w:rPr>
          <w:i/>
        </w:rPr>
        <w:t>Research Workforce Strategy: Discipline Case Studies,</w:t>
      </w:r>
      <w:r w:rsidRPr="00AC3912">
        <w:t xml:space="preserve"> </w:t>
      </w:r>
      <w:hyperlink r:id="rId39" w:history="1">
        <w:r w:rsidRPr="00AC3912">
          <w:rPr>
            <w:rStyle w:val="Hyperlink"/>
          </w:rPr>
          <w:t>http://www.innovation.gov.au/Research/ResearchWorkforceIssues/Documents/DisciplineSpecificCaseStudies.pdf</w:t>
        </w:r>
      </w:hyperlink>
      <w:r w:rsidRPr="00AC3912">
        <w:t>, accessed 2 June, 2011.</w:t>
      </w:r>
    </w:p>
    <w:p w:rsidR="001A5590" w:rsidRPr="00481593" w:rsidRDefault="001A5590" w:rsidP="00442088">
      <w:pPr>
        <w:pStyle w:val="Reference"/>
      </w:pPr>
      <w:r w:rsidRPr="00AC3912">
        <w:t>JM Consulting</w:t>
      </w:r>
      <w:r>
        <w:t xml:space="preserve">, 2005, </w:t>
      </w:r>
      <w:r w:rsidRPr="00722DE1">
        <w:rPr>
          <w:i/>
        </w:rPr>
        <w:t>Costs of training and supervising postgraduate research students</w:t>
      </w:r>
      <w:r w:rsidRPr="00AC3912">
        <w:t xml:space="preserve">, report prepared for the Higher Education Funding Council for England (HEFCE). </w:t>
      </w:r>
      <w:r w:rsidR="001D0DB3" w:rsidRPr="001D0DB3">
        <w:t>http://www.hefce.ac.uk/pubs/rdreports/2005/rd01_05/</w:t>
      </w:r>
      <w:r w:rsidR="001D0DB3">
        <w:t>, accessed 2 June 2011</w:t>
      </w:r>
    </w:p>
    <w:p w:rsidR="001A5590" w:rsidRPr="00AC3912" w:rsidRDefault="001A5590" w:rsidP="00442088">
      <w:pPr>
        <w:pStyle w:val="Reference"/>
        <w:rPr>
          <w:szCs w:val="22"/>
        </w:rPr>
      </w:pPr>
      <w:r>
        <w:rPr>
          <w:szCs w:val="22"/>
        </w:rPr>
        <w:t xml:space="preserve">Kemp, David and </w:t>
      </w:r>
      <w:r w:rsidRPr="00AC3912">
        <w:rPr>
          <w:szCs w:val="22"/>
        </w:rPr>
        <w:t>D</w:t>
      </w:r>
      <w:r>
        <w:rPr>
          <w:szCs w:val="22"/>
        </w:rPr>
        <w:t>epartment</w:t>
      </w:r>
      <w:r w:rsidRPr="00AC3912">
        <w:rPr>
          <w:szCs w:val="22"/>
        </w:rPr>
        <w:t xml:space="preserve"> of Education, Training a</w:t>
      </w:r>
      <w:r>
        <w:rPr>
          <w:szCs w:val="22"/>
        </w:rPr>
        <w:t>nd Youth Affairs (DETYA), 1999,</w:t>
      </w:r>
      <w:r w:rsidRPr="00AC3912">
        <w:rPr>
          <w:szCs w:val="22"/>
        </w:rPr>
        <w:t> </w:t>
      </w:r>
      <w:r w:rsidRPr="00AC3912">
        <w:rPr>
          <w:i/>
          <w:iCs/>
          <w:szCs w:val="22"/>
        </w:rPr>
        <w:t>Knowledge and innovation : a policy statement on research and research training,</w:t>
      </w:r>
      <w:r w:rsidR="001D0DB3">
        <w:rPr>
          <w:i/>
          <w:iCs/>
          <w:szCs w:val="22"/>
        </w:rPr>
        <w:t xml:space="preserve"> </w:t>
      </w:r>
      <w:r w:rsidR="001D0DB3" w:rsidRPr="001D0DB3">
        <w:t>http://www.dest.gov.au/archive/highered/whitepaper/heading.htm</w:t>
      </w:r>
      <w:r w:rsidRPr="00AC3912">
        <w:rPr>
          <w:szCs w:val="22"/>
        </w:rPr>
        <w:t>, accessed 2 June, 2011</w:t>
      </w:r>
      <w:r>
        <w:rPr>
          <w:szCs w:val="22"/>
        </w:rPr>
        <w:t>.</w:t>
      </w:r>
    </w:p>
    <w:p w:rsidR="001A5590" w:rsidRDefault="001A5590" w:rsidP="0007747C">
      <w:pPr>
        <w:pStyle w:val="Reference"/>
        <w:rPr>
          <w:highlight w:val="yellow"/>
        </w:rPr>
      </w:pPr>
      <w:smartTag w:uri="urn:schemas-microsoft-com:office:smarttags" w:element="place">
        <w:smartTag w:uri="urn:schemas-microsoft-com:office:smarttags" w:element="place">
          <w:r w:rsidRPr="00AC3912">
            <w:rPr>
              <w:szCs w:val="22"/>
            </w:rPr>
            <w:t>University</w:t>
          </w:r>
        </w:smartTag>
        <w:r w:rsidRPr="00AC3912">
          <w:rPr>
            <w:szCs w:val="22"/>
          </w:rPr>
          <w:t xml:space="preserve"> of </w:t>
        </w:r>
        <w:smartTag w:uri="urn:schemas-microsoft-com:office:smarttags" w:element="place">
          <w:r w:rsidRPr="00AC3912">
            <w:rPr>
              <w:szCs w:val="22"/>
            </w:rPr>
            <w:t>Adelaide</w:t>
          </w:r>
        </w:smartTag>
      </w:smartTag>
      <w:r w:rsidRPr="00AC3912">
        <w:rPr>
          <w:szCs w:val="22"/>
        </w:rPr>
        <w:t xml:space="preserve">, 2011, </w:t>
      </w:r>
      <w:r w:rsidRPr="00AC3912">
        <w:rPr>
          <w:i/>
          <w:szCs w:val="22"/>
        </w:rPr>
        <w:t>ARIA Plus</w:t>
      </w:r>
      <w:r w:rsidRPr="00AC3912">
        <w:rPr>
          <w:szCs w:val="22"/>
        </w:rPr>
        <w:t xml:space="preserve">, </w:t>
      </w:r>
      <w:hyperlink r:id="rId40" w:history="1">
        <w:r w:rsidR="001D0DB3" w:rsidRPr="0047648D">
          <w:rPr>
            <w:rStyle w:val="Hyperlink"/>
            <w:szCs w:val="22"/>
          </w:rPr>
          <w:t>http://www.spatialonline.com.au/aria/default.aspx</w:t>
        </w:r>
      </w:hyperlink>
      <w:r w:rsidR="002537C7">
        <w:rPr>
          <w:szCs w:val="22"/>
        </w:rPr>
        <w:t>, accessed 6 June, 2011.</w:t>
      </w:r>
    </w:p>
    <w:p w:rsidR="001A5590" w:rsidRPr="00F27760" w:rsidRDefault="001A5590" w:rsidP="00F27760">
      <w:pPr>
        <w:pStyle w:val="Heading"/>
      </w:pPr>
      <w:bookmarkStart w:id="155" w:name="_Toc215906321"/>
      <w:bookmarkStart w:id="156" w:name="_Toc227746678"/>
      <w:bookmarkStart w:id="157" w:name="_Toc227746682"/>
      <w:bookmarkStart w:id="158" w:name="_Toc227746686"/>
      <w:bookmarkStart w:id="159" w:name="_Toc227746690"/>
      <w:bookmarkStart w:id="160" w:name="_Toc227748312"/>
      <w:bookmarkStart w:id="161" w:name="_Toc227748330"/>
      <w:bookmarkStart w:id="162" w:name="_Toc227748334"/>
      <w:bookmarkStart w:id="163" w:name="_Toc227748338"/>
      <w:bookmarkStart w:id="164" w:name="_Toc227748377"/>
      <w:bookmarkStart w:id="165" w:name="_Toc227748381"/>
      <w:bookmarkStart w:id="166" w:name="_Toc227748385"/>
      <w:bookmarkStart w:id="167" w:name="_Toc227748497"/>
      <w:bookmarkStart w:id="168" w:name="_Toc227748501"/>
      <w:bookmarkStart w:id="169" w:name="_Toc228005208"/>
      <w:bookmarkStart w:id="170" w:name="_Toc228092499"/>
      <w:bookmarkStart w:id="171" w:name="_Toc228264954"/>
      <w:bookmarkStart w:id="172" w:name="_Toc228264976"/>
      <w:bookmarkStart w:id="173" w:name="_Toc228264980"/>
      <w:bookmarkStart w:id="174" w:name="_Toc228264984"/>
      <w:bookmarkStart w:id="175" w:name="_Toc228264988"/>
      <w:bookmarkStart w:id="176" w:name="_Toc228265218"/>
      <w:bookmarkStart w:id="177" w:name="_Ref294541997"/>
      <w:bookmarkStart w:id="178" w:name="_Ref295125025"/>
      <w:bookmarkStart w:id="179" w:name="_Toc298324972"/>
      <w:bookmarkStart w:id="180" w:name="_Ref294776837"/>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F27760">
        <w:lastRenderedPageBreak/>
        <w:t xml:space="preserve">: </w:t>
      </w:r>
      <w:bookmarkEnd w:id="177"/>
      <w:r w:rsidRPr="00F27760">
        <w:t>High-cost fields of study for the RTS</w:t>
      </w:r>
      <w:bookmarkEnd w:id="178"/>
      <w:bookmarkEnd w:id="179"/>
    </w:p>
    <w:p w:rsidR="001A5590" w:rsidRPr="00F27760" w:rsidRDefault="001A5590" w:rsidP="00E17752">
      <w:pPr>
        <w:pStyle w:val="AppendixTableCaption"/>
      </w:pPr>
      <w:bookmarkStart w:id="181" w:name="_Toc298325002"/>
      <w:r w:rsidRPr="00F27760">
        <w:t>: High-cost fields of study - pre-2001 HDR completions</w:t>
      </w:r>
      <w:bookmarkEnd w:id="181"/>
    </w:p>
    <w:tbl>
      <w:tblPr>
        <w:tblW w:w="0" w:type="auto"/>
        <w:jc w:val="center"/>
        <w:tblBorders>
          <w:top w:val="single" w:sz="12" w:space="0" w:color="002776"/>
          <w:bottom w:val="single" w:sz="12" w:space="0" w:color="002776"/>
          <w:insideH w:val="single" w:sz="4" w:space="0" w:color="A6A6A6"/>
          <w:insideV w:val="single" w:sz="4" w:space="0" w:color="A6A6A6"/>
        </w:tblBorders>
        <w:tblLayout w:type="fixed"/>
        <w:tblLook w:val="0000" w:firstRow="0" w:lastRow="0" w:firstColumn="0" w:lastColumn="0" w:noHBand="0" w:noVBand="0"/>
      </w:tblPr>
      <w:tblGrid>
        <w:gridCol w:w="3758"/>
        <w:gridCol w:w="4322"/>
      </w:tblGrid>
      <w:tr w:rsidR="001A5590" w:rsidRPr="00DF1EC2" w:rsidTr="00DF1EC2">
        <w:trPr>
          <w:cantSplit/>
          <w:trHeight w:val="152"/>
          <w:jc w:val="center"/>
        </w:trPr>
        <w:tc>
          <w:tcPr>
            <w:tcW w:w="3758" w:type="dxa"/>
            <w:tcBorders>
              <w:top w:val="single" w:sz="12" w:space="0" w:color="002776"/>
            </w:tcBorders>
          </w:tcPr>
          <w:p w:rsidR="001A5590" w:rsidRPr="00DF1EC2" w:rsidRDefault="001A5590" w:rsidP="00757A8E">
            <w:pPr>
              <w:pStyle w:val="TableHeadingLeft"/>
            </w:pPr>
            <w:r w:rsidRPr="00DF1EC2">
              <w:t xml:space="preserve">Pre-2001 HDR completions Field of Study Code </w:t>
            </w:r>
          </w:p>
        </w:tc>
        <w:tc>
          <w:tcPr>
            <w:tcW w:w="4322" w:type="dxa"/>
            <w:tcBorders>
              <w:top w:val="single" w:sz="12" w:space="0" w:color="002776"/>
            </w:tcBorders>
          </w:tcPr>
          <w:p w:rsidR="001A5590" w:rsidRPr="00DF1EC2" w:rsidRDefault="001A5590" w:rsidP="00757A8E">
            <w:pPr>
              <w:pStyle w:val="TableHeadingLeft"/>
            </w:pPr>
            <w:r w:rsidRPr="00DF1EC2">
              <w:t xml:space="preserve">Field of Study Title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010101-010499 </w:t>
            </w:r>
          </w:p>
        </w:tc>
        <w:tc>
          <w:tcPr>
            <w:tcW w:w="4322" w:type="dxa"/>
          </w:tcPr>
          <w:p w:rsidR="001A5590" w:rsidRPr="00DF1EC2" w:rsidRDefault="001A5590" w:rsidP="00757A8E">
            <w:pPr>
              <w:pStyle w:val="TabletextLeft"/>
            </w:pPr>
            <w:r w:rsidRPr="00DF1EC2">
              <w:t xml:space="preserve">Agriculture, Animal Husbandry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030215 </w:t>
            </w:r>
          </w:p>
        </w:tc>
        <w:tc>
          <w:tcPr>
            <w:tcW w:w="4322" w:type="dxa"/>
          </w:tcPr>
          <w:p w:rsidR="001A5590" w:rsidRPr="00DF1EC2" w:rsidRDefault="001A5590" w:rsidP="00757A8E">
            <w:pPr>
              <w:pStyle w:val="TabletextLeft"/>
            </w:pPr>
            <w:r w:rsidRPr="00DF1EC2">
              <w:t xml:space="preserve">Psychology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060101-060399 </w:t>
            </w:r>
          </w:p>
        </w:tc>
        <w:tc>
          <w:tcPr>
            <w:tcW w:w="4322" w:type="dxa"/>
          </w:tcPr>
          <w:p w:rsidR="001A5590" w:rsidRPr="00DF1EC2" w:rsidRDefault="001A5590" w:rsidP="00757A8E">
            <w:pPr>
              <w:pStyle w:val="TabletextLeft"/>
            </w:pPr>
            <w:r w:rsidRPr="00DF1EC2">
              <w:t xml:space="preserve">Engineering, Surveying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070201 </w:t>
            </w:r>
          </w:p>
        </w:tc>
        <w:tc>
          <w:tcPr>
            <w:tcW w:w="4322" w:type="dxa"/>
          </w:tcPr>
          <w:p w:rsidR="001A5590" w:rsidRPr="00DF1EC2" w:rsidRDefault="001A5590" w:rsidP="00757A8E">
            <w:pPr>
              <w:pStyle w:val="TabletextLeft"/>
            </w:pPr>
            <w:r w:rsidRPr="00DF1EC2">
              <w:t xml:space="preserve">Dentistry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070405 </w:t>
            </w:r>
          </w:p>
        </w:tc>
        <w:tc>
          <w:tcPr>
            <w:tcW w:w="4322" w:type="dxa"/>
          </w:tcPr>
          <w:p w:rsidR="001A5590" w:rsidRPr="00DF1EC2" w:rsidRDefault="001A5590" w:rsidP="00757A8E">
            <w:pPr>
              <w:pStyle w:val="TabletextLeft"/>
            </w:pPr>
            <w:r w:rsidRPr="00DF1EC2">
              <w:t xml:space="preserve">Medical Technology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070408 </w:t>
            </w:r>
          </w:p>
        </w:tc>
        <w:tc>
          <w:tcPr>
            <w:tcW w:w="4322" w:type="dxa"/>
          </w:tcPr>
          <w:p w:rsidR="001A5590" w:rsidRPr="00DF1EC2" w:rsidRDefault="001A5590" w:rsidP="00757A8E">
            <w:pPr>
              <w:pStyle w:val="TabletextLeft"/>
            </w:pPr>
            <w:r w:rsidRPr="00DF1EC2">
              <w:t xml:space="preserve">Pharmacy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070501 </w:t>
            </w:r>
          </w:p>
        </w:tc>
        <w:tc>
          <w:tcPr>
            <w:tcW w:w="4322" w:type="dxa"/>
          </w:tcPr>
          <w:p w:rsidR="001A5590" w:rsidRPr="00DF1EC2" w:rsidRDefault="001A5590" w:rsidP="00757A8E">
            <w:pPr>
              <w:pStyle w:val="TabletextLeft"/>
            </w:pPr>
            <w:r w:rsidRPr="00DF1EC2">
              <w:t xml:space="preserve">Medical Science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070502 </w:t>
            </w:r>
          </w:p>
        </w:tc>
        <w:tc>
          <w:tcPr>
            <w:tcW w:w="4322" w:type="dxa"/>
          </w:tcPr>
          <w:p w:rsidR="001A5590" w:rsidRPr="00DF1EC2" w:rsidRDefault="001A5590" w:rsidP="00757A8E">
            <w:pPr>
              <w:pStyle w:val="TabletextLeft"/>
            </w:pPr>
            <w:r w:rsidRPr="00DF1EC2">
              <w:t xml:space="preserve">Medicine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090301-090399 </w:t>
            </w:r>
          </w:p>
        </w:tc>
        <w:tc>
          <w:tcPr>
            <w:tcW w:w="4322" w:type="dxa"/>
          </w:tcPr>
          <w:p w:rsidR="001A5590" w:rsidRPr="00DF1EC2" w:rsidRDefault="001A5590" w:rsidP="00757A8E">
            <w:pPr>
              <w:pStyle w:val="TabletextLeft"/>
            </w:pPr>
            <w:r w:rsidRPr="00DF1EC2">
              <w:t xml:space="preserve">Life, General Sciences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090501-090599 </w:t>
            </w:r>
          </w:p>
        </w:tc>
        <w:tc>
          <w:tcPr>
            <w:tcW w:w="4322" w:type="dxa"/>
          </w:tcPr>
          <w:p w:rsidR="001A5590" w:rsidRPr="00DF1EC2" w:rsidRDefault="001A5590" w:rsidP="00757A8E">
            <w:pPr>
              <w:pStyle w:val="TabletextLeft"/>
            </w:pPr>
            <w:r w:rsidRPr="00DF1EC2">
              <w:t xml:space="preserve">Physical Sciences </w:t>
            </w:r>
          </w:p>
        </w:tc>
      </w:tr>
      <w:tr w:rsidR="001A5590" w:rsidRPr="00DF1EC2" w:rsidTr="00DF1EC2">
        <w:trPr>
          <w:cantSplit/>
          <w:trHeight w:val="146"/>
          <w:jc w:val="center"/>
        </w:trPr>
        <w:tc>
          <w:tcPr>
            <w:tcW w:w="3758" w:type="dxa"/>
            <w:tcBorders>
              <w:bottom w:val="single" w:sz="12" w:space="0" w:color="002776"/>
            </w:tcBorders>
          </w:tcPr>
          <w:p w:rsidR="001A5590" w:rsidRPr="00DF1EC2" w:rsidRDefault="001A5590" w:rsidP="00757A8E">
            <w:pPr>
              <w:pStyle w:val="TabletextLeft"/>
            </w:pPr>
            <w:r w:rsidRPr="00DF1EC2">
              <w:t xml:space="preserve">100101 </w:t>
            </w:r>
          </w:p>
        </w:tc>
        <w:tc>
          <w:tcPr>
            <w:tcW w:w="4322" w:type="dxa"/>
            <w:tcBorders>
              <w:bottom w:val="single" w:sz="12" w:space="0" w:color="002776"/>
            </w:tcBorders>
          </w:tcPr>
          <w:p w:rsidR="001A5590" w:rsidRPr="00DF1EC2" w:rsidRDefault="001A5590" w:rsidP="00757A8E">
            <w:pPr>
              <w:pStyle w:val="TabletextLeft"/>
            </w:pPr>
            <w:r w:rsidRPr="00DF1EC2">
              <w:t xml:space="preserve">Veterinary Science </w:t>
            </w:r>
          </w:p>
        </w:tc>
      </w:tr>
    </w:tbl>
    <w:p w:rsidR="001A5590" w:rsidRPr="00B449CE" w:rsidRDefault="001A5590" w:rsidP="00B449CE">
      <w:pPr>
        <w:pStyle w:val="Source"/>
      </w:pPr>
      <w:r w:rsidRPr="00B449CE">
        <w:t>Source: DIISR 2011a</w:t>
      </w:r>
    </w:p>
    <w:p w:rsidR="001A5590" w:rsidRDefault="001A5590" w:rsidP="00DA1A88">
      <w:pPr>
        <w:pStyle w:val="BodyText"/>
      </w:pPr>
      <w:r>
        <w:br w:type="page"/>
      </w:r>
    </w:p>
    <w:p w:rsidR="001A5590" w:rsidRDefault="001A5590" w:rsidP="00E17752">
      <w:pPr>
        <w:pStyle w:val="AppendixTableCaption"/>
      </w:pPr>
      <w:bookmarkStart w:id="182" w:name="_Toc298325003"/>
      <w:r w:rsidRPr="00F27760">
        <w:t>: High-cost fields of study – 2001 onwards HDR completions</w:t>
      </w:r>
      <w:bookmarkEnd w:id="182"/>
    </w:p>
    <w:tbl>
      <w:tblPr>
        <w:tblW w:w="0" w:type="auto"/>
        <w:jc w:val="center"/>
        <w:tblBorders>
          <w:top w:val="single" w:sz="12" w:space="0" w:color="002776"/>
          <w:bottom w:val="single" w:sz="12" w:space="0" w:color="002776"/>
          <w:insideH w:val="single" w:sz="4" w:space="0" w:color="A6A6A6"/>
          <w:insideV w:val="single" w:sz="4" w:space="0" w:color="A6A6A6"/>
        </w:tblBorders>
        <w:tblLayout w:type="fixed"/>
        <w:tblLook w:val="0000" w:firstRow="0" w:lastRow="0" w:firstColumn="0" w:lastColumn="0" w:noHBand="0" w:noVBand="0"/>
      </w:tblPr>
      <w:tblGrid>
        <w:gridCol w:w="3758"/>
        <w:gridCol w:w="4322"/>
      </w:tblGrid>
      <w:tr w:rsidR="001A5590" w:rsidRPr="00DF1EC2" w:rsidTr="00E71B9E">
        <w:trPr>
          <w:cantSplit/>
          <w:trHeight w:val="377"/>
          <w:tblHeader/>
          <w:jc w:val="center"/>
        </w:trPr>
        <w:tc>
          <w:tcPr>
            <w:tcW w:w="3758" w:type="dxa"/>
            <w:tcBorders>
              <w:top w:val="single" w:sz="12" w:space="0" w:color="002776"/>
            </w:tcBorders>
          </w:tcPr>
          <w:p w:rsidR="001A5590" w:rsidRPr="00DF1EC2" w:rsidRDefault="001A5590" w:rsidP="00757A8E">
            <w:pPr>
              <w:pStyle w:val="TableHeadingLeft"/>
            </w:pPr>
            <w:r w:rsidRPr="00DF1EC2">
              <w:t xml:space="preserve">2001 onwards HDR completions and student load ASCED Code </w:t>
            </w:r>
          </w:p>
        </w:tc>
        <w:tc>
          <w:tcPr>
            <w:tcW w:w="4322" w:type="dxa"/>
            <w:tcBorders>
              <w:top w:val="single" w:sz="12" w:space="0" w:color="002776"/>
            </w:tcBorders>
          </w:tcPr>
          <w:p w:rsidR="001A5590" w:rsidRPr="00DF1EC2" w:rsidRDefault="001A5590" w:rsidP="00757A8E">
            <w:pPr>
              <w:pStyle w:val="TableHeadingLeft"/>
            </w:pPr>
            <w:r w:rsidRPr="00DF1EC2">
              <w:t xml:space="preserve">Australian Standard Classification of Education Title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010300-010303 </w:t>
            </w:r>
          </w:p>
        </w:tc>
        <w:tc>
          <w:tcPr>
            <w:tcW w:w="4322" w:type="dxa"/>
          </w:tcPr>
          <w:p w:rsidR="001A5590" w:rsidRPr="00DF1EC2" w:rsidRDefault="001A5590" w:rsidP="00757A8E">
            <w:pPr>
              <w:pStyle w:val="TabletextLeft"/>
            </w:pPr>
            <w:r w:rsidRPr="00DF1EC2">
              <w:t xml:space="preserve">Physics and Astronomy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010500-010599 </w:t>
            </w:r>
          </w:p>
        </w:tc>
        <w:tc>
          <w:tcPr>
            <w:tcW w:w="4322" w:type="dxa"/>
          </w:tcPr>
          <w:p w:rsidR="001A5590" w:rsidRPr="00DF1EC2" w:rsidRDefault="001A5590" w:rsidP="00757A8E">
            <w:pPr>
              <w:pStyle w:val="TabletextLeft"/>
            </w:pPr>
            <w:r w:rsidRPr="00DF1EC2">
              <w:t xml:space="preserve">Chemical Sciences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010700-010799 </w:t>
            </w:r>
          </w:p>
        </w:tc>
        <w:tc>
          <w:tcPr>
            <w:tcW w:w="4322" w:type="dxa"/>
          </w:tcPr>
          <w:p w:rsidR="001A5590" w:rsidRPr="00DF1EC2" w:rsidRDefault="001A5590" w:rsidP="00757A8E">
            <w:pPr>
              <w:pStyle w:val="TabletextLeft"/>
            </w:pPr>
            <w:r w:rsidRPr="00DF1EC2">
              <w:t xml:space="preserve">Earth Sciences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010900-010999 </w:t>
            </w:r>
          </w:p>
        </w:tc>
        <w:tc>
          <w:tcPr>
            <w:tcW w:w="4322" w:type="dxa"/>
          </w:tcPr>
          <w:p w:rsidR="001A5590" w:rsidRPr="00DF1EC2" w:rsidRDefault="001A5590" w:rsidP="00757A8E">
            <w:pPr>
              <w:pStyle w:val="TabletextLeft"/>
            </w:pPr>
            <w:r w:rsidRPr="00DF1EC2">
              <w:t xml:space="preserve">Biological Sciences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019900-019999 </w:t>
            </w:r>
          </w:p>
        </w:tc>
        <w:tc>
          <w:tcPr>
            <w:tcW w:w="4322" w:type="dxa"/>
          </w:tcPr>
          <w:p w:rsidR="001A5590" w:rsidRPr="00DF1EC2" w:rsidRDefault="001A5590" w:rsidP="00757A8E">
            <w:pPr>
              <w:pStyle w:val="TabletextLeft"/>
            </w:pPr>
            <w:r w:rsidRPr="00DF1EC2">
              <w:t xml:space="preserve">Other Natural and Physical Sciences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030101 </w:t>
            </w:r>
          </w:p>
        </w:tc>
        <w:tc>
          <w:tcPr>
            <w:tcW w:w="4322" w:type="dxa"/>
          </w:tcPr>
          <w:p w:rsidR="001A5590" w:rsidRPr="00DF1EC2" w:rsidRDefault="001A5590" w:rsidP="00757A8E">
            <w:pPr>
              <w:pStyle w:val="TabletextLeft"/>
            </w:pPr>
            <w:r w:rsidRPr="00DF1EC2">
              <w:t xml:space="preserve">Manufacturing Engineering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030300-030399 </w:t>
            </w:r>
          </w:p>
        </w:tc>
        <w:tc>
          <w:tcPr>
            <w:tcW w:w="4322" w:type="dxa"/>
          </w:tcPr>
          <w:p w:rsidR="001A5590" w:rsidRPr="00DF1EC2" w:rsidRDefault="001A5590" w:rsidP="00757A8E">
            <w:pPr>
              <w:pStyle w:val="TabletextLeft"/>
            </w:pPr>
            <w:r w:rsidRPr="00DF1EC2">
              <w:t xml:space="preserve">Process and Resources Engineering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030501 </w:t>
            </w:r>
          </w:p>
        </w:tc>
        <w:tc>
          <w:tcPr>
            <w:tcW w:w="4322" w:type="dxa"/>
          </w:tcPr>
          <w:p w:rsidR="001A5590" w:rsidRPr="00DF1EC2" w:rsidRDefault="001A5590" w:rsidP="00757A8E">
            <w:pPr>
              <w:pStyle w:val="TabletextLeft"/>
            </w:pPr>
            <w:r w:rsidRPr="00DF1EC2">
              <w:t xml:space="preserve">Automotive Engineering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030701 </w:t>
            </w:r>
          </w:p>
        </w:tc>
        <w:tc>
          <w:tcPr>
            <w:tcW w:w="4322" w:type="dxa"/>
          </w:tcPr>
          <w:p w:rsidR="001A5590" w:rsidRPr="00DF1EC2" w:rsidRDefault="001A5590" w:rsidP="00757A8E">
            <w:pPr>
              <w:pStyle w:val="TabletextLeft"/>
            </w:pPr>
            <w:r w:rsidRPr="00DF1EC2">
              <w:t xml:space="preserve">Mechanical Engineering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030703 </w:t>
            </w:r>
          </w:p>
        </w:tc>
        <w:tc>
          <w:tcPr>
            <w:tcW w:w="4322" w:type="dxa"/>
          </w:tcPr>
          <w:p w:rsidR="001A5590" w:rsidRPr="00DF1EC2" w:rsidRDefault="001A5590" w:rsidP="00757A8E">
            <w:pPr>
              <w:pStyle w:val="TabletextLeft"/>
            </w:pPr>
            <w:r w:rsidRPr="00DF1EC2">
              <w:t xml:space="preserve">Industrial Engineering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030900-030999 </w:t>
            </w:r>
          </w:p>
        </w:tc>
        <w:tc>
          <w:tcPr>
            <w:tcW w:w="4322" w:type="dxa"/>
          </w:tcPr>
          <w:p w:rsidR="001A5590" w:rsidRPr="00DF1EC2" w:rsidRDefault="001A5590" w:rsidP="00757A8E">
            <w:pPr>
              <w:pStyle w:val="TabletextLeft"/>
            </w:pPr>
            <w:r w:rsidRPr="00DF1EC2">
              <w:t xml:space="preserve">Civil Engineering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031100-031199 </w:t>
            </w:r>
          </w:p>
        </w:tc>
        <w:tc>
          <w:tcPr>
            <w:tcW w:w="4322" w:type="dxa"/>
          </w:tcPr>
          <w:p w:rsidR="001A5590" w:rsidRPr="00DF1EC2" w:rsidRDefault="001A5590" w:rsidP="00757A8E">
            <w:pPr>
              <w:pStyle w:val="TabletextLeft"/>
            </w:pPr>
            <w:r w:rsidRPr="00DF1EC2">
              <w:t xml:space="preserve">Geomatic Engineering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031300 </w:t>
            </w:r>
          </w:p>
        </w:tc>
        <w:tc>
          <w:tcPr>
            <w:tcW w:w="4322" w:type="dxa"/>
          </w:tcPr>
          <w:p w:rsidR="001A5590" w:rsidRPr="00DF1EC2" w:rsidRDefault="001A5590" w:rsidP="00757A8E">
            <w:pPr>
              <w:pStyle w:val="TabletextLeft"/>
            </w:pPr>
            <w:r w:rsidRPr="00DF1EC2">
              <w:t xml:space="preserve">Electrical and Electronic Engineering and Technology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031301 </w:t>
            </w:r>
          </w:p>
        </w:tc>
        <w:tc>
          <w:tcPr>
            <w:tcW w:w="4322" w:type="dxa"/>
          </w:tcPr>
          <w:p w:rsidR="001A5590" w:rsidRPr="00DF1EC2" w:rsidRDefault="001A5590" w:rsidP="00757A8E">
            <w:pPr>
              <w:pStyle w:val="TabletextLeft"/>
            </w:pPr>
            <w:r w:rsidRPr="00DF1EC2">
              <w:t xml:space="preserve">Electrical Engineering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031303 </w:t>
            </w:r>
          </w:p>
        </w:tc>
        <w:tc>
          <w:tcPr>
            <w:tcW w:w="4322" w:type="dxa"/>
          </w:tcPr>
          <w:p w:rsidR="001A5590" w:rsidRPr="00DF1EC2" w:rsidRDefault="001A5590" w:rsidP="00757A8E">
            <w:pPr>
              <w:pStyle w:val="TabletextLeft"/>
            </w:pPr>
            <w:r w:rsidRPr="00DF1EC2">
              <w:t xml:space="preserve">Electronic Engineering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031305 </w:t>
            </w:r>
          </w:p>
        </w:tc>
        <w:tc>
          <w:tcPr>
            <w:tcW w:w="4322" w:type="dxa"/>
          </w:tcPr>
          <w:p w:rsidR="001A5590" w:rsidRPr="00DF1EC2" w:rsidRDefault="001A5590" w:rsidP="00757A8E">
            <w:pPr>
              <w:pStyle w:val="TabletextLeft"/>
            </w:pPr>
            <w:r w:rsidRPr="00DF1EC2">
              <w:t xml:space="preserve">Computer Engineering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031307 </w:t>
            </w:r>
          </w:p>
        </w:tc>
        <w:tc>
          <w:tcPr>
            <w:tcW w:w="4322" w:type="dxa"/>
          </w:tcPr>
          <w:p w:rsidR="001A5590" w:rsidRPr="00DF1EC2" w:rsidRDefault="001A5590" w:rsidP="00757A8E">
            <w:pPr>
              <w:pStyle w:val="TabletextLeft"/>
            </w:pPr>
            <w:r w:rsidRPr="00DF1EC2">
              <w:t xml:space="preserve">Communications Technologies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031501 </w:t>
            </w:r>
          </w:p>
        </w:tc>
        <w:tc>
          <w:tcPr>
            <w:tcW w:w="4322" w:type="dxa"/>
          </w:tcPr>
          <w:p w:rsidR="001A5590" w:rsidRPr="00DF1EC2" w:rsidRDefault="001A5590" w:rsidP="00757A8E">
            <w:pPr>
              <w:pStyle w:val="TabletextLeft"/>
            </w:pPr>
            <w:r w:rsidRPr="00DF1EC2">
              <w:t xml:space="preserve">Aerospace Engineering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031503 </w:t>
            </w:r>
          </w:p>
        </w:tc>
        <w:tc>
          <w:tcPr>
            <w:tcW w:w="4322" w:type="dxa"/>
          </w:tcPr>
          <w:p w:rsidR="001A5590" w:rsidRPr="00DF1EC2" w:rsidRDefault="001A5590" w:rsidP="00757A8E">
            <w:pPr>
              <w:pStyle w:val="TabletextLeft"/>
            </w:pPr>
            <w:r w:rsidRPr="00DF1EC2">
              <w:t xml:space="preserve">Aircraft Maintenance Engineering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031701 </w:t>
            </w:r>
          </w:p>
        </w:tc>
        <w:tc>
          <w:tcPr>
            <w:tcW w:w="4322" w:type="dxa"/>
          </w:tcPr>
          <w:p w:rsidR="001A5590" w:rsidRPr="00DF1EC2" w:rsidRDefault="001A5590" w:rsidP="00757A8E">
            <w:pPr>
              <w:pStyle w:val="TabletextLeft"/>
            </w:pPr>
            <w:r w:rsidRPr="00DF1EC2">
              <w:t xml:space="preserve">Maritime Engineering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039901 </w:t>
            </w:r>
          </w:p>
        </w:tc>
        <w:tc>
          <w:tcPr>
            <w:tcW w:w="4322" w:type="dxa"/>
          </w:tcPr>
          <w:p w:rsidR="001A5590" w:rsidRPr="00DF1EC2" w:rsidRDefault="001A5590" w:rsidP="00757A8E">
            <w:pPr>
              <w:pStyle w:val="TabletextLeft"/>
            </w:pPr>
            <w:r w:rsidRPr="00DF1EC2">
              <w:t xml:space="preserve">Environmental Engineering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039903 </w:t>
            </w:r>
          </w:p>
        </w:tc>
        <w:tc>
          <w:tcPr>
            <w:tcW w:w="4322" w:type="dxa"/>
          </w:tcPr>
          <w:p w:rsidR="001A5590" w:rsidRPr="00DF1EC2" w:rsidRDefault="001A5590" w:rsidP="00757A8E">
            <w:pPr>
              <w:pStyle w:val="TabletextLeft"/>
            </w:pPr>
            <w:r w:rsidRPr="00DF1EC2">
              <w:t xml:space="preserve">Biomedical Engineering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050000-059999 </w:t>
            </w:r>
          </w:p>
        </w:tc>
        <w:tc>
          <w:tcPr>
            <w:tcW w:w="4322" w:type="dxa"/>
          </w:tcPr>
          <w:p w:rsidR="001A5590" w:rsidRPr="00DF1EC2" w:rsidRDefault="001A5590" w:rsidP="00757A8E">
            <w:pPr>
              <w:pStyle w:val="TabletextLeft"/>
            </w:pPr>
            <w:r w:rsidRPr="00DF1EC2">
              <w:t xml:space="preserve">Agriculture, Environmental and Related Studies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060100-060199 </w:t>
            </w:r>
          </w:p>
        </w:tc>
        <w:tc>
          <w:tcPr>
            <w:tcW w:w="4322" w:type="dxa"/>
          </w:tcPr>
          <w:p w:rsidR="001A5590" w:rsidRPr="00DF1EC2" w:rsidRDefault="001A5590" w:rsidP="00757A8E">
            <w:pPr>
              <w:pStyle w:val="TabletextLeft"/>
            </w:pPr>
            <w:r w:rsidRPr="00DF1EC2">
              <w:t xml:space="preserve">Medical Studies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060501 </w:t>
            </w:r>
          </w:p>
        </w:tc>
        <w:tc>
          <w:tcPr>
            <w:tcW w:w="4322" w:type="dxa"/>
          </w:tcPr>
          <w:p w:rsidR="001A5590" w:rsidRPr="00DF1EC2" w:rsidRDefault="001A5590" w:rsidP="00757A8E">
            <w:pPr>
              <w:pStyle w:val="TabletextLeft"/>
            </w:pPr>
            <w:r w:rsidRPr="00DF1EC2">
              <w:t xml:space="preserve">Pharmacy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060701 </w:t>
            </w:r>
          </w:p>
        </w:tc>
        <w:tc>
          <w:tcPr>
            <w:tcW w:w="4322" w:type="dxa"/>
          </w:tcPr>
          <w:p w:rsidR="001A5590" w:rsidRPr="00DF1EC2" w:rsidRDefault="001A5590" w:rsidP="00757A8E">
            <w:pPr>
              <w:pStyle w:val="TabletextLeft"/>
            </w:pPr>
            <w:r w:rsidRPr="00DF1EC2">
              <w:t xml:space="preserve">Dentistry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061101 </w:t>
            </w:r>
          </w:p>
        </w:tc>
        <w:tc>
          <w:tcPr>
            <w:tcW w:w="4322" w:type="dxa"/>
          </w:tcPr>
          <w:p w:rsidR="001A5590" w:rsidRPr="00DF1EC2" w:rsidRDefault="001A5590" w:rsidP="00757A8E">
            <w:pPr>
              <w:pStyle w:val="TabletextLeft"/>
            </w:pPr>
            <w:r w:rsidRPr="00DF1EC2">
              <w:t xml:space="preserve">Veterinary Studies </w:t>
            </w:r>
          </w:p>
        </w:tc>
      </w:tr>
      <w:tr w:rsidR="001A5590" w:rsidRPr="00DF1EC2" w:rsidTr="00DF1EC2">
        <w:trPr>
          <w:cantSplit/>
          <w:trHeight w:val="146"/>
          <w:jc w:val="center"/>
        </w:trPr>
        <w:tc>
          <w:tcPr>
            <w:tcW w:w="3758" w:type="dxa"/>
          </w:tcPr>
          <w:p w:rsidR="001A5590" w:rsidRPr="00DF1EC2" w:rsidRDefault="001A5590" w:rsidP="00757A8E">
            <w:pPr>
              <w:pStyle w:val="TabletextLeft"/>
            </w:pPr>
            <w:r w:rsidRPr="00DF1EC2">
              <w:t xml:space="preserve">069903 </w:t>
            </w:r>
          </w:p>
        </w:tc>
        <w:tc>
          <w:tcPr>
            <w:tcW w:w="4322" w:type="dxa"/>
          </w:tcPr>
          <w:p w:rsidR="001A5590" w:rsidRPr="00DF1EC2" w:rsidRDefault="001A5590" w:rsidP="00757A8E">
            <w:pPr>
              <w:pStyle w:val="TabletextLeft"/>
            </w:pPr>
            <w:r w:rsidRPr="00DF1EC2">
              <w:t xml:space="preserve">Human Movement </w:t>
            </w:r>
          </w:p>
        </w:tc>
      </w:tr>
      <w:tr w:rsidR="001A5590" w:rsidRPr="00DF1EC2" w:rsidTr="00DF1EC2">
        <w:trPr>
          <w:cantSplit/>
          <w:trHeight w:val="146"/>
          <w:jc w:val="center"/>
        </w:trPr>
        <w:tc>
          <w:tcPr>
            <w:tcW w:w="3758" w:type="dxa"/>
            <w:tcBorders>
              <w:bottom w:val="single" w:sz="12" w:space="0" w:color="002776"/>
            </w:tcBorders>
          </w:tcPr>
          <w:p w:rsidR="001A5590" w:rsidRPr="00DF1EC2" w:rsidRDefault="001A5590" w:rsidP="00757A8E">
            <w:pPr>
              <w:pStyle w:val="TabletextLeft"/>
            </w:pPr>
            <w:r w:rsidRPr="00DF1EC2">
              <w:t xml:space="preserve">090701 </w:t>
            </w:r>
          </w:p>
        </w:tc>
        <w:tc>
          <w:tcPr>
            <w:tcW w:w="4322" w:type="dxa"/>
            <w:tcBorders>
              <w:bottom w:val="single" w:sz="12" w:space="0" w:color="002776"/>
            </w:tcBorders>
          </w:tcPr>
          <w:p w:rsidR="001A5590" w:rsidRPr="00DF1EC2" w:rsidRDefault="001A5590" w:rsidP="00757A8E">
            <w:pPr>
              <w:pStyle w:val="TabletextLeft"/>
            </w:pPr>
            <w:r w:rsidRPr="00DF1EC2">
              <w:t xml:space="preserve">Psychology </w:t>
            </w:r>
          </w:p>
        </w:tc>
      </w:tr>
    </w:tbl>
    <w:p w:rsidR="001A5590" w:rsidRPr="00B449CE" w:rsidRDefault="001A5590" w:rsidP="00B449CE">
      <w:pPr>
        <w:pStyle w:val="Source"/>
      </w:pPr>
      <w:r w:rsidRPr="00B449CE">
        <w:t>Source: DIISR 2011a</w:t>
      </w:r>
    </w:p>
    <w:p w:rsidR="001A5590" w:rsidRPr="006D4795" w:rsidRDefault="001A5590" w:rsidP="006D4795">
      <w:pPr>
        <w:pStyle w:val="BodyText"/>
      </w:pPr>
    </w:p>
    <w:p w:rsidR="001A5590" w:rsidRPr="006D4795" w:rsidRDefault="001A5590" w:rsidP="006D4795">
      <w:pPr>
        <w:pStyle w:val="BodyText"/>
      </w:pPr>
    </w:p>
    <w:p w:rsidR="001A5590" w:rsidRDefault="001A5590" w:rsidP="00B656C3">
      <w:pPr>
        <w:pStyle w:val="Heading"/>
      </w:pPr>
      <w:bookmarkStart w:id="183" w:name="_Ref296584866"/>
      <w:bookmarkStart w:id="184" w:name="_Toc298324973"/>
      <w:r>
        <w:lastRenderedPageBreak/>
        <w:t>: Cost categories</w:t>
      </w:r>
      <w:bookmarkEnd w:id="183"/>
      <w:bookmarkEnd w:id="184"/>
    </w:p>
    <w:p w:rsidR="001A5590" w:rsidRPr="0008028A" w:rsidRDefault="001A5590" w:rsidP="0008028A">
      <w:pPr>
        <w:pStyle w:val="AppendixTableCaption"/>
      </w:pPr>
      <w:bookmarkStart w:id="185" w:name="_Ref296584888"/>
      <w:bookmarkStart w:id="186" w:name="_Toc298325004"/>
      <w:r w:rsidRPr="0008028A">
        <w:t>: Direct cost categories</w:t>
      </w:r>
      <w:bookmarkEnd w:id="185"/>
      <w:bookmarkEnd w:id="186"/>
    </w:p>
    <w:tbl>
      <w:tblPr>
        <w:tblW w:w="0" w:type="auto"/>
        <w:jc w:val="center"/>
        <w:tblBorders>
          <w:top w:val="single" w:sz="12" w:space="0" w:color="002776"/>
          <w:bottom w:val="single" w:sz="12" w:space="0" w:color="002776"/>
          <w:insideH w:val="single" w:sz="4" w:space="0" w:color="A6A6A6"/>
          <w:insideV w:val="single" w:sz="4" w:space="0" w:color="A6A6A6"/>
        </w:tblBorders>
        <w:tblLook w:val="01E0" w:firstRow="1" w:lastRow="1" w:firstColumn="1" w:lastColumn="1" w:noHBand="0" w:noVBand="0"/>
      </w:tblPr>
      <w:tblGrid>
        <w:gridCol w:w="1951"/>
        <w:gridCol w:w="3827"/>
        <w:gridCol w:w="2658"/>
      </w:tblGrid>
      <w:tr w:rsidR="001A5590" w:rsidRPr="00645FB8" w:rsidTr="008F5EA1">
        <w:trPr>
          <w:cantSplit/>
          <w:jc w:val="center"/>
        </w:trPr>
        <w:tc>
          <w:tcPr>
            <w:tcW w:w="1951" w:type="dxa"/>
            <w:tcBorders>
              <w:top w:val="single" w:sz="12" w:space="0" w:color="002776"/>
              <w:left w:val="nil"/>
              <w:bottom w:val="single" w:sz="8" w:space="0" w:color="002776"/>
            </w:tcBorders>
          </w:tcPr>
          <w:p w:rsidR="001A5590" w:rsidRPr="002939B3" w:rsidRDefault="001A5590" w:rsidP="00757A8E">
            <w:pPr>
              <w:pStyle w:val="TableHeadingLeft"/>
            </w:pPr>
            <w:r w:rsidRPr="002939B3">
              <w:t>Broad direct cost categories</w:t>
            </w:r>
          </w:p>
        </w:tc>
        <w:tc>
          <w:tcPr>
            <w:tcW w:w="3827" w:type="dxa"/>
            <w:tcBorders>
              <w:top w:val="single" w:sz="12" w:space="0" w:color="002776"/>
              <w:bottom w:val="single" w:sz="8" w:space="0" w:color="002776"/>
            </w:tcBorders>
          </w:tcPr>
          <w:p w:rsidR="001A5590" w:rsidRPr="002939B3" w:rsidRDefault="001A5590" w:rsidP="00757A8E">
            <w:pPr>
              <w:pStyle w:val="TableHeadingLeft"/>
            </w:pPr>
            <w:r w:rsidRPr="002939B3">
              <w:t>Detailed direct cost categories</w:t>
            </w:r>
          </w:p>
        </w:tc>
        <w:tc>
          <w:tcPr>
            <w:tcW w:w="2658" w:type="dxa"/>
            <w:tcBorders>
              <w:top w:val="single" w:sz="12" w:space="0" w:color="002776"/>
              <w:bottom w:val="single" w:sz="8" w:space="0" w:color="002776"/>
              <w:right w:val="nil"/>
            </w:tcBorders>
          </w:tcPr>
          <w:p w:rsidR="001A5590" w:rsidRPr="002939B3" w:rsidRDefault="001A5590" w:rsidP="00757A8E">
            <w:pPr>
              <w:pStyle w:val="TableHeadingLeft"/>
            </w:pPr>
            <w:r w:rsidRPr="002939B3">
              <w:t>Source data / measure</w:t>
            </w:r>
          </w:p>
        </w:tc>
      </w:tr>
      <w:tr w:rsidR="001A5590" w:rsidTr="008F5EA1">
        <w:trPr>
          <w:cantSplit/>
          <w:jc w:val="center"/>
        </w:trPr>
        <w:tc>
          <w:tcPr>
            <w:tcW w:w="1951" w:type="dxa"/>
          </w:tcPr>
          <w:p w:rsidR="001A5590" w:rsidRDefault="001A5590" w:rsidP="00757A8E">
            <w:pPr>
              <w:pStyle w:val="TabletextLeft"/>
            </w:pPr>
            <w:r>
              <w:t>Supervisor costs</w:t>
            </w:r>
          </w:p>
        </w:tc>
        <w:tc>
          <w:tcPr>
            <w:tcW w:w="3827" w:type="dxa"/>
          </w:tcPr>
          <w:p w:rsidR="001A5590" w:rsidRDefault="001A5590" w:rsidP="00757A8E">
            <w:pPr>
              <w:pStyle w:val="Listbullettable"/>
            </w:pPr>
            <w:r>
              <w:t>Supervisor salary</w:t>
            </w:r>
          </w:p>
          <w:p w:rsidR="001A5590" w:rsidRDefault="001A5590" w:rsidP="00757A8E">
            <w:pPr>
              <w:pStyle w:val="Listbullettable"/>
            </w:pPr>
            <w:r>
              <w:t>Supervisor on costs</w:t>
            </w:r>
          </w:p>
        </w:tc>
        <w:tc>
          <w:tcPr>
            <w:tcW w:w="2658" w:type="dxa"/>
          </w:tcPr>
          <w:p w:rsidR="001A5590" w:rsidRDefault="001A5590" w:rsidP="00757A8E">
            <w:pPr>
              <w:pStyle w:val="Listbullettable"/>
            </w:pPr>
            <w:r>
              <w:t>Proportion of total academic time from SRE survey and academic payroll data</w:t>
            </w:r>
          </w:p>
        </w:tc>
      </w:tr>
      <w:tr w:rsidR="001A5590" w:rsidTr="008F5EA1">
        <w:trPr>
          <w:cantSplit/>
          <w:jc w:val="center"/>
        </w:trPr>
        <w:tc>
          <w:tcPr>
            <w:tcW w:w="1951" w:type="dxa"/>
          </w:tcPr>
          <w:p w:rsidR="001A5590" w:rsidRDefault="001A5590" w:rsidP="00757A8E">
            <w:pPr>
              <w:pStyle w:val="TabletextLeft"/>
            </w:pPr>
            <w:r>
              <w:t>Candidate work environment</w:t>
            </w:r>
          </w:p>
        </w:tc>
        <w:tc>
          <w:tcPr>
            <w:tcW w:w="3827" w:type="dxa"/>
          </w:tcPr>
          <w:p w:rsidR="001A5590" w:rsidRDefault="001A5590" w:rsidP="00757A8E">
            <w:pPr>
              <w:pStyle w:val="Listbullettable"/>
            </w:pPr>
            <w:r>
              <w:t>IT equipment</w:t>
            </w:r>
          </w:p>
          <w:p w:rsidR="001A5590" w:rsidRDefault="001A5590" w:rsidP="00757A8E">
            <w:pPr>
              <w:pStyle w:val="Listbullettable"/>
            </w:pPr>
            <w:r>
              <w:t>Office supplies</w:t>
            </w:r>
          </w:p>
          <w:p w:rsidR="001A5590" w:rsidRDefault="001A5590" w:rsidP="00757A8E">
            <w:pPr>
              <w:pStyle w:val="Listbullettable"/>
            </w:pPr>
            <w:r>
              <w:t>Library support, journal and database subscription</w:t>
            </w:r>
          </w:p>
          <w:p w:rsidR="001A5590" w:rsidRDefault="001A5590" w:rsidP="00757A8E">
            <w:pPr>
              <w:pStyle w:val="Listbullettable"/>
            </w:pPr>
            <w:r>
              <w:t>Insurance</w:t>
            </w:r>
          </w:p>
        </w:tc>
        <w:tc>
          <w:tcPr>
            <w:tcW w:w="2658" w:type="dxa"/>
          </w:tcPr>
          <w:p w:rsidR="001A5590" w:rsidRDefault="001A5590" w:rsidP="00757A8E">
            <w:pPr>
              <w:pStyle w:val="Listbullettable"/>
            </w:pPr>
            <w:r>
              <w:t>Standards from CAPA survey</w:t>
            </w:r>
          </w:p>
          <w:p w:rsidR="001A5590" w:rsidRDefault="001A5590" w:rsidP="00757A8E">
            <w:pPr>
              <w:pStyle w:val="Listbullettable"/>
            </w:pPr>
            <w:r>
              <w:t>University policies</w:t>
            </w:r>
          </w:p>
          <w:p w:rsidR="001A5590" w:rsidRDefault="001A5590" w:rsidP="00757A8E">
            <w:pPr>
              <w:pStyle w:val="Listbullettable"/>
            </w:pPr>
            <w:r>
              <w:t>Real data from universities</w:t>
            </w:r>
          </w:p>
        </w:tc>
      </w:tr>
      <w:tr w:rsidR="001A5590" w:rsidRPr="006C4194" w:rsidTr="008F5EA1">
        <w:trPr>
          <w:cantSplit/>
          <w:jc w:val="center"/>
        </w:trPr>
        <w:tc>
          <w:tcPr>
            <w:tcW w:w="1951" w:type="dxa"/>
          </w:tcPr>
          <w:p w:rsidR="001A5590" w:rsidRPr="006C4194" w:rsidRDefault="001A5590" w:rsidP="00757A8E">
            <w:pPr>
              <w:pStyle w:val="TabletextLeft"/>
            </w:pPr>
            <w:r w:rsidRPr="006C4194">
              <w:t>Research project costs</w:t>
            </w:r>
          </w:p>
        </w:tc>
        <w:tc>
          <w:tcPr>
            <w:tcW w:w="3827" w:type="dxa"/>
          </w:tcPr>
          <w:p w:rsidR="001A5590" w:rsidRPr="006C4194" w:rsidRDefault="001A5590" w:rsidP="00757A8E">
            <w:pPr>
              <w:pStyle w:val="Listbullettable"/>
            </w:pPr>
            <w:r w:rsidRPr="006C4194">
              <w:t>Lab equipment</w:t>
            </w:r>
          </w:p>
          <w:p w:rsidR="001A5590" w:rsidRPr="006C4194" w:rsidRDefault="001A5590" w:rsidP="00757A8E">
            <w:pPr>
              <w:pStyle w:val="Listbullettable"/>
            </w:pPr>
            <w:r w:rsidRPr="006C4194">
              <w:t>Data acquisition</w:t>
            </w:r>
          </w:p>
          <w:p w:rsidR="001A5590" w:rsidRPr="006C4194" w:rsidRDefault="001A5590" w:rsidP="00757A8E">
            <w:pPr>
              <w:pStyle w:val="Listbullettable"/>
            </w:pPr>
            <w:r w:rsidRPr="006C4194">
              <w:t>Field trips</w:t>
            </w:r>
          </w:p>
          <w:p w:rsidR="001A5590" w:rsidRPr="006C4194" w:rsidRDefault="001A5590" w:rsidP="00757A8E">
            <w:pPr>
              <w:pStyle w:val="Listbullettable"/>
            </w:pPr>
            <w:r w:rsidRPr="006C4194">
              <w:t>Access to external equipment and/or facilities</w:t>
            </w:r>
          </w:p>
          <w:p w:rsidR="001A5590" w:rsidRPr="006C4194" w:rsidRDefault="001A5590" w:rsidP="00757A8E">
            <w:pPr>
              <w:pStyle w:val="Listbullettable"/>
            </w:pPr>
            <w:r w:rsidRPr="006C4194">
              <w:t>Access to testing/analysis services (not included above)</w:t>
            </w:r>
          </w:p>
        </w:tc>
        <w:tc>
          <w:tcPr>
            <w:tcW w:w="2658" w:type="dxa"/>
          </w:tcPr>
          <w:p w:rsidR="001A5590" w:rsidRPr="006C4194" w:rsidRDefault="001A5590" w:rsidP="00757A8E">
            <w:pPr>
              <w:pStyle w:val="Listbullettable"/>
            </w:pPr>
            <w:r w:rsidRPr="006C4194">
              <w:t>Universities to supply itemised costs</w:t>
            </w:r>
          </w:p>
          <w:p w:rsidR="001A5590" w:rsidRPr="006C4194" w:rsidRDefault="001A5590" w:rsidP="00757A8E">
            <w:pPr>
              <w:pStyle w:val="Listbullettable"/>
            </w:pPr>
            <w:r w:rsidRPr="006C4194">
              <w:t>Weightings attached to certain costs</w:t>
            </w:r>
          </w:p>
        </w:tc>
      </w:tr>
      <w:tr w:rsidR="001A5590" w:rsidTr="008F5EA1">
        <w:trPr>
          <w:cantSplit/>
          <w:jc w:val="center"/>
        </w:trPr>
        <w:tc>
          <w:tcPr>
            <w:tcW w:w="1951" w:type="dxa"/>
            <w:tcBorders>
              <w:top w:val="nil"/>
              <w:bottom w:val="single" w:sz="12" w:space="0" w:color="002776"/>
            </w:tcBorders>
          </w:tcPr>
          <w:p w:rsidR="001A5590" w:rsidRPr="006C4194" w:rsidRDefault="001A5590" w:rsidP="00757A8E">
            <w:pPr>
              <w:pStyle w:val="TabletextLeft"/>
            </w:pPr>
            <w:r w:rsidRPr="006C4194">
              <w:t>Other costs</w:t>
            </w:r>
          </w:p>
        </w:tc>
        <w:tc>
          <w:tcPr>
            <w:tcW w:w="3827" w:type="dxa"/>
            <w:tcBorders>
              <w:top w:val="nil"/>
              <w:bottom w:val="single" w:sz="12" w:space="0" w:color="002776"/>
            </w:tcBorders>
          </w:tcPr>
          <w:p w:rsidR="001A5590" w:rsidRPr="006C4194" w:rsidRDefault="001A5590" w:rsidP="00757A8E">
            <w:pPr>
              <w:pStyle w:val="Listbullettable"/>
            </w:pPr>
            <w:r w:rsidRPr="006C4194">
              <w:t>Conference fees</w:t>
            </w:r>
          </w:p>
          <w:p w:rsidR="001A5590" w:rsidRPr="006C4194" w:rsidRDefault="001A5590" w:rsidP="00757A8E">
            <w:pPr>
              <w:pStyle w:val="Listbullettable"/>
            </w:pPr>
            <w:r w:rsidRPr="006C4194">
              <w:t>Travel and accommodation for conferences, etc</w:t>
            </w:r>
          </w:p>
          <w:p w:rsidR="001A5590" w:rsidRPr="006C4194" w:rsidRDefault="001A5590" w:rsidP="00757A8E">
            <w:pPr>
              <w:pStyle w:val="Listbullettable"/>
            </w:pPr>
            <w:r w:rsidRPr="006C4194">
              <w:t>Printing and publication costs</w:t>
            </w:r>
          </w:p>
          <w:p w:rsidR="001A5590" w:rsidRPr="006C4194" w:rsidRDefault="001A5590" w:rsidP="00757A8E">
            <w:pPr>
              <w:pStyle w:val="Listbullettable"/>
            </w:pPr>
            <w:r w:rsidRPr="006C4194">
              <w:t xml:space="preserve">Professional training, compulsory </w:t>
            </w:r>
            <w:r w:rsidR="00757A8E">
              <w:t>s</w:t>
            </w:r>
            <w:r w:rsidRPr="006C4194">
              <w:t>eminars, etc  related to field of research</w:t>
            </w:r>
          </w:p>
          <w:p w:rsidR="001A5590" w:rsidRPr="006C4194" w:rsidRDefault="001A5590" w:rsidP="00757A8E">
            <w:pPr>
              <w:pStyle w:val="Listbullettable"/>
            </w:pPr>
            <w:r w:rsidRPr="006C4194">
              <w:t>Examination costs</w:t>
            </w:r>
          </w:p>
          <w:p w:rsidR="001A5590" w:rsidRPr="006C4194" w:rsidRDefault="001A5590" w:rsidP="00757A8E">
            <w:pPr>
              <w:pStyle w:val="Listbullettable"/>
            </w:pPr>
            <w:r w:rsidRPr="006C4194">
              <w:t>Other costs</w:t>
            </w:r>
          </w:p>
        </w:tc>
        <w:tc>
          <w:tcPr>
            <w:tcW w:w="2658" w:type="dxa"/>
            <w:tcBorders>
              <w:top w:val="nil"/>
              <w:bottom w:val="single" w:sz="12" w:space="0" w:color="002776"/>
            </w:tcBorders>
          </w:tcPr>
          <w:p w:rsidR="001A5590" w:rsidRPr="006C4194" w:rsidRDefault="001A5590" w:rsidP="00757A8E">
            <w:pPr>
              <w:pStyle w:val="Listbullettable"/>
            </w:pPr>
            <w:r w:rsidRPr="006C4194">
              <w:t>Universities to supply actual or approximate costs</w:t>
            </w:r>
          </w:p>
          <w:p w:rsidR="001A5590" w:rsidRPr="006C4194" w:rsidRDefault="001A5590" w:rsidP="00757A8E">
            <w:pPr>
              <w:pStyle w:val="Listbullettable"/>
            </w:pPr>
          </w:p>
        </w:tc>
      </w:tr>
    </w:tbl>
    <w:p w:rsidR="001A5590" w:rsidRDefault="001A5590" w:rsidP="00FD179B">
      <w:pPr>
        <w:pStyle w:val="BodyText"/>
      </w:pPr>
    </w:p>
    <w:p w:rsidR="001A5590" w:rsidRDefault="001A5590" w:rsidP="00FD179B">
      <w:pPr>
        <w:pStyle w:val="BodyText"/>
      </w:pPr>
      <w:r>
        <w:br w:type="page"/>
      </w:r>
    </w:p>
    <w:p w:rsidR="001A5590" w:rsidRDefault="001A5590" w:rsidP="00E17752">
      <w:pPr>
        <w:pStyle w:val="AppendixTableCaption"/>
      </w:pPr>
      <w:bookmarkStart w:id="187" w:name="_Ref296584906"/>
      <w:bookmarkStart w:id="188" w:name="_Toc298325005"/>
      <w:r>
        <w:t>: Indirect cost categories</w:t>
      </w:r>
      <w:bookmarkEnd w:id="187"/>
      <w:bookmarkEnd w:id="188"/>
    </w:p>
    <w:tbl>
      <w:tblPr>
        <w:tblW w:w="0" w:type="auto"/>
        <w:jc w:val="center"/>
        <w:tblBorders>
          <w:top w:val="single" w:sz="12" w:space="0" w:color="002776"/>
          <w:bottom w:val="single" w:sz="12" w:space="0" w:color="002776"/>
          <w:insideH w:val="single" w:sz="4" w:space="0" w:color="A6A6A6"/>
          <w:insideV w:val="single" w:sz="4" w:space="0" w:color="A6A6A6"/>
        </w:tblBorders>
        <w:tblLook w:val="01E0" w:firstRow="1" w:lastRow="1" w:firstColumn="1" w:lastColumn="1" w:noHBand="0" w:noVBand="0"/>
      </w:tblPr>
      <w:tblGrid>
        <w:gridCol w:w="1951"/>
        <w:gridCol w:w="3827"/>
        <w:gridCol w:w="2658"/>
      </w:tblGrid>
      <w:tr w:rsidR="001A5590" w:rsidRPr="00645FB8" w:rsidTr="008F5EA1">
        <w:trPr>
          <w:cantSplit/>
          <w:jc w:val="center"/>
        </w:trPr>
        <w:tc>
          <w:tcPr>
            <w:tcW w:w="1951" w:type="dxa"/>
            <w:tcBorders>
              <w:top w:val="single" w:sz="12" w:space="0" w:color="002776"/>
              <w:left w:val="nil"/>
              <w:bottom w:val="single" w:sz="8" w:space="0" w:color="002776"/>
            </w:tcBorders>
          </w:tcPr>
          <w:p w:rsidR="001A5590" w:rsidRPr="002939B3" w:rsidRDefault="001A5590" w:rsidP="00757A8E">
            <w:pPr>
              <w:pStyle w:val="TableHeadingLeft"/>
            </w:pPr>
            <w:r w:rsidRPr="002939B3">
              <w:t>Broad indirect cost categories</w:t>
            </w:r>
          </w:p>
        </w:tc>
        <w:tc>
          <w:tcPr>
            <w:tcW w:w="3827" w:type="dxa"/>
            <w:tcBorders>
              <w:top w:val="single" w:sz="12" w:space="0" w:color="002776"/>
              <w:bottom w:val="single" w:sz="8" w:space="0" w:color="002776"/>
            </w:tcBorders>
          </w:tcPr>
          <w:p w:rsidR="001A5590" w:rsidRPr="002939B3" w:rsidRDefault="001A5590" w:rsidP="00757A8E">
            <w:pPr>
              <w:pStyle w:val="TableHeadingLeft"/>
            </w:pPr>
            <w:r w:rsidRPr="002939B3">
              <w:t>Detailed indirect cost categories</w:t>
            </w:r>
          </w:p>
        </w:tc>
        <w:tc>
          <w:tcPr>
            <w:tcW w:w="2658" w:type="dxa"/>
            <w:tcBorders>
              <w:top w:val="single" w:sz="12" w:space="0" w:color="002776"/>
              <w:bottom w:val="single" w:sz="8" w:space="0" w:color="002776"/>
              <w:right w:val="nil"/>
            </w:tcBorders>
          </w:tcPr>
          <w:p w:rsidR="001A5590" w:rsidRPr="002939B3" w:rsidRDefault="001A5590" w:rsidP="00757A8E">
            <w:pPr>
              <w:pStyle w:val="TableHeadingLeft"/>
            </w:pPr>
            <w:r w:rsidRPr="002939B3">
              <w:t>Source data / measure</w:t>
            </w:r>
          </w:p>
        </w:tc>
      </w:tr>
      <w:tr w:rsidR="001A5590" w:rsidRPr="00D07611" w:rsidTr="008F5EA1">
        <w:trPr>
          <w:cantSplit/>
          <w:jc w:val="center"/>
        </w:trPr>
        <w:tc>
          <w:tcPr>
            <w:tcW w:w="1951" w:type="dxa"/>
          </w:tcPr>
          <w:p w:rsidR="001A5590" w:rsidRPr="00D07611" w:rsidRDefault="001A5590" w:rsidP="00757A8E">
            <w:pPr>
              <w:pStyle w:val="TabletextLeft"/>
            </w:pPr>
            <w:r w:rsidRPr="00D07611">
              <w:t xml:space="preserve">Central services </w:t>
            </w:r>
          </w:p>
        </w:tc>
        <w:tc>
          <w:tcPr>
            <w:tcW w:w="3827" w:type="dxa"/>
          </w:tcPr>
          <w:p w:rsidR="001A5590" w:rsidRPr="00D07611" w:rsidRDefault="001A5590" w:rsidP="00757A8E">
            <w:pPr>
              <w:pStyle w:val="Listbullettable"/>
            </w:pPr>
            <w:r w:rsidRPr="00D07611">
              <w:t>Counselling services</w:t>
            </w:r>
          </w:p>
          <w:p w:rsidR="001A5590" w:rsidRPr="00D07611" w:rsidRDefault="001A5590" w:rsidP="00757A8E">
            <w:pPr>
              <w:pStyle w:val="Listbullettable"/>
            </w:pPr>
            <w:r w:rsidRPr="00D07611">
              <w:t>Student services</w:t>
            </w:r>
          </w:p>
          <w:p w:rsidR="001A5590" w:rsidRPr="00D07611" w:rsidRDefault="001A5590" w:rsidP="00757A8E">
            <w:pPr>
              <w:pStyle w:val="Listbullettable"/>
            </w:pPr>
            <w:r w:rsidRPr="00D07611">
              <w:t>Career advice services</w:t>
            </w:r>
          </w:p>
          <w:p w:rsidR="001A5590" w:rsidRPr="00D07611" w:rsidRDefault="001A5590" w:rsidP="00757A8E">
            <w:pPr>
              <w:pStyle w:val="Listbullettable"/>
            </w:pPr>
            <w:r w:rsidRPr="00D07611">
              <w:t>Graduate studies office services</w:t>
            </w:r>
          </w:p>
          <w:p w:rsidR="001A5590" w:rsidRPr="00D07611" w:rsidRDefault="001A5590" w:rsidP="00757A8E">
            <w:pPr>
              <w:pStyle w:val="Listbullettable"/>
            </w:pPr>
            <w:r w:rsidRPr="00D07611">
              <w:t xml:space="preserve">Research office services </w:t>
            </w:r>
          </w:p>
          <w:p w:rsidR="001A5590" w:rsidRPr="00D07611" w:rsidRDefault="001A5590" w:rsidP="00757A8E">
            <w:pPr>
              <w:pStyle w:val="Listbullettable"/>
            </w:pPr>
            <w:r w:rsidRPr="00D07611">
              <w:t>Gym, sporting facilities</w:t>
            </w:r>
          </w:p>
          <w:p w:rsidR="001A5590" w:rsidRPr="00D07611" w:rsidRDefault="001A5590" w:rsidP="00757A8E">
            <w:pPr>
              <w:pStyle w:val="Listbullettable"/>
            </w:pPr>
            <w:r w:rsidRPr="00D07611">
              <w:t>Conference facilities</w:t>
            </w:r>
          </w:p>
          <w:p w:rsidR="001A5590" w:rsidRPr="00D07611" w:rsidRDefault="001A5590" w:rsidP="00757A8E">
            <w:pPr>
              <w:pStyle w:val="Listbullettable"/>
            </w:pPr>
            <w:r w:rsidRPr="00D07611">
              <w:t>Other central services</w:t>
            </w:r>
          </w:p>
        </w:tc>
        <w:tc>
          <w:tcPr>
            <w:tcW w:w="2658" w:type="dxa"/>
          </w:tcPr>
          <w:p w:rsidR="001A5590" w:rsidRPr="00D07611" w:rsidRDefault="001A5590" w:rsidP="00757A8E">
            <w:pPr>
              <w:pStyle w:val="TabletextLeft"/>
            </w:pPr>
            <w:r w:rsidRPr="00D07611">
              <w:t>Indirect costs: SRE data</w:t>
            </w:r>
          </w:p>
          <w:p w:rsidR="001A5590" w:rsidRPr="00D07611" w:rsidRDefault="001A5590" w:rsidP="00757A8E">
            <w:pPr>
              <w:pStyle w:val="TabletextLeft"/>
            </w:pPr>
            <w:r w:rsidRPr="00D07611">
              <w:t>Driver: FTE / Head count proportion (possibly weighted)</w:t>
            </w:r>
          </w:p>
        </w:tc>
      </w:tr>
      <w:tr w:rsidR="001A5590" w:rsidRPr="00D07611" w:rsidTr="008F5EA1">
        <w:trPr>
          <w:cantSplit/>
          <w:jc w:val="center"/>
        </w:trPr>
        <w:tc>
          <w:tcPr>
            <w:tcW w:w="1951" w:type="dxa"/>
          </w:tcPr>
          <w:p w:rsidR="001A5590" w:rsidRPr="00D07611" w:rsidRDefault="001A5590" w:rsidP="00757A8E">
            <w:pPr>
              <w:pStyle w:val="TabletextLeft"/>
            </w:pPr>
            <w:r w:rsidRPr="00D07611">
              <w:t>Generic training</w:t>
            </w:r>
          </w:p>
        </w:tc>
        <w:tc>
          <w:tcPr>
            <w:tcW w:w="3827" w:type="dxa"/>
          </w:tcPr>
          <w:p w:rsidR="001A5590" w:rsidRPr="00D07611" w:rsidRDefault="001A5590" w:rsidP="00757A8E">
            <w:pPr>
              <w:pStyle w:val="Listbullettable"/>
            </w:pPr>
            <w:r w:rsidRPr="00D07611">
              <w:t xml:space="preserve">Presentation/communication skills </w:t>
            </w:r>
          </w:p>
          <w:p w:rsidR="001A5590" w:rsidRPr="00D07611" w:rsidRDefault="001A5590" w:rsidP="00757A8E">
            <w:pPr>
              <w:pStyle w:val="Listbullettable"/>
            </w:pPr>
            <w:r w:rsidRPr="00D07611">
              <w:t xml:space="preserve">Research skills </w:t>
            </w:r>
          </w:p>
          <w:p w:rsidR="001A5590" w:rsidRPr="00D07611" w:rsidRDefault="001A5590" w:rsidP="00757A8E">
            <w:pPr>
              <w:pStyle w:val="Listbullettable"/>
            </w:pPr>
            <w:r w:rsidRPr="00D07611">
              <w:t>IP skills</w:t>
            </w:r>
          </w:p>
          <w:p w:rsidR="001A5590" w:rsidRPr="00D07611" w:rsidRDefault="001A5590" w:rsidP="00757A8E">
            <w:pPr>
              <w:pStyle w:val="Listbullettable"/>
            </w:pPr>
            <w:r w:rsidRPr="00D07611">
              <w:t>Writing skills</w:t>
            </w:r>
          </w:p>
          <w:p w:rsidR="001A5590" w:rsidRPr="00D07611" w:rsidRDefault="001A5590" w:rsidP="00757A8E">
            <w:pPr>
              <w:pStyle w:val="Listbullettable"/>
            </w:pPr>
            <w:r w:rsidRPr="00D07611">
              <w:t>Ethics, legal responsibilities</w:t>
            </w:r>
          </w:p>
          <w:p w:rsidR="001A5590" w:rsidRPr="00D07611" w:rsidRDefault="001A5590" w:rsidP="00757A8E">
            <w:pPr>
              <w:pStyle w:val="Listbullettable"/>
            </w:pPr>
            <w:r w:rsidRPr="00D07611">
              <w:t>Other generic training</w:t>
            </w:r>
          </w:p>
        </w:tc>
        <w:tc>
          <w:tcPr>
            <w:tcW w:w="2658" w:type="dxa"/>
          </w:tcPr>
          <w:p w:rsidR="001A5590" w:rsidRPr="00D07611" w:rsidRDefault="001A5590" w:rsidP="00757A8E">
            <w:pPr>
              <w:pStyle w:val="TabletextLeft"/>
            </w:pPr>
            <w:r w:rsidRPr="00D07611">
              <w:t>Indirect costs: Unis to supply approximate costs.</w:t>
            </w:r>
          </w:p>
          <w:p w:rsidR="001A5590" w:rsidRPr="00D07611" w:rsidRDefault="001A5590" w:rsidP="00757A8E">
            <w:pPr>
              <w:pStyle w:val="TabletextLeft"/>
            </w:pPr>
            <w:r w:rsidRPr="00D07611">
              <w:t>Driver: FTE/Head count proportion (possibly weighted)</w:t>
            </w:r>
          </w:p>
          <w:p w:rsidR="001A5590" w:rsidRPr="00D07611" w:rsidRDefault="001A5590" w:rsidP="00757A8E">
            <w:pPr>
              <w:pStyle w:val="TabletextLeft"/>
            </w:pPr>
          </w:p>
        </w:tc>
      </w:tr>
      <w:tr w:rsidR="001A5590" w:rsidRPr="00D07611" w:rsidTr="008F5EA1">
        <w:trPr>
          <w:cantSplit/>
          <w:jc w:val="center"/>
        </w:trPr>
        <w:tc>
          <w:tcPr>
            <w:tcW w:w="1951" w:type="dxa"/>
          </w:tcPr>
          <w:p w:rsidR="001A5590" w:rsidRPr="00D07611" w:rsidRDefault="001A5590" w:rsidP="00757A8E">
            <w:pPr>
              <w:pStyle w:val="TabletextLeft"/>
            </w:pPr>
            <w:r w:rsidRPr="00D07611">
              <w:t>Maintenance costs</w:t>
            </w:r>
          </w:p>
        </w:tc>
        <w:tc>
          <w:tcPr>
            <w:tcW w:w="3827" w:type="dxa"/>
          </w:tcPr>
          <w:p w:rsidR="001A5590" w:rsidRPr="00D07611" w:rsidRDefault="001A5590" w:rsidP="00757A8E">
            <w:pPr>
              <w:pStyle w:val="Listbullettable"/>
            </w:pPr>
            <w:r w:rsidRPr="00D07611">
              <w:t xml:space="preserve">Maintenance costs of equipment and </w:t>
            </w:r>
            <w:r w:rsidR="00757A8E">
              <w:t>f</w:t>
            </w:r>
            <w:r w:rsidRPr="00D07611">
              <w:t>acilities used by HDR candidates</w:t>
            </w:r>
          </w:p>
          <w:p w:rsidR="001A5590" w:rsidRPr="00D07611" w:rsidRDefault="001A5590" w:rsidP="00757A8E">
            <w:pPr>
              <w:pStyle w:val="Listbullettable"/>
            </w:pPr>
            <w:r w:rsidRPr="00D07611">
              <w:t>Cleaning</w:t>
            </w:r>
          </w:p>
          <w:p w:rsidR="001A5590" w:rsidRPr="00D07611" w:rsidRDefault="001A5590" w:rsidP="00757A8E">
            <w:pPr>
              <w:pStyle w:val="Listbullettable"/>
            </w:pPr>
            <w:r w:rsidRPr="00D07611">
              <w:t>Security</w:t>
            </w:r>
          </w:p>
          <w:p w:rsidR="001A5590" w:rsidRPr="00D07611" w:rsidRDefault="001A5590" w:rsidP="00757A8E">
            <w:pPr>
              <w:pStyle w:val="Listbullettable"/>
            </w:pPr>
            <w:r w:rsidRPr="00D07611">
              <w:t>Utility costs</w:t>
            </w:r>
          </w:p>
          <w:p w:rsidR="001A5590" w:rsidRPr="00D07611" w:rsidRDefault="001A5590" w:rsidP="00757A8E">
            <w:pPr>
              <w:pStyle w:val="Listbullettable"/>
            </w:pPr>
            <w:r w:rsidRPr="00D07611">
              <w:t>Library</w:t>
            </w:r>
          </w:p>
          <w:p w:rsidR="001A5590" w:rsidRPr="00D07611" w:rsidRDefault="001A5590" w:rsidP="00757A8E">
            <w:pPr>
              <w:pStyle w:val="Listbullettable"/>
            </w:pPr>
            <w:r w:rsidRPr="00D07611">
              <w:t>IT</w:t>
            </w:r>
          </w:p>
        </w:tc>
        <w:tc>
          <w:tcPr>
            <w:tcW w:w="2658" w:type="dxa"/>
          </w:tcPr>
          <w:p w:rsidR="001A5590" w:rsidRPr="00D07611" w:rsidRDefault="001A5590" w:rsidP="00757A8E">
            <w:pPr>
              <w:pStyle w:val="TabletextLeft"/>
            </w:pPr>
            <w:r w:rsidRPr="00D07611">
              <w:t>Indirect costs: - SRE data/ actual data</w:t>
            </w:r>
          </w:p>
          <w:p w:rsidR="001A5590" w:rsidRPr="00D07611" w:rsidRDefault="001A5590" w:rsidP="00757A8E">
            <w:pPr>
              <w:pStyle w:val="TabletextLeft"/>
            </w:pPr>
            <w:r w:rsidRPr="00D07611">
              <w:t>Driver: FTE/Head count proportion (possibly weighted)</w:t>
            </w:r>
          </w:p>
        </w:tc>
      </w:tr>
      <w:tr w:rsidR="001A5590" w:rsidTr="008F5EA1">
        <w:trPr>
          <w:cantSplit/>
          <w:jc w:val="center"/>
        </w:trPr>
        <w:tc>
          <w:tcPr>
            <w:tcW w:w="1951" w:type="dxa"/>
            <w:tcBorders>
              <w:top w:val="nil"/>
              <w:bottom w:val="single" w:sz="12" w:space="0" w:color="002776"/>
            </w:tcBorders>
          </w:tcPr>
          <w:p w:rsidR="001A5590" w:rsidRPr="00D07611" w:rsidRDefault="001A5590" w:rsidP="00757A8E">
            <w:pPr>
              <w:pStyle w:val="TabletextLeft"/>
            </w:pPr>
            <w:r w:rsidRPr="00D07611">
              <w:t>Other indirect costs</w:t>
            </w:r>
          </w:p>
        </w:tc>
        <w:tc>
          <w:tcPr>
            <w:tcW w:w="3827" w:type="dxa"/>
            <w:tcBorders>
              <w:top w:val="nil"/>
              <w:bottom w:val="single" w:sz="12" w:space="0" w:color="002776"/>
            </w:tcBorders>
          </w:tcPr>
          <w:p w:rsidR="001A5590" w:rsidRPr="00D07611" w:rsidRDefault="001A5590" w:rsidP="00757A8E">
            <w:pPr>
              <w:pStyle w:val="Listbullettable"/>
            </w:pPr>
            <w:r w:rsidRPr="00D07611">
              <w:t>Legal fees</w:t>
            </w:r>
          </w:p>
          <w:p w:rsidR="001A5590" w:rsidRPr="00D07611" w:rsidRDefault="001A5590" w:rsidP="00757A8E">
            <w:pPr>
              <w:pStyle w:val="Listbullettable"/>
            </w:pPr>
            <w:r w:rsidRPr="00D07611">
              <w:t xml:space="preserve">Publication costs not directly attributable to research training (e.g. photocopying etc) </w:t>
            </w:r>
          </w:p>
          <w:p w:rsidR="001A5590" w:rsidRPr="00D07611" w:rsidRDefault="001A5590" w:rsidP="00757A8E">
            <w:pPr>
              <w:pStyle w:val="Listbullettable"/>
            </w:pPr>
            <w:r w:rsidRPr="00D07611">
              <w:t>Office supplies</w:t>
            </w:r>
          </w:p>
          <w:p w:rsidR="001A5590" w:rsidRPr="00D07611" w:rsidRDefault="001A5590" w:rsidP="00757A8E">
            <w:pPr>
              <w:pStyle w:val="Listbullettable"/>
            </w:pPr>
            <w:r w:rsidRPr="00D07611">
              <w:t>Health and safety expenses</w:t>
            </w:r>
          </w:p>
          <w:p w:rsidR="001A5590" w:rsidRPr="00D07611" w:rsidRDefault="001A5590" w:rsidP="00757A8E">
            <w:pPr>
              <w:pStyle w:val="Listbullettable"/>
            </w:pPr>
            <w:r w:rsidRPr="00D07611">
              <w:t>Other indirect costs</w:t>
            </w:r>
          </w:p>
        </w:tc>
        <w:tc>
          <w:tcPr>
            <w:tcW w:w="2658" w:type="dxa"/>
            <w:tcBorders>
              <w:top w:val="nil"/>
              <w:bottom w:val="single" w:sz="12" w:space="0" w:color="002776"/>
            </w:tcBorders>
          </w:tcPr>
          <w:p w:rsidR="001A5590" w:rsidRPr="00D07611" w:rsidRDefault="001A5590" w:rsidP="00757A8E">
            <w:pPr>
              <w:pStyle w:val="TabletextLeft"/>
            </w:pPr>
            <w:r w:rsidRPr="00D07611">
              <w:t xml:space="preserve">Indirect costs: SRE data </w:t>
            </w:r>
          </w:p>
          <w:p w:rsidR="001A5590" w:rsidRDefault="001A5590" w:rsidP="00757A8E">
            <w:pPr>
              <w:pStyle w:val="TabletextLeft"/>
            </w:pPr>
            <w:r w:rsidRPr="00D07611">
              <w:t>Driver: FTE/Head count proportion (possibly weighted)</w:t>
            </w:r>
          </w:p>
        </w:tc>
      </w:tr>
    </w:tbl>
    <w:p w:rsidR="001A5590" w:rsidRPr="00B656C3" w:rsidRDefault="001A5590" w:rsidP="00FD179B">
      <w:pPr>
        <w:pStyle w:val="BodyText"/>
      </w:pPr>
    </w:p>
    <w:p w:rsidR="001A5590" w:rsidRDefault="001A5590" w:rsidP="007F5790">
      <w:pPr>
        <w:pStyle w:val="Heading"/>
      </w:pPr>
      <w:bookmarkStart w:id="189" w:name="_Ref295125233"/>
      <w:bookmarkStart w:id="190" w:name="_Toc298324974"/>
      <w:r>
        <w:lastRenderedPageBreak/>
        <w:t>: Overview of international research funding systems</w:t>
      </w:r>
      <w:bookmarkEnd w:id="180"/>
      <w:bookmarkEnd w:id="189"/>
      <w:bookmarkEnd w:id="190"/>
    </w:p>
    <w:p w:rsidR="001A5590" w:rsidRPr="00FF03CB" w:rsidRDefault="001A5590" w:rsidP="00E17752">
      <w:pPr>
        <w:pStyle w:val="AppendixTableCaption"/>
      </w:pPr>
      <w:bookmarkStart w:id="191" w:name="_Toc298325006"/>
      <w:r>
        <w:t>: O</w:t>
      </w:r>
      <w:r w:rsidRPr="00FF03CB">
        <w:t xml:space="preserve">verview of </w:t>
      </w:r>
      <w:r>
        <w:t xml:space="preserve">international </w:t>
      </w:r>
      <w:r w:rsidRPr="00FF03CB">
        <w:t>research funding systems</w:t>
      </w:r>
      <w:bookmarkEnd w:id="191"/>
      <w:r w:rsidRPr="00FF03CB">
        <w:t xml:space="preserve"> </w:t>
      </w:r>
    </w:p>
    <w:tbl>
      <w:tblPr>
        <w:tblW w:w="8179" w:type="dxa"/>
        <w:jc w:val="center"/>
        <w:tblBorders>
          <w:top w:val="single" w:sz="12" w:space="0" w:color="002776"/>
          <w:bottom w:val="single" w:sz="12" w:space="0" w:color="002776"/>
          <w:insideH w:val="single" w:sz="4" w:space="0" w:color="A6A6A6"/>
          <w:insideV w:val="single" w:sz="4" w:space="0" w:color="A6A6A6"/>
        </w:tblBorders>
        <w:tblLayout w:type="fixed"/>
        <w:tblLook w:val="01E0" w:firstRow="1" w:lastRow="1" w:firstColumn="1" w:lastColumn="1" w:noHBand="0" w:noVBand="0"/>
      </w:tblPr>
      <w:tblGrid>
        <w:gridCol w:w="1256"/>
        <w:gridCol w:w="1276"/>
        <w:gridCol w:w="1882"/>
        <w:gridCol w:w="1882"/>
        <w:gridCol w:w="1883"/>
      </w:tblGrid>
      <w:tr w:rsidR="001A5590" w:rsidRPr="004604CB" w:rsidTr="00BB385B">
        <w:trPr>
          <w:cantSplit/>
          <w:trHeight w:val="438"/>
          <w:jc w:val="center"/>
        </w:trPr>
        <w:tc>
          <w:tcPr>
            <w:tcW w:w="1256" w:type="dxa"/>
            <w:tcBorders>
              <w:top w:val="single" w:sz="12" w:space="0" w:color="002776"/>
              <w:left w:val="nil"/>
              <w:bottom w:val="single" w:sz="8" w:space="0" w:color="002776"/>
            </w:tcBorders>
          </w:tcPr>
          <w:p w:rsidR="001A5590" w:rsidRPr="00DA1A88" w:rsidRDefault="001A5590" w:rsidP="00757A8E">
            <w:pPr>
              <w:pStyle w:val="TableHeadingLeft"/>
            </w:pPr>
            <w:r w:rsidRPr="00DA1A88">
              <w:t>Country</w:t>
            </w:r>
          </w:p>
        </w:tc>
        <w:tc>
          <w:tcPr>
            <w:tcW w:w="1276" w:type="dxa"/>
            <w:tcBorders>
              <w:top w:val="single" w:sz="12" w:space="0" w:color="002776"/>
              <w:bottom w:val="single" w:sz="8" w:space="0" w:color="002776"/>
            </w:tcBorders>
          </w:tcPr>
          <w:p w:rsidR="001A5590" w:rsidRPr="00DA1A88" w:rsidRDefault="001A5590" w:rsidP="00757A8E">
            <w:pPr>
              <w:pStyle w:val="TableHeadingLeft"/>
            </w:pPr>
            <w:r w:rsidRPr="00DA1A88">
              <w:t>Institution/ Organisation</w:t>
            </w:r>
          </w:p>
        </w:tc>
        <w:tc>
          <w:tcPr>
            <w:tcW w:w="1882" w:type="dxa"/>
            <w:tcBorders>
              <w:top w:val="single" w:sz="12" w:space="0" w:color="002776"/>
              <w:bottom w:val="single" w:sz="8" w:space="0" w:color="002776"/>
            </w:tcBorders>
          </w:tcPr>
          <w:p w:rsidR="001A5590" w:rsidRPr="00DA1A88" w:rsidRDefault="001A5590" w:rsidP="00757A8E">
            <w:pPr>
              <w:pStyle w:val="TableHeadingLeft"/>
            </w:pPr>
            <w:r w:rsidRPr="00DA1A88">
              <w:t>Research training funding model</w:t>
            </w:r>
          </w:p>
        </w:tc>
        <w:tc>
          <w:tcPr>
            <w:tcW w:w="1882" w:type="dxa"/>
            <w:tcBorders>
              <w:top w:val="single" w:sz="12" w:space="0" w:color="002776"/>
              <w:bottom w:val="single" w:sz="8" w:space="0" w:color="002776"/>
            </w:tcBorders>
          </w:tcPr>
          <w:p w:rsidR="001A5590" w:rsidRPr="00DA1A88" w:rsidRDefault="001A5590" w:rsidP="00757A8E">
            <w:pPr>
              <w:pStyle w:val="TableHeadingLeft"/>
            </w:pPr>
            <w:r w:rsidRPr="00DA1A88">
              <w:t>Key features</w:t>
            </w:r>
          </w:p>
        </w:tc>
        <w:tc>
          <w:tcPr>
            <w:tcW w:w="1883" w:type="dxa"/>
            <w:tcBorders>
              <w:top w:val="single" w:sz="12" w:space="0" w:color="002776"/>
              <w:bottom w:val="single" w:sz="8" w:space="0" w:color="002776"/>
              <w:right w:val="nil"/>
            </w:tcBorders>
          </w:tcPr>
          <w:p w:rsidR="001A5590" w:rsidRPr="00DA1A88" w:rsidRDefault="001A5590" w:rsidP="00757A8E">
            <w:pPr>
              <w:pStyle w:val="TableHeadingLeft"/>
            </w:pPr>
            <w:r w:rsidRPr="00DA1A88">
              <w:t>Reference links</w:t>
            </w:r>
          </w:p>
        </w:tc>
      </w:tr>
      <w:tr w:rsidR="001A5590" w:rsidTr="00BB385B">
        <w:trPr>
          <w:cantSplit/>
          <w:trHeight w:val="509"/>
          <w:jc w:val="center"/>
        </w:trPr>
        <w:tc>
          <w:tcPr>
            <w:tcW w:w="1256" w:type="dxa"/>
          </w:tcPr>
          <w:p w:rsidR="001A5590" w:rsidRPr="00BB385B" w:rsidRDefault="001A5590" w:rsidP="00481593">
            <w:pPr>
              <w:pStyle w:val="Tablecolumnheader"/>
            </w:pPr>
            <w:smartTag w:uri="urn:schemas-microsoft-com:office:smarttags" w:element="place">
              <w:r w:rsidRPr="00BB385B">
                <w:t>Argentina</w:t>
              </w:r>
            </w:smartTag>
          </w:p>
        </w:tc>
        <w:tc>
          <w:tcPr>
            <w:tcW w:w="1276" w:type="dxa"/>
          </w:tcPr>
          <w:p w:rsidR="001A5590" w:rsidRPr="00757A8E" w:rsidRDefault="001A5590" w:rsidP="00757A8E">
            <w:pPr>
              <w:pStyle w:val="TabletextLeft"/>
            </w:pPr>
            <w:r w:rsidRPr="00757A8E">
              <w:t>Ministry of Education (Ministerio de Educación)</w:t>
            </w:r>
          </w:p>
        </w:tc>
        <w:tc>
          <w:tcPr>
            <w:tcW w:w="1882" w:type="dxa"/>
          </w:tcPr>
          <w:p w:rsidR="001A5590" w:rsidRPr="00757A8E" w:rsidRDefault="001A5590" w:rsidP="00757A8E">
            <w:pPr>
              <w:pStyle w:val="TabletextLeft"/>
            </w:pPr>
            <w:r w:rsidRPr="00757A8E">
              <w:t>Postgraduate tuition fees and living expenses funded by students.</w:t>
            </w:r>
          </w:p>
        </w:tc>
        <w:tc>
          <w:tcPr>
            <w:tcW w:w="1882" w:type="dxa"/>
          </w:tcPr>
          <w:p w:rsidR="001A5590" w:rsidRPr="00757A8E" w:rsidRDefault="001A5590" w:rsidP="00757A8E">
            <w:pPr>
              <w:pStyle w:val="TabletextLeft"/>
            </w:pPr>
          </w:p>
        </w:tc>
        <w:tc>
          <w:tcPr>
            <w:tcW w:w="1883" w:type="dxa"/>
          </w:tcPr>
          <w:p w:rsidR="001A5590" w:rsidRPr="00757A8E" w:rsidRDefault="001A5590" w:rsidP="00757A8E">
            <w:pPr>
              <w:pStyle w:val="TabletextLeft"/>
            </w:pPr>
            <w:r w:rsidRPr="00757A8E">
              <w:t>http://spuweb.siu.edu.ar/studyinargentina/pages/study1203.php</w:t>
            </w:r>
          </w:p>
        </w:tc>
      </w:tr>
      <w:tr w:rsidR="001A5590" w:rsidTr="00BB385B">
        <w:trPr>
          <w:cantSplit/>
          <w:trHeight w:val="509"/>
          <w:jc w:val="center"/>
        </w:trPr>
        <w:tc>
          <w:tcPr>
            <w:tcW w:w="1256" w:type="dxa"/>
          </w:tcPr>
          <w:p w:rsidR="001A5590" w:rsidRPr="00BB385B" w:rsidRDefault="001A5590" w:rsidP="00481593">
            <w:pPr>
              <w:pStyle w:val="Tablecolumnheader"/>
            </w:pPr>
            <w:smartTag w:uri="urn:schemas-microsoft-com:office:smarttags" w:element="place">
              <w:r w:rsidRPr="00BB385B">
                <w:t>Canada</w:t>
              </w:r>
            </w:smartTag>
          </w:p>
        </w:tc>
        <w:tc>
          <w:tcPr>
            <w:tcW w:w="1276" w:type="dxa"/>
          </w:tcPr>
          <w:p w:rsidR="001A5590" w:rsidRPr="00757A8E" w:rsidRDefault="001A5590" w:rsidP="00757A8E">
            <w:pPr>
              <w:pStyle w:val="TabletextLeft"/>
            </w:pPr>
            <w:r w:rsidRPr="00757A8E">
              <w:t>Federal vehicles:</w:t>
            </w:r>
          </w:p>
          <w:p w:rsidR="001A5590" w:rsidRPr="00757A8E" w:rsidRDefault="001A5590" w:rsidP="00757A8E">
            <w:pPr>
              <w:pStyle w:val="TabletextLeft"/>
            </w:pPr>
            <w:r w:rsidRPr="00757A8E">
              <w:t>-Natural Science and Engineering Research Council</w:t>
            </w:r>
          </w:p>
          <w:p w:rsidR="001A5590" w:rsidRPr="00757A8E" w:rsidRDefault="001A5590" w:rsidP="00757A8E">
            <w:pPr>
              <w:pStyle w:val="TabletextLeft"/>
            </w:pPr>
            <w:r w:rsidRPr="00757A8E">
              <w:t>-Social Sciences and Humanities Research Council</w:t>
            </w:r>
          </w:p>
          <w:p w:rsidR="001A5590" w:rsidRPr="00757A8E" w:rsidRDefault="001A5590" w:rsidP="00757A8E">
            <w:pPr>
              <w:pStyle w:val="TabletextLeft"/>
            </w:pPr>
            <w:r w:rsidRPr="00757A8E">
              <w:t>-Canadian institutes of Health Research</w:t>
            </w:r>
          </w:p>
          <w:p w:rsidR="001A5590" w:rsidRPr="00757A8E" w:rsidRDefault="001A5590" w:rsidP="00757A8E">
            <w:pPr>
              <w:pStyle w:val="TabletextLeft"/>
            </w:pPr>
            <w:r w:rsidRPr="00757A8E">
              <w:t>-</w:t>
            </w:r>
            <w:smartTag w:uri="urn:schemas-microsoft-com:office:smarttags" w:element="place">
              <w:r w:rsidRPr="00757A8E">
                <w:t>Canada</w:t>
              </w:r>
            </w:smartTag>
            <w:r w:rsidRPr="00757A8E">
              <w:t xml:space="preserve"> Foundation for Innovation</w:t>
            </w:r>
          </w:p>
          <w:p w:rsidR="001A5590" w:rsidRPr="00757A8E" w:rsidRDefault="001A5590" w:rsidP="00757A8E">
            <w:pPr>
              <w:pStyle w:val="TabletextLeft"/>
            </w:pPr>
            <w:r w:rsidRPr="00757A8E">
              <w:t>-Indirect Costs Program</w:t>
            </w:r>
          </w:p>
        </w:tc>
        <w:tc>
          <w:tcPr>
            <w:tcW w:w="1882" w:type="dxa"/>
          </w:tcPr>
          <w:p w:rsidR="001A5590" w:rsidRPr="00757A8E" w:rsidRDefault="001A5590" w:rsidP="00757A8E">
            <w:pPr>
              <w:pStyle w:val="TabletextLeft"/>
            </w:pPr>
            <w:r w:rsidRPr="00757A8E">
              <w:t>Federal government funding provides around 23% of institutional direct costs of research making it the greatest external funder.  55-60% of research is externally funded.</w:t>
            </w:r>
          </w:p>
          <w:p w:rsidR="001A5590" w:rsidRPr="00757A8E" w:rsidRDefault="001A5590" w:rsidP="00757A8E">
            <w:pPr>
              <w:pStyle w:val="TabletextLeft"/>
            </w:pPr>
            <w:r w:rsidRPr="00757A8E">
              <w:t>Funding from the Canadian Foundation for Innovation and the Research Councils is based on individual applications from institutions which then undergoes a review process.</w:t>
            </w:r>
          </w:p>
          <w:p w:rsidR="001A5590" w:rsidRPr="00757A8E" w:rsidRDefault="001A5590" w:rsidP="00757A8E">
            <w:pPr>
              <w:pStyle w:val="TabletextLeft"/>
            </w:pPr>
            <w:r w:rsidRPr="00757A8E">
              <w:t>The Indirect Costs Program is designed to cover a portion of indirect costs of research.</w:t>
            </w:r>
          </w:p>
        </w:tc>
        <w:tc>
          <w:tcPr>
            <w:tcW w:w="1882" w:type="dxa"/>
          </w:tcPr>
          <w:p w:rsidR="001A5590" w:rsidRPr="00757A8E" w:rsidRDefault="001A5590" w:rsidP="00757A8E">
            <w:pPr>
              <w:pStyle w:val="TabletextLeft"/>
            </w:pPr>
            <w:r w:rsidRPr="00757A8E">
              <w:t xml:space="preserve">Value of the funding through the Indirect Costs Program is based on percentage of the institutions total federal research funding.  It provides higher rates of funding to institutions that receive the least amount of money from the federal granting research councils. </w:t>
            </w:r>
          </w:p>
        </w:tc>
        <w:tc>
          <w:tcPr>
            <w:tcW w:w="1883" w:type="dxa"/>
          </w:tcPr>
          <w:p w:rsidR="001A5590" w:rsidRPr="00757A8E" w:rsidRDefault="001D0DB3" w:rsidP="00757A8E">
            <w:pPr>
              <w:pStyle w:val="TabletextLeft"/>
            </w:pPr>
            <w:r w:rsidRPr="00757A8E">
              <w:t>http://canadaresearchfunding.org/federal-funding/federal-funding/</w:t>
            </w:r>
          </w:p>
          <w:p w:rsidR="001A5590" w:rsidRPr="00757A8E" w:rsidRDefault="001D0DB3" w:rsidP="00757A8E">
            <w:pPr>
              <w:pStyle w:val="TabletextLeft"/>
            </w:pPr>
            <w:r w:rsidRPr="00757A8E">
              <w:t>http://www.indirectcosts.gc.ca/apply/index_e.asp</w:t>
            </w:r>
          </w:p>
          <w:p w:rsidR="001A5590" w:rsidRPr="00757A8E" w:rsidRDefault="001A5590" w:rsidP="00757A8E">
            <w:pPr>
              <w:pStyle w:val="TabletextLeft"/>
            </w:pPr>
            <w:r w:rsidRPr="00757A8E">
              <w:t>http://www.aucc.ca/policy/quick-facts_e.html</w:t>
            </w:r>
          </w:p>
        </w:tc>
      </w:tr>
      <w:tr w:rsidR="001A5590" w:rsidTr="00BB385B">
        <w:trPr>
          <w:cantSplit/>
          <w:trHeight w:val="509"/>
          <w:jc w:val="center"/>
        </w:trPr>
        <w:tc>
          <w:tcPr>
            <w:tcW w:w="1256" w:type="dxa"/>
          </w:tcPr>
          <w:p w:rsidR="001A5590" w:rsidRPr="00BB385B" w:rsidRDefault="001A5590" w:rsidP="00481593">
            <w:pPr>
              <w:pStyle w:val="Tablecolumnheader"/>
            </w:pPr>
            <w:smartTag w:uri="urn:schemas-microsoft-com:office:smarttags" w:element="place">
              <w:r w:rsidRPr="00BB385B">
                <w:lastRenderedPageBreak/>
                <w:t>Denmark</w:t>
              </w:r>
            </w:smartTag>
          </w:p>
        </w:tc>
        <w:tc>
          <w:tcPr>
            <w:tcW w:w="1276" w:type="dxa"/>
          </w:tcPr>
          <w:p w:rsidR="001A5590" w:rsidRPr="00BB385B" w:rsidRDefault="001A5590" w:rsidP="00B04B2B">
            <w:pPr>
              <w:pStyle w:val="TabletextLeft"/>
            </w:pPr>
            <w:r w:rsidRPr="00BB385B">
              <w:t>Danish Agency for Science and Technology and Innovation</w:t>
            </w:r>
          </w:p>
        </w:tc>
        <w:tc>
          <w:tcPr>
            <w:tcW w:w="1882" w:type="dxa"/>
          </w:tcPr>
          <w:p w:rsidR="001A5590" w:rsidRPr="00BB385B" w:rsidRDefault="001A5590" w:rsidP="00B04B2B">
            <w:pPr>
              <w:pStyle w:val="TabletextLeft"/>
            </w:pPr>
            <w:r w:rsidRPr="00BB385B">
              <w:t>Researchers under 35 years of age are targeted by the Young Elite Researcher’s Award which provides a lump-sum grant of EUR 27,000 for research related expenses.</w:t>
            </w:r>
          </w:p>
        </w:tc>
        <w:tc>
          <w:tcPr>
            <w:tcW w:w="1882" w:type="dxa"/>
          </w:tcPr>
          <w:p w:rsidR="001A5590" w:rsidRPr="00BB385B" w:rsidRDefault="001A5590" w:rsidP="00B04B2B">
            <w:pPr>
              <w:pStyle w:val="TabletextLeft"/>
            </w:pPr>
            <w:r w:rsidRPr="00BB385B">
              <w:t>Two rounds of applications take place each year with the quality of research and academic qualifications being the only evaluation criteria.  Grants are awarded 1-3 years.</w:t>
            </w:r>
          </w:p>
        </w:tc>
        <w:tc>
          <w:tcPr>
            <w:tcW w:w="1883" w:type="dxa"/>
          </w:tcPr>
          <w:p w:rsidR="001A5590" w:rsidRPr="00BB385B" w:rsidRDefault="001A5590" w:rsidP="00B04B2B">
            <w:pPr>
              <w:pStyle w:val="TabletextLeft"/>
            </w:pPr>
            <w:r w:rsidRPr="00BB385B">
              <w:t>European University Institute National Research Funding</w:t>
            </w:r>
          </w:p>
          <w:p w:rsidR="001A5590" w:rsidRPr="00BB385B" w:rsidRDefault="001A5590" w:rsidP="00B04B2B">
            <w:pPr>
              <w:pStyle w:val="TabletextLeft"/>
            </w:pPr>
            <w:hyperlink r:id="rId41" w:history="1">
              <w:r w:rsidRPr="00BB385B">
                <w:rPr>
                  <w:rStyle w:val="Hyperlink"/>
                </w:rPr>
                <w:t>http://www.eui.eu/ProgrammesAndFellowships/AcademicCareersObservatory/JobFundingResources/NationalResearchFundingOpportunities.aspx</w:t>
              </w:r>
            </w:hyperlink>
          </w:p>
        </w:tc>
      </w:tr>
      <w:tr w:rsidR="001A5590" w:rsidTr="00BB385B">
        <w:trPr>
          <w:cantSplit/>
          <w:trHeight w:val="509"/>
          <w:jc w:val="center"/>
        </w:trPr>
        <w:tc>
          <w:tcPr>
            <w:tcW w:w="1256" w:type="dxa"/>
          </w:tcPr>
          <w:p w:rsidR="001A5590" w:rsidRPr="00BB385B" w:rsidRDefault="001A5590" w:rsidP="00481593">
            <w:pPr>
              <w:pStyle w:val="Tablecolumnheader"/>
            </w:pPr>
            <w:smartTag w:uri="urn:schemas-microsoft-com:office:smarttags" w:element="place">
              <w:r w:rsidRPr="00BB385B">
                <w:t>England</w:t>
              </w:r>
            </w:smartTag>
          </w:p>
        </w:tc>
        <w:tc>
          <w:tcPr>
            <w:tcW w:w="1276" w:type="dxa"/>
          </w:tcPr>
          <w:p w:rsidR="001A5590" w:rsidRPr="00BB385B" w:rsidRDefault="001A5590" w:rsidP="00B04B2B">
            <w:pPr>
              <w:pStyle w:val="TabletextLeft"/>
            </w:pPr>
            <w:r w:rsidRPr="00BB385B">
              <w:t>HEFCE</w:t>
            </w:r>
          </w:p>
        </w:tc>
        <w:tc>
          <w:tcPr>
            <w:tcW w:w="1882" w:type="dxa"/>
          </w:tcPr>
          <w:p w:rsidR="001A5590" w:rsidRPr="00BB385B" w:rsidRDefault="001A5590" w:rsidP="00B04B2B">
            <w:pPr>
              <w:pStyle w:val="TabletextLeft"/>
            </w:pPr>
            <w:r w:rsidRPr="00BB385B">
              <w:t>Specific funding for research training included in research funding.</w:t>
            </w:r>
          </w:p>
        </w:tc>
        <w:tc>
          <w:tcPr>
            <w:tcW w:w="1882" w:type="dxa"/>
          </w:tcPr>
          <w:p w:rsidR="001A5590" w:rsidRPr="00BB385B" w:rsidRDefault="001A5590" w:rsidP="00B04B2B">
            <w:pPr>
              <w:pStyle w:val="TabletextLeft"/>
            </w:pPr>
            <w:r w:rsidRPr="00BB385B">
              <w:t>Funding is formula driven across 3 bands depending on costs.</w:t>
            </w:r>
          </w:p>
        </w:tc>
        <w:tc>
          <w:tcPr>
            <w:tcW w:w="1883" w:type="dxa"/>
          </w:tcPr>
          <w:p w:rsidR="001A5590" w:rsidRPr="00BB385B" w:rsidRDefault="001A5590" w:rsidP="00B04B2B">
            <w:pPr>
              <w:pStyle w:val="TabletextLeft"/>
            </w:pPr>
          </w:p>
        </w:tc>
      </w:tr>
      <w:tr w:rsidR="001A5590" w:rsidTr="00BB385B">
        <w:trPr>
          <w:cantSplit/>
          <w:trHeight w:val="509"/>
          <w:jc w:val="center"/>
        </w:trPr>
        <w:tc>
          <w:tcPr>
            <w:tcW w:w="1256" w:type="dxa"/>
          </w:tcPr>
          <w:p w:rsidR="001A5590" w:rsidRPr="00BB385B" w:rsidRDefault="001A5590" w:rsidP="00481593">
            <w:pPr>
              <w:pStyle w:val="Tablecolumnheader"/>
            </w:pPr>
            <w:smartTag w:uri="urn:schemas-microsoft-com:office:smarttags" w:element="place">
              <w:r w:rsidRPr="00BB385B">
                <w:t>Finland</w:t>
              </w:r>
            </w:smartTag>
          </w:p>
        </w:tc>
        <w:tc>
          <w:tcPr>
            <w:tcW w:w="1276" w:type="dxa"/>
          </w:tcPr>
          <w:p w:rsidR="001A5590" w:rsidRPr="00BB385B" w:rsidRDefault="001A5590" w:rsidP="00B04B2B">
            <w:pPr>
              <w:pStyle w:val="TabletextLeft"/>
            </w:pPr>
            <w:smartTag w:uri="urn:schemas-microsoft-com:office:smarttags" w:element="place">
              <w:smartTag w:uri="urn:schemas-microsoft-com:office:smarttags" w:element="place">
                <w:r w:rsidRPr="00BB385B">
                  <w:t>Academy</w:t>
                </w:r>
              </w:smartTag>
              <w:r w:rsidRPr="00BB385B">
                <w:t xml:space="preserve"> of </w:t>
              </w:r>
              <w:smartTag w:uri="urn:schemas-microsoft-com:office:smarttags" w:element="place">
                <w:r w:rsidRPr="00BB385B">
                  <w:t>Finland</w:t>
                </w:r>
              </w:smartTag>
            </w:smartTag>
            <w:r w:rsidRPr="00BB385B">
              <w:t xml:space="preserve"> the research council within the Ministry of Education</w:t>
            </w:r>
          </w:p>
        </w:tc>
        <w:tc>
          <w:tcPr>
            <w:tcW w:w="1882" w:type="dxa"/>
          </w:tcPr>
          <w:p w:rsidR="001A5590" w:rsidRPr="00BB385B" w:rsidRDefault="001A5590" w:rsidP="00B04B2B">
            <w:pPr>
              <w:pStyle w:val="TabletextLeft"/>
            </w:pPr>
            <w:r w:rsidRPr="00BB385B">
              <w:t>Supports funding for researcher training abroad and doctoral studies of employed persons.</w:t>
            </w:r>
          </w:p>
        </w:tc>
        <w:tc>
          <w:tcPr>
            <w:tcW w:w="1882" w:type="dxa"/>
          </w:tcPr>
          <w:p w:rsidR="001A5590" w:rsidRPr="00BB385B" w:rsidRDefault="001A5590" w:rsidP="00B04B2B">
            <w:pPr>
              <w:pStyle w:val="TabletextLeft"/>
            </w:pPr>
            <w:r w:rsidRPr="00BB385B">
              <w:t xml:space="preserve">No nationality restrictions but non-Finnish nationals are required to work in </w:t>
            </w:r>
            <w:smartTag w:uri="urn:schemas-microsoft-com:office:smarttags" w:element="place">
              <w:r w:rsidRPr="00BB385B">
                <w:t>Finland</w:t>
              </w:r>
            </w:smartTag>
            <w:r w:rsidRPr="00BB385B">
              <w:t>.</w:t>
            </w:r>
          </w:p>
          <w:p w:rsidR="001A5590" w:rsidRPr="00BB385B" w:rsidRDefault="001A5590" w:rsidP="00B04B2B">
            <w:pPr>
              <w:pStyle w:val="TabletextLeft"/>
            </w:pPr>
          </w:p>
        </w:tc>
        <w:tc>
          <w:tcPr>
            <w:tcW w:w="1883" w:type="dxa"/>
          </w:tcPr>
          <w:p w:rsidR="001A5590" w:rsidRPr="00BB385B" w:rsidRDefault="001A5590" w:rsidP="00B04B2B">
            <w:pPr>
              <w:pStyle w:val="TabletextLeft"/>
            </w:pPr>
            <w:r w:rsidRPr="00BB385B">
              <w:t>European University Institute National Research Funding</w:t>
            </w:r>
          </w:p>
          <w:p w:rsidR="001A5590" w:rsidRPr="00BB385B" w:rsidRDefault="001D0DB3" w:rsidP="00B04B2B">
            <w:pPr>
              <w:pStyle w:val="TabletextLeft"/>
            </w:pPr>
            <w:r w:rsidRPr="00BB385B">
              <w:t>http://www.eui.eu/ProgrammesAndFellowships/AcademicCareersObservatory/JobFundingResources/NationalResearchFundingOpportunities.aspx</w:t>
            </w:r>
          </w:p>
        </w:tc>
      </w:tr>
      <w:tr w:rsidR="001A5590" w:rsidTr="00BB385B">
        <w:trPr>
          <w:cantSplit/>
          <w:trHeight w:val="509"/>
          <w:jc w:val="center"/>
        </w:trPr>
        <w:tc>
          <w:tcPr>
            <w:tcW w:w="1256" w:type="dxa"/>
          </w:tcPr>
          <w:p w:rsidR="001A5590" w:rsidRPr="00BB385B" w:rsidRDefault="001A5590" w:rsidP="00481593">
            <w:pPr>
              <w:pStyle w:val="Tablecolumnheader"/>
            </w:pPr>
            <w:smartTag w:uri="urn:schemas-microsoft-com:office:smarttags" w:element="place">
              <w:r w:rsidRPr="00BB385B">
                <w:t>France</w:t>
              </w:r>
            </w:smartTag>
          </w:p>
        </w:tc>
        <w:tc>
          <w:tcPr>
            <w:tcW w:w="1276" w:type="dxa"/>
          </w:tcPr>
          <w:p w:rsidR="001A5590" w:rsidRPr="00BB385B" w:rsidRDefault="001A5590" w:rsidP="00B04B2B">
            <w:pPr>
              <w:pStyle w:val="TabletextLeft"/>
            </w:pPr>
            <w:r w:rsidRPr="00BB385B">
              <w:t>French National Research Agency</w:t>
            </w:r>
          </w:p>
        </w:tc>
        <w:tc>
          <w:tcPr>
            <w:tcW w:w="1882" w:type="dxa"/>
          </w:tcPr>
          <w:p w:rsidR="001A5590" w:rsidRPr="00BB385B" w:rsidRDefault="001A5590" w:rsidP="00B04B2B">
            <w:pPr>
              <w:pStyle w:val="TabletextLeft"/>
            </w:pPr>
            <w:r w:rsidRPr="00BB385B">
              <w:t>Young researchers’ grants cater for early career researcher younger than 38 years.</w:t>
            </w:r>
          </w:p>
          <w:p w:rsidR="001A5590" w:rsidRPr="00BB385B" w:rsidRDefault="001A5590" w:rsidP="00B04B2B">
            <w:pPr>
              <w:pStyle w:val="TabletextLeft"/>
            </w:pPr>
          </w:p>
        </w:tc>
        <w:tc>
          <w:tcPr>
            <w:tcW w:w="1882" w:type="dxa"/>
          </w:tcPr>
          <w:p w:rsidR="001A5590" w:rsidRPr="00BB385B" w:rsidRDefault="001A5590" w:rsidP="00B04B2B">
            <w:pPr>
              <w:pStyle w:val="TabletextLeft"/>
            </w:pPr>
          </w:p>
        </w:tc>
        <w:tc>
          <w:tcPr>
            <w:tcW w:w="1883" w:type="dxa"/>
          </w:tcPr>
          <w:p w:rsidR="001A5590" w:rsidRPr="00BB385B" w:rsidRDefault="001A5590" w:rsidP="00B04B2B">
            <w:pPr>
              <w:pStyle w:val="TabletextLeft"/>
            </w:pPr>
            <w:r w:rsidRPr="00BB385B">
              <w:t>European University Institute National Research Funding</w:t>
            </w:r>
          </w:p>
          <w:p w:rsidR="001A5590" w:rsidRPr="00BB385B" w:rsidRDefault="001A5590" w:rsidP="00B04B2B">
            <w:pPr>
              <w:pStyle w:val="TabletextLeft"/>
            </w:pPr>
          </w:p>
        </w:tc>
      </w:tr>
      <w:tr w:rsidR="001A5590" w:rsidTr="00BB385B">
        <w:trPr>
          <w:cantSplit/>
          <w:trHeight w:val="509"/>
          <w:jc w:val="center"/>
        </w:trPr>
        <w:tc>
          <w:tcPr>
            <w:tcW w:w="1256" w:type="dxa"/>
          </w:tcPr>
          <w:p w:rsidR="001A5590" w:rsidRPr="00BB385B" w:rsidRDefault="001A5590" w:rsidP="00481593">
            <w:pPr>
              <w:pStyle w:val="Tablecolumnheader"/>
            </w:pPr>
            <w:smartTag w:uri="urn:schemas-microsoft-com:office:smarttags" w:element="place">
              <w:r w:rsidRPr="00BB385B">
                <w:t>Germany</w:t>
              </w:r>
            </w:smartTag>
          </w:p>
        </w:tc>
        <w:tc>
          <w:tcPr>
            <w:tcW w:w="1276" w:type="dxa"/>
          </w:tcPr>
          <w:p w:rsidR="001A5590" w:rsidRPr="00BB385B" w:rsidRDefault="001A5590" w:rsidP="00B04B2B">
            <w:pPr>
              <w:pStyle w:val="TabletextLeft"/>
            </w:pPr>
            <w:r w:rsidRPr="00BB385B">
              <w:t>German Research Foundation</w:t>
            </w:r>
          </w:p>
        </w:tc>
        <w:tc>
          <w:tcPr>
            <w:tcW w:w="1882" w:type="dxa"/>
          </w:tcPr>
          <w:p w:rsidR="001A5590" w:rsidRPr="00BB385B" w:rsidRDefault="001A5590" w:rsidP="00B04B2B">
            <w:pPr>
              <w:pStyle w:val="TabletextLeft"/>
            </w:pPr>
            <w:r w:rsidRPr="00BB385B">
              <w:t xml:space="preserve">Research training groups (RTG) are set up in universities in conjunction with the federal state.  </w:t>
            </w:r>
          </w:p>
        </w:tc>
        <w:tc>
          <w:tcPr>
            <w:tcW w:w="1882" w:type="dxa"/>
          </w:tcPr>
          <w:p w:rsidR="001A5590" w:rsidRPr="00BB385B" w:rsidRDefault="001A5590" w:rsidP="00B04B2B">
            <w:pPr>
              <w:pStyle w:val="TabletextLeft"/>
            </w:pPr>
            <w:r w:rsidRPr="00BB385B">
              <w:t>RTGs  are established  for a specific period of time within a focused research program to train and prepare doctoral researchers.</w:t>
            </w:r>
          </w:p>
          <w:p w:rsidR="001A5590" w:rsidRPr="00BB385B" w:rsidRDefault="001A5590" w:rsidP="00B04B2B">
            <w:pPr>
              <w:pStyle w:val="TabletextLeft"/>
            </w:pPr>
            <w:r w:rsidRPr="00BB385B">
              <w:t>Funding provided through the RTG.</w:t>
            </w:r>
          </w:p>
        </w:tc>
        <w:tc>
          <w:tcPr>
            <w:tcW w:w="1883" w:type="dxa"/>
          </w:tcPr>
          <w:p w:rsidR="001A5590" w:rsidRPr="00BB385B" w:rsidRDefault="001A5590" w:rsidP="00B04B2B">
            <w:pPr>
              <w:pStyle w:val="TabletextLeft"/>
            </w:pPr>
            <w:hyperlink r:id="rId42" w:history="1">
              <w:r w:rsidRPr="00BB385B">
                <w:rPr>
                  <w:rStyle w:val="Hyperlink"/>
                </w:rPr>
                <w:t>http://www.dfg.de/en/research_funding/programmes/coordinated_programmes/research_training_groups/index.html</w:t>
              </w:r>
            </w:hyperlink>
            <w:r w:rsidRPr="00BB385B">
              <w:t xml:space="preserve"> </w:t>
            </w:r>
          </w:p>
          <w:p w:rsidR="001D0DB3" w:rsidRPr="00BB385B" w:rsidRDefault="001D0DB3" w:rsidP="00B04B2B">
            <w:pPr>
              <w:pStyle w:val="TabletextLeft"/>
            </w:pPr>
            <w:r w:rsidRPr="00BB385B">
              <w:t>http://www.eui.eu/ProgrammesAndFellowships/AcademicCareersObservatory/JobFundingResources/NationalResearchFundingOpportunities.aspx</w:t>
            </w:r>
          </w:p>
        </w:tc>
      </w:tr>
      <w:tr w:rsidR="001A5590" w:rsidTr="00BB385B">
        <w:trPr>
          <w:cantSplit/>
          <w:trHeight w:val="509"/>
          <w:jc w:val="center"/>
        </w:trPr>
        <w:tc>
          <w:tcPr>
            <w:tcW w:w="1256" w:type="dxa"/>
          </w:tcPr>
          <w:p w:rsidR="001A5590" w:rsidRPr="00BB385B" w:rsidRDefault="001A5590" w:rsidP="00481593">
            <w:pPr>
              <w:pStyle w:val="Tablecolumnheader"/>
            </w:pPr>
            <w:smartTag w:uri="urn:schemas-microsoft-com:office:smarttags" w:element="place">
              <w:r w:rsidRPr="00BB385B">
                <w:lastRenderedPageBreak/>
                <w:t>Hungary</w:t>
              </w:r>
            </w:smartTag>
          </w:p>
        </w:tc>
        <w:tc>
          <w:tcPr>
            <w:tcW w:w="1276" w:type="dxa"/>
          </w:tcPr>
          <w:p w:rsidR="001A5590" w:rsidRPr="00BB385B" w:rsidRDefault="001A5590" w:rsidP="00B04B2B">
            <w:pPr>
              <w:pStyle w:val="TabletextLeft"/>
            </w:pPr>
            <w:r w:rsidRPr="00BB385B">
              <w:t>National Office for Research and Technology or the Hungarian Scientific Research Fund</w:t>
            </w:r>
          </w:p>
        </w:tc>
        <w:tc>
          <w:tcPr>
            <w:tcW w:w="1882" w:type="dxa"/>
          </w:tcPr>
          <w:p w:rsidR="001A5590" w:rsidRPr="00BB385B" w:rsidRDefault="001A5590" w:rsidP="00B04B2B">
            <w:pPr>
              <w:pStyle w:val="TabletextLeft"/>
            </w:pPr>
          </w:p>
        </w:tc>
        <w:tc>
          <w:tcPr>
            <w:tcW w:w="1882" w:type="dxa"/>
          </w:tcPr>
          <w:p w:rsidR="001A5590" w:rsidRPr="00BB385B" w:rsidRDefault="001A5590" w:rsidP="00B04B2B">
            <w:pPr>
              <w:pStyle w:val="TabletextLeft"/>
            </w:pPr>
            <w:r w:rsidRPr="00BB385B">
              <w:t>Only 10% of Hungarian higher education institutions are research-intensive.</w:t>
            </w:r>
          </w:p>
        </w:tc>
        <w:tc>
          <w:tcPr>
            <w:tcW w:w="1883" w:type="dxa"/>
          </w:tcPr>
          <w:p w:rsidR="001A5590" w:rsidRPr="00BB385B" w:rsidRDefault="001A5590" w:rsidP="00B04B2B">
            <w:pPr>
              <w:pStyle w:val="TabletextLeft"/>
            </w:pPr>
            <w:r w:rsidRPr="00BB385B">
              <w:t>European University Institute National Research Funding</w:t>
            </w:r>
          </w:p>
          <w:p w:rsidR="001A5590" w:rsidRPr="00BB385B" w:rsidRDefault="001A5590" w:rsidP="00B04B2B">
            <w:pPr>
              <w:pStyle w:val="TabletextLeft"/>
            </w:pPr>
          </w:p>
          <w:p w:rsidR="001A5590" w:rsidRPr="00BB385B" w:rsidRDefault="001D0DB3" w:rsidP="00B04B2B">
            <w:pPr>
              <w:pStyle w:val="TabletextLeft"/>
            </w:pPr>
            <w:r w:rsidRPr="00BB385B">
              <w:t>http://www.eui.eu/ProgrammesAndFellowships/AcademicCareersObservatory/JobFundingResources/NationalResearchFundingOpportunities.aspx</w:t>
            </w:r>
          </w:p>
        </w:tc>
      </w:tr>
      <w:tr w:rsidR="001A5590" w:rsidTr="00BB385B">
        <w:trPr>
          <w:cantSplit/>
          <w:trHeight w:val="509"/>
          <w:jc w:val="center"/>
        </w:trPr>
        <w:tc>
          <w:tcPr>
            <w:tcW w:w="1256" w:type="dxa"/>
          </w:tcPr>
          <w:p w:rsidR="001A5590" w:rsidRPr="00BB385B" w:rsidRDefault="001A5590" w:rsidP="00481593">
            <w:pPr>
              <w:pStyle w:val="Tablecolumnheader"/>
            </w:pPr>
            <w:smartTag w:uri="urn:schemas-microsoft-com:office:smarttags" w:element="place">
              <w:r w:rsidRPr="00BB385B">
                <w:t>Ireland</w:t>
              </w:r>
            </w:smartTag>
          </w:p>
        </w:tc>
        <w:tc>
          <w:tcPr>
            <w:tcW w:w="1276" w:type="dxa"/>
          </w:tcPr>
          <w:p w:rsidR="001A5590" w:rsidRPr="00BB385B" w:rsidRDefault="001A5590" w:rsidP="00B04B2B">
            <w:pPr>
              <w:pStyle w:val="TabletextLeft"/>
            </w:pPr>
            <w:r w:rsidRPr="00BB385B">
              <w:t>Department of Education and Skills (Higher Education Authority)</w:t>
            </w:r>
          </w:p>
        </w:tc>
        <w:tc>
          <w:tcPr>
            <w:tcW w:w="1882" w:type="dxa"/>
          </w:tcPr>
          <w:p w:rsidR="001A5590" w:rsidRPr="00BB385B" w:rsidRDefault="001A5590" w:rsidP="00B04B2B">
            <w:pPr>
              <w:pStyle w:val="TabletextLeft"/>
            </w:pPr>
            <w:r w:rsidRPr="00BB385B">
              <w:t>No tuition fees, however students required to pay a significant registration fee.</w:t>
            </w:r>
          </w:p>
        </w:tc>
        <w:tc>
          <w:tcPr>
            <w:tcW w:w="1882" w:type="dxa"/>
          </w:tcPr>
          <w:p w:rsidR="001A5590" w:rsidRPr="00BB385B" w:rsidRDefault="001A5590" w:rsidP="00B04B2B">
            <w:pPr>
              <w:pStyle w:val="TabletextLeft"/>
            </w:pPr>
            <w:r w:rsidRPr="00BB385B">
              <w:t>Recently released HE review recommends introduction of student loans (undergraduate), however as of 21/3/11 this is being re-considered.</w:t>
            </w:r>
          </w:p>
        </w:tc>
        <w:tc>
          <w:tcPr>
            <w:tcW w:w="1883" w:type="dxa"/>
          </w:tcPr>
          <w:p w:rsidR="001A5590" w:rsidRPr="00BB385B" w:rsidRDefault="001A5590" w:rsidP="00B04B2B">
            <w:pPr>
              <w:pStyle w:val="TabletextLeft"/>
            </w:pPr>
          </w:p>
        </w:tc>
      </w:tr>
      <w:tr w:rsidR="001A5590" w:rsidTr="00BB385B">
        <w:trPr>
          <w:cantSplit/>
          <w:trHeight w:val="509"/>
          <w:jc w:val="center"/>
        </w:trPr>
        <w:tc>
          <w:tcPr>
            <w:tcW w:w="1256" w:type="dxa"/>
          </w:tcPr>
          <w:p w:rsidR="001A5590" w:rsidRPr="00BB385B" w:rsidRDefault="001A5590" w:rsidP="00481593">
            <w:pPr>
              <w:pStyle w:val="Tablecolumnheader"/>
            </w:pPr>
            <w:smartTag w:uri="urn:schemas-microsoft-com:office:smarttags" w:element="place">
              <w:r w:rsidRPr="00BB385B">
                <w:t>Italy</w:t>
              </w:r>
            </w:smartTag>
          </w:p>
        </w:tc>
        <w:tc>
          <w:tcPr>
            <w:tcW w:w="1276" w:type="dxa"/>
          </w:tcPr>
          <w:p w:rsidR="001A5590" w:rsidRPr="00BB385B" w:rsidRDefault="001A5590" w:rsidP="00B04B2B">
            <w:pPr>
              <w:pStyle w:val="TabletextLeft"/>
            </w:pPr>
            <w:r w:rsidRPr="00BB385B">
              <w:t>Ministry for Education, University and Research</w:t>
            </w:r>
          </w:p>
          <w:p w:rsidR="001A5590" w:rsidRPr="00BB385B" w:rsidRDefault="001A5590" w:rsidP="00B04B2B">
            <w:pPr>
              <w:pStyle w:val="TabletextLeft"/>
            </w:pPr>
          </w:p>
        </w:tc>
        <w:tc>
          <w:tcPr>
            <w:tcW w:w="1882" w:type="dxa"/>
          </w:tcPr>
          <w:p w:rsidR="001A5590" w:rsidRPr="00BB385B" w:rsidRDefault="001A5590" w:rsidP="00B04B2B">
            <w:pPr>
              <w:pStyle w:val="TabletextLeft"/>
            </w:pPr>
          </w:p>
        </w:tc>
        <w:tc>
          <w:tcPr>
            <w:tcW w:w="1882" w:type="dxa"/>
          </w:tcPr>
          <w:p w:rsidR="001A5590" w:rsidRPr="00BB385B" w:rsidRDefault="001A5590" w:rsidP="00B04B2B">
            <w:pPr>
              <w:pStyle w:val="TabletextLeft"/>
            </w:pPr>
            <w:r w:rsidRPr="00BB385B">
              <w:t>Some funding provided by private institutions.</w:t>
            </w:r>
          </w:p>
        </w:tc>
        <w:tc>
          <w:tcPr>
            <w:tcW w:w="1883" w:type="dxa"/>
          </w:tcPr>
          <w:p w:rsidR="001A5590" w:rsidRPr="00BB385B" w:rsidRDefault="001A5590" w:rsidP="00B04B2B">
            <w:pPr>
              <w:pStyle w:val="TabletextLeft"/>
            </w:pPr>
            <w:r w:rsidRPr="00BB385B">
              <w:t>European University Institute National Research Funding</w:t>
            </w:r>
          </w:p>
          <w:p w:rsidR="001A5590" w:rsidRPr="00BB385B" w:rsidRDefault="001A5590" w:rsidP="00B04B2B">
            <w:pPr>
              <w:pStyle w:val="TabletextLeft"/>
            </w:pPr>
            <w:hyperlink r:id="rId43" w:history="1">
              <w:r w:rsidRPr="00BB385B">
                <w:rPr>
                  <w:rStyle w:val="Hyperlink"/>
                </w:rPr>
                <w:t>http://www.eui.eu/ProgrammesAndFellowships/AcademicCareersObservatory/JobFundingResources/NationalResearchFundingOpportunities.aspx</w:t>
              </w:r>
            </w:hyperlink>
          </w:p>
          <w:p w:rsidR="001A5590" w:rsidRPr="00BB385B" w:rsidRDefault="001A5590" w:rsidP="00B04B2B">
            <w:pPr>
              <w:pStyle w:val="TabletextLeft"/>
            </w:pPr>
          </w:p>
        </w:tc>
      </w:tr>
      <w:tr w:rsidR="001A5590" w:rsidTr="00BB385B">
        <w:trPr>
          <w:cantSplit/>
          <w:trHeight w:val="509"/>
          <w:jc w:val="center"/>
        </w:trPr>
        <w:tc>
          <w:tcPr>
            <w:tcW w:w="1256" w:type="dxa"/>
          </w:tcPr>
          <w:p w:rsidR="001A5590" w:rsidRPr="00BB385B" w:rsidRDefault="001A5590" w:rsidP="00481593">
            <w:pPr>
              <w:pStyle w:val="Tablecolumnheader"/>
            </w:pPr>
            <w:smartTag w:uri="urn:schemas-microsoft-com:office:smarttags" w:element="place">
              <w:r w:rsidRPr="00BB385B">
                <w:t>Netherlands</w:t>
              </w:r>
            </w:smartTag>
          </w:p>
        </w:tc>
        <w:tc>
          <w:tcPr>
            <w:tcW w:w="1276" w:type="dxa"/>
          </w:tcPr>
          <w:p w:rsidR="001A5590" w:rsidRPr="006D4795" w:rsidRDefault="001A5590" w:rsidP="00B04B2B">
            <w:pPr>
              <w:pStyle w:val="TabletextLeft"/>
            </w:pPr>
            <w:smartTag w:uri="urn:schemas-microsoft-com:office:smarttags" w:element="place">
              <w:r w:rsidRPr="006D4795">
                <w:t>Netherlands</w:t>
              </w:r>
            </w:smartTag>
            <w:r w:rsidRPr="006D4795">
              <w:t xml:space="preserve"> Organization for Scientific Research</w:t>
            </w:r>
          </w:p>
        </w:tc>
        <w:tc>
          <w:tcPr>
            <w:tcW w:w="1882" w:type="dxa"/>
          </w:tcPr>
          <w:p w:rsidR="001A5590" w:rsidRPr="006D4795" w:rsidRDefault="001A5590" w:rsidP="00B04B2B">
            <w:pPr>
              <w:pStyle w:val="TabletextLeft"/>
            </w:pPr>
            <w:r w:rsidRPr="006D4795">
              <w:t>Innovation Research Incentives Scheme targets researchers at various stages of their careers including those who just gained their doctorates.</w:t>
            </w:r>
          </w:p>
        </w:tc>
        <w:tc>
          <w:tcPr>
            <w:tcW w:w="1882" w:type="dxa"/>
          </w:tcPr>
          <w:p w:rsidR="001A5590" w:rsidRPr="006D4795" w:rsidRDefault="001A5590" w:rsidP="00B04B2B">
            <w:pPr>
              <w:pStyle w:val="TabletextLeft"/>
            </w:pPr>
            <w:r w:rsidRPr="006D4795">
              <w:t>Funding programmes are open to all scientists in Dutch universities and offer funds through both open and thematic calls</w:t>
            </w:r>
          </w:p>
          <w:p w:rsidR="001A5590" w:rsidRPr="006D4795" w:rsidRDefault="001A5590" w:rsidP="00B04B2B">
            <w:pPr>
              <w:pStyle w:val="TabletextLeft"/>
            </w:pPr>
            <w:r w:rsidRPr="006D4795">
              <w:t>The Money Follows Researcher scheme guarantees the portability of the grant across research institutions that are part of the network.</w:t>
            </w:r>
          </w:p>
        </w:tc>
        <w:tc>
          <w:tcPr>
            <w:tcW w:w="1883" w:type="dxa"/>
          </w:tcPr>
          <w:p w:rsidR="001A5590" w:rsidRPr="006D4795" w:rsidRDefault="001A5590" w:rsidP="00B04B2B">
            <w:pPr>
              <w:pStyle w:val="TabletextLeft"/>
            </w:pPr>
            <w:r w:rsidRPr="006D4795">
              <w:t>European University Institute National Research Funding</w:t>
            </w:r>
          </w:p>
          <w:p w:rsidR="001A5590" w:rsidRPr="006D4795" w:rsidRDefault="001D0DB3" w:rsidP="00B04B2B">
            <w:pPr>
              <w:pStyle w:val="TabletextLeft"/>
            </w:pPr>
            <w:r w:rsidRPr="006D4795">
              <w:t>http://www.eui.eu/ProgrammesAndFellowships/AcademicCareersObservatory/JobFundingResources/NationalResearchFundingOpportunities.aspx</w:t>
            </w:r>
          </w:p>
          <w:p w:rsidR="001A5590" w:rsidRPr="006D4795" w:rsidRDefault="001A5590" w:rsidP="00B04B2B">
            <w:pPr>
              <w:pStyle w:val="TabletextLeft"/>
            </w:pPr>
          </w:p>
        </w:tc>
      </w:tr>
      <w:tr w:rsidR="001A5590" w:rsidTr="00BB385B">
        <w:trPr>
          <w:cantSplit/>
          <w:trHeight w:val="509"/>
          <w:jc w:val="center"/>
        </w:trPr>
        <w:tc>
          <w:tcPr>
            <w:tcW w:w="1256" w:type="dxa"/>
          </w:tcPr>
          <w:p w:rsidR="001A5590" w:rsidRPr="00BB385B" w:rsidRDefault="001A5590" w:rsidP="00481593">
            <w:pPr>
              <w:pStyle w:val="Tablecolumnheader"/>
            </w:pPr>
            <w:smartTag w:uri="urn:schemas-microsoft-com:office:smarttags" w:element="place">
              <w:r w:rsidRPr="00BB385B">
                <w:lastRenderedPageBreak/>
                <w:t>New Zealand</w:t>
              </w:r>
            </w:smartTag>
          </w:p>
        </w:tc>
        <w:tc>
          <w:tcPr>
            <w:tcW w:w="1276" w:type="dxa"/>
          </w:tcPr>
          <w:p w:rsidR="001A5590" w:rsidRPr="00B04B2B" w:rsidRDefault="001A5590" w:rsidP="00B04B2B">
            <w:pPr>
              <w:pStyle w:val="TabletextLeft"/>
            </w:pPr>
            <w:r w:rsidRPr="00B04B2B">
              <w:t>Ministry of Education (Tertiary Education Commission)</w:t>
            </w:r>
          </w:p>
        </w:tc>
        <w:tc>
          <w:tcPr>
            <w:tcW w:w="1882" w:type="dxa"/>
          </w:tcPr>
          <w:p w:rsidR="001A5590" w:rsidRPr="00B04B2B" w:rsidRDefault="001A5590" w:rsidP="00B04B2B">
            <w:pPr>
              <w:pStyle w:val="TabletextLeft"/>
            </w:pPr>
            <w:r w:rsidRPr="00B04B2B">
              <w:t>Mix of discipline-specific tuition fees (around 5,500-6,500 NZD pa) and government subsidy (around 16,000 NZD pa).</w:t>
            </w:r>
          </w:p>
        </w:tc>
        <w:tc>
          <w:tcPr>
            <w:tcW w:w="1882" w:type="dxa"/>
          </w:tcPr>
          <w:p w:rsidR="001A5590" w:rsidRPr="00B04B2B" w:rsidRDefault="001A5590" w:rsidP="00B04B2B">
            <w:pPr>
              <w:pStyle w:val="TabletextLeft"/>
            </w:pPr>
            <w:r w:rsidRPr="00B04B2B">
              <w:t>Fees vary by discipline of study.</w:t>
            </w:r>
          </w:p>
        </w:tc>
        <w:tc>
          <w:tcPr>
            <w:tcW w:w="1883" w:type="dxa"/>
          </w:tcPr>
          <w:p w:rsidR="008A45BF" w:rsidRPr="00B04B2B" w:rsidRDefault="008A45BF" w:rsidP="00B04B2B">
            <w:pPr>
              <w:pStyle w:val="TabletextLeft"/>
            </w:pPr>
            <w:hyperlink r:id="rId44" w:history="1">
              <w:r w:rsidRPr="00B04B2B">
                <w:rPr>
                  <w:rStyle w:val="Hyperlink"/>
                </w:rPr>
                <w:t>http://en.wikipedia.org/wiki/Doctor_of_Philosophy%22_/l_%22New_Zealand%22</w:t>
              </w:r>
            </w:hyperlink>
          </w:p>
          <w:p w:rsidR="001A5590" w:rsidRPr="00B04B2B" w:rsidRDefault="001A5590" w:rsidP="00B04B2B">
            <w:pPr>
              <w:pStyle w:val="TabletextLeft"/>
            </w:pPr>
            <w:hyperlink r:id="rId45" w:anchor="international" w:history="1">
              <w:r w:rsidRPr="00B04B2B">
                <w:rPr>
                  <w:rStyle w:val="Hyperlink"/>
                </w:rPr>
                <w:t>http://www.otago.ac.nz/study/otago001301.html#international</w:t>
              </w:r>
            </w:hyperlink>
          </w:p>
        </w:tc>
      </w:tr>
      <w:tr w:rsidR="001A5590" w:rsidTr="00BB385B">
        <w:trPr>
          <w:cantSplit/>
          <w:trHeight w:val="509"/>
          <w:jc w:val="center"/>
        </w:trPr>
        <w:tc>
          <w:tcPr>
            <w:tcW w:w="1256" w:type="dxa"/>
          </w:tcPr>
          <w:p w:rsidR="001A5590" w:rsidRPr="00BB385B" w:rsidRDefault="001A5590" w:rsidP="00481593">
            <w:pPr>
              <w:pStyle w:val="Tablecolumnheader"/>
            </w:pPr>
            <w:smartTag w:uri="urn:schemas-microsoft-com:office:smarttags" w:element="place">
              <w:r w:rsidRPr="00BB385B">
                <w:t>Norway</w:t>
              </w:r>
            </w:smartTag>
          </w:p>
        </w:tc>
        <w:tc>
          <w:tcPr>
            <w:tcW w:w="1276" w:type="dxa"/>
          </w:tcPr>
          <w:p w:rsidR="001A5590" w:rsidRPr="00B04B2B" w:rsidRDefault="001A5590" w:rsidP="00B04B2B">
            <w:pPr>
              <w:pStyle w:val="TabletextLeft"/>
            </w:pPr>
            <w:r w:rsidRPr="00B04B2B">
              <w:t xml:space="preserve">The Research Council of </w:t>
            </w:r>
            <w:smartTag w:uri="urn:schemas-microsoft-com:office:smarttags" w:element="place">
              <w:r w:rsidRPr="00B04B2B">
                <w:t>Norway</w:t>
              </w:r>
            </w:smartTag>
          </w:p>
        </w:tc>
        <w:tc>
          <w:tcPr>
            <w:tcW w:w="1882" w:type="dxa"/>
          </w:tcPr>
          <w:p w:rsidR="001A5590" w:rsidRPr="00B04B2B" w:rsidRDefault="001A5590" w:rsidP="00B04B2B">
            <w:pPr>
              <w:pStyle w:val="TabletextLeft"/>
            </w:pPr>
          </w:p>
        </w:tc>
        <w:tc>
          <w:tcPr>
            <w:tcW w:w="1882" w:type="dxa"/>
          </w:tcPr>
          <w:p w:rsidR="001A5590" w:rsidRPr="00B04B2B" w:rsidRDefault="001A5590" w:rsidP="00B04B2B">
            <w:pPr>
              <w:pStyle w:val="TabletextLeft"/>
            </w:pPr>
          </w:p>
        </w:tc>
        <w:tc>
          <w:tcPr>
            <w:tcW w:w="1883" w:type="dxa"/>
          </w:tcPr>
          <w:p w:rsidR="001A5590" w:rsidRPr="00B04B2B" w:rsidRDefault="008A45BF" w:rsidP="00B04B2B">
            <w:pPr>
              <w:pStyle w:val="TabletextLeft"/>
            </w:pPr>
            <w:r w:rsidRPr="00B04B2B">
              <w:t>http://www.forskningsradet.no/en/Higher_education_sector/1185261825617</w:t>
            </w:r>
          </w:p>
        </w:tc>
      </w:tr>
      <w:tr w:rsidR="001A5590" w:rsidTr="00BB385B">
        <w:trPr>
          <w:cantSplit/>
          <w:trHeight w:val="509"/>
          <w:jc w:val="center"/>
        </w:trPr>
        <w:tc>
          <w:tcPr>
            <w:tcW w:w="1256" w:type="dxa"/>
          </w:tcPr>
          <w:p w:rsidR="001A5590" w:rsidRPr="00BB385B" w:rsidRDefault="001A5590" w:rsidP="00481593">
            <w:pPr>
              <w:pStyle w:val="Tablecolumnheader"/>
            </w:pPr>
            <w:smartTag w:uri="urn:schemas-microsoft-com:office:smarttags" w:element="place">
              <w:r w:rsidRPr="00BB385B">
                <w:t>Poland</w:t>
              </w:r>
            </w:smartTag>
          </w:p>
        </w:tc>
        <w:tc>
          <w:tcPr>
            <w:tcW w:w="1276" w:type="dxa"/>
          </w:tcPr>
          <w:p w:rsidR="001A5590" w:rsidRPr="00BB385B" w:rsidRDefault="001A5590" w:rsidP="006D4795">
            <w:pPr>
              <w:pStyle w:val="TabletextLeft"/>
            </w:pPr>
            <w:r w:rsidRPr="00BB385B">
              <w:t>Ministry of Science and Higher Education</w:t>
            </w:r>
          </w:p>
        </w:tc>
        <w:tc>
          <w:tcPr>
            <w:tcW w:w="1882" w:type="dxa"/>
          </w:tcPr>
          <w:p w:rsidR="001A5590" w:rsidRPr="00BB385B" w:rsidRDefault="001A5590" w:rsidP="006D4795">
            <w:pPr>
              <w:pStyle w:val="TabletextLeft"/>
            </w:pPr>
            <w:r w:rsidRPr="00BB385B">
              <w:t>Performance based funding. No specific funding for RT. Funding provided for research.</w:t>
            </w:r>
          </w:p>
        </w:tc>
        <w:tc>
          <w:tcPr>
            <w:tcW w:w="1882" w:type="dxa"/>
          </w:tcPr>
          <w:p w:rsidR="001A5590" w:rsidRPr="00BB385B" w:rsidRDefault="001A5590" w:rsidP="006D4795">
            <w:pPr>
              <w:pStyle w:val="TabletextLeft"/>
            </w:pPr>
            <w:r w:rsidRPr="00BB385B">
              <w:t>Institutions submit an annual report and petition for funding.</w:t>
            </w:r>
          </w:p>
        </w:tc>
        <w:tc>
          <w:tcPr>
            <w:tcW w:w="1883" w:type="dxa"/>
          </w:tcPr>
          <w:p w:rsidR="001A5590" w:rsidRPr="00BB385B" w:rsidRDefault="001A5590" w:rsidP="006D4795">
            <w:pPr>
              <w:pStyle w:val="TabletextLeft"/>
            </w:pPr>
            <w:r w:rsidRPr="00BB385B">
              <w:t>“The criteria and procedures for allocation and reconciliation of funding for statutory activities” issued by the Minister for Science and Higher Education in November 2007.</w:t>
            </w:r>
          </w:p>
        </w:tc>
      </w:tr>
      <w:tr w:rsidR="001A5590" w:rsidTr="00BB385B">
        <w:trPr>
          <w:cantSplit/>
          <w:trHeight w:val="509"/>
          <w:jc w:val="center"/>
        </w:trPr>
        <w:tc>
          <w:tcPr>
            <w:tcW w:w="1256" w:type="dxa"/>
          </w:tcPr>
          <w:p w:rsidR="001A5590" w:rsidRPr="00BB385B" w:rsidRDefault="001A5590" w:rsidP="00481593">
            <w:pPr>
              <w:pStyle w:val="Tablecolumnheader"/>
            </w:pPr>
            <w:smartTag w:uri="urn:schemas-microsoft-com:office:smarttags" w:element="place">
              <w:r w:rsidRPr="00BB385B">
                <w:t>Scotland</w:t>
              </w:r>
            </w:smartTag>
          </w:p>
        </w:tc>
        <w:tc>
          <w:tcPr>
            <w:tcW w:w="1276" w:type="dxa"/>
          </w:tcPr>
          <w:p w:rsidR="001A5590" w:rsidRPr="00BB385B" w:rsidRDefault="001A5590" w:rsidP="006D4795">
            <w:pPr>
              <w:pStyle w:val="TabletextLeft"/>
            </w:pPr>
            <w:r w:rsidRPr="00BB385B">
              <w:t>Scottish Government Education Directorates</w:t>
            </w:r>
          </w:p>
        </w:tc>
        <w:tc>
          <w:tcPr>
            <w:tcW w:w="1882" w:type="dxa"/>
          </w:tcPr>
          <w:p w:rsidR="001A5590" w:rsidRPr="00BB385B" w:rsidRDefault="001A5590" w:rsidP="006D4795">
            <w:pPr>
              <w:pStyle w:val="TabletextLeft"/>
            </w:pPr>
            <w:r w:rsidRPr="00BB385B">
              <w:t>No tuition fees for students.</w:t>
            </w:r>
          </w:p>
        </w:tc>
        <w:tc>
          <w:tcPr>
            <w:tcW w:w="1882" w:type="dxa"/>
          </w:tcPr>
          <w:p w:rsidR="001A5590" w:rsidRPr="00BB385B" w:rsidRDefault="001A5590" w:rsidP="006D4795">
            <w:pPr>
              <w:pStyle w:val="TabletextLeft"/>
            </w:pPr>
            <w:r w:rsidRPr="00BB385B">
              <w:t>Due to upcoming budget cuts the government is considering the reintroduction of tuition fees.</w:t>
            </w:r>
          </w:p>
        </w:tc>
        <w:tc>
          <w:tcPr>
            <w:tcW w:w="1883" w:type="dxa"/>
          </w:tcPr>
          <w:p w:rsidR="001A5590" w:rsidRPr="00BB385B" w:rsidRDefault="001A5590" w:rsidP="006D4795">
            <w:pPr>
              <w:pStyle w:val="TabletextLeft"/>
            </w:pPr>
          </w:p>
        </w:tc>
      </w:tr>
      <w:tr w:rsidR="001A5590" w:rsidTr="00BB385B">
        <w:trPr>
          <w:cantSplit/>
          <w:trHeight w:val="482"/>
          <w:jc w:val="center"/>
        </w:trPr>
        <w:tc>
          <w:tcPr>
            <w:tcW w:w="1256" w:type="dxa"/>
          </w:tcPr>
          <w:p w:rsidR="001A5590" w:rsidRPr="00BB385B" w:rsidRDefault="001A5590" w:rsidP="00481593">
            <w:pPr>
              <w:pStyle w:val="Tablecolumnheader"/>
            </w:pPr>
            <w:smartTag w:uri="urn:schemas-microsoft-com:office:smarttags" w:element="place">
              <w:r w:rsidRPr="00BB385B">
                <w:t>Singapore</w:t>
              </w:r>
            </w:smartTag>
          </w:p>
        </w:tc>
        <w:tc>
          <w:tcPr>
            <w:tcW w:w="1276" w:type="dxa"/>
          </w:tcPr>
          <w:p w:rsidR="001A5590" w:rsidRPr="00BB385B" w:rsidRDefault="001A5590" w:rsidP="006D4795">
            <w:pPr>
              <w:pStyle w:val="TabletextLeft"/>
            </w:pPr>
            <w:r w:rsidRPr="00BB385B">
              <w:t>Ministry of Education’s (Academic Research Fund)</w:t>
            </w:r>
          </w:p>
        </w:tc>
        <w:tc>
          <w:tcPr>
            <w:tcW w:w="1882" w:type="dxa"/>
          </w:tcPr>
          <w:p w:rsidR="001A5590" w:rsidRPr="00BB385B" w:rsidRDefault="001A5590" w:rsidP="006D4795">
            <w:pPr>
              <w:pStyle w:val="TabletextLeft"/>
            </w:pPr>
            <w:r w:rsidRPr="00BB385B">
              <w:t>Undergraduates required to pay tuition fees (info on postgraduate fees not found).</w:t>
            </w:r>
          </w:p>
        </w:tc>
        <w:tc>
          <w:tcPr>
            <w:tcW w:w="1882" w:type="dxa"/>
          </w:tcPr>
          <w:p w:rsidR="001A5590" w:rsidRPr="00BB385B" w:rsidRDefault="001A5590" w:rsidP="006D4795">
            <w:pPr>
              <w:pStyle w:val="TabletextLeft"/>
            </w:pPr>
          </w:p>
        </w:tc>
        <w:tc>
          <w:tcPr>
            <w:tcW w:w="1883" w:type="dxa"/>
          </w:tcPr>
          <w:p w:rsidR="001A5590" w:rsidRPr="00BB385B" w:rsidRDefault="001A5590" w:rsidP="006D4795">
            <w:pPr>
              <w:pStyle w:val="TabletextLeft"/>
            </w:pPr>
          </w:p>
        </w:tc>
      </w:tr>
      <w:tr w:rsidR="001A5590" w:rsidTr="00BB385B">
        <w:trPr>
          <w:cantSplit/>
          <w:trHeight w:val="482"/>
          <w:jc w:val="center"/>
        </w:trPr>
        <w:tc>
          <w:tcPr>
            <w:tcW w:w="1256" w:type="dxa"/>
          </w:tcPr>
          <w:p w:rsidR="001A5590" w:rsidRPr="00BB385B" w:rsidRDefault="001A5590" w:rsidP="00481593">
            <w:pPr>
              <w:pStyle w:val="Tablecolumnheader"/>
            </w:pPr>
            <w:smartTag w:uri="urn:schemas-microsoft-com:office:smarttags" w:element="place">
              <w:r w:rsidRPr="00BB385B">
                <w:t>Spain</w:t>
              </w:r>
            </w:smartTag>
          </w:p>
        </w:tc>
        <w:tc>
          <w:tcPr>
            <w:tcW w:w="1276" w:type="dxa"/>
          </w:tcPr>
          <w:p w:rsidR="001A5590" w:rsidRPr="00BB385B" w:rsidRDefault="001A5590" w:rsidP="006D4795">
            <w:pPr>
              <w:pStyle w:val="TabletextLeft"/>
            </w:pPr>
            <w:r w:rsidRPr="00BB385B">
              <w:t>Ministry of Education (Ministerio de Educación)</w:t>
            </w:r>
          </w:p>
        </w:tc>
        <w:tc>
          <w:tcPr>
            <w:tcW w:w="1882" w:type="dxa"/>
          </w:tcPr>
          <w:p w:rsidR="001A5590" w:rsidRPr="00BB385B" w:rsidRDefault="001A5590" w:rsidP="006D4795">
            <w:pPr>
              <w:pStyle w:val="TabletextLeft"/>
            </w:pPr>
          </w:p>
        </w:tc>
        <w:tc>
          <w:tcPr>
            <w:tcW w:w="1882" w:type="dxa"/>
          </w:tcPr>
          <w:p w:rsidR="001A5590" w:rsidRPr="00BB385B" w:rsidRDefault="001A5590" w:rsidP="006D4795">
            <w:pPr>
              <w:pStyle w:val="TabletextLeft"/>
            </w:pPr>
            <w:r w:rsidRPr="00BB385B">
              <w:t>Very rigorous doctoral training</w:t>
            </w:r>
          </w:p>
          <w:p w:rsidR="001A5590" w:rsidRPr="00BB385B" w:rsidRDefault="001A5590" w:rsidP="006D4795">
            <w:pPr>
              <w:pStyle w:val="TabletextLeft"/>
            </w:pPr>
            <w:r w:rsidRPr="00BB385B">
              <w:t>Doctorate is a prerequisite to academic positions.</w:t>
            </w:r>
          </w:p>
        </w:tc>
        <w:tc>
          <w:tcPr>
            <w:tcW w:w="1883" w:type="dxa"/>
          </w:tcPr>
          <w:p w:rsidR="001A5590" w:rsidRPr="00BB385B" w:rsidRDefault="001A5590" w:rsidP="006D4795">
            <w:pPr>
              <w:pStyle w:val="TabletextLeft"/>
            </w:pPr>
          </w:p>
        </w:tc>
      </w:tr>
      <w:tr w:rsidR="001A5590" w:rsidTr="00BB385B">
        <w:trPr>
          <w:cantSplit/>
          <w:trHeight w:val="482"/>
          <w:jc w:val="center"/>
        </w:trPr>
        <w:tc>
          <w:tcPr>
            <w:tcW w:w="1256" w:type="dxa"/>
          </w:tcPr>
          <w:p w:rsidR="001A5590" w:rsidRPr="00BB385B" w:rsidRDefault="001A5590" w:rsidP="00481593">
            <w:pPr>
              <w:pStyle w:val="Tablecolumnheader"/>
            </w:pPr>
            <w:smartTag w:uri="urn:schemas-microsoft-com:office:smarttags" w:element="place">
              <w:r w:rsidRPr="00BB385B">
                <w:lastRenderedPageBreak/>
                <w:t>Sweden</w:t>
              </w:r>
            </w:smartTag>
          </w:p>
        </w:tc>
        <w:tc>
          <w:tcPr>
            <w:tcW w:w="1276" w:type="dxa"/>
          </w:tcPr>
          <w:p w:rsidR="001A5590" w:rsidRPr="00BB385B" w:rsidRDefault="001A5590" w:rsidP="006D4795">
            <w:pPr>
              <w:pStyle w:val="TabletextLeft"/>
            </w:pPr>
            <w:r w:rsidRPr="00BB385B">
              <w:t>Swedish Research Council</w:t>
            </w:r>
          </w:p>
          <w:p w:rsidR="001A5590" w:rsidRPr="00BB385B" w:rsidRDefault="001A5590" w:rsidP="006D4795">
            <w:pPr>
              <w:pStyle w:val="TabletextLeft"/>
            </w:pPr>
            <w:r w:rsidRPr="00BB385B">
              <w:t>Swedish National Board for Student Aid</w:t>
            </w:r>
          </w:p>
        </w:tc>
        <w:tc>
          <w:tcPr>
            <w:tcW w:w="1882" w:type="dxa"/>
          </w:tcPr>
          <w:p w:rsidR="001A5590" w:rsidRPr="00BB385B" w:rsidRDefault="001A5590" w:rsidP="006D4795">
            <w:pPr>
              <w:pStyle w:val="TabletextLeft"/>
            </w:pPr>
            <w:r w:rsidRPr="00BB385B">
              <w:t xml:space="preserve">Government funding to universities is issued under annual public service agreements which detail the obligations of higher education institutions. </w:t>
            </w:r>
            <w:r w:rsidRPr="00D65F13">
              <w:rPr>
                <w:rStyle w:val="StyleFootnoteReference"/>
                <w:sz w:val="18"/>
              </w:rPr>
              <w:footnoteReference w:id="10"/>
            </w:r>
            <w:r w:rsidRPr="00BB385B">
              <w:t xml:space="preserve">  The public service agreements state how the funding should be split between disciplines as well as the amount of funding that should be allocated to doctoral programs and research.</w:t>
            </w:r>
          </w:p>
        </w:tc>
        <w:tc>
          <w:tcPr>
            <w:tcW w:w="1882" w:type="dxa"/>
          </w:tcPr>
          <w:p w:rsidR="001A5590" w:rsidRPr="00BB385B" w:rsidRDefault="001A5590" w:rsidP="006D4795">
            <w:pPr>
              <w:pStyle w:val="TabletextLeft"/>
            </w:pPr>
          </w:p>
        </w:tc>
        <w:tc>
          <w:tcPr>
            <w:tcW w:w="1883" w:type="dxa"/>
          </w:tcPr>
          <w:p w:rsidR="001A5590" w:rsidRPr="00BB385B" w:rsidRDefault="008A45BF" w:rsidP="006D4795">
            <w:pPr>
              <w:pStyle w:val="TabletextLeft"/>
            </w:pPr>
            <w:r w:rsidRPr="00BB385B">
              <w:t>http://www.vr.se/download/18.75852c9a11447f3519b80002710/Postgraduate+Training.pdf</w:t>
            </w:r>
          </w:p>
          <w:p w:rsidR="001A5590" w:rsidRPr="00BB385B" w:rsidRDefault="008A45BF" w:rsidP="006D4795">
            <w:pPr>
              <w:pStyle w:val="TabletextLeft"/>
            </w:pPr>
            <w:r w:rsidRPr="00BB385B">
              <w:t>http://www.sweden.se/upload/Sweden_se/english/factsheets/SI/SI_FS83a_Higher_education_in_Sweden/FS16-Higher-education-and-research-low-resolution.pdf</w:t>
            </w:r>
          </w:p>
        </w:tc>
      </w:tr>
      <w:tr w:rsidR="001A5590" w:rsidTr="00BB385B">
        <w:trPr>
          <w:cantSplit/>
          <w:trHeight w:val="482"/>
          <w:jc w:val="center"/>
        </w:trPr>
        <w:tc>
          <w:tcPr>
            <w:tcW w:w="1256" w:type="dxa"/>
            <w:tcBorders>
              <w:top w:val="nil"/>
              <w:bottom w:val="single" w:sz="12" w:space="0" w:color="002776"/>
            </w:tcBorders>
          </w:tcPr>
          <w:p w:rsidR="001A5590" w:rsidRPr="00BB385B" w:rsidRDefault="001A5590" w:rsidP="00481593">
            <w:pPr>
              <w:pStyle w:val="Tablecolumnheader"/>
            </w:pPr>
            <w:smartTag w:uri="urn:schemas-microsoft-com:office:smarttags" w:element="place">
              <w:r w:rsidRPr="00BB385B">
                <w:t>USA</w:t>
              </w:r>
            </w:smartTag>
          </w:p>
        </w:tc>
        <w:tc>
          <w:tcPr>
            <w:tcW w:w="1276" w:type="dxa"/>
            <w:tcBorders>
              <w:top w:val="nil"/>
              <w:bottom w:val="single" w:sz="12" w:space="0" w:color="002776"/>
            </w:tcBorders>
          </w:tcPr>
          <w:p w:rsidR="001A5590" w:rsidRPr="00BB385B" w:rsidRDefault="001A5590" w:rsidP="006D4795">
            <w:pPr>
              <w:pStyle w:val="TabletextLeft"/>
            </w:pPr>
          </w:p>
        </w:tc>
        <w:tc>
          <w:tcPr>
            <w:tcW w:w="1882" w:type="dxa"/>
            <w:tcBorders>
              <w:top w:val="nil"/>
              <w:bottom w:val="single" w:sz="12" w:space="0" w:color="002776"/>
            </w:tcBorders>
          </w:tcPr>
          <w:p w:rsidR="001A5590" w:rsidRPr="00BB385B" w:rsidRDefault="001A5590" w:rsidP="006D4795">
            <w:pPr>
              <w:pStyle w:val="TabletextLeft"/>
            </w:pPr>
            <w:r w:rsidRPr="00BB385B">
              <w:t>Postgraduate tuition fees and living expenses funded by students (but with significant discounts/scholarships for economic circumstances.</w:t>
            </w:r>
          </w:p>
        </w:tc>
        <w:tc>
          <w:tcPr>
            <w:tcW w:w="1882" w:type="dxa"/>
            <w:tcBorders>
              <w:top w:val="nil"/>
              <w:bottom w:val="single" w:sz="12" w:space="0" w:color="002776"/>
            </w:tcBorders>
          </w:tcPr>
          <w:p w:rsidR="001A5590" w:rsidRPr="00BB385B" w:rsidRDefault="001A5590" w:rsidP="006D4795">
            <w:pPr>
              <w:pStyle w:val="TabletextLeft"/>
            </w:pPr>
            <w:r w:rsidRPr="00BB385B">
              <w:t xml:space="preserve">Significant impost in terms of time and funding from students – students must complete a Masters program before securing a PhD place.  </w:t>
            </w:r>
          </w:p>
          <w:p w:rsidR="001A5590" w:rsidRPr="00BB385B" w:rsidRDefault="001A5590" w:rsidP="006D4795">
            <w:pPr>
              <w:pStyle w:val="TabletextLeft"/>
            </w:pPr>
            <w:r w:rsidRPr="00BB385B">
              <w:t>Significant coursework component to both the masters and PhD.</w:t>
            </w:r>
          </w:p>
        </w:tc>
        <w:tc>
          <w:tcPr>
            <w:tcW w:w="1883" w:type="dxa"/>
            <w:tcBorders>
              <w:top w:val="nil"/>
              <w:bottom w:val="single" w:sz="12" w:space="0" w:color="002776"/>
            </w:tcBorders>
          </w:tcPr>
          <w:p w:rsidR="001A5590" w:rsidRPr="00BB385B" w:rsidRDefault="001A5590" w:rsidP="006D4795">
            <w:pPr>
              <w:pStyle w:val="TabletextLeft"/>
            </w:pPr>
          </w:p>
        </w:tc>
      </w:tr>
    </w:tbl>
    <w:p w:rsidR="001A5590" w:rsidRDefault="001A5590">
      <w:pPr>
        <w:pStyle w:val="BodyText"/>
      </w:pPr>
    </w:p>
    <w:p w:rsidR="001A5590" w:rsidRDefault="001A5590" w:rsidP="004604CB">
      <w:pPr>
        <w:pStyle w:val="Heading"/>
      </w:pPr>
      <w:bookmarkStart w:id="192" w:name="_Ref294776975"/>
      <w:bookmarkStart w:id="193" w:name="_Toc298324975"/>
      <w:bookmarkStart w:id="194" w:name="_Ref294622084"/>
      <w:r>
        <w:lastRenderedPageBreak/>
        <w:t>: Case study questionnaire</w:t>
      </w:r>
      <w:bookmarkEnd w:id="192"/>
      <w:bookmarkEnd w:id="193"/>
    </w:p>
    <w:p w:rsidR="001A5590" w:rsidRDefault="001A5590" w:rsidP="00757A8E">
      <w:pPr>
        <w:pStyle w:val="ListNumber"/>
      </w:pPr>
      <w:r>
        <w:t xml:space="preserve">Discussion of the data </w:t>
      </w:r>
      <w:r w:rsidRPr="00757A8E">
        <w:t>response</w:t>
      </w:r>
      <w:r>
        <w:t xml:space="preserve"> and discipline-specific/faculty-specific data provided.  </w:t>
      </w:r>
    </w:p>
    <w:p w:rsidR="001A5590" w:rsidRDefault="001A5590" w:rsidP="001A5590">
      <w:pPr>
        <w:pStyle w:val="Bullet1"/>
        <w:numPr>
          <w:ilvl w:val="0"/>
          <w:numId w:val="18"/>
        </w:numPr>
        <w:tabs>
          <w:tab w:val="left" w:pos="1134"/>
        </w:tabs>
        <w:ind w:left="1134"/>
      </w:pPr>
      <w:r>
        <w:t>Discussion of the data underlying the estimates provided. Which assumptions were made/which ledgers were used to derive the estimates?</w:t>
      </w:r>
    </w:p>
    <w:p w:rsidR="001A5590" w:rsidRDefault="001A5590" w:rsidP="001A5590">
      <w:pPr>
        <w:pStyle w:val="Bullet1"/>
        <w:numPr>
          <w:ilvl w:val="0"/>
          <w:numId w:val="18"/>
        </w:numPr>
        <w:tabs>
          <w:tab w:val="left" w:pos="1134"/>
        </w:tabs>
        <w:ind w:left="1134"/>
      </w:pPr>
      <w:r>
        <w:t xml:space="preserve">What is the accounting or financial model used to apportion research training costs in your institution? </w:t>
      </w:r>
    </w:p>
    <w:p w:rsidR="001A5590" w:rsidRDefault="001A5590" w:rsidP="001A5590">
      <w:pPr>
        <w:pStyle w:val="Bullet1"/>
        <w:numPr>
          <w:ilvl w:val="0"/>
          <w:numId w:val="18"/>
        </w:numPr>
        <w:tabs>
          <w:tab w:val="left" w:pos="1134"/>
        </w:tabs>
        <w:ind w:left="1134"/>
      </w:pPr>
      <w:r>
        <w:t>If data are provided on a faculty level, how do faculties align with disciplines?</w:t>
      </w:r>
    </w:p>
    <w:p w:rsidR="001A5590" w:rsidRDefault="001A5590" w:rsidP="00757A8E">
      <w:pPr>
        <w:pStyle w:val="ListNumber"/>
      </w:pPr>
      <w:r>
        <w:t xml:space="preserve">In which disciplines (fields of research/education) do you offer research training? Are all of these covered in your data on discipline-specific differences? </w:t>
      </w:r>
    </w:p>
    <w:p w:rsidR="001A5590" w:rsidRDefault="001A5590" w:rsidP="00757A8E">
      <w:pPr>
        <w:pStyle w:val="ListNumber"/>
      </w:pPr>
      <w:r>
        <w:t>Do research training costs differ across disciplines (rather than faculties)? Please explain and, if possible, quantify the differences in costs that are attributable to discipline differences of HDR candidates.</w:t>
      </w:r>
    </w:p>
    <w:p w:rsidR="001A5590" w:rsidRDefault="001A5590" w:rsidP="001A5590">
      <w:pPr>
        <w:pStyle w:val="Bullet1"/>
        <w:numPr>
          <w:ilvl w:val="0"/>
          <w:numId w:val="18"/>
        </w:numPr>
        <w:tabs>
          <w:tab w:val="left" w:pos="1134"/>
        </w:tabs>
        <w:ind w:left="1134"/>
      </w:pPr>
      <w:r>
        <w:t>If research training costs differ across disciplines, which broad cost categories explain the cost differences across disciplines (e.g. supervisor costs, candidate work environment, research project costs or other costs such as travel)?</w:t>
      </w:r>
    </w:p>
    <w:p w:rsidR="001A5590" w:rsidRDefault="001A5590" w:rsidP="001A5590">
      <w:pPr>
        <w:pStyle w:val="Bullet1"/>
        <w:numPr>
          <w:ilvl w:val="0"/>
          <w:numId w:val="18"/>
        </w:numPr>
        <w:tabs>
          <w:tab w:val="left" w:pos="1134"/>
        </w:tabs>
        <w:ind w:left="1134"/>
      </w:pPr>
      <w:r>
        <w:t>Which cost items within those broad categories (e.g. IT equipment, lab equipment, field trips, etc) are particularly relevant?  For instance, a</w:t>
      </w:r>
      <w:r w:rsidRPr="00EA7BB2">
        <w:t xml:space="preserve">rchaeology, </w:t>
      </w:r>
      <w:r>
        <w:t>g</w:t>
      </w:r>
      <w:r w:rsidRPr="00EA7BB2">
        <w:t xml:space="preserve">eology, </w:t>
      </w:r>
      <w:r>
        <w:t>e</w:t>
      </w:r>
      <w:r w:rsidRPr="00EA7BB2">
        <w:t xml:space="preserve">ngineering, </w:t>
      </w:r>
      <w:r>
        <w:t>a</w:t>
      </w:r>
      <w:r w:rsidRPr="00EA7BB2">
        <w:t xml:space="preserve">rchitecture and </w:t>
      </w:r>
      <w:r>
        <w:t>a</w:t>
      </w:r>
      <w:r w:rsidRPr="00EA7BB2">
        <w:t xml:space="preserve">stronomy HDR candidates </w:t>
      </w:r>
      <w:r>
        <w:t xml:space="preserve">typically </w:t>
      </w:r>
      <w:r w:rsidRPr="00EA7BB2">
        <w:t xml:space="preserve">take field trips funded by their institution while most other HDR candidates do not.  </w:t>
      </w:r>
    </w:p>
    <w:p w:rsidR="001A5590" w:rsidRPr="00D14411" w:rsidRDefault="001A5590" w:rsidP="00757A8E">
      <w:pPr>
        <w:pStyle w:val="ListNumber"/>
      </w:pPr>
      <w:r>
        <w:t xml:space="preserve">Would you be able to suggest appropriate drivers for calculating cost differences?  Would you apply different cost drivers across disciplines or use a </w:t>
      </w:r>
      <w:r w:rsidRPr="00551CF7">
        <w:t>common o</w:t>
      </w:r>
      <w:r w:rsidRPr="002B0DD9">
        <w:t>ne</w:t>
      </w:r>
      <w:r>
        <w:t xml:space="preserve"> (i.e. a cost driver that is independent of discipline)?</w:t>
      </w:r>
      <w:r w:rsidRPr="00D14411">
        <w:t xml:space="preserve"> For instance, the UK has adopted a funding approach with three cost levels based on lab and other high costs (physics lab, chemistry lab, lab animals, human subjects, overseas trip, overseas field work, etc) </w:t>
      </w:r>
      <w:r>
        <w:t xml:space="preserve">as </w:t>
      </w:r>
      <w:r w:rsidRPr="00D14411">
        <w:t>determinant</w:t>
      </w:r>
      <w:r>
        <w:t>s</w:t>
      </w:r>
      <w:r w:rsidRPr="00D14411">
        <w:t xml:space="preserve"> of each level. </w:t>
      </w:r>
    </w:p>
    <w:p w:rsidR="001A5590" w:rsidRDefault="001A5590" w:rsidP="00757A8E">
      <w:pPr>
        <w:pStyle w:val="ListNumber"/>
      </w:pPr>
      <w:r w:rsidRPr="00D14411">
        <w:t>Does the scale of HDR enrolment in a discipline or the proportion of full-time</w:t>
      </w:r>
      <w:r>
        <w:t xml:space="preserve"> versus part-time students have an impact on discipline-specific research training costs?</w:t>
      </w:r>
    </w:p>
    <w:p w:rsidR="001A5590" w:rsidRDefault="001A5590" w:rsidP="00757A8E">
      <w:pPr>
        <w:pStyle w:val="ListNumber"/>
      </w:pPr>
      <w:r>
        <w:t>Aside from discipline-specific expenses, are research training costs likely to be affected by other factors such as attendance mode, candidate load, the size of the institution, mode of delivery of a course (e.g. distance and/or on-campus; lab or clinical trialling vs. access to rare manuscripts), number and location of campuses (e.g. metropolitan or non-metropolitan)?</w:t>
      </w:r>
    </w:p>
    <w:p w:rsidR="001A5590" w:rsidRDefault="001A5590" w:rsidP="00757A8E">
      <w:pPr>
        <w:pStyle w:val="ListNumber"/>
      </w:pPr>
      <w:r>
        <w:t>Are there differences in costs within disciplines? How does the faculty account for and remunerate these cost differences? E.g. differences between lab and desk-based based research programs within the same discipline (Physics PhD project which requires use of expensive equipment vs. a computer based project).</w:t>
      </w:r>
    </w:p>
    <w:p w:rsidR="001A5590" w:rsidRDefault="001A5590" w:rsidP="00757A8E">
      <w:pPr>
        <w:pStyle w:val="ListNumber"/>
      </w:pPr>
      <w:r>
        <w:lastRenderedPageBreak/>
        <w:t>Is the current structure of high-cost versus low-cost discipline model appropriate?  If not, what would you suggest in its place?</w:t>
      </w:r>
    </w:p>
    <w:p w:rsidR="001A5590" w:rsidRDefault="001A5590" w:rsidP="00757A8E">
      <w:pPr>
        <w:pStyle w:val="ListNumber"/>
      </w:pPr>
      <w:r w:rsidRPr="00043786">
        <w:t xml:space="preserve">Are there any </w:t>
      </w:r>
      <w:r>
        <w:t>disciplines</w:t>
      </w:r>
      <w:r w:rsidRPr="00043786">
        <w:t xml:space="preserve"> where costs differ widely from current funding levels?</w:t>
      </w:r>
    </w:p>
    <w:p w:rsidR="001A5590" w:rsidRDefault="001A5590" w:rsidP="00757A8E">
      <w:pPr>
        <w:pStyle w:val="ListNumber"/>
      </w:pPr>
      <w:r w:rsidRPr="003509F0">
        <w:t>Do the current funding levels influence internal allocations in your institution</w:t>
      </w:r>
      <w:r>
        <w:t>, the type of research training offered and the quality of work</w:t>
      </w:r>
      <w:r w:rsidRPr="003509F0">
        <w:t xml:space="preserve">? </w:t>
      </w:r>
    </w:p>
    <w:p w:rsidR="001A5590" w:rsidRDefault="001A5590" w:rsidP="00757A8E">
      <w:pPr>
        <w:pStyle w:val="ListNumber"/>
      </w:pPr>
      <w:r>
        <w:t>Are there any disciplines in which you do not offer research training because of funding shortfalls?  What are the cost drivers and overall costs for those disciplines?</w:t>
      </w:r>
    </w:p>
    <w:p w:rsidR="001A5590" w:rsidRPr="004604CB" w:rsidRDefault="001A5590" w:rsidP="00757A8E">
      <w:pPr>
        <w:pStyle w:val="BodyText"/>
      </w:pPr>
    </w:p>
    <w:p w:rsidR="001A5590" w:rsidRDefault="001A5590" w:rsidP="00155055">
      <w:pPr>
        <w:pStyle w:val="Heading"/>
      </w:pPr>
      <w:bookmarkStart w:id="195" w:name="_Ref295083435"/>
      <w:bookmarkStart w:id="196" w:name="_Toc298324976"/>
      <w:bookmarkStart w:id="197" w:name="_Ref294781510"/>
      <w:r>
        <w:lastRenderedPageBreak/>
        <w:t>: Regression analysis—technical notes</w:t>
      </w:r>
      <w:bookmarkEnd w:id="195"/>
      <w:bookmarkEnd w:id="196"/>
    </w:p>
    <w:p w:rsidR="001A5590" w:rsidRDefault="001A5590" w:rsidP="00AC684C">
      <w:pPr>
        <w:pStyle w:val="Heading2Appendix"/>
      </w:pPr>
      <w:r>
        <w:t>Econometric equation</w:t>
      </w:r>
    </w:p>
    <w:p w:rsidR="001A5590" w:rsidRDefault="001A5590" w:rsidP="00AC684C">
      <w:pPr>
        <w:pStyle w:val="BodyText"/>
      </w:pPr>
      <w:r>
        <w:t xml:space="preserve">The </w:t>
      </w:r>
      <w:r w:rsidRPr="00E35E11">
        <w:t>econometric equation</w:t>
      </w:r>
      <w:r>
        <w:t xml:space="preserve"> for average cost of research training per RTS HDR candidate is:</w:t>
      </w:r>
    </w:p>
    <w:p w:rsidR="001A5590" w:rsidRDefault="001A5590" w:rsidP="00AC684C">
      <w:pPr>
        <w:pStyle w:val="Equation"/>
      </w:pPr>
      <w:r>
        <w:t>Cost = α + ∑β</w:t>
      </w:r>
      <w:r>
        <w:rPr>
          <w:vertAlign w:val="subscript"/>
        </w:rPr>
        <w:t>i</w:t>
      </w:r>
      <w:r>
        <w:t>X</w:t>
      </w:r>
      <w:r>
        <w:rPr>
          <w:vertAlign w:val="subscript"/>
        </w:rPr>
        <w:t>i</w:t>
      </w:r>
      <w:r>
        <w:t xml:space="preserve"> + </w:t>
      </w:r>
      <w:r w:rsidRPr="008B4CD9">
        <w:t>ε</w:t>
      </w:r>
    </w:p>
    <w:p w:rsidR="001A5590" w:rsidRDefault="001A5590" w:rsidP="00AC684C">
      <w:pPr>
        <w:pStyle w:val="BodyText"/>
      </w:pPr>
      <w:r>
        <w:t>Where Cost is average cost of research training per RTS HDR EFTSL (by university), and the explanatory variables (</w:t>
      </w:r>
      <w:r w:rsidRPr="006D4795">
        <w:rPr>
          <w:rStyle w:val="italicChar"/>
        </w:rPr>
        <w:t>i</w:t>
      </w:r>
      <w:r>
        <w:t xml:space="preserve">) </w:t>
      </w:r>
      <w:r w:rsidRPr="005A5E52">
        <w:t>include</w:t>
      </w:r>
      <w:r>
        <w:t xml:space="preserve"> a constant (</w:t>
      </w:r>
      <w:r w:rsidRPr="006D4795">
        <w:rPr>
          <w:rStyle w:val="italicChar"/>
        </w:rPr>
        <w:t>α</w:t>
      </w:r>
      <w:r>
        <w:t xml:space="preserve">), location, Go8, IRU, HDR, </w:t>
      </w:r>
      <w:r w:rsidR="003B63F1">
        <w:t>Part-</w:t>
      </w:r>
      <w:r>
        <w:t xml:space="preserve">time, type, students, RTS, staff, internal, campus and ε is an error term.  The definition of each variable is provided in </w:t>
      </w:r>
      <w:r>
        <w:fldChar w:fldCharType="begin"/>
      </w:r>
      <w:r>
        <w:instrText xml:space="preserve"> REF _Ref297043315 \r \h </w:instrText>
      </w:r>
      <w:r>
        <w:fldChar w:fldCharType="separate"/>
      </w:r>
      <w:r w:rsidR="00A01A35">
        <w:t>Table 5.3</w:t>
      </w:r>
      <w:r>
        <w:fldChar w:fldCharType="end"/>
      </w:r>
      <w:r>
        <w:t>.</w:t>
      </w:r>
    </w:p>
    <w:p w:rsidR="001A5590" w:rsidRDefault="001A5590" w:rsidP="00AC684C">
      <w:pPr>
        <w:pStyle w:val="BodyText"/>
      </w:pPr>
      <w:r>
        <w:t>The dependent variable was transformed to a natural logarithm and, as such, the coefficient on each explanatory variable represents the percentage increase in the cost of research training from a one unit increase in the explanatory variable.  Note, total student numbers is also included as a natural logarithm – therefore, the coefficient on this variable is an elasticity.</w:t>
      </w:r>
    </w:p>
    <w:p w:rsidR="001A5590" w:rsidRDefault="001A5590" w:rsidP="00AC684C">
      <w:pPr>
        <w:pStyle w:val="Heading2Appendix"/>
      </w:pPr>
      <w:r w:rsidRPr="00D155BE">
        <w:t>Model specification</w:t>
      </w:r>
    </w:p>
    <w:p w:rsidR="001A5590" w:rsidRPr="00F75273" w:rsidRDefault="001A5590" w:rsidP="00F75273">
      <w:pPr>
        <w:pStyle w:val="BodyText"/>
      </w:pPr>
      <w:r>
        <w:t xml:space="preserve">Due to shortcomings in the data supplied and the methodological differences between universities, it was expected that the regression analysis would result in unexplained differences in costs.  Model specification procedures confirmed the statistical insignificance of most of the independent variables in explaining variation in costs (both individually and jointly).  However, as the purpose of this analysis is to determine the relationship between the explanatory variables and cost variations – and not as a predictive or inferential tool – the modelling outcomes still provide useful insights into the drivers of research training </w:t>
      </w:r>
      <w:r w:rsidRPr="00F75273">
        <w:t>costs.</w:t>
      </w:r>
    </w:p>
    <w:p w:rsidR="001A5590" w:rsidRPr="00F75273" w:rsidRDefault="001A5590" w:rsidP="00F75273">
      <w:pPr>
        <w:pStyle w:val="BodyText"/>
      </w:pPr>
      <w:r w:rsidRPr="00F75273">
        <w:t>Initial estimations highlighted a multicollinearity problem between the ratio of internal to external students and the other explanatory variables</w:t>
      </w:r>
      <w:r w:rsidRPr="00D65F13">
        <w:rPr>
          <w:rStyle w:val="StyleFootnoteReference"/>
          <w:sz w:val="18"/>
        </w:rPr>
        <w:footnoteReference w:id="11"/>
      </w:r>
      <w:r w:rsidRPr="00F75273">
        <w:t>.  A similar problem was encountered when broad field of education categories were introduced into the equation – for example, it was found that the proportion of HDR enrolments in management and commerce is negatively correlated with the number of students.  As a result, these variables were dropped from subsequent estimations.</w:t>
      </w:r>
    </w:p>
    <w:p w:rsidR="001A5590" w:rsidRPr="00F75273" w:rsidRDefault="001A5590" w:rsidP="00F75273">
      <w:pPr>
        <w:pStyle w:val="BodyText"/>
      </w:pPr>
      <w:r w:rsidRPr="00F75273">
        <w:t>Further model specification tests revealed a heteroskedasticity problem—White heteroskedasticity-consistent errors and covariances were incorporated to correct for this.</w:t>
      </w:r>
    </w:p>
    <w:p w:rsidR="001A5590" w:rsidRPr="00F75273" w:rsidRDefault="001A5590" w:rsidP="00F75273">
      <w:pPr>
        <w:pStyle w:val="BodyText"/>
      </w:pPr>
      <w:r w:rsidRPr="00F75273">
        <w:t xml:space="preserve">To test the effect of outliers on the estimation output, the model was also estimated using the least absolute deviations (LAD) method.  Rather than determining which observations </w:t>
      </w:r>
      <w:r w:rsidRPr="00F75273">
        <w:lastRenderedPageBreak/>
        <w:t>(universities) have a disproportionate influence on the ordinary least squares (OLS) estimates, the LAD method provides an alternative approach that is less sensitive to outliers.  Where the OLS method minimises the sum of squared residuals, the LAD estimators minimise the sum of the absolute values of the residuals, thus giving less weight to large deviations resulting from outliers in the data.   In this case, the LAD method has been employed as a robust regression technique.</w:t>
      </w:r>
      <w:r w:rsidRPr="00D65F13">
        <w:rPr>
          <w:rStyle w:val="StyleFootnoteReference"/>
          <w:sz w:val="18"/>
        </w:rPr>
        <w:footnoteReference w:id="12"/>
      </w:r>
    </w:p>
    <w:p w:rsidR="001A5590" w:rsidRPr="00F75273" w:rsidRDefault="001A5590" w:rsidP="00F75273">
      <w:pPr>
        <w:pStyle w:val="BodyText"/>
      </w:pPr>
      <w:r w:rsidRPr="00F75273">
        <w:t>As with all statistical techniques, the LAD method is not without its shortcomings.  One such shortcoming is of particular relevance to this exercise, namely that statistical inference using LAD estimators only becomes justifiable as the sample size grows.  Given that the sample size is constrained by the number of Australian universities (and further constrained to those that responded to th</w:t>
      </w:r>
      <w:r>
        <w:t>e survey), low sample size is a</w:t>
      </w:r>
      <w:r w:rsidRPr="00F75273">
        <w:t xml:space="preserve"> notable limitation.</w:t>
      </w:r>
      <w:r w:rsidRPr="00D65F13">
        <w:rPr>
          <w:rStyle w:val="StyleFootnoteReference"/>
          <w:sz w:val="18"/>
        </w:rPr>
        <w:footnoteReference w:id="13"/>
      </w:r>
    </w:p>
    <w:p w:rsidR="001A5590" w:rsidRDefault="001A5590" w:rsidP="00F75273">
      <w:pPr>
        <w:pStyle w:val="BodyText"/>
      </w:pPr>
      <w:r w:rsidRPr="00F75273">
        <w:t>For the purposes of this analysis, the regression technique applies the principle of parsimony.  As such, the results presented below are based on OLS estimation.  The final model was chosen based on the Akaike information criterion.</w:t>
      </w:r>
    </w:p>
    <w:p w:rsidR="001A5590" w:rsidRDefault="001A5590" w:rsidP="00D92E2D">
      <w:pPr>
        <w:pStyle w:val="Heading"/>
        <w:sectPr w:rsidR="001A5590" w:rsidSect="00DC78F9">
          <w:headerReference w:type="even" r:id="rId46"/>
          <w:headerReference w:type="default" r:id="rId47"/>
          <w:headerReference w:type="first" r:id="rId48"/>
          <w:footerReference w:type="first" r:id="rId49"/>
          <w:pgSz w:w="11907" w:h="16840" w:code="9"/>
          <w:pgMar w:top="1843" w:right="1134" w:bottom="1134" w:left="2552" w:header="567" w:footer="567" w:gutter="0"/>
          <w:pgNumType w:start="1"/>
          <w:cols w:space="708"/>
          <w:titlePg/>
          <w:docGrid w:linePitch="360"/>
        </w:sectPr>
      </w:pPr>
      <w:bookmarkStart w:id="198" w:name="_Ref295083075"/>
      <w:bookmarkStart w:id="199" w:name="_Toc295311204"/>
    </w:p>
    <w:p w:rsidR="001A5590" w:rsidRPr="006F014D" w:rsidRDefault="001A5590" w:rsidP="00D92E2D">
      <w:pPr>
        <w:pStyle w:val="Heading"/>
      </w:pPr>
      <w:bookmarkStart w:id="200" w:name="_Ref296586174"/>
      <w:bookmarkStart w:id="201" w:name="_Toc298324977"/>
      <w:r w:rsidRPr="006F014D">
        <w:lastRenderedPageBreak/>
        <w:t>: Case study responses</w:t>
      </w:r>
      <w:bookmarkEnd w:id="200"/>
      <w:bookmarkEnd w:id="201"/>
    </w:p>
    <w:p w:rsidR="001A5590" w:rsidRPr="008A45BF" w:rsidRDefault="008A45BF" w:rsidP="0008028A">
      <w:pPr>
        <w:pStyle w:val="BodyText"/>
      </w:pPr>
      <w:r>
        <w:fldChar w:fldCharType="begin"/>
      </w:r>
      <w:r>
        <w:instrText xml:space="preserve"> REF _Ref295897234 \r \h </w:instrText>
      </w:r>
      <w:r w:rsidR="0008028A">
        <w:instrText xml:space="preserve"> \* MERGEFORMAT </w:instrText>
      </w:r>
      <w:r>
        <w:fldChar w:fldCharType="separate"/>
      </w:r>
      <w:r w:rsidR="00A01A35">
        <w:t>Table F.1</w:t>
      </w:r>
      <w:r>
        <w:fldChar w:fldCharType="end"/>
      </w:r>
      <w:r>
        <w:t xml:space="preserve"> </w:t>
      </w:r>
      <w:r w:rsidR="001A5590" w:rsidRPr="008A45BF">
        <w:t>summarises information collected from three universities during the case studies.  More specific information obtained from each university is listed below the table.</w:t>
      </w:r>
    </w:p>
    <w:p w:rsidR="001A5590" w:rsidRDefault="001A5590" w:rsidP="00816D24">
      <w:pPr>
        <w:pStyle w:val="AppendixTableCaption"/>
      </w:pPr>
      <w:bookmarkStart w:id="202" w:name="_Ref295897234"/>
      <w:bookmarkStart w:id="203" w:name="_Toc298325007"/>
      <w:r>
        <w:t>: Case studies</w:t>
      </w:r>
      <w:bookmarkEnd w:id="202"/>
      <w:bookmarkEnd w:id="203"/>
    </w:p>
    <w:tbl>
      <w:tblPr>
        <w:tblW w:w="0" w:type="auto"/>
        <w:tblBorders>
          <w:top w:val="single" w:sz="12" w:space="0" w:color="002776"/>
          <w:bottom w:val="single" w:sz="12" w:space="0" w:color="002776"/>
          <w:insideH w:val="single" w:sz="4" w:space="0" w:color="A6A6A6"/>
          <w:insideV w:val="single" w:sz="4" w:space="0" w:color="A6A6A6"/>
        </w:tblBorders>
        <w:tblLayout w:type="fixed"/>
        <w:tblLook w:val="00A0" w:firstRow="1" w:lastRow="0" w:firstColumn="1" w:lastColumn="0" w:noHBand="0" w:noVBand="0"/>
      </w:tblPr>
      <w:tblGrid>
        <w:gridCol w:w="3413"/>
        <w:gridCol w:w="3413"/>
        <w:gridCol w:w="3413"/>
        <w:gridCol w:w="3413"/>
      </w:tblGrid>
      <w:tr w:rsidR="001A5590" w:rsidTr="00E71B9E">
        <w:trPr>
          <w:tblHeader/>
        </w:trPr>
        <w:tc>
          <w:tcPr>
            <w:tcW w:w="3413" w:type="dxa"/>
            <w:tcBorders>
              <w:top w:val="single" w:sz="12" w:space="0" w:color="002776"/>
            </w:tcBorders>
          </w:tcPr>
          <w:p w:rsidR="001A5590" w:rsidRDefault="001A5590" w:rsidP="00594103">
            <w:pPr>
              <w:pStyle w:val="TableHeadingCentre"/>
            </w:pPr>
            <w:r>
              <w:t>Descriptive factors</w:t>
            </w:r>
          </w:p>
        </w:tc>
        <w:tc>
          <w:tcPr>
            <w:tcW w:w="3413" w:type="dxa"/>
            <w:tcBorders>
              <w:top w:val="single" w:sz="12" w:space="0" w:color="002776"/>
            </w:tcBorders>
          </w:tcPr>
          <w:p w:rsidR="001A5590" w:rsidRPr="00D65F13" w:rsidRDefault="001A5590" w:rsidP="00D65F13">
            <w:pPr>
              <w:pStyle w:val="TableHeadingCentre"/>
            </w:pPr>
            <w:r w:rsidRPr="00D65F13">
              <w:tab/>
              <w:t>University A</w:t>
            </w:r>
          </w:p>
        </w:tc>
        <w:tc>
          <w:tcPr>
            <w:tcW w:w="3413" w:type="dxa"/>
            <w:tcBorders>
              <w:top w:val="single" w:sz="12" w:space="0" w:color="002776"/>
            </w:tcBorders>
          </w:tcPr>
          <w:p w:rsidR="001A5590" w:rsidRDefault="001A5590" w:rsidP="00594103">
            <w:pPr>
              <w:pStyle w:val="TableHeadingCentre"/>
            </w:pPr>
            <w:r>
              <w:t>University B</w:t>
            </w:r>
          </w:p>
        </w:tc>
        <w:tc>
          <w:tcPr>
            <w:tcW w:w="3413" w:type="dxa"/>
            <w:tcBorders>
              <w:top w:val="single" w:sz="12" w:space="0" w:color="002776"/>
            </w:tcBorders>
          </w:tcPr>
          <w:p w:rsidR="001A5590" w:rsidRDefault="001A5590" w:rsidP="00594103">
            <w:pPr>
              <w:pStyle w:val="TableHeadingCentre"/>
            </w:pPr>
            <w:r>
              <w:t>University C</w:t>
            </w:r>
          </w:p>
        </w:tc>
      </w:tr>
      <w:tr w:rsidR="001A5590" w:rsidTr="00E71B9E">
        <w:tc>
          <w:tcPr>
            <w:tcW w:w="3413" w:type="dxa"/>
          </w:tcPr>
          <w:p w:rsidR="001A5590" w:rsidRDefault="001A5590" w:rsidP="002939B3">
            <w:pPr>
              <w:pStyle w:val="Listbullettable"/>
            </w:pPr>
            <w:r>
              <w:t>Main disciplines in which research training is offered</w:t>
            </w:r>
          </w:p>
        </w:tc>
        <w:tc>
          <w:tcPr>
            <w:tcW w:w="3413" w:type="dxa"/>
          </w:tcPr>
          <w:p w:rsidR="001A5590" w:rsidRDefault="001A5590" w:rsidP="002939B3">
            <w:pPr>
              <w:pStyle w:val="Listbullettable"/>
            </w:pPr>
            <w:r>
              <w:t>Psychology and cognitive sciences 15% of HDR load</w:t>
            </w:r>
          </w:p>
          <w:p w:rsidR="001A5590" w:rsidRDefault="001A5590" w:rsidP="002939B3">
            <w:pPr>
              <w:pStyle w:val="Listbullettable"/>
            </w:pPr>
            <w:r>
              <w:t>Health sciences  13% of HDR load</w:t>
            </w:r>
          </w:p>
          <w:p w:rsidR="001A5590" w:rsidRDefault="001A5590" w:rsidP="002939B3">
            <w:pPr>
              <w:pStyle w:val="Listbullettable"/>
            </w:pPr>
            <w:r>
              <w:t>Engineering 11% of HDR load</w:t>
            </w:r>
          </w:p>
          <w:p w:rsidR="001A5590" w:rsidRDefault="001A5590" w:rsidP="002939B3">
            <w:pPr>
              <w:pStyle w:val="Listbullettable"/>
            </w:pPr>
            <w:r>
              <w:t>Biological sciences 8% of HDR load</w:t>
            </w:r>
          </w:p>
        </w:tc>
        <w:tc>
          <w:tcPr>
            <w:tcW w:w="3413" w:type="dxa"/>
          </w:tcPr>
          <w:p w:rsidR="001A5590" w:rsidRDefault="001A5590" w:rsidP="002939B3">
            <w:pPr>
              <w:pStyle w:val="Listbullettable"/>
            </w:pPr>
            <w:r>
              <w:t>Engineering</w:t>
            </w:r>
          </w:p>
          <w:p w:rsidR="001A5590" w:rsidRDefault="001A5590" w:rsidP="002939B3">
            <w:pPr>
              <w:pStyle w:val="Listbullettable"/>
            </w:pPr>
            <w:r>
              <w:t>Global studies</w:t>
            </w:r>
          </w:p>
          <w:p w:rsidR="001A5590" w:rsidRDefault="001A5590" w:rsidP="002939B3">
            <w:pPr>
              <w:pStyle w:val="Listbullettable"/>
            </w:pPr>
            <w:r>
              <w:t>Architecture/design</w:t>
            </w:r>
          </w:p>
          <w:p w:rsidR="001A5590" w:rsidRDefault="001A5590" w:rsidP="002939B3">
            <w:pPr>
              <w:pStyle w:val="Listbullettable"/>
            </w:pPr>
            <w:r>
              <w:t>Chemical science</w:t>
            </w:r>
          </w:p>
          <w:p w:rsidR="001A5590" w:rsidRDefault="001A5590" w:rsidP="002939B3">
            <w:pPr>
              <w:pStyle w:val="Listbullettable"/>
            </w:pPr>
            <w:r>
              <w:t>Arts (Fine)</w:t>
            </w:r>
          </w:p>
          <w:p w:rsidR="001A5590" w:rsidRDefault="001A5590" w:rsidP="002939B3">
            <w:pPr>
              <w:pStyle w:val="Listbullettable"/>
            </w:pPr>
            <w:r>
              <w:t>Computer science</w:t>
            </w:r>
          </w:p>
          <w:p w:rsidR="001A5590" w:rsidRDefault="001A5590" w:rsidP="002939B3">
            <w:pPr>
              <w:pStyle w:val="Listbullettable"/>
            </w:pPr>
            <w:r>
              <w:t>Creative media</w:t>
            </w:r>
          </w:p>
          <w:p w:rsidR="001A5590" w:rsidRDefault="001A5590" w:rsidP="002939B3">
            <w:pPr>
              <w:pStyle w:val="Listbullettable"/>
            </w:pPr>
            <w:r>
              <w:t>Education</w:t>
            </w:r>
          </w:p>
          <w:p w:rsidR="001A5590" w:rsidRDefault="001A5590" w:rsidP="002939B3">
            <w:pPr>
              <w:pStyle w:val="Listbullettable"/>
            </w:pPr>
            <w:r>
              <w:t>Physics</w:t>
            </w:r>
          </w:p>
        </w:tc>
        <w:tc>
          <w:tcPr>
            <w:tcW w:w="3413" w:type="dxa"/>
          </w:tcPr>
          <w:p w:rsidR="001A5590" w:rsidRDefault="001A5590" w:rsidP="002939B3">
            <w:pPr>
              <w:pStyle w:val="Listbullettable"/>
            </w:pPr>
            <w:r>
              <w:t>All fields of education</w:t>
            </w:r>
          </w:p>
        </w:tc>
      </w:tr>
      <w:tr w:rsidR="001A5590" w:rsidTr="00E71B9E">
        <w:tc>
          <w:tcPr>
            <w:tcW w:w="3413" w:type="dxa"/>
          </w:tcPr>
          <w:p w:rsidR="001A5590" w:rsidRDefault="001A5590" w:rsidP="002939B3">
            <w:pPr>
              <w:pStyle w:val="Listbullettable"/>
            </w:pPr>
            <w:r>
              <w:t>Research related cost drivers</w:t>
            </w:r>
          </w:p>
        </w:tc>
        <w:tc>
          <w:tcPr>
            <w:tcW w:w="3413" w:type="dxa"/>
          </w:tcPr>
          <w:p w:rsidR="001A5590" w:rsidRDefault="001A5590" w:rsidP="002939B3">
            <w:pPr>
              <w:pStyle w:val="Listbullettable"/>
            </w:pPr>
            <w:r>
              <w:t>Project specific rather than discipline specific.</w:t>
            </w:r>
          </w:p>
          <w:p w:rsidR="001A5590" w:rsidRDefault="001A5590" w:rsidP="002939B3">
            <w:pPr>
              <w:pStyle w:val="Listbullettable"/>
            </w:pPr>
            <w:r>
              <w:t>Laboratory equipment, consumables and reagents.</w:t>
            </w:r>
          </w:p>
          <w:p w:rsidR="001A5590" w:rsidRDefault="001A5590" w:rsidP="002939B3">
            <w:pPr>
              <w:pStyle w:val="Listbullettable"/>
            </w:pPr>
            <w:r>
              <w:t>Data acquisition-especially from other countries.</w:t>
            </w:r>
          </w:p>
          <w:p w:rsidR="001A5590" w:rsidRDefault="001A5590" w:rsidP="002939B3">
            <w:pPr>
              <w:pStyle w:val="Listbullettable"/>
            </w:pPr>
            <w:r>
              <w:t>Survey costs-especially mail outs.</w:t>
            </w:r>
          </w:p>
          <w:p w:rsidR="001A5590" w:rsidRDefault="001A5590" w:rsidP="002939B3">
            <w:pPr>
              <w:pStyle w:val="Listbullettable"/>
            </w:pPr>
            <w:r>
              <w:t>Field trips</w:t>
            </w:r>
          </w:p>
          <w:p w:rsidR="001A5590" w:rsidRDefault="001A5590" w:rsidP="002939B3">
            <w:pPr>
              <w:pStyle w:val="Listbullettable"/>
            </w:pPr>
            <w:r>
              <w:t>Access to testing/analysis services.</w:t>
            </w:r>
          </w:p>
          <w:p w:rsidR="001A5590" w:rsidRDefault="001A5590" w:rsidP="002939B3">
            <w:pPr>
              <w:pStyle w:val="Listbullettable"/>
            </w:pPr>
            <w:r>
              <w:lastRenderedPageBreak/>
              <w:t>Travel for data acquisition</w:t>
            </w:r>
          </w:p>
          <w:p w:rsidR="001A5590" w:rsidRDefault="001A5590" w:rsidP="002939B3">
            <w:pPr>
              <w:pStyle w:val="Listbullettable"/>
            </w:pPr>
            <w:r>
              <w:t>Animal laboratories.</w:t>
            </w:r>
          </w:p>
        </w:tc>
        <w:tc>
          <w:tcPr>
            <w:tcW w:w="3413" w:type="dxa"/>
          </w:tcPr>
          <w:p w:rsidR="001A5590" w:rsidRDefault="001A5590" w:rsidP="002939B3">
            <w:pPr>
              <w:pStyle w:val="Listbullettable"/>
            </w:pPr>
            <w:r>
              <w:lastRenderedPageBreak/>
              <w:t>Project specific rather than discipline specific.</w:t>
            </w:r>
          </w:p>
          <w:p w:rsidR="001A5590" w:rsidRDefault="001A5590" w:rsidP="002939B3">
            <w:pPr>
              <w:pStyle w:val="Listbullettable"/>
            </w:pPr>
            <w:r>
              <w:t>Access to knowledge such as data sets.</w:t>
            </w:r>
          </w:p>
          <w:p w:rsidR="001A5590" w:rsidRDefault="001A5590" w:rsidP="002939B3">
            <w:pPr>
              <w:pStyle w:val="Listbullettable"/>
            </w:pPr>
            <w:r>
              <w:t>Travel to conferences.</w:t>
            </w:r>
          </w:p>
          <w:p w:rsidR="001A5590" w:rsidRDefault="001A5590" w:rsidP="002939B3">
            <w:pPr>
              <w:pStyle w:val="Listbullettable"/>
            </w:pPr>
            <w:r>
              <w:t>International collaborations.</w:t>
            </w:r>
          </w:p>
          <w:p w:rsidR="001A5590" w:rsidRDefault="001A5590" w:rsidP="002939B3">
            <w:pPr>
              <w:pStyle w:val="Listbullettable"/>
            </w:pPr>
            <w:r>
              <w:t>Laboratory space and equipment.</w:t>
            </w:r>
          </w:p>
          <w:p w:rsidR="001A5590" w:rsidRDefault="001A5590" w:rsidP="002939B3">
            <w:pPr>
              <w:pStyle w:val="Listbullettable"/>
            </w:pPr>
            <w:r>
              <w:t>Industry placements overseas.</w:t>
            </w:r>
          </w:p>
          <w:p w:rsidR="001A5590" w:rsidRDefault="001A5590" w:rsidP="002939B3">
            <w:pPr>
              <w:pStyle w:val="Listbullettable"/>
            </w:pPr>
            <w:r>
              <w:t>Specialist equipment.</w:t>
            </w:r>
          </w:p>
          <w:p w:rsidR="001A5590" w:rsidRDefault="001A5590" w:rsidP="00E71B9E">
            <w:pPr>
              <w:pStyle w:val="TabletextLeft"/>
            </w:pPr>
          </w:p>
        </w:tc>
        <w:tc>
          <w:tcPr>
            <w:tcW w:w="3413" w:type="dxa"/>
          </w:tcPr>
          <w:p w:rsidR="001A5590" w:rsidRDefault="001A5590" w:rsidP="002939B3">
            <w:pPr>
              <w:pStyle w:val="Listbullettable"/>
            </w:pPr>
            <w:r>
              <w:lastRenderedPageBreak/>
              <w:t>Conference and travelling costs- this is not discipline specific.</w:t>
            </w:r>
          </w:p>
          <w:p w:rsidR="001A5590" w:rsidRDefault="001A5590" w:rsidP="002939B3">
            <w:pPr>
              <w:pStyle w:val="Listbullettable"/>
            </w:pPr>
            <w:r>
              <w:t>Professions with a high demand will have high academic salaries –e.g. business.</w:t>
            </w:r>
          </w:p>
          <w:p w:rsidR="001A5590" w:rsidRDefault="001A5590" w:rsidP="002939B3">
            <w:pPr>
              <w:pStyle w:val="Listbullettable"/>
            </w:pPr>
            <w:r>
              <w:t>Space requirements-e.g. for artists.</w:t>
            </w:r>
          </w:p>
          <w:p w:rsidR="001A5590" w:rsidRDefault="001A5590" w:rsidP="002939B3">
            <w:pPr>
              <w:pStyle w:val="Listbullettable"/>
            </w:pPr>
            <w:r>
              <w:t>Field trip costs.</w:t>
            </w:r>
          </w:p>
        </w:tc>
      </w:tr>
      <w:tr w:rsidR="001A5590" w:rsidTr="00E71B9E">
        <w:tc>
          <w:tcPr>
            <w:tcW w:w="3413" w:type="dxa"/>
          </w:tcPr>
          <w:p w:rsidR="001A5590" w:rsidRDefault="001A5590" w:rsidP="002939B3">
            <w:pPr>
              <w:pStyle w:val="Listbullettable"/>
            </w:pPr>
            <w:r>
              <w:lastRenderedPageBreak/>
              <w:t>Student related cost drivers</w:t>
            </w:r>
          </w:p>
        </w:tc>
        <w:tc>
          <w:tcPr>
            <w:tcW w:w="3413" w:type="dxa"/>
          </w:tcPr>
          <w:p w:rsidR="001A5590" w:rsidRDefault="001A5590" w:rsidP="002939B3">
            <w:pPr>
              <w:pStyle w:val="Listbullettable"/>
            </w:pPr>
            <w:r>
              <w:t>The part-time to full-time ratio has no impact on average costs.  Costs are affected by the quantum of work not the time taken to complete.</w:t>
            </w:r>
          </w:p>
          <w:p w:rsidR="001A5590" w:rsidRDefault="001A5590" w:rsidP="002939B3">
            <w:pPr>
              <w:pStyle w:val="Listbullettable"/>
            </w:pPr>
            <w:r>
              <w:t>Students studying on-campus drive costs up due to space costs.  Costs also vary if students are located in other organisations e.g. hospitals or industry.</w:t>
            </w:r>
          </w:p>
          <w:p w:rsidR="001A5590" w:rsidRDefault="001A5590" w:rsidP="002939B3">
            <w:pPr>
              <w:pStyle w:val="Listbullettable"/>
            </w:pPr>
            <w:r>
              <w:t>The part-time to full-time ratio cannot be viewed in isolation as a cost driver as it is confounded by discipline mix.</w:t>
            </w:r>
          </w:p>
          <w:p w:rsidR="001A5590" w:rsidRDefault="001A5590" w:rsidP="002939B3">
            <w:pPr>
              <w:pStyle w:val="Listbullettable"/>
            </w:pPr>
            <w:r>
              <w:t>Economies of scale do have some impacts.</w:t>
            </w:r>
          </w:p>
          <w:p w:rsidR="001A5590" w:rsidRDefault="001A5590" w:rsidP="002939B3">
            <w:pPr>
              <w:pStyle w:val="Listbullettable"/>
            </w:pPr>
            <w:r>
              <w:t>PhD HDR costs more than a Masters  HDR per annum.</w:t>
            </w:r>
          </w:p>
          <w:p w:rsidR="001A5590" w:rsidRDefault="001A5590" w:rsidP="002939B3">
            <w:pPr>
              <w:pStyle w:val="Listbullettable"/>
            </w:pPr>
            <w:r>
              <w:t>Number of campuses only has a small impact on cost –arises from provision of hot-desks.</w:t>
            </w:r>
          </w:p>
          <w:p w:rsidR="001A5590" w:rsidRDefault="001A5590" w:rsidP="002939B3">
            <w:pPr>
              <w:pStyle w:val="Listbullettable"/>
            </w:pPr>
            <w:r>
              <w:t xml:space="preserve">International students have some extra costs relating to English language support and more supervision time required. </w:t>
            </w:r>
          </w:p>
          <w:p w:rsidR="001A5590" w:rsidRDefault="001A5590" w:rsidP="00223723">
            <w:pPr>
              <w:pStyle w:val="TabletextLeft"/>
            </w:pPr>
          </w:p>
        </w:tc>
        <w:tc>
          <w:tcPr>
            <w:tcW w:w="3413" w:type="dxa"/>
          </w:tcPr>
          <w:p w:rsidR="001A5590" w:rsidRDefault="001A5590" w:rsidP="002939B3">
            <w:pPr>
              <w:pStyle w:val="Listbullettable"/>
            </w:pPr>
            <w:r>
              <w:t>Per EFTSL, part-time students are more expensive than full-time students.</w:t>
            </w:r>
          </w:p>
          <w:p w:rsidR="001A5590" w:rsidRDefault="001A5590" w:rsidP="002939B3">
            <w:pPr>
              <w:pStyle w:val="Listbullettable"/>
            </w:pPr>
            <w:r>
              <w:t>The part-time to full-time ratio cannot be viewed in isolation as a cost driver as it is confounded by discipline mix.</w:t>
            </w:r>
          </w:p>
          <w:p w:rsidR="001A5590" w:rsidRDefault="001A5590" w:rsidP="002939B3">
            <w:pPr>
              <w:pStyle w:val="Listbullettable"/>
            </w:pPr>
            <w:r>
              <w:t>Higher volumes of students studying on-campus drives up costs due to space costs.</w:t>
            </w:r>
          </w:p>
          <w:p w:rsidR="001A5590" w:rsidRDefault="001A5590" w:rsidP="002939B3">
            <w:pPr>
              <w:pStyle w:val="Listbullettable"/>
            </w:pPr>
            <w:r>
              <w:t>Economies of scale are not an important driver.</w:t>
            </w:r>
          </w:p>
          <w:p w:rsidR="001A5590" w:rsidRDefault="001A5590" w:rsidP="002939B3">
            <w:pPr>
              <w:pStyle w:val="Listbullettable"/>
            </w:pPr>
            <w:r>
              <w:t>Candidate load is a driver.</w:t>
            </w:r>
          </w:p>
        </w:tc>
        <w:tc>
          <w:tcPr>
            <w:tcW w:w="3413" w:type="dxa"/>
          </w:tcPr>
          <w:p w:rsidR="001A5590" w:rsidRDefault="001A5590" w:rsidP="00223723">
            <w:pPr>
              <w:pStyle w:val="TabletextLeft"/>
            </w:pPr>
          </w:p>
        </w:tc>
      </w:tr>
      <w:tr w:rsidR="001A5590" w:rsidTr="00E71B9E">
        <w:tc>
          <w:tcPr>
            <w:tcW w:w="3413" w:type="dxa"/>
          </w:tcPr>
          <w:p w:rsidR="001A5590" w:rsidRDefault="001A5590" w:rsidP="002939B3">
            <w:pPr>
              <w:pStyle w:val="Listbullettable"/>
            </w:pPr>
            <w:r>
              <w:t xml:space="preserve">Do differences in costs within disciplines exist? </w:t>
            </w:r>
          </w:p>
        </w:tc>
        <w:tc>
          <w:tcPr>
            <w:tcW w:w="3413" w:type="dxa"/>
          </w:tcPr>
          <w:p w:rsidR="001A5590" w:rsidRDefault="001A5590" w:rsidP="002939B3">
            <w:pPr>
              <w:pStyle w:val="Listbullettable"/>
            </w:pPr>
            <w:r>
              <w:t>Yes- e.g. experimental versus theoretical work in physics.</w:t>
            </w:r>
          </w:p>
        </w:tc>
        <w:tc>
          <w:tcPr>
            <w:tcW w:w="3413" w:type="dxa"/>
          </w:tcPr>
          <w:p w:rsidR="001A5590" w:rsidRDefault="001A5590" w:rsidP="002939B3">
            <w:pPr>
              <w:pStyle w:val="Listbullettable"/>
            </w:pPr>
            <w:r>
              <w:t>Yes.</w:t>
            </w:r>
          </w:p>
        </w:tc>
        <w:tc>
          <w:tcPr>
            <w:tcW w:w="3413" w:type="dxa"/>
          </w:tcPr>
          <w:p w:rsidR="001A5590" w:rsidRDefault="001A5590" w:rsidP="002939B3">
            <w:pPr>
              <w:pStyle w:val="Listbullettable"/>
            </w:pPr>
            <w:r>
              <w:t>Yes, but unsure as to how this can be measured.</w:t>
            </w:r>
          </w:p>
        </w:tc>
      </w:tr>
      <w:tr w:rsidR="001A5590" w:rsidTr="00E71B9E">
        <w:tc>
          <w:tcPr>
            <w:tcW w:w="3413" w:type="dxa"/>
          </w:tcPr>
          <w:p w:rsidR="001A5590" w:rsidRDefault="001A5590" w:rsidP="002939B3">
            <w:pPr>
              <w:pStyle w:val="Listbullettable"/>
            </w:pPr>
            <w:r>
              <w:lastRenderedPageBreak/>
              <w:t>How are the gaps in government funding covered?</w:t>
            </w:r>
          </w:p>
        </w:tc>
        <w:tc>
          <w:tcPr>
            <w:tcW w:w="3413" w:type="dxa"/>
          </w:tcPr>
          <w:p w:rsidR="001A5590" w:rsidRDefault="001A5590" w:rsidP="002939B3">
            <w:pPr>
              <w:pStyle w:val="Listbullettable"/>
            </w:pPr>
            <w:r>
              <w:t>60% of domestic students are covered by the RTS.  Other domestic students receive funding waivers. International tuition fees are covered either via fee payment or fee waiver.</w:t>
            </w:r>
          </w:p>
          <w:p w:rsidR="001A5590" w:rsidRDefault="001A5590" w:rsidP="002939B3">
            <w:pPr>
              <w:pStyle w:val="Listbullettable"/>
            </w:pPr>
            <w:r>
              <w:t>Funding from other sources is used to supplement project costs, e.g. ARC and NHMRC grants, sometimes additional funding is provided by the university and cross-subsidisation occurs.</w:t>
            </w:r>
          </w:p>
          <w:p w:rsidR="001A5590" w:rsidRDefault="001A5590" w:rsidP="002939B3">
            <w:pPr>
              <w:pStyle w:val="Listbullettable"/>
            </w:pPr>
            <w:r>
              <w:t>Funds are allocated to faculties based on a formula incorporating research/research training performance and completions. Supervisors in these faculties make their own decisions which projects to pursue based on research.</w:t>
            </w:r>
          </w:p>
        </w:tc>
        <w:tc>
          <w:tcPr>
            <w:tcW w:w="3413" w:type="dxa"/>
          </w:tcPr>
          <w:p w:rsidR="001A5590" w:rsidRDefault="001A5590" w:rsidP="002939B3">
            <w:pPr>
              <w:pStyle w:val="Listbullettable"/>
            </w:pPr>
            <w:r>
              <w:t>Cross subsidisation typically from teaching to research and from undergraduate to postgraduate.</w:t>
            </w:r>
          </w:p>
        </w:tc>
        <w:tc>
          <w:tcPr>
            <w:tcW w:w="3413" w:type="dxa"/>
          </w:tcPr>
          <w:p w:rsidR="001A5590" w:rsidRPr="005A4B43" w:rsidRDefault="001A5590" w:rsidP="002939B3">
            <w:pPr>
              <w:pStyle w:val="Listbullettable"/>
            </w:pPr>
            <w:r w:rsidRPr="005A4B43">
              <w:t>Through internal allocations</w:t>
            </w:r>
            <w:r>
              <w:t>.</w:t>
            </w:r>
          </w:p>
        </w:tc>
      </w:tr>
      <w:tr w:rsidR="001A5590" w:rsidTr="00E71B9E">
        <w:tc>
          <w:tcPr>
            <w:tcW w:w="3413" w:type="dxa"/>
          </w:tcPr>
          <w:p w:rsidR="001A5590" w:rsidRDefault="001A5590" w:rsidP="002939B3">
            <w:pPr>
              <w:pStyle w:val="Listbullettable"/>
            </w:pPr>
            <w:r>
              <w:t>Which disciplines have large cost variations from current funding levels?</w:t>
            </w:r>
          </w:p>
        </w:tc>
        <w:tc>
          <w:tcPr>
            <w:tcW w:w="3413" w:type="dxa"/>
          </w:tcPr>
          <w:p w:rsidR="001A5590" w:rsidRDefault="001A5590" w:rsidP="002939B3">
            <w:pPr>
              <w:pStyle w:val="Listbullettable"/>
            </w:pPr>
            <w:r>
              <w:t xml:space="preserve">Disciplines that the university is trying to grow and inherently require higher project costs- e.g. health and material sciences. </w:t>
            </w:r>
          </w:p>
        </w:tc>
        <w:tc>
          <w:tcPr>
            <w:tcW w:w="3413" w:type="dxa"/>
          </w:tcPr>
          <w:p w:rsidR="001A5590" w:rsidRDefault="001A5590" w:rsidP="002939B3">
            <w:pPr>
              <w:pStyle w:val="Listbullettable"/>
            </w:pPr>
            <w:r>
              <w:t>68 of 109 disciplines offered had a negative net margin.  The remaining had international students cross subsidising RTS students.</w:t>
            </w:r>
          </w:p>
        </w:tc>
        <w:tc>
          <w:tcPr>
            <w:tcW w:w="3413" w:type="dxa"/>
          </w:tcPr>
          <w:p w:rsidR="001A5590" w:rsidRDefault="001A5590" w:rsidP="002939B3">
            <w:pPr>
              <w:pStyle w:val="Listbullettable"/>
            </w:pPr>
            <w:r>
              <w:t>Low-cost disciplines e.g. Humanities struggle to fund space and resources.</w:t>
            </w:r>
          </w:p>
        </w:tc>
      </w:tr>
      <w:tr w:rsidR="001A5590" w:rsidTr="00E71B9E">
        <w:tc>
          <w:tcPr>
            <w:tcW w:w="3413" w:type="dxa"/>
          </w:tcPr>
          <w:p w:rsidR="001A5590" w:rsidRDefault="001A5590" w:rsidP="002939B3">
            <w:pPr>
              <w:pStyle w:val="Listbullettable"/>
            </w:pPr>
            <w:r>
              <w:t>Is the current high-cost versus low-cost discipline model appropriate?</w:t>
            </w:r>
          </w:p>
        </w:tc>
        <w:tc>
          <w:tcPr>
            <w:tcW w:w="3413" w:type="dxa"/>
          </w:tcPr>
          <w:p w:rsidR="001A5590" w:rsidRDefault="001A5590" w:rsidP="002939B3">
            <w:pPr>
              <w:pStyle w:val="Listbullettable"/>
            </w:pPr>
            <w:r>
              <w:t xml:space="preserve">Generally yes in regards to allocating funding internally. </w:t>
            </w:r>
          </w:p>
          <w:p w:rsidR="001A5590" w:rsidRDefault="001A5590" w:rsidP="002939B3">
            <w:pPr>
              <w:pStyle w:val="Listbullettable"/>
            </w:pPr>
            <w:r>
              <w:t xml:space="preserve">The main concern however is that Research Block Funding is based upon a research formula and as such there is a mismatch between </w:t>
            </w:r>
            <w:r>
              <w:lastRenderedPageBreak/>
              <w:t>funding and the student load and high cost low cost discipline mix.</w:t>
            </w:r>
          </w:p>
        </w:tc>
        <w:tc>
          <w:tcPr>
            <w:tcW w:w="3413" w:type="dxa"/>
          </w:tcPr>
          <w:p w:rsidR="001A5590" w:rsidRDefault="001A5590" w:rsidP="002939B3">
            <w:pPr>
              <w:pStyle w:val="Listbullettable"/>
            </w:pPr>
            <w:r>
              <w:lastRenderedPageBreak/>
              <w:t xml:space="preserve">The current low cost/high cost model is out of date due to technology changes that have lead to changes in discipline costs. </w:t>
            </w:r>
          </w:p>
          <w:p w:rsidR="001A5590" w:rsidRDefault="001A5590" w:rsidP="002939B3">
            <w:pPr>
              <w:pStyle w:val="Listbullettable"/>
            </w:pPr>
            <w:r>
              <w:t xml:space="preserve">Disciplines should be weighted into low, medium and high costs </w:t>
            </w:r>
            <w:r>
              <w:lastRenderedPageBreak/>
              <w:t>or base-funding plus an additional load.</w:t>
            </w:r>
          </w:p>
        </w:tc>
        <w:tc>
          <w:tcPr>
            <w:tcW w:w="3413" w:type="dxa"/>
          </w:tcPr>
          <w:p w:rsidR="001A5590" w:rsidRDefault="001A5590" w:rsidP="002939B3">
            <w:pPr>
              <w:pStyle w:val="Listbullettable"/>
            </w:pPr>
            <w:r>
              <w:lastRenderedPageBreak/>
              <w:t xml:space="preserve">No, adequate resources are not provided to candidates enrolled in ‘low-cost’ disciplines. </w:t>
            </w:r>
          </w:p>
          <w:p w:rsidR="001A5590" w:rsidRDefault="001A5590" w:rsidP="002939B3">
            <w:pPr>
              <w:pStyle w:val="Listbullettable"/>
            </w:pPr>
            <w:r>
              <w:t xml:space="preserve">There should be a base level of funding at a higher cost average, then loading factors for specific </w:t>
            </w:r>
            <w:r>
              <w:lastRenderedPageBreak/>
              <w:t>disciplines should be identified.</w:t>
            </w:r>
          </w:p>
        </w:tc>
      </w:tr>
      <w:tr w:rsidR="001A5590" w:rsidTr="00E71B9E">
        <w:tc>
          <w:tcPr>
            <w:tcW w:w="3413" w:type="dxa"/>
            <w:tcBorders>
              <w:bottom w:val="single" w:sz="12" w:space="0" w:color="002776"/>
            </w:tcBorders>
          </w:tcPr>
          <w:p w:rsidR="001A5590" w:rsidRDefault="001A5590" w:rsidP="002939B3">
            <w:pPr>
              <w:pStyle w:val="Listbullettable"/>
            </w:pPr>
            <w:r>
              <w:lastRenderedPageBreak/>
              <w:t>Does funding for research training effect the choice of disciplines in which research training is offered?</w:t>
            </w:r>
          </w:p>
        </w:tc>
        <w:tc>
          <w:tcPr>
            <w:tcW w:w="3413" w:type="dxa"/>
            <w:tcBorders>
              <w:bottom w:val="single" w:sz="12" w:space="0" w:color="002776"/>
            </w:tcBorders>
          </w:tcPr>
          <w:p w:rsidR="001A5590" w:rsidRDefault="001A5590" w:rsidP="002939B3">
            <w:pPr>
              <w:pStyle w:val="Listbullettable"/>
            </w:pPr>
            <w:r>
              <w:t>No, the decision as to which project goes ahead normally depends on the research. The scale of the project may be dependent upon availability of internal/external funding.</w:t>
            </w:r>
          </w:p>
          <w:p w:rsidR="001A5590" w:rsidRDefault="001A5590" w:rsidP="002939B3">
            <w:pPr>
              <w:pStyle w:val="Listbullettable"/>
            </w:pPr>
            <w:r>
              <w:t>There may be some disciplines that would like to offer certain projects but can’t due to funding.</w:t>
            </w:r>
          </w:p>
        </w:tc>
        <w:tc>
          <w:tcPr>
            <w:tcW w:w="3413" w:type="dxa"/>
            <w:tcBorders>
              <w:bottom w:val="single" w:sz="12" w:space="0" w:color="002776"/>
            </w:tcBorders>
          </w:tcPr>
          <w:p w:rsidR="001A5590" w:rsidRDefault="001A5590" w:rsidP="002939B3">
            <w:pPr>
              <w:pStyle w:val="Listbullettable"/>
            </w:pPr>
            <w:r>
              <w:t>No, the decision as to which research projects go ahead is not typically affected by funding, it is often a strategic decision made by the university-eg, based on reputation.</w:t>
            </w:r>
          </w:p>
          <w:p w:rsidR="001A5590" w:rsidRDefault="001A5590" w:rsidP="002939B3">
            <w:pPr>
              <w:pStyle w:val="Listbullettable"/>
            </w:pPr>
            <w:r>
              <w:t>However, funding may affect the quality of research in relation to travel, data collection and sample sizes.</w:t>
            </w:r>
          </w:p>
        </w:tc>
        <w:tc>
          <w:tcPr>
            <w:tcW w:w="3413" w:type="dxa"/>
            <w:tcBorders>
              <w:bottom w:val="single" w:sz="12" w:space="0" w:color="002776"/>
            </w:tcBorders>
          </w:tcPr>
          <w:p w:rsidR="001A5590" w:rsidRDefault="001A5590" w:rsidP="002939B3">
            <w:pPr>
              <w:pStyle w:val="Listbullettable"/>
            </w:pPr>
            <w:r>
              <w:t>Lack of space may affect the ability to offer research training in low cost disciplines.</w:t>
            </w:r>
          </w:p>
        </w:tc>
      </w:tr>
    </w:tbl>
    <w:p w:rsidR="001A5590" w:rsidRDefault="001A5590" w:rsidP="00D92E2D">
      <w:pPr>
        <w:pStyle w:val="BodyText"/>
      </w:pPr>
    </w:p>
    <w:p w:rsidR="001A5590" w:rsidRDefault="001A5590" w:rsidP="00D92E2D">
      <w:pPr>
        <w:pStyle w:val="BodyText"/>
      </w:pPr>
    </w:p>
    <w:p w:rsidR="001A5590" w:rsidRDefault="001A5590" w:rsidP="00D92E2D">
      <w:pPr>
        <w:pStyle w:val="BodyText"/>
      </w:pPr>
    </w:p>
    <w:p w:rsidR="001A5590" w:rsidRDefault="001A5590" w:rsidP="00D92E2D">
      <w:pPr>
        <w:pStyle w:val="BodyText"/>
        <w:sectPr w:rsidR="001A5590" w:rsidSect="00D92E2D">
          <w:headerReference w:type="even" r:id="rId50"/>
          <w:headerReference w:type="default" r:id="rId51"/>
          <w:footerReference w:type="even" r:id="rId52"/>
          <w:footerReference w:type="default" r:id="rId53"/>
          <w:headerReference w:type="first" r:id="rId54"/>
          <w:footerReference w:type="first" r:id="rId55"/>
          <w:pgSz w:w="16840" w:h="11907" w:orient="landscape" w:code="9"/>
          <w:pgMar w:top="1701" w:right="1701" w:bottom="1701" w:left="1701" w:header="567" w:footer="567" w:gutter="0"/>
          <w:cols w:space="708"/>
          <w:titlePg/>
          <w:docGrid w:linePitch="360"/>
        </w:sectPr>
      </w:pPr>
    </w:p>
    <w:p w:rsidR="001A5590" w:rsidRPr="00581385" w:rsidRDefault="001A5590" w:rsidP="0008028A">
      <w:pPr>
        <w:pStyle w:val="Heading1Heading"/>
      </w:pPr>
      <w:bookmarkStart w:id="204" w:name="_Toc298324978"/>
      <w:bookmarkStart w:id="205" w:name="_Toc288029464"/>
      <w:bookmarkStart w:id="206" w:name="_Toc293670230"/>
      <w:bookmarkEnd w:id="194"/>
      <w:bookmarkEnd w:id="197"/>
      <w:bookmarkEnd w:id="198"/>
      <w:bookmarkEnd w:id="199"/>
      <w:r w:rsidRPr="00581385">
        <w:lastRenderedPageBreak/>
        <w:t>University specific case study information:</w:t>
      </w:r>
      <w:bookmarkEnd w:id="204"/>
    </w:p>
    <w:p w:rsidR="001A5590" w:rsidRPr="00594103" w:rsidRDefault="001A5590" w:rsidP="0008028A">
      <w:pPr>
        <w:pStyle w:val="Heading2Appendix"/>
      </w:pPr>
      <w:bookmarkStart w:id="207" w:name="_Toc298324979"/>
      <w:r w:rsidRPr="00594103">
        <w:t>University A</w:t>
      </w:r>
      <w:bookmarkEnd w:id="207"/>
    </w:p>
    <w:p w:rsidR="001A5590" w:rsidRDefault="001A5590" w:rsidP="0008028A">
      <w:pPr>
        <w:pStyle w:val="Heading3Appendix"/>
      </w:pPr>
      <w:r>
        <w:t>Data used in their response to the survey:</w:t>
      </w:r>
      <w:r>
        <w:tab/>
      </w:r>
    </w:p>
    <w:p w:rsidR="001A5590" w:rsidRPr="00481593" w:rsidRDefault="001A5590" w:rsidP="00481593">
      <w:pPr>
        <w:pStyle w:val="BodyText"/>
      </w:pPr>
      <w:r w:rsidRPr="00481593">
        <w:t>University A used the SRE survey data to determine their supervisor salary costs for RTS students.  Other than this direct cost, the other direct costs they provided are not comparable to direct costs provided by other universities.  This was because costs entered under ‘candidate work environment’ covered only one budget area, the rest being included under ‘indirect costs’ and in addition,  some of their ‘research project costs’ are included under their ‘indirect costs’ broken down by faculty.  They also included depreciation under indirect costs due to the growing housing cost for its HDR students- it is not clear whether other universities did this.</w:t>
      </w:r>
    </w:p>
    <w:p w:rsidR="001A5590" w:rsidRDefault="001A5590" w:rsidP="0008028A">
      <w:pPr>
        <w:pStyle w:val="Heading3Appendix"/>
      </w:pPr>
      <w:r>
        <w:t>Cost drivers:</w:t>
      </w:r>
    </w:p>
    <w:p w:rsidR="001A5590" w:rsidRPr="00481593" w:rsidRDefault="001A5590" w:rsidP="00481593">
      <w:pPr>
        <w:pStyle w:val="BodyText"/>
      </w:pPr>
      <w:r w:rsidRPr="00481593">
        <w:t>At university A at least 90% of HDR students are PhD students across their key disciplines consisting of Biological Science, Engineering, Medical and Health Science and Psychology and Cognitive Sciences.  University A believes that research training cost variations are more likely to be project specific rather than discipline specific, however, some disciplines are more likely to have additional costs than others, see</w:t>
      </w:r>
      <w:r w:rsidR="008A45BF" w:rsidRPr="00481593">
        <w:t xml:space="preserve"> </w:t>
      </w:r>
      <w:r w:rsidR="008A45BF" w:rsidRPr="00481593">
        <w:fldChar w:fldCharType="begin"/>
      </w:r>
      <w:r w:rsidR="008A45BF" w:rsidRPr="00481593">
        <w:instrText xml:space="preserve"> REF _Ref295837697 \r \h </w:instrText>
      </w:r>
      <w:r w:rsidR="008A45BF" w:rsidRPr="00481593">
        <w:fldChar w:fldCharType="separate"/>
      </w:r>
      <w:r w:rsidR="00A01A35">
        <w:t>Table F.2</w:t>
      </w:r>
      <w:r w:rsidR="008A45BF" w:rsidRPr="00481593">
        <w:fldChar w:fldCharType="end"/>
      </w:r>
      <w:r w:rsidRPr="00481593">
        <w:t>.</w:t>
      </w:r>
    </w:p>
    <w:p w:rsidR="001A5590" w:rsidRDefault="001A5590" w:rsidP="00EA6FE1">
      <w:pPr>
        <w:pStyle w:val="AppendixTableCaption"/>
      </w:pPr>
      <w:bookmarkStart w:id="208" w:name="_Ref295837697"/>
      <w:bookmarkStart w:id="209" w:name="_Toc298325008"/>
      <w:r>
        <w:t>: Potential cost drivers</w:t>
      </w:r>
      <w:bookmarkEnd w:id="208"/>
      <w:bookmarkEnd w:id="209"/>
    </w:p>
    <w:tbl>
      <w:tblPr>
        <w:tblW w:w="8604" w:type="dxa"/>
        <w:jc w:val="center"/>
        <w:tblInd w:w="-17" w:type="dxa"/>
        <w:tblBorders>
          <w:top w:val="single" w:sz="12" w:space="0" w:color="002776"/>
          <w:bottom w:val="single" w:sz="12" w:space="0" w:color="002776"/>
          <w:insideH w:val="single" w:sz="4" w:space="0" w:color="A6A6A6"/>
          <w:insideV w:val="single" w:sz="4" w:space="0" w:color="A6A6A6"/>
        </w:tblBorders>
        <w:tblLook w:val="00A0" w:firstRow="1" w:lastRow="0" w:firstColumn="1" w:lastColumn="0" w:noHBand="0" w:noVBand="0"/>
      </w:tblPr>
      <w:tblGrid>
        <w:gridCol w:w="3345"/>
        <w:gridCol w:w="3472"/>
        <w:gridCol w:w="1787"/>
      </w:tblGrid>
      <w:tr w:rsidR="001A5590" w:rsidRPr="007E4BA9" w:rsidTr="00D92E2D">
        <w:trPr>
          <w:cantSplit/>
          <w:trHeight w:val="552"/>
          <w:jc w:val="center"/>
        </w:trPr>
        <w:tc>
          <w:tcPr>
            <w:tcW w:w="3345" w:type="dxa"/>
            <w:tcBorders>
              <w:top w:val="single" w:sz="12" w:space="0" w:color="002776"/>
            </w:tcBorders>
          </w:tcPr>
          <w:p w:rsidR="001A5590" w:rsidRPr="00D92E2D" w:rsidRDefault="001A5590" w:rsidP="00DA1A88">
            <w:pPr>
              <w:pStyle w:val="Tablecolumnheader"/>
            </w:pPr>
            <w:r w:rsidRPr="00D92E2D">
              <w:t>Cost item</w:t>
            </w:r>
          </w:p>
        </w:tc>
        <w:tc>
          <w:tcPr>
            <w:tcW w:w="3472" w:type="dxa"/>
            <w:tcBorders>
              <w:top w:val="single" w:sz="12" w:space="0" w:color="002776"/>
            </w:tcBorders>
          </w:tcPr>
          <w:p w:rsidR="001A5590" w:rsidRPr="00D92E2D" w:rsidRDefault="001A5590" w:rsidP="00DA1A88">
            <w:pPr>
              <w:pStyle w:val="Tablecolumnheader"/>
            </w:pPr>
            <w:r w:rsidRPr="00D92E2D">
              <w:t>Discipline (by field of education / field of education)</w:t>
            </w:r>
          </w:p>
        </w:tc>
        <w:tc>
          <w:tcPr>
            <w:tcW w:w="1787" w:type="dxa"/>
            <w:tcBorders>
              <w:top w:val="single" w:sz="12" w:space="0" w:color="002776"/>
            </w:tcBorders>
          </w:tcPr>
          <w:p w:rsidR="001A5590" w:rsidRPr="00D92E2D" w:rsidRDefault="001A5590" w:rsidP="00DA1A88">
            <w:pPr>
              <w:pStyle w:val="Tablecolumnheader"/>
            </w:pPr>
            <w:r w:rsidRPr="00D92E2D">
              <w:t>cost per candidate ($)</w:t>
            </w:r>
          </w:p>
        </w:tc>
      </w:tr>
      <w:tr w:rsidR="001A5590" w:rsidRPr="007E4BA9" w:rsidTr="00D92E2D">
        <w:trPr>
          <w:cantSplit/>
          <w:trHeight w:val="521"/>
          <w:jc w:val="center"/>
        </w:trPr>
        <w:tc>
          <w:tcPr>
            <w:tcW w:w="3345" w:type="dxa"/>
          </w:tcPr>
          <w:p w:rsidR="001A5590" w:rsidRPr="00D92E2D" w:rsidRDefault="001A5590" w:rsidP="00DA1A88">
            <w:pPr>
              <w:pStyle w:val="TabletextLeft"/>
            </w:pPr>
            <w:r w:rsidRPr="00D92E2D">
              <w:t>Lab</w:t>
            </w:r>
            <w:r>
              <w:t>oratory</w:t>
            </w:r>
            <w:r w:rsidRPr="00D92E2D">
              <w:t xml:space="preserve"> equipment and consumables, reagents</w:t>
            </w:r>
          </w:p>
        </w:tc>
        <w:tc>
          <w:tcPr>
            <w:tcW w:w="3472" w:type="dxa"/>
          </w:tcPr>
          <w:p w:rsidR="001A5590" w:rsidRPr="00D92E2D" w:rsidRDefault="001A5590" w:rsidP="00DA1A88">
            <w:pPr>
              <w:pStyle w:val="TabletextLeft"/>
            </w:pPr>
            <w:r w:rsidRPr="00D92E2D">
              <w:t>Science and Technology (Molecular Biology), Health (Medicine), ITRI</w:t>
            </w:r>
            <w:r w:rsidR="00022D5C">
              <w:t>*</w:t>
            </w:r>
          </w:p>
        </w:tc>
        <w:tc>
          <w:tcPr>
            <w:tcW w:w="1787" w:type="dxa"/>
            <w:noWrap/>
          </w:tcPr>
          <w:p w:rsidR="001A5590" w:rsidRPr="00D92E2D" w:rsidRDefault="001A5590" w:rsidP="00DA1A88">
            <w:pPr>
              <w:pStyle w:val="TabletextLeft"/>
            </w:pPr>
            <w:r w:rsidRPr="00D92E2D">
              <w:t>$5 - 15k</w:t>
            </w:r>
          </w:p>
        </w:tc>
      </w:tr>
      <w:tr w:rsidR="001A5590" w:rsidRPr="007E4BA9" w:rsidTr="00D92E2D">
        <w:trPr>
          <w:cantSplit/>
          <w:trHeight w:val="276"/>
          <w:jc w:val="center"/>
        </w:trPr>
        <w:tc>
          <w:tcPr>
            <w:tcW w:w="3345" w:type="dxa"/>
          </w:tcPr>
          <w:p w:rsidR="001A5590" w:rsidRPr="00D92E2D" w:rsidRDefault="001A5590" w:rsidP="00DA1A88">
            <w:pPr>
              <w:pStyle w:val="TabletextLeft"/>
            </w:pPr>
            <w:r w:rsidRPr="00D92E2D">
              <w:t>Data acquisition</w:t>
            </w:r>
          </w:p>
        </w:tc>
        <w:tc>
          <w:tcPr>
            <w:tcW w:w="3472" w:type="dxa"/>
          </w:tcPr>
          <w:p w:rsidR="001A5590" w:rsidRPr="00D92E2D" w:rsidRDefault="001A5590" w:rsidP="00DA1A88">
            <w:pPr>
              <w:pStyle w:val="TabletextLeft"/>
            </w:pPr>
            <w:r w:rsidRPr="00D92E2D">
              <w:t>Business and Law; Health</w:t>
            </w:r>
          </w:p>
        </w:tc>
        <w:tc>
          <w:tcPr>
            <w:tcW w:w="1787" w:type="dxa"/>
            <w:noWrap/>
          </w:tcPr>
          <w:p w:rsidR="001A5590" w:rsidRPr="00D92E2D" w:rsidRDefault="001A5590" w:rsidP="00DA1A88">
            <w:pPr>
              <w:pStyle w:val="TabletextLeft"/>
            </w:pPr>
            <w:r w:rsidRPr="00D92E2D">
              <w:t>$1k</w:t>
            </w:r>
          </w:p>
        </w:tc>
      </w:tr>
      <w:tr w:rsidR="001A5590" w:rsidRPr="007E4BA9" w:rsidTr="00D92E2D">
        <w:trPr>
          <w:cantSplit/>
          <w:trHeight w:val="415"/>
          <w:jc w:val="center"/>
        </w:trPr>
        <w:tc>
          <w:tcPr>
            <w:tcW w:w="3345" w:type="dxa"/>
          </w:tcPr>
          <w:p w:rsidR="001A5590" w:rsidRPr="00D92E2D" w:rsidRDefault="001A5590" w:rsidP="00DA1A88">
            <w:pPr>
              <w:pStyle w:val="TabletextLeft"/>
            </w:pPr>
            <w:r w:rsidRPr="00D92E2D">
              <w:t>Survey Costs</w:t>
            </w:r>
          </w:p>
        </w:tc>
        <w:tc>
          <w:tcPr>
            <w:tcW w:w="3472" w:type="dxa"/>
          </w:tcPr>
          <w:p w:rsidR="001A5590" w:rsidRPr="00D92E2D" w:rsidRDefault="001A5590" w:rsidP="00DA1A88">
            <w:pPr>
              <w:pStyle w:val="TabletextLeft"/>
            </w:pPr>
            <w:r w:rsidRPr="00D92E2D">
              <w:t>Business and Law; Health (Psychology, Population Health)</w:t>
            </w:r>
          </w:p>
        </w:tc>
        <w:tc>
          <w:tcPr>
            <w:tcW w:w="1787" w:type="dxa"/>
            <w:noWrap/>
          </w:tcPr>
          <w:p w:rsidR="001A5590" w:rsidRPr="00D92E2D" w:rsidRDefault="001A5590" w:rsidP="00DA1A88">
            <w:pPr>
              <w:pStyle w:val="TabletextLeft"/>
            </w:pPr>
            <w:r w:rsidRPr="00D92E2D">
              <w:t>$1 - 2k</w:t>
            </w:r>
          </w:p>
        </w:tc>
      </w:tr>
      <w:tr w:rsidR="001A5590" w:rsidRPr="007E4BA9" w:rsidTr="00D92E2D">
        <w:trPr>
          <w:cantSplit/>
          <w:trHeight w:val="276"/>
          <w:jc w:val="center"/>
        </w:trPr>
        <w:tc>
          <w:tcPr>
            <w:tcW w:w="3345" w:type="dxa"/>
          </w:tcPr>
          <w:p w:rsidR="001A5590" w:rsidRPr="00D92E2D" w:rsidRDefault="001A5590" w:rsidP="00DA1A88">
            <w:pPr>
              <w:pStyle w:val="TabletextLeft"/>
            </w:pPr>
            <w:r w:rsidRPr="00D92E2D">
              <w:t>Field trips</w:t>
            </w:r>
          </w:p>
        </w:tc>
        <w:tc>
          <w:tcPr>
            <w:tcW w:w="3472" w:type="dxa"/>
          </w:tcPr>
          <w:p w:rsidR="001A5590" w:rsidRPr="00D92E2D" w:rsidRDefault="001A5590" w:rsidP="00DA1A88">
            <w:pPr>
              <w:pStyle w:val="TabletextLeft"/>
            </w:pPr>
            <w:r w:rsidRPr="00D92E2D">
              <w:t>Life and Environmental Sciences (LES)</w:t>
            </w:r>
          </w:p>
        </w:tc>
        <w:tc>
          <w:tcPr>
            <w:tcW w:w="1787" w:type="dxa"/>
            <w:noWrap/>
          </w:tcPr>
          <w:p w:rsidR="001A5590" w:rsidRPr="00D92E2D" w:rsidRDefault="001A5590" w:rsidP="00DA1A88">
            <w:pPr>
              <w:pStyle w:val="TabletextLeft"/>
            </w:pPr>
            <w:r w:rsidRPr="00D92E2D">
              <w:t>$5 - 10k</w:t>
            </w:r>
          </w:p>
        </w:tc>
      </w:tr>
      <w:tr w:rsidR="001A5590" w:rsidRPr="007E4BA9" w:rsidTr="00D92E2D">
        <w:trPr>
          <w:cantSplit/>
          <w:trHeight w:val="276"/>
          <w:jc w:val="center"/>
        </w:trPr>
        <w:tc>
          <w:tcPr>
            <w:tcW w:w="3345" w:type="dxa"/>
          </w:tcPr>
          <w:p w:rsidR="001A5590" w:rsidRPr="00D92E2D" w:rsidRDefault="001A5590" w:rsidP="00DA1A88">
            <w:pPr>
              <w:pStyle w:val="TabletextLeft"/>
            </w:pPr>
            <w:r w:rsidRPr="00D92E2D">
              <w:t>Access to external equipment and/or facilities</w:t>
            </w:r>
          </w:p>
        </w:tc>
        <w:tc>
          <w:tcPr>
            <w:tcW w:w="3472" w:type="dxa"/>
          </w:tcPr>
          <w:p w:rsidR="001A5590" w:rsidRPr="00D92E2D" w:rsidRDefault="001A5590" w:rsidP="00DA1A88">
            <w:pPr>
              <w:pStyle w:val="TabletextLeft"/>
            </w:pPr>
            <w:r w:rsidRPr="00D92E2D">
              <w:t>ITRI, Science &amp; Tech</w:t>
            </w:r>
          </w:p>
        </w:tc>
        <w:tc>
          <w:tcPr>
            <w:tcW w:w="1787" w:type="dxa"/>
            <w:noWrap/>
          </w:tcPr>
          <w:p w:rsidR="001A5590" w:rsidRPr="00D92E2D" w:rsidRDefault="001A5590" w:rsidP="00DA1A88">
            <w:pPr>
              <w:pStyle w:val="TabletextLeft"/>
            </w:pPr>
            <w:r w:rsidRPr="00D92E2D">
              <w:t>$5 - 10k</w:t>
            </w:r>
          </w:p>
        </w:tc>
      </w:tr>
      <w:tr w:rsidR="001A5590" w:rsidRPr="007E4BA9" w:rsidTr="00D92E2D">
        <w:trPr>
          <w:cantSplit/>
          <w:trHeight w:val="505"/>
          <w:jc w:val="center"/>
        </w:trPr>
        <w:tc>
          <w:tcPr>
            <w:tcW w:w="3345" w:type="dxa"/>
          </w:tcPr>
          <w:p w:rsidR="001A5590" w:rsidRPr="00D92E2D" w:rsidRDefault="001A5590" w:rsidP="00DA1A88">
            <w:pPr>
              <w:pStyle w:val="TabletextLeft"/>
            </w:pPr>
            <w:r w:rsidRPr="00D92E2D">
              <w:t>Access to testing/analysis services (not included above)</w:t>
            </w:r>
          </w:p>
        </w:tc>
        <w:tc>
          <w:tcPr>
            <w:tcW w:w="3472" w:type="dxa"/>
          </w:tcPr>
          <w:p w:rsidR="001A5590" w:rsidRPr="00D92E2D" w:rsidRDefault="001A5590" w:rsidP="00DA1A88">
            <w:pPr>
              <w:pStyle w:val="TabletextLeft"/>
            </w:pPr>
            <w:r w:rsidRPr="00D92E2D">
              <w:t>ITRI, Science &amp; Tech, Medicine</w:t>
            </w:r>
          </w:p>
        </w:tc>
        <w:tc>
          <w:tcPr>
            <w:tcW w:w="1787" w:type="dxa"/>
            <w:noWrap/>
          </w:tcPr>
          <w:p w:rsidR="001A5590" w:rsidRPr="00D92E2D" w:rsidRDefault="001A5590" w:rsidP="00DA1A88">
            <w:pPr>
              <w:pStyle w:val="TabletextLeft"/>
            </w:pPr>
            <w:r w:rsidRPr="00D92E2D">
              <w:t>$5 - 10k</w:t>
            </w:r>
          </w:p>
        </w:tc>
      </w:tr>
      <w:tr w:rsidR="001A5590" w:rsidRPr="007E4BA9" w:rsidTr="00D92E2D">
        <w:trPr>
          <w:cantSplit/>
          <w:trHeight w:val="276"/>
          <w:jc w:val="center"/>
        </w:trPr>
        <w:tc>
          <w:tcPr>
            <w:tcW w:w="3345" w:type="dxa"/>
          </w:tcPr>
          <w:p w:rsidR="001A5590" w:rsidRPr="00D92E2D" w:rsidRDefault="001A5590" w:rsidP="00DA1A88">
            <w:pPr>
              <w:pStyle w:val="TabletextLeft"/>
            </w:pPr>
            <w:r w:rsidRPr="00D92E2D">
              <w:t>Travel for Data Acquisition</w:t>
            </w:r>
          </w:p>
        </w:tc>
        <w:tc>
          <w:tcPr>
            <w:tcW w:w="3472" w:type="dxa"/>
          </w:tcPr>
          <w:p w:rsidR="001A5590" w:rsidRPr="00D92E2D" w:rsidRDefault="001A5590" w:rsidP="00DA1A88">
            <w:pPr>
              <w:pStyle w:val="TabletextLeft"/>
            </w:pPr>
            <w:r w:rsidRPr="00D92E2D">
              <w:t>Health (Population Health)</w:t>
            </w:r>
          </w:p>
        </w:tc>
        <w:tc>
          <w:tcPr>
            <w:tcW w:w="1787" w:type="dxa"/>
            <w:noWrap/>
          </w:tcPr>
          <w:p w:rsidR="001A5590" w:rsidRPr="00D92E2D" w:rsidRDefault="001A5590" w:rsidP="00DA1A88">
            <w:pPr>
              <w:pStyle w:val="TabletextLeft"/>
            </w:pPr>
            <w:r w:rsidRPr="00D92E2D">
              <w:t>$5 - 10k</w:t>
            </w:r>
          </w:p>
        </w:tc>
      </w:tr>
      <w:tr w:rsidR="001A5590" w:rsidRPr="007E4BA9" w:rsidTr="00D92E2D">
        <w:trPr>
          <w:cantSplit/>
          <w:trHeight w:val="431"/>
          <w:jc w:val="center"/>
        </w:trPr>
        <w:tc>
          <w:tcPr>
            <w:tcW w:w="3345" w:type="dxa"/>
            <w:tcBorders>
              <w:bottom w:val="single" w:sz="12" w:space="0" w:color="002776"/>
            </w:tcBorders>
          </w:tcPr>
          <w:p w:rsidR="001A5590" w:rsidRPr="00D92E2D" w:rsidRDefault="001A5590" w:rsidP="00DA1A88">
            <w:pPr>
              <w:pStyle w:val="TabletextLeft"/>
            </w:pPr>
            <w:r w:rsidRPr="00D92E2D">
              <w:t>Animal Laboratory</w:t>
            </w:r>
          </w:p>
        </w:tc>
        <w:tc>
          <w:tcPr>
            <w:tcW w:w="3472" w:type="dxa"/>
            <w:tcBorders>
              <w:bottom w:val="single" w:sz="12" w:space="0" w:color="002776"/>
            </w:tcBorders>
          </w:tcPr>
          <w:p w:rsidR="001A5590" w:rsidRPr="00D92E2D" w:rsidRDefault="001A5590" w:rsidP="00DA1A88">
            <w:pPr>
              <w:pStyle w:val="TabletextLeft"/>
            </w:pPr>
            <w:r w:rsidRPr="00D92E2D">
              <w:t>Life and Environmental Sciences (LES), Health (Medicine)</w:t>
            </w:r>
          </w:p>
        </w:tc>
        <w:tc>
          <w:tcPr>
            <w:tcW w:w="1787" w:type="dxa"/>
            <w:tcBorders>
              <w:bottom w:val="single" w:sz="12" w:space="0" w:color="002776"/>
            </w:tcBorders>
            <w:noWrap/>
          </w:tcPr>
          <w:p w:rsidR="001A5590" w:rsidRPr="00D92E2D" w:rsidRDefault="001A5590" w:rsidP="00DA1A88">
            <w:pPr>
              <w:pStyle w:val="TabletextLeft"/>
            </w:pPr>
            <w:r w:rsidRPr="00D92E2D">
              <w:t>$5- 10k</w:t>
            </w:r>
          </w:p>
        </w:tc>
      </w:tr>
    </w:tbl>
    <w:p w:rsidR="00022D5C" w:rsidRPr="00022D5C" w:rsidRDefault="00A23AF9" w:rsidP="00DA1A88">
      <w:pPr>
        <w:pStyle w:val="Source"/>
      </w:pPr>
      <w:r>
        <w:t>*</w:t>
      </w:r>
      <w:r w:rsidR="00022D5C">
        <w:t>I</w:t>
      </w:r>
      <w:r w:rsidR="00022D5C" w:rsidRPr="00022D5C">
        <w:t>T</w:t>
      </w:r>
      <w:r>
        <w:t xml:space="preserve">RI:  Institute for Technology </w:t>
      </w:r>
      <w:r w:rsidR="00022D5C" w:rsidRPr="00022D5C">
        <w:t>Research</w:t>
      </w:r>
      <w:r>
        <w:t xml:space="preserve"> and</w:t>
      </w:r>
      <w:r w:rsidR="00022D5C" w:rsidRPr="00022D5C">
        <w:t xml:space="preserve"> Innovation</w:t>
      </w:r>
    </w:p>
    <w:p w:rsidR="00A23AF9" w:rsidRPr="00481593" w:rsidRDefault="001A5590" w:rsidP="00481593">
      <w:pPr>
        <w:pStyle w:val="BodyText"/>
      </w:pPr>
      <w:r w:rsidRPr="00481593">
        <w:t xml:space="preserve">Although there is a gap in funding, it does not necessarily affect the type of projects going ahead, this is generally dependent on the research project and the scope is limited by the availability of internal and external funding which cannot be generalised on a discipline level.  Whether or not a research project proceeds is determined by research interest, not necessarily cost.  However, funding does influence student satisfaction.  Students report they are happy with the supervisors, but unhappy with the general support of the projects </w:t>
      </w:r>
    </w:p>
    <w:p w:rsidR="001A5590" w:rsidRPr="00481593" w:rsidRDefault="001A5590" w:rsidP="00481593">
      <w:pPr>
        <w:pStyle w:val="BodyText"/>
      </w:pPr>
      <w:r w:rsidRPr="00481593">
        <w:lastRenderedPageBreak/>
        <w:t>through the university.    Physical space is a real problem especially because a number of areas are close to saturation.</w:t>
      </w:r>
    </w:p>
    <w:p w:rsidR="001A5590" w:rsidRPr="00594103" w:rsidRDefault="001A5590" w:rsidP="0008028A">
      <w:pPr>
        <w:pStyle w:val="Heading2Appendix"/>
      </w:pPr>
      <w:bookmarkStart w:id="210" w:name="_Toc298324980"/>
      <w:r w:rsidRPr="00594103">
        <w:t>University B</w:t>
      </w:r>
      <w:bookmarkEnd w:id="210"/>
    </w:p>
    <w:p w:rsidR="001A5590" w:rsidRDefault="001A5590" w:rsidP="0008028A">
      <w:pPr>
        <w:pStyle w:val="Heading3Appendix"/>
      </w:pPr>
      <w:r>
        <w:t>Data used in their response to the survey:</w:t>
      </w:r>
    </w:p>
    <w:p w:rsidR="001A5590" w:rsidRPr="00481593" w:rsidRDefault="001A5590" w:rsidP="00481593">
      <w:pPr>
        <w:pStyle w:val="BodyText"/>
      </w:pPr>
      <w:r w:rsidRPr="00481593">
        <w:t>Normally, costs are split into teaching, research and research training cost with an algorithm used to allocate research training costs. Costs which could be linked to schools were counted as direct costs and costs outside the schools were indirect costs.  University B also performed internal surveying to determine the costs generated by HDR students, a percentage was then applied to determine the costs of RTS students.  SRE data was used to determine time spent by academics supervising HDR students.</w:t>
      </w:r>
    </w:p>
    <w:p w:rsidR="001A5590" w:rsidRDefault="001A5590" w:rsidP="0008028A">
      <w:pPr>
        <w:pStyle w:val="Heading3Appendix"/>
      </w:pPr>
      <w:r>
        <w:t>Average research training cost:</w:t>
      </w:r>
    </w:p>
    <w:p w:rsidR="001A5590" w:rsidRPr="00481593" w:rsidRDefault="001A5590" w:rsidP="00481593">
      <w:pPr>
        <w:pStyle w:val="BodyText"/>
      </w:pPr>
      <w:r w:rsidRPr="00481593">
        <w:t xml:space="preserve">The average direct cost of a HDR student (excluding academic supervision) is $5,160.  This is made up of a $3,000 per student discretionary spending budget across multiple disciplines and $2,160 per student for consumables and local support (linear average of all students within a school- undergraduate and postgraduate). </w:t>
      </w:r>
    </w:p>
    <w:p w:rsidR="001A5590" w:rsidRPr="00481593" w:rsidRDefault="001A5590" w:rsidP="00481593">
      <w:pPr>
        <w:pStyle w:val="BodyText"/>
      </w:pPr>
      <w:r w:rsidRPr="00481593">
        <w:t xml:space="preserve"> Costs are often project specific rather than discipline specific, however, university B has developed cost weightings for disciplines from their activity based costing model.  The lowest weighting of 0.21 is for marketing, banking/finance and industrial engineering, bringing annual costs per HDR student to $1,084.  The highest weighting applied is 2.15 for organisation management and brings the cost to $11,094.   </w:t>
      </w:r>
    </w:p>
    <w:p w:rsidR="001A5590" w:rsidRDefault="001A5590" w:rsidP="0008028A">
      <w:pPr>
        <w:pStyle w:val="Heading3Appendix"/>
      </w:pPr>
      <w:r>
        <w:t>Difficulty in calculating research training cost:</w:t>
      </w:r>
    </w:p>
    <w:p w:rsidR="001A5590" w:rsidRPr="00481593" w:rsidRDefault="001A5590" w:rsidP="00481593">
      <w:pPr>
        <w:pStyle w:val="BodyText"/>
      </w:pPr>
      <w:r w:rsidRPr="00481593">
        <w:t xml:space="preserve">Costs are not often known up-front and the preparation of a business case for each research project would be administratively prohibitive.  The number of consumables is probably a good cost driver to base the calculation of research training costs but this is difficult to measure before a project starts.  University B’s real funding has not changed over the last 3 years- the university divides up the money depending on what students want to do therefore individually allocating money rather than allocating an average amount per student. </w:t>
      </w:r>
    </w:p>
    <w:p w:rsidR="001A5590" w:rsidRDefault="001A5590" w:rsidP="0008028A">
      <w:pPr>
        <w:pStyle w:val="Heading3Appendix"/>
      </w:pPr>
      <w:r>
        <w:t>Funding is historically based which is problematic:</w:t>
      </w:r>
    </w:p>
    <w:p w:rsidR="001A5590" w:rsidRPr="00481593" w:rsidRDefault="001A5590" w:rsidP="00481593">
      <w:pPr>
        <w:pStyle w:val="BodyText"/>
      </w:pPr>
      <w:r w:rsidRPr="00481593">
        <w:t xml:space="preserve">A very broad range of disciplines are offered by University B, however, popular disciplines may change in the future whereas funding is typically historically based.  This means that disciplines that are in high demand now (and have good students) may not receive sufficient resources, while others receive funding (based on completions) but struggle to find students.  </w:t>
      </w:r>
    </w:p>
    <w:p w:rsidR="001A5590" w:rsidRPr="00481593" w:rsidRDefault="001A5590" w:rsidP="00481593">
      <w:pPr>
        <w:pStyle w:val="BodyText"/>
      </w:pPr>
      <w:r w:rsidRPr="00481593">
        <w:t xml:space="preserve">A funding model based on disciplines should have new weights assigned to disciplines regularly and structured into low medium and high cost. Alternatively, base funding plus an additional load could be considered. </w:t>
      </w:r>
    </w:p>
    <w:p w:rsidR="001A5590" w:rsidRPr="002939B3" w:rsidRDefault="001A5590" w:rsidP="002939B3">
      <w:pPr>
        <w:pStyle w:val="BodyText"/>
      </w:pPr>
    </w:p>
    <w:p w:rsidR="001A5590" w:rsidRPr="002939B3" w:rsidRDefault="001A5590" w:rsidP="002939B3">
      <w:pPr>
        <w:pStyle w:val="BodyText"/>
      </w:pPr>
    </w:p>
    <w:p w:rsidR="001A5590" w:rsidRPr="00722DE1" w:rsidRDefault="001A5590" w:rsidP="0008028A">
      <w:pPr>
        <w:pStyle w:val="Heading2Appendix"/>
      </w:pPr>
      <w:bookmarkStart w:id="211" w:name="_Toc298324981"/>
      <w:r w:rsidRPr="00722DE1">
        <w:t>University C</w:t>
      </w:r>
      <w:bookmarkEnd w:id="211"/>
    </w:p>
    <w:p w:rsidR="001A5590" w:rsidRDefault="001A5590" w:rsidP="0008028A">
      <w:pPr>
        <w:pStyle w:val="Heading3Appendix"/>
      </w:pPr>
      <w:r>
        <w:t>Data used in their response to the survey:</w:t>
      </w:r>
    </w:p>
    <w:p w:rsidR="0008028A" w:rsidRDefault="001A5590" w:rsidP="0008028A">
      <w:pPr>
        <w:pStyle w:val="BodyText"/>
      </w:pPr>
      <w:r w:rsidRPr="00481593">
        <w:t xml:space="preserve">University C had cost data at the school or project level, however, only had time to provide data a faculty level, and hence was not able to supply discipline specific cost data.  In their survey response, university C based supervisor salary information on data gathered during the SRE survey.  They adjusted this to reflect the fact that not all the time supervisors spend on research training is just on RTS candidates. </w:t>
      </w:r>
    </w:p>
    <w:p w:rsidR="001A5590" w:rsidRPr="00931C40" w:rsidRDefault="001A5590" w:rsidP="0008028A">
      <w:pPr>
        <w:pStyle w:val="BodyText"/>
      </w:pPr>
      <w:r w:rsidRPr="00931C40">
        <w:t>University C raised concerns that the time spent on research training captured during the SRE survey, may not have been a fair representation of the true amount of time spent on research training</w:t>
      </w:r>
      <w:r>
        <w:t>. They point out that</w:t>
      </w:r>
      <w:r w:rsidRPr="00931C40">
        <w:t xml:space="preserve"> SRE collected data on Australian Competitive Grant (ACG) research time, while other research, whether it is research training or research other, was not the focus. They also believe that any future Full Cost of Research Training Exercise should consider carefully the use of survey data and perhaps collaborate with the SRE team at DIISR to design a survey that enables the capture of robust data for both purposes.</w:t>
      </w:r>
    </w:p>
    <w:p w:rsidR="001A5590" w:rsidRPr="00481593" w:rsidRDefault="001A5590" w:rsidP="00481593">
      <w:pPr>
        <w:pStyle w:val="BodyText"/>
      </w:pPr>
      <w:r w:rsidRPr="00481593">
        <w:t xml:space="preserve">University C also questioned how to account for students who are technically no longer enrolled, for example, those who have already handed in their thesis, but still require examiners and assistance from supervisors.  This highlights the point that universities possibly handled data regarding enrolments and EFTSL differently in their survey responses.  </w:t>
      </w:r>
    </w:p>
    <w:p w:rsidR="001A5590" w:rsidRPr="00481593" w:rsidRDefault="001A5590" w:rsidP="00481593">
      <w:pPr>
        <w:pStyle w:val="BodyText"/>
      </w:pPr>
      <w:r w:rsidRPr="00481593">
        <w:t>University C suggested that money spent on scholarships should have been included as a cost in the survey as they are crucial to supporting research students and ultimately a research workforce.</w:t>
      </w:r>
    </w:p>
    <w:p w:rsidR="001A5590" w:rsidRPr="002939B3" w:rsidRDefault="001A5590" w:rsidP="0008028A">
      <w:pPr>
        <w:pStyle w:val="Heading3Appendix"/>
      </w:pPr>
      <w:r w:rsidRPr="002939B3">
        <w:t>How the funding model could be improved:</w:t>
      </w:r>
    </w:p>
    <w:p w:rsidR="001A5590" w:rsidRPr="00931C40" w:rsidRDefault="001A5590" w:rsidP="002939B3">
      <w:pPr>
        <w:pStyle w:val="BodyText"/>
      </w:pPr>
      <w:r w:rsidRPr="00931C40">
        <w:t xml:space="preserve">University C believes the funding model needs to be revised to provide an overall and significant increase of funding to support the training needs of all research candidates regardless of discipline. This could </w:t>
      </w:r>
      <w:r>
        <w:t>consist of</w:t>
      </w:r>
      <w:r w:rsidRPr="00931C40">
        <w:t xml:space="preserve"> a new base level cost sufficient to meet the resource requirements of research candidates that are common across all disciplines. However, it is critical that any new base level applied is not simply an average of the high cost and low cost in the current model as this type of readjustment would not have the desired outcome of ensuring that all candidates were provided equivalent access to resources. Additionally, recognition of the need for a loading to meet infrastructure requirements for higher cost technical disciplines is essential.</w:t>
      </w:r>
    </w:p>
    <w:p w:rsidR="001A5590" w:rsidRPr="00B604C9" w:rsidRDefault="001A5590" w:rsidP="002939B3">
      <w:pPr>
        <w:pStyle w:val="BodyText"/>
      </w:pPr>
      <w:r w:rsidRPr="00931C40">
        <w:t>It would be preferable to maintain the (albeit unsatisfactory) high cost/low cost support paradigm, than to apply a single figure near the middle of the two. The latter would be a significant disincentive for training of candidates in higher cost technical disciplines and would disadvantage universities operating in research intensive technical disciplines</w:t>
      </w:r>
      <w:r>
        <w:t>.</w:t>
      </w:r>
    </w:p>
    <w:p w:rsidR="001A5590" w:rsidRPr="00481593" w:rsidRDefault="001A5590" w:rsidP="002939B3">
      <w:pPr>
        <w:pStyle w:val="BodyText"/>
      </w:pPr>
    </w:p>
    <w:p w:rsidR="001A5590" w:rsidRPr="0001545C" w:rsidRDefault="001A5590" w:rsidP="0008028A">
      <w:pPr>
        <w:pStyle w:val="Heading1Heading"/>
      </w:pPr>
      <w:r w:rsidRPr="00FD179B">
        <w:br w:type="page"/>
      </w:r>
      <w:bookmarkStart w:id="212" w:name="_Toc298324982"/>
      <w:r w:rsidRPr="0001545C">
        <w:lastRenderedPageBreak/>
        <w:t>Limitation of our work</w:t>
      </w:r>
      <w:bookmarkEnd w:id="205"/>
      <w:bookmarkEnd w:id="206"/>
      <w:bookmarkEnd w:id="212"/>
    </w:p>
    <w:p w:rsidR="001A5590" w:rsidRPr="006345F9" w:rsidRDefault="001A5590" w:rsidP="0008028A">
      <w:pPr>
        <w:pStyle w:val="Heading2Appendix"/>
      </w:pPr>
      <w:r w:rsidRPr="006345F9">
        <w:t>General use restriction</w:t>
      </w:r>
    </w:p>
    <w:p w:rsidR="001A5590" w:rsidRDefault="001A5590" w:rsidP="003E6AB8">
      <w:pPr>
        <w:pStyle w:val="BodyText"/>
      </w:pPr>
      <w:r w:rsidRPr="006345F9">
        <w:t xml:space="preserve">This report is prepared solely for the internal </w:t>
      </w:r>
      <w:r w:rsidRPr="009D4F2C">
        <w:t xml:space="preserve">use of </w:t>
      </w:r>
      <w:r>
        <w:t>DIISR and the Technical Working Group</w:t>
      </w:r>
      <w:r w:rsidRPr="006345F9">
        <w:t>.  This report is not intended to and should no</w:t>
      </w:r>
      <w:r>
        <w:t>t</w:t>
      </w:r>
      <w:r w:rsidRPr="006345F9">
        <w:t xml:space="preserve"> be used or relied upon by anyone else and we accept no duty of care to any other person or entity.  The report has been prepared for the </w:t>
      </w:r>
      <w:r w:rsidRPr="004A488C">
        <w:t>purpose of examining the costs to universities of providing research training places under the Research Training Scheme (RTS).  You</w:t>
      </w:r>
      <w:r w:rsidRPr="006345F9">
        <w:t xml:space="preserve"> should not refer to or use our name or the advice for any other purpose.</w:t>
      </w:r>
    </w:p>
    <w:p w:rsidR="001A5590" w:rsidRDefault="001A5590" w:rsidP="003E6AB8">
      <w:pPr>
        <w:pStyle w:val="BodyText"/>
      </w:pPr>
    </w:p>
    <w:p w:rsidR="003E6AB8" w:rsidRDefault="003E6AB8" w:rsidP="003E6AB8">
      <w:pPr>
        <w:pStyle w:val="BodyText"/>
      </w:pPr>
    </w:p>
    <w:p w:rsidR="003E6AB8" w:rsidRPr="00E36EB2" w:rsidRDefault="003E6AB8" w:rsidP="003E6AB8">
      <w:pPr>
        <w:pStyle w:val="BodyText"/>
        <w:sectPr w:rsidR="003E6AB8" w:rsidRPr="00E36EB2" w:rsidSect="00931813">
          <w:headerReference w:type="even" r:id="rId56"/>
          <w:headerReference w:type="default" r:id="rId57"/>
          <w:footerReference w:type="even" r:id="rId58"/>
          <w:footerReference w:type="default" r:id="rId59"/>
          <w:headerReference w:type="first" r:id="rId60"/>
          <w:footerReference w:type="first" r:id="rId61"/>
          <w:pgSz w:w="11907" w:h="16840" w:code="9"/>
          <w:pgMar w:top="2268" w:right="1134" w:bottom="1134" w:left="2552" w:header="567" w:footer="567" w:gutter="0"/>
          <w:cols w:space="708"/>
          <w:titlePg/>
          <w:docGrid w:linePitch="360"/>
        </w:sectPr>
      </w:pPr>
    </w:p>
    <w:p w:rsidR="001A5590" w:rsidRPr="00481593" w:rsidRDefault="001A5590" w:rsidP="00481593">
      <w:pPr>
        <w:pStyle w:val="BodyText"/>
      </w:pPr>
    </w:p>
    <w:p w:rsidR="001A5590" w:rsidRPr="00C34D8E" w:rsidRDefault="001A5590" w:rsidP="00C70073">
      <w:pPr>
        <w:pStyle w:val="Addendumheading"/>
      </w:pPr>
      <w:r w:rsidRPr="00C34D8E">
        <w:t>Contact us</w:t>
      </w:r>
    </w:p>
    <w:p w:rsidR="001A5590" w:rsidRDefault="001A5590" w:rsidP="00C70073">
      <w:pPr>
        <w:pStyle w:val="Addendumtext"/>
      </w:pPr>
      <w:r w:rsidRPr="00C34D8E">
        <w:t>Deloitte Access Economics</w:t>
      </w:r>
      <w:r>
        <w:br/>
        <w:t>ACN: 49 633 116</w:t>
      </w:r>
      <w:r w:rsidRPr="00C34D8E">
        <w:br/>
      </w:r>
      <w:r w:rsidRPr="00C34D8E">
        <w:br/>
        <w:t xml:space="preserve">Level </w:t>
      </w:r>
      <w:smartTag w:uri="urn:schemas-microsoft-com:office:smarttags" w:element="place">
        <w:r w:rsidRPr="00C34D8E">
          <w:t>1</w:t>
        </w:r>
        <w:r w:rsidRPr="00C34D8E">
          <w:br/>
          <w:t>9 Sydney Avenue</w:t>
        </w:r>
      </w:smartTag>
      <w:r w:rsidRPr="00C34D8E">
        <w:br/>
        <w:t xml:space="preserve">Barton   ACT   </w:t>
      </w:r>
      <w:smartTag w:uri="urn:schemas-microsoft-com:office:smarttags" w:element="place">
        <w:r w:rsidRPr="00C34D8E">
          <w:t>2600</w:t>
        </w:r>
        <w:r w:rsidRPr="00C34D8E">
          <w:br/>
          <w:t>PO Box 6334</w:t>
        </w:r>
      </w:smartTag>
      <w:r w:rsidRPr="00C34D8E">
        <w:br/>
      </w:r>
      <w:smartTag w:uri="urn:schemas-microsoft-com:office:smarttags" w:element="place">
        <w:r w:rsidRPr="00C34D8E">
          <w:t>Kingston</w:t>
        </w:r>
      </w:smartTag>
      <w:r w:rsidRPr="00C34D8E">
        <w:t xml:space="preserve">   ACT   2604 </w:t>
      </w:r>
      <w:smartTag w:uri="urn:schemas-microsoft-com:office:smarttags" w:element="place">
        <w:r w:rsidRPr="00C34D8E">
          <w:t>Australia</w:t>
        </w:r>
      </w:smartTag>
      <w:r w:rsidRPr="00C34D8E">
        <w:br/>
      </w:r>
      <w:r w:rsidRPr="00C34D8E">
        <w:br/>
        <w:t>Tel: +61 2 6175 2000</w:t>
      </w:r>
      <w:r w:rsidRPr="00C34D8E">
        <w:br/>
        <w:t>Fax: +61 2 6175 2001</w:t>
      </w:r>
    </w:p>
    <w:p w:rsidR="001A5590" w:rsidRDefault="00C70073" w:rsidP="00C70073">
      <w:pPr>
        <w:pStyle w:val="Addendumtext"/>
      </w:pPr>
      <w:hyperlink r:id="rId62" w:history="1">
        <w:r w:rsidRPr="008631B5">
          <w:rPr>
            <w:rStyle w:val="Hyperlink"/>
          </w:rPr>
          <w:t>http://www.deloitte.com/au/economics</w:t>
        </w:r>
      </w:hyperlink>
      <w:r>
        <w:t xml:space="preserve"> </w:t>
      </w:r>
      <w:r w:rsidR="001A5590">
        <w:br/>
      </w:r>
    </w:p>
    <w:p w:rsidR="001A5590" w:rsidRPr="00C70073" w:rsidRDefault="001A5590" w:rsidP="00C70073">
      <w:pPr>
        <w:pStyle w:val="Addendumheading"/>
      </w:pPr>
      <w:r w:rsidRPr="00C877C1">
        <w:br w:type="column"/>
      </w:r>
      <w:r w:rsidRPr="00C70073">
        <w:lastRenderedPageBreak/>
        <w:t>About Deloitte</w:t>
      </w:r>
    </w:p>
    <w:p w:rsidR="001A5590" w:rsidRDefault="001A5590" w:rsidP="00DA1A88">
      <w:pPr>
        <w:pStyle w:val="Addendum"/>
      </w:pPr>
      <w:r w:rsidRPr="00440553">
        <w:t>Deloitte refers to one or more of Deloitte</w:t>
      </w:r>
      <w:r w:rsidR="00C70073">
        <w:t xml:space="preserve"> </w:t>
      </w:r>
      <w:r w:rsidRPr="00440553">
        <w:t xml:space="preserve">Touche Tohmatsu Limited, a </w:t>
      </w:r>
      <w:smartTag w:uri="urn:schemas-microsoft-com:office:smarttags" w:element="place">
        <w:r w:rsidRPr="00440553">
          <w:t>UK</w:t>
        </w:r>
      </w:smartTag>
      <w:r w:rsidRPr="00440553">
        <w:t xml:space="preserve"> private</w:t>
      </w:r>
      <w:r w:rsidR="00C70073">
        <w:t xml:space="preserve"> </w:t>
      </w:r>
      <w:r w:rsidRPr="00440553">
        <w:t>company limited by guarantee, and its</w:t>
      </w:r>
      <w:r w:rsidR="00C70073">
        <w:t xml:space="preserve"> </w:t>
      </w:r>
      <w:r w:rsidRPr="00440553">
        <w:t>network of member firms, each of which is a</w:t>
      </w:r>
      <w:r w:rsidR="00C70073">
        <w:t xml:space="preserve"> </w:t>
      </w:r>
      <w:r w:rsidRPr="00440553">
        <w:t>legally separate and independent entity.</w:t>
      </w:r>
      <w:r w:rsidR="00C70073">
        <w:t xml:space="preserve"> </w:t>
      </w:r>
      <w:r w:rsidRPr="00440553">
        <w:t xml:space="preserve">Please see </w:t>
      </w:r>
      <w:hyperlink r:id="rId63" w:history="1">
        <w:r w:rsidR="00C70073" w:rsidRPr="008631B5">
          <w:rPr>
            <w:rStyle w:val="Hyperlink"/>
          </w:rPr>
          <w:t>www.deloitte.com/au/about</w:t>
        </w:r>
      </w:hyperlink>
      <w:r w:rsidR="00C70073">
        <w:t xml:space="preserve"> </w:t>
      </w:r>
      <w:r w:rsidRPr="00440553">
        <w:t>for a</w:t>
      </w:r>
      <w:r w:rsidR="00C70073">
        <w:t xml:space="preserve"> </w:t>
      </w:r>
      <w:r w:rsidRPr="00440553">
        <w:t>detailed description of the legal structure of</w:t>
      </w:r>
      <w:r w:rsidR="00C70073">
        <w:t xml:space="preserve"> </w:t>
      </w:r>
      <w:r w:rsidRPr="00440553">
        <w:t>Deloitte Touche Tohmatsu Limited and its</w:t>
      </w:r>
      <w:r w:rsidR="00C70073">
        <w:t xml:space="preserve"> </w:t>
      </w:r>
      <w:r w:rsidRPr="00440553">
        <w:t>member firms.</w:t>
      </w:r>
    </w:p>
    <w:p w:rsidR="00C70073" w:rsidRPr="00440553" w:rsidRDefault="00C70073" w:rsidP="00DA1A88">
      <w:pPr>
        <w:pStyle w:val="Addendum"/>
      </w:pPr>
    </w:p>
    <w:p w:rsidR="001A5590" w:rsidRPr="00440553" w:rsidRDefault="001A5590" w:rsidP="00DA1A88">
      <w:pPr>
        <w:pStyle w:val="Addendum"/>
      </w:pPr>
      <w:r w:rsidRPr="00440553">
        <w:t>Deloitte provides audit, tax, consulting, and</w:t>
      </w:r>
      <w:r w:rsidR="00C70073">
        <w:t xml:space="preserve"> </w:t>
      </w:r>
      <w:r w:rsidRPr="00440553">
        <w:t>financial advisory services to public and</w:t>
      </w:r>
      <w:r w:rsidR="00C70073">
        <w:t xml:space="preserve"> </w:t>
      </w:r>
      <w:r w:rsidRPr="00440553">
        <w:t>private clients spanning multiple industries.</w:t>
      </w:r>
      <w:r w:rsidR="00C70073">
        <w:t xml:space="preserve"> </w:t>
      </w:r>
      <w:r w:rsidRPr="00440553">
        <w:t>With a globally connected network of</w:t>
      </w:r>
      <w:r w:rsidR="00C70073">
        <w:t xml:space="preserve"> </w:t>
      </w:r>
      <w:r w:rsidRPr="00440553">
        <w:t>member firms in more than 150 countries,</w:t>
      </w:r>
      <w:r w:rsidR="00C70073">
        <w:t xml:space="preserve"> </w:t>
      </w:r>
      <w:r w:rsidRPr="00440553">
        <w:t>Deloitte brings world-class capabilities and</w:t>
      </w:r>
      <w:r w:rsidR="00C70073">
        <w:t xml:space="preserve"> </w:t>
      </w:r>
      <w:r w:rsidRPr="00440553">
        <w:t>deep local expertise to help clients succeed</w:t>
      </w:r>
      <w:r w:rsidR="00C70073">
        <w:t xml:space="preserve"> </w:t>
      </w:r>
      <w:r w:rsidRPr="00440553">
        <w:t>wherever they operate. Deloitte's</w:t>
      </w:r>
      <w:r w:rsidR="00C70073">
        <w:t xml:space="preserve"> </w:t>
      </w:r>
      <w:r w:rsidRPr="00440553">
        <w:t>approximately 170,000 professionals are</w:t>
      </w:r>
    </w:p>
    <w:p w:rsidR="001A5590" w:rsidRPr="00440553" w:rsidRDefault="001A5590" w:rsidP="00DA1A88">
      <w:pPr>
        <w:pStyle w:val="Addendum"/>
      </w:pPr>
      <w:r w:rsidRPr="00440553">
        <w:t>committed to becoming the standard of</w:t>
      </w:r>
      <w:r>
        <w:t xml:space="preserve"> </w:t>
      </w:r>
      <w:r w:rsidRPr="00440553">
        <w:t>excellence</w:t>
      </w:r>
    </w:p>
    <w:p w:rsidR="001A5590" w:rsidRPr="00440553" w:rsidRDefault="001A5590" w:rsidP="00C70073">
      <w:pPr>
        <w:pStyle w:val="Addendumheading"/>
      </w:pPr>
      <w:r w:rsidRPr="00440553">
        <w:t xml:space="preserve">About Deloitte </w:t>
      </w:r>
      <w:smartTag w:uri="urn:schemas-microsoft-com:office:smarttags" w:element="place">
        <w:r w:rsidRPr="00440553">
          <w:t>Australia</w:t>
        </w:r>
      </w:smartTag>
    </w:p>
    <w:p w:rsidR="001A5590" w:rsidRPr="00440553" w:rsidRDefault="001A5590" w:rsidP="00DA1A88">
      <w:pPr>
        <w:pStyle w:val="Addendum"/>
      </w:pPr>
      <w:r w:rsidRPr="00440553">
        <w:t xml:space="preserve">In </w:t>
      </w:r>
      <w:smartTag w:uri="urn:schemas-microsoft-com:office:smarttags" w:element="place">
        <w:r w:rsidRPr="00440553">
          <w:t>Australia</w:t>
        </w:r>
      </w:smartTag>
      <w:r w:rsidRPr="00440553">
        <w:t>, the member firm is the</w:t>
      </w:r>
      <w:r w:rsidR="00C70073">
        <w:t xml:space="preserve"> </w:t>
      </w:r>
      <w:r w:rsidRPr="00440553">
        <w:t>Australian partnership of Deloitte Touche</w:t>
      </w:r>
      <w:r w:rsidR="00C70073">
        <w:t xml:space="preserve"> </w:t>
      </w:r>
      <w:r w:rsidRPr="00440553">
        <w:t xml:space="preserve">Tohmatsu. As one of </w:t>
      </w:r>
      <w:smartTag w:uri="urn:schemas-microsoft-com:office:smarttags" w:element="place">
        <w:r w:rsidRPr="00440553">
          <w:t>Australia</w:t>
        </w:r>
      </w:smartTag>
      <w:r w:rsidRPr="00440553">
        <w:t>’s leading</w:t>
      </w:r>
      <w:r w:rsidR="00C70073">
        <w:t xml:space="preserve"> </w:t>
      </w:r>
      <w:r w:rsidRPr="00440553">
        <w:t>professional services firms, Deloitte Touche</w:t>
      </w:r>
      <w:r w:rsidR="00C70073">
        <w:t xml:space="preserve"> </w:t>
      </w:r>
      <w:r w:rsidRPr="00440553">
        <w:t>Tohmatsu and its affiliates provide audit, tax,</w:t>
      </w:r>
      <w:r w:rsidR="00C70073">
        <w:t xml:space="preserve"> </w:t>
      </w:r>
      <w:r w:rsidRPr="00440553">
        <w:t>consulting, and financial advisory services</w:t>
      </w:r>
      <w:r w:rsidR="00C70073">
        <w:t xml:space="preserve"> </w:t>
      </w:r>
      <w:r w:rsidRPr="00440553">
        <w:t>through approximately 5,000 people across</w:t>
      </w:r>
      <w:r w:rsidR="00C70073">
        <w:t xml:space="preserve"> </w:t>
      </w:r>
      <w:r w:rsidRPr="00440553">
        <w:t>the country. Focused on the creation of value</w:t>
      </w:r>
      <w:r w:rsidR="00C70073">
        <w:t xml:space="preserve"> </w:t>
      </w:r>
      <w:r w:rsidRPr="00440553">
        <w:t>and growth, and known as an employer of</w:t>
      </w:r>
      <w:r w:rsidR="00C70073">
        <w:t xml:space="preserve"> </w:t>
      </w:r>
      <w:r w:rsidRPr="00440553">
        <w:t>choice for innovative human resources</w:t>
      </w:r>
      <w:r w:rsidR="00C70073">
        <w:t xml:space="preserve"> </w:t>
      </w:r>
      <w:r w:rsidRPr="00440553">
        <w:t>programs, we are dedicated to helping our</w:t>
      </w:r>
      <w:r w:rsidR="00C70073">
        <w:t xml:space="preserve"> </w:t>
      </w:r>
      <w:r w:rsidRPr="00440553">
        <w:t>clients and our people excel. For more</w:t>
      </w:r>
      <w:r w:rsidR="00C70073">
        <w:t xml:space="preserve"> </w:t>
      </w:r>
      <w:r w:rsidRPr="00440553">
        <w:t>information, please visit Deloitte’s web site at</w:t>
      </w:r>
      <w:r w:rsidR="00C70073">
        <w:t xml:space="preserve"> </w:t>
      </w:r>
      <w:hyperlink r:id="rId64" w:history="1">
        <w:r w:rsidR="00C70073" w:rsidRPr="008631B5">
          <w:rPr>
            <w:rStyle w:val="Hyperlink"/>
          </w:rPr>
          <w:t>www.deloitte.com.au</w:t>
        </w:r>
      </w:hyperlink>
      <w:r w:rsidR="00C70073">
        <w:t xml:space="preserve">. </w:t>
      </w:r>
    </w:p>
    <w:p w:rsidR="001A5590" w:rsidRPr="00440553" w:rsidRDefault="001A5590" w:rsidP="00DA1A88">
      <w:pPr>
        <w:pStyle w:val="Addendum"/>
      </w:pPr>
      <w:r w:rsidRPr="00440553">
        <w:t xml:space="preserve">Deloitte Access Economics is </w:t>
      </w:r>
      <w:smartTag w:uri="urn:schemas-microsoft-com:office:smarttags" w:element="place">
        <w:r w:rsidRPr="00440553">
          <w:t>Australia</w:t>
        </w:r>
      </w:smartTag>
      <w:r w:rsidRPr="00440553">
        <w:t>’s</w:t>
      </w:r>
      <w:r>
        <w:t xml:space="preserve"> pre-e</w:t>
      </w:r>
      <w:r w:rsidRPr="00440553">
        <w:t>minent</w:t>
      </w:r>
      <w:r>
        <w:t xml:space="preserve"> </w:t>
      </w:r>
      <w:r w:rsidRPr="00440553">
        <w:t>economics advisory practice and a</w:t>
      </w:r>
      <w:r w:rsidR="00C70073">
        <w:t xml:space="preserve"> </w:t>
      </w:r>
      <w:r w:rsidRPr="00440553">
        <w:t>member of Deloitte's global economics</w:t>
      </w:r>
      <w:r w:rsidR="00C70073">
        <w:t xml:space="preserve"> </w:t>
      </w:r>
      <w:r w:rsidRPr="00440553">
        <w:t>group. The Directors and staff of Access</w:t>
      </w:r>
      <w:r>
        <w:t xml:space="preserve">  </w:t>
      </w:r>
      <w:r w:rsidRPr="00440553">
        <w:t>Economics joined Deloitte in early 2011.</w:t>
      </w:r>
    </w:p>
    <w:p w:rsidR="00DA1A88" w:rsidRDefault="00DA1A88" w:rsidP="00DA1A88">
      <w:pPr>
        <w:pStyle w:val="Addendum"/>
      </w:pPr>
    </w:p>
    <w:p w:rsidR="00DA1A88" w:rsidRDefault="001A5590" w:rsidP="00DA1A88">
      <w:pPr>
        <w:pStyle w:val="Addendum"/>
      </w:pPr>
      <w:r w:rsidRPr="00440553">
        <w:t>Liability limited by a scheme approved under Professional Standards Legislation.</w:t>
      </w:r>
    </w:p>
    <w:p w:rsidR="00DA1A88" w:rsidRDefault="00DA1A88" w:rsidP="00DA1A88">
      <w:pPr>
        <w:pStyle w:val="Addendum"/>
      </w:pPr>
    </w:p>
    <w:p w:rsidR="001A5590" w:rsidRPr="00440553" w:rsidRDefault="001A5590" w:rsidP="00DA1A88">
      <w:pPr>
        <w:pStyle w:val="Addendum"/>
      </w:pPr>
      <w:r w:rsidRPr="00440553">
        <w:t>Member of Deloitte Touche Tohmatsu Limited</w:t>
      </w:r>
    </w:p>
    <w:p w:rsidR="00DA1A88" w:rsidRDefault="00DA1A88" w:rsidP="00DA1A88">
      <w:pPr>
        <w:pStyle w:val="Addendum"/>
      </w:pPr>
    </w:p>
    <w:p w:rsidR="001A5590" w:rsidRPr="00440553" w:rsidRDefault="001A5590" w:rsidP="00DA1A88">
      <w:pPr>
        <w:pStyle w:val="Addendum"/>
      </w:pPr>
      <w:r w:rsidRPr="00440553">
        <w:t xml:space="preserve">© </w:t>
      </w:r>
      <w:r w:rsidRPr="00440553">
        <w:rPr>
          <w:noProof/>
        </w:rPr>
        <w:t>2011</w:t>
      </w:r>
      <w:r w:rsidRPr="00440553">
        <w:t xml:space="preserve"> Deloitte Access Economics Pty Ltd</w:t>
      </w:r>
    </w:p>
    <w:p w:rsidR="001A5590" w:rsidRPr="00C537EC" w:rsidRDefault="001A5590" w:rsidP="00DA1A88">
      <w:pPr>
        <w:pStyle w:val="Addendum"/>
      </w:pPr>
    </w:p>
    <w:p w:rsidR="001A5590" w:rsidRPr="00C537EC" w:rsidRDefault="001A5590" w:rsidP="00DA1A88">
      <w:pPr>
        <w:pStyle w:val="Addendum"/>
      </w:pPr>
    </w:p>
    <w:sectPr w:rsidR="001A5590" w:rsidRPr="00C537EC" w:rsidSect="006B29A4">
      <w:headerReference w:type="even" r:id="rId65"/>
      <w:headerReference w:type="default" r:id="rId66"/>
      <w:footerReference w:type="default" r:id="rId67"/>
      <w:headerReference w:type="first" r:id="rId68"/>
      <w:pgSz w:w="11906" w:h="16838" w:code="9"/>
      <w:pgMar w:top="2268" w:right="1134" w:bottom="1134" w:left="2552" w:header="720" w:footer="720"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674" w:rsidRDefault="003E3674" w:rsidP="00680968">
      <w:pPr>
        <w:pStyle w:val="Tabletotals"/>
      </w:pPr>
      <w:r>
        <w:separator/>
      </w:r>
    </w:p>
  </w:endnote>
  <w:endnote w:type="continuationSeparator" w:id="0">
    <w:p w:rsidR="003E3674" w:rsidRDefault="003E3674" w:rsidP="00680968">
      <w:pPr>
        <w:pStyle w:val="Tabletotal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wis721 Md BT">
    <w:altName w:val="Arial"/>
    <w:panose1 w:val="00000000000000000000"/>
    <w:charset w:val="00"/>
    <w:family w:val="swiss"/>
    <w:notTrueType/>
    <w:pitch w:val="variable"/>
    <w:sig w:usb0="00000003" w:usb1="00000000" w:usb2="00000000" w:usb3="00000000" w:csb0="00000001" w:csb1="00000000"/>
  </w:font>
  <w:font w:name="Swis721 LtCn BT">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74" w:rsidRPr="00BC105C" w:rsidRDefault="003E3674" w:rsidP="00BC105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74" w:rsidRPr="006345F9" w:rsidRDefault="003E3674" w:rsidP="00FF3042">
    <w:pPr>
      <w:pStyle w:val="Footer"/>
      <w:tabs>
        <w:tab w:val="clear" w:pos="4513"/>
        <w:tab w:val="clear" w:pos="9026"/>
        <w:tab w:val="left" w:pos="3255"/>
      </w:tabs>
      <w:jc w:val="right"/>
    </w:pPr>
    <w:r w:rsidRPr="00FF3042">
      <w:rPr>
        <w:sz w:val="18"/>
      </w:rPr>
      <w:fldChar w:fldCharType="begin"/>
    </w:r>
    <w:r w:rsidRPr="00FF3042">
      <w:rPr>
        <w:sz w:val="18"/>
      </w:rPr>
      <w:instrText xml:space="preserve"> PAGE   \* MERGEFORMAT </w:instrText>
    </w:r>
    <w:r w:rsidRPr="00FF3042">
      <w:rPr>
        <w:sz w:val="18"/>
      </w:rPr>
      <w:fldChar w:fldCharType="separate"/>
    </w:r>
    <w:r w:rsidR="00DD6724">
      <w:rPr>
        <w:noProof/>
        <w:sz w:val="18"/>
      </w:rPr>
      <w:t>56</w:t>
    </w:r>
    <w:r w:rsidRPr="00FF3042">
      <w:rPr>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74" w:rsidRPr="006B29A4" w:rsidRDefault="003E3674" w:rsidP="006B29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74" w:rsidRPr="00644AF6" w:rsidRDefault="00DD6724" w:rsidP="00C22E9A">
    <w:pPr>
      <w:pStyle w:val="FooterLine1"/>
      <w:tabs>
        <w:tab w:val="left" w:pos="3969"/>
        <w:tab w:val="left" w:pos="8222"/>
      </w:tabs>
    </w:pPr>
    <w:r>
      <w:rPr>
        <w:noProof/>
        <w:lang w:eastAsia="en-AU"/>
      </w:rPr>
      <mc:AlternateContent>
        <mc:Choice Requires="wpg">
          <w:drawing>
            <wp:anchor distT="0" distB="0" distL="114300" distR="114300" simplePos="0" relativeHeight="251661312" behindDoc="0" locked="0" layoutInCell="1" allowOverlap="1">
              <wp:simplePos x="0" y="0"/>
              <wp:positionH relativeFrom="column">
                <wp:posOffset>-37465</wp:posOffset>
              </wp:positionH>
              <wp:positionV relativeFrom="paragraph">
                <wp:posOffset>-45085</wp:posOffset>
              </wp:positionV>
              <wp:extent cx="3873500" cy="253365"/>
              <wp:effectExtent l="635" t="2540" r="2540" b="127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00" cy="253365"/>
                        <a:chOff x="1833" y="15907"/>
                        <a:chExt cx="6100" cy="399"/>
                      </a:xfrm>
                    </wpg:grpSpPr>
                    <wps:wsp>
                      <wps:cNvPr id="7" name="Text Box 3"/>
                      <wps:cNvSpPr txBox="1">
                        <a:spLocks noChangeArrowheads="1"/>
                      </wps:cNvSpPr>
                      <wps:spPr bwMode="auto">
                        <a:xfrm>
                          <a:off x="1833" y="15907"/>
                          <a:ext cx="2305" cy="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3674" w:rsidRPr="00603DFA" w:rsidRDefault="003E3674" w:rsidP="00C22E9A">
                            <w:pPr>
                              <w:rPr>
                                <w:sz w:val="18"/>
                              </w:rPr>
                            </w:pPr>
                            <w:r w:rsidRPr="00603DFA">
                              <w:rPr>
                                <w:rFonts w:cs="Calibri"/>
                                <w:color w:val="002776"/>
                              </w:rPr>
                              <w:t>Deloitte</w:t>
                            </w:r>
                            <w:r w:rsidRPr="00603DFA">
                              <w:rPr>
                                <w:rFonts w:cs="Calibri"/>
                                <w:sz w:val="18"/>
                              </w:rPr>
                              <w:t xml:space="preserve"> </w:t>
                            </w:r>
                            <w:r w:rsidRPr="00603DFA">
                              <w:rPr>
                                <w:rFonts w:cs="Calibri"/>
                                <w:color w:val="827F77"/>
                                <w:sz w:val="18"/>
                              </w:rPr>
                              <w:t>Access Economics</w:t>
                            </w:r>
                          </w:p>
                        </w:txbxContent>
                      </wps:txbx>
                      <wps:bodyPr rot="0" vert="horz" wrap="square" lIns="91440" tIns="45720" rIns="91440" bIns="45720" anchor="t" anchorCtr="0" upright="1">
                        <a:noAutofit/>
                      </wps:bodyPr>
                    </wps:wsp>
                    <wps:wsp>
                      <wps:cNvPr id="8" name="Text Box 4"/>
                      <wps:cNvSpPr txBox="1">
                        <a:spLocks noChangeArrowheads="1"/>
                      </wps:cNvSpPr>
                      <wps:spPr bwMode="auto">
                        <a:xfrm>
                          <a:off x="5508" y="15908"/>
                          <a:ext cx="2425" cy="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3674" w:rsidRPr="00603DFA" w:rsidRDefault="003E3674" w:rsidP="00C22E9A">
                            <w:pPr>
                              <w:rPr>
                                <w:sz w:val="18"/>
                              </w:rPr>
                            </w:pPr>
                            <w:r w:rsidRPr="00603DFA">
                              <w:rPr>
                                <w:rFonts w:cs="Calibri"/>
                                <w:color w:val="002776"/>
                              </w:rPr>
                              <w:t>Commercial-in-confidence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50" style="position:absolute;left:0;text-align:left;margin-left:-2.95pt;margin-top:-3.55pt;width:305pt;height:19.95pt;z-index:251661312;mso-position-horizontal-relative:text;mso-position-vertical-relative:text" coordorigin="1833,15907" coordsize="6100,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">
              <v:shapetype id="_x0000_t202" coordsize="21600,21600" o:spt="202" path="m,l,21600r21600,l21600,xe">
                <v:stroke joinstyle="miter"/>
                <v:path gradientshapeok="t" o:connecttype="rect"/>
              </v:shapetype>
              <v:shape id="Text Box 3" o:spid="_x0000_s1051" type="#_x0000_t202" style="position:absolute;left:1833;top:15907;width:2305;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3E3674" w:rsidRPr="00603DFA" w:rsidRDefault="003E3674" w:rsidP="00C22E9A">
                      <w:pPr>
                        <w:rPr>
                          <w:sz w:val="18"/>
                        </w:rPr>
                      </w:pPr>
                      <w:r w:rsidRPr="00603DFA">
                        <w:rPr>
                          <w:rFonts w:cs="Calibri"/>
                          <w:color w:val="002776"/>
                        </w:rPr>
                        <w:t>Deloitte</w:t>
                      </w:r>
                      <w:r w:rsidRPr="00603DFA">
                        <w:rPr>
                          <w:rFonts w:cs="Calibri"/>
                          <w:sz w:val="18"/>
                        </w:rPr>
                        <w:t xml:space="preserve"> </w:t>
                      </w:r>
                      <w:r w:rsidRPr="00603DFA">
                        <w:rPr>
                          <w:rFonts w:cs="Calibri"/>
                          <w:color w:val="827F77"/>
                          <w:sz w:val="18"/>
                        </w:rPr>
                        <w:t>Access Economics</w:t>
                      </w:r>
                    </w:p>
                  </w:txbxContent>
                </v:textbox>
              </v:shape>
              <v:shape id="Text Box 4" o:spid="_x0000_s1052" type="#_x0000_t202" style="position:absolute;left:5508;top:15908;width:2425;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3E3674" w:rsidRPr="00603DFA" w:rsidRDefault="003E3674" w:rsidP="00C22E9A">
                      <w:pPr>
                        <w:rPr>
                          <w:sz w:val="18"/>
                        </w:rPr>
                      </w:pPr>
                      <w:r w:rsidRPr="00603DFA">
                        <w:rPr>
                          <w:rFonts w:cs="Calibri"/>
                          <w:color w:val="002776"/>
                        </w:rPr>
                        <w:t>Commercial-in-confidence</w:t>
                      </w:r>
                    </w:p>
                  </w:txbxContent>
                </v:textbox>
              </v:shap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74" w:rsidRPr="00644AF6" w:rsidRDefault="003E3674" w:rsidP="00BC105C">
    <w:pPr>
      <w:pStyle w:val="FooterLine1"/>
      <w:tabs>
        <w:tab w:val="left" w:pos="8222"/>
      </w:tabs>
      <w:jc w:val="left"/>
    </w:pPr>
    <w:r w:rsidRPr="00EA30B4">
      <w:rPr>
        <w:rFonts w:cs="Calibri"/>
        <w:color w:val="002776"/>
      </w:rPr>
      <w:t>Deloitte</w:t>
    </w:r>
    <w:r w:rsidRPr="00CB3984">
      <w:rPr>
        <w:rFonts w:cs="Calibri"/>
      </w:rPr>
      <w:t xml:space="preserve"> </w:t>
    </w:r>
    <w:r w:rsidRPr="0029312B">
      <w:rPr>
        <w:rFonts w:cs="Calibri"/>
        <w:color w:val="827F77"/>
      </w:rPr>
      <w:t>Access Economics</w:t>
    </w:r>
    <w:r>
      <w:tab/>
    </w:r>
    <w:r>
      <w:fldChar w:fldCharType="begin"/>
    </w:r>
    <w:r>
      <w:instrText xml:space="preserve"> PAGE   \* MERGEFORMAT </w:instrText>
    </w:r>
    <w:r>
      <w:fldChar w:fldCharType="separate"/>
    </w:r>
    <w:r w:rsidR="00DD6724">
      <w:rPr>
        <w:noProof/>
      </w:rPr>
      <w:t>51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74" w:rsidRPr="00FF3042" w:rsidRDefault="00DD6724" w:rsidP="00FF3042">
    <w:pPr>
      <w:pStyle w:val="Footer"/>
      <w:jc w:val="right"/>
      <w:rPr>
        <w:sz w:val="18"/>
        <w:lang w:eastAsia="en-AU"/>
      </w:rPr>
    </w:pPr>
    <w:r>
      <w:rPr>
        <w:noProof/>
        <w:lang w:eastAsia="en-AU"/>
      </w:rPr>
      <mc:AlternateContent>
        <mc:Choice Requires="wpg">
          <w:drawing>
            <wp:anchor distT="0" distB="0" distL="114300" distR="114300" simplePos="0" relativeHeight="251669504" behindDoc="0" locked="0" layoutInCell="1" allowOverlap="1">
              <wp:simplePos x="0" y="0"/>
              <wp:positionH relativeFrom="column">
                <wp:posOffset>114935</wp:posOffset>
              </wp:positionH>
              <wp:positionV relativeFrom="paragraph">
                <wp:posOffset>-36195</wp:posOffset>
              </wp:positionV>
              <wp:extent cx="3873500" cy="253365"/>
              <wp:effectExtent l="635" t="1905" r="2540" b="1905"/>
              <wp:wrapNone/>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00" cy="253365"/>
                        <a:chOff x="1833" y="15907"/>
                        <a:chExt cx="6100" cy="399"/>
                      </a:xfrm>
                    </wpg:grpSpPr>
                    <wps:wsp>
                      <wps:cNvPr id="4" name="Text Box 11"/>
                      <wps:cNvSpPr txBox="1">
                        <a:spLocks noChangeArrowheads="1"/>
                      </wps:cNvSpPr>
                      <wps:spPr bwMode="auto">
                        <a:xfrm>
                          <a:off x="1833" y="15907"/>
                          <a:ext cx="2305" cy="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3674" w:rsidRPr="00603DFA" w:rsidRDefault="003E3674" w:rsidP="00FF3042">
                            <w:pPr>
                              <w:rPr>
                                <w:sz w:val="18"/>
                              </w:rPr>
                            </w:pPr>
                            <w:r w:rsidRPr="00603DFA">
                              <w:rPr>
                                <w:rFonts w:cs="Calibri"/>
                                <w:color w:val="002776"/>
                                <w:sz w:val="18"/>
                              </w:rPr>
                              <w:t>Deloitte</w:t>
                            </w:r>
                            <w:r w:rsidRPr="00603DFA">
                              <w:rPr>
                                <w:rFonts w:cs="Calibri"/>
                                <w:sz w:val="18"/>
                              </w:rPr>
                              <w:t xml:space="preserve"> </w:t>
                            </w:r>
                            <w:r w:rsidRPr="00603DFA">
                              <w:rPr>
                                <w:rFonts w:cs="Calibri"/>
                                <w:color w:val="827F77"/>
                                <w:sz w:val="18"/>
                              </w:rPr>
                              <w:t>Access Economics</w:t>
                            </w:r>
                          </w:p>
                        </w:txbxContent>
                      </wps:txbx>
                      <wps:bodyPr rot="0" vert="horz" wrap="square" lIns="91440" tIns="45720" rIns="91440" bIns="45720" anchor="t" anchorCtr="0" upright="1">
                        <a:noAutofit/>
                      </wps:bodyPr>
                    </wps:wsp>
                    <wps:wsp>
                      <wps:cNvPr id="5" name="Text Box 12"/>
                      <wps:cNvSpPr txBox="1">
                        <a:spLocks noChangeArrowheads="1"/>
                      </wps:cNvSpPr>
                      <wps:spPr bwMode="auto">
                        <a:xfrm>
                          <a:off x="5508" y="15908"/>
                          <a:ext cx="2425" cy="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3674" w:rsidRPr="00603DFA" w:rsidRDefault="003E3674" w:rsidP="00FF3042">
                            <w:pPr>
                              <w:rPr>
                                <w:sz w:val="18"/>
                              </w:rPr>
                            </w:pPr>
                            <w:r w:rsidRPr="00603DFA">
                              <w:rPr>
                                <w:rFonts w:cs="Calibri"/>
                                <w:color w:val="002776"/>
                                <w:sz w:val="18"/>
                              </w:rPr>
                              <w:t>Commercial-in-confidence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53" style="position:absolute;left:0;text-align:left;margin-left:9.05pt;margin-top:-2.85pt;width:305pt;height:19.95pt;z-index:251669504;mso-position-horizontal-relative:text;mso-position-vertical-relative:text" coordorigin="1833,15907" coordsize="6100,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">
              <v:shapetype id="_x0000_t202" coordsize="21600,21600" o:spt="202" path="m,l,21600r21600,l21600,xe">
                <v:stroke joinstyle="miter"/>
                <v:path gradientshapeok="t" o:connecttype="rect"/>
              </v:shapetype>
              <v:shape id="Text Box 11" o:spid="_x0000_s1054" type="#_x0000_t202" style="position:absolute;left:1833;top:15907;width:2305;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3E3674" w:rsidRPr="00603DFA" w:rsidRDefault="003E3674" w:rsidP="00FF3042">
                      <w:pPr>
                        <w:rPr>
                          <w:sz w:val="18"/>
                        </w:rPr>
                      </w:pPr>
                      <w:r w:rsidRPr="00603DFA">
                        <w:rPr>
                          <w:rFonts w:cs="Calibri"/>
                          <w:color w:val="002776"/>
                          <w:sz w:val="18"/>
                        </w:rPr>
                        <w:t>Deloitte</w:t>
                      </w:r>
                      <w:r w:rsidRPr="00603DFA">
                        <w:rPr>
                          <w:rFonts w:cs="Calibri"/>
                          <w:sz w:val="18"/>
                        </w:rPr>
                        <w:t xml:space="preserve"> </w:t>
                      </w:r>
                      <w:r w:rsidRPr="00603DFA">
                        <w:rPr>
                          <w:rFonts w:cs="Calibri"/>
                          <w:color w:val="827F77"/>
                          <w:sz w:val="18"/>
                        </w:rPr>
                        <w:t>Access Economics</w:t>
                      </w:r>
                    </w:p>
                  </w:txbxContent>
                </v:textbox>
              </v:shape>
              <v:shape id="Text Box 12" o:spid="_x0000_s1055" type="#_x0000_t202" style="position:absolute;left:5508;top:15908;width:2425;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3E3674" w:rsidRPr="00603DFA" w:rsidRDefault="003E3674" w:rsidP="00FF3042">
                      <w:pPr>
                        <w:rPr>
                          <w:sz w:val="18"/>
                        </w:rPr>
                      </w:pPr>
                      <w:r w:rsidRPr="00603DFA">
                        <w:rPr>
                          <w:rFonts w:cs="Calibri"/>
                          <w:color w:val="002776"/>
                          <w:sz w:val="18"/>
                        </w:rPr>
                        <w:t>Commercial-in-confidence</w:t>
                      </w:r>
                    </w:p>
                  </w:txbxContent>
                </v:textbox>
              </v:shape>
            </v:group>
          </w:pict>
        </mc:Fallback>
      </mc:AlternateContent>
    </w:r>
    <w:r w:rsidR="003E3674" w:rsidRPr="00FF3042">
      <w:rPr>
        <w:sz w:val="18"/>
        <w:lang w:eastAsia="en-AU"/>
      </w:rPr>
      <w:fldChar w:fldCharType="begin"/>
    </w:r>
    <w:r w:rsidR="003E3674" w:rsidRPr="00FF3042">
      <w:rPr>
        <w:sz w:val="18"/>
        <w:lang w:eastAsia="en-AU"/>
      </w:rPr>
      <w:instrText xml:space="preserve"> PAGE   \* MERGEFORMAT </w:instrText>
    </w:r>
    <w:r w:rsidR="003E3674" w:rsidRPr="00FF3042">
      <w:rPr>
        <w:sz w:val="18"/>
        <w:lang w:eastAsia="en-AU"/>
      </w:rPr>
      <w:fldChar w:fldCharType="separate"/>
    </w:r>
    <w:r>
      <w:rPr>
        <w:noProof/>
        <w:sz w:val="18"/>
        <w:lang w:eastAsia="en-AU"/>
      </w:rPr>
      <w:t>1</w:t>
    </w:r>
    <w:r w:rsidR="003E3674" w:rsidRPr="00FF3042">
      <w:rPr>
        <w:sz w:val="18"/>
        <w:lang w:eastAsia="en-AU"/>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74" w:rsidRPr="00644AF6" w:rsidRDefault="003E3674" w:rsidP="00153E58">
    <w:pPr>
      <w:pStyle w:val="FooterLine1"/>
    </w:pPr>
    <w:r>
      <w:fldChar w:fldCharType="begin"/>
    </w:r>
    <w:r>
      <w:instrText xml:space="preserve"> PAGE   \* MERGEFORMAT </w:instrText>
    </w:r>
    <w:r>
      <w:fldChar w:fldCharType="separate"/>
    </w:r>
    <w:r>
      <w:rPr>
        <w:noProof/>
      </w:rPr>
      <w:t>58</w:t>
    </w:r>
    <w:r>
      <w:fldChar w:fldCharType="end"/>
    </w:r>
    <w:r w:rsidR="00DD6724">
      <w:rPr>
        <w:noProof/>
        <w:lang w:eastAsia="en-AU"/>
      </w:rPr>
      <mc:AlternateContent>
        <mc:Choice Requires="wps">
          <w:drawing>
            <wp:anchor distT="0" distB="0" distL="114300" distR="114300" simplePos="0" relativeHeight="251673600" behindDoc="0" locked="0" layoutInCell="1" allowOverlap="1">
              <wp:simplePos x="0" y="0"/>
              <wp:positionH relativeFrom="margin">
                <wp:posOffset>2115185</wp:posOffset>
              </wp:positionH>
              <wp:positionV relativeFrom="paragraph">
                <wp:posOffset>-88265</wp:posOffset>
              </wp:positionV>
              <wp:extent cx="3413125" cy="1080135"/>
              <wp:effectExtent l="635"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12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674" w:rsidRPr="00A210D1" w:rsidRDefault="003E3674" w:rsidP="0057520E">
                          <w:pPr>
                            <w:pStyle w:val="FooterSecurity"/>
                          </w:pPr>
                          <w:r w:rsidRPr="00A210D1">
                            <w:t>Commercial-in-</w:t>
                          </w:r>
                          <w:r w:rsidRPr="0057520E">
                            <w:t>Confidence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56" type="#_x0000_t202" style="position:absolute;left:0;text-align:left;margin-left:166.55pt;margin-top:-6.95pt;width:268.75pt;height:85.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" filled="f" stroked="f">
              <v:textbox style="mso-fit-shape-to-text:t">
                <w:txbxContent>
                  <w:p w:rsidR="003E3674" w:rsidRPr="00A210D1" w:rsidRDefault="003E3674" w:rsidP="0057520E">
                    <w:pPr>
                      <w:pStyle w:val="FooterSecurity"/>
                    </w:pPr>
                    <w:r w:rsidRPr="00A210D1">
                      <w:t>Commercial-in-</w:t>
                    </w:r>
                    <w:r w:rsidRPr="0057520E">
                      <w:t>Confidence</w:t>
                    </w:r>
                  </w:p>
                </w:txbxContent>
              </v:textbox>
              <w10:wrap anchorx="margin"/>
            </v:shape>
          </w:pict>
        </mc:Fallback>
      </mc:AlternateContent>
    </w:r>
    <w:r w:rsidR="00DD6724">
      <w:rPr>
        <w:noProof/>
        <w:lang w:eastAsia="en-AU"/>
      </w:rPr>
      <mc:AlternateContent>
        <mc:Choice Requires="wps">
          <w:drawing>
            <wp:anchor distT="0" distB="0" distL="114300" distR="114300" simplePos="0" relativeHeight="251674624" behindDoc="0" locked="0" layoutInCell="1" allowOverlap="1">
              <wp:simplePos x="0" y="0"/>
              <wp:positionH relativeFrom="column">
                <wp:posOffset>1262380</wp:posOffset>
              </wp:positionH>
              <wp:positionV relativeFrom="paragraph">
                <wp:posOffset>-69215</wp:posOffset>
              </wp:positionV>
              <wp:extent cx="7289800" cy="0"/>
              <wp:effectExtent l="5080" t="6985" r="10795" b="1206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9800" cy="0"/>
                      </a:xfrm>
                      <a:prstGeom prst="straightConnector1">
                        <a:avLst/>
                      </a:prstGeom>
                      <a:noFill/>
                      <a:ln w="9525">
                        <a:solidFill>
                          <a:srgbClr val="93163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99.4pt;margin-top:-5.45pt;width:57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" strokecolor="#931638"/>
          </w:pict>
        </mc:Fallback>
      </mc:AlternateContent>
    </w:r>
    <w:r w:rsidR="00DD6724">
      <w:rPr>
        <w:noProof/>
        <w:lang w:eastAsia="en-AU"/>
      </w:rPr>
      <w:drawing>
        <wp:anchor distT="0" distB="0" distL="114300" distR="114300" simplePos="0" relativeHeight="251675648" behindDoc="0" locked="0" layoutInCell="1" allowOverlap="1">
          <wp:simplePos x="0" y="0"/>
          <wp:positionH relativeFrom="column">
            <wp:posOffset>-14605</wp:posOffset>
          </wp:positionH>
          <wp:positionV relativeFrom="paragraph">
            <wp:posOffset>-90170</wp:posOffset>
          </wp:positionV>
          <wp:extent cx="1276350" cy="352425"/>
          <wp:effectExtent l="0" t="0" r="0" b="9525"/>
          <wp:wrapSquare wrapText="bothSides"/>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352425"/>
                  </a:xfrm>
                  <a:prstGeom prst="rect">
                    <a:avLst/>
                  </a:prstGeom>
                  <a:noFill/>
                </pic:spPr>
              </pic:pic>
            </a:graphicData>
          </a:graphic>
          <wp14:sizeRelH relativeFrom="page">
            <wp14:pctWidth>0</wp14:pctWidth>
          </wp14:sizeRelH>
          <wp14:sizeRelV relativeFrom="page">
            <wp14:pctHeight>0</wp14:pctHeight>
          </wp14:sizeRelV>
        </wp:anchor>
      </w:drawing>
    </w:r>
  </w:p>
  <w:p w:rsidR="003E3674" w:rsidRPr="00D92E2D" w:rsidRDefault="003E3674" w:rsidP="00D92E2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74" w:rsidRPr="00644AF6" w:rsidRDefault="003E3674" w:rsidP="00BC105C">
    <w:pPr>
      <w:pStyle w:val="FooterLine1"/>
      <w:tabs>
        <w:tab w:val="left" w:pos="13183"/>
      </w:tabs>
      <w:jc w:val="left"/>
    </w:pPr>
    <w:r w:rsidRPr="00EA30B4">
      <w:rPr>
        <w:rFonts w:cs="Calibri"/>
        <w:color w:val="002776"/>
      </w:rPr>
      <w:t>Deloitte</w:t>
    </w:r>
    <w:r w:rsidRPr="00CB3984">
      <w:rPr>
        <w:rFonts w:cs="Calibri"/>
      </w:rPr>
      <w:t xml:space="preserve"> </w:t>
    </w:r>
    <w:r w:rsidRPr="0029312B">
      <w:rPr>
        <w:rFonts w:cs="Calibri"/>
        <w:color w:val="827F77"/>
      </w:rPr>
      <w:t>Access Economics</w:t>
    </w:r>
    <w:r>
      <w:rPr>
        <w:rFonts w:cs="Calibri"/>
        <w:color w:val="827F77"/>
      </w:rPr>
      <w:tab/>
    </w:r>
    <w:r>
      <w:fldChar w:fldCharType="begin"/>
    </w:r>
    <w:r>
      <w:instrText xml:space="preserve"> PAGE   \* MERGEFORMAT </w:instrText>
    </w:r>
    <w:r>
      <w:fldChar w:fldCharType="separate"/>
    </w:r>
    <w:r w:rsidR="00DD6724">
      <w:rPr>
        <w:noProof/>
      </w:rPr>
      <w:t>55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74" w:rsidRPr="00E71B9E" w:rsidRDefault="003E3674" w:rsidP="00E71B9E">
    <w:pPr>
      <w:pStyle w:val="Footer"/>
      <w:jc w:val="right"/>
      <w:rPr>
        <w:sz w:val="18"/>
      </w:rPr>
    </w:pPr>
    <w:r w:rsidRPr="00E71B9E">
      <w:rPr>
        <w:sz w:val="18"/>
      </w:rPr>
      <w:fldChar w:fldCharType="begin"/>
    </w:r>
    <w:r w:rsidRPr="00E71B9E">
      <w:rPr>
        <w:sz w:val="18"/>
      </w:rPr>
      <w:instrText xml:space="preserve"> PAGE   \* MERGEFORMAT </w:instrText>
    </w:r>
    <w:r w:rsidRPr="00E71B9E">
      <w:rPr>
        <w:sz w:val="18"/>
      </w:rPr>
      <w:fldChar w:fldCharType="separate"/>
    </w:r>
    <w:r w:rsidR="00DD6724">
      <w:rPr>
        <w:noProof/>
        <w:sz w:val="18"/>
      </w:rPr>
      <w:t>52</w:t>
    </w:r>
    <w:r w:rsidRPr="00E71B9E">
      <w:rPr>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74" w:rsidRDefault="003E367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74" w:rsidRPr="00644AF6" w:rsidRDefault="003E3674" w:rsidP="00BC105C">
    <w:pPr>
      <w:pStyle w:val="FooterLine1"/>
      <w:tabs>
        <w:tab w:val="left" w:pos="8222"/>
      </w:tabs>
      <w:jc w:val="left"/>
    </w:pPr>
    <w:r w:rsidRPr="00EA30B4">
      <w:rPr>
        <w:rFonts w:cs="Calibri"/>
        <w:color w:val="002776"/>
      </w:rPr>
      <w:t>Deloitte</w:t>
    </w:r>
    <w:r w:rsidRPr="00CB3984">
      <w:rPr>
        <w:rFonts w:cs="Calibri"/>
      </w:rPr>
      <w:t xml:space="preserve"> </w:t>
    </w:r>
    <w:r w:rsidRPr="0029312B">
      <w:rPr>
        <w:rFonts w:cs="Calibri"/>
        <w:color w:val="827F77"/>
      </w:rPr>
      <w:t>Access Economics</w:t>
    </w:r>
    <w:r>
      <w:t xml:space="preserve"> </w:t>
    </w:r>
    <w:r>
      <w:tab/>
    </w:r>
    <w:r>
      <w:fldChar w:fldCharType="begin"/>
    </w:r>
    <w:r>
      <w:instrText xml:space="preserve"> PAGE   \* MERGEFORMAT </w:instrText>
    </w:r>
    <w:r>
      <w:fldChar w:fldCharType="separate"/>
    </w:r>
    <w:r w:rsidR="00DD6724">
      <w:rPr>
        <w:noProof/>
      </w:rPr>
      <w:t>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674" w:rsidRDefault="003E3674" w:rsidP="00680968">
      <w:pPr>
        <w:pStyle w:val="Tabletotals"/>
      </w:pPr>
      <w:r>
        <w:separator/>
      </w:r>
    </w:p>
  </w:footnote>
  <w:footnote w:type="continuationSeparator" w:id="0">
    <w:p w:rsidR="003E3674" w:rsidRDefault="003E3674" w:rsidP="00680968">
      <w:pPr>
        <w:pStyle w:val="Tabletotals"/>
      </w:pPr>
      <w:r>
        <w:continuationSeparator/>
      </w:r>
    </w:p>
  </w:footnote>
  <w:footnote w:id="1">
    <w:p w:rsidR="00000000" w:rsidRDefault="003E3674" w:rsidP="00C53003">
      <w:pPr>
        <w:pStyle w:val="citation"/>
        <w:spacing w:after="0" w:afterAutospacing="0"/>
      </w:pPr>
      <w:r w:rsidRPr="003953FD">
        <w:rPr>
          <w:rStyle w:val="FootnoteReference"/>
          <w:sz w:val="18"/>
          <w:szCs w:val="18"/>
        </w:rPr>
        <w:footnoteRef/>
      </w:r>
      <w:r w:rsidRPr="003953FD">
        <w:rPr>
          <w:sz w:val="18"/>
          <w:szCs w:val="18"/>
        </w:rPr>
        <w:t xml:space="preserve"> </w:t>
      </w:r>
      <w:r>
        <w:rPr>
          <w:rFonts w:ascii="Calibri" w:hAnsi="Calibri"/>
          <w:sz w:val="18"/>
          <w:szCs w:val="18"/>
        </w:rPr>
        <w:t xml:space="preserve">Kemp (1999) </w:t>
      </w:r>
    </w:p>
  </w:footnote>
  <w:footnote w:id="2">
    <w:p w:rsidR="00000000" w:rsidRDefault="003E3674" w:rsidP="00C53003">
      <w:pPr>
        <w:pStyle w:val="FootnoteText"/>
      </w:pPr>
      <w:r w:rsidRPr="00C53003">
        <w:rPr>
          <w:rStyle w:val="FootnoteReference"/>
          <w:rFonts w:ascii="Calibri" w:hAnsi="Calibri"/>
          <w:sz w:val="18"/>
          <w:szCs w:val="18"/>
        </w:rPr>
        <w:footnoteRef/>
      </w:r>
      <w:r w:rsidRPr="00C53003">
        <w:rPr>
          <w:szCs w:val="18"/>
        </w:rPr>
        <w:t xml:space="preserve"> </w:t>
      </w:r>
      <w:r w:rsidRPr="00C53003">
        <w:rPr>
          <w:szCs w:val="18"/>
          <w:lang w:val="en-US"/>
        </w:rPr>
        <w:t>Access Economics (2010)</w:t>
      </w:r>
    </w:p>
  </w:footnote>
  <w:footnote w:id="3">
    <w:p w:rsidR="00000000" w:rsidRDefault="003E3674" w:rsidP="00D24927">
      <w:pPr>
        <w:pStyle w:val="FootnoteText"/>
      </w:pPr>
      <w:r>
        <w:rPr>
          <w:rStyle w:val="FootnoteReference"/>
          <w:sz w:val="18"/>
        </w:rPr>
        <w:footnoteRef/>
      </w:r>
      <w:r>
        <w:t xml:space="preserve"> The cost element ‘e</w:t>
      </w:r>
      <w:r w:rsidRPr="00B152CF">
        <w:t>states</w:t>
      </w:r>
      <w:r>
        <w:t>’</w:t>
      </w:r>
      <w:r w:rsidRPr="00B152CF">
        <w:t xml:space="preserve"> is </w:t>
      </w:r>
      <w:r>
        <w:t>not considered as part of an Australian research training costing exercise</w:t>
      </w:r>
      <w:r w:rsidRPr="00B152CF">
        <w:t>, as most of the Australian university ‘estates’ have been funded by government and/or supported to some extent by the capital component of existing block grants.</w:t>
      </w:r>
    </w:p>
  </w:footnote>
  <w:footnote w:id="4">
    <w:p w:rsidR="003E3674" w:rsidRPr="00926595" w:rsidRDefault="003E3674" w:rsidP="00EB0EEA">
      <w:pPr>
        <w:rPr>
          <w:color w:val="0000FF"/>
          <w:sz w:val="18"/>
          <w:szCs w:val="18"/>
        </w:rPr>
      </w:pPr>
      <w:r w:rsidRPr="00926595">
        <w:rPr>
          <w:rStyle w:val="FootnoteReference"/>
          <w:sz w:val="18"/>
          <w:szCs w:val="18"/>
        </w:rPr>
        <w:footnoteRef/>
      </w:r>
      <w:r w:rsidRPr="00926595">
        <w:rPr>
          <w:sz w:val="18"/>
          <w:szCs w:val="18"/>
        </w:rPr>
        <w:t xml:space="preserve"> There is no consolidated source that fully details the methodology for costing and funding research training so this information was gathered from a variety of sources such as the Office of Budget management </w:t>
      </w:r>
      <w:hyperlink r:id="rId1" w:anchor="b" w:history="1">
        <w:r w:rsidRPr="00550826">
          <w:rPr>
            <w:rStyle w:val="Hyperlink"/>
            <w:sz w:val="18"/>
            <w:szCs w:val="18"/>
          </w:rPr>
          <w:t>http://www.whitehouse.gov/omb/circulars_a021_2004/#b</w:t>
        </w:r>
      </w:hyperlink>
      <w:r>
        <w:t>;</w:t>
      </w:r>
      <w:r>
        <w:rPr>
          <w:color w:val="0000FF"/>
          <w:sz w:val="18"/>
          <w:szCs w:val="18"/>
        </w:rPr>
        <w:t xml:space="preserve"> </w:t>
      </w:r>
      <w:r w:rsidRPr="00926595">
        <w:rPr>
          <w:sz w:val="18"/>
          <w:szCs w:val="18"/>
        </w:rPr>
        <w:t>and individual university websites</w:t>
      </w:r>
      <w:r>
        <w:rPr>
          <w:sz w:val="18"/>
          <w:szCs w:val="18"/>
        </w:rPr>
        <w:t>,</w:t>
      </w:r>
      <w:r w:rsidRPr="00926595">
        <w:rPr>
          <w:sz w:val="18"/>
          <w:szCs w:val="18"/>
        </w:rPr>
        <w:t xml:space="preserve"> e.g.</w:t>
      </w:r>
      <w:r>
        <w:rPr>
          <w:color w:val="0000FF"/>
          <w:sz w:val="18"/>
          <w:szCs w:val="18"/>
        </w:rPr>
        <w:t xml:space="preserve"> </w:t>
      </w:r>
    </w:p>
    <w:p w:rsidR="00000000" w:rsidRDefault="003E3674" w:rsidP="004604CB">
      <w:hyperlink r:id="rId2" w:history="1">
        <w:r w:rsidRPr="004604CB">
          <w:rPr>
            <w:rStyle w:val="Hyperlink"/>
            <w:sz w:val="18"/>
            <w:szCs w:val="18"/>
          </w:rPr>
          <w:t>http://web.mit.edu/catalog/overv.chap4-costs.html</w:t>
        </w:r>
      </w:hyperlink>
      <w:r w:rsidRPr="004604CB">
        <w:rPr>
          <w:sz w:val="18"/>
          <w:szCs w:val="18"/>
        </w:rPr>
        <w:t>, http://www.ucla.edu</w:t>
      </w:r>
    </w:p>
  </w:footnote>
  <w:footnote w:id="5">
    <w:p w:rsidR="00000000" w:rsidRDefault="003E3674">
      <w:pPr>
        <w:pStyle w:val="FootnoteText"/>
      </w:pPr>
      <w:r>
        <w:rPr>
          <w:rStyle w:val="FootnoteReference"/>
          <w:sz w:val="18"/>
        </w:rPr>
        <w:footnoteRef/>
      </w:r>
      <w:r>
        <w:t xml:space="preserve">  </w:t>
      </w:r>
      <w:r w:rsidRPr="00EF0B4D">
        <w:rPr>
          <w:szCs w:val="18"/>
        </w:rPr>
        <w:t>Data provided presented enrolments and completions under broad study areas, not disciplines.  Broad study areas include: Natural and Physical Sciences; Information Technology; Engineering and related Technologies; Architecture and building; Agriculture, environmental and related studies; Health; Education; Management and commerce; Society and culture; and Creative arts.</w:t>
      </w:r>
    </w:p>
  </w:footnote>
  <w:footnote w:id="6">
    <w:p w:rsidR="00000000" w:rsidRDefault="003E3674">
      <w:pPr>
        <w:jc w:val="both"/>
      </w:pPr>
      <w:r>
        <w:rPr>
          <w:rStyle w:val="FootnoteReference"/>
          <w:sz w:val="18"/>
        </w:rPr>
        <w:footnoteRef/>
      </w:r>
      <w:r>
        <w:t xml:space="preserve"> </w:t>
      </w:r>
      <w:r w:rsidRPr="00917C9D">
        <w:rPr>
          <w:sz w:val="18"/>
          <w:szCs w:val="18"/>
        </w:rPr>
        <w:t xml:space="preserve">The Accessibility/Remoteness Index of Australia Plus (ARIA+) is a continuous varying index with values ranging from 0 (high accessibility) to 15 (high remoteness), and is based on road distance measurements from 11,879 populated localities to the nearest service centres in five size categories based on population size. </w:t>
      </w:r>
      <w:r>
        <w:rPr>
          <w:sz w:val="18"/>
          <w:szCs w:val="18"/>
        </w:rPr>
        <w:t xml:space="preserve"> </w:t>
      </w:r>
      <w:r w:rsidRPr="00917C9D">
        <w:rPr>
          <w:sz w:val="18"/>
          <w:szCs w:val="18"/>
        </w:rPr>
        <w:t xml:space="preserve">For further information see </w:t>
      </w:r>
      <w:smartTag w:uri="urn:schemas-microsoft-com:office:smarttags" w:element="PlaceType">
        <w:smartTag w:uri="urn:schemas-microsoft-com:office:smarttags" w:element="place">
          <w:smartTag w:uri="urn:schemas-microsoft-com:office:smarttags" w:element="PlaceType">
            <w:r w:rsidRPr="00917C9D">
              <w:rPr>
                <w:sz w:val="18"/>
                <w:szCs w:val="18"/>
              </w:rPr>
              <w:t>University</w:t>
            </w:r>
          </w:smartTag>
          <w:r w:rsidRPr="00917C9D">
            <w:rPr>
              <w:sz w:val="18"/>
              <w:szCs w:val="18"/>
            </w:rPr>
            <w:t xml:space="preserve"> of </w:t>
          </w:r>
          <w:smartTag w:uri="urn:schemas-microsoft-com:office:smarttags" w:element="PlaceName">
            <w:r w:rsidRPr="00917C9D">
              <w:rPr>
                <w:sz w:val="18"/>
                <w:szCs w:val="18"/>
              </w:rPr>
              <w:t>Adelaide</w:t>
            </w:r>
          </w:smartTag>
        </w:smartTag>
      </w:smartTag>
      <w:r w:rsidRPr="00917C9D">
        <w:rPr>
          <w:sz w:val="18"/>
          <w:szCs w:val="18"/>
        </w:rPr>
        <w:t xml:space="preserve"> (2011).</w:t>
      </w:r>
    </w:p>
  </w:footnote>
  <w:footnote w:id="7">
    <w:p w:rsidR="00000000" w:rsidRDefault="003E3674" w:rsidP="007C11C5">
      <w:pPr>
        <w:pStyle w:val="FootnoteText"/>
      </w:pPr>
      <w:r>
        <w:rPr>
          <w:rStyle w:val="FootnoteReference"/>
          <w:sz w:val="18"/>
        </w:rPr>
        <w:footnoteRef/>
      </w:r>
      <w:r>
        <w:t xml:space="preserve"> The correlation coefficient measures whether two data sets are related and, if so, how strongly.  The correlation coefficient ranges from +1 (indicating a perfectly positive linear relationship) to -1 (indicating a perfectly negative linear relationship).  A correlation close to zero indicates that the two data sets are not related (i.e. the relationship is random).  The fact that two variables are correlated does not imply causality. </w:t>
      </w:r>
    </w:p>
  </w:footnote>
  <w:footnote w:id="8">
    <w:p w:rsidR="00000000" w:rsidRDefault="003E3674" w:rsidP="00BE45B4">
      <w:pPr>
        <w:pStyle w:val="FootnoteText"/>
      </w:pPr>
      <w:r>
        <w:rPr>
          <w:rStyle w:val="FootnoteReference"/>
          <w:sz w:val="18"/>
        </w:rPr>
        <w:footnoteRef/>
      </w:r>
      <w:r>
        <w:t xml:space="preserve"> As explained in Appendix D, broad fields of education were included in the regression analysis to proxy for discipline mix.  However, the broad nature of the data meant that little additional insight into average costs was afforded and inclusion of field of education variables resulted in a multicollinearity problem.</w:t>
      </w:r>
    </w:p>
  </w:footnote>
  <w:footnote w:id="9">
    <w:p w:rsidR="00000000" w:rsidRDefault="003E3674" w:rsidP="00BE45B4">
      <w:pPr>
        <w:pStyle w:val="FootnoteText"/>
      </w:pPr>
      <w:r>
        <w:rPr>
          <w:rStyle w:val="FootnoteReference"/>
          <w:sz w:val="18"/>
        </w:rPr>
        <w:footnoteRef/>
      </w:r>
      <w:r>
        <w:t xml:space="preserve"> Note, international HDR candidates are ineligible for RTS funding.</w:t>
      </w:r>
    </w:p>
  </w:footnote>
  <w:footnote w:id="10">
    <w:p w:rsidR="00000000" w:rsidRDefault="003E3674" w:rsidP="004604CB">
      <w:pPr>
        <w:pStyle w:val="FootnoteText"/>
      </w:pPr>
      <w:r>
        <w:rPr>
          <w:rStyle w:val="FootnoteReference"/>
          <w:sz w:val="18"/>
        </w:rPr>
        <w:footnoteRef/>
      </w:r>
      <w:r>
        <w:t xml:space="preserve"> </w:t>
      </w:r>
      <w:r w:rsidRPr="00C33C8B">
        <w:t>http://www.hsv.se/highereducationinsweden/funding.4.28afa2dc11bdcdc557480002408.html</w:t>
      </w:r>
    </w:p>
  </w:footnote>
  <w:footnote w:id="11">
    <w:p w:rsidR="00000000" w:rsidRDefault="003E3674" w:rsidP="00F75273">
      <w:pPr>
        <w:pStyle w:val="FootnoteText"/>
      </w:pPr>
      <w:r>
        <w:rPr>
          <w:rStyle w:val="FootnoteReference"/>
          <w:sz w:val="18"/>
        </w:rPr>
        <w:footnoteRef/>
      </w:r>
      <w:r>
        <w:t xml:space="preserve"> Multicollinearity arises when the explanatory variables are correlated.  While multicollinearity does not reduce the predictive power of the model, it does make it difficult to determine the individual significance of each explanatory variable.</w:t>
      </w:r>
    </w:p>
  </w:footnote>
  <w:footnote w:id="12">
    <w:p w:rsidR="00000000" w:rsidRDefault="003E3674" w:rsidP="00F75273">
      <w:pPr>
        <w:pStyle w:val="FootnoteText"/>
      </w:pPr>
      <w:r>
        <w:rPr>
          <w:rStyle w:val="FootnoteReference"/>
          <w:sz w:val="18"/>
        </w:rPr>
        <w:footnoteRef/>
      </w:r>
      <w:r>
        <w:t xml:space="preserve"> In this instance, ‘robust’ refers to the statistical property of an estimator that is relatively insensitive to extreme observations.</w:t>
      </w:r>
    </w:p>
  </w:footnote>
  <w:footnote w:id="13">
    <w:p w:rsidR="00000000" w:rsidRDefault="003E3674">
      <w:pPr>
        <w:pStyle w:val="FootnoteText"/>
      </w:pPr>
      <w:r>
        <w:rPr>
          <w:rStyle w:val="FootnoteReference"/>
          <w:sz w:val="18"/>
        </w:rPr>
        <w:footnoteRef/>
      </w:r>
      <w:r>
        <w:t xml:space="preserve"> OLS results are similar to LAD results.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74" w:rsidRDefault="00DD6724">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19329" o:spid="_x0000_s2049" type="#_x0000_t136" style="position:absolute;left:0;text-align:left;margin-left:0;margin-top:0;width:524.55pt;height:314.7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74" w:rsidRPr="007F362F" w:rsidRDefault="003E3674" w:rsidP="0093181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74" w:rsidRDefault="00DD6724">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19347" o:spid="_x0000_s2066" type="#_x0000_t136" style="position:absolute;left:0;text-align:left;margin-left:0;margin-top:0;width:524.55pt;height:314.75pt;rotation:315;z-index:-2516367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74" w:rsidRDefault="003E367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74" w:rsidRDefault="00DD6724">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19346" o:spid="_x0000_s2067" type="#_x0000_t136" style="position:absolute;left:0;text-align:left;margin-left:0;margin-top:0;width:524.55pt;height:314.75pt;rotation:315;z-index:-2516346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74" w:rsidRDefault="00DD6724">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19344" o:spid="_x0000_s2057" type="#_x0000_t136" style="position:absolute;left:0;text-align:left;margin-left:0;margin-top:0;width:524.55pt;height:314.7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74" w:rsidRPr="00962F39" w:rsidRDefault="003E3674" w:rsidP="0093181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74" w:rsidRPr="00DC78F9" w:rsidRDefault="003E3674" w:rsidP="00DC78F9">
    <w:pPr>
      <w:pStyle w:val="Header"/>
      <w:rPr>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74" w:rsidRDefault="00DD6724">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left:0;text-align:left;margin-left:0;margin-top:0;width:524.55pt;height:314.7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74" w:rsidRPr="00962F39" w:rsidRDefault="003E3674" w:rsidP="0093181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74" w:rsidRPr="007F362F" w:rsidRDefault="003E3674" w:rsidP="0093181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74" w:rsidRDefault="00DD6724">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left:0;text-align:left;margin-left:0;margin-top:0;width:524.55pt;height:314.75pt;rotation:315;z-index:-2516387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74" w:rsidRPr="00962F39" w:rsidRDefault="003E3674" w:rsidP="009318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44287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A4C028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82228D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2CC3BC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A6E47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220FC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C004A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42C4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384C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3B04A5A"/>
    <w:lvl w:ilvl="0">
      <w:start w:val="1"/>
      <w:numFmt w:val="bullet"/>
      <w:lvlText w:val=""/>
      <w:lvlJc w:val="left"/>
      <w:pPr>
        <w:tabs>
          <w:tab w:val="num" w:pos="360"/>
        </w:tabs>
        <w:ind w:left="360" w:hanging="360"/>
      </w:pPr>
      <w:rPr>
        <w:rFonts w:ascii="Symbol" w:hAnsi="Symbol" w:hint="default"/>
      </w:rPr>
    </w:lvl>
  </w:abstractNum>
  <w:abstractNum w:abstractNumId="10">
    <w:nsid w:val="0152430B"/>
    <w:multiLevelType w:val="multilevel"/>
    <w:tmpl w:val="A34AE908"/>
    <w:lvl w:ilvl="0">
      <w:start w:val="1"/>
      <w:numFmt w:val="none"/>
      <w:suff w:val="space"/>
      <w:lvlText w:val=""/>
      <w:lvlJc w:val="left"/>
      <w:pPr>
        <w:ind w:hanging="113"/>
      </w:pPr>
      <w:rPr>
        <w:rFonts w:cs="Times New Roman" w:hint="default"/>
      </w:rPr>
    </w:lvl>
    <w:lvl w:ilvl="1">
      <w:start w:val="1"/>
      <w:numFmt w:val="lowerRoman"/>
      <w:suff w:val="nothing"/>
      <w:lvlText w:val="Table %2"/>
      <w:lvlJc w:val="left"/>
      <w:rPr>
        <w:rFonts w:ascii="Calibri" w:hAnsi="Calibri" w:cs="Times New Roman" w:hint="default"/>
        <w:b/>
        <w:i w:val="0"/>
        <w:color w:val="002776"/>
        <w:sz w:val="22"/>
      </w:rPr>
    </w:lvl>
    <w:lvl w:ilvl="2">
      <w:start w:val="1"/>
      <w:numFmt w:val="lowerRoman"/>
      <w:lvlRestart w:val="0"/>
      <w:suff w:val="nothing"/>
      <w:lvlText w:val="Chart %3"/>
      <w:lvlJc w:val="left"/>
      <w:rPr>
        <w:rFonts w:ascii="Calibri" w:hAnsi="Calibri" w:cs="Times New Roman" w:hint="default"/>
        <w:b/>
        <w:i w:val="0"/>
        <w:color w:val="002776"/>
        <w:sz w:val="22"/>
      </w:rPr>
    </w:lvl>
    <w:lvl w:ilvl="3">
      <w:start w:val="1"/>
      <w:numFmt w:val="lowerRoman"/>
      <w:lvlRestart w:val="0"/>
      <w:suff w:val="nothing"/>
      <w:lvlText w:val="Figure %4"/>
      <w:lvlJc w:val="left"/>
      <w:rPr>
        <w:rFonts w:ascii="Calibri" w:hAnsi="Calibri" w:cs="Times New Roman" w:hint="default"/>
        <w:b/>
        <w:i w:val="0"/>
        <w:color w:val="002776"/>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020104D1"/>
    <w:multiLevelType w:val="hybridMultilevel"/>
    <w:tmpl w:val="C7024314"/>
    <w:lvl w:ilvl="0" w:tplc="7D989CDA">
      <w:start w:val="1"/>
      <w:numFmt w:val="bullet"/>
      <w:pStyle w:val="Bullet3"/>
      <w:lvlText w:val="•"/>
      <w:lvlJc w:val="left"/>
      <w:pPr>
        <w:ind w:left="1854" w:hanging="360"/>
      </w:pPr>
      <w:rPr>
        <w:rFonts w:ascii="Calibri" w:hAnsi="Calibri" w:hint="default"/>
        <w:color w:val="92D400"/>
      </w:rPr>
    </w:lvl>
    <w:lvl w:ilvl="1" w:tplc="0C090003" w:tentative="1">
      <w:start w:val="1"/>
      <w:numFmt w:val="bullet"/>
      <w:lvlText w:val="o"/>
      <w:lvlJc w:val="left"/>
      <w:pPr>
        <w:ind w:left="2574" w:hanging="360"/>
      </w:pPr>
      <w:rPr>
        <w:rFonts w:ascii="Courier New" w:hAnsi="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nsid w:val="0A3D71DF"/>
    <w:multiLevelType w:val="singleLevel"/>
    <w:tmpl w:val="C5B2C534"/>
    <w:lvl w:ilvl="0">
      <w:start w:val="1"/>
      <w:numFmt w:val="lowerRoman"/>
      <w:pStyle w:val="IndentNumberedList"/>
      <w:lvlText w:val="%1"/>
      <w:lvlJc w:val="left"/>
      <w:pPr>
        <w:tabs>
          <w:tab w:val="num" w:pos="1134"/>
        </w:tabs>
        <w:ind w:left="1134" w:hanging="567"/>
      </w:pPr>
      <w:rPr>
        <w:rFonts w:ascii="Calibri" w:hAnsi="Calibri" w:cs="Arial" w:hint="default"/>
        <w:b w:val="0"/>
        <w:i w:val="0"/>
        <w:color w:val="000000"/>
        <w:sz w:val="24"/>
        <w:szCs w:val="24"/>
      </w:rPr>
    </w:lvl>
  </w:abstractNum>
  <w:abstractNum w:abstractNumId="13">
    <w:nsid w:val="114F2DDA"/>
    <w:multiLevelType w:val="hybridMultilevel"/>
    <w:tmpl w:val="84FE8D26"/>
    <w:lvl w:ilvl="0" w:tplc="FD2E8626">
      <w:start w:val="1"/>
      <w:numFmt w:val="bullet"/>
      <w:lvlText w:val=""/>
      <w:lvlJc w:val="left"/>
      <w:pPr>
        <w:tabs>
          <w:tab w:val="num" w:pos="337"/>
        </w:tabs>
        <w:ind w:left="337" w:hanging="337"/>
      </w:pPr>
      <w:rPr>
        <w:rFonts w:ascii="Symbol" w:hAnsi="Symbol" w:hint="default"/>
        <w:sz w:val="16"/>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182049B9"/>
    <w:multiLevelType w:val="hybridMultilevel"/>
    <w:tmpl w:val="B8506D88"/>
    <w:lvl w:ilvl="0" w:tplc="A4F8682C">
      <w:numFmt w:val="bullet"/>
      <w:pStyle w:val="IndentParaGreyBullet"/>
      <w:lvlText w:val="•"/>
      <w:lvlJc w:val="left"/>
      <w:pPr>
        <w:ind w:left="567" w:hanging="283"/>
      </w:pPr>
      <w:rPr>
        <w:rFonts w:ascii="Arial" w:eastAsia="Times New Roman" w:hAnsi="Arial" w:hint="default"/>
      </w:rPr>
    </w:lvl>
    <w:lvl w:ilvl="1" w:tplc="0C090003" w:tentative="1">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nsid w:val="1C354B73"/>
    <w:multiLevelType w:val="singleLevel"/>
    <w:tmpl w:val="EE4A2D06"/>
    <w:name w:val="NumberedList"/>
    <w:lvl w:ilvl="0">
      <w:start w:val="1"/>
      <w:numFmt w:val="decimal"/>
      <w:lvlRestart w:val="0"/>
      <w:lvlText w:val="%1"/>
      <w:lvlJc w:val="left"/>
      <w:pPr>
        <w:tabs>
          <w:tab w:val="num" w:pos="567"/>
        </w:tabs>
        <w:ind w:left="567" w:hanging="567"/>
      </w:pPr>
      <w:rPr>
        <w:rFonts w:ascii="Arial" w:hAnsi="Arial" w:cs="Arial"/>
      </w:rPr>
    </w:lvl>
  </w:abstractNum>
  <w:abstractNum w:abstractNumId="16">
    <w:nsid w:val="209F2649"/>
    <w:multiLevelType w:val="singleLevel"/>
    <w:tmpl w:val="78AE38C0"/>
    <w:name w:val="AlphabeticList"/>
    <w:lvl w:ilvl="0">
      <w:start w:val="1"/>
      <w:numFmt w:val="upperLetter"/>
      <w:lvlRestart w:val="0"/>
      <w:lvlText w:val="%1"/>
      <w:lvlJc w:val="left"/>
      <w:pPr>
        <w:tabs>
          <w:tab w:val="num" w:pos="567"/>
        </w:tabs>
        <w:ind w:left="567" w:hanging="567"/>
      </w:pPr>
      <w:rPr>
        <w:rFonts w:ascii="Arial" w:hAnsi="Arial" w:cs="Arial" w:hint="default"/>
        <w:b w:val="0"/>
        <w:i w:val="0"/>
        <w:color w:val="000000"/>
        <w:sz w:val="22"/>
        <w:szCs w:val="22"/>
      </w:rPr>
    </w:lvl>
  </w:abstractNum>
  <w:abstractNum w:abstractNumId="17">
    <w:nsid w:val="287D7C68"/>
    <w:multiLevelType w:val="multilevel"/>
    <w:tmpl w:val="D908ABD6"/>
    <w:lvl w:ilvl="0">
      <w:start w:val="1"/>
      <w:numFmt w:val="decimal"/>
      <w:lvlText w:val="%1"/>
      <w:lvlJc w:val="left"/>
      <w:pPr>
        <w:ind w:left="360" w:hanging="360"/>
      </w:pPr>
      <w:rPr>
        <w:rFonts w:cs="Times New Roman" w:hint="default"/>
        <w:b/>
        <w:i w:val="0"/>
        <w:color w:val="002776"/>
        <w:sz w:val="56"/>
        <w:szCs w:val="56"/>
      </w:rPr>
    </w:lvl>
    <w:lvl w:ilvl="1">
      <w:start w:val="1"/>
      <w:numFmt w:val="decimal"/>
      <w:lvlText w:val="%1.%2"/>
      <w:lvlJc w:val="left"/>
      <w:pPr>
        <w:tabs>
          <w:tab w:val="num" w:pos="709"/>
        </w:tabs>
        <w:ind w:left="709" w:hanging="567"/>
      </w:pPr>
      <w:rPr>
        <w:rFonts w:ascii="Calibri" w:hAnsi="Calibri" w:cs="Arial" w:hint="default"/>
        <w:b/>
        <w:i w:val="0"/>
        <w:color w:val="00A1DE"/>
        <w:sz w:val="40"/>
        <w:szCs w:val="40"/>
      </w:rPr>
    </w:lvl>
    <w:lvl w:ilvl="2">
      <w:start w:val="1"/>
      <w:numFmt w:val="decimal"/>
      <w:lvlText w:val="%1.%2.%3"/>
      <w:lvlJc w:val="left"/>
      <w:pPr>
        <w:tabs>
          <w:tab w:val="num" w:pos="1134"/>
        </w:tabs>
        <w:ind w:left="1134" w:hanging="1134"/>
      </w:pPr>
      <w:rPr>
        <w:rFonts w:ascii="Calibri" w:hAnsi="Calibri" w:cs="Arial" w:hint="default"/>
        <w:b w:val="0"/>
        <w:i w:val="0"/>
        <w:color w:val="00A1DE"/>
        <w:sz w:val="24"/>
        <w:szCs w:val="24"/>
      </w:rPr>
    </w:lvl>
    <w:lvl w:ilvl="3">
      <w:start w:val="1"/>
      <w:numFmt w:val="decimal"/>
      <w:lvlText w:val="%1.%2.%3.%4"/>
      <w:lvlJc w:val="left"/>
      <w:pPr>
        <w:tabs>
          <w:tab w:val="num" w:pos="1134"/>
        </w:tabs>
        <w:ind w:left="1134" w:hanging="1134"/>
      </w:pPr>
      <w:rPr>
        <w:rFonts w:ascii="Calibri" w:hAnsi="Calibri" w:cs="Arial" w:hint="default"/>
        <w:b/>
        <w:i w:val="0"/>
        <w:color w:val="00A1DE"/>
        <w:sz w:val="24"/>
        <w:szCs w:val="24"/>
        <w:u w:val="none"/>
      </w:rPr>
    </w:lvl>
    <w:lvl w:ilvl="4">
      <w:start w:val="1"/>
      <w:numFmt w:val="decimal"/>
      <w:lvlRestart w:val="0"/>
      <w:suff w:val="space"/>
      <w:lvlText w:val="Box %1.%5"/>
      <w:lvlJc w:val="left"/>
      <w:pPr>
        <w:ind w:left="1134" w:hanging="850"/>
      </w:pPr>
      <w:rPr>
        <w:rFonts w:ascii="Calibri" w:hAnsi="Calibri" w:cs="Arial" w:hint="default"/>
        <w:b/>
        <w:i w:val="0"/>
        <w:color w:val="FFFFFF"/>
        <w:sz w:val="20"/>
        <w:szCs w:val="20"/>
      </w:rPr>
    </w:lvl>
    <w:lvl w:ilvl="5">
      <w:start w:val="1"/>
      <w:numFmt w:val="none"/>
      <w:lvlRestart w:val="0"/>
      <w:lvlText w:val=""/>
      <w:lvlJc w:val="center"/>
      <w:rPr>
        <w:rFonts w:ascii="Arial" w:hAnsi="Arial" w:cs="Arial" w:hint="default"/>
        <w:b/>
        <w:i w:val="0"/>
        <w:color w:val="931638"/>
        <w:sz w:val="20"/>
        <w:szCs w:val="20"/>
      </w:rPr>
    </w:lvl>
    <w:lvl w:ilvl="6">
      <w:start w:val="1"/>
      <w:numFmt w:val="decimal"/>
      <w:lvlRestart w:val="0"/>
      <w:suff w:val="nothing"/>
      <w:lvlText w:val="Table %1.%7"/>
      <w:lvlJc w:val="left"/>
      <w:rPr>
        <w:rFonts w:ascii="Calibri" w:hAnsi="Calibri" w:cs="Arial" w:hint="default"/>
        <w:b/>
        <w:i w:val="0"/>
        <w:color w:val="002776"/>
        <w:sz w:val="20"/>
        <w:szCs w:val="20"/>
      </w:rPr>
    </w:lvl>
    <w:lvl w:ilvl="7">
      <w:start w:val="1"/>
      <w:numFmt w:val="decimal"/>
      <w:lvlRestart w:val="0"/>
      <w:suff w:val="nothing"/>
      <w:lvlText w:val="Chart %1.%8"/>
      <w:lvlJc w:val="left"/>
      <w:rPr>
        <w:rFonts w:ascii="Calibri" w:hAnsi="Calibri" w:cs="Times New Roman"/>
        <w:b/>
        <w:bCs/>
        <w:color w:val="002776"/>
      </w:rPr>
    </w:lvl>
    <w:lvl w:ilvl="8">
      <w:start w:val="1"/>
      <w:numFmt w:val="decimal"/>
      <w:lvlRestart w:val="0"/>
      <w:suff w:val="nothing"/>
      <w:lvlText w:val="Figure %1.%9"/>
      <w:lvlJc w:val="left"/>
      <w:rPr>
        <w:rFonts w:ascii="Calibri" w:hAnsi="Calibri" w:cs="Arial" w:hint="default"/>
        <w:b/>
        <w:i w:val="0"/>
        <w:color w:val="002776"/>
        <w:sz w:val="20"/>
        <w:szCs w:val="20"/>
      </w:rPr>
    </w:lvl>
  </w:abstractNum>
  <w:abstractNum w:abstractNumId="18">
    <w:nsid w:val="293C1ADA"/>
    <w:multiLevelType w:val="multilevel"/>
    <w:tmpl w:val="D908ABD6"/>
    <w:lvl w:ilvl="0">
      <w:start w:val="1"/>
      <w:numFmt w:val="decimal"/>
      <w:lvlText w:val="%1"/>
      <w:lvlJc w:val="left"/>
      <w:pPr>
        <w:ind w:left="360" w:hanging="360"/>
      </w:pPr>
      <w:rPr>
        <w:rFonts w:cs="Times New Roman" w:hint="default"/>
        <w:b/>
        <w:i w:val="0"/>
        <w:color w:val="002776"/>
        <w:sz w:val="56"/>
        <w:szCs w:val="56"/>
      </w:rPr>
    </w:lvl>
    <w:lvl w:ilvl="1">
      <w:start w:val="1"/>
      <w:numFmt w:val="decimal"/>
      <w:lvlText w:val="%1.%2"/>
      <w:lvlJc w:val="left"/>
      <w:pPr>
        <w:tabs>
          <w:tab w:val="num" w:pos="709"/>
        </w:tabs>
        <w:ind w:left="709" w:hanging="567"/>
      </w:pPr>
      <w:rPr>
        <w:rFonts w:ascii="Calibri" w:hAnsi="Calibri" w:cs="Arial" w:hint="default"/>
        <w:b/>
        <w:i w:val="0"/>
        <w:color w:val="00A1DE"/>
        <w:sz w:val="40"/>
        <w:szCs w:val="40"/>
      </w:rPr>
    </w:lvl>
    <w:lvl w:ilvl="2">
      <w:start w:val="1"/>
      <w:numFmt w:val="decimal"/>
      <w:lvlText w:val="%1.%2.%3"/>
      <w:lvlJc w:val="left"/>
      <w:pPr>
        <w:tabs>
          <w:tab w:val="num" w:pos="1134"/>
        </w:tabs>
        <w:ind w:left="1134" w:hanging="1134"/>
      </w:pPr>
      <w:rPr>
        <w:rFonts w:ascii="Calibri" w:hAnsi="Calibri" w:cs="Arial" w:hint="default"/>
        <w:b w:val="0"/>
        <w:i w:val="0"/>
        <w:color w:val="00A1DE"/>
        <w:sz w:val="24"/>
        <w:szCs w:val="24"/>
      </w:rPr>
    </w:lvl>
    <w:lvl w:ilvl="3">
      <w:start w:val="1"/>
      <w:numFmt w:val="decimal"/>
      <w:lvlText w:val="%1.%2.%3.%4"/>
      <w:lvlJc w:val="left"/>
      <w:pPr>
        <w:tabs>
          <w:tab w:val="num" w:pos="1134"/>
        </w:tabs>
        <w:ind w:left="1134" w:hanging="1134"/>
      </w:pPr>
      <w:rPr>
        <w:rFonts w:ascii="Calibri" w:hAnsi="Calibri" w:cs="Arial" w:hint="default"/>
        <w:b/>
        <w:i w:val="0"/>
        <w:color w:val="00A1DE"/>
        <w:sz w:val="24"/>
        <w:szCs w:val="24"/>
        <w:u w:val="none"/>
      </w:rPr>
    </w:lvl>
    <w:lvl w:ilvl="4">
      <w:start w:val="1"/>
      <w:numFmt w:val="decimal"/>
      <w:lvlRestart w:val="0"/>
      <w:suff w:val="space"/>
      <w:lvlText w:val="Box %1.%5"/>
      <w:lvlJc w:val="left"/>
      <w:pPr>
        <w:ind w:left="1134" w:hanging="850"/>
      </w:pPr>
      <w:rPr>
        <w:rFonts w:ascii="Calibri" w:hAnsi="Calibri" w:cs="Arial" w:hint="default"/>
        <w:b/>
        <w:i w:val="0"/>
        <w:color w:val="FFFFFF"/>
        <w:sz w:val="20"/>
        <w:szCs w:val="20"/>
      </w:rPr>
    </w:lvl>
    <w:lvl w:ilvl="5">
      <w:start w:val="1"/>
      <w:numFmt w:val="none"/>
      <w:lvlRestart w:val="0"/>
      <w:lvlText w:val=""/>
      <w:lvlJc w:val="center"/>
      <w:rPr>
        <w:rFonts w:ascii="Arial" w:hAnsi="Arial" w:cs="Arial" w:hint="default"/>
        <w:b/>
        <w:i w:val="0"/>
        <w:color w:val="931638"/>
        <w:sz w:val="20"/>
        <w:szCs w:val="20"/>
      </w:rPr>
    </w:lvl>
    <w:lvl w:ilvl="6">
      <w:start w:val="1"/>
      <w:numFmt w:val="decimal"/>
      <w:lvlRestart w:val="0"/>
      <w:suff w:val="nothing"/>
      <w:lvlText w:val="Table %1.%7"/>
      <w:lvlJc w:val="left"/>
      <w:rPr>
        <w:rFonts w:ascii="Calibri" w:hAnsi="Calibri" w:cs="Arial" w:hint="default"/>
        <w:b/>
        <w:i w:val="0"/>
        <w:color w:val="002776"/>
        <w:sz w:val="20"/>
        <w:szCs w:val="20"/>
      </w:rPr>
    </w:lvl>
    <w:lvl w:ilvl="7">
      <w:start w:val="1"/>
      <w:numFmt w:val="decimal"/>
      <w:lvlRestart w:val="0"/>
      <w:suff w:val="nothing"/>
      <w:lvlText w:val="Chart %1.%8"/>
      <w:lvlJc w:val="left"/>
      <w:rPr>
        <w:rFonts w:ascii="Calibri" w:hAnsi="Calibri" w:cs="Arial" w:hint="default"/>
        <w:b/>
        <w:i w:val="0"/>
        <w:color w:val="002776"/>
        <w:sz w:val="20"/>
        <w:szCs w:val="20"/>
      </w:rPr>
    </w:lvl>
    <w:lvl w:ilvl="8">
      <w:start w:val="1"/>
      <w:numFmt w:val="decimal"/>
      <w:lvlRestart w:val="0"/>
      <w:suff w:val="nothing"/>
      <w:lvlText w:val="Figure %1.%9"/>
      <w:lvlJc w:val="left"/>
      <w:rPr>
        <w:rFonts w:ascii="Calibri" w:hAnsi="Calibri" w:cs="Arial" w:hint="default"/>
        <w:b/>
        <w:i w:val="0"/>
        <w:color w:val="002776"/>
        <w:sz w:val="20"/>
        <w:szCs w:val="20"/>
      </w:rPr>
    </w:lvl>
  </w:abstractNum>
  <w:abstractNum w:abstractNumId="19">
    <w:nsid w:val="392B73D6"/>
    <w:multiLevelType w:val="hybridMultilevel"/>
    <w:tmpl w:val="1450AD28"/>
    <w:name w:val="BulletList"/>
    <w:lvl w:ilvl="0" w:tplc="E8882CC4">
      <w:start w:val="1"/>
      <w:numFmt w:val="bullet"/>
      <w:lvlText w:val=""/>
      <w:lvlJc w:val="left"/>
      <w:pPr>
        <w:ind w:left="720" w:hanging="360"/>
      </w:pPr>
      <w:rPr>
        <w:rFonts w:ascii="Symbol" w:hAnsi="Symbol" w:hint="default"/>
      </w:rPr>
    </w:lvl>
    <w:lvl w:ilvl="1" w:tplc="A6F6CB9A" w:tentative="1">
      <w:start w:val="1"/>
      <w:numFmt w:val="bullet"/>
      <w:lvlText w:val="o"/>
      <w:lvlJc w:val="left"/>
      <w:pPr>
        <w:ind w:left="1440" w:hanging="360"/>
      </w:pPr>
      <w:rPr>
        <w:rFonts w:ascii="Courier New" w:hAnsi="Courier New" w:hint="default"/>
      </w:rPr>
    </w:lvl>
    <w:lvl w:ilvl="2" w:tplc="6A302F10" w:tentative="1">
      <w:start w:val="1"/>
      <w:numFmt w:val="bullet"/>
      <w:lvlText w:val=""/>
      <w:lvlJc w:val="left"/>
      <w:pPr>
        <w:ind w:left="2160" w:hanging="360"/>
      </w:pPr>
      <w:rPr>
        <w:rFonts w:ascii="Wingdings" w:hAnsi="Wingdings" w:hint="default"/>
      </w:rPr>
    </w:lvl>
    <w:lvl w:ilvl="3" w:tplc="C3DC6F38" w:tentative="1">
      <w:start w:val="1"/>
      <w:numFmt w:val="bullet"/>
      <w:lvlText w:val=""/>
      <w:lvlJc w:val="left"/>
      <w:pPr>
        <w:ind w:left="2880" w:hanging="360"/>
      </w:pPr>
      <w:rPr>
        <w:rFonts w:ascii="Symbol" w:hAnsi="Symbol" w:hint="default"/>
      </w:rPr>
    </w:lvl>
    <w:lvl w:ilvl="4" w:tplc="2D28A880" w:tentative="1">
      <w:start w:val="1"/>
      <w:numFmt w:val="bullet"/>
      <w:lvlText w:val="o"/>
      <w:lvlJc w:val="left"/>
      <w:pPr>
        <w:ind w:left="3600" w:hanging="360"/>
      </w:pPr>
      <w:rPr>
        <w:rFonts w:ascii="Courier New" w:hAnsi="Courier New" w:hint="default"/>
      </w:rPr>
    </w:lvl>
    <w:lvl w:ilvl="5" w:tplc="CDC46302" w:tentative="1">
      <w:start w:val="1"/>
      <w:numFmt w:val="bullet"/>
      <w:lvlText w:val=""/>
      <w:lvlJc w:val="left"/>
      <w:pPr>
        <w:ind w:left="4320" w:hanging="360"/>
      </w:pPr>
      <w:rPr>
        <w:rFonts w:ascii="Wingdings" w:hAnsi="Wingdings" w:hint="default"/>
      </w:rPr>
    </w:lvl>
    <w:lvl w:ilvl="6" w:tplc="C6D0D70C" w:tentative="1">
      <w:start w:val="1"/>
      <w:numFmt w:val="bullet"/>
      <w:lvlText w:val=""/>
      <w:lvlJc w:val="left"/>
      <w:pPr>
        <w:ind w:left="5040" w:hanging="360"/>
      </w:pPr>
      <w:rPr>
        <w:rFonts w:ascii="Symbol" w:hAnsi="Symbol" w:hint="default"/>
      </w:rPr>
    </w:lvl>
    <w:lvl w:ilvl="7" w:tplc="5F6413EE" w:tentative="1">
      <w:start w:val="1"/>
      <w:numFmt w:val="bullet"/>
      <w:lvlText w:val="o"/>
      <w:lvlJc w:val="left"/>
      <w:pPr>
        <w:ind w:left="5760" w:hanging="360"/>
      </w:pPr>
      <w:rPr>
        <w:rFonts w:ascii="Courier New" w:hAnsi="Courier New" w:hint="default"/>
      </w:rPr>
    </w:lvl>
    <w:lvl w:ilvl="8" w:tplc="05EC6A42" w:tentative="1">
      <w:start w:val="1"/>
      <w:numFmt w:val="bullet"/>
      <w:lvlText w:val=""/>
      <w:lvlJc w:val="left"/>
      <w:pPr>
        <w:ind w:left="6480" w:hanging="360"/>
      </w:pPr>
      <w:rPr>
        <w:rFonts w:ascii="Wingdings" w:hAnsi="Wingdings" w:hint="default"/>
      </w:rPr>
    </w:lvl>
  </w:abstractNum>
  <w:abstractNum w:abstractNumId="20">
    <w:nsid w:val="3FCD55A8"/>
    <w:multiLevelType w:val="hybridMultilevel"/>
    <w:tmpl w:val="19D2E6DC"/>
    <w:lvl w:ilvl="0" w:tplc="24285BEE">
      <w:start w:val="1"/>
      <w:numFmt w:val="bullet"/>
      <w:pStyle w:val="Listbullettable"/>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04422F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2">
    <w:nsid w:val="42142A31"/>
    <w:multiLevelType w:val="multilevel"/>
    <w:tmpl w:val="FA041674"/>
    <w:lvl w:ilvl="0">
      <w:start w:val="1"/>
      <w:numFmt w:val="upperLetter"/>
      <w:pStyle w:val="Heading"/>
      <w:suff w:val="nothing"/>
      <w:lvlText w:val="Appendix %1"/>
      <w:lvlJc w:val="left"/>
      <w:rPr>
        <w:rFonts w:cs="Times New Roman" w:hint="default"/>
      </w:rPr>
    </w:lvl>
    <w:lvl w:ilvl="1">
      <w:start w:val="1"/>
      <w:numFmt w:val="decimal"/>
      <w:pStyle w:val="AppendixTableCaption"/>
      <w:suff w:val="nothing"/>
      <w:lvlText w:val="Table %1.%2"/>
      <w:lvlJc w:val="left"/>
      <w:rPr>
        <w:rFonts w:ascii="Calibri" w:hAnsi="Calibri" w:cs="Arial" w:hint="default"/>
        <w:b/>
        <w:i w:val="0"/>
        <w:color w:val="002776"/>
        <w:sz w:val="22"/>
      </w:rPr>
    </w:lvl>
    <w:lvl w:ilvl="2">
      <w:start w:val="1"/>
      <w:numFmt w:val="decimal"/>
      <w:lvlRestart w:val="0"/>
      <w:pStyle w:val="AppendixChartCaption"/>
      <w:suff w:val="nothing"/>
      <w:lvlText w:val="Chart %1.%3"/>
      <w:lvlJc w:val="left"/>
      <w:rPr>
        <w:rFonts w:ascii="Calibri" w:hAnsi="Calibri" w:cs="Arial" w:hint="default"/>
        <w:b/>
        <w:i w:val="0"/>
        <w:color w:val="002776"/>
        <w:sz w:val="24"/>
        <w:szCs w:val="24"/>
      </w:rPr>
    </w:lvl>
    <w:lvl w:ilvl="3">
      <w:start w:val="1"/>
      <w:numFmt w:val="decimal"/>
      <w:lvlRestart w:val="0"/>
      <w:pStyle w:val="AppendixFigureCaption"/>
      <w:suff w:val="nothing"/>
      <w:lvlText w:val="Figure %1.%4"/>
      <w:lvlJc w:val="left"/>
      <w:rPr>
        <w:rFonts w:ascii="Calibri" w:hAnsi="Calibri" w:cs="Arial" w:hint="default"/>
        <w:b/>
        <w:i w:val="0"/>
        <w:color w:val="002776"/>
        <w:sz w:val="24"/>
        <w:szCs w:val="24"/>
      </w:rPr>
    </w:lvl>
    <w:lvl w:ilvl="4">
      <w:start w:val="1"/>
      <w:numFmt w:val="decimal"/>
      <w:lvlText w:val="%1.%2.%3.%4.%5"/>
      <w:lvlJc w:val="left"/>
      <w:pPr>
        <w:tabs>
          <w:tab w:val="num" w:pos="1134"/>
        </w:tabs>
        <w:ind w:left="1134" w:hanging="1134"/>
      </w:pPr>
      <w:rPr>
        <w:rFonts w:ascii="Arial" w:hAnsi="Arial" w:cs="Arial" w:hint="default"/>
        <w:b w:val="0"/>
        <w:i w:val="0"/>
        <w:color w:val="931638"/>
        <w:sz w:val="20"/>
      </w:rPr>
    </w:lvl>
    <w:lvl w:ilvl="5">
      <w:start w:val="1"/>
      <w:numFmt w:val="decimal"/>
      <w:lvlText w:val="%1.%2.%3.%4.%5.%6"/>
      <w:lvlJc w:val="left"/>
      <w:pPr>
        <w:tabs>
          <w:tab w:val="num" w:pos="1701"/>
        </w:tabs>
        <w:ind w:left="1701" w:hanging="1701"/>
      </w:pPr>
      <w:rPr>
        <w:rFonts w:ascii="Arial" w:hAnsi="Arial" w:cs="Arial" w:hint="default"/>
        <w:b w:val="0"/>
        <w:i w:val="0"/>
        <w:color w:val="931638"/>
        <w:sz w:val="20"/>
      </w:rPr>
    </w:lvl>
    <w:lvl w:ilvl="6">
      <w:start w:val="1"/>
      <w:numFmt w:val="decimal"/>
      <w:lvlText w:val="%1.%2.%3.%4.%5.%6.%7"/>
      <w:lvlJc w:val="left"/>
      <w:pPr>
        <w:tabs>
          <w:tab w:val="num" w:pos="1701"/>
        </w:tabs>
        <w:ind w:left="1701" w:hanging="1701"/>
      </w:pPr>
      <w:rPr>
        <w:rFonts w:ascii="Arial" w:hAnsi="Arial" w:cs="Arial" w:hint="default"/>
        <w:b w:val="0"/>
        <w:i w:val="0"/>
        <w:color w:val="931638"/>
        <w:sz w:val="20"/>
      </w:rPr>
    </w:lvl>
    <w:lvl w:ilvl="7">
      <w:start w:val="1"/>
      <w:numFmt w:val="decimal"/>
      <w:lvlText w:val="%1.%2.%3.%4.%5.%6.%7.%8"/>
      <w:lvlJc w:val="left"/>
      <w:pPr>
        <w:tabs>
          <w:tab w:val="num" w:pos="1701"/>
        </w:tabs>
        <w:ind w:left="1701" w:hanging="1701"/>
      </w:pPr>
      <w:rPr>
        <w:rFonts w:ascii="Arial" w:hAnsi="Arial" w:cs="Arial" w:hint="default"/>
        <w:b w:val="0"/>
        <w:i w:val="0"/>
        <w:color w:val="931638"/>
        <w:sz w:val="20"/>
      </w:rPr>
    </w:lvl>
    <w:lvl w:ilvl="8">
      <w:start w:val="1"/>
      <w:numFmt w:val="decimal"/>
      <w:lvlText w:val="%1.%2.%3.%4.%5.%6.%7.%8.%9"/>
      <w:lvlJc w:val="left"/>
      <w:pPr>
        <w:tabs>
          <w:tab w:val="num" w:pos="1701"/>
        </w:tabs>
        <w:ind w:left="1701" w:hanging="1701"/>
      </w:pPr>
      <w:rPr>
        <w:rFonts w:ascii="Arial" w:hAnsi="Arial" w:cs="Arial" w:hint="default"/>
        <w:b w:val="0"/>
        <w:i w:val="0"/>
        <w:color w:val="931638"/>
        <w:sz w:val="20"/>
      </w:rPr>
    </w:lvl>
  </w:abstractNum>
  <w:abstractNum w:abstractNumId="23">
    <w:nsid w:val="4393200F"/>
    <w:multiLevelType w:val="singleLevel"/>
    <w:tmpl w:val="4614C302"/>
    <w:lvl w:ilvl="0">
      <w:start w:val="1"/>
      <w:numFmt w:val="lowerLetter"/>
      <w:pStyle w:val="IndentAlphabeticList"/>
      <w:lvlText w:val="%1"/>
      <w:lvlJc w:val="left"/>
      <w:pPr>
        <w:ind w:left="927" w:hanging="360"/>
      </w:pPr>
      <w:rPr>
        <w:rFonts w:ascii="Calibri" w:hAnsi="Calibri" w:cs="Arial" w:hint="default"/>
        <w:b w:val="0"/>
        <w:i w:val="0"/>
        <w:color w:val="000000"/>
        <w:sz w:val="22"/>
        <w:szCs w:val="22"/>
      </w:rPr>
    </w:lvl>
  </w:abstractNum>
  <w:abstractNum w:abstractNumId="24">
    <w:nsid w:val="43A84A63"/>
    <w:multiLevelType w:val="hybridMultilevel"/>
    <w:tmpl w:val="F2682A10"/>
    <w:lvl w:ilvl="0" w:tplc="9352405C">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CA04DDB"/>
    <w:multiLevelType w:val="multilevel"/>
    <w:tmpl w:val="0409001D"/>
    <w:name w:val="IndentDashList"/>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4DCE2E8E"/>
    <w:multiLevelType w:val="multilevel"/>
    <w:tmpl w:val="3D485516"/>
    <w:lvl w:ilvl="0">
      <w:numFmt w:val="none"/>
      <w:lvlText w:val=""/>
      <w:lvlJc w:val="left"/>
      <w:pPr>
        <w:tabs>
          <w:tab w:val="num" w:pos="360"/>
        </w:tabs>
      </w:pPr>
      <w:rPr>
        <w:rFonts w:cs="Times New Roman"/>
      </w:rPr>
    </w:lvl>
    <w:lvl w:ilvl="1">
      <w:start w:val="1"/>
      <w:numFmt w:val="bullet"/>
      <w:lvlRestart w:val="0"/>
      <w:pStyle w:val="DashList"/>
      <w:lvlText w:val=""/>
      <w:lvlJc w:val="left"/>
      <w:pPr>
        <w:tabs>
          <w:tab w:val="num" w:pos="1134"/>
        </w:tabs>
        <w:ind w:left="1134" w:hanging="567"/>
      </w:pPr>
      <w:rPr>
        <w:rFonts w:ascii="Wingdings 3" w:hAnsi="Wingdings 3" w:hint="default"/>
        <w:b/>
        <w:i w:val="0"/>
        <w:color w:val="931638"/>
        <w:sz w:val="24"/>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5896375D"/>
    <w:multiLevelType w:val="hybridMultilevel"/>
    <w:tmpl w:val="8848B5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A693A46"/>
    <w:multiLevelType w:val="singleLevel"/>
    <w:tmpl w:val="8E3AB198"/>
    <w:name w:val="NumberedList"/>
    <w:lvl w:ilvl="0">
      <w:start w:val="1"/>
      <w:numFmt w:val="lowerLetter"/>
      <w:lvlRestart w:val="0"/>
      <w:lvlText w:val="%1"/>
      <w:lvlJc w:val="left"/>
      <w:pPr>
        <w:tabs>
          <w:tab w:val="num" w:pos="1134"/>
        </w:tabs>
        <w:ind w:left="1134" w:hanging="567"/>
      </w:pPr>
      <w:rPr>
        <w:rFonts w:ascii="Arial" w:hAnsi="Arial" w:cs="Arial" w:hint="default"/>
        <w:b w:val="0"/>
        <w:i w:val="0"/>
        <w:color w:val="000000"/>
        <w:sz w:val="22"/>
        <w:szCs w:val="22"/>
      </w:rPr>
    </w:lvl>
  </w:abstractNum>
  <w:abstractNum w:abstractNumId="29">
    <w:nsid w:val="5BB86D4F"/>
    <w:multiLevelType w:val="hybridMultilevel"/>
    <w:tmpl w:val="98E89F60"/>
    <w:lvl w:ilvl="0" w:tplc="2892F572">
      <w:start w:val="1"/>
      <w:numFmt w:val="bullet"/>
      <w:pStyle w:val="Bullet2"/>
      <w:lvlText w:val="•"/>
      <w:lvlJc w:val="left"/>
      <w:pPr>
        <w:ind w:left="1287" w:hanging="360"/>
      </w:pPr>
      <w:rPr>
        <w:rFonts w:ascii="Calibri" w:hAnsi="Calibri" w:hint="default"/>
        <w:color w:val="72C7E7"/>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nsid w:val="5BDB1C20"/>
    <w:multiLevelType w:val="multilevel"/>
    <w:tmpl w:val="B0EE076C"/>
    <w:lvl w:ilvl="0">
      <w:start w:val="1"/>
      <w:numFmt w:val="decimal"/>
      <w:pStyle w:val="MENoIndent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lowerLetter"/>
      <w:suff w:val="space"/>
      <w:lvlText w:val="(%3)"/>
      <w:lvlJc w:val="left"/>
      <w:rPr>
        <w:rFonts w:cs="Times New Roman" w:hint="default"/>
      </w:rPr>
    </w:lvl>
    <w:lvl w:ilvl="3">
      <w:start w:val="1"/>
      <w:numFmt w:val="lowerRoman"/>
      <w:suff w:val="space"/>
      <w:lvlText w:val="(%4)"/>
      <w:lvlJc w:val="left"/>
      <w:rPr>
        <w:rFonts w:cs="Times New Roman" w:hint="default"/>
      </w:rPr>
    </w:lvl>
    <w:lvl w:ilvl="4">
      <w:start w:val="1"/>
      <w:numFmt w:val="upperLetter"/>
      <w:suff w:val="space"/>
      <w:lvlText w:val="(%5)"/>
      <w:lvlJc w:val="left"/>
      <w:rPr>
        <w:rFonts w:cs="Times New Roman" w:hint="default"/>
      </w:rPr>
    </w:lvl>
    <w:lvl w:ilvl="5">
      <w:start w:val="1"/>
      <w:numFmt w:val="upperRoman"/>
      <w:suff w:val="space"/>
      <w:lvlText w:val="(%6)"/>
      <w:lvlJc w:val="left"/>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31">
    <w:nsid w:val="5BEA6677"/>
    <w:multiLevelType w:val="hybridMultilevel"/>
    <w:tmpl w:val="42C01E0C"/>
    <w:name w:val="IndentAlphabeticList"/>
    <w:lvl w:ilvl="0" w:tplc="130C176A">
      <w:start w:val="1"/>
      <w:numFmt w:val="bullet"/>
      <w:lvlText w:val=""/>
      <w:lvlJc w:val="left"/>
      <w:pPr>
        <w:ind w:left="720" w:hanging="360"/>
      </w:pPr>
      <w:rPr>
        <w:rFonts w:ascii="Symbol" w:hAnsi="Symbol" w:hint="default"/>
      </w:rPr>
    </w:lvl>
    <w:lvl w:ilvl="1" w:tplc="9AEE3FCA" w:tentative="1">
      <w:start w:val="1"/>
      <w:numFmt w:val="bullet"/>
      <w:lvlText w:val="o"/>
      <w:lvlJc w:val="left"/>
      <w:pPr>
        <w:ind w:left="1440" w:hanging="360"/>
      </w:pPr>
      <w:rPr>
        <w:rFonts w:ascii="Courier New" w:hAnsi="Courier New" w:hint="default"/>
      </w:rPr>
    </w:lvl>
    <w:lvl w:ilvl="2" w:tplc="9F68C952" w:tentative="1">
      <w:start w:val="1"/>
      <w:numFmt w:val="bullet"/>
      <w:lvlText w:val=""/>
      <w:lvlJc w:val="left"/>
      <w:pPr>
        <w:ind w:left="2160" w:hanging="360"/>
      </w:pPr>
      <w:rPr>
        <w:rFonts w:ascii="Wingdings" w:hAnsi="Wingdings" w:hint="default"/>
      </w:rPr>
    </w:lvl>
    <w:lvl w:ilvl="3" w:tplc="03A2D29A" w:tentative="1">
      <w:start w:val="1"/>
      <w:numFmt w:val="bullet"/>
      <w:lvlText w:val=""/>
      <w:lvlJc w:val="left"/>
      <w:pPr>
        <w:ind w:left="2880" w:hanging="360"/>
      </w:pPr>
      <w:rPr>
        <w:rFonts w:ascii="Symbol" w:hAnsi="Symbol" w:hint="default"/>
      </w:rPr>
    </w:lvl>
    <w:lvl w:ilvl="4" w:tplc="079E955C" w:tentative="1">
      <w:start w:val="1"/>
      <w:numFmt w:val="bullet"/>
      <w:lvlText w:val="o"/>
      <w:lvlJc w:val="left"/>
      <w:pPr>
        <w:ind w:left="3600" w:hanging="360"/>
      </w:pPr>
      <w:rPr>
        <w:rFonts w:ascii="Courier New" w:hAnsi="Courier New" w:hint="default"/>
      </w:rPr>
    </w:lvl>
    <w:lvl w:ilvl="5" w:tplc="717070D0" w:tentative="1">
      <w:start w:val="1"/>
      <w:numFmt w:val="bullet"/>
      <w:lvlText w:val=""/>
      <w:lvlJc w:val="left"/>
      <w:pPr>
        <w:ind w:left="4320" w:hanging="360"/>
      </w:pPr>
      <w:rPr>
        <w:rFonts w:ascii="Wingdings" w:hAnsi="Wingdings" w:hint="default"/>
      </w:rPr>
    </w:lvl>
    <w:lvl w:ilvl="6" w:tplc="5B10D098" w:tentative="1">
      <w:start w:val="1"/>
      <w:numFmt w:val="bullet"/>
      <w:lvlText w:val=""/>
      <w:lvlJc w:val="left"/>
      <w:pPr>
        <w:ind w:left="5040" w:hanging="360"/>
      </w:pPr>
      <w:rPr>
        <w:rFonts w:ascii="Symbol" w:hAnsi="Symbol" w:hint="default"/>
      </w:rPr>
    </w:lvl>
    <w:lvl w:ilvl="7" w:tplc="0366C4A8" w:tentative="1">
      <w:start w:val="1"/>
      <w:numFmt w:val="bullet"/>
      <w:lvlText w:val="o"/>
      <w:lvlJc w:val="left"/>
      <w:pPr>
        <w:ind w:left="5760" w:hanging="360"/>
      </w:pPr>
      <w:rPr>
        <w:rFonts w:ascii="Courier New" w:hAnsi="Courier New" w:hint="default"/>
      </w:rPr>
    </w:lvl>
    <w:lvl w:ilvl="8" w:tplc="ED520634" w:tentative="1">
      <w:start w:val="1"/>
      <w:numFmt w:val="bullet"/>
      <w:lvlText w:val=""/>
      <w:lvlJc w:val="left"/>
      <w:pPr>
        <w:ind w:left="6480" w:hanging="360"/>
      </w:pPr>
      <w:rPr>
        <w:rFonts w:ascii="Wingdings" w:hAnsi="Wingdings" w:hint="default"/>
      </w:rPr>
    </w:lvl>
  </w:abstractNum>
  <w:abstractNum w:abstractNumId="32">
    <w:nsid w:val="601A2164"/>
    <w:multiLevelType w:val="singleLevel"/>
    <w:tmpl w:val="28CC76BA"/>
    <w:lvl w:ilvl="0">
      <w:start w:val="1"/>
      <w:numFmt w:val="upperLetter"/>
      <w:pStyle w:val="AlphabeticList"/>
      <w:lvlText w:val="%1"/>
      <w:lvlJc w:val="left"/>
      <w:pPr>
        <w:ind w:left="567" w:hanging="567"/>
      </w:pPr>
      <w:rPr>
        <w:rFonts w:ascii="Calibri" w:hAnsi="Calibri" w:cs="Arial" w:hint="default"/>
      </w:rPr>
    </w:lvl>
  </w:abstractNum>
  <w:abstractNum w:abstractNumId="33">
    <w:nsid w:val="6C2815A0"/>
    <w:multiLevelType w:val="multilevel"/>
    <w:tmpl w:val="2240431E"/>
    <w:name w:val="AlphabeticList"/>
    <w:lvl w:ilvl="0">
      <w:numFmt w:val="none"/>
      <w:lvlText w:val=""/>
      <w:lvlJc w:val="left"/>
      <w:pPr>
        <w:tabs>
          <w:tab w:val="num" w:pos="360"/>
        </w:tabs>
      </w:pPr>
      <w:rPr>
        <w:rFonts w:cs="Times New Roman"/>
      </w:rPr>
    </w:lvl>
    <w:lvl w:ilvl="1">
      <w:start w:val="1"/>
      <w:numFmt w:val="bullet"/>
      <w:lvlRestart w:val="0"/>
      <w:lvlText w:val=""/>
      <w:lvlJc w:val="left"/>
      <w:pPr>
        <w:tabs>
          <w:tab w:val="num" w:pos="1134"/>
        </w:tabs>
        <w:ind w:left="1134" w:hanging="567"/>
      </w:pPr>
      <w:rPr>
        <w:rFonts w:ascii="Wingdings 3" w:hAnsi="Wingdings 3" w:hint="default"/>
        <w:b/>
        <w:i w:val="0"/>
        <w:color w:val="931638"/>
        <w:sz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nsid w:val="71452641"/>
    <w:multiLevelType w:val="multilevel"/>
    <w:tmpl w:val="6FB63610"/>
    <w:lvl w:ilvl="0">
      <w:start w:val="1"/>
      <w:numFmt w:val="decimal"/>
      <w:pStyle w:val="NumberedList"/>
      <w:lvlText w:val="%1."/>
      <w:lvlJc w:val="left"/>
      <w:pPr>
        <w:ind w:left="567" w:hanging="567"/>
      </w:pPr>
      <w:rPr>
        <w:rFonts w:cs="Times New Roman" w:hint="default"/>
      </w:rPr>
    </w:lvl>
    <w:lvl w:ilvl="1">
      <w:start w:val="1"/>
      <w:numFmt w:val="lowerLetter"/>
      <w:lvlText w:val="%2."/>
      <w:lvlJc w:val="left"/>
      <w:pPr>
        <w:ind w:left="1170" w:hanging="360"/>
      </w:pPr>
      <w:rPr>
        <w:rFonts w:cs="Times New Roman" w:hint="default"/>
      </w:rPr>
    </w:lvl>
    <w:lvl w:ilvl="2">
      <w:start w:val="1"/>
      <w:numFmt w:val="lowerRoman"/>
      <w:lvlText w:val="%3."/>
      <w:lvlJc w:val="right"/>
      <w:pPr>
        <w:ind w:left="1890" w:hanging="180"/>
      </w:pPr>
      <w:rPr>
        <w:rFonts w:cs="Times New Roman" w:hint="default"/>
      </w:rPr>
    </w:lvl>
    <w:lvl w:ilvl="3">
      <w:start w:val="1"/>
      <w:numFmt w:val="decimal"/>
      <w:lvlText w:val="%4."/>
      <w:lvlJc w:val="left"/>
      <w:pPr>
        <w:ind w:left="2610" w:hanging="360"/>
      </w:pPr>
      <w:rPr>
        <w:rFonts w:cs="Times New Roman" w:hint="default"/>
      </w:rPr>
    </w:lvl>
    <w:lvl w:ilvl="4">
      <w:start w:val="1"/>
      <w:numFmt w:val="lowerLetter"/>
      <w:lvlText w:val="%5."/>
      <w:lvlJc w:val="left"/>
      <w:pPr>
        <w:ind w:left="3330" w:hanging="360"/>
      </w:pPr>
      <w:rPr>
        <w:rFonts w:cs="Times New Roman" w:hint="default"/>
      </w:rPr>
    </w:lvl>
    <w:lvl w:ilvl="5">
      <w:start w:val="1"/>
      <w:numFmt w:val="lowerRoman"/>
      <w:lvlText w:val="%6."/>
      <w:lvlJc w:val="right"/>
      <w:pPr>
        <w:ind w:left="4050" w:hanging="180"/>
      </w:pPr>
      <w:rPr>
        <w:rFonts w:cs="Times New Roman" w:hint="default"/>
      </w:rPr>
    </w:lvl>
    <w:lvl w:ilvl="6">
      <w:start w:val="1"/>
      <w:numFmt w:val="decimal"/>
      <w:lvlText w:val="%7."/>
      <w:lvlJc w:val="left"/>
      <w:pPr>
        <w:ind w:left="4770" w:hanging="360"/>
      </w:pPr>
      <w:rPr>
        <w:rFonts w:cs="Times New Roman" w:hint="default"/>
      </w:rPr>
    </w:lvl>
    <w:lvl w:ilvl="7">
      <w:start w:val="1"/>
      <w:numFmt w:val="lowerLetter"/>
      <w:lvlText w:val="%8."/>
      <w:lvlJc w:val="left"/>
      <w:pPr>
        <w:ind w:left="5490" w:hanging="360"/>
      </w:pPr>
      <w:rPr>
        <w:rFonts w:cs="Times New Roman" w:hint="default"/>
      </w:rPr>
    </w:lvl>
    <w:lvl w:ilvl="8">
      <w:start w:val="1"/>
      <w:numFmt w:val="lowerRoman"/>
      <w:lvlText w:val="%9."/>
      <w:lvlJc w:val="right"/>
      <w:pPr>
        <w:ind w:left="6210" w:hanging="180"/>
      </w:pPr>
      <w:rPr>
        <w:rFonts w:cs="Times New Roman" w:hint="default"/>
      </w:rPr>
    </w:lvl>
  </w:abstractNum>
  <w:abstractNum w:abstractNumId="35">
    <w:nsid w:val="74D31029"/>
    <w:multiLevelType w:val="multilevel"/>
    <w:tmpl w:val="94C27182"/>
    <w:lvl w:ilvl="0">
      <w:start w:val="1"/>
      <w:numFmt w:val="bullet"/>
      <w:pStyle w:val="Bulletbold"/>
      <w:lvlText w:val=""/>
      <w:lvlJc w:val="left"/>
      <w:pPr>
        <w:ind w:left="360" w:hanging="360"/>
      </w:pPr>
      <w:rPr>
        <w:rFonts w:ascii="Symbol" w:hAnsi="Symbol" w:hint="default"/>
        <w:color w:val="002776"/>
        <w:sz w:val="22"/>
      </w:rPr>
    </w:lvl>
    <w:lvl w:ilvl="1">
      <w:start w:val="1"/>
      <w:numFmt w:val="bullet"/>
      <w:lvlRestart w:val="0"/>
      <w:lvlText w:val=""/>
      <w:lvlJc w:val="left"/>
      <w:pPr>
        <w:tabs>
          <w:tab w:val="num" w:pos="1134"/>
        </w:tabs>
        <w:ind w:left="1134" w:hanging="567"/>
      </w:pPr>
      <w:rPr>
        <w:rFonts w:ascii="Wingdings 3" w:hAnsi="Wingdings 3" w:hint="default"/>
        <w:b/>
        <w:i w:val="0"/>
        <w:color w:val="931638"/>
        <w:sz w:val="24"/>
      </w:rPr>
    </w:lvl>
    <w:lvl w:ilvl="2">
      <w:start w:val="1"/>
      <w:numFmt w:val="bullet"/>
      <w:lvlText w:val="-"/>
      <w:lvlJc w:val="left"/>
      <w:pPr>
        <w:tabs>
          <w:tab w:val="num" w:pos="1701"/>
        </w:tabs>
        <w:ind w:left="1701" w:hanging="567"/>
      </w:pPr>
      <w:rPr>
        <w:rFonts w:ascii="Arial" w:hAnsi="Arial" w:hint="default"/>
        <w:color w:val="931638"/>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nsid w:val="775728CF"/>
    <w:multiLevelType w:val="hybridMultilevel"/>
    <w:tmpl w:val="9F1807C8"/>
    <w:lvl w:ilvl="0" w:tplc="1ED06BF4">
      <w:start w:val="1"/>
      <w:numFmt w:val="bullet"/>
      <w:pStyle w:val="DBullet"/>
      <w:lvlText w:val=""/>
      <w:lvlJc w:val="left"/>
      <w:pPr>
        <w:tabs>
          <w:tab w:val="num" w:pos="357"/>
        </w:tabs>
        <w:ind w:left="357" w:hanging="357"/>
      </w:pPr>
      <w:rPr>
        <w:rFonts w:ascii="Symbol" w:hAnsi="Symbol" w:hint="default"/>
      </w:rPr>
    </w:lvl>
    <w:lvl w:ilvl="1" w:tplc="D940FEDA" w:tentative="1">
      <w:start w:val="1"/>
      <w:numFmt w:val="bullet"/>
      <w:lvlText w:val="o"/>
      <w:lvlJc w:val="left"/>
      <w:pPr>
        <w:tabs>
          <w:tab w:val="num" w:pos="1090"/>
        </w:tabs>
        <w:ind w:left="1090" w:hanging="360"/>
      </w:pPr>
      <w:rPr>
        <w:rFonts w:ascii="Courier New" w:hAnsi="Courier New" w:hint="default"/>
      </w:rPr>
    </w:lvl>
    <w:lvl w:ilvl="2" w:tplc="A7665F9E" w:tentative="1">
      <w:start w:val="1"/>
      <w:numFmt w:val="bullet"/>
      <w:lvlText w:val=""/>
      <w:lvlJc w:val="left"/>
      <w:pPr>
        <w:tabs>
          <w:tab w:val="num" w:pos="1810"/>
        </w:tabs>
        <w:ind w:left="1810" w:hanging="360"/>
      </w:pPr>
      <w:rPr>
        <w:rFonts w:ascii="Wingdings" w:hAnsi="Wingdings" w:hint="default"/>
      </w:rPr>
    </w:lvl>
    <w:lvl w:ilvl="3" w:tplc="8E06246A" w:tentative="1">
      <w:start w:val="1"/>
      <w:numFmt w:val="bullet"/>
      <w:lvlText w:val=""/>
      <w:lvlJc w:val="left"/>
      <w:pPr>
        <w:tabs>
          <w:tab w:val="num" w:pos="2530"/>
        </w:tabs>
        <w:ind w:left="2530" w:hanging="360"/>
      </w:pPr>
      <w:rPr>
        <w:rFonts w:ascii="Symbol" w:hAnsi="Symbol" w:hint="default"/>
      </w:rPr>
    </w:lvl>
    <w:lvl w:ilvl="4" w:tplc="5B68272E" w:tentative="1">
      <w:start w:val="1"/>
      <w:numFmt w:val="bullet"/>
      <w:lvlText w:val="o"/>
      <w:lvlJc w:val="left"/>
      <w:pPr>
        <w:tabs>
          <w:tab w:val="num" w:pos="3250"/>
        </w:tabs>
        <w:ind w:left="3250" w:hanging="360"/>
      </w:pPr>
      <w:rPr>
        <w:rFonts w:ascii="Courier New" w:hAnsi="Courier New" w:hint="default"/>
      </w:rPr>
    </w:lvl>
    <w:lvl w:ilvl="5" w:tplc="5D8EA73A" w:tentative="1">
      <w:start w:val="1"/>
      <w:numFmt w:val="bullet"/>
      <w:lvlText w:val=""/>
      <w:lvlJc w:val="left"/>
      <w:pPr>
        <w:tabs>
          <w:tab w:val="num" w:pos="3970"/>
        </w:tabs>
        <w:ind w:left="3970" w:hanging="360"/>
      </w:pPr>
      <w:rPr>
        <w:rFonts w:ascii="Wingdings" w:hAnsi="Wingdings" w:hint="default"/>
      </w:rPr>
    </w:lvl>
    <w:lvl w:ilvl="6" w:tplc="E022338C" w:tentative="1">
      <w:start w:val="1"/>
      <w:numFmt w:val="bullet"/>
      <w:lvlText w:val=""/>
      <w:lvlJc w:val="left"/>
      <w:pPr>
        <w:tabs>
          <w:tab w:val="num" w:pos="4690"/>
        </w:tabs>
        <w:ind w:left="4690" w:hanging="360"/>
      </w:pPr>
      <w:rPr>
        <w:rFonts w:ascii="Symbol" w:hAnsi="Symbol" w:hint="default"/>
      </w:rPr>
    </w:lvl>
    <w:lvl w:ilvl="7" w:tplc="E11EDBF2" w:tentative="1">
      <w:start w:val="1"/>
      <w:numFmt w:val="bullet"/>
      <w:lvlText w:val="o"/>
      <w:lvlJc w:val="left"/>
      <w:pPr>
        <w:tabs>
          <w:tab w:val="num" w:pos="5410"/>
        </w:tabs>
        <w:ind w:left="5410" w:hanging="360"/>
      </w:pPr>
      <w:rPr>
        <w:rFonts w:ascii="Courier New" w:hAnsi="Courier New" w:hint="default"/>
      </w:rPr>
    </w:lvl>
    <w:lvl w:ilvl="8" w:tplc="50D689AE" w:tentative="1">
      <w:start w:val="1"/>
      <w:numFmt w:val="bullet"/>
      <w:lvlText w:val=""/>
      <w:lvlJc w:val="left"/>
      <w:pPr>
        <w:tabs>
          <w:tab w:val="num" w:pos="6130"/>
        </w:tabs>
        <w:ind w:left="6130" w:hanging="360"/>
      </w:pPr>
      <w:rPr>
        <w:rFonts w:ascii="Wingdings" w:hAnsi="Wingdings" w:hint="default"/>
      </w:rPr>
    </w:lvl>
  </w:abstractNum>
  <w:num w:numId="1">
    <w:abstractNumId w:val="9"/>
  </w:num>
  <w:num w:numId="2">
    <w:abstractNumId w:val="8"/>
  </w:num>
  <w:num w:numId="3">
    <w:abstractNumId w:val="9"/>
  </w:num>
  <w:num w:numId="4">
    <w:abstractNumId w:val="8"/>
  </w:num>
  <w:num w:numId="5">
    <w:abstractNumId w:val="9"/>
  </w:num>
  <w:num w:numId="6">
    <w:abstractNumId w:val="8"/>
  </w:num>
  <w:num w:numId="7">
    <w:abstractNumId w:val="9"/>
  </w:num>
  <w:num w:numId="8">
    <w:abstractNumId w:val="8"/>
  </w:num>
  <w:num w:numId="9">
    <w:abstractNumId w:val="9"/>
  </w:num>
  <w:num w:numId="10">
    <w:abstractNumId w:val="9"/>
  </w:num>
  <w:num w:numId="11">
    <w:abstractNumId w:val="9"/>
  </w:num>
  <w:num w:numId="12">
    <w:abstractNumId w:val="9"/>
  </w:num>
  <w:num w:numId="13">
    <w:abstractNumId w:val="9"/>
  </w:num>
  <w:num w:numId="14">
    <w:abstractNumId w:val="26"/>
  </w:num>
  <w:num w:numId="15">
    <w:abstractNumId w:val="32"/>
  </w:num>
  <w:num w:numId="16">
    <w:abstractNumId w:val="23"/>
  </w:num>
  <w:num w:numId="17">
    <w:abstractNumId w:val="12"/>
  </w:num>
  <w:num w:numId="18">
    <w:abstractNumId w:val="35"/>
  </w:num>
  <w:num w:numId="19">
    <w:abstractNumId w:val="29"/>
  </w:num>
  <w:num w:numId="20">
    <w:abstractNumId w:val="11"/>
  </w:num>
  <w:num w:numId="21">
    <w:abstractNumId w:val="18"/>
  </w:num>
  <w:num w:numId="22">
    <w:abstractNumId w:val="14"/>
  </w:num>
  <w:num w:numId="23">
    <w:abstractNumId w:val="10"/>
  </w:num>
  <w:num w:numId="24">
    <w:abstractNumId w:val="34"/>
  </w:num>
  <w:num w:numId="25">
    <w:abstractNumId w:val="22"/>
  </w:num>
  <w:num w:numId="26">
    <w:abstractNumId w:val="36"/>
  </w:num>
  <w:num w:numId="27">
    <w:abstractNumId w:val="30"/>
  </w:num>
  <w:num w:numId="28">
    <w:abstractNumId w:val="24"/>
  </w:num>
  <w:num w:numId="29">
    <w:abstractNumId w:val="27"/>
  </w:num>
  <w:num w:numId="30">
    <w:abstractNumId w:val="20"/>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rawingGridHorizontalSpacing w:val="110"/>
  <w:displayHorizontalDrawingGridEvery w:val="2"/>
  <w:noPunctuationKerning/>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813"/>
    <w:rsid w:val="000001AB"/>
    <w:rsid w:val="000002DC"/>
    <w:rsid w:val="00000C42"/>
    <w:rsid w:val="00001113"/>
    <w:rsid w:val="000024C3"/>
    <w:rsid w:val="0000305E"/>
    <w:rsid w:val="000036E7"/>
    <w:rsid w:val="00004BA1"/>
    <w:rsid w:val="00004BA4"/>
    <w:rsid w:val="00005630"/>
    <w:rsid w:val="000058CD"/>
    <w:rsid w:val="00006690"/>
    <w:rsid w:val="00006A9F"/>
    <w:rsid w:val="000075E5"/>
    <w:rsid w:val="00007895"/>
    <w:rsid w:val="00010019"/>
    <w:rsid w:val="00010875"/>
    <w:rsid w:val="00010C36"/>
    <w:rsid w:val="00010E7D"/>
    <w:rsid w:val="0001118F"/>
    <w:rsid w:val="0001128F"/>
    <w:rsid w:val="00011D2A"/>
    <w:rsid w:val="00012432"/>
    <w:rsid w:val="00012C70"/>
    <w:rsid w:val="00014351"/>
    <w:rsid w:val="0001451A"/>
    <w:rsid w:val="0001458D"/>
    <w:rsid w:val="00014B2C"/>
    <w:rsid w:val="0001535E"/>
    <w:rsid w:val="0001545C"/>
    <w:rsid w:val="0001580E"/>
    <w:rsid w:val="000167FF"/>
    <w:rsid w:val="000171FE"/>
    <w:rsid w:val="000175EC"/>
    <w:rsid w:val="000179BD"/>
    <w:rsid w:val="00020ABB"/>
    <w:rsid w:val="00020CCD"/>
    <w:rsid w:val="000216EF"/>
    <w:rsid w:val="00022C61"/>
    <w:rsid w:val="00022D5C"/>
    <w:rsid w:val="00022D93"/>
    <w:rsid w:val="0002306E"/>
    <w:rsid w:val="00024338"/>
    <w:rsid w:val="00024B92"/>
    <w:rsid w:val="000259C8"/>
    <w:rsid w:val="00025B68"/>
    <w:rsid w:val="00025E95"/>
    <w:rsid w:val="000263B6"/>
    <w:rsid w:val="00026595"/>
    <w:rsid w:val="00026AC5"/>
    <w:rsid w:val="00027A98"/>
    <w:rsid w:val="00027CE4"/>
    <w:rsid w:val="00030332"/>
    <w:rsid w:val="0003053E"/>
    <w:rsid w:val="00031072"/>
    <w:rsid w:val="00031E68"/>
    <w:rsid w:val="000325C2"/>
    <w:rsid w:val="00032BCA"/>
    <w:rsid w:val="00032E26"/>
    <w:rsid w:val="00033312"/>
    <w:rsid w:val="00033340"/>
    <w:rsid w:val="0003384F"/>
    <w:rsid w:val="000346D0"/>
    <w:rsid w:val="00035632"/>
    <w:rsid w:val="000359D8"/>
    <w:rsid w:val="00036110"/>
    <w:rsid w:val="000365E6"/>
    <w:rsid w:val="00037BC3"/>
    <w:rsid w:val="00040225"/>
    <w:rsid w:val="00040526"/>
    <w:rsid w:val="00040A73"/>
    <w:rsid w:val="000412C2"/>
    <w:rsid w:val="0004142B"/>
    <w:rsid w:val="000414D3"/>
    <w:rsid w:val="00041ADD"/>
    <w:rsid w:val="00041D71"/>
    <w:rsid w:val="00042200"/>
    <w:rsid w:val="00042225"/>
    <w:rsid w:val="00042A90"/>
    <w:rsid w:val="00043622"/>
    <w:rsid w:val="00043786"/>
    <w:rsid w:val="000437F4"/>
    <w:rsid w:val="00043E63"/>
    <w:rsid w:val="00044EB4"/>
    <w:rsid w:val="0004528F"/>
    <w:rsid w:val="000464FE"/>
    <w:rsid w:val="00046B51"/>
    <w:rsid w:val="000475CE"/>
    <w:rsid w:val="00047681"/>
    <w:rsid w:val="00050637"/>
    <w:rsid w:val="00050E22"/>
    <w:rsid w:val="000510BC"/>
    <w:rsid w:val="00051164"/>
    <w:rsid w:val="000519AD"/>
    <w:rsid w:val="00052EA6"/>
    <w:rsid w:val="00053253"/>
    <w:rsid w:val="00053ABD"/>
    <w:rsid w:val="00054A03"/>
    <w:rsid w:val="00054F38"/>
    <w:rsid w:val="000555F4"/>
    <w:rsid w:val="00057796"/>
    <w:rsid w:val="00057948"/>
    <w:rsid w:val="000615BC"/>
    <w:rsid w:val="00061808"/>
    <w:rsid w:val="00061F04"/>
    <w:rsid w:val="0006373B"/>
    <w:rsid w:val="0006374F"/>
    <w:rsid w:val="000637EA"/>
    <w:rsid w:val="0006462F"/>
    <w:rsid w:val="00064662"/>
    <w:rsid w:val="00064ECC"/>
    <w:rsid w:val="00064FDE"/>
    <w:rsid w:val="00065293"/>
    <w:rsid w:val="00066753"/>
    <w:rsid w:val="000675FC"/>
    <w:rsid w:val="0007026C"/>
    <w:rsid w:val="00070D97"/>
    <w:rsid w:val="00070F59"/>
    <w:rsid w:val="00071072"/>
    <w:rsid w:val="00071470"/>
    <w:rsid w:val="00071B5A"/>
    <w:rsid w:val="00071CC2"/>
    <w:rsid w:val="00071DBC"/>
    <w:rsid w:val="000723D8"/>
    <w:rsid w:val="00072FA9"/>
    <w:rsid w:val="000735D5"/>
    <w:rsid w:val="000736F1"/>
    <w:rsid w:val="00073BCE"/>
    <w:rsid w:val="00075B02"/>
    <w:rsid w:val="00077240"/>
    <w:rsid w:val="00077299"/>
    <w:rsid w:val="0007747C"/>
    <w:rsid w:val="000774C2"/>
    <w:rsid w:val="00077860"/>
    <w:rsid w:val="0008028A"/>
    <w:rsid w:val="00080290"/>
    <w:rsid w:val="00080392"/>
    <w:rsid w:val="0008070D"/>
    <w:rsid w:val="00080769"/>
    <w:rsid w:val="00080F67"/>
    <w:rsid w:val="00081016"/>
    <w:rsid w:val="0008158E"/>
    <w:rsid w:val="000817FC"/>
    <w:rsid w:val="000819AB"/>
    <w:rsid w:val="00081A49"/>
    <w:rsid w:val="00083609"/>
    <w:rsid w:val="000837F7"/>
    <w:rsid w:val="00084329"/>
    <w:rsid w:val="000862C9"/>
    <w:rsid w:val="000864DF"/>
    <w:rsid w:val="000866C4"/>
    <w:rsid w:val="00087A0D"/>
    <w:rsid w:val="00091248"/>
    <w:rsid w:val="00091EDC"/>
    <w:rsid w:val="00092C4C"/>
    <w:rsid w:val="00092E57"/>
    <w:rsid w:val="00092F11"/>
    <w:rsid w:val="00092FE5"/>
    <w:rsid w:val="0009422D"/>
    <w:rsid w:val="0009440B"/>
    <w:rsid w:val="000945F9"/>
    <w:rsid w:val="00095D13"/>
    <w:rsid w:val="00095E8B"/>
    <w:rsid w:val="00095F46"/>
    <w:rsid w:val="00096F80"/>
    <w:rsid w:val="00097217"/>
    <w:rsid w:val="000974E2"/>
    <w:rsid w:val="000A07AE"/>
    <w:rsid w:val="000A07F4"/>
    <w:rsid w:val="000A111C"/>
    <w:rsid w:val="000A1218"/>
    <w:rsid w:val="000A1661"/>
    <w:rsid w:val="000A1A5E"/>
    <w:rsid w:val="000A1CD2"/>
    <w:rsid w:val="000A1E7B"/>
    <w:rsid w:val="000A3497"/>
    <w:rsid w:val="000A4282"/>
    <w:rsid w:val="000A4698"/>
    <w:rsid w:val="000A54E4"/>
    <w:rsid w:val="000A5D64"/>
    <w:rsid w:val="000A6ABD"/>
    <w:rsid w:val="000A711A"/>
    <w:rsid w:val="000A718C"/>
    <w:rsid w:val="000A7C35"/>
    <w:rsid w:val="000A7C47"/>
    <w:rsid w:val="000B006E"/>
    <w:rsid w:val="000B0B8B"/>
    <w:rsid w:val="000B1CE5"/>
    <w:rsid w:val="000B243C"/>
    <w:rsid w:val="000B28E0"/>
    <w:rsid w:val="000B3975"/>
    <w:rsid w:val="000B3CEC"/>
    <w:rsid w:val="000B54A5"/>
    <w:rsid w:val="000B5D55"/>
    <w:rsid w:val="000B72BC"/>
    <w:rsid w:val="000B7BAB"/>
    <w:rsid w:val="000C051B"/>
    <w:rsid w:val="000C387F"/>
    <w:rsid w:val="000C3B61"/>
    <w:rsid w:val="000C464A"/>
    <w:rsid w:val="000C4BEA"/>
    <w:rsid w:val="000C585D"/>
    <w:rsid w:val="000C5DF5"/>
    <w:rsid w:val="000C5F6F"/>
    <w:rsid w:val="000C7839"/>
    <w:rsid w:val="000D1965"/>
    <w:rsid w:val="000D19BE"/>
    <w:rsid w:val="000D2C81"/>
    <w:rsid w:val="000D3821"/>
    <w:rsid w:val="000D3A3E"/>
    <w:rsid w:val="000D47CB"/>
    <w:rsid w:val="000D48C5"/>
    <w:rsid w:val="000D60EF"/>
    <w:rsid w:val="000D6B73"/>
    <w:rsid w:val="000D6BEF"/>
    <w:rsid w:val="000D781A"/>
    <w:rsid w:val="000E066C"/>
    <w:rsid w:val="000E0B9A"/>
    <w:rsid w:val="000E183D"/>
    <w:rsid w:val="000E1B0A"/>
    <w:rsid w:val="000E1C39"/>
    <w:rsid w:val="000E2140"/>
    <w:rsid w:val="000E2197"/>
    <w:rsid w:val="000E26DD"/>
    <w:rsid w:val="000E26E1"/>
    <w:rsid w:val="000E2B35"/>
    <w:rsid w:val="000E2D1B"/>
    <w:rsid w:val="000E2E14"/>
    <w:rsid w:val="000E2F65"/>
    <w:rsid w:val="000E3449"/>
    <w:rsid w:val="000E3726"/>
    <w:rsid w:val="000E445C"/>
    <w:rsid w:val="000E46E5"/>
    <w:rsid w:val="000E5DB6"/>
    <w:rsid w:val="000F037F"/>
    <w:rsid w:val="000F0BC1"/>
    <w:rsid w:val="000F0D64"/>
    <w:rsid w:val="000F2F8D"/>
    <w:rsid w:val="000F3676"/>
    <w:rsid w:val="000F4517"/>
    <w:rsid w:val="000F4625"/>
    <w:rsid w:val="000F4A0D"/>
    <w:rsid w:val="000F532F"/>
    <w:rsid w:val="000F592C"/>
    <w:rsid w:val="000F5BFB"/>
    <w:rsid w:val="000F5D83"/>
    <w:rsid w:val="000F693C"/>
    <w:rsid w:val="000F7058"/>
    <w:rsid w:val="000F7D70"/>
    <w:rsid w:val="00101C69"/>
    <w:rsid w:val="00101D4B"/>
    <w:rsid w:val="0010260E"/>
    <w:rsid w:val="00102741"/>
    <w:rsid w:val="001033B7"/>
    <w:rsid w:val="0010356D"/>
    <w:rsid w:val="00103771"/>
    <w:rsid w:val="00103D41"/>
    <w:rsid w:val="001040B9"/>
    <w:rsid w:val="00104F1B"/>
    <w:rsid w:val="001057BD"/>
    <w:rsid w:val="001057D7"/>
    <w:rsid w:val="0010583E"/>
    <w:rsid w:val="00105977"/>
    <w:rsid w:val="00105F36"/>
    <w:rsid w:val="00106300"/>
    <w:rsid w:val="00106F80"/>
    <w:rsid w:val="00107D2E"/>
    <w:rsid w:val="00107EEC"/>
    <w:rsid w:val="00110318"/>
    <w:rsid w:val="00111411"/>
    <w:rsid w:val="00111689"/>
    <w:rsid w:val="001117E2"/>
    <w:rsid w:val="00111DD1"/>
    <w:rsid w:val="00113631"/>
    <w:rsid w:val="001136F8"/>
    <w:rsid w:val="001148D8"/>
    <w:rsid w:val="00114A8E"/>
    <w:rsid w:val="001152FE"/>
    <w:rsid w:val="00115B8F"/>
    <w:rsid w:val="00115E9F"/>
    <w:rsid w:val="00115F39"/>
    <w:rsid w:val="00116990"/>
    <w:rsid w:val="001175B7"/>
    <w:rsid w:val="00120A9D"/>
    <w:rsid w:val="00120B13"/>
    <w:rsid w:val="00120C9E"/>
    <w:rsid w:val="00120EC1"/>
    <w:rsid w:val="0012220F"/>
    <w:rsid w:val="00122224"/>
    <w:rsid w:val="00122D0E"/>
    <w:rsid w:val="00123115"/>
    <w:rsid w:val="0012316B"/>
    <w:rsid w:val="001236D5"/>
    <w:rsid w:val="00124023"/>
    <w:rsid w:val="00125A54"/>
    <w:rsid w:val="00126722"/>
    <w:rsid w:val="001302D0"/>
    <w:rsid w:val="00130B47"/>
    <w:rsid w:val="00130B70"/>
    <w:rsid w:val="00130D6C"/>
    <w:rsid w:val="001311D9"/>
    <w:rsid w:val="00131AB6"/>
    <w:rsid w:val="00132796"/>
    <w:rsid w:val="00132A55"/>
    <w:rsid w:val="00132BF7"/>
    <w:rsid w:val="00132E16"/>
    <w:rsid w:val="00132E8F"/>
    <w:rsid w:val="00133516"/>
    <w:rsid w:val="00133DBD"/>
    <w:rsid w:val="001340D4"/>
    <w:rsid w:val="00134DA5"/>
    <w:rsid w:val="0013691C"/>
    <w:rsid w:val="001371DD"/>
    <w:rsid w:val="00141D1A"/>
    <w:rsid w:val="00143EAB"/>
    <w:rsid w:val="00144A43"/>
    <w:rsid w:val="00144CDB"/>
    <w:rsid w:val="00146849"/>
    <w:rsid w:val="00146E61"/>
    <w:rsid w:val="00147334"/>
    <w:rsid w:val="001473CE"/>
    <w:rsid w:val="00147656"/>
    <w:rsid w:val="00150ADA"/>
    <w:rsid w:val="00150FEB"/>
    <w:rsid w:val="0015178B"/>
    <w:rsid w:val="001521F2"/>
    <w:rsid w:val="00152575"/>
    <w:rsid w:val="00152C50"/>
    <w:rsid w:val="001535D0"/>
    <w:rsid w:val="00153E58"/>
    <w:rsid w:val="00155055"/>
    <w:rsid w:val="00155340"/>
    <w:rsid w:val="00155879"/>
    <w:rsid w:val="001566BB"/>
    <w:rsid w:val="0015768D"/>
    <w:rsid w:val="00157EAB"/>
    <w:rsid w:val="00160009"/>
    <w:rsid w:val="00161EF7"/>
    <w:rsid w:val="001621DE"/>
    <w:rsid w:val="00162602"/>
    <w:rsid w:val="00163822"/>
    <w:rsid w:val="00163D2C"/>
    <w:rsid w:val="00163E2A"/>
    <w:rsid w:val="00163EB0"/>
    <w:rsid w:val="001644A1"/>
    <w:rsid w:val="00164842"/>
    <w:rsid w:val="0016534C"/>
    <w:rsid w:val="00165C0F"/>
    <w:rsid w:val="00166F16"/>
    <w:rsid w:val="0016778F"/>
    <w:rsid w:val="00167D66"/>
    <w:rsid w:val="0017061E"/>
    <w:rsid w:val="001718D2"/>
    <w:rsid w:val="001718E4"/>
    <w:rsid w:val="001734E8"/>
    <w:rsid w:val="001739D6"/>
    <w:rsid w:val="00173E2B"/>
    <w:rsid w:val="001744B0"/>
    <w:rsid w:val="0017537C"/>
    <w:rsid w:val="001759D5"/>
    <w:rsid w:val="00175BD4"/>
    <w:rsid w:val="00177FA9"/>
    <w:rsid w:val="00180A99"/>
    <w:rsid w:val="00181994"/>
    <w:rsid w:val="001825F4"/>
    <w:rsid w:val="001826BD"/>
    <w:rsid w:val="001829CD"/>
    <w:rsid w:val="00182C0E"/>
    <w:rsid w:val="00182F02"/>
    <w:rsid w:val="00184571"/>
    <w:rsid w:val="00184657"/>
    <w:rsid w:val="00187029"/>
    <w:rsid w:val="00187683"/>
    <w:rsid w:val="00187780"/>
    <w:rsid w:val="001879CC"/>
    <w:rsid w:val="00190251"/>
    <w:rsid w:val="0019033F"/>
    <w:rsid w:val="0019129B"/>
    <w:rsid w:val="00192174"/>
    <w:rsid w:val="00194EBE"/>
    <w:rsid w:val="001959E9"/>
    <w:rsid w:val="00195E24"/>
    <w:rsid w:val="001979A3"/>
    <w:rsid w:val="00197E54"/>
    <w:rsid w:val="001A0A2E"/>
    <w:rsid w:val="001A0E63"/>
    <w:rsid w:val="001A17CE"/>
    <w:rsid w:val="001A1FEB"/>
    <w:rsid w:val="001A2CC3"/>
    <w:rsid w:val="001A39FB"/>
    <w:rsid w:val="001A3A23"/>
    <w:rsid w:val="001A4EB7"/>
    <w:rsid w:val="001A51B5"/>
    <w:rsid w:val="001A5590"/>
    <w:rsid w:val="001A55BE"/>
    <w:rsid w:val="001A5F7F"/>
    <w:rsid w:val="001A6173"/>
    <w:rsid w:val="001A6424"/>
    <w:rsid w:val="001A7A5B"/>
    <w:rsid w:val="001B1728"/>
    <w:rsid w:val="001B1867"/>
    <w:rsid w:val="001B1A2F"/>
    <w:rsid w:val="001B1E8C"/>
    <w:rsid w:val="001B2031"/>
    <w:rsid w:val="001B241A"/>
    <w:rsid w:val="001B245B"/>
    <w:rsid w:val="001B270D"/>
    <w:rsid w:val="001B3365"/>
    <w:rsid w:val="001B3B4C"/>
    <w:rsid w:val="001B3C6D"/>
    <w:rsid w:val="001B4112"/>
    <w:rsid w:val="001B59B4"/>
    <w:rsid w:val="001B701A"/>
    <w:rsid w:val="001B74A3"/>
    <w:rsid w:val="001B7C72"/>
    <w:rsid w:val="001B7D72"/>
    <w:rsid w:val="001C05A2"/>
    <w:rsid w:val="001C0614"/>
    <w:rsid w:val="001C115F"/>
    <w:rsid w:val="001C194F"/>
    <w:rsid w:val="001C1C50"/>
    <w:rsid w:val="001C2D7A"/>
    <w:rsid w:val="001C3861"/>
    <w:rsid w:val="001C390C"/>
    <w:rsid w:val="001C4D4C"/>
    <w:rsid w:val="001C50E9"/>
    <w:rsid w:val="001C5DF5"/>
    <w:rsid w:val="001C5FA7"/>
    <w:rsid w:val="001C7126"/>
    <w:rsid w:val="001C766E"/>
    <w:rsid w:val="001C7A9B"/>
    <w:rsid w:val="001D04E4"/>
    <w:rsid w:val="001D0DB3"/>
    <w:rsid w:val="001D0FDF"/>
    <w:rsid w:val="001D3194"/>
    <w:rsid w:val="001D563F"/>
    <w:rsid w:val="001D5686"/>
    <w:rsid w:val="001D573C"/>
    <w:rsid w:val="001D5CE5"/>
    <w:rsid w:val="001D5D39"/>
    <w:rsid w:val="001D69E0"/>
    <w:rsid w:val="001D6F9A"/>
    <w:rsid w:val="001E0294"/>
    <w:rsid w:val="001E07C8"/>
    <w:rsid w:val="001E190A"/>
    <w:rsid w:val="001E1DB2"/>
    <w:rsid w:val="001E2044"/>
    <w:rsid w:val="001E2081"/>
    <w:rsid w:val="001E2361"/>
    <w:rsid w:val="001E2C61"/>
    <w:rsid w:val="001E39E4"/>
    <w:rsid w:val="001E4256"/>
    <w:rsid w:val="001E467B"/>
    <w:rsid w:val="001E5085"/>
    <w:rsid w:val="001E5BC0"/>
    <w:rsid w:val="001E5BFB"/>
    <w:rsid w:val="001E7506"/>
    <w:rsid w:val="001E7C55"/>
    <w:rsid w:val="001E7D69"/>
    <w:rsid w:val="001F0F5A"/>
    <w:rsid w:val="001F1260"/>
    <w:rsid w:val="001F14DB"/>
    <w:rsid w:val="001F199F"/>
    <w:rsid w:val="001F1DD8"/>
    <w:rsid w:val="001F2C5A"/>
    <w:rsid w:val="001F3AFE"/>
    <w:rsid w:val="001F43A0"/>
    <w:rsid w:val="001F56F9"/>
    <w:rsid w:val="001F63A6"/>
    <w:rsid w:val="001F72A7"/>
    <w:rsid w:val="001F7A7E"/>
    <w:rsid w:val="00200478"/>
    <w:rsid w:val="00200DF6"/>
    <w:rsid w:val="00201735"/>
    <w:rsid w:val="002019FF"/>
    <w:rsid w:val="00201AAE"/>
    <w:rsid w:val="00201E47"/>
    <w:rsid w:val="00204136"/>
    <w:rsid w:val="00204FBE"/>
    <w:rsid w:val="0020509E"/>
    <w:rsid w:val="00205137"/>
    <w:rsid w:val="00205500"/>
    <w:rsid w:val="00206E2B"/>
    <w:rsid w:val="00207614"/>
    <w:rsid w:val="002078B7"/>
    <w:rsid w:val="0021007E"/>
    <w:rsid w:val="00211211"/>
    <w:rsid w:val="00211DF8"/>
    <w:rsid w:val="0021237A"/>
    <w:rsid w:val="002139F5"/>
    <w:rsid w:val="00213E7B"/>
    <w:rsid w:val="00214539"/>
    <w:rsid w:val="00214ADE"/>
    <w:rsid w:val="00214F6D"/>
    <w:rsid w:val="00215E92"/>
    <w:rsid w:val="00217045"/>
    <w:rsid w:val="00217B6A"/>
    <w:rsid w:val="00217E06"/>
    <w:rsid w:val="002200A0"/>
    <w:rsid w:val="00221007"/>
    <w:rsid w:val="00221A26"/>
    <w:rsid w:val="00221A8A"/>
    <w:rsid w:val="00221E5D"/>
    <w:rsid w:val="002232EC"/>
    <w:rsid w:val="002234A4"/>
    <w:rsid w:val="00223723"/>
    <w:rsid w:val="00224000"/>
    <w:rsid w:val="00224039"/>
    <w:rsid w:val="0022469D"/>
    <w:rsid w:val="002246CD"/>
    <w:rsid w:val="00224781"/>
    <w:rsid w:val="00224C32"/>
    <w:rsid w:val="00225254"/>
    <w:rsid w:val="00226AB7"/>
    <w:rsid w:val="00227E00"/>
    <w:rsid w:val="00230D3E"/>
    <w:rsid w:val="0023117F"/>
    <w:rsid w:val="002313F1"/>
    <w:rsid w:val="00231431"/>
    <w:rsid w:val="002316BD"/>
    <w:rsid w:val="00231814"/>
    <w:rsid w:val="0023187C"/>
    <w:rsid w:val="00231C39"/>
    <w:rsid w:val="002331FD"/>
    <w:rsid w:val="00233238"/>
    <w:rsid w:val="002333C5"/>
    <w:rsid w:val="00233922"/>
    <w:rsid w:val="00233994"/>
    <w:rsid w:val="00233BF0"/>
    <w:rsid w:val="00233ED2"/>
    <w:rsid w:val="00234374"/>
    <w:rsid w:val="002368C2"/>
    <w:rsid w:val="00236A94"/>
    <w:rsid w:val="00236AD0"/>
    <w:rsid w:val="00236E3B"/>
    <w:rsid w:val="0023786A"/>
    <w:rsid w:val="00237CE9"/>
    <w:rsid w:val="00240F72"/>
    <w:rsid w:val="0024185C"/>
    <w:rsid w:val="00242202"/>
    <w:rsid w:val="00242694"/>
    <w:rsid w:val="002444F0"/>
    <w:rsid w:val="00244622"/>
    <w:rsid w:val="0024545C"/>
    <w:rsid w:val="002455AB"/>
    <w:rsid w:val="00245B3E"/>
    <w:rsid w:val="002466EF"/>
    <w:rsid w:val="002468B6"/>
    <w:rsid w:val="0024762C"/>
    <w:rsid w:val="00250008"/>
    <w:rsid w:val="00250150"/>
    <w:rsid w:val="00250537"/>
    <w:rsid w:val="00250CA3"/>
    <w:rsid w:val="00250E74"/>
    <w:rsid w:val="00250F3A"/>
    <w:rsid w:val="00251450"/>
    <w:rsid w:val="002519E4"/>
    <w:rsid w:val="0025210E"/>
    <w:rsid w:val="00252694"/>
    <w:rsid w:val="002527A2"/>
    <w:rsid w:val="002533CF"/>
    <w:rsid w:val="002537C7"/>
    <w:rsid w:val="002539EC"/>
    <w:rsid w:val="00253F06"/>
    <w:rsid w:val="002547C0"/>
    <w:rsid w:val="002557C5"/>
    <w:rsid w:val="00255DFC"/>
    <w:rsid w:val="00257686"/>
    <w:rsid w:val="00260B24"/>
    <w:rsid w:val="00260B4D"/>
    <w:rsid w:val="00260E96"/>
    <w:rsid w:val="00263455"/>
    <w:rsid w:val="00263542"/>
    <w:rsid w:val="00263BE4"/>
    <w:rsid w:val="0026482B"/>
    <w:rsid w:val="00264C32"/>
    <w:rsid w:val="00264FE6"/>
    <w:rsid w:val="00265261"/>
    <w:rsid w:val="00265817"/>
    <w:rsid w:val="00265A60"/>
    <w:rsid w:val="00265C6E"/>
    <w:rsid w:val="0026620E"/>
    <w:rsid w:val="00266662"/>
    <w:rsid w:val="00266A0E"/>
    <w:rsid w:val="00266AF4"/>
    <w:rsid w:val="002678B3"/>
    <w:rsid w:val="0027115D"/>
    <w:rsid w:val="00271CE8"/>
    <w:rsid w:val="00271E1F"/>
    <w:rsid w:val="00271F1C"/>
    <w:rsid w:val="00272473"/>
    <w:rsid w:val="002729A9"/>
    <w:rsid w:val="00273CDF"/>
    <w:rsid w:val="002741DF"/>
    <w:rsid w:val="00274EB9"/>
    <w:rsid w:val="002750CA"/>
    <w:rsid w:val="0027511B"/>
    <w:rsid w:val="0027630F"/>
    <w:rsid w:val="00276A04"/>
    <w:rsid w:val="00276B78"/>
    <w:rsid w:val="00277289"/>
    <w:rsid w:val="00277B54"/>
    <w:rsid w:val="00277EE1"/>
    <w:rsid w:val="002809B2"/>
    <w:rsid w:val="00280A54"/>
    <w:rsid w:val="00281F83"/>
    <w:rsid w:val="00283486"/>
    <w:rsid w:val="00283A66"/>
    <w:rsid w:val="00283F45"/>
    <w:rsid w:val="0028451F"/>
    <w:rsid w:val="00284E6E"/>
    <w:rsid w:val="00286AC1"/>
    <w:rsid w:val="00286D3E"/>
    <w:rsid w:val="002871F0"/>
    <w:rsid w:val="00287CAD"/>
    <w:rsid w:val="00287DFC"/>
    <w:rsid w:val="002905C7"/>
    <w:rsid w:val="002907BB"/>
    <w:rsid w:val="00290AA0"/>
    <w:rsid w:val="00290AC4"/>
    <w:rsid w:val="00290D36"/>
    <w:rsid w:val="00291854"/>
    <w:rsid w:val="00291C7F"/>
    <w:rsid w:val="00292182"/>
    <w:rsid w:val="00292906"/>
    <w:rsid w:val="00292C23"/>
    <w:rsid w:val="0029312B"/>
    <w:rsid w:val="002939B3"/>
    <w:rsid w:val="00293FAD"/>
    <w:rsid w:val="00294235"/>
    <w:rsid w:val="00294B81"/>
    <w:rsid w:val="00294F60"/>
    <w:rsid w:val="00295028"/>
    <w:rsid w:val="002957F0"/>
    <w:rsid w:val="00295F11"/>
    <w:rsid w:val="002960A8"/>
    <w:rsid w:val="00297196"/>
    <w:rsid w:val="002A0246"/>
    <w:rsid w:val="002A0E10"/>
    <w:rsid w:val="002A105D"/>
    <w:rsid w:val="002A1086"/>
    <w:rsid w:val="002A2175"/>
    <w:rsid w:val="002A2860"/>
    <w:rsid w:val="002A346E"/>
    <w:rsid w:val="002A3A69"/>
    <w:rsid w:val="002A3B5E"/>
    <w:rsid w:val="002A445D"/>
    <w:rsid w:val="002A4694"/>
    <w:rsid w:val="002A49F5"/>
    <w:rsid w:val="002A4D4F"/>
    <w:rsid w:val="002A514B"/>
    <w:rsid w:val="002A51D0"/>
    <w:rsid w:val="002A67CA"/>
    <w:rsid w:val="002A74E3"/>
    <w:rsid w:val="002A7F97"/>
    <w:rsid w:val="002B07C5"/>
    <w:rsid w:val="002B0AFF"/>
    <w:rsid w:val="002B0DD9"/>
    <w:rsid w:val="002B189C"/>
    <w:rsid w:val="002B2340"/>
    <w:rsid w:val="002B2EDA"/>
    <w:rsid w:val="002B2F81"/>
    <w:rsid w:val="002B45FA"/>
    <w:rsid w:val="002B48D1"/>
    <w:rsid w:val="002B4D25"/>
    <w:rsid w:val="002B5227"/>
    <w:rsid w:val="002B6253"/>
    <w:rsid w:val="002B6E5D"/>
    <w:rsid w:val="002B73FC"/>
    <w:rsid w:val="002C015F"/>
    <w:rsid w:val="002C04A4"/>
    <w:rsid w:val="002C0787"/>
    <w:rsid w:val="002C0BEB"/>
    <w:rsid w:val="002C1016"/>
    <w:rsid w:val="002C1267"/>
    <w:rsid w:val="002C21BD"/>
    <w:rsid w:val="002C2899"/>
    <w:rsid w:val="002C31F2"/>
    <w:rsid w:val="002C31FA"/>
    <w:rsid w:val="002C388A"/>
    <w:rsid w:val="002C4443"/>
    <w:rsid w:val="002C6562"/>
    <w:rsid w:val="002C726C"/>
    <w:rsid w:val="002C7283"/>
    <w:rsid w:val="002C76FF"/>
    <w:rsid w:val="002C7881"/>
    <w:rsid w:val="002D01AC"/>
    <w:rsid w:val="002D0689"/>
    <w:rsid w:val="002D1314"/>
    <w:rsid w:val="002D2442"/>
    <w:rsid w:val="002D2E0B"/>
    <w:rsid w:val="002D335F"/>
    <w:rsid w:val="002D3CF5"/>
    <w:rsid w:val="002D499E"/>
    <w:rsid w:val="002D49A2"/>
    <w:rsid w:val="002D50B4"/>
    <w:rsid w:val="002D5C52"/>
    <w:rsid w:val="002D7829"/>
    <w:rsid w:val="002E0AF6"/>
    <w:rsid w:val="002E0B67"/>
    <w:rsid w:val="002E1060"/>
    <w:rsid w:val="002E148C"/>
    <w:rsid w:val="002E2121"/>
    <w:rsid w:val="002E277C"/>
    <w:rsid w:val="002E2862"/>
    <w:rsid w:val="002E3626"/>
    <w:rsid w:val="002E36AC"/>
    <w:rsid w:val="002E3A84"/>
    <w:rsid w:val="002E3BCA"/>
    <w:rsid w:val="002E3E76"/>
    <w:rsid w:val="002E4244"/>
    <w:rsid w:val="002E5A6A"/>
    <w:rsid w:val="002E70C6"/>
    <w:rsid w:val="002E7303"/>
    <w:rsid w:val="002E7DDC"/>
    <w:rsid w:val="002E7E8B"/>
    <w:rsid w:val="002E7FF6"/>
    <w:rsid w:val="002F035D"/>
    <w:rsid w:val="002F049F"/>
    <w:rsid w:val="002F11E6"/>
    <w:rsid w:val="002F134C"/>
    <w:rsid w:val="002F1A0C"/>
    <w:rsid w:val="002F1E33"/>
    <w:rsid w:val="002F24BB"/>
    <w:rsid w:val="002F2F7F"/>
    <w:rsid w:val="002F34AD"/>
    <w:rsid w:val="002F36B1"/>
    <w:rsid w:val="002F3A89"/>
    <w:rsid w:val="002F3DC6"/>
    <w:rsid w:val="002F3E25"/>
    <w:rsid w:val="002F4274"/>
    <w:rsid w:val="002F4901"/>
    <w:rsid w:val="002F4B9B"/>
    <w:rsid w:val="002F5BDF"/>
    <w:rsid w:val="002F6E0D"/>
    <w:rsid w:val="002F7C65"/>
    <w:rsid w:val="002F7D60"/>
    <w:rsid w:val="002F7E1D"/>
    <w:rsid w:val="0030019B"/>
    <w:rsid w:val="0030217E"/>
    <w:rsid w:val="003028A7"/>
    <w:rsid w:val="00303558"/>
    <w:rsid w:val="003048E4"/>
    <w:rsid w:val="00304FD4"/>
    <w:rsid w:val="00305295"/>
    <w:rsid w:val="00305AB7"/>
    <w:rsid w:val="003069C7"/>
    <w:rsid w:val="003069CD"/>
    <w:rsid w:val="00306EC6"/>
    <w:rsid w:val="00307447"/>
    <w:rsid w:val="0030767F"/>
    <w:rsid w:val="003076BD"/>
    <w:rsid w:val="003119DF"/>
    <w:rsid w:val="00312664"/>
    <w:rsid w:val="00312AD1"/>
    <w:rsid w:val="00313C0B"/>
    <w:rsid w:val="003158B9"/>
    <w:rsid w:val="00315EEE"/>
    <w:rsid w:val="003166AA"/>
    <w:rsid w:val="00317F9F"/>
    <w:rsid w:val="00320C86"/>
    <w:rsid w:val="003210A6"/>
    <w:rsid w:val="0032112F"/>
    <w:rsid w:val="00321386"/>
    <w:rsid w:val="00321B3F"/>
    <w:rsid w:val="00321BA8"/>
    <w:rsid w:val="00321FEA"/>
    <w:rsid w:val="0032221B"/>
    <w:rsid w:val="0032246C"/>
    <w:rsid w:val="003226AC"/>
    <w:rsid w:val="00323F9B"/>
    <w:rsid w:val="003242AB"/>
    <w:rsid w:val="00325C3D"/>
    <w:rsid w:val="0032681C"/>
    <w:rsid w:val="00327784"/>
    <w:rsid w:val="00327B08"/>
    <w:rsid w:val="00327E2A"/>
    <w:rsid w:val="00327FB5"/>
    <w:rsid w:val="0033011F"/>
    <w:rsid w:val="003301B9"/>
    <w:rsid w:val="00330704"/>
    <w:rsid w:val="0033073A"/>
    <w:rsid w:val="00330D09"/>
    <w:rsid w:val="00331142"/>
    <w:rsid w:val="0033117B"/>
    <w:rsid w:val="00332B71"/>
    <w:rsid w:val="00334338"/>
    <w:rsid w:val="0033484E"/>
    <w:rsid w:val="00335D5F"/>
    <w:rsid w:val="00335E53"/>
    <w:rsid w:val="003367FD"/>
    <w:rsid w:val="003368A8"/>
    <w:rsid w:val="00336B03"/>
    <w:rsid w:val="00340030"/>
    <w:rsid w:val="00340760"/>
    <w:rsid w:val="00340AF2"/>
    <w:rsid w:val="00340F33"/>
    <w:rsid w:val="0034223A"/>
    <w:rsid w:val="003427A9"/>
    <w:rsid w:val="00342ADC"/>
    <w:rsid w:val="00342D34"/>
    <w:rsid w:val="003430E5"/>
    <w:rsid w:val="003431BA"/>
    <w:rsid w:val="00343565"/>
    <w:rsid w:val="00343EE0"/>
    <w:rsid w:val="00343F01"/>
    <w:rsid w:val="00344C12"/>
    <w:rsid w:val="00345E05"/>
    <w:rsid w:val="00346190"/>
    <w:rsid w:val="003466C9"/>
    <w:rsid w:val="00346CD5"/>
    <w:rsid w:val="00350507"/>
    <w:rsid w:val="003509F0"/>
    <w:rsid w:val="00350D00"/>
    <w:rsid w:val="00351B19"/>
    <w:rsid w:val="0035397F"/>
    <w:rsid w:val="003545B7"/>
    <w:rsid w:val="003549CB"/>
    <w:rsid w:val="00354BFE"/>
    <w:rsid w:val="00354E2F"/>
    <w:rsid w:val="003559F5"/>
    <w:rsid w:val="003560D5"/>
    <w:rsid w:val="00356A29"/>
    <w:rsid w:val="0035705F"/>
    <w:rsid w:val="0035708E"/>
    <w:rsid w:val="00357E72"/>
    <w:rsid w:val="00361646"/>
    <w:rsid w:val="00362195"/>
    <w:rsid w:val="0036301A"/>
    <w:rsid w:val="00363520"/>
    <w:rsid w:val="00364094"/>
    <w:rsid w:val="0036567E"/>
    <w:rsid w:val="00365DA0"/>
    <w:rsid w:val="00366494"/>
    <w:rsid w:val="003667D7"/>
    <w:rsid w:val="00366928"/>
    <w:rsid w:val="0036758E"/>
    <w:rsid w:val="00367AC2"/>
    <w:rsid w:val="00370150"/>
    <w:rsid w:val="0037082C"/>
    <w:rsid w:val="00370CFE"/>
    <w:rsid w:val="003713E0"/>
    <w:rsid w:val="0037168B"/>
    <w:rsid w:val="00372A21"/>
    <w:rsid w:val="00373261"/>
    <w:rsid w:val="0037398B"/>
    <w:rsid w:val="00374391"/>
    <w:rsid w:val="00375061"/>
    <w:rsid w:val="00375A50"/>
    <w:rsid w:val="003769EB"/>
    <w:rsid w:val="00376DF4"/>
    <w:rsid w:val="00377E81"/>
    <w:rsid w:val="00380444"/>
    <w:rsid w:val="003809D8"/>
    <w:rsid w:val="00381087"/>
    <w:rsid w:val="003813F3"/>
    <w:rsid w:val="003816C1"/>
    <w:rsid w:val="00381F18"/>
    <w:rsid w:val="00382113"/>
    <w:rsid w:val="0038237D"/>
    <w:rsid w:val="00382493"/>
    <w:rsid w:val="003828F2"/>
    <w:rsid w:val="00382D72"/>
    <w:rsid w:val="0038317C"/>
    <w:rsid w:val="00384299"/>
    <w:rsid w:val="003844EC"/>
    <w:rsid w:val="00384638"/>
    <w:rsid w:val="00384A92"/>
    <w:rsid w:val="00384E35"/>
    <w:rsid w:val="00385924"/>
    <w:rsid w:val="00386197"/>
    <w:rsid w:val="0038678D"/>
    <w:rsid w:val="00386936"/>
    <w:rsid w:val="00386967"/>
    <w:rsid w:val="00386A89"/>
    <w:rsid w:val="00386D31"/>
    <w:rsid w:val="00386D83"/>
    <w:rsid w:val="00386E91"/>
    <w:rsid w:val="00387966"/>
    <w:rsid w:val="00387C3A"/>
    <w:rsid w:val="00390054"/>
    <w:rsid w:val="0039244A"/>
    <w:rsid w:val="00392AEB"/>
    <w:rsid w:val="003931A6"/>
    <w:rsid w:val="00393BD4"/>
    <w:rsid w:val="00394088"/>
    <w:rsid w:val="003952E2"/>
    <w:rsid w:val="0039539D"/>
    <w:rsid w:val="003953FD"/>
    <w:rsid w:val="00395E0F"/>
    <w:rsid w:val="0039738F"/>
    <w:rsid w:val="00397F46"/>
    <w:rsid w:val="003A186A"/>
    <w:rsid w:val="003A1D36"/>
    <w:rsid w:val="003A1E4D"/>
    <w:rsid w:val="003A1E85"/>
    <w:rsid w:val="003A1F51"/>
    <w:rsid w:val="003A24E6"/>
    <w:rsid w:val="003A30C6"/>
    <w:rsid w:val="003A37E9"/>
    <w:rsid w:val="003A415B"/>
    <w:rsid w:val="003A484E"/>
    <w:rsid w:val="003A4D42"/>
    <w:rsid w:val="003A50D1"/>
    <w:rsid w:val="003A5478"/>
    <w:rsid w:val="003A5DA4"/>
    <w:rsid w:val="003A6A67"/>
    <w:rsid w:val="003A79A8"/>
    <w:rsid w:val="003A7C53"/>
    <w:rsid w:val="003A7E88"/>
    <w:rsid w:val="003B0309"/>
    <w:rsid w:val="003B0956"/>
    <w:rsid w:val="003B13DB"/>
    <w:rsid w:val="003B1B0C"/>
    <w:rsid w:val="003B1EA5"/>
    <w:rsid w:val="003B2A10"/>
    <w:rsid w:val="003B33AF"/>
    <w:rsid w:val="003B39CC"/>
    <w:rsid w:val="003B60EB"/>
    <w:rsid w:val="003B63F1"/>
    <w:rsid w:val="003B67E3"/>
    <w:rsid w:val="003B7A2C"/>
    <w:rsid w:val="003C00AB"/>
    <w:rsid w:val="003C00EF"/>
    <w:rsid w:val="003C044E"/>
    <w:rsid w:val="003C0608"/>
    <w:rsid w:val="003C08BB"/>
    <w:rsid w:val="003C1B0E"/>
    <w:rsid w:val="003C3022"/>
    <w:rsid w:val="003C452F"/>
    <w:rsid w:val="003C481F"/>
    <w:rsid w:val="003C4D0B"/>
    <w:rsid w:val="003C5BCC"/>
    <w:rsid w:val="003C5DB3"/>
    <w:rsid w:val="003C666D"/>
    <w:rsid w:val="003C6E73"/>
    <w:rsid w:val="003C7CB2"/>
    <w:rsid w:val="003D05F3"/>
    <w:rsid w:val="003D0694"/>
    <w:rsid w:val="003D07E8"/>
    <w:rsid w:val="003D108B"/>
    <w:rsid w:val="003D18E5"/>
    <w:rsid w:val="003D1B32"/>
    <w:rsid w:val="003D212F"/>
    <w:rsid w:val="003D2E29"/>
    <w:rsid w:val="003D4C3E"/>
    <w:rsid w:val="003D5A15"/>
    <w:rsid w:val="003D5F2D"/>
    <w:rsid w:val="003D649A"/>
    <w:rsid w:val="003D6E58"/>
    <w:rsid w:val="003D7673"/>
    <w:rsid w:val="003D7BB9"/>
    <w:rsid w:val="003E162D"/>
    <w:rsid w:val="003E1DA9"/>
    <w:rsid w:val="003E3674"/>
    <w:rsid w:val="003E3C54"/>
    <w:rsid w:val="003E3CA4"/>
    <w:rsid w:val="003E41DB"/>
    <w:rsid w:val="003E536B"/>
    <w:rsid w:val="003E5B7B"/>
    <w:rsid w:val="003E5BA1"/>
    <w:rsid w:val="003E695A"/>
    <w:rsid w:val="003E6AA2"/>
    <w:rsid w:val="003E6AB8"/>
    <w:rsid w:val="003E7B6C"/>
    <w:rsid w:val="003F01B0"/>
    <w:rsid w:val="003F1119"/>
    <w:rsid w:val="003F1B87"/>
    <w:rsid w:val="003F3213"/>
    <w:rsid w:val="003F36CF"/>
    <w:rsid w:val="003F3CF5"/>
    <w:rsid w:val="003F4956"/>
    <w:rsid w:val="003F61FC"/>
    <w:rsid w:val="003F6EFA"/>
    <w:rsid w:val="003F7BCA"/>
    <w:rsid w:val="004000AB"/>
    <w:rsid w:val="00400700"/>
    <w:rsid w:val="00400822"/>
    <w:rsid w:val="004011EF"/>
    <w:rsid w:val="00401EE1"/>
    <w:rsid w:val="004028DA"/>
    <w:rsid w:val="00404DEA"/>
    <w:rsid w:val="0040503F"/>
    <w:rsid w:val="004057B6"/>
    <w:rsid w:val="004058E1"/>
    <w:rsid w:val="00405EA2"/>
    <w:rsid w:val="00405F04"/>
    <w:rsid w:val="00406534"/>
    <w:rsid w:val="00406A62"/>
    <w:rsid w:val="00407A6B"/>
    <w:rsid w:val="00407D47"/>
    <w:rsid w:val="00407E2F"/>
    <w:rsid w:val="00407FE6"/>
    <w:rsid w:val="0041039E"/>
    <w:rsid w:val="0041097F"/>
    <w:rsid w:val="00410D0A"/>
    <w:rsid w:val="00411724"/>
    <w:rsid w:val="00411C0C"/>
    <w:rsid w:val="00411E62"/>
    <w:rsid w:val="00411E66"/>
    <w:rsid w:val="004121E0"/>
    <w:rsid w:val="004123F1"/>
    <w:rsid w:val="00413099"/>
    <w:rsid w:val="00413630"/>
    <w:rsid w:val="00413822"/>
    <w:rsid w:val="004143B2"/>
    <w:rsid w:val="00414440"/>
    <w:rsid w:val="0041677C"/>
    <w:rsid w:val="004169D2"/>
    <w:rsid w:val="00416A8A"/>
    <w:rsid w:val="004170A0"/>
    <w:rsid w:val="0041722D"/>
    <w:rsid w:val="00417CFB"/>
    <w:rsid w:val="00421842"/>
    <w:rsid w:val="00421D50"/>
    <w:rsid w:val="00422667"/>
    <w:rsid w:val="00422A68"/>
    <w:rsid w:val="00423CB5"/>
    <w:rsid w:val="00424006"/>
    <w:rsid w:val="004245DB"/>
    <w:rsid w:val="00425248"/>
    <w:rsid w:val="004252B0"/>
    <w:rsid w:val="00425B9C"/>
    <w:rsid w:val="00425E4A"/>
    <w:rsid w:val="00425E7F"/>
    <w:rsid w:val="00425FDE"/>
    <w:rsid w:val="00426DE2"/>
    <w:rsid w:val="00427B28"/>
    <w:rsid w:val="00427FC2"/>
    <w:rsid w:val="00430410"/>
    <w:rsid w:val="004310D1"/>
    <w:rsid w:val="004321B8"/>
    <w:rsid w:val="00433D4A"/>
    <w:rsid w:val="00433E69"/>
    <w:rsid w:val="0043403A"/>
    <w:rsid w:val="004340F3"/>
    <w:rsid w:val="0043441C"/>
    <w:rsid w:val="004345E1"/>
    <w:rsid w:val="00434EE2"/>
    <w:rsid w:val="00435667"/>
    <w:rsid w:val="00436342"/>
    <w:rsid w:val="00437408"/>
    <w:rsid w:val="004401A0"/>
    <w:rsid w:val="00440553"/>
    <w:rsid w:val="00440FA5"/>
    <w:rsid w:val="0044129B"/>
    <w:rsid w:val="004417D5"/>
    <w:rsid w:val="00441A86"/>
    <w:rsid w:val="00442088"/>
    <w:rsid w:val="0044208E"/>
    <w:rsid w:val="004421F0"/>
    <w:rsid w:val="00442662"/>
    <w:rsid w:val="004430B2"/>
    <w:rsid w:val="004434C7"/>
    <w:rsid w:val="0044374C"/>
    <w:rsid w:val="004438C1"/>
    <w:rsid w:val="00443D06"/>
    <w:rsid w:val="004444FC"/>
    <w:rsid w:val="00444888"/>
    <w:rsid w:val="004449E3"/>
    <w:rsid w:val="00444B40"/>
    <w:rsid w:val="00444C10"/>
    <w:rsid w:val="00444FF1"/>
    <w:rsid w:val="004478CE"/>
    <w:rsid w:val="004479FA"/>
    <w:rsid w:val="00447BA8"/>
    <w:rsid w:val="004507DC"/>
    <w:rsid w:val="00450AB3"/>
    <w:rsid w:val="00450E9B"/>
    <w:rsid w:val="00450FAE"/>
    <w:rsid w:val="004511A0"/>
    <w:rsid w:val="00451AC6"/>
    <w:rsid w:val="00451E53"/>
    <w:rsid w:val="00453877"/>
    <w:rsid w:val="00453A84"/>
    <w:rsid w:val="004543F2"/>
    <w:rsid w:val="004547B4"/>
    <w:rsid w:val="00455EF7"/>
    <w:rsid w:val="00456B0D"/>
    <w:rsid w:val="00460392"/>
    <w:rsid w:val="004604CB"/>
    <w:rsid w:val="004615E0"/>
    <w:rsid w:val="0046325D"/>
    <w:rsid w:val="0046410F"/>
    <w:rsid w:val="004642DF"/>
    <w:rsid w:val="00464387"/>
    <w:rsid w:val="00465B67"/>
    <w:rsid w:val="00466260"/>
    <w:rsid w:val="0046653F"/>
    <w:rsid w:val="00466C28"/>
    <w:rsid w:val="00466C99"/>
    <w:rsid w:val="00467271"/>
    <w:rsid w:val="004673EE"/>
    <w:rsid w:val="00467448"/>
    <w:rsid w:val="00467A83"/>
    <w:rsid w:val="00470B11"/>
    <w:rsid w:val="00470B8A"/>
    <w:rsid w:val="00471966"/>
    <w:rsid w:val="00472137"/>
    <w:rsid w:val="00472C3F"/>
    <w:rsid w:val="0047324B"/>
    <w:rsid w:val="00473B2A"/>
    <w:rsid w:val="00474E3E"/>
    <w:rsid w:val="0047542B"/>
    <w:rsid w:val="0047648D"/>
    <w:rsid w:val="00476E7A"/>
    <w:rsid w:val="004772A8"/>
    <w:rsid w:val="00477639"/>
    <w:rsid w:val="0048035B"/>
    <w:rsid w:val="00481005"/>
    <w:rsid w:val="0048129B"/>
    <w:rsid w:val="00481593"/>
    <w:rsid w:val="00481F2D"/>
    <w:rsid w:val="00482179"/>
    <w:rsid w:val="00482AFC"/>
    <w:rsid w:val="00482B84"/>
    <w:rsid w:val="00483F2D"/>
    <w:rsid w:val="004840F5"/>
    <w:rsid w:val="0048568B"/>
    <w:rsid w:val="00485CAC"/>
    <w:rsid w:val="0048620E"/>
    <w:rsid w:val="0048639B"/>
    <w:rsid w:val="004864E4"/>
    <w:rsid w:val="00486A30"/>
    <w:rsid w:val="004872C4"/>
    <w:rsid w:val="00487EEC"/>
    <w:rsid w:val="00490AAB"/>
    <w:rsid w:val="00490F11"/>
    <w:rsid w:val="0049231F"/>
    <w:rsid w:val="004935ED"/>
    <w:rsid w:val="004936A5"/>
    <w:rsid w:val="004947A5"/>
    <w:rsid w:val="00494815"/>
    <w:rsid w:val="00495957"/>
    <w:rsid w:val="004A0231"/>
    <w:rsid w:val="004A115A"/>
    <w:rsid w:val="004A1A70"/>
    <w:rsid w:val="004A1B3A"/>
    <w:rsid w:val="004A1D98"/>
    <w:rsid w:val="004A21AA"/>
    <w:rsid w:val="004A325D"/>
    <w:rsid w:val="004A4514"/>
    <w:rsid w:val="004A488C"/>
    <w:rsid w:val="004A4D7B"/>
    <w:rsid w:val="004A4E79"/>
    <w:rsid w:val="004A5CAE"/>
    <w:rsid w:val="004A64A8"/>
    <w:rsid w:val="004A7C3A"/>
    <w:rsid w:val="004B014B"/>
    <w:rsid w:val="004B08E1"/>
    <w:rsid w:val="004B3A10"/>
    <w:rsid w:val="004B3B3D"/>
    <w:rsid w:val="004B3EE2"/>
    <w:rsid w:val="004B46D3"/>
    <w:rsid w:val="004B4A8F"/>
    <w:rsid w:val="004B4ABD"/>
    <w:rsid w:val="004B5B22"/>
    <w:rsid w:val="004B5C24"/>
    <w:rsid w:val="004B7FA5"/>
    <w:rsid w:val="004C128A"/>
    <w:rsid w:val="004C158B"/>
    <w:rsid w:val="004C2174"/>
    <w:rsid w:val="004C2425"/>
    <w:rsid w:val="004C294E"/>
    <w:rsid w:val="004C33C6"/>
    <w:rsid w:val="004C38D4"/>
    <w:rsid w:val="004C4347"/>
    <w:rsid w:val="004C53DD"/>
    <w:rsid w:val="004C5FFE"/>
    <w:rsid w:val="004C676A"/>
    <w:rsid w:val="004C763A"/>
    <w:rsid w:val="004C768A"/>
    <w:rsid w:val="004D0383"/>
    <w:rsid w:val="004D0D71"/>
    <w:rsid w:val="004D1472"/>
    <w:rsid w:val="004D14FA"/>
    <w:rsid w:val="004D1FDE"/>
    <w:rsid w:val="004D2344"/>
    <w:rsid w:val="004D2B59"/>
    <w:rsid w:val="004D3039"/>
    <w:rsid w:val="004D48DA"/>
    <w:rsid w:val="004D7197"/>
    <w:rsid w:val="004D7404"/>
    <w:rsid w:val="004D7B5D"/>
    <w:rsid w:val="004E00BA"/>
    <w:rsid w:val="004E0D02"/>
    <w:rsid w:val="004E1438"/>
    <w:rsid w:val="004E1867"/>
    <w:rsid w:val="004E1B33"/>
    <w:rsid w:val="004E20C5"/>
    <w:rsid w:val="004E23AB"/>
    <w:rsid w:val="004E3241"/>
    <w:rsid w:val="004E4B29"/>
    <w:rsid w:val="004E4C58"/>
    <w:rsid w:val="004E5416"/>
    <w:rsid w:val="004E57F1"/>
    <w:rsid w:val="004E6852"/>
    <w:rsid w:val="004E6E23"/>
    <w:rsid w:val="004E7737"/>
    <w:rsid w:val="004F079B"/>
    <w:rsid w:val="004F08C3"/>
    <w:rsid w:val="004F0FB1"/>
    <w:rsid w:val="004F1283"/>
    <w:rsid w:val="004F13FC"/>
    <w:rsid w:val="004F2200"/>
    <w:rsid w:val="004F26E9"/>
    <w:rsid w:val="004F271E"/>
    <w:rsid w:val="004F3651"/>
    <w:rsid w:val="004F40F8"/>
    <w:rsid w:val="004F4BA1"/>
    <w:rsid w:val="004F523A"/>
    <w:rsid w:val="004F57B2"/>
    <w:rsid w:val="004F5C43"/>
    <w:rsid w:val="004F63FF"/>
    <w:rsid w:val="004F68D0"/>
    <w:rsid w:val="004F6EA6"/>
    <w:rsid w:val="004F746B"/>
    <w:rsid w:val="005009F6"/>
    <w:rsid w:val="00501689"/>
    <w:rsid w:val="005026D2"/>
    <w:rsid w:val="0050276F"/>
    <w:rsid w:val="0050305A"/>
    <w:rsid w:val="00503A2F"/>
    <w:rsid w:val="00506053"/>
    <w:rsid w:val="00506673"/>
    <w:rsid w:val="00506E38"/>
    <w:rsid w:val="0050707A"/>
    <w:rsid w:val="005070D5"/>
    <w:rsid w:val="00507832"/>
    <w:rsid w:val="005104CA"/>
    <w:rsid w:val="0051105A"/>
    <w:rsid w:val="005112F4"/>
    <w:rsid w:val="0051180C"/>
    <w:rsid w:val="00511910"/>
    <w:rsid w:val="00512AB4"/>
    <w:rsid w:val="00512CC1"/>
    <w:rsid w:val="00512F32"/>
    <w:rsid w:val="0051442A"/>
    <w:rsid w:val="00514804"/>
    <w:rsid w:val="005149AF"/>
    <w:rsid w:val="00514A32"/>
    <w:rsid w:val="00515D40"/>
    <w:rsid w:val="00516A04"/>
    <w:rsid w:val="00517336"/>
    <w:rsid w:val="00517D0C"/>
    <w:rsid w:val="005202CA"/>
    <w:rsid w:val="00520474"/>
    <w:rsid w:val="00520E21"/>
    <w:rsid w:val="0052150E"/>
    <w:rsid w:val="00522B8C"/>
    <w:rsid w:val="0052301A"/>
    <w:rsid w:val="00523E52"/>
    <w:rsid w:val="00524F61"/>
    <w:rsid w:val="00525BA0"/>
    <w:rsid w:val="005260CC"/>
    <w:rsid w:val="00526EA3"/>
    <w:rsid w:val="0053084E"/>
    <w:rsid w:val="0053243A"/>
    <w:rsid w:val="00532A4A"/>
    <w:rsid w:val="00532B20"/>
    <w:rsid w:val="0053317C"/>
    <w:rsid w:val="005333F1"/>
    <w:rsid w:val="00533B3F"/>
    <w:rsid w:val="005344BB"/>
    <w:rsid w:val="00534C5C"/>
    <w:rsid w:val="005354FA"/>
    <w:rsid w:val="00535553"/>
    <w:rsid w:val="00535732"/>
    <w:rsid w:val="005367D0"/>
    <w:rsid w:val="00537199"/>
    <w:rsid w:val="00537E2C"/>
    <w:rsid w:val="00540110"/>
    <w:rsid w:val="005408AD"/>
    <w:rsid w:val="00541952"/>
    <w:rsid w:val="005425D8"/>
    <w:rsid w:val="00542DF8"/>
    <w:rsid w:val="005438EB"/>
    <w:rsid w:val="005439A7"/>
    <w:rsid w:val="00543CC7"/>
    <w:rsid w:val="0054454F"/>
    <w:rsid w:val="00545704"/>
    <w:rsid w:val="00547606"/>
    <w:rsid w:val="00547AEB"/>
    <w:rsid w:val="00547B76"/>
    <w:rsid w:val="00547F87"/>
    <w:rsid w:val="00550826"/>
    <w:rsid w:val="00551941"/>
    <w:rsid w:val="00551BC4"/>
    <w:rsid w:val="00551CF7"/>
    <w:rsid w:val="00552664"/>
    <w:rsid w:val="00552AE4"/>
    <w:rsid w:val="00553AC7"/>
    <w:rsid w:val="00555300"/>
    <w:rsid w:val="00556543"/>
    <w:rsid w:val="00556696"/>
    <w:rsid w:val="0055694D"/>
    <w:rsid w:val="00556C5A"/>
    <w:rsid w:val="00560B81"/>
    <w:rsid w:val="00562758"/>
    <w:rsid w:val="00563843"/>
    <w:rsid w:val="00563D04"/>
    <w:rsid w:val="00563F64"/>
    <w:rsid w:val="0056437E"/>
    <w:rsid w:val="00564741"/>
    <w:rsid w:val="00564B96"/>
    <w:rsid w:val="00564F0A"/>
    <w:rsid w:val="00564F7A"/>
    <w:rsid w:val="00565124"/>
    <w:rsid w:val="005661A1"/>
    <w:rsid w:val="00567281"/>
    <w:rsid w:val="00567A51"/>
    <w:rsid w:val="00567FB2"/>
    <w:rsid w:val="00570A83"/>
    <w:rsid w:val="00570A98"/>
    <w:rsid w:val="0057102B"/>
    <w:rsid w:val="005710AE"/>
    <w:rsid w:val="00571200"/>
    <w:rsid w:val="00571C99"/>
    <w:rsid w:val="00572346"/>
    <w:rsid w:val="0057458D"/>
    <w:rsid w:val="0057465A"/>
    <w:rsid w:val="0057520E"/>
    <w:rsid w:val="00575529"/>
    <w:rsid w:val="005762AD"/>
    <w:rsid w:val="005777C5"/>
    <w:rsid w:val="005803FD"/>
    <w:rsid w:val="0058066F"/>
    <w:rsid w:val="00580A99"/>
    <w:rsid w:val="00580B24"/>
    <w:rsid w:val="00581385"/>
    <w:rsid w:val="005814C9"/>
    <w:rsid w:val="00581571"/>
    <w:rsid w:val="00581C69"/>
    <w:rsid w:val="00581E62"/>
    <w:rsid w:val="00582180"/>
    <w:rsid w:val="005822B7"/>
    <w:rsid w:val="00582615"/>
    <w:rsid w:val="0058286B"/>
    <w:rsid w:val="00582CDA"/>
    <w:rsid w:val="00583160"/>
    <w:rsid w:val="00583FC8"/>
    <w:rsid w:val="005859DB"/>
    <w:rsid w:val="00586A42"/>
    <w:rsid w:val="005874B0"/>
    <w:rsid w:val="0058758C"/>
    <w:rsid w:val="00587D86"/>
    <w:rsid w:val="00590F73"/>
    <w:rsid w:val="00591067"/>
    <w:rsid w:val="00591D28"/>
    <w:rsid w:val="00592443"/>
    <w:rsid w:val="00592B7A"/>
    <w:rsid w:val="00592C9D"/>
    <w:rsid w:val="0059337C"/>
    <w:rsid w:val="00593DE3"/>
    <w:rsid w:val="00593E1D"/>
    <w:rsid w:val="00594103"/>
    <w:rsid w:val="0059464F"/>
    <w:rsid w:val="00595C71"/>
    <w:rsid w:val="005963E0"/>
    <w:rsid w:val="00596B22"/>
    <w:rsid w:val="00596EBE"/>
    <w:rsid w:val="005A0DB0"/>
    <w:rsid w:val="005A0F6E"/>
    <w:rsid w:val="005A1BD1"/>
    <w:rsid w:val="005A2A38"/>
    <w:rsid w:val="005A2A4B"/>
    <w:rsid w:val="005A3F8D"/>
    <w:rsid w:val="005A4B43"/>
    <w:rsid w:val="005A5E52"/>
    <w:rsid w:val="005A64EC"/>
    <w:rsid w:val="005A68A7"/>
    <w:rsid w:val="005B0124"/>
    <w:rsid w:val="005B05BD"/>
    <w:rsid w:val="005B06EE"/>
    <w:rsid w:val="005B0734"/>
    <w:rsid w:val="005B0B90"/>
    <w:rsid w:val="005B2177"/>
    <w:rsid w:val="005B242F"/>
    <w:rsid w:val="005B2FD4"/>
    <w:rsid w:val="005B38F6"/>
    <w:rsid w:val="005B4C5B"/>
    <w:rsid w:val="005B643C"/>
    <w:rsid w:val="005B6806"/>
    <w:rsid w:val="005B6C84"/>
    <w:rsid w:val="005B779C"/>
    <w:rsid w:val="005C10C7"/>
    <w:rsid w:val="005C123B"/>
    <w:rsid w:val="005C1E6A"/>
    <w:rsid w:val="005C271A"/>
    <w:rsid w:val="005C36A6"/>
    <w:rsid w:val="005C3BE6"/>
    <w:rsid w:val="005C4CC3"/>
    <w:rsid w:val="005C5A9F"/>
    <w:rsid w:val="005C5D29"/>
    <w:rsid w:val="005C625A"/>
    <w:rsid w:val="005C62F3"/>
    <w:rsid w:val="005C66CD"/>
    <w:rsid w:val="005D019F"/>
    <w:rsid w:val="005D055F"/>
    <w:rsid w:val="005D1707"/>
    <w:rsid w:val="005D33B4"/>
    <w:rsid w:val="005D3BA7"/>
    <w:rsid w:val="005D453D"/>
    <w:rsid w:val="005D5EF1"/>
    <w:rsid w:val="005D6CC6"/>
    <w:rsid w:val="005D6E92"/>
    <w:rsid w:val="005D7538"/>
    <w:rsid w:val="005D76D3"/>
    <w:rsid w:val="005D7965"/>
    <w:rsid w:val="005E021E"/>
    <w:rsid w:val="005E06C8"/>
    <w:rsid w:val="005E153B"/>
    <w:rsid w:val="005E2FCB"/>
    <w:rsid w:val="005E39AF"/>
    <w:rsid w:val="005E3AFE"/>
    <w:rsid w:val="005E3EB3"/>
    <w:rsid w:val="005E43B8"/>
    <w:rsid w:val="005E452F"/>
    <w:rsid w:val="005E54B7"/>
    <w:rsid w:val="005E69E4"/>
    <w:rsid w:val="005E72F4"/>
    <w:rsid w:val="005F0358"/>
    <w:rsid w:val="005F0401"/>
    <w:rsid w:val="005F088A"/>
    <w:rsid w:val="005F0E27"/>
    <w:rsid w:val="005F117D"/>
    <w:rsid w:val="005F1579"/>
    <w:rsid w:val="005F2568"/>
    <w:rsid w:val="005F3680"/>
    <w:rsid w:val="005F3804"/>
    <w:rsid w:val="005F6B6D"/>
    <w:rsid w:val="005F6DBF"/>
    <w:rsid w:val="005F726B"/>
    <w:rsid w:val="005F72EC"/>
    <w:rsid w:val="005F7C07"/>
    <w:rsid w:val="00600658"/>
    <w:rsid w:val="00600D4E"/>
    <w:rsid w:val="00601633"/>
    <w:rsid w:val="00602176"/>
    <w:rsid w:val="00603091"/>
    <w:rsid w:val="006030DD"/>
    <w:rsid w:val="00603878"/>
    <w:rsid w:val="006039B1"/>
    <w:rsid w:val="00603DFA"/>
    <w:rsid w:val="00603F16"/>
    <w:rsid w:val="006044F5"/>
    <w:rsid w:val="00604999"/>
    <w:rsid w:val="00604C5C"/>
    <w:rsid w:val="0060571A"/>
    <w:rsid w:val="006058C7"/>
    <w:rsid w:val="00605B9D"/>
    <w:rsid w:val="006060EE"/>
    <w:rsid w:val="00606ACE"/>
    <w:rsid w:val="006071A7"/>
    <w:rsid w:val="00607773"/>
    <w:rsid w:val="00607FD2"/>
    <w:rsid w:val="006102AE"/>
    <w:rsid w:val="006103B7"/>
    <w:rsid w:val="00610BFB"/>
    <w:rsid w:val="00611E68"/>
    <w:rsid w:val="00612EB7"/>
    <w:rsid w:val="00615147"/>
    <w:rsid w:val="00615C42"/>
    <w:rsid w:val="00616502"/>
    <w:rsid w:val="00616638"/>
    <w:rsid w:val="00616B06"/>
    <w:rsid w:val="0061739B"/>
    <w:rsid w:val="006174F9"/>
    <w:rsid w:val="0061755B"/>
    <w:rsid w:val="00617D45"/>
    <w:rsid w:val="0062050A"/>
    <w:rsid w:val="006205C7"/>
    <w:rsid w:val="006214F5"/>
    <w:rsid w:val="00621DE4"/>
    <w:rsid w:val="00622B15"/>
    <w:rsid w:val="00622F46"/>
    <w:rsid w:val="006234E5"/>
    <w:rsid w:val="00623F69"/>
    <w:rsid w:val="0062411D"/>
    <w:rsid w:val="006249EC"/>
    <w:rsid w:val="00624F5C"/>
    <w:rsid w:val="00624FF3"/>
    <w:rsid w:val="006250E0"/>
    <w:rsid w:val="0062581C"/>
    <w:rsid w:val="00625845"/>
    <w:rsid w:val="0062688B"/>
    <w:rsid w:val="00626DE2"/>
    <w:rsid w:val="006306D0"/>
    <w:rsid w:val="00630A65"/>
    <w:rsid w:val="00630CCE"/>
    <w:rsid w:val="00631ECA"/>
    <w:rsid w:val="00632A26"/>
    <w:rsid w:val="006330D3"/>
    <w:rsid w:val="006345F9"/>
    <w:rsid w:val="00634643"/>
    <w:rsid w:val="00634F4B"/>
    <w:rsid w:val="00635621"/>
    <w:rsid w:val="006356AB"/>
    <w:rsid w:val="006356BF"/>
    <w:rsid w:val="00635876"/>
    <w:rsid w:val="0063627D"/>
    <w:rsid w:val="00636414"/>
    <w:rsid w:val="00636DD8"/>
    <w:rsid w:val="00637993"/>
    <w:rsid w:val="00637EAE"/>
    <w:rsid w:val="006407A7"/>
    <w:rsid w:val="00640AC3"/>
    <w:rsid w:val="00640F03"/>
    <w:rsid w:val="00641057"/>
    <w:rsid w:val="0064231C"/>
    <w:rsid w:val="00644AF6"/>
    <w:rsid w:val="006454E3"/>
    <w:rsid w:val="00645DF0"/>
    <w:rsid w:val="00645FB8"/>
    <w:rsid w:val="006460DB"/>
    <w:rsid w:val="0064643F"/>
    <w:rsid w:val="006465A3"/>
    <w:rsid w:val="00646B12"/>
    <w:rsid w:val="00650AEA"/>
    <w:rsid w:val="00650E61"/>
    <w:rsid w:val="00650EE6"/>
    <w:rsid w:val="00651EDD"/>
    <w:rsid w:val="00652CE0"/>
    <w:rsid w:val="00653857"/>
    <w:rsid w:val="0065391A"/>
    <w:rsid w:val="006540C2"/>
    <w:rsid w:val="0065473D"/>
    <w:rsid w:val="00654BA9"/>
    <w:rsid w:val="00654C32"/>
    <w:rsid w:val="006552B5"/>
    <w:rsid w:val="00655A5D"/>
    <w:rsid w:val="00655C54"/>
    <w:rsid w:val="00656022"/>
    <w:rsid w:val="006567F3"/>
    <w:rsid w:val="00656B8F"/>
    <w:rsid w:val="00657746"/>
    <w:rsid w:val="00657C85"/>
    <w:rsid w:val="006614E4"/>
    <w:rsid w:val="00662126"/>
    <w:rsid w:val="0066418D"/>
    <w:rsid w:val="00664D92"/>
    <w:rsid w:val="00664F40"/>
    <w:rsid w:val="00665491"/>
    <w:rsid w:val="00665DDE"/>
    <w:rsid w:val="0066718A"/>
    <w:rsid w:val="00667402"/>
    <w:rsid w:val="0067022C"/>
    <w:rsid w:val="0067072D"/>
    <w:rsid w:val="00670A3B"/>
    <w:rsid w:val="00670B7B"/>
    <w:rsid w:val="00670F3B"/>
    <w:rsid w:val="00671379"/>
    <w:rsid w:val="00671412"/>
    <w:rsid w:val="00671804"/>
    <w:rsid w:val="00673127"/>
    <w:rsid w:val="006732A7"/>
    <w:rsid w:val="006736DE"/>
    <w:rsid w:val="00673AB9"/>
    <w:rsid w:val="00673BED"/>
    <w:rsid w:val="00674C79"/>
    <w:rsid w:val="006757CA"/>
    <w:rsid w:val="00675D64"/>
    <w:rsid w:val="0067631C"/>
    <w:rsid w:val="00676F10"/>
    <w:rsid w:val="00680968"/>
    <w:rsid w:val="006812F6"/>
    <w:rsid w:val="006813B8"/>
    <w:rsid w:val="00681430"/>
    <w:rsid w:val="0068219B"/>
    <w:rsid w:val="00683D85"/>
    <w:rsid w:val="00683FF1"/>
    <w:rsid w:val="00684469"/>
    <w:rsid w:val="006847FA"/>
    <w:rsid w:val="00686040"/>
    <w:rsid w:val="006877F0"/>
    <w:rsid w:val="006879F8"/>
    <w:rsid w:val="00690264"/>
    <w:rsid w:val="006902E0"/>
    <w:rsid w:val="00690342"/>
    <w:rsid w:val="00690526"/>
    <w:rsid w:val="00691292"/>
    <w:rsid w:val="00691495"/>
    <w:rsid w:val="00691E22"/>
    <w:rsid w:val="00691F9D"/>
    <w:rsid w:val="0069233C"/>
    <w:rsid w:val="00692349"/>
    <w:rsid w:val="006923EA"/>
    <w:rsid w:val="00692B6C"/>
    <w:rsid w:val="006930CC"/>
    <w:rsid w:val="006933D3"/>
    <w:rsid w:val="0069424C"/>
    <w:rsid w:val="006954FE"/>
    <w:rsid w:val="00697070"/>
    <w:rsid w:val="006A083A"/>
    <w:rsid w:val="006A09C3"/>
    <w:rsid w:val="006A17F4"/>
    <w:rsid w:val="006A25E2"/>
    <w:rsid w:val="006A2D2A"/>
    <w:rsid w:val="006A2E9B"/>
    <w:rsid w:val="006A34D4"/>
    <w:rsid w:val="006A471F"/>
    <w:rsid w:val="006A55C8"/>
    <w:rsid w:val="006A5AFD"/>
    <w:rsid w:val="006A5F90"/>
    <w:rsid w:val="006A7BFE"/>
    <w:rsid w:val="006A7DFA"/>
    <w:rsid w:val="006B04D0"/>
    <w:rsid w:val="006B0712"/>
    <w:rsid w:val="006B0777"/>
    <w:rsid w:val="006B121F"/>
    <w:rsid w:val="006B29A4"/>
    <w:rsid w:val="006B31B5"/>
    <w:rsid w:val="006B3408"/>
    <w:rsid w:val="006B3D05"/>
    <w:rsid w:val="006B464D"/>
    <w:rsid w:val="006B51A4"/>
    <w:rsid w:val="006B51F1"/>
    <w:rsid w:val="006B610A"/>
    <w:rsid w:val="006B6112"/>
    <w:rsid w:val="006B6C33"/>
    <w:rsid w:val="006B7FDF"/>
    <w:rsid w:val="006C018C"/>
    <w:rsid w:val="006C0667"/>
    <w:rsid w:val="006C0AB4"/>
    <w:rsid w:val="006C0F9B"/>
    <w:rsid w:val="006C10DC"/>
    <w:rsid w:val="006C1179"/>
    <w:rsid w:val="006C1BF9"/>
    <w:rsid w:val="006C1CB0"/>
    <w:rsid w:val="006C3440"/>
    <w:rsid w:val="006C3ADD"/>
    <w:rsid w:val="006C414C"/>
    <w:rsid w:val="006C417E"/>
    <w:rsid w:val="006C4194"/>
    <w:rsid w:val="006C4671"/>
    <w:rsid w:val="006C4A6A"/>
    <w:rsid w:val="006C512D"/>
    <w:rsid w:val="006C5871"/>
    <w:rsid w:val="006C5AA8"/>
    <w:rsid w:val="006C6784"/>
    <w:rsid w:val="006C6E9C"/>
    <w:rsid w:val="006C739D"/>
    <w:rsid w:val="006D1D61"/>
    <w:rsid w:val="006D2089"/>
    <w:rsid w:val="006D2A8D"/>
    <w:rsid w:val="006D366F"/>
    <w:rsid w:val="006D3A18"/>
    <w:rsid w:val="006D3B88"/>
    <w:rsid w:val="006D4332"/>
    <w:rsid w:val="006D4795"/>
    <w:rsid w:val="006D4AC5"/>
    <w:rsid w:val="006D4E16"/>
    <w:rsid w:val="006D55E4"/>
    <w:rsid w:val="006D63F5"/>
    <w:rsid w:val="006D67DA"/>
    <w:rsid w:val="006D7BE7"/>
    <w:rsid w:val="006E1749"/>
    <w:rsid w:val="006E29D8"/>
    <w:rsid w:val="006E316B"/>
    <w:rsid w:val="006E3A79"/>
    <w:rsid w:val="006E4E3C"/>
    <w:rsid w:val="006E53C6"/>
    <w:rsid w:val="006E6E44"/>
    <w:rsid w:val="006F014D"/>
    <w:rsid w:val="006F0C62"/>
    <w:rsid w:val="006F0D4F"/>
    <w:rsid w:val="006F168B"/>
    <w:rsid w:val="006F22F5"/>
    <w:rsid w:val="006F34A4"/>
    <w:rsid w:val="006F37BC"/>
    <w:rsid w:val="006F3A82"/>
    <w:rsid w:val="006F4073"/>
    <w:rsid w:val="006F5799"/>
    <w:rsid w:val="006F5A67"/>
    <w:rsid w:val="006F6C11"/>
    <w:rsid w:val="006F717B"/>
    <w:rsid w:val="006F7555"/>
    <w:rsid w:val="00700014"/>
    <w:rsid w:val="00704577"/>
    <w:rsid w:val="00705528"/>
    <w:rsid w:val="0070556C"/>
    <w:rsid w:val="007057BC"/>
    <w:rsid w:val="00705C15"/>
    <w:rsid w:val="00705D28"/>
    <w:rsid w:val="00705E3B"/>
    <w:rsid w:val="00710562"/>
    <w:rsid w:val="0071089F"/>
    <w:rsid w:val="00710FF7"/>
    <w:rsid w:val="00711178"/>
    <w:rsid w:val="00711DDB"/>
    <w:rsid w:val="007121AF"/>
    <w:rsid w:val="00712313"/>
    <w:rsid w:val="0071278D"/>
    <w:rsid w:val="00712C3E"/>
    <w:rsid w:val="007131BB"/>
    <w:rsid w:val="00714855"/>
    <w:rsid w:val="00715368"/>
    <w:rsid w:val="0071609D"/>
    <w:rsid w:val="007165AC"/>
    <w:rsid w:val="00716668"/>
    <w:rsid w:val="007167B1"/>
    <w:rsid w:val="00717C09"/>
    <w:rsid w:val="007200A2"/>
    <w:rsid w:val="00721EC7"/>
    <w:rsid w:val="00721F35"/>
    <w:rsid w:val="00722A73"/>
    <w:rsid w:val="00722D38"/>
    <w:rsid w:val="00722DE1"/>
    <w:rsid w:val="007230F6"/>
    <w:rsid w:val="00723227"/>
    <w:rsid w:val="0072394A"/>
    <w:rsid w:val="007257C4"/>
    <w:rsid w:val="00725F1D"/>
    <w:rsid w:val="00727BEC"/>
    <w:rsid w:val="007306FF"/>
    <w:rsid w:val="00731450"/>
    <w:rsid w:val="0073179F"/>
    <w:rsid w:val="0073183A"/>
    <w:rsid w:val="00732488"/>
    <w:rsid w:val="0073281E"/>
    <w:rsid w:val="007336F7"/>
    <w:rsid w:val="007342F4"/>
    <w:rsid w:val="0073462F"/>
    <w:rsid w:val="00734784"/>
    <w:rsid w:val="00734863"/>
    <w:rsid w:val="00734D6A"/>
    <w:rsid w:val="00735297"/>
    <w:rsid w:val="007355A9"/>
    <w:rsid w:val="0073613F"/>
    <w:rsid w:val="00736848"/>
    <w:rsid w:val="00736FE0"/>
    <w:rsid w:val="00737237"/>
    <w:rsid w:val="00737406"/>
    <w:rsid w:val="00737DD8"/>
    <w:rsid w:val="00741058"/>
    <w:rsid w:val="007416D6"/>
    <w:rsid w:val="00741E3D"/>
    <w:rsid w:val="0074208F"/>
    <w:rsid w:val="00742D6D"/>
    <w:rsid w:val="00743130"/>
    <w:rsid w:val="007438E5"/>
    <w:rsid w:val="0074447C"/>
    <w:rsid w:val="0074509B"/>
    <w:rsid w:val="007460BE"/>
    <w:rsid w:val="0074628E"/>
    <w:rsid w:val="00747E8C"/>
    <w:rsid w:val="00750094"/>
    <w:rsid w:val="00750878"/>
    <w:rsid w:val="00750F23"/>
    <w:rsid w:val="00750F8C"/>
    <w:rsid w:val="007512C3"/>
    <w:rsid w:val="00751907"/>
    <w:rsid w:val="007554F7"/>
    <w:rsid w:val="00755660"/>
    <w:rsid w:val="00755868"/>
    <w:rsid w:val="00755F22"/>
    <w:rsid w:val="007561A5"/>
    <w:rsid w:val="00756841"/>
    <w:rsid w:val="00756D4C"/>
    <w:rsid w:val="0075710D"/>
    <w:rsid w:val="00757625"/>
    <w:rsid w:val="00757A8E"/>
    <w:rsid w:val="00757C20"/>
    <w:rsid w:val="007609C0"/>
    <w:rsid w:val="00760EF2"/>
    <w:rsid w:val="00760F68"/>
    <w:rsid w:val="007620AF"/>
    <w:rsid w:val="007620CC"/>
    <w:rsid w:val="00762B27"/>
    <w:rsid w:val="007633F6"/>
    <w:rsid w:val="007651C9"/>
    <w:rsid w:val="00765952"/>
    <w:rsid w:val="0076613D"/>
    <w:rsid w:val="0076674A"/>
    <w:rsid w:val="00766EAF"/>
    <w:rsid w:val="00770803"/>
    <w:rsid w:val="00770FEE"/>
    <w:rsid w:val="00771641"/>
    <w:rsid w:val="00772335"/>
    <w:rsid w:val="00772555"/>
    <w:rsid w:val="00772766"/>
    <w:rsid w:val="00772A0D"/>
    <w:rsid w:val="00773167"/>
    <w:rsid w:val="00773673"/>
    <w:rsid w:val="00774114"/>
    <w:rsid w:val="00774171"/>
    <w:rsid w:val="00774275"/>
    <w:rsid w:val="00774723"/>
    <w:rsid w:val="00774D96"/>
    <w:rsid w:val="00777EE4"/>
    <w:rsid w:val="00780061"/>
    <w:rsid w:val="00780504"/>
    <w:rsid w:val="00780969"/>
    <w:rsid w:val="00780A9F"/>
    <w:rsid w:val="00781336"/>
    <w:rsid w:val="00782713"/>
    <w:rsid w:val="00783062"/>
    <w:rsid w:val="0078385C"/>
    <w:rsid w:val="00783AE6"/>
    <w:rsid w:val="00784438"/>
    <w:rsid w:val="00784F60"/>
    <w:rsid w:val="00785196"/>
    <w:rsid w:val="0078571F"/>
    <w:rsid w:val="00785B8F"/>
    <w:rsid w:val="007870FF"/>
    <w:rsid w:val="00790395"/>
    <w:rsid w:val="00791286"/>
    <w:rsid w:val="007915A6"/>
    <w:rsid w:val="00791995"/>
    <w:rsid w:val="00791C4A"/>
    <w:rsid w:val="00792858"/>
    <w:rsid w:val="00794162"/>
    <w:rsid w:val="0079458B"/>
    <w:rsid w:val="00794919"/>
    <w:rsid w:val="0079544A"/>
    <w:rsid w:val="00795A68"/>
    <w:rsid w:val="00795F93"/>
    <w:rsid w:val="00796097"/>
    <w:rsid w:val="00796BBF"/>
    <w:rsid w:val="00796F64"/>
    <w:rsid w:val="00797FAE"/>
    <w:rsid w:val="00797FB2"/>
    <w:rsid w:val="007A004B"/>
    <w:rsid w:val="007A0806"/>
    <w:rsid w:val="007A1B00"/>
    <w:rsid w:val="007A1DB7"/>
    <w:rsid w:val="007A20F4"/>
    <w:rsid w:val="007A20F6"/>
    <w:rsid w:val="007A37F5"/>
    <w:rsid w:val="007A3F03"/>
    <w:rsid w:val="007A402B"/>
    <w:rsid w:val="007A48B0"/>
    <w:rsid w:val="007A5212"/>
    <w:rsid w:val="007A5306"/>
    <w:rsid w:val="007A5375"/>
    <w:rsid w:val="007A60B5"/>
    <w:rsid w:val="007A60E7"/>
    <w:rsid w:val="007A6448"/>
    <w:rsid w:val="007A64FA"/>
    <w:rsid w:val="007A657D"/>
    <w:rsid w:val="007A6A75"/>
    <w:rsid w:val="007A70F9"/>
    <w:rsid w:val="007A7D50"/>
    <w:rsid w:val="007B0515"/>
    <w:rsid w:val="007B1157"/>
    <w:rsid w:val="007B1ED9"/>
    <w:rsid w:val="007B2593"/>
    <w:rsid w:val="007B2630"/>
    <w:rsid w:val="007B2813"/>
    <w:rsid w:val="007B2B42"/>
    <w:rsid w:val="007B35F7"/>
    <w:rsid w:val="007B3B8C"/>
    <w:rsid w:val="007B444F"/>
    <w:rsid w:val="007B521A"/>
    <w:rsid w:val="007B5E1B"/>
    <w:rsid w:val="007B637B"/>
    <w:rsid w:val="007B6417"/>
    <w:rsid w:val="007B66AE"/>
    <w:rsid w:val="007B6C71"/>
    <w:rsid w:val="007B718D"/>
    <w:rsid w:val="007B73AE"/>
    <w:rsid w:val="007B7A8A"/>
    <w:rsid w:val="007B7AE0"/>
    <w:rsid w:val="007B7BC7"/>
    <w:rsid w:val="007B7E90"/>
    <w:rsid w:val="007C0007"/>
    <w:rsid w:val="007C067B"/>
    <w:rsid w:val="007C0AE8"/>
    <w:rsid w:val="007C11C5"/>
    <w:rsid w:val="007C1237"/>
    <w:rsid w:val="007C172A"/>
    <w:rsid w:val="007C2553"/>
    <w:rsid w:val="007C30E9"/>
    <w:rsid w:val="007C405F"/>
    <w:rsid w:val="007C4E7A"/>
    <w:rsid w:val="007C5432"/>
    <w:rsid w:val="007C564C"/>
    <w:rsid w:val="007C5B00"/>
    <w:rsid w:val="007C7B8A"/>
    <w:rsid w:val="007C7CA6"/>
    <w:rsid w:val="007D0CC4"/>
    <w:rsid w:val="007D0E8E"/>
    <w:rsid w:val="007D26AB"/>
    <w:rsid w:val="007D27B8"/>
    <w:rsid w:val="007D2822"/>
    <w:rsid w:val="007D308B"/>
    <w:rsid w:val="007D41A6"/>
    <w:rsid w:val="007D42F2"/>
    <w:rsid w:val="007D4A33"/>
    <w:rsid w:val="007D619A"/>
    <w:rsid w:val="007D65CB"/>
    <w:rsid w:val="007D74FE"/>
    <w:rsid w:val="007D779B"/>
    <w:rsid w:val="007D7890"/>
    <w:rsid w:val="007E0B40"/>
    <w:rsid w:val="007E146F"/>
    <w:rsid w:val="007E16B9"/>
    <w:rsid w:val="007E1EDD"/>
    <w:rsid w:val="007E2828"/>
    <w:rsid w:val="007E292E"/>
    <w:rsid w:val="007E3FE9"/>
    <w:rsid w:val="007E42C6"/>
    <w:rsid w:val="007E4BA9"/>
    <w:rsid w:val="007E4EE0"/>
    <w:rsid w:val="007E5A69"/>
    <w:rsid w:val="007E6DB9"/>
    <w:rsid w:val="007E7396"/>
    <w:rsid w:val="007E78F6"/>
    <w:rsid w:val="007F0B92"/>
    <w:rsid w:val="007F0F39"/>
    <w:rsid w:val="007F0F6F"/>
    <w:rsid w:val="007F1FD2"/>
    <w:rsid w:val="007F247E"/>
    <w:rsid w:val="007F3220"/>
    <w:rsid w:val="007F362F"/>
    <w:rsid w:val="007F3E3F"/>
    <w:rsid w:val="007F4C0A"/>
    <w:rsid w:val="007F5345"/>
    <w:rsid w:val="007F54A7"/>
    <w:rsid w:val="007F5790"/>
    <w:rsid w:val="007F7392"/>
    <w:rsid w:val="007F7D13"/>
    <w:rsid w:val="007F7E05"/>
    <w:rsid w:val="00800539"/>
    <w:rsid w:val="00800F9E"/>
    <w:rsid w:val="00801BC8"/>
    <w:rsid w:val="00802D65"/>
    <w:rsid w:val="00803337"/>
    <w:rsid w:val="008033A2"/>
    <w:rsid w:val="008035F7"/>
    <w:rsid w:val="00803E8B"/>
    <w:rsid w:val="008047E1"/>
    <w:rsid w:val="00805B4B"/>
    <w:rsid w:val="00805D5E"/>
    <w:rsid w:val="0081073F"/>
    <w:rsid w:val="00811692"/>
    <w:rsid w:val="00811DF4"/>
    <w:rsid w:val="008121FB"/>
    <w:rsid w:val="008122C5"/>
    <w:rsid w:val="008127EA"/>
    <w:rsid w:val="00812AA3"/>
    <w:rsid w:val="00812AC6"/>
    <w:rsid w:val="00813023"/>
    <w:rsid w:val="00813E8E"/>
    <w:rsid w:val="00814061"/>
    <w:rsid w:val="00814EA1"/>
    <w:rsid w:val="00815C94"/>
    <w:rsid w:val="0081641E"/>
    <w:rsid w:val="00816D24"/>
    <w:rsid w:val="00817283"/>
    <w:rsid w:val="00817BAE"/>
    <w:rsid w:val="00820224"/>
    <w:rsid w:val="00820C04"/>
    <w:rsid w:val="0082152B"/>
    <w:rsid w:val="00821C0B"/>
    <w:rsid w:val="00821C8E"/>
    <w:rsid w:val="0082225C"/>
    <w:rsid w:val="00822408"/>
    <w:rsid w:val="008232FE"/>
    <w:rsid w:val="008234B7"/>
    <w:rsid w:val="00823907"/>
    <w:rsid w:val="00823F25"/>
    <w:rsid w:val="00824000"/>
    <w:rsid w:val="00824009"/>
    <w:rsid w:val="0082404D"/>
    <w:rsid w:val="00824DFD"/>
    <w:rsid w:val="00826010"/>
    <w:rsid w:val="00826801"/>
    <w:rsid w:val="00827236"/>
    <w:rsid w:val="00830931"/>
    <w:rsid w:val="00832A17"/>
    <w:rsid w:val="00832CBB"/>
    <w:rsid w:val="0083351E"/>
    <w:rsid w:val="008340EE"/>
    <w:rsid w:val="008342DD"/>
    <w:rsid w:val="008346CF"/>
    <w:rsid w:val="0083527A"/>
    <w:rsid w:val="00836216"/>
    <w:rsid w:val="00836270"/>
    <w:rsid w:val="008362DE"/>
    <w:rsid w:val="00837248"/>
    <w:rsid w:val="0083726E"/>
    <w:rsid w:val="00840635"/>
    <w:rsid w:val="00840683"/>
    <w:rsid w:val="00840929"/>
    <w:rsid w:val="00840D1C"/>
    <w:rsid w:val="00841436"/>
    <w:rsid w:val="00841917"/>
    <w:rsid w:val="00843807"/>
    <w:rsid w:val="0084399F"/>
    <w:rsid w:val="00844CAE"/>
    <w:rsid w:val="0084512F"/>
    <w:rsid w:val="00845672"/>
    <w:rsid w:val="00846C0B"/>
    <w:rsid w:val="00847F8B"/>
    <w:rsid w:val="0085018E"/>
    <w:rsid w:val="0085041E"/>
    <w:rsid w:val="00850ECD"/>
    <w:rsid w:val="0085142D"/>
    <w:rsid w:val="00852AD9"/>
    <w:rsid w:val="00853088"/>
    <w:rsid w:val="008531BE"/>
    <w:rsid w:val="00853424"/>
    <w:rsid w:val="00853D3B"/>
    <w:rsid w:val="00854371"/>
    <w:rsid w:val="008545F3"/>
    <w:rsid w:val="008554E6"/>
    <w:rsid w:val="0085671F"/>
    <w:rsid w:val="00857594"/>
    <w:rsid w:val="0085776B"/>
    <w:rsid w:val="00857791"/>
    <w:rsid w:val="00860224"/>
    <w:rsid w:val="008603D9"/>
    <w:rsid w:val="008603FE"/>
    <w:rsid w:val="0086106B"/>
    <w:rsid w:val="00861783"/>
    <w:rsid w:val="00861D4C"/>
    <w:rsid w:val="00862421"/>
    <w:rsid w:val="008631B5"/>
    <w:rsid w:val="00863663"/>
    <w:rsid w:val="00864266"/>
    <w:rsid w:val="008645FC"/>
    <w:rsid w:val="008647BF"/>
    <w:rsid w:val="00864928"/>
    <w:rsid w:val="00865DD8"/>
    <w:rsid w:val="00866C39"/>
    <w:rsid w:val="00866CE0"/>
    <w:rsid w:val="00866F89"/>
    <w:rsid w:val="00867057"/>
    <w:rsid w:val="00870D1C"/>
    <w:rsid w:val="0087158D"/>
    <w:rsid w:val="00872551"/>
    <w:rsid w:val="00872CAC"/>
    <w:rsid w:val="008734A2"/>
    <w:rsid w:val="0087438D"/>
    <w:rsid w:val="0087559B"/>
    <w:rsid w:val="00875822"/>
    <w:rsid w:val="008765F5"/>
    <w:rsid w:val="00876D83"/>
    <w:rsid w:val="00877F72"/>
    <w:rsid w:val="00880167"/>
    <w:rsid w:val="00880BA9"/>
    <w:rsid w:val="00880BEA"/>
    <w:rsid w:val="00881041"/>
    <w:rsid w:val="0088119D"/>
    <w:rsid w:val="008831DC"/>
    <w:rsid w:val="008837E3"/>
    <w:rsid w:val="00885D88"/>
    <w:rsid w:val="00886C51"/>
    <w:rsid w:val="008870D7"/>
    <w:rsid w:val="00887741"/>
    <w:rsid w:val="00887843"/>
    <w:rsid w:val="00887AFB"/>
    <w:rsid w:val="0089021C"/>
    <w:rsid w:val="00891D2B"/>
    <w:rsid w:val="008927EB"/>
    <w:rsid w:val="00894124"/>
    <w:rsid w:val="008942AE"/>
    <w:rsid w:val="0089430B"/>
    <w:rsid w:val="008967C5"/>
    <w:rsid w:val="00896952"/>
    <w:rsid w:val="00896B93"/>
    <w:rsid w:val="00896C60"/>
    <w:rsid w:val="00897126"/>
    <w:rsid w:val="00897977"/>
    <w:rsid w:val="008A01C5"/>
    <w:rsid w:val="008A10B8"/>
    <w:rsid w:val="008A1243"/>
    <w:rsid w:val="008A1768"/>
    <w:rsid w:val="008A2946"/>
    <w:rsid w:val="008A2D4C"/>
    <w:rsid w:val="008A33EE"/>
    <w:rsid w:val="008A379A"/>
    <w:rsid w:val="008A45BF"/>
    <w:rsid w:val="008A46B5"/>
    <w:rsid w:val="008A46F6"/>
    <w:rsid w:val="008A562E"/>
    <w:rsid w:val="008A75E3"/>
    <w:rsid w:val="008B0730"/>
    <w:rsid w:val="008B122E"/>
    <w:rsid w:val="008B1272"/>
    <w:rsid w:val="008B1992"/>
    <w:rsid w:val="008B1ED6"/>
    <w:rsid w:val="008B3439"/>
    <w:rsid w:val="008B4A6A"/>
    <w:rsid w:val="008B4C6E"/>
    <w:rsid w:val="008B4CD9"/>
    <w:rsid w:val="008B4FF0"/>
    <w:rsid w:val="008B57E3"/>
    <w:rsid w:val="008B5CD5"/>
    <w:rsid w:val="008B6FFF"/>
    <w:rsid w:val="008B7350"/>
    <w:rsid w:val="008B7BD0"/>
    <w:rsid w:val="008C00A9"/>
    <w:rsid w:val="008C0E95"/>
    <w:rsid w:val="008C1A92"/>
    <w:rsid w:val="008C22A9"/>
    <w:rsid w:val="008C333F"/>
    <w:rsid w:val="008C3AA4"/>
    <w:rsid w:val="008C3D16"/>
    <w:rsid w:val="008C3F53"/>
    <w:rsid w:val="008C4151"/>
    <w:rsid w:val="008C4EB5"/>
    <w:rsid w:val="008C56B1"/>
    <w:rsid w:val="008C5A9E"/>
    <w:rsid w:val="008C5C93"/>
    <w:rsid w:val="008C6F1E"/>
    <w:rsid w:val="008C7271"/>
    <w:rsid w:val="008C7592"/>
    <w:rsid w:val="008C7992"/>
    <w:rsid w:val="008D0A41"/>
    <w:rsid w:val="008D0D9B"/>
    <w:rsid w:val="008D179C"/>
    <w:rsid w:val="008D1AB8"/>
    <w:rsid w:val="008D1D33"/>
    <w:rsid w:val="008D2FD0"/>
    <w:rsid w:val="008D332E"/>
    <w:rsid w:val="008D363A"/>
    <w:rsid w:val="008D3F13"/>
    <w:rsid w:val="008D5C0B"/>
    <w:rsid w:val="008D5C49"/>
    <w:rsid w:val="008D5EB6"/>
    <w:rsid w:val="008D684B"/>
    <w:rsid w:val="008D6C83"/>
    <w:rsid w:val="008D7AED"/>
    <w:rsid w:val="008E0C27"/>
    <w:rsid w:val="008E0DB4"/>
    <w:rsid w:val="008E1CDB"/>
    <w:rsid w:val="008E2C2B"/>
    <w:rsid w:val="008E3490"/>
    <w:rsid w:val="008E44BB"/>
    <w:rsid w:val="008E5402"/>
    <w:rsid w:val="008E5AFB"/>
    <w:rsid w:val="008E6024"/>
    <w:rsid w:val="008E656D"/>
    <w:rsid w:val="008E7557"/>
    <w:rsid w:val="008E7D9F"/>
    <w:rsid w:val="008F03AD"/>
    <w:rsid w:val="008F048D"/>
    <w:rsid w:val="008F06D3"/>
    <w:rsid w:val="008F1302"/>
    <w:rsid w:val="008F17D7"/>
    <w:rsid w:val="008F2227"/>
    <w:rsid w:val="008F2AED"/>
    <w:rsid w:val="008F2ECA"/>
    <w:rsid w:val="008F3A15"/>
    <w:rsid w:val="008F3D5B"/>
    <w:rsid w:val="008F3E58"/>
    <w:rsid w:val="008F4249"/>
    <w:rsid w:val="008F45A1"/>
    <w:rsid w:val="008F5072"/>
    <w:rsid w:val="008F5806"/>
    <w:rsid w:val="008F5EA1"/>
    <w:rsid w:val="008F613E"/>
    <w:rsid w:val="008F65BB"/>
    <w:rsid w:val="008F6803"/>
    <w:rsid w:val="008F70F5"/>
    <w:rsid w:val="008F78AE"/>
    <w:rsid w:val="00900123"/>
    <w:rsid w:val="00900748"/>
    <w:rsid w:val="009010F2"/>
    <w:rsid w:val="0090151A"/>
    <w:rsid w:val="00901A10"/>
    <w:rsid w:val="00902B92"/>
    <w:rsid w:val="009031F7"/>
    <w:rsid w:val="009034A7"/>
    <w:rsid w:val="00903AD9"/>
    <w:rsid w:val="00904267"/>
    <w:rsid w:val="00904CC5"/>
    <w:rsid w:val="009053DF"/>
    <w:rsid w:val="0090553E"/>
    <w:rsid w:val="00905719"/>
    <w:rsid w:val="0090746D"/>
    <w:rsid w:val="00907793"/>
    <w:rsid w:val="00910D80"/>
    <w:rsid w:val="00910EC1"/>
    <w:rsid w:val="009114B5"/>
    <w:rsid w:val="00912237"/>
    <w:rsid w:val="009127E6"/>
    <w:rsid w:val="00913AED"/>
    <w:rsid w:val="00916183"/>
    <w:rsid w:val="0091644B"/>
    <w:rsid w:val="00917C9D"/>
    <w:rsid w:val="00917DCB"/>
    <w:rsid w:val="00920E62"/>
    <w:rsid w:val="00921313"/>
    <w:rsid w:val="0092195B"/>
    <w:rsid w:val="0092257D"/>
    <w:rsid w:val="0092259B"/>
    <w:rsid w:val="009235F0"/>
    <w:rsid w:val="009243A8"/>
    <w:rsid w:val="00924B08"/>
    <w:rsid w:val="00924D2C"/>
    <w:rsid w:val="00925459"/>
    <w:rsid w:val="00925AE3"/>
    <w:rsid w:val="00926595"/>
    <w:rsid w:val="009265D8"/>
    <w:rsid w:val="00926C81"/>
    <w:rsid w:val="00926EEF"/>
    <w:rsid w:val="00927050"/>
    <w:rsid w:val="00927561"/>
    <w:rsid w:val="009279D0"/>
    <w:rsid w:val="00927F7C"/>
    <w:rsid w:val="009300E1"/>
    <w:rsid w:val="009310B3"/>
    <w:rsid w:val="00931813"/>
    <w:rsid w:val="00931C40"/>
    <w:rsid w:val="009324BC"/>
    <w:rsid w:val="00933799"/>
    <w:rsid w:val="00933BA9"/>
    <w:rsid w:val="00933C9B"/>
    <w:rsid w:val="0093508D"/>
    <w:rsid w:val="009360BE"/>
    <w:rsid w:val="009362E6"/>
    <w:rsid w:val="00936AF1"/>
    <w:rsid w:val="00937C93"/>
    <w:rsid w:val="0094038A"/>
    <w:rsid w:val="00940642"/>
    <w:rsid w:val="009408B4"/>
    <w:rsid w:val="009418E3"/>
    <w:rsid w:val="00941BD7"/>
    <w:rsid w:val="00942B32"/>
    <w:rsid w:val="0094378B"/>
    <w:rsid w:val="0094403C"/>
    <w:rsid w:val="0094409F"/>
    <w:rsid w:val="0094462E"/>
    <w:rsid w:val="00945403"/>
    <w:rsid w:val="00945DF9"/>
    <w:rsid w:val="00945F0F"/>
    <w:rsid w:val="0094650F"/>
    <w:rsid w:val="00946ECA"/>
    <w:rsid w:val="00946EEA"/>
    <w:rsid w:val="0094734C"/>
    <w:rsid w:val="00947545"/>
    <w:rsid w:val="00947848"/>
    <w:rsid w:val="00947AAC"/>
    <w:rsid w:val="00950399"/>
    <w:rsid w:val="00950F23"/>
    <w:rsid w:val="009514FC"/>
    <w:rsid w:val="00951B17"/>
    <w:rsid w:val="00952B0B"/>
    <w:rsid w:val="0095373F"/>
    <w:rsid w:val="00953BA8"/>
    <w:rsid w:val="009551F8"/>
    <w:rsid w:val="0095574B"/>
    <w:rsid w:val="0095646C"/>
    <w:rsid w:val="00956D2F"/>
    <w:rsid w:val="00957058"/>
    <w:rsid w:val="009575D8"/>
    <w:rsid w:val="009575DF"/>
    <w:rsid w:val="00957716"/>
    <w:rsid w:val="009577F8"/>
    <w:rsid w:val="00957995"/>
    <w:rsid w:val="00960D77"/>
    <w:rsid w:val="00961045"/>
    <w:rsid w:val="00962295"/>
    <w:rsid w:val="0096277C"/>
    <w:rsid w:val="00962EFA"/>
    <w:rsid w:val="00962F39"/>
    <w:rsid w:val="00963196"/>
    <w:rsid w:val="00963EBD"/>
    <w:rsid w:val="0096410A"/>
    <w:rsid w:val="00964949"/>
    <w:rsid w:val="009652C8"/>
    <w:rsid w:val="009654BA"/>
    <w:rsid w:val="0096571A"/>
    <w:rsid w:val="00965786"/>
    <w:rsid w:val="009665BC"/>
    <w:rsid w:val="00966A6C"/>
    <w:rsid w:val="00966EA3"/>
    <w:rsid w:val="00970ABF"/>
    <w:rsid w:val="00972F6D"/>
    <w:rsid w:val="00973517"/>
    <w:rsid w:val="00973667"/>
    <w:rsid w:val="00973C04"/>
    <w:rsid w:val="0097481F"/>
    <w:rsid w:val="0097512B"/>
    <w:rsid w:val="0097558D"/>
    <w:rsid w:val="00976D34"/>
    <w:rsid w:val="009807C0"/>
    <w:rsid w:val="009808CA"/>
    <w:rsid w:val="00980C16"/>
    <w:rsid w:val="00981408"/>
    <w:rsid w:val="00981881"/>
    <w:rsid w:val="009828C7"/>
    <w:rsid w:val="00983196"/>
    <w:rsid w:val="00984AEF"/>
    <w:rsid w:val="00984F94"/>
    <w:rsid w:val="0098569C"/>
    <w:rsid w:val="009862E9"/>
    <w:rsid w:val="00987F9F"/>
    <w:rsid w:val="00990437"/>
    <w:rsid w:val="0099047A"/>
    <w:rsid w:val="009916FA"/>
    <w:rsid w:val="0099401A"/>
    <w:rsid w:val="00994218"/>
    <w:rsid w:val="009943EF"/>
    <w:rsid w:val="00994B04"/>
    <w:rsid w:val="009953F4"/>
    <w:rsid w:val="00995A07"/>
    <w:rsid w:val="00995D52"/>
    <w:rsid w:val="009965EF"/>
    <w:rsid w:val="009969C7"/>
    <w:rsid w:val="009A073B"/>
    <w:rsid w:val="009A0825"/>
    <w:rsid w:val="009A10C1"/>
    <w:rsid w:val="009A12F4"/>
    <w:rsid w:val="009A2209"/>
    <w:rsid w:val="009A2941"/>
    <w:rsid w:val="009A3C75"/>
    <w:rsid w:val="009A48C5"/>
    <w:rsid w:val="009A5524"/>
    <w:rsid w:val="009A5748"/>
    <w:rsid w:val="009A6199"/>
    <w:rsid w:val="009A6740"/>
    <w:rsid w:val="009A72E2"/>
    <w:rsid w:val="009A7992"/>
    <w:rsid w:val="009B2343"/>
    <w:rsid w:val="009B2531"/>
    <w:rsid w:val="009B2E10"/>
    <w:rsid w:val="009B2F33"/>
    <w:rsid w:val="009B301E"/>
    <w:rsid w:val="009B3704"/>
    <w:rsid w:val="009B3A61"/>
    <w:rsid w:val="009B3CE1"/>
    <w:rsid w:val="009B3D0B"/>
    <w:rsid w:val="009B4785"/>
    <w:rsid w:val="009B4A1A"/>
    <w:rsid w:val="009B4B43"/>
    <w:rsid w:val="009B4F17"/>
    <w:rsid w:val="009B4FCC"/>
    <w:rsid w:val="009B5445"/>
    <w:rsid w:val="009B6432"/>
    <w:rsid w:val="009B6966"/>
    <w:rsid w:val="009B755C"/>
    <w:rsid w:val="009B7B52"/>
    <w:rsid w:val="009B7EB9"/>
    <w:rsid w:val="009C0061"/>
    <w:rsid w:val="009C16BF"/>
    <w:rsid w:val="009C2810"/>
    <w:rsid w:val="009C3957"/>
    <w:rsid w:val="009C3A4F"/>
    <w:rsid w:val="009C3E70"/>
    <w:rsid w:val="009C4461"/>
    <w:rsid w:val="009C4FF3"/>
    <w:rsid w:val="009C5188"/>
    <w:rsid w:val="009C57C3"/>
    <w:rsid w:val="009C59B2"/>
    <w:rsid w:val="009D009D"/>
    <w:rsid w:val="009D018B"/>
    <w:rsid w:val="009D080E"/>
    <w:rsid w:val="009D0FE0"/>
    <w:rsid w:val="009D41C2"/>
    <w:rsid w:val="009D4F2C"/>
    <w:rsid w:val="009D5366"/>
    <w:rsid w:val="009D57E2"/>
    <w:rsid w:val="009D5C56"/>
    <w:rsid w:val="009D6122"/>
    <w:rsid w:val="009D67A4"/>
    <w:rsid w:val="009D7C7B"/>
    <w:rsid w:val="009E1032"/>
    <w:rsid w:val="009E2BB6"/>
    <w:rsid w:val="009E3835"/>
    <w:rsid w:val="009E3986"/>
    <w:rsid w:val="009E50D4"/>
    <w:rsid w:val="009E512D"/>
    <w:rsid w:val="009E603E"/>
    <w:rsid w:val="009E6728"/>
    <w:rsid w:val="009E6BFF"/>
    <w:rsid w:val="009E6EBD"/>
    <w:rsid w:val="009E7241"/>
    <w:rsid w:val="009F0446"/>
    <w:rsid w:val="009F0BF0"/>
    <w:rsid w:val="009F1659"/>
    <w:rsid w:val="009F2515"/>
    <w:rsid w:val="009F3252"/>
    <w:rsid w:val="009F488A"/>
    <w:rsid w:val="009F48F6"/>
    <w:rsid w:val="009F5028"/>
    <w:rsid w:val="009F6AC4"/>
    <w:rsid w:val="009F7E0E"/>
    <w:rsid w:val="00A00136"/>
    <w:rsid w:val="00A00DD1"/>
    <w:rsid w:val="00A01476"/>
    <w:rsid w:val="00A01A35"/>
    <w:rsid w:val="00A02451"/>
    <w:rsid w:val="00A0307E"/>
    <w:rsid w:val="00A036D6"/>
    <w:rsid w:val="00A038E3"/>
    <w:rsid w:val="00A04501"/>
    <w:rsid w:val="00A0464C"/>
    <w:rsid w:val="00A06EBE"/>
    <w:rsid w:val="00A0735C"/>
    <w:rsid w:val="00A07B82"/>
    <w:rsid w:val="00A1105A"/>
    <w:rsid w:val="00A1169B"/>
    <w:rsid w:val="00A11EBD"/>
    <w:rsid w:val="00A12190"/>
    <w:rsid w:val="00A1267E"/>
    <w:rsid w:val="00A13F18"/>
    <w:rsid w:val="00A142F7"/>
    <w:rsid w:val="00A14304"/>
    <w:rsid w:val="00A14B6B"/>
    <w:rsid w:val="00A14DA9"/>
    <w:rsid w:val="00A157A4"/>
    <w:rsid w:val="00A16404"/>
    <w:rsid w:val="00A16B18"/>
    <w:rsid w:val="00A17714"/>
    <w:rsid w:val="00A17831"/>
    <w:rsid w:val="00A200CF"/>
    <w:rsid w:val="00A2029E"/>
    <w:rsid w:val="00A210D1"/>
    <w:rsid w:val="00A21597"/>
    <w:rsid w:val="00A21632"/>
    <w:rsid w:val="00A2241F"/>
    <w:rsid w:val="00A2286A"/>
    <w:rsid w:val="00A22D4B"/>
    <w:rsid w:val="00A23AF9"/>
    <w:rsid w:val="00A23E11"/>
    <w:rsid w:val="00A2438F"/>
    <w:rsid w:val="00A24EDD"/>
    <w:rsid w:val="00A25386"/>
    <w:rsid w:val="00A2592D"/>
    <w:rsid w:val="00A26067"/>
    <w:rsid w:val="00A261E8"/>
    <w:rsid w:val="00A268A0"/>
    <w:rsid w:val="00A27284"/>
    <w:rsid w:val="00A27649"/>
    <w:rsid w:val="00A31F1E"/>
    <w:rsid w:val="00A32BE2"/>
    <w:rsid w:val="00A32CC3"/>
    <w:rsid w:val="00A3352A"/>
    <w:rsid w:val="00A34BB9"/>
    <w:rsid w:val="00A3509E"/>
    <w:rsid w:val="00A35235"/>
    <w:rsid w:val="00A3528D"/>
    <w:rsid w:val="00A355D6"/>
    <w:rsid w:val="00A35C67"/>
    <w:rsid w:val="00A35FEA"/>
    <w:rsid w:val="00A36958"/>
    <w:rsid w:val="00A36DB4"/>
    <w:rsid w:val="00A370D5"/>
    <w:rsid w:val="00A3745F"/>
    <w:rsid w:val="00A41C9C"/>
    <w:rsid w:val="00A41E64"/>
    <w:rsid w:val="00A41EA5"/>
    <w:rsid w:val="00A450C2"/>
    <w:rsid w:val="00A454E7"/>
    <w:rsid w:val="00A45614"/>
    <w:rsid w:val="00A45B35"/>
    <w:rsid w:val="00A45C8A"/>
    <w:rsid w:val="00A46692"/>
    <w:rsid w:val="00A46A07"/>
    <w:rsid w:val="00A4721C"/>
    <w:rsid w:val="00A50D43"/>
    <w:rsid w:val="00A52825"/>
    <w:rsid w:val="00A53029"/>
    <w:rsid w:val="00A53E6B"/>
    <w:rsid w:val="00A55E0A"/>
    <w:rsid w:val="00A55F18"/>
    <w:rsid w:val="00A561FA"/>
    <w:rsid w:val="00A57A7E"/>
    <w:rsid w:val="00A604E4"/>
    <w:rsid w:val="00A60D96"/>
    <w:rsid w:val="00A616E0"/>
    <w:rsid w:val="00A61C92"/>
    <w:rsid w:val="00A6285A"/>
    <w:rsid w:val="00A62881"/>
    <w:rsid w:val="00A62EBD"/>
    <w:rsid w:val="00A63D3D"/>
    <w:rsid w:val="00A63F78"/>
    <w:rsid w:val="00A65862"/>
    <w:rsid w:val="00A662BE"/>
    <w:rsid w:val="00A67148"/>
    <w:rsid w:val="00A67756"/>
    <w:rsid w:val="00A67846"/>
    <w:rsid w:val="00A70BF0"/>
    <w:rsid w:val="00A70D41"/>
    <w:rsid w:val="00A714CA"/>
    <w:rsid w:val="00A718DB"/>
    <w:rsid w:val="00A71DDC"/>
    <w:rsid w:val="00A722FC"/>
    <w:rsid w:val="00A72A41"/>
    <w:rsid w:val="00A7437A"/>
    <w:rsid w:val="00A744FB"/>
    <w:rsid w:val="00A74D7A"/>
    <w:rsid w:val="00A74EBA"/>
    <w:rsid w:val="00A75451"/>
    <w:rsid w:val="00A755EA"/>
    <w:rsid w:val="00A7610E"/>
    <w:rsid w:val="00A76918"/>
    <w:rsid w:val="00A76C5F"/>
    <w:rsid w:val="00A771C4"/>
    <w:rsid w:val="00A7790E"/>
    <w:rsid w:val="00A77EB9"/>
    <w:rsid w:val="00A77ECE"/>
    <w:rsid w:val="00A80387"/>
    <w:rsid w:val="00A80A5F"/>
    <w:rsid w:val="00A81F0D"/>
    <w:rsid w:val="00A82926"/>
    <w:rsid w:val="00A82B7B"/>
    <w:rsid w:val="00A82E08"/>
    <w:rsid w:val="00A836DB"/>
    <w:rsid w:val="00A83930"/>
    <w:rsid w:val="00A83B9D"/>
    <w:rsid w:val="00A846A0"/>
    <w:rsid w:val="00A84B50"/>
    <w:rsid w:val="00A84CF2"/>
    <w:rsid w:val="00A8551B"/>
    <w:rsid w:val="00A86844"/>
    <w:rsid w:val="00A86DAE"/>
    <w:rsid w:val="00A87E49"/>
    <w:rsid w:val="00A9062E"/>
    <w:rsid w:val="00A90903"/>
    <w:rsid w:val="00A90EAD"/>
    <w:rsid w:val="00A915BE"/>
    <w:rsid w:val="00A91F1E"/>
    <w:rsid w:val="00A92F5C"/>
    <w:rsid w:val="00A932F7"/>
    <w:rsid w:val="00A9343D"/>
    <w:rsid w:val="00A93535"/>
    <w:rsid w:val="00A93592"/>
    <w:rsid w:val="00A9393D"/>
    <w:rsid w:val="00A94978"/>
    <w:rsid w:val="00A9639D"/>
    <w:rsid w:val="00A9656D"/>
    <w:rsid w:val="00A96A6B"/>
    <w:rsid w:val="00A96D8E"/>
    <w:rsid w:val="00A971C3"/>
    <w:rsid w:val="00A97D35"/>
    <w:rsid w:val="00AA0C10"/>
    <w:rsid w:val="00AA0CA6"/>
    <w:rsid w:val="00AA0FD0"/>
    <w:rsid w:val="00AA151C"/>
    <w:rsid w:val="00AA1630"/>
    <w:rsid w:val="00AA325D"/>
    <w:rsid w:val="00AA3267"/>
    <w:rsid w:val="00AA37DB"/>
    <w:rsid w:val="00AA37DD"/>
    <w:rsid w:val="00AA45AB"/>
    <w:rsid w:val="00AA4A6F"/>
    <w:rsid w:val="00AA4ABD"/>
    <w:rsid w:val="00AA4F51"/>
    <w:rsid w:val="00AA5290"/>
    <w:rsid w:val="00AA530E"/>
    <w:rsid w:val="00AA67A1"/>
    <w:rsid w:val="00AA67B3"/>
    <w:rsid w:val="00AA6DB8"/>
    <w:rsid w:val="00AA723C"/>
    <w:rsid w:val="00AA7411"/>
    <w:rsid w:val="00AA747D"/>
    <w:rsid w:val="00AA780D"/>
    <w:rsid w:val="00AA7F71"/>
    <w:rsid w:val="00AB1786"/>
    <w:rsid w:val="00AB242F"/>
    <w:rsid w:val="00AB270F"/>
    <w:rsid w:val="00AB314D"/>
    <w:rsid w:val="00AB3601"/>
    <w:rsid w:val="00AB3C56"/>
    <w:rsid w:val="00AB4BE2"/>
    <w:rsid w:val="00AB591E"/>
    <w:rsid w:val="00AB5A14"/>
    <w:rsid w:val="00AB5C90"/>
    <w:rsid w:val="00AB5DE4"/>
    <w:rsid w:val="00AB69ED"/>
    <w:rsid w:val="00AB797C"/>
    <w:rsid w:val="00AC0C42"/>
    <w:rsid w:val="00AC1286"/>
    <w:rsid w:val="00AC192E"/>
    <w:rsid w:val="00AC2105"/>
    <w:rsid w:val="00AC264D"/>
    <w:rsid w:val="00AC2AF3"/>
    <w:rsid w:val="00AC33DB"/>
    <w:rsid w:val="00AC3912"/>
    <w:rsid w:val="00AC42E5"/>
    <w:rsid w:val="00AC4800"/>
    <w:rsid w:val="00AC485B"/>
    <w:rsid w:val="00AC54A5"/>
    <w:rsid w:val="00AC6184"/>
    <w:rsid w:val="00AC6200"/>
    <w:rsid w:val="00AC684C"/>
    <w:rsid w:val="00AC6CA0"/>
    <w:rsid w:val="00AC709A"/>
    <w:rsid w:val="00AC7618"/>
    <w:rsid w:val="00AD0236"/>
    <w:rsid w:val="00AD085B"/>
    <w:rsid w:val="00AD0C5A"/>
    <w:rsid w:val="00AD2405"/>
    <w:rsid w:val="00AD39CA"/>
    <w:rsid w:val="00AD4498"/>
    <w:rsid w:val="00AD480A"/>
    <w:rsid w:val="00AD5068"/>
    <w:rsid w:val="00AD58C8"/>
    <w:rsid w:val="00AD606C"/>
    <w:rsid w:val="00AD67E6"/>
    <w:rsid w:val="00AD6B96"/>
    <w:rsid w:val="00AD75B7"/>
    <w:rsid w:val="00AD7832"/>
    <w:rsid w:val="00AD7A69"/>
    <w:rsid w:val="00AD7EF8"/>
    <w:rsid w:val="00AD7FB1"/>
    <w:rsid w:val="00AE0159"/>
    <w:rsid w:val="00AE0602"/>
    <w:rsid w:val="00AE061D"/>
    <w:rsid w:val="00AE0C81"/>
    <w:rsid w:val="00AE0C9E"/>
    <w:rsid w:val="00AE2816"/>
    <w:rsid w:val="00AE36C2"/>
    <w:rsid w:val="00AE3B05"/>
    <w:rsid w:val="00AE44E9"/>
    <w:rsid w:val="00AE47CF"/>
    <w:rsid w:val="00AE49C0"/>
    <w:rsid w:val="00AE4B78"/>
    <w:rsid w:val="00AE56F3"/>
    <w:rsid w:val="00AE5D4F"/>
    <w:rsid w:val="00AE678E"/>
    <w:rsid w:val="00AE68AA"/>
    <w:rsid w:val="00AE6C80"/>
    <w:rsid w:val="00AE6D57"/>
    <w:rsid w:val="00AE74A0"/>
    <w:rsid w:val="00AE7952"/>
    <w:rsid w:val="00AF006B"/>
    <w:rsid w:val="00AF1CF5"/>
    <w:rsid w:val="00AF31B8"/>
    <w:rsid w:val="00AF3258"/>
    <w:rsid w:val="00AF3953"/>
    <w:rsid w:val="00AF3AB7"/>
    <w:rsid w:val="00AF48DD"/>
    <w:rsid w:val="00AF4D36"/>
    <w:rsid w:val="00AF54FE"/>
    <w:rsid w:val="00AF585A"/>
    <w:rsid w:val="00B000BF"/>
    <w:rsid w:val="00B001FD"/>
    <w:rsid w:val="00B01245"/>
    <w:rsid w:val="00B018CA"/>
    <w:rsid w:val="00B01F85"/>
    <w:rsid w:val="00B01FFB"/>
    <w:rsid w:val="00B027DE"/>
    <w:rsid w:val="00B02C3D"/>
    <w:rsid w:val="00B02D3D"/>
    <w:rsid w:val="00B03418"/>
    <w:rsid w:val="00B0357A"/>
    <w:rsid w:val="00B03921"/>
    <w:rsid w:val="00B0395E"/>
    <w:rsid w:val="00B042CC"/>
    <w:rsid w:val="00B0454C"/>
    <w:rsid w:val="00B04B2B"/>
    <w:rsid w:val="00B04D03"/>
    <w:rsid w:val="00B062F3"/>
    <w:rsid w:val="00B063BB"/>
    <w:rsid w:val="00B06406"/>
    <w:rsid w:val="00B06C6F"/>
    <w:rsid w:val="00B06FC2"/>
    <w:rsid w:val="00B07297"/>
    <w:rsid w:val="00B074BF"/>
    <w:rsid w:val="00B1199F"/>
    <w:rsid w:val="00B121FA"/>
    <w:rsid w:val="00B13C2B"/>
    <w:rsid w:val="00B14920"/>
    <w:rsid w:val="00B152CF"/>
    <w:rsid w:val="00B15349"/>
    <w:rsid w:val="00B15B46"/>
    <w:rsid w:val="00B16E92"/>
    <w:rsid w:val="00B170F5"/>
    <w:rsid w:val="00B1727E"/>
    <w:rsid w:val="00B172DC"/>
    <w:rsid w:val="00B1747F"/>
    <w:rsid w:val="00B20897"/>
    <w:rsid w:val="00B20A4A"/>
    <w:rsid w:val="00B2254A"/>
    <w:rsid w:val="00B22674"/>
    <w:rsid w:val="00B2311B"/>
    <w:rsid w:val="00B23D7F"/>
    <w:rsid w:val="00B23F12"/>
    <w:rsid w:val="00B24804"/>
    <w:rsid w:val="00B259D4"/>
    <w:rsid w:val="00B263B0"/>
    <w:rsid w:val="00B26D0D"/>
    <w:rsid w:val="00B27629"/>
    <w:rsid w:val="00B27A86"/>
    <w:rsid w:val="00B27CEF"/>
    <w:rsid w:val="00B27D7A"/>
    <w:rsid w:val="00B304EE"/>
    <w:rsid w:val="00B3053B"/>
    <w:rsid w:val="00B3082D"/>
    <w:rsid w:val="00B30C61"/>
    <w:rsid w:val="00B31B69"/>
    <w:rsid w:val="00B325D9"/>
    <w:rsid w:val="00B34D6A"/>
    <w:rsid w:val="00B3555C"/>
    <w:rsid w:val="00B36711"/>
    <w:rsid w:val="00B36A0E"/>
    <w:rsid w:val="00B36CC9"/>
    <w:rsid w:val="00B3708A"/>
    <w:rsid w:val="00B37A01"/>
    <w:rsid w:val="00B37FAE"/>
    <w:rsid w:val="00B4051B"/>
    <w:rsid w:val="00B40BB3"/>
    <w:rsid w:val="00B41245"/>
    <w:rsid w:val="00B41C84"/>
    <w:rsid w:val="00B42868"/>
    <w:rsid w:val="00B42CB5"/>
    <w:rsid w:val="00B42DE3"/>
    <w:rsid w:val="00B4345A"/>
    <w:rsid w:val="00B43B39"/>
    <w:rsid w:val="00B449CE"/>
    <w:rsid w:val="00B44E8F"/>
    <w:rsid w:val="00B4595E"/>
    <w:rsid w:val="00B45B18"/>
    <w:rsid w:val="00B46374"/>
    <w:rsid w:val="00B46413"/>
    <w:rsid w:val="00B465F7"/>
    <w:rsid w:val="00B46FE3"/>
    <w:rsid w:val="00B471C6"/>
    <w:rsid w:val="00B473D3"/>
    <w:rsid w:val="00B476D2"/>
    <w:rsid w:val="00B47781"/>
    <w:rsid w:val="00B50CCA"/>
    <w:rsid w:val="00B50DBC"/>
    <w:rsid w:val="00B51A3C"/>
    <w:rsid w:val="00B52BB7"/>
    <w:rsid w:val="00B5350F"/>
    <w:rsid w:val="00B5363B"/>
    <w:rsid w:val="00B53E0F"/>
    <w:rsid w:val="00B54936"/>
    <w:rsid w:val="00B549D5"/>
    <w:rsid w:val="00B54C14"/>
    <w:rsid w:val="00B551E8"/>
    <w:rsid w:val="00B554ED"/>
    <w:rsid w:val="00B55A48"/>
    <w:rsid w:val="00B55ABA"/>
    <w:rsid w:val="00B566A5"/>
    <w:rsid w:val="00B57473"/>
    <w:rsid w:val="00B600D1"/>
    <w:rsid w:val="00B601D8"/>
    <w:rsid w:val="00B6040B"/>
    <w:rsid w:val="00B604C9"/>
    <w:rsid w:val="00B60BA4"/>
    <w:rsid w:val="00B6102D"/>
    <w:rsid w:val="00B61513"/>
    <w:rsid w:val="00B62385"/>
    <w:rsid w:val="00B64117"/>
    <w:rsid w:val="00B64B8B"/>
    <w:rsid w:val="00B64C17"/>
    <w:rsid w:val="00B64EB1"/>
    <w:rsid w:val="00B656C3"/>
    <w:rsid w:val="00B66C5F"/>
    <w:rsid w:val="00B66CEB"/>
    <w:rsid w:val="00B67EE5"/>
    <w:rsid w:val="00B70384"/>
    <w:rsid w:val="00B706FB"/>
    <w:rsid w:val="00B71935"/>
    <w:rsid w:val="00B728A2"/>
    <w:rsid w:val="00B73247"/>
    <w:rsid w:val="00B7442E"/>
    <w:rsid w:val="00B74435"/>
    <w:rsid w:val="00B7544D"/>
    <w:rsid w:val="00B7767C"/>
    <w:rsid w:val="00B77BBC"/>
    <w:rsid w:val="00B77CF0"/>
    <w:rsid w:val="00B80897"/>
    <w:rsid w:val="00B81AD5"/>
    <w:rsid w:val="00B81CD8"/>
    <w:rsid w:val="00B82B1D"/>
    <w:rsid w:val="00B82E0B"/>
    <w:rsid w:val="00B836A3"/>
    <w:rsid w:val="00B843B5"/>
    <w:rsid w:val="00B848A9"/>
    <w:rsid w:val="00B85785"/>
    <w:rsid w:val="00B85847"/>
    <w:rsid w:val="00B858ED"/>
    <w:rsid w:val="00B85A89"/>
    <w:rsid w:val="00B865FA"/>
    <w:rsid w:val="00B876BF"/>
    <w:rsid w:val="00B87E24"/>
    <w:rsid w:val="00B87F70"/>
    <w:rsid w:val="00B909FB"/>
    <w:rsid w:val="00B90CEB"/>
    <w:rsid w:val="00B91508"/>
    <w:rsid w:val="00B922E0"/>
    <w:rsid w:val="00B926FC"/>
    <w:rsid w:val="00B92799"/>
    <w:rsid w:val="00B93757"/>
    <w:rsid w:val="00B9424E"/>
    <w:rsid w:val="00B94399"/>
    <w:rsid w:val="00B94666"/>
    <w:rsid w:val="00B94677"/>
    <w:rsid w:val="00B94890"/>
    <w:rsid w:val="00B950BB"/>
    <w:rsid w:val="00B963D5"/>
    <w:rsid w:val="00B970B7"/>
    <w:rsid w:val="00B97ABD"/>
    <w:rsid w:val="00B97EDD"/>
    <w:rsid w:val="00B97FCE"/>
    <w:rsid w:val="00BA00BD"/>
    <w:rsid w:val="00BA02AC"/>
    <w:rsid w:val="00BA15A4"/>
    <w:rsid w:val="00BA1BC8"/>
    <w:rsid w:val="00BA1CC9"/>
    <w:rsid w:val="00BA2BFE"/>
    <w:rsid w:val="00BA2FEF"/>
    <w:rsid w:val="00BA3DAB"/>
    <w:rsid w:val="00BA487E"/>
    <w:rsid w:val="00BA4E96"/>
    <w:rsid w:val="00BA58C6"/>
    <w:rsid w:val="00BA618C"/>
    <w:rsid w:val="00BA651F"/>
    <w:rsid w:val="00BA6543"/>
    <w:rsid w:val="00BA6DD1"/>
    <w:rsid w:val="00BA6E95"/>
    <w:rsid w:val="00BA6FF0"/>
    <w:rsid w:val="00BA7345"/>
    <w:rsid w:val="00BB0260"/>
    <w:rsid w:val="00BB0D6D"/>
    <w:rsid w:val="00BB172B"/>
    <w:rsid w:val="00BB197A"/>
    <w:rsid w:val="00BB2003"/>
    <w:rsid w:val="00BB2D11"/>
    <w:rsid w:val="00BB333E"/>
    <w:rsid w:val="00BB370D"/>
    <w:rsid w:val="00BB385B"/>
    <w:rsid w:val="00BB3F97"/>
    <w:rsid w:val="00BB48B3"/>
    <w:rsid w:val="00BB5EB0"/>
    <w:rsid w:val="00BB7387"/>
    <w:rsid w:val="00BB7A2A"/>
    <w:rsid w:val="00BC09A3"/>
    <w:rsid w:val="00BC105C"/>
    <w:rsid w:val="00BC1327"/>
    <w:rsid w:val="00BC17C1"/>
    <w:rsid w:val="00BC1ED2"/>
    <w:rsid w:val="00BC28A5"/>
    <w:rsid w:val="00BC2D6D"/>
    <w:rsid w:val="00BC32DC"/>
    <w:rsid w:val="00BC4D39"/>
    <w:rsid w:val="00BC5B7C"/>
    <w:rsid w:val="00BC5F67"/>
    <w:rsid w:val="00BC7A05"/>
    <w:rsid w:val="00BD103E"/>
    <w:rsid w:val="00BD1624"/>
    <w:rsid w:val="00BD17EE"/>
    <w:rsid w:val="00BD1EA8"/>
    <w:rsid w:val="00BD226B"/>
    <w:rsid w:val="00BD22CB"/>
    <w:rsid w:val="00BD2BE5"/>
    <w:rsid w:val="00BD34BD"/>
    <w:rsid w:val="00BD3829"/>
    <w:rsid w:val="00BD38C5"/>
    <w:rsid w:val="00BD3F6D"/>
    <w:rsid w:val="00BD510F"/>
    <w:rsid w:val="00BD5270"/>
    <w:rsid w:val="00BD5436"/>
    <w:rsid w:val="00BD5E7D"/>
    <w:rsid w:val="00BD707E"/>
    <w:rsid w:val="00BD76EE"/>
    <w:rsid w:val="00BD771A"/>
    <w:rsid w:val="00BE01AB"/>
    <w:rsid w:val="00BE0536"/>
    <w:rsid w:val="00BE110B"/>
    <w:rsid w:val="00BE1336"/>
    <w:rsid w:val="00BE16C0"/>
    <w:rsid w:val="00BE1927"/>
    <w:rsid w:val="00BE20FD"/>
    <w:rsid w:val="00BE22B2"/>
    <w:rsid w:val="00BE23F3"/>
    <w:rsid w:val="00BE2D2F"/>
    <w:rsid w:val="00BE2D67"/>
    <w:rsid w:val="00BE2DC0"/>
    <w:rsid w:val="00BE33D6"/>
    <w:rsid w:val="00BE346E"/>
    <w:rsid w:val="00BE3FA6"/>
    <w:rsid w:val="00BE45B4"/>
    <w:rsid w:val="00BE49CE"/>
    <w:rsid w:val="00BE560D"/>
    <w:rsid w:val="00BE577D"/>
    <w:rsid w:val="00BE5866"/>
    <w:rsid w:val="00BE7037"/>
    <w:rsid w:val="00BE72A2"/>
    <w:rsid w:val="00BE796C"/>
    <w:rsid w:val="00BF038F"/>
    <w:rsid w:val="00BF0916"/>
    <w:rsid w:val="00BF12A4"/>
    <w:rsid w:val="00BF228B"/>
    <w:rsid w:val="00BF3CAF"/>
    <w:rsid w:val="00BF40E3"/>
    <w:rsid w:val="00BF433D"/>
    <w:rsid w:val="00BF4371"/>
    <w:rsid w:val="00BF4F55"/>
    <w:rsid w:val="00BF5126"/>
    <w:rsid w:val="00BF514B"/>
    <w:rsid w:val="00BF5547"/>
    <w:rsid w:val="00BF65A2"/>
    <w:rsid w:val="00BF6D4A"/>
    <w:rsid w:val="00BF7D98"/>
    <w:rsid w:val="00BF7E9B"/>
    <w:rsid w:val="00C00198"/>
    <w:rsid w:val="00C00F3D"/>
    <w:rsid w:val="00C0137E"/>
    <w:rsid w:val="00C01569"/>
    <w:rsid w:val="00C015EA"/>
    <w:rsid w:val="00C01BAE"/>
    <w:rsid w:val="00C01BF9"/>
    <w:rsid w:val="00C02363"/>
    <w:rsid w:val="00C0285E"/>
    <w:rsid w:val="00C02900"/>
    <w:rsid w:val="00C0342E"/>
    <w:rsid w:val="00C03B00"/>
    <w:rsid w:val="00C03D6A"/>
    <w:rsid w:val="00C04007"/>
    <w:rsid w:val="00C0414F"/>
    <w:rsid w:val="00C0435B"/>
    <w:rsid w:val="00C04417"/>
    <w:rsid w:val="00C04A4B"/>
    <w:rsid w:val="00C0527A"/>
    <w:rsid w:val="00C052EC"/>
    <w:rsid w:val="00C06B77"/>
    <w:rsid w:val="00C070B4"/>
    <w:rsid w:val="00C07F50"/>
    <w:rsid w:val="00C10A80"/>
    <w:rsid w:val="00C10D39"/>
    <w:rsid w:val="00C11A0C"/>
    <w:rsid w:val="00C120EA"/>
    <w:rsid w:val="00C12FA3"/>
    <w:rsid w:val="00C134FD"/>
    <w:rsid w:val="00C1469B"/>
    <w:rsid w:val="00C15CF1"/>
    <w:rsid w:val="00C16BDC"/>
    <w:rsid w:val="00C16D50"/>
    <w:rsid w:val="00C16FC9"/>
    <w:rsid w:val="00C173BE"/>
    <w:rsid w:val="00C178E9"/>
    <w:rsid w:val="00C20717"/>
    <w:rsid w:val="00C20F5D"/>
    <w:rsid w:val="00C212D9"/>
    <w:rsid w:val="00C2183D"/>
    <w:rsid w:val="00C2215B"/>
    <w:rsid w:val="00C22E9A"/>
    <w:rsid w:val="00C23AE8"/>
    <w:rsid w:val="00C23BBB"/>
    <w:rsid w:val="00C23D7F"/>
    <w:rsid w:val="00C24388"/>
    <w:rsid w:val="00C2441F"/>
    <w:rsid w:val="00C25AB7"/>
    <w:rsid w:val="00C272ED"/>
    <w:rsid w:val="00C3018D"/>
    <w:rsid w:val="00C3090A"/>
    <w:rsid w:val="00C30D6C"/>
    <w:rsid w:val="00C317F3"/>
    <w:rsid w:val="00C31CA3"/>
    <w:rsid w:val="00C31EE5"/>
    <w:rsid w:val="00C320AD"/>
    <w:rsid w:val="00C32615"/>
    <w:rsid w:val="00C32B9C"/>
    <w:rsid w:val="00C33AD3"/>
    <w:rsid w:val="00C33C8B"/>
    <w:rsid w:val="00C34830"/>
    <w:rsid w:val="00C34D3A"/>
    <w:rsid w:val="00C34D8E"/>
    <w:rsid w:val="00C358E7"/>
    <w:rsid w:val="00C36522"/>
    <w:rsid w:val="00C366FB"/>
    <w:rsid w:val="00C36DC6"/>
    <w:rsid w:val="00C377E4"/>
    <w:rsid w:val="00C37E90"/>
    <w:rsid w:val="00C400CE"/>
    <w:rsid w:val="00C40F14"/>
    <w:rsid w:val="00C41424"/>
    <w:rsid w:val="00C41EE6"/>
    <w:rsid w:val="00C430AE"/>
    <w:rsid w:val="00C43610"/>
    <w:rsid w:val="00C43649"/>
    <w:rsid w:val="00C4401A"/>
    <w:rsid w:val="00C4451D"/>
    <w:rsid w:val="00C44E5C"/>
    <w:rsid w:val="00C45263"/>
    <w:rsid w:val="00C45846"/>
    <w:rsid w:val="00C45FB1"/>
    <w:rsid w:val="00C46C75"/>
    <w:rsid w:val="00C47959"/>
    <w:rsid w:val="00C50E60"/>
    <w:rsid w:val="00C51075"/>
    <w:rsid w:val="00C5160D"/>
    <w:rsid w:val="00C5188F"/>
    <w:rsid w:val="00C51A76"/>
    <w:rsid w:val="00C51CFF"/>
    <w:rsid w:val="00C522F1"/>
    <w:rsid w:val="00C523DB"/>
    <w:rsid w:val="00C53003"/>
    <w:rsid w:val="00C537EC"/>
    <w:rsid w:val="00C540D9"/>
    <w:rsid w:val="00C54DC7"/>
    <w:rsid w:val="00C554B1"/>
    <w:rsid w:val="00C557C9"/>
    <w:rsid w:val="00C55C03"/>
    <w:rsid w:val="00C56192"/>
    <w:rsid w:val="00C5637C"/>
    <w:rsid w:val="00C566CA"/>
    <w:rsid w:val="00C60A87"/>
    <w:rsid w:val="00C61081"/>
    <w:rsid w:val="00C618A1"/>
    <w:rsid w:val="00C61AFB"/>
    <w:rsid w:val="00C61F2A"/>
    <w:rsid w:val="00C62600"/>
    <w:rsid w:val="00C62911"/>
    <w:rsid w:val="00C62B2F"/>
    <w:rsid w:val="00C64A08"/>
    <w:rsid w:val="00C654BC"/>
    <w:rsid w:val="00C65712"/>
    <w:rsid w:val="00C66055"/>
    <w:rsid w:val="00C66418"/>
    <w:rsid w:val="00C67574"/>
    <w:rsid w:val="00C678B4"/>
    <w:rsid w:val="00C67935"/>
    <w:rsid w:val="00C67F98"/>
    <w:rsid w:val="00C70073"/>
    <w:rsid w:val="00C71A8D"/>
    <w:rsid w:val="00C71DA0"/>
    <w:rsid w:val="00C728EE"/>
    <w:rsid w:val="00C72E58"/>
    <w:rsid w:val="00C72F8E"/>
    <w:rsid w:val="00C7333B"/>
    <w:rsid w:val="00C73A07"/>
    <w:rsid w:val="00C74029"/>
    <w:rsid w:val="00C75558"/>
    <w:rsid w:val="00C75E2B"/>
    <w:rsid w:val="00C7651C"/>
    <w:rsid w:val="00C76C15"/>
    <w:rsid w:val="00C76D1D"/>
    <w:rsid w:val="00C77362"/>
    <w:rsid w:val="00C7737B"/>
    <w:rsid w:val="00C77E91"/>
    <w:rsid w:val="00C77ED2"/>
    <w:rsid w:val="00C80298"/>
    <w:rsid w:val="00C80698"/>
    <w:rsid w:val="00C806A8"/>
    <w:rsid w:val="00C808F8"/>
    <w:rsid w:val="00C80EFB"/>
    <w:rsid w:val="00C81C58"/>
    <w:rsid w:val="00C81FED"/>
    <w:rsid w:val="00C83471"/>
    <w:rsid w:val="00C835F3"/>
    <w:rsid w:val="00C84487"/>
    <w:rsid w:val="00C848F2"/>
    <w:rsid w:val="00C84DFB"/>
    <w:rsid w:val="00C86488"/>
    <w:rsid w:val="00C867FC"/>
    <w:rsid w:val="00C86B9F"/>
    <w:rsid w:val="00C86C6E"/>
    <w:rsid w:val="00C877C1"/>
    <w:rsid w:val="00C87994"/>
    <w:rsid w:val="00C90159"/>
    <w:rsid w:val="00C907D6"/>
    <w:rsid w:val="00C910FF"/>
    <w:rsid w:val="00C91662"/>
    <w:rsid w:val="00C918A6"/>
    <w:rsid w:val="00C925BC"/>
    <w:rsid w:val="00C92B01"/>
    <w:rsid w:val="00C936BF"/>
    <w:rsid w:val="00C9579E"/>
    <w:rsid w:val="00C97627"/>
    <w:rsid w:val="00CA06B7"/>
    <w:rsid w:val="00CA06BE"/>
    <w:rsid w:val="00CA0E91"/>
    <w:rsid w:val="00CA13AD"/>
    <w:rsid w:val="00CA1D11"/>
    <w:rsid w:val="00CA2493"/>
    <w:rsid w:val="00CA3BB5"/>
    <w:rsid w:val="00CA44A0"/>
    <w:rsid w:val="00CA4665"/>
    <w:rsid w:val="00CA49F5"/>
    <w:rsid w:val="00CA4AB2"/>
    <w:rsid w:val="00CA6026"/>
    <w:rsid w:val="00CA6487"/>
    <w:rsid w:val="00CA65CD"/>
    <w:rsid w:val="00CA669E"/>
    <w:rsid w:val="00CA7006"/>
    <w:rsid w:val="00CA7B5C"/>
    <w:rsid w:val="00CA7C31"/>
    <w:rsid w:val="00CA7F15"/>
    <w:rsid w:val="00CB027C"/>
    <w:rsid w:val="00CB068B"/>
    <w:rsid w:val="00CB0DB5"/>
    <w:rsid w:val="00CB1601"/>
    <w:rsid w:val="00CB18FB"/>
    <w:rsid w:val="00CB1A0C"/>
    <w:rsid w:val="00CB25D7"/>
    <w:rsid w:val="00CB31FA"/>
    <w:rsid w:val="00CB3320"/>
    <w:rsid w:val="00CB36B0"/>
    <w:rsid w:val="00CB3984"/>
    <w:rsid w:val="00CB4BF5"/>
    <w:rsid w:val="00CB59AA"/>
    <w:rsid w:val="00CB680F"/>
    <w:rsid w:val="00CB6C85"/>
    <w:rsid w:val="00CB7287"/>
    <w:rsid w:val="00CB7948"/>
    <w:rsid w:val="00CC0BC8"/>
    <w:rsid w:val="00CC1974"/>
    <w:rsid w:val="00CC1AFF"/>
    <w:rsid w:val="00CC1DBD"/>
    <w:rsid w:val="00CC2FE4"/>
    <w:rsid w:val="00CC4636"/>
    <w:rsid w:val="00CC4CAB"/>
    <w:rsid w:val="00CC53CB"/>
    <w:rsid w:val="00CC5615"/>
    <w:rsid w:val="00CC6E6A"/>
    <w:rsid w:val="00CC7F7E"/>
    <w:rsid w:val="00CD0BC2"/>
    <w:rsid w:val="00CD0BCF"/>
    <w:rsid w:val="00CD0BEE"/>
    <w:rsid w:val="00CD1C4C"/>
    <w:rsid w:val="00CD32C3"/>
    <w:rsid w:val="00CD40DF"/>
    <w:rsid w:val="00CD42F8"/>
    <w:rsid w:val="00CD469C"/>
    <w:rsid w:val="00CD477F"/>
    <w:rsid w:val="00CD4F12"/>
    <w:rsid w:val="00CD6375"/>
    <w:rsid w:val="00CD6F0F"/>
    <w:rsid w:val="00CD712B"/>
    <w:rsid w:val="00CD79CB"/>
    <w:rsid w:val="00CE0509"/>
    <w:rsid w:val="00CE1345"/>
    <w:rsid w:val="00CE176A"/>
    <w:rsid w:val="00CE2360"/>
    <w:rsid w:val="00CE23CC"/>
    <w:rsid w:val="00CE3BBA"/>
    <w:rsid w:val="00CE5820"/>
    <w:rsid w:val="00CE5868"/>
    <w:rsid w:val="00CE67E1"/>
    <w:rsid w:val="00CE6900"/>
    <w:rsid w:val="00CE729D"/>
    <w:rsid w:val="00CE7954"/>
    <w:rsid w:val="00CF0251"/>
    <w:rsid w:val="00CF02CA"/>
    <w:rsid w:val="00CF10CB"/>
    <w:rsid w:val="00CF15EC"/>
    <w:rsid w:val="00CF1694"/>
    <w:rsid w:val="00CF2D50"/>
    <w:rsid w:val="00CF3500"/>
    <w:rsid w:val="00CF352B"/>
    <w:rsid w:val="00CF4716"/>
    <w:rsid w:val="00CF4D95"/>
    <w:rsid w:val="00CF4E47"/>
    <w:rsid w:val="00CF57DA"/>
    <w:rsid w:val="00CF63E9"/>
    <w:rsid w:val="00CF6442"/>
    <w:rsid w:val="00D0054F"/>
    <w:rsid w:val="00D005CE"/>
    <w:rsid w:val="00D008F1"/>
    <w:rsid w:val="00D00CE7"/>
    <w:rsid w:val="00D01F2D"/>
    <w:rsid w:val="00D02064"/>
    <w:rsid w:val="00D02F1A"/>
    <w:rsid w:val="00D03382"/>
    <w:rsid w:val="00D03826"/>
    <w:rsid w:val="00D03AA8"/>
    <w:rsid w:val="00D042BA"/>
    <w:rsid w:val="00D0434C"/>
    <w:rsid w:val="00D04717"/>
    <w:rsid w:val="00D061E2"/>
    <w:rsid w:val="00D07075"/>
    <w:rsid w:val="00D07611"/>
    <w:rsid w:val="00D07947"/>
    <w:rsid w:val="00D10306"/>
    <w:rsid w:val="00D10D06"/>
    <w:rsid w:val="00D11330"/>
    <w:rsid w:val="00D1166D"/>
    <w:rsid w:val="00D11763"/>
    <w:rsid w:val="00D11972"/>
    <w:rsid w:val="00D119DE"/>
    <w:rsid w:val="00D125B5"/>
    <w:rsid w:val="00D12808"/>
    <w:rsid w:val="00D1287E"/>
    <w:rsid w:val="00D13605"/>
    <w:rsid w:val="00D139D6"/>
    <w:rsid w:val="00D14411"/>
    <w:rsid w:val="00D14530"/>
    <w:rsid w:val="00D146BC"/>
    <w:rsid w:val="00D14A6B"/>
    <w:rsid w:val="00D14A82"/>
    <w:rsid w:val="00D14C23"/>
    <w:rsid w:val="00D1519F"/>
    <w:rsid w:val="00D155BE"/>
    <w:rsid w:val="00D164CC"/>
    <w:rsid w:val="00D16CF1"/>
    <w:rsid w:val="00D177CE"/>
    <w:rsid w:val="00D17963"/>
    <w:rsid w:val="00D17E42"/>
    <w:rsid w:val="00D20402"/>
    <w:rsid w:val="00D206F8"/>
    <w:rsid w:val="00D209CD"/>
    <w:rsid w:val="00D20B7F"/>
    <w:rsid w:val="00D21346"/>
    <w:rsid w:val="00D216B6"/>
    <w:rsid w:val="00D21770"/>
    <w:rsid w:val="00D22723"/>
    <w:rsid w:val="00D23C87"/>
    <w:rsid w:val="00D2463E"/>
    <w:rsid w:val="00D24927"/>
    <w:rsid w:val="00D249F4"/>
    <w:rsid w:val="00D24AD4"/>
    <w:rsid w:val="00D2531D"/>
    <w:rsid w:val="00D26965"/>
    <w:rsid w:val="00D27992"/>
    <w:rsid w:val="00D30378"/>
    <w:rsid w:val="00D308BD"/>
    <w:rsid w:val="00D30935"/>
    <w:rsid w:val="00D30CA5"/>
    <w:rsid w:val="00D30FEA"/>
    <w:rsid w:val="00D31482"/>
    <w:rsid w:val="00D325C9"/>
    <w:rsid w:val="00D32BC3"/>
    <w:rsid w:val="00D331F7"/>
    <w:rsid w:val="00D333F4"/>
    <w:rsid w:val="00D34143"/>
    <w:rsid w:val="00D3493D"/>
    <w:rsid w:val="00D356D3"/>
    <w:rsid w:val="00D35AAC"/>
    <w:rsid w:val="00D35FAC"/>
    <w:rsid w:val="00D3635E"/>
    <w:rsid w:val="00D41C28"/>
    <w:rsid w:val="00D42C42"/>
    <w:rsid w:val="00D430AE"/>
    <w:rsid w:val="00D43300"/>
    <w:rsid w:val="00D43575"/>
    <w:rsid w:val="00D435D3"/>
    <w:rsid w:val="00D44FAF"/>
    <w:rsid w:val="00D45BCE"/>
    <w:rsid w:val="00D45F3F"/>
    <w:rsid w:val="00D46606"/>
    <w:rsid w:val="00D46931"/>
    <w:rsid w:val="00D507BD"/>
    <w:rsid w:val="00D5108A"/>
    <w:rsid w:val="00D511CA"/>
    <w:rsid w:val="00D51ABF"/>
    <w:rsid w:val="00D51E83"/>
    <w:rsid w:val="00D5283C"/>
    <w:rsid w:val="00D52DE2"/>
    <w:rsid w:val="00D52F09"/>
    <w:rsid w:val="00D55704"/>
    <w:rsid w:val="00D55D54"/>
    <w:rsid w:val="00D561DD"/>
    <w:rsid w:val="00D57946"/>
    <w:rsid w:val="00D57B45"/>
    <w:rsid w:val="00D6029D"/>
    <w:rsid w:val="00D60A79"/>
    <w:rsid w:val="00D62C0E"/>
    <w:rsid w:val="00D62E1E"/>
    <w:rsid w:val="00D637E2"/>
    <w:rsid w:val="00D646DF"/>
    <w:rsid w:val="00D6484E"/>
    <w:rsid w:val="00D64C16"/>
    <w:rsid w:val="00D657D5"/>
    <w:rsid w:val="00D65AD5"/>
    <w:rsid w:val="00D65DA4"/>
    <w:rsid w:val="00D65F13"/>
    <w:rsid w:val="00D65FC1"/>
    <w:rsid w:val="00D6624F"/>
    <w:rsid w:val="00D66DAE"/>
    <w:rsid w:val="00D70AB5"/>
    <w:rsid w:val="00D70CC8"/>
    <w:rsid w:val="00D72B87"/>
    <w:rsid w:val="00D72D4B"/>
    <w:rsid w:val="00D730F8"/>
    <w:rsid w:val="00D73C84"/>
    <w:rsid w:val="00D73CA3"/>
    <w:rsid w:val="00D74643"/>
    <w:rsid w:val="00D74749"/>
    <w:rsid w:val="00D757FA"/>
    <w:rsid w:val="00D75803"/>
    <w:rsid w:val="00D761DD"/>
    <w:rsid w:val="00D77A19"/>
    <w:rsid w:val="00D77EC4"/>
    <w:rsid w:val="00D80029"/>
    <w:rsid w:val="00D808C0"/>
    <w:rsid w:val="00D80BD6"/>
    <w:rsid w:val="00D81481"/>
    <w:rsid w:val="00D817CA"/>
    <w:rsid w:val="00D81E0D"/>
    <w:rsid w:val="00D82234"/>
    <w:rsid w:val="00D82F38"/>
    <w:rsid w:val="00D847EF"/>
    <w:rsid w:val="00D8498B"/>
    <w:rsid w:val="00D84A5B"/>
    <w:rsid w:val="00D852BA"/>
    <w:rsid w:val="00D85B4B"/>
    <w:rsid w:val="00D86F28"/>
    <w:rsid w:val="00D87025"/>
    <w:rsid w:val="00D87153"/>
    <w:rsid w:val="00D90300"/>
    <w:rsid w:val="00D909F3"/>
    <w:rsid w:val="00D90B2F"/>
    <w:rsid w:val="00D91616"/>
    <w:rsid w:val="00D91746"/>
    <w:rsid w:val="00D91A1B"/>
    <w:rsid w:val="00D929F4"/>
    <w:rsid w:val="00D92D76"/>
    <w:rsid w:val="00D92E2D"/>
    <w:rsid w:val="00D93674"/>
    <w:rsid w:val="00D938BD"/>
    <w:rsid w:val="00D93B95"/>
    <w:rsid w:val="00D94240"/>
    <w:rsid w:val="00D9442D"/>
    <w:rsid w:val="00D94BBE"/>
    <w:rsid w:val="00D94F7C"/>
    <w:rsid w:val="00D95364"/>
    <w:rsid w:val="00D9540B"/>
    <w:rsid w:val="00D956EA"/>
    <w:rsid w:val="00D95C1A"/>
    <w:rsid w:val="00D96213"/>
    <w:rsid w:val="00D964E3"/>
    <w:rsid w:val="00D9684B"/>
    <w:rsid w:val="00D96AB6"/>
    <w:rsid w:val="00D96B32"/>
    <w:rsid w:val="00D96B80"/>
    <w:rsid w:val="00D9704C"/>
    <w:rsid w:val="00D97A2C"/>
    <w:rsid w:val="00D97E16"/>
    <w:rsid w:val="00DA05AC"/>
    <w:rsid w:val="00DA062B"/>
    <w:rsid w:val="00DA075E"/>
    <w:rsid w:val="00DA0986"/>
    <w:rsid w:val="00DA1A88"/>
    <w:rsid w:val="00DA1B57"/>
    <w:rsid w:val="00DA1BDC"/>
    <w:rsid w:val="00DA1C81"/>
    <w:rsid w:val="00DA2334"/>
    <w:rsid w:val="00DA2359"/>
    <w:rsid w:val="00DA2473"/>
    <w:rsid w:val="00DA255A"/>
    <w:rsid w:val="00DA2662"/>
    <w:rsid w:val="00DA279F"/>
    <w:rsid w:val="00DA2CF8"/>
    <w:rsid w:val="00DA2D17"/>
    <w:rsid w:val="00DA3B1C"/>
    <w:rsid w:val="00DA3D05"/>
    <w:rsid w:val="00DA5A71"/>
    <w:rsid w:val="00DA5FEF"/>
    <w:rsid w:val="00DA76AE"/>
    <w:rsid w:val="00DA7873"/>
    <w:rsid w:val="00DA7EC8"/>
    <w:rsid w:val="00DB04AE"/>
    <w:rsid w:val="00DB0EDD"/>
    <w:rsid w:val="00DB1538"/>
    <w:rsid w:val="00DB2934"/>
    <w:rsid w:val="00DB2CAC"/>
    <w:rsid w:val="00DB306A"/>
    <w:rsid w:val="00DB461B"/>
    <w:rsid w:val="00DB4988"/>
    <w:rsid w:val="00DB4A07"/>
    <w:rsid w:val="00DB4EE3"/>
    <w:rsid w:val="00DB502C"/>
    <w:rsid w:val="00DB5386"/>
    <w:rsid w:val="00DB5A69"/>
    <w:rsid w:val="00DB65B1"/>
    <w:rsid w:val="00DB6C28"/>
    <w:rsid w:val="00DB7B43"/>
    <w:rsid w:val="00DC05F0"/>
    <w:rsid w:val="00DC112D"/>
    <w:rsid w:val="00DC21CC"/>
    <w:rsid w:val="00DC257F"/>
    <w:rsid w:val="00DC2832"/>
    <w:rsid w:val="00DC2920"/>
    <w:rsid w:val="00DC5056"/>
    <w:rsid w:val="00DC51D5"/>
    <w:rsid w:val="00DC5565"/>
    <w:rsid w:val="00DC58FB"/>
    <w:rsid w:val="00DC677A"/>
    <w:rsid w:val="00DC78F9"/>
    <w:rsid w:val="00DC7BDB"/>
    <w:rsid w:val="00DD0BC5"/>
    <w:rsid w:val="00DD13AE"/>
    <w:rsid w:val="00DD26FB"/>
    <w:rsid w:val="00DD301B"/>
    <w:rsid w:val="00DD346C"/>
    <w:rsid w:val="00DD4CB9"/>
    <w:rsid w:val="00DD5AD1"/>
    <w:rsid w:val="00DD6724"/>
    <w:rsid w:val="00DD73D1"/>
    <w:rsid w:val="00DD77E7"/>
    <w:rsid w:val="00DE1164"/>
    <w:rsid w:val="00DE12E5"/>
    <w:rsid w:val="00DE18C8"/>
    <w:rsid w:val="00DE2022"/>
    <w:rsid w:val="00DE2703"/>
    <w:rsid w:val="00DE30E3"/>
    <w:rsid w:val="00DE3DC5"/>
    <w:rsid w:val="00DE3EDF"/>
    <w:rsid w:val="00DE3F49"/>
    <w:rsid w:val="00DE4434"/>
    <w:rsid w:val="00DE4BD1"/>
    <w:rsid w:val="00DE4E85"/>
    <w:rsid w:val="00DE5236"/>
    <w:rsid w:val="00DE63E3"/>
    <w:rsid w:val="00DE6F91"/>
    <w:rsid w:val="00DE7108"/>
    <w:rsid w:val="00DF021F"/>
    <w:rsid w:val="00DF09DF"/>
    <w:rsid w:val="00DF170A"/>
    <w:rsid w:val="00DF1EC2"/>
    <w:rsid w:val="00DF207B"/>
    <w:rsid w:val="00DF23AA"/>
    <w:rsid w:val="00DF3176"/>
    <w:rsid w:val="00DF32C7"/>
    <w:rsid w:val="00DF3B4D"/>
    <w:rsid w:val="00DF3BBE"/>
    <w:rsid w:val="00DF3D73"/>
    <w:rsid w:val="00DF43BF"/>
    <w:rsid w:val="00DF517A"/>
    <w:rsid w:val="00DF624A"/>
    <w:rsid w:val="00DF72C5"/>
    <w:rsid w:val="00DF741E"/>
    <w:rsid w:val="00DF7BCF"/>
    <w:rsid w:val="00E00C67"/>
    <w:rsid w:val="00E017DE"/>
    <w:rsid w:val="00E02062"/>
    <w:rsid w:val="00E02509"/>
    <w:rsid w:val="00E029FE"/>
    <w:rsid w:val="00E02F51"/>
    <w:rsid w:val="00E040A2"/>
    <w:rsid w:val="00E042C0"/>
    <w:rsid w:val="00E0434C"/>
    <w:rsid w:val="00E0549B"/>
    <w:rsid w:val="00E05ECB"/>
    <w:rsid w:val="00E05F27"/>
    <w:rsid w:val="00E0613B"/>
    <w:rsid w:val="00E06E96"/>
    <w:rsid w:val="00E10063"/>
    <w:rsid w:val="00E10463"/>
    <w:rsid w:val="00E1051E"/>
    <w:rsid w:val="00E10CA3"/>
    <w:rsid w:val="00E1113E"/>
    <w:rsid w:val="00E134DE"/>
    <w:rsid w:val="00E134EF"/>
    <w:rsid w:val="00E13F84"/>
    <w:rsid w:val="00E140A7"/>
    <w:rsid w:val="00E15064"/>
    <w:rsid w:val="00E155DD"/>
    <w:rsid w:val="00E15942"/>
    <w:rsid w:val="00E16E60"/>
    <w:rsid w:val="00E171E4"/>
    <w:rsid w:val="00E17752"/>
    <w:rsid w:val="00E17FE6"/>
    <w:rsid w:val="00E20A79"/>
    <w:rsid w:val="00E2226B"/>
    <w:rsid w:val="00E232E4"/>
    <w:rsid w:val="00E24831"/>
    <w:rsid w:val="00E24EF5"/>
    <w:rsid w:val="00E267C5"/>
    <w:rsid w:val="00E31543"/>
    <w:rsid w:val="00E32023"/>
    <w:rsid w:val="00E32B2F"/>
    <w:rsid w:val="00E33D39"/>
    <w:rsid w:val="00E35C77"/>
    <w:rsid w:val="00E35E11"/>
    <w:rsid w:val="00E36364"/>
    <w:rsid w:val="00E36EB2"/>
    <w:rsid w:val="00E3776B"/>
    <w:rsid w:val="00E400D6"/>
    <w:rsid w:val="00E404CA"/>
    <w:rsid w:val="00E41545"/>
    <w:rsid w:val="00E420CA"/>
    <w:rsid w:val="00E42350"/>
    <w:rsid w:val="00E423A6"/>
    <w:rsid w:val="00E4342E"/>
    <w:rsid w:val="00E43599"/>
    <w:rsid w:val="00E43B21"/>
    <w:rsid w:val="00E43DB7"/>
    <w:rsid w:val="00E43EA1"/>
    <w:rsid w:val="00E4464A"/>
    <w:rsid w:val="00E46A73"/>
    <w:rsid w:val="00E46CB6"/>
    <w:rsid w:val="00E47B26"/>
    <w:rsid w:val="00E5006C"/>
    <w:rsid w:val="00E50489"/>
    <w:rsid w:val="00E5062B"/>
    <w:rsid w:val="00E51425"/>
    <w:rsid w:val="00E51608"/>
    <w:rsid w:val="00E5262C"/>
    <w:rsid w:val="00E52ECC"/>
    <w:rsid w:val="00E53A16"/>
    <w:rsid w:val="00E544E2"/>
    <w:rsid w:val="00E54AD9"/>
    <w:rsid w:val="00E5606D"/>
    <w:rsid w:val="00E5685D"/>
    <w:rsid w:val="00E5698D"/>
    <w:rsid w:val="00E56E39"/>
    <w:rsid w:val="00E56F79"/>
    <w:rsid w:val="00E57295"/>
    <w:rsid w:val="00E57301"/>
    <w:rsid w:val="00E574A5"/>
    <w:rsid w:val="00E57986"/>
    <w:rsid w:val="00E60A4E"/>
    <w:rsid w:val="00E617CB"/>
    <w:rsid w:val="00E62C28"/>
    <w:rsid w:val="00E6340B"/>
    <w:rsid w:val="00E6356C"/>
    <w:rsid w:val="00E63D81"/>
    <w:rsid w:val="00E6516A"/>
    <w:rsid w:val="00E659FD"/>
    <w:rsid w:val="00E66843"/>
    <w:rsid w:val="00E66F02"/>
    <w:rsid w:val="00E66FA0"/>
    <w:rsid w:val="00E675B1"/>
    <w:rsid w:val="00E67661"/>
    <w:rsid w:val="00E6771F"/>
    <w:rsid w:val="00E679A3"/>
    <w:rsid w:val="00E70407"/>
    <w:rsid w:val="00E7128C"/>
    <w:rsid w:val="00E715A2"/>
    <w:rsid w:val="00E719DA"/>
    <w:rsid w:val="00E71B9E"/>
    <w:rsid w:val="00E71EA8"/>
    <w:rsid w:val="00E723EA"/>
    <w:rsid w:val="00E72409"/>
    <w:rsid w:val="00E72B4A"/>
    <w:rsid w:val="00E72DB0"/>
    <w:rsid w:val="00E73776"/>
    <w:rsid w:val="00E74851"/>
    <w:rsid w:val="00E75A0D"/>
    <w:rsid w:val="00E75A80"/>
    <w:rsid w:val="00E76816"/>
    <w:rsid w:val="00E7707E"/>
    <w:rsid w:val="00E7794B"/>
    <w:rsid w:val="00E77E60"/>
    <w:rsid w:val="00E77E9A"/>
    <w:rsid w:val="00E80098"/>
    <w:rsid w:val="00E802B7"/>
    <w:rsid w:val="00E80DD6"/>
    <w:rsid w:val="00E81238"/>
    <w:rsid w:val="00E82303"/>
    <w:rsid w:val="00E83444"/>
    <w:rsid w:val="00E83A45"/>
    <w:rsid w:val="00E83C77"/>
    <w:rsid w:val="00E83EEC"/>
    <w:rsid w:val="00E84A75"/>
    <w:rsid w:val="00E85111"/>
    <w:rsid w:val="00E87088"/>
    <w:rsid w:val="00E872CE"/>
    <w:rsid w:val="00E87F43"/>
    <w:rsid w:val="00E912CE"/>
    <w:rsid w:val="00E9171E"/>
    <w:rsid w:val="00E9177D"/>
    <w:rsid w:val="00E9294E"/>
    <w:rsid w:val="00E92EB6"/>
    <w:rsid w:val="00E93AF7"/>
    <w:rsid w:val="00E93EB5"/>
    <w:rsid w:val="00E94321"/>
    <w:rsid w:val="00E94546"/>
    <w:rsid w:val="00E94599"/>
    <w:rsid w:val="00E946A8"/>
    <w:rsid w:val="00E94B6C"/>
    <w:rsid w:val="00E95106"/>
    <w:rsid w:val="00E95273"/>
    <w:rsid w:val="00E95D71"/>
    <w:rsid w:val="00E9641F"/>
    <w:rsid w:val="00E9758A"/>
    <w:rsid w:val="00E97787"/>
    <w:rsid w:val="00EA2546"/>
    <w:rsid w:val="00EA30B4"/>
    <w:rsid w:val="00EA34F2"/>
    <w:rsid w:val="00EA3E6A"/>
    <w:rsid w:val="00EA4140"/>
    <w:rsid w:val="00EA41CE"/>
    <w:rsid w:val="00EA4305"/>
    <w:rsid w:val="00EA444D"/>
    <w:rsid w:val="00EA6FE1"/>
    <w:rsid w:val="00EA70EE"/>
    <w:rsid w:val="00EA7BB2"/>
    <w:rsid w:val="00EA7E5E"/>
    <w:rsid w:val="00EB0513"/>
    <w:rsid w:val="00EB06E4"/>
    <w:rsid w:val="00EB0EEA"/>
    <w:rsid w:val="00EB2177"/>
    <w:rsid w:val="00EB223A"/>
    <w:rsid w:val="00EB2DCA"/>
    <w:rsid w:val="00EB2DFF"/>
    <w:rsid w:val="00EB332A"/>
    <w:rsid w:val="00EB3F5E"/>
    <w:rsid w:val="00EB4466"/>
    <w:rsid w:val="00EB595C"/>
    <w:rsid w:val="00EB65A1"/>
    <w:rsid w:val="00EB69F9"/>
    <w:rsid w:val="00EB6B43"/>
    <w:rsid w:val="00EB728C"/>
    <w:rsid w:val="00EB735D"/>
    <w:rsid w:val="00EB7AB1"/>
    <w:rsid w:val="00EC051E"/>
    <w:rsid w:val="00EC0709"/>
    <w:rsid w:val="00EC0AD8"/>
    <w:rsid w:val="00EC0FFA"/>
    <w:rsid w:val="00EC1FBD"/>
    <w:rsid w:val="00EC239D"/>
    <w:rsid w:val="00EC2DBB"/>
    <w:rsid w:val="00EC3319"/>
    <w:rsid w:val="00EC39F0"/>
    <w:rsid w:val="00EC3CEB"/>
    <w:rsid w:val="00EC3F91"/>
    <w:rsid w:val="00EC4000"/>
    <w:rsid w:val="00EC5107"/>
    <w:rsid w:val="00EC6DF6"/>
    <w:rsid w:val="00EC6EDD"/>
    <w:rsid w:val="00EC7AE9"/>
    <w:rsid w:val="00ED0E4F"/>
    <w:rsid w:val="00ED1F71"/>
    <w:rsid w:val="00ED26FF"/>
    <w:rsid w:val="00ED2A2B"/>
    <w:rsid w:val="00ED305E"/>
    <w:rsid w:val="00ED3F35"/>
    <w:rsid w:val="00ED4331"/>
    <w:rsid w:val="00ED5061"/>
    <w:rsid w:val="00ED557E"/>
    <w:rsid w:val="00ED58BB"/>
    <w:rsid w:val="00ED63C0"/>
    <w:rsid w:val="00ED6AD5"/>
    <w:rsid w:val="00ED7896"/>
    <w:rsid w:val="00ED79CD"/>
    <w:rsid w:val="00EE09AD"/>
    <w:rsid w:val="00EE0A2D"/>
    <w:rsid w:val="00EE1034"/>
    <w:rsid w:val="00EE17EA"/>
    <w:rsid w:val="00EE1B04"/>
    <w:rsid w:val="00EE1EAA"/>
    <w:rsid w:val="00EE2824"/>
    <w:rsid w:val="00EE28F9"/>
    <w:rsid w:val="00EE2BE4"/>
    <w:rsid w:val="00EE2F0E"/>
    <w:rsid w:val="00EE38DA"/>
    <w:rsid w:val="00EE3B5C"/>
    <w:rsid w:val="00EE3EF2"/>
    <w:rsid w:val="00EE4C68"/>
    <w:rsid w:val="00EE4E73"/>
    <w:rsid w:val="00EE4F4D"/>
    <w:rsid w:val="00EE51AC"/>
    <w:rsid w:val="00EE626B"/>
    <w:rsid w:val="00EE627A"/>
    <w:rsid w:val="00EE6BE1"/>
    <w:rsid w:val="00EE6C2E"/>
    <w:rsid w:val="00EE6CEE"/>
    <w:rsid w:val="00EE7DE0"/>
    <w:rsid w:val="00EF0472"/>
    <w:rsid w:val="00EF0756"/>
    <w:rsid w:val="00EF0B4D"/>
    <w:rsid w:val="00EF0E7D"/>
    <w:rsid w:val="00EF172B"/>
    <w:rsid w:val="00EF1BD7"/>
    <w:rsid w:val="00EF1FCC"/>
    <w:rsid w:val="00EF29F8"/>
    <w:rsid w:val="00EF34EC"/>
    <w:rsid w:val="00EF3DA7"/>
    <w:rsid w:val="00EF4916"/>
    <w:rsid w:val="00EF4DD5"/>
    <w:rsid w:val="00EF57F8"/>
    <w:rsid w:val="00EF5D36"/>
    <w:rsid w:val="00EF7942"/>
    <w:rsid w:val="00F001FB"/>
    <w:rsid w:val="00F002DB"/>
    <w:rsid w:val="00F00370"/>
    <w:rsid w:val="00F0157B"/>
    <w:rsid w:val="00F01C43"/>
    <w:rsid w:val="00F02F8C"/>
    <w:rsid w:val="00F037A6"/>
    <w:rsid w:val="00F04575"/>
    <w:rsid w:val="00F04E97"/>
    <w:rsid w:val="00F0503D"/>
    <w:rsid w:val="00F0517B"/>
    <w:rsid w:val="00F05183"/>
    <w:rsid w:val="00F06E88"/>
    <w:rsid w:val="00F06FA5"/>
    <w:rsid w:val="00F075B5"/>
    <w:rsid w:val="00F1068E"/>
    <w:rsid w:val="00F10CD5"/>
    <w:rsid w:val="00F11ADC"/>
    <w:rsid w:val="00F11DAB"/>
    <w:rsid w:val="00F12749"/>
    <w:rsid w:val="00F13AAA"/>
    <w:rsid w:val="00F15ECB"/>
    <w:rsid w:val="00F1647F"/>
    <w:rsid w:val="00F16CB2"/>
    <w:rsid w:val="00F17526"/>
    <w:rsid w:val="00F205BF"/>
    <w:rsid w:val="00F2082D"/>
    <w:rsid w:val="00F21782"/>
    <w:rsid w:val="00F22341"/>
    <w:rsid w:val="00F23F7F"/>
    <w:rsid w:val="00F24512"/>
    <w:rsid w:val="00F2472B"/>
    <w:rsid w:val="00F25398"/>
    <w:rsid w:val="00F25855"/>
    <w:rsid w:val="00F26A29"/>
    <w:rsid w:val="00F26C21"/>
    <w:rsid w:val="00F26F51"/>
    <w:rsid w:val="00F271B6"/>
    <w:rsid w:val="00F27208"/>
    <w:rsid w:val="00F2733C"/>
    <w:rsid w:val="00F27760"/>
    <w:rsid w:val="00F3023C"/>
    <w:rsid w:val="00F30885"/>
    <w:rsid w:val="00F31123"/>
    <w:rsid w:val="00F354FF"/>
    <w:rsid w:val="00F3560B"/>
    <w:rsid w:val="00F35F5D"/>
    <w:rsid w:val="00F360ED"/>
    <w:rsid w:val="00F365BD"/>
    <w:rsid w:val="00F36E22"/>
    <w:rsid w:val="00F40C1F"/>
    <w:rsid w:val="00F41B19"/>
    <w:rsid w:val="00F42C4A"/>
    <w:rsid w:val="00F430BE"/>
    <w:rsid w:val="00F44157"/>
    <w:rsid w:val="00F4419A"/>
    <w:rsid w:val="00F4557C"/>
    <w:rsid w:val="00F45C82"/>
    <w:rsid w:val="00F46FFD"/>
    <w:rsid w:val="00F472E7"/>
    <w:rsid w:val="00F47453"/>
    <w:rsid w:val="00F4766B"/>
    <w:rsid w:val="00F4780B"/>
    <w:rsid w:val="00F47840"/>
    <w:rsid w:val="00F513CA"/>
    <w:rsid w:val="00F5272C"/>
    <w:rsid w:val="00F530AD"/>
    <w:rsid w:val="00F5394A"/>
    <w:rsid w:val="00F55669"/>
    <w:rsid w:val="00F556EC"/>
    <w:rsid w:val="00F55B84"/>
    <w:rsid w:val="00F55ED8"/>
    <w:rsid w:val="00F566B7"/>
    <w:rsid w:val="00F56DC2"/>
    <w:rsid w:val="00F57A74"/>
    <w:rsid w:val="00F57DCE"/>
    <w:rsid w:val="00F61D73"/>
    <w:rsid w:val="00F62539"/>
    <w:rsid w:val="00F625D2"/>
    <w:rsid w:val="00F62830"/>
    <w:rsid w:val="00F62C19"/>
    <w:rsid w:val="00F62F75"/>
    <w:rsid w:val="00F635E8"/>
    <w:rsid w:val="00F638EB"/>
    <w:rsid w:val="00F64270"/>
    <w:rsid w:val="00F64498"/>
    <w:rsid w:val="00F64554"/>
    <w:rsid w:val="00F6455A"/>
    <w:rsid w:val="00F64912"/>
    <w:rsid w:val="00F64F0B"/>
    <w:rsid w:val="00F653D6"/>
    <w:rsid w:val="00F65622"/>
    <w:rsid w:val="00F65A82"/>
    <w:rsid w:val="00F65E5E"/>
    <w:rsid w:val="00F65F29"/>
    <w:rsid w:val="00F65F93"/>
    <w:rsid w:val="00F670FE"/>
    <w:rsid w:val="00F672EF"/>
    <w:rsid w:val="00F67852"/>
    <w:rsid w:val="00F67877"/>
    <w:rsid w:val="00F70818"/>
    <w:rsid w:val="00F709FC"/>
    <w:rsid w:val="00F71112"/>
    <w:rsid w:val="00F71668"/>
    <w:rsid w:val="00F72273"/>
    <w:rsid w:val="00F7294E"/>
    <w:rsid w:val="00F73675"/>
    <w:rsid w:val="00F73898"/>
    <w:rsid w:val="00F738A1"/>
    <w:rsid w:val="00F75273"/>
    <w:rsid w:val="00F75424"/>
    <w:rsid w:val="00F754B0"/>
    <w:rsid w:val="00F75D63"/>
    <w:rsid w:val="00F75F7B"/>
    <w:rsid w:val="00F7606B"/>
    <w:rsid w:val="00F765A7"/>
    <w:rsid w:val="00F80577"/>
    <w:rsid w:val="00F836FF"/>
    <w:rsid w:val="00F8423B"/>
    <w:rsid w:val="00F853E8"/>
    <w:rsid w:val="00F854BB"/>
    <w:rsid w:val="00F85677"/>
    <w:rsid w:val="00F85C15"/>
    <w:rsid w:val="00F8602F"/>
    <w:rsid w:val="00F86A4D"/>
    <w:rsid w:val="00F87664"/>
    <w:rsid w:val="00F901D0"/>
    <w:rsid w:val="00F90608"/>
    <w:rsid w:val="00F9073F"/>
    <w:rsid w:val="00F90F1B"/>
    <w:rsid w:val="00F918DD"/>
    <w:rsid w:val="00F91CAD"/>
    <w:rsid w:val="00F9223C"/>
    <w:rsid w:val="00F92573"/>
    <w:rsid w:val="00F93AC5"/>
    <w:rsid w:val="00F93C8E"/>
    <w:rsid w:val="00F946C8"/>
    <w:rsid w:val="00F953B3"/>
    <w:rsid w:val="00F9571F"/>
    <w:rsid w:val="00F970CB"/>
    <w:rsid w:val="00F970CD"/>
    <w:rsid w:val="00F9725C"/>
    <w:rsid w:val="00FA09BF"/>
    <w:rsid w:val="00FA0D09"/>
    <w:rsid w:val="00FA11F9"/>
    <w:rsid w:val="00FA1252"/>
    <w:rsid w:val="00FA3A29"/>
    <w:rsid w:val="00FA3C33"/>
    <w:rsid w:val="00FA40B3"/>
    <w:rsid w:val="00FA41AD"/>
    <w:rsid w:val="00FA522E"/>
    <w:rsid w:val="00FA566F"/>
    <w:rsid w:val="00FA5805"/>
    <w:rsid w:val="00FA5874"/>
    <w:rsid w:val="00FA66BA"/>
    <w:rsid w:val="00FA73CB"/>
    <w:rsid w:val="00FA76A3"/>
    <w:rsid w:val="00FB0AF9"/>
    <w:rsid w:val="00FB0DDC"/>
    <w:rsid w:val="00FB0F89"/>
    <w:rsid w:val="00FB1967"/>
    <w:rsid w:val="00FB1FEC"/>
    <w:rsid w:val="00FB223A"/>
    <w:rsid w:val="00FB2738"/>
    <w:rsid w:val="00FB2EF0"/>
    <w:rsid w:val="00FB37F9"/>
    <w:rsid w:val="00FB3A9F"/>
    <w:rsid w:val="00FB449F"/>
    <w:rsid w:val="00FB4D88"/>
    <w:rsid w:val="00FB64DA"/>
    <w:rsid w:val="00FB64FE"/>
    <w:rsid w:val="00FB6AD7"/>
    <w:rsid w:val="00FB718E"/>
    <w:rsid w:val="00FB752C"/>
    <w:rsid w:val="00FB76DF"/>
    <w:rsid w:val="00FC0D32"/>
    <w:rsid w:val="00FC1228"/>
    <w:rsid w:val="00FC1B36"/>
    <w:rsid w:val="00FC1B8C"/>
    <w:rsid w:val="00FC2939"/>
    <w:rsid w:val="00FC2D5B"/>
    <w:rsid w:val="00FC3061"/>
    <w:rsid w:val="00FC3437"/>
    <w:rsid w:val="00FC37CE"/>
    <w:rsid w:val="00FC3B9F"/>
    <w:rsid w:val="00FC46D6"/>
    <w:rsid w:val="00FC4919"/>
    <w:rsid w:val="00FC53CA"/>
    <w:rsid w:val="00FC5963"/>
    <w:rsid w:val="00FC658A"/>
    <w:rsid w:val="00FC6B49"/>
    <w:rsid w:val="00FD01DF"/>
    <w:rsid w:val="00FD0892"/>
    <w:rsid w:val="00FD0B76"/>
    <w:rsid w:val="00FD0D50"/>
    <w:rsid w:val="00FD179B"/>
    <w:rsid w:val="00FD17E5"/>
    <w:rsid w:val="00FD2084"/>
    <w:rsid w:val="00FD248F"/>
    <w:rsid w:val="00FD25B4"/>
    <w:rsid w:val="00FD2A85"/>
    <w:rsid w:val="00FD2C3E"/>
    <w:rsid w:val="00FD2F70"/>
    <w:rsid w:val="00FD2F8B"/>
    <w:rsid w:val="00FD44FC"/>
    <w:rsid w:val="00FD4B5B"/>
    <w:rsid w:val="00FD4CF6"/>
    <w:rsid w:val="00FD4F1B"/>
    <w:rsid w:val="00FD52DD"/>
    <w:rsid w:val="00FD54D5"/>
    <w:rsid w:val="00FD5CAC"/>
    <w:rsid w:val="00FD6087"/>
    <w:rsid w:val="00FD69A0"/>
    <w:rsid w:val="00FD7762"/>
    <w:rsid w:val="00FE0A0C"/>
    <w:rsid w:val="00FE0C19"/>
    <w:rsid w:val="00FE0CB3"/>
    <w:rsid w:val="00FE0EEA"/>
    <w:rsid w:val="00FE1027"/>
    <w:rsid w:val="00FE11CF"/>
    <w:rsid w:val="00FE1BE1"/>
    <w:rsid w:val="00FE1E44"/>
    <w:rsid w:val="00FE29F3"/>
    <w:rsid w:val="00FE3711"/>
    <w:rsid w:val="00FE3FF9"/>
    <w:rsid w:val="00FE5894"/>
    <w:rsid w:val="00FE5F8B"/>
    <w:rsid w:val="00FE7F07"/>
    <w:rsid w:val="00FF03CB"/>
    <w:rsid w:val="00FF131E"/>
    <w:rsid w:val="00FF220B"/>
    <w:rsid w:val="00FF2B3C"/>
    <w:rsid w:val="00FF3042"/>
    <w:rsid w:val="00FF38EB"/>
    <w:rsid w:val="00FF3E91"/>
    <w:rsid w:val="00FF4471"/>
    <w:rsid w:val="00FF4D67"/>
    <w:rsid w:val="00FF6895"/>
    <w:rsid w:val="00FF79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06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C105C"/>
    <w:pPr>
      <w:spacing w:after="0" w:line="240" w:lineRule="auto"/>
    </w:pPr>
    <w:rPr>
      <w:rFonts w:ascii="Calibri" w:hAnsi="Calibri"/>
      <w:szCs w:val="20"/>
      <w:lang w:eastAsia="en-US"/>
    </w:rPr>
  </w:style>
  <w:style w:type="paragraph" w:styleId="Heading1">
    <w:name w:val="heading 1"/>
    <w:basedOn w:val="Normal"/>
    <w:next w:val="BodyText"/>
    <w:link w:val="Heading1Char"/>
    <w:uiPriority w:val="99"/>
    <w:qFormat/>
    <w:rsid w:val="00BC105C"/>
    <w:pPr>
      <w:keepNext/>
      <w:keepLines/>
      <w:pageBreakBefore/>
      <w:numPr>
        <w:numId w:val="4"/>
      </w:numPr>
      <w:tabs>
        <w:tab w:val="clear" w:pos="360"/>
      </w:tabs>
      <w:spacing w:before="360"/>
      <w:ind w:hanging="567"/>
      <w:outlineLvl w:val="0"/>
    </w:pPr>
    <w:rPr>
      <w:b/>
      <w:color w:val="002776"/>
      <w:kern w:val="28"/>
      <w:sz w:val="56"/>
    </w:rPr>
  </w:style>
  <w:style w:type="paragraph" w:styleId="Heading2">
    <w:name w:val="heading 2"/>
    <w:basedOn w:val="Normal"/>
    <w:next w:val="BodyText"/>
    <w:link w:val="Heading2Char"/>
    <w:uiPriority w:val="99"/>
    <w:qFormat/>
    <w:rsid w:val="00BC105C"/>
    <w:pPr>
      <w:keepNext/>
      <w:numPr>
        <w:ilvl w:val="1"/>
        <w:numId w:val="4"/>
      </w:numPr>
      <w:tabs>
        <w:tab w:val="clear" w:pos="360"/>
        <w:tab w:val="left" w:pos="851"/>
      </w:tabs>
      <w:spacing w:before="240"/>
      <w:ind w:left="851" w:hanging="851"/>
      <w:outlineLvl w:val="1"/>
    </w:pPr>
    <w:rPr>
      <w:b/>
      <w:color w:val="00A1DE"/>
      <w:sz w:val="40"/>
      <w:szCs w:val="28"/>
    </w:rPr>
  </w:style>
  <w:style w:type="paragraph" w:styleId="Heading3">
    <w:name w:val="heading 3"/>
    <w:basedOn w:val="Normal"/>
    <w:next w:val="BodyText"/>
    <w:link w:val="Heading3Char"/>
    <w:uiPriority w:val="99"/>
    <w:qFormat/>
    <w:rsid w:val="00BC105C"/>
    <w:pPr>
      <w:keepNext/>
      <w:numPr>
        <w:ilvl w:val="2"/>
        <w:numId w:val="4"/>
      </w:numPr>
      <w:tabs>
        <w:tab w:val="clear" w:pos="360"/>
        <w:tab w:val="num" w:pos="1134"/>
      </w:tabs>
      <w:spacing w:before="240"/>
      <w:ind w:left="1134" w:hanging="1134"/>
      <w:outlineLvl w:val="2"/>
    </w:pPr>
    <w:rPr>
      <w:color w:val="00A1DE"/>
      <w:sz w:val="28"/>
    </w:rPr>
  </w:style>
  <w:style w:type="paragraph" w:styleId="Heading4">
    <w:name w:val="heading 4"/>
    <w:basedOn w:val="Normal"/>
    <w:next w:val="BodyText"/>
    <w:link w:val="Heading4Char"/>
    <w:uiPriority w:val="99"/>
    <w:qFormat/>
    <w:rsid w:val="00BC105C"/>
    <w:pPr>
      <w:keepNext/>
      <w:numPr>
        <w:ilvl w:val="3"/>
        <w:numId w:val="4"/>
      </w:numPr>
      <w:tabs>
        <w:tab w:val="clear" w:pos="360"/>
        <w:tab w:val="num" w:pos="1134"/>
      </w:tabs>
      <w:spacing w:before="180" w:after="60"/>
      <w:ind w:left="1134" w:hanging="1134"/>
      <w:outlineLvl w:val="3"/>
    </w:pPr>
    <w:rPr>
      <w:b/>
      <w:color w:val="00A1DE"/>
      <w:sz w:val="24"/>
      <w:szCs w:val="24"/>
    </w:rPr>
  </w:style>
  <w:style w:type="paragraph" w:styleId="Heading5">
    <w:name w:val="heading 5"/>
    <w:basedOn w:val="Normal"/>
    <w:next w:val="BodyText"/>
    <w:link w:val="Heading5Char"/>
    <w:uiPriority w:val="99"/>
    <w:qFormat/>
    <w:rsid w:val="00BC105C"/>
    <w:pPr>
      <w:keepNext/>
      <w:numPr>
        <w:ilvl w:val="4"/>
        <w:numId w:val="4"/>
      </w:numPr>
      <w:pBdr>
        <w:top w:val="single" w:sz="12" w:space="5" w:color="931638"/>
        <w:left w:val="single" w:sz="12" w:space="5" w:color="931638"/>
        <w:bottom w:val="single" w:sz="12" w:space="5" w:color="931638"/>
        <w:right w:val="single" w:sz="12" w:space="5" w:color="931638"/>
      </w:pBdr>
      <w:shd w:val="clear" w:color="auto" w:fill="931638"/>
      <w:tabs>
        <w:tab w:val="clear" w:pos="360"/>
      </w:tabs>
      <w:ind w:left="1134" w:right="284" w:hanging="850"/>
      <w:outlineLvl w:val="4"/>
    </w:pPr>
    <w:rPr>
      <w:b/>
      <w:color w:val="FFFFFF"/>
      <w:szCs w:val="24"/>
    </w:rPr>
  </w:style>
  <w:style w:type="paragraph" w:styleId="Heading6">
    <w:name w:val="heading 6"/>
    <w:basedOn w:val="Normal"/>
    <w:next w:val="BodyText"/>
    <w:link w:val="Heading6Char"/>
    <w:uiPriority w:val="99"/>
    <w:qFormat/>
    <w:rsid w:val="00BC105C"/>
    <w:pPr>
      <w:outlineLvl w:val="5"/>
    </w:pPr>
    <w:rPr>
      <w:rFonts w:ascii="Arial Bold" w:hAnsi="Arial Bold"/>
      <w:b/>
      <w:color w:val="931638"/>
      <w:szCs w:val="22"/>
    </w:rPr>
  </w:style>
  <w:style w:type="paragraph" w:styleId="Heading7">
    <w:name w:val="heading 7"/>
    <w:basedOn w:val="Normal"/>
    <w:next w:val="BodyText"/>
    <w:link w:val="Heading7Char"/>
    <w:uiPriority w:val="99"/>
    <w:qFormat/>
    <w:rsid w:val="00BC105C"/>
    <w:pPr>
      <w:outlineLvl w:val="6"/>
    </w:pPr>
    <w:rPr>
      <w:color w:val="931638"/>
      <w:szCs w:val="24"/>
    </w:rPr>
  </w:style>
  <w:style w:type="paragraph" w:styleId="Heading8">
    <w:name w:val="heading 8"/>
    <w:basedOn w:val="Normal"/>
    <w:next w:val="BodyText"/>
    <w:link w:val="Heading8Char"/>
    <w:uiPriority w:val="99"/>
    <w:qFormat/>
    <w:rsid w:val="00BC105C"/>
    <w:pPr>
      <w:spacing w:before="180"/>
      <w:outlineLvl w:val="7"/>
    </w:pPr>
    <w:rPr>
      <w:color w:val="931638"/>
    </w:rPr>
  </w:style>
  <w:style w:type="paragraph" w:styleId="Heading9">
    <w:name w:val="heading 9"/>
    <w:basedOn w:val="Normal"/>
    <w:next w:val="BodyText"/>
    <w:link w:val="Heading9Char"/>
    <w:uiPriority w:val="99"/>
    <w:qFormat/>
    <w:rsid w:val="00BC105C"/>
    <w:pPr>
      <w:spacing w:before="180"/>
      <w:outlineLvl w:val="8"/>
    </w:pPr>
    <w:rPr>
      <w:color w:val="93163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645FC"/>
    <w:rPr>
      <w:rFonts w:ascii="Calibri" w:hAnsi="Calibri" w:cs="Times New Roman"/>
      <w:b/>
      <w:color w:val="00A1DE"/>
      <w:sz w:val="28"/>
      <w:szCs w:val="28"/>
      <w:lang w:val="en-AU" w:eastAsia="en-US" w:bidi="ar-SA"/>
    </w:rPr>
  </w:style>
  <w:style w:type="character" w:customStyle="1" w:styleId="Heading3Char">
    <w:name w:val="Heading 3 Char"/>
    <w:basedOn w:val="DefaultParagraphFont"/>
    <w:link w:val="Heading3"/>
    <w:uiPriority w:val="99"/>
    <w:semiHidden/>
    <w:locked/>
    <w:rsid w:val="008645FC"/>
    <w:rPr>
      <w:rFonts w:ascii="Calibri" w:hAnsi="Calibri" w:cs="Times New Roman"/>
      <w:color w:val="00A1DE"/>
      <w:sz w:val="28"/>
      <w:lang w:val="en-AU" w:eastAsia="en-US" w:bidi="ar-SA"/>
    </w:rPr>
  </w:style>
  <w:style w:type="character" w:customStyle="1" w:styleId="Heading4Char">
    <w:name w:val="Heading 4 Char"/>
    <w:basedOn w:val="DefaultParagraphFont"/>
    <w:link w:val="Heading4"/>
    <w:uiPriority w:val="99"/>
    <w:semiHidden/>
    <w:locked/>
    <w:rsid w:val="008645FC"/>
    <w:rPr>
      <w:rFonts w:ascii="Calibri" w:hAnsi="Calibri" w:cs="Times New Roman"/>
      <w:b/>
      <w:color w:val="00A1DE"/>
      <w:sz w:val="24"/>
      <w:szCs w:val="24"/>
      <w:lang w:val="en-AU" w:eastAsia="en-US" w:bidi="ar-SA"/>
    </w:rPr>
  </w:style>
  <w:style w:type="character" w:customStyle="1" w:styleId="Heading5Char">
    <w:name w:val="Heading 5 Char"/>
    <w:basedOn w:val="DefaultParagraphFont"/>
    <w:link w:val="Heading5"/>
    <w:uiPriority w:val="99"/>
    <w:semiHidden/>
    <w:locked/>
    <w:rsid w:val="008645FC"/>
    <w:rPr>
      <w:rFonts w:ascii="Calibri" w:hAnsi="Calibri" w:cs="Times New Roman"/>
      <w:b/>
      <w:color w:val="FFFFFF"/>
      <w:sz w:val="24"/>
      <w:szCs w:val="24"/>
      <w:lang w:val="en-AU" w:eastAsia="en-US" w:bidi="ar-SA"/>
    </w:rPr>
  </w:style>
  <w:style w:type="character" w:customStyle="1" w:styleId="Heading6Char">
    <w:name w:val="Heading 6 Char"/>
    <w:basedOn w:val="DefaultParagraphFont"/>
    <w:link w:val="Heading6"/>
    <w:uiPriority w:val="99"/>
    <w:semiHidden/>
    <w:locked/>
    <w:rsid w:val="008645FC"/>
    <w:rPr>
      <w:rFonts w:ascii="Calibri" w:hAnsi="Calibri" w:cs="Times New Roman"/>
      <w:b/>
      <w:bCs/>
      <w:lang w:val="x-none" w:eastAsia="en-US"/>
    </w:rPr>
  </w:style>
  <w:style w:type="character" w:customStyle="1" w:styleId="Heading7Char">
    <w:name w:val="Heading 7 Char"/>
    <w:basedOn w:val="DefaultParagraphFont"/>
    <w:link w:val="Heading7"/>
    <w:uiPriority w:val="99"/>
    <w:semiHidden/>
    <w:locked/>
    <w:rsid w:val="008645FC"/>
    <w:rPr>
      <w:rFonts w:ascii="Calibri" w:hAnsi="Calibri" w:cs="Times New Roman"/>
      <w:sz w:val="24"/>
      <w:szCs w:val="24"/>
      <w:lang w:val="x-none" w:eastAsia="en-US"/>
    </w:rPr>
  </w:style>
  <w:style w:type="character" w:customStyle="1" w:styleId="Heading8Char">
    <w:name w:val="Heading 8 Char"/>
    <w:basedOn w:val="DefaultParagraphFont"/>
    <w:link w:val="Heading8"/>
    <w:uiPriority w:val="99"/>
    <w:semiHidden/>
    <w:locked/>
    <w:rsid w:val="008645FC"/>
    <w:rPr>
      <w:rFonts w:ascii="Calibri" w:hAnsi="Calibri" w:cs="Times New Roman"/>
      <w:i/>
      <w:iCs/>
      <w:sz w:val="24"/>
      <w:szCs w:val="24"/>
      <w:lang w:val="x-none" w:eastAsia="en-US"/>
    </w:rPr>
  </w:style>
  <w:style w:type="character" w:customStyle="1" w:styleId="Heading9Char">
    <w:name w:val="Heading 9 Char"/>
    <w:basedOn w:val="DefaultParagraphFont"/>
    <w:link w:val="Heading9"/>
    <w:uiPriority w:val="99"/>
    <w:semiHidden/>
    <w:locked/>
    <w:rsid w:val="008645FC"/>
    <w:rPr>
      <w:rFonts w:ascii="Cambria" w:hAnsi="Cambria" w:cs="Times New Roman"/>
      <w:lang w:val="x-none" w:eastAsia="en-US"/>
    </w:rPr>
  </w:style>
  <w:style w:type="paragraph" w:styleId="BodyText">
    <w:name w:val="Body Text"/>
    <w:basedOn w:val="Normal"/>
    <w:link w:val="BodyTextChar"/>
    <w:uiPriority w:val="99"/>
    <w:rsid w:val="00BC105C"/>
    <w:pPr>
      <w:spacing w:before="240"/>
      <w:jc w:val="both"/>
    </w:pPr>
  </w:style>
  <w:style w:type="character" w:customStyle="1" w:styleId="Heading1Char">
    <w:name w:val="Heading 1 Char"/>
    <w:basedOn w:val="DefaultParagraphFont"/>
    <w:link w:val="Heading1"/>
    <w:uiPriority w:val="99"/>
    <w:locked/>
    <w:rsid w:val="008645FC"/>
    <w:rPr>
      <w:rFonts w:ascii="Calibri" w:hAnsi="Calibri" w:cs="Times New Roman"/>
      <w:b/>
      <w:color w:val="002776"/>
      <w:kern w:val="28"/>
      <w:sz w:val="56"/>
      <w:lang w:val="en-AU" w:eastAsia="en-US" w:bidi="ar-SA"/>
    </w:rPr>
  </w:style>
  <w:style w:type="paragraph" w:customStyle="1" w:styleId="TableHeadingLeft">
    <w:name w:val="Table Heading Left"/>
    <w:basedOn w:val="Normal"/>
    <w:uiPriority w:val="99"/>
    <w:rsid w:val="00BC105C"/>
    <w:pPr>
      <w:keepNext/>
      <w:keepLines/>
      <w:spacing w:before="20" w:after="20"/>
    </w:pPr>
    <w:rPr>
      <w:b/>
      <w:color w:val="002776"/>
    </w:rPr>
  </w:style>
  <w:style w:type="character" w:customStyle="1" w:styleId="BodyTextChar">
    <w:name w:val="Body Text Char"/>
    <w:basedOn w:val="DefaultParagraphFont"/>
    <w:link w:val="BodyText"/>
    <w:uiPriority w:val="99"/>
    <w:locked/>
    <w:rsid w:val="00BC105C"/>
    <w:rPr>
      <w:rFonts w:ascii="Calibri" w:hAnsi="Calibri" w:cs="Times New Roman"/>
      <w:sz w:val="22"/>
      <w:lang w:val="x-none" w:eastAsia="en-US"/>
    </w:rPr>
  </w:style>
  <w:style w:type="paragraph" w:customStyle="1" w:styleId="TableHeadingRight">
    <w:name w:val="Table Heading Right"/>
    <w:basedOn w:val="Normal"/>
    <w:uiPriority w:val="99"/>
    <w:rsid w:val="00BC105C"/>
    <w:pPr>
      <w:keepNext/>
      <w:keepLines/>
      <w:spacing w:before="20" w:after="20"/>
      <w:jc w:val="right"/>
    </w:pPr>
    <w:rPr>
      <w:b/>
      <w:color w:val="002776"/>
    </w:rPr>
  </w:style>
  <w:style w:type="paragraph" w:customStyle="1" w:styleId="SingleLeft">
    <w:name w:val="Single Left"/>
    <w:basedOn w:val="Normal"/>
    <w:uiPriority w:val="99"/>
    <w:rsid w:val="00BC105C"/>
    <w:pPr>
      <w:jc w:val="both"/>
    </w:pPr>
  </w:style>
  <w:style w:type="paragraph" w:customStyle="1" w:styleId="TabletextCentre">
    <w:name w:val="Table text Centre"/>
    <w:basedOn w:val="Normal"/>
    <w:uiPriority w:val="99"/>
    <w:rsid w:val="00BC105C"/>
    <w:pPr>
      <w:spacing w:before="60"/>
      <w:jc w:val="center"/>
    </w:pPr>
    <w:rPr>
      <w:rFonts w:cs="Arial"/>
      <w:sz w:val="20"/>
    </w:rPr>
  </w:style>
  <w:style w:type="paragraph" w:customStyle="1" w:styleId="TabletextRight">
    <w:name w:val="Table text Right"/>
    <w:basedOn w:val="Normal"/>
    <w:uiPriority w:val="99"/>
    <w:rsid w:val="00BC105C"/>
    <w:pPr>
      <w:spacing w:before="60"/>
      <w:jc w:val="right"/>
    </w:pPr>
    <w:rPr>
      <w:sz w:val="20"/>
    </w:rPr>
  </w:style>
  <w:style w:type="paragraph" w:customStyle="1" w:styleId="IndentParaGreySource">
    <w:name w:val="Indent Para Grey Source"/>
    <w:basedOn w:val="IndentParaGrey"/>
    <w:uiPriority w:val="99"/>
    <w:rsid w:val="00BC105C"/>
    <w:pPr>
      <w:keepNext w:val="0"/>
    </w:pPr>
    <w:rPr>
      <w:rFonts w:cs="Arial"/>
      <w:sz w:val="18"/>
    </w:rPr>
  </w:style>
  <w:style w:type="paragraph" w:customStyle="1" w:styleId="IndentParaGrey">
    <w:name w:val="Indent Para Grey"/>
    <w:basedOn w:val="IndentPara"/>
    <w:next w:val="Normal"/>
    <w:uiPriority w:val="99"/>
    <w:rsid w:val="00BC105C"/>
    <w:pPr>
      <w:keepNext/>
      <w:keepLines/>
      <w:pBdr>
        <w:top w:val="single" w:sz="8" w:space="5" w:color="002776"/>
        <w:left w:val="single" w:sz="8" w:space="5" w:color="002776"/>
        <w:bottom w:val="single" w:sz="8" w:space="5" w:color="002776"/>
        <w:right w:val="single" w:sz="8" w:space="5" w:color="002776"/>
      </w:pBdr>
      <w:shd w:val="solid" w:color="E1E1E1" w:fill="C0C0C0"/>
      <w:spacing w:after="240"/>
    </w:pPr>
    <w:rPr>
      <w:color w:val="000000"/>
    </w:rPr>
  </w:style>
  <w:style w:type="paragraph" w:customStyle="1" w:styleId="IndentPara">
    <w:name w:val="Indent Para"/>
    <w:basedOn w:val="Normal"/>
    <w:next w:val="BodyText"/>
    <w:uiPriority w:val="99"/>
    <w:rsid w:val="00BC105C"/>
    <w:pPr>
      <w:spacing w:before="240"/>
      <w:ind w:left="567" w:right="567"/>
      <w:jc w:val="both"/>
    </w:pPr>
  </w:style>
  <w:style w:type="paragraph" w:customStyle="1" w:styleId="IndentParaGreyBullet">
    <w:name w:val="Indent Para Grey Bullet"/>
    <w:basedOn w:val="IndentParaGrey"/>
    <w:uiPriority w:val="99"/>
    <w:rsid w:val="00BC105C"/>
    <w:pPr>
      <w:numPr>
        <w:numId w:val="22"/>
      </w:numPr>
      <w:tabs>
        <w:tab w:val="left" w:pos="1134"/>
      </w:tabs>
      <w:spacing w:after="60"/>
    </w:pPr>
    <w:rPr>
      <w:rFonts w:cs="Arial"/>
    </w:rPr>
  </w:style>
  <w:style w:type="paragraph" w:styleId="Header">
    <w:name w:val="header"/>
    <w:basedOn w:val="Normal"/>
    <w:link w:val="HeaderChar"/>
    <w:uiPriority w:val="99"/>
    <w:rsid w:val="00BC105C"/>
    <w:pPr>
      <w:jc w:val="right"/>
    </w:pPr>
    <w:rPr>
      <w:color w:val="595959"/>
    </w:rPr>
  </w:style>
  <w:style w:type="paragraph" w:customStyle="1" w:styleId="BoldPara">
    <w:name w:val="Bold Para"/>
    <w:basedOn w:val="Normal"/>
    <w:next w:val="BodyText"/>
    <w:link w:val="BoldParaChar"/>
    <w:uiPriority w:val="99"/>
    <w:rsid w:val="00BC105C"/>
    <w:pPr>
      <w:spacing w:before="240"/>
      <w:jc w:val="both"/>
    </w:pPr>
    <w:rPr>
      <w:b/>
      <w:color w:val="002776"/>
      <w:szCs w:val="24"/>
    </w:rPr>
  </w:style>
  <w:style w:type="character" w:customStyle="1" w:styleId="HeaderChar">
    <w:name w:val="Header Char"/>
    <w:basedOn w:val="DefaultParagraphFont"/>
    <w:link w:val="Header"/>
    <w:uiPriority w:val="99"/>
    <w:locked/>
    <w:rsid w:val="00BC105C"/>
    <w:rPr>
      <w:rFonts w:ascii="Calibri" w:hAnsi="Calibri" w:cs="Times New Roman"/>
      <w:color w:val="595959"/>
      <w:sz w:val="22"/>
      <w:lang w:val="x-none" w:eastAsia="en-US"/>
    </w:rPr>
  </w:style>
  <w:style w:type="character" w:styleId="PageNumber">
    <w:name w:val="page number"/>
    <w:basedOn w:val="DefaultParagraphFont"/>
    <w:uiPriority w:val="99"/>
    <w:rsid w:val="00BC105C"/>
    <w:rPr>
      <w:rFonts w:ascii="Calibri" w:hAnsi="Calibri" w:cs="Times New Roman"/>
      <w:color w:val="auto"/>
      <w:sz w:val="18"/>
      <w:szCs w:val="18"/>
    </w:rPr>
  </w:style>
  <w:style w:type="paragraph" w:customStyle="1" w:styleId="Bullet1">
    <w:name w:val="Bullet 1"/>
    <w:basedOn w:val="Normal"/>
    <w:link w:val="Bullet1Char"/>
    <w:uiPriority w:val="99"/>
    <w:rsid w:val="00BC105C"/>
    <w:pPr>
      <w:numPr>
        <w:numId w:val="2"/>
      </w:numPr>
      <w:tabs>
        <w:tab w:val="clear" w:pos="360"/>
      </w:tabs>
      <w:spacing w:before="60"/>
      <w:jc w:val="both"/>
    </w:pPr>
    <w:rPr>
      <w:rFonts w:cs="Arial"/>
      <w:lang w:eastAsia="en-AU"/>
    </w:rPr>
  </w:style>
  <w:style w:type="paragraph" w:customStyle="1" w:styleId="BoxedHighlight">
    <w:name w:val="Boxed Highlight"/>
    <w:basedOn w:val="IndentPara"/>
    <w:next w:val="BodyText"/>
    <w:uiPriority w:val="99"/>
    <w:rsid w:val="00BC105C"/>
    <w:pPr>
      <w:pBdr>
        <w:top w:val="single" w:sz="18" w:space="5" w:color="002776"/>
        <w:left w:val="single" w:sz="18" w:space="5" w:color="002776"/>
        <w:bottom w:val="single" w:sz="18" w:space="5" w:color="002776"/>
        <w:right w:val="single" w:sz="18" w:space="5" w:color="002776"/>
      </w:pBdr>
      <w:contextualSpacing/>
    </w:pPr>
    <w:rPr>
      <w:rFonts w:cs="Arial"/>
      <w:color w:val="002776"/>
      <w:szCs w:val="24"/>
    </w:rPr>
  </w:style>
  <w:style w:type="paragraph" w:customStyle="1" w:styleId="Disclaimer">
    <w:name w:val="Disclaimer"/>
    <w:basedOn w:val="Normal"/>
    <w:uiPriority w:val="99"/>
    <w:rsid w:val="00BC105C"/>
    <w:rPr>
      <w:rFonts w:ascii="Swis721 Md BT" w:hAnsi="Swis721 Md BT"/>
      <w:b/>
      <w:color w:val="000000"/>
      <w:sz w:val="16"/>
      <w:szCs w:val="16"/>
    </w:rPr>
  </w:style>
  <w:style w:type="character" w:styleId="FootnoteReference">
    <w:name w:val="footnote reference"/>
    <w:basedOn w:val="DefaultParagraphFont"/>
    <w:uiPriority w:val="99"/>
    <w:semiHidden/>
    <w:rsid w:val="00BC105C"/>
    <w:rPr>
      <w:rFonts w:ascii="Arial" w:hAnsi="Arial" w:cs="Times New Roman"/>
      <w:sz w:val="24"/>
      <w:szCs w:val="24"/>
      <w:vertAlign w:val="superscript"/>
    </w:rPr>
  </w:style>
  <w:style w:type="table" w:customStyle="1" w:styleId="TableAE">
    <w:name w:val="Table AE"/>
    <w:uiPriority w:val="99"/>
    <w:rsid w:val="00BC105C"/>
    <w:pPr>
      <w:spacing w:after="0" w:line="240" w:lineRule="auto"/>
    </w:pPr>
    <w:rPr>
      <w:rFonts w:ascii="Arial" w:hAnsi="Arial"/>
      <w:sz w:val="20"/>
      <w:szCs w:val="20"/>
    </w:rPr>
    <w:tblPr>
      <w:jc w:val="center"/>
      <w:tblInd w:w="0" w:type="dxa"/>
      <w:tblBorders>
        <w:bottom w:val="single" w:sz="12" w:space="0" w:color="002776"/>
      </w:tblBorders>
      <w:tblCellMar>
        <w:top w:w="0" w:type="dxa"/>
        <w:left w:w="108" w:type="dxa"/>
        <w:bottom w:w="0" w:type="dxa"/>
        <w:right w:w="108" w:type="dxa"/>
      </w:tblCellMar>
    </w:tblPr>
    <w:trPr>
      <w:cantSplit/>
      <w:jc w:val="center"/>
    </w:trPr>
  </w:style>
  <w:style w:type="paragraph" w:customStyle="1" w:styleId="IndentParaBurgundy">
    <w:name w:val="Indent Para Burgundy"/>
    <w:basedOn w:val="IndentParaDarkGrey"/>
    <w:next w:val="Normal"/>
    <w:uiPriority w:val="99"/>
    <w:rsid w:val="00BC105C"/>
    <w:pPr>
      <w:keepNext/>
      <w:keepLines/>
      <w:pBdr>
        <w:top w:val="single" w:sz="8" w:space="5" w:color="002776"/>
        <w:left w:val="single" w:sz="8" w:space="5" w:color="002776"/>
        <w:bottom w:val="single" w:sz="8" w:space="5" w:color="002776"/>
        <w:right w:val="single" w:sz="8" w:space="5" w:color="002776"/>
      </w:pBdr>
      <w:shd w:val="clear" w:color="808080" w:fill="002776"/>
    </w:pPr>
  </w:style>
  <w:style w:type="paragraph" w:customStyle="1" w:styleId="IndentQuote">
    <w:name w:val="Indent Quote"/>
    <w:basedOn w:val="Normal"/>
    <w:next w:val="Normal"/>
    <w:uiPriority w:val="99"/>
    <w:rsid w:val="00BC105C"/>
    <w:pPr>
      <w:tabs>
        <w:tab w:val="left" w:pos="1134"/>
      </w:tabs>
      <w:spacing w:before="240"/>
      <w:ind w:left="567" w:right="567"/>
      <w:jc w:val="both"/>
    </w:pPr>
    <w:rPr>
      <w:i/>
      <w:color w:val="595959"/>
    </w:rPr>
  </w:style>
  <w:style w:type="paragraph" w:customStyle="1" w:styleId="TableHeadingCentre">
    <w:name w:val="Table Heading Centre"/>
    <w:basedOn w:val="Normal"/>
    <w:uiPriority w:val="99"/>
    <w:rsid w:val="00BC105C"/>
    <w:pPr>
      <w:keepNext/>
      <w:keepLines/>
      <w:spacing w:before="20" w:after="20"/>
      <w:jc w:val="center"/>
    </w:pPr>
    <w:rPr>
      <w:b/>
      <w:color w:val="002776"/>
      <w:szCs w:val="22"/>
    </w:rPr>
  </w:style>
  <w:style w:type="paragraph" w:customStyle="1" w:styleId="Equation">
    <w:name w:val="Equation"/>
    <w:basedOn w:val="Normal"/>
    <w:next w:val="Normal"/>
    <w:uiPriority w:val="99"/>
    <w:rsid w:val="00BC105C"/>
    <w:pPr>
      <w:spacing w:before="240"/>
      <w:jc w:val="center"/>
    </w:pPr>
    <w:rPr>
      <w:rFonts w:ascii="Times New Roman" w:hAnsi="Times New Roman"/>
      <w:i/>
      <w:sz w:val="24"/>
      <w:szCs w:val="24"/>
    </w:rPr>
  </w:style>
  <w:style w:type="paragraph" w:customStyle="1" w:styleId="Contents-Major">
    <w:name w:val="Contents - Major"/>
    <w:basedOn w:val="Normal"/>
    <w:uiPriority w:val="99"/>
    <w:rsid w:val="00BC105C"/>
    <w:pPr>
      <w:keepNext/>
      <w:spacing w:after="200"/>
    </w:pPr>
    <w:rPr>
      <w:color w:val="002776"/>
      <w:sz w:val="56"/>
      <w:szCs w:val="32"/>
    </w:rPr>
  </w:style>
  <w:style w:type="paragraph" w:customStyle="1" w:styleId="Reference">
    <w:name w:val="Reference"/>
    <w:basedOn w:val="Normal"/>
    <w:uiPriority w:val="99"/>
    <w:rsid w:val="00BC105C"/>
    <w:pPr>
      <w:spacing w:before="240" w:after="240"/>
      <w:ind w:left="567" w:hanging="567"/>
    </w:pPr>
  </w:style>
  <w:style w:type="paragraph" w:styleId="TOC1">
    <w:name w:val="toc 1"/>
    <w:basedOn w:val="Normal"/>
    <w:next w:val="Normal"/>
    <w:uiPriority w:val="99"/>
    <w:rsid w:val="00BC105C"/>
    <w:pPr>
      <w:tabs>
        <w:tab w:val="left" w:pos="567"/>
        <w:tab w:val="right" w:leader="dot" w:pos="8505"/>
      </w:tabs>
      <w:spacing w:before="120"/>
    </w:pPr>
    <w:rPr>
      <w:rFonts w:cs="Arial"/>
      <w:szCs w:val="22"/>
    </w:rPr>
  </w:style>
  <w:style w:type="paragraph" w:styleId="TOC2">
    <w:name w:val="toc 2"/>
    <w:basedOn w:val="Normal"/>
    <w:next w:val="Normal"/>
    <w:uiPriority w:val="99"/>
    <w:rsid w:val="00BC105C"/>
    <w:pPr>
      <w:tabs>
        <w:tab w:val="left" w:pos="1134"/>
        <w:tab w:val="right" w:leader="dot" w:pos="8505"/>
      </w:tabs>
      <w:spacing w:before="60"/>
      <w:ind w:left="1134" w:right="567" w:hanging="567"/>
    </w:pPr>
    <w:rPr>
      <w:noProof/>
      <w:sz w:val="20"/>
    </w:rPr>
  </w:style>
  <w:style w:type="paragraph" w:styleId="TOC3">
    <w:name w:val="toc 3"/>
    <w:basedOn w:val="Normal"/>
    <w:next w:val="Normal"/>
    <w:autoRedefine/>
    <w:uiPriority w:val="99"/>
    <w:rsid w:val="00BC105C"/>
    <w:pPr>
      <w:tabs>
        <w:tab w:val="left" w:pos="1985"/>
        <w:tab w:val="right" w:leader="dot" w:pos="8505"/>
      </w:tabs>
      <w:spacing w:before="60" w:after="100" w:line="276" w:lineRule="auto"/>
      <w:ind w:left="2268" w:hanging="1134"/>
    </w:pPr>
    <w:rPr>
      <w:sz w:val="20"/>
      <w:szCs w:val="22"/>
    </w:rPr>
  </w:style>
  <w:style w:type="character" w:styleId="Hyperlink">
    <w:name w:val="Hyperlink"/>
    <w:basedOn w:val="DefaultParagraphFont"/>
    <w:uiPriority w:val="99"/>
    <w:rsid w:val="00BC105C"/>
    <w:rPr>
      <w:rFonts w:cs="Times New Roman"/>
    </w:rPr>
  </w:style>
  <w:style w:type="paragraph" w:customStyle="1" w:styleId="FooterOdd">
    <w:name w:val="Footer Odd"/>
    <w:basedOn w:val="Normal"/>
    <w:uiPriority w:val="99"/>
    <w:rsid w:val="00BC105C"/>
    <w:pPr>
      <w:framePr w:hSpace="181" w:wrap="around" w:vAnchor="text" w:hAnchor="page" w:x="10774" w:y="211"/>
      <w:shd w:val="solid" w:color="FFFFFF" w:fill="FFFFFF"/>
      <w:spacing w:before="120"/>
      <w:jc w:val="right"/>
    </w:pPr>
    <w:rPr>
      <w:sz w:val="18"/>
    </w:rPr>
  </w:style>
  <w:style w:type="table" w:customStyle="1" w:styleId="TableGridWithTotals">
    <w:name w:val="Table Grid With Totals"/>
    <w:uiPriority w:val="99"/>
    <w:rsid w:val="00BC105C"/>
    <w:pPr>
      <w:keepNext/>
      <w:keepLines/>
      <w:spacing w:before="60" w:after="0" w:line="240" w:lineRule="auto"/>
    </w:pPr>
    <w:rPr>
      <w:rFonts w:ascii="Arial" w:hAnsi="Arial"/>
      <w:sz w:val="20"/>
      <w:szCs w:val="20"/>
    </w:rPr>
    <w:tblPr>
      <w:tblInd w:w="0" w:type="dxa"/>
      <w:tblCellMar>
        <w:top w:w="0" w:type="dxa"/>
        <w:left w:w="108" w:type="dxa"/>
        <w:bottom w:w="0" w:type="dxa"/>
        <w:right w:w="108" w:type="dxa"/>
      </w:tblCellMar>
    </w:tblPr>
    <w:trPr>
      <w:cantSplit/>
    </w:trPr>
  </w:style>
  <w:style w:type="paragraph" w:customStyle="1" w:styleId="NumberedList">
    <w:name w:val="Numbered List"/>
    <w:basedOn w:val="Normal"/>
    <w:uiPriority w:val="99"/>
    <w:rsid w:val="00BC105C"/>
    <w:pPr>
      <w:numPr>
        <w:numId w:val="24"/>
      </w:numPr>
      <w:spacing w:before="60"/>
      <w:jc w:val="both"/>
    </w:pPr>
    <w:rPr>
      <w:rFonts w:cs="Arial"/>
    </w:rPr>
  </w:style>
  <w:style w:type="paragraph" w:styleId="Caption">
    <w:name w:val="caption"/>
    <w:basedOn w:val="Normal"/>
    <w:next w:val="Normal"/>
    <w:uiPriority w:val="99"/>
    <w:qFormat/>
    <w:rsid w:val="00BC105C"/>
    <w:pPr>
      <w:keepNext/>
      <w:keepLines/>
      <w:spacing w:before="240" w:after="240"/>
      <w:jc w:val="center"/>
    </w:pPr>
    <w:rPr>
      <w:b/>
      <w:bCs/>
      <w:color w:val="931638"/>
      <w:szCs w:val="22"/>
    </w:rPr>
  </w:style>
  <w:style w:type="paragraph" w:customStyle="1" w:styleId="Note">
    <w:name w:val="Note"/>
    <w:basedOn w:val="Normal"/>
    <w:link w:val="NoteChar"/>
    <w:uiPriority w:val="99"/>
    <w:rsid w:val="00BC105C"/>
    <w:pPr>
      <w:spacing w:before="60" w:after="120"/>
    </w:pPr>
    <w:rPr>
      <w:sz w:val="18"/>
    </w:rPr>
  </w:style>
  <w:style w:type="paragraph" w:customStyle="1" w:styleId="MajorHeading">
    <w:name w:val="Major Heading"/>
    <w:basedOn w:val="Normal"/>
    <w:next w:val="Normal"/>
    <w:uiPriority w:val="99"/>
    <w:rsid w:val="00BC105C"/>
    <w:pPr>
      <w:pageBreakBefore/>
      <w:numPr>
        <w:numId w:val="6"/>
      </w:numPr>
      <w:tabs>
        <w:tab w:val="clear" w:pos="360"/>
      </w:tabs>
      <w:spacing w:after="120"/>
      <w:ind w:left="567" w:hanging="113"/>
    </w:pPr>
    <w:rPr>
      <w:rFonts w:cs="Arial"/>
      <w:b/>
      <w:color w:val="002776"/>
      <w:sz w:val="56"/>
    </w:rPr>
  </w:style>
  <w:style w:type="paragraph" w:styleId="TableofFigures">
    <w:name w:val="table of figures"/>
    <w:basedOn w:val="Normal"/>
    <w:next w:val="Normal"/>
    <w:uiPriority w:val="99"/>
    <w:rsid w:val="00BC105C"/>
    <w:pPr>
      <w:tabs>
        <w:tab w:val="right" w:leader="dot" w:pos="8505"/>
      </w:tabs>
      <w:spacing w:before="60"/>
      <w:ind w:left="567" w:right="567" w:hanging="567"/>
    </w:pPr>
    <w:rPr>
      <w:szCs w:val="22"/>
    </w:rPr>
  </w:style>
  <w:style w:type="paragraph" w:customStyle="1" w:styleId="TabletextLeft">
    <w:name w:val="Table text Left"/>
    <w:basedOn w:val="Normal"/>
    <w:uiPriority w:val="99"/>
    <w:rsid w:val="00BC105C"/>
    <w:pPr>
      <w:spacing w:before="60"/>
    </w:pPr>
    <w:rPr>
      <w:sz w:val="20"/>
    </w:rPr>
  </w:style>
  <w:style w:type="table" w:customStyle="1" w:styleId="TableGridWithoutTotals">
    <w:name w:val="Table Grid Without Totals"/>
    <w:uiPriority w:val="99"/>
    <w:rsid w:val="00BC105C"/>
    <w:pPr>
      <w:keepNext/>
      <w:keepLines/>
      <w:spacing w:after="0" w:line="240" w:lineRule="auto"/>
    </w:pPr>
    <w:rPr>
      <w:rFonts w:ascii="Arial" w:hAnsi="Arial"/>
      <w:sz w:val="20"/>
      <w:szCs w:val="20"/>
    </w:rPr>
    <w:tblPr>
      <w:tblInd w:w="0" w:type="dxa"/>
      <w:tblCellMar>
        <w:top w:w="0" w:type="dxa"/>
        <w:left w:w="108" w:type="dxa"/>
        <w:bottom w:w="0" w:type="dxa"/>
        <w:right w:w="108" w:type="dxa"/>
      </w:tblCellMar>
    </w:tblPr>
    <w:trPr>
      <w:cantSplit/>
    </w:trPr>
  </w:style>
  <w:style w:type="table" w:styleId="TableGrid">
    <w:name w:val="Table Grid"/>
    <w:basedOn w:val="TableNormal"/>
    <w:uiPriority w:val="99"/>
    <w:rsid w:val="00BC105C"/>
    <w:pPr>
      <w:spacing w:after="0" w:line="240" w:lineRule="auto"/>
      <w:jc w:val="both"/>
    </w:pPr>
    <w:rPr>
      <w:sz w:val="20"/>
      <w:szCs w:val="20"/>
    </w:rPr>
    <w:tblPr>
      <w:tblInd w:w="0" w:type="dxa"/>
      <w:tblCellMar>
        <w:top w:w="0" w:type="dxa"/>
        <w:left w:w="108" w:type="dxa"/>
        <w:bottom w:w="0" w:type="dxa"/>
        <w:right w:w="108" w:type="dxa"/>
      </w:tblCellMar>
    </w:tblPr>
    <w:trPr>
      <w:cantSplit/>
    </w:trPr>
  </w:style>
  <w:style w:type="paragraph" w:customStyle="1" w:styleId="Tabletotals">
    <w:name w:val="Table totals"/>
    <w:basedOn w:val="Normal"/>
    <w:uiPriority w:val="99"/>
    <w:rsid w:val="00BC105C"/>
    <w:pPr>
      <w:keepNext/>
      <w:keepLines/>
      <w:ind w:left="142"/>
    </w:pPr>
  </w:style>
  <w:style w:type="table" w:customStyle="1" w:styleId="TableTwoHeadingRows">
    <w:name w:val="Table Two Heading Rows"/>
    <w:uiPriority w:val="99"/>
    <w:rsid w:val="00BC105C"/>
    <w:pPr>
      <w:spacing w:after="0" w:line="240" w:lineRule="auto"/>
    </w:pPr>
    <w:rPr>
      <w:rFonts w:ascii="Arial" w:hAnsi="Arial"/>
      <w:sz w:val="20"/>
      <w:szCs w:val="20"/>
    </w:rPr>
    <w:tblPr>
      <w:tblInd w:w="0" w:type="dxa"/>
      <w:tblCellMar>
        <w:top w:w="0" w:type="dxa"/>
        <w:left w:w="108" w:type="dxa"/>
        <w:bottom w:w="0" w:type="dxa"/>
        <w:right w:w="108" w:type="dxa"/>
      </w:tblCellMar>
    </w:tblPr>
  </w:style>
  <w:style w:type="paragraph" w:customStyle="1" w:styleId="FooterLeft">
    <w:name w:val="FooterLeft"/>
    <w:basedOn w:val="Normal"/>
    <w:uiPriority w:val="99"/>
    <w:rsid w:val="00BC105C"/>
    <w:pPr>
      <w:ind w:left="-227" w:right="357"/>
    </w:pPr>
    <w:rPr>
      <w:sz w:val="18"/>
    </w:rPr>
  </w:style>
  <w:style w:type="paragraph" w:customStyle="1" w:styleId="Heading">
    <w:name w:val="Heading"/>
    <w:basedOn w:val="Normal"/>
    <w:next w:val="Normal"/>
    <w:uiPriority w:val="99"/>
    <w:rsid w:val="00BC105C"/>
    <w:pPr>
      <w:keepNext/>
      <w:pageBreakBefore/>
      <w:numPr>
        <w:numId w:val="25"/>
      </w:numPr>
      <w:spacing w:before="360" w:after="180"/>
    </w:pPr>
    <w:rPr>
      <w:b/>
      <w:color w:val="002776"/>
      <w:sz w:val="56"/>
      <w:szCs w:val="28"/>
    </w:rPr>
  </w:style>
  <w:style w:type="paragraph" w:customStyle="1" w:styleId="Source">
    <w:name w:val="Source"/>
    <w:basedOn w:val="Note"/>
    <w:link w:val="SourceChar"/>
    <w:uiPriority w:val="99"/>
    <w:rsid w:val="00BC105C"/>
    <w:pPr>
      <w:spacing w:before="0"/>
    </w:pPr>
    <w:rPr>
      <w:rFonts w:cs="Arial"/>
    </w:rPr>
  </w:style>
  <w:style w:type="paragraph" w:customStyle="1" w:styleId="HeaderLine2">
    <w:name w:val="Header Line 2"/>
    <w:basedOn w:val="Header"/>
    <w:uiPriority w:val="99"/>
    <w:rsid w:val="00BC105C"/>
    <w:pPr>
      <w:pBdr>
        <w:top w:val="single" w:sz="4" w:space="1" w:color="931638"/>
      </w:pBdr>
    </w:pPr>
  </w:style>
  <w:style w:type="paragraph" w:customStyle="1" w:styleId="DisclaimerText">
    <w:name w:val="DisclaimerText"/>
    <w:basedOn w:val="Normal"/>
    <w:uiPriority w:val="99"/>
    <w:rsid w:val="00BC105C"/>
    <w:pPr>
      <w:spacing w:before="20"/>
      <w:jc w:val="both"/>
    </w:pPr>
    <w:rPr>
      <w:rFonts w:ascii="Swis721 Md BT" w:hAnsi="Swis721 Md BT"/>
      <w:color w:val="000000"/>
      <w:sz w:val="16"/>
      <w:szCs w:val="16"/>
    </w:rPr>
  </w:style>
  <w:style w:type="paragraph" w:customStyle="1" w:styleId="FooterLandscape">
    <w:name w:val="FooterLandscape"/>
    <w:basedOn w:val="Normal"/>
    <w:uiPriority w:val="99"/>
    <w:rsid w:val="00BC105C"/>
    <w:pPr>
      <w:tabs>
        <w:tab w:val="right" w:pos="14031"/>
      </w:tabs>
      <w:ind w:left="-454" w:right="142"/>
    </w:pPr>
    <w:rPr>
      <w:rFonts w:ascii="Swis721 LtCn BT" w:hAnsi="Swis721 LtCn BT"/>
      <w:sz w:val="18"/>
    </w:rPr>
  </w:style>
  <w:style w:type="paragraph" w:customStyle="1" w:styleId="ReportTitle">
    <w:name w:val="Report Title"/>
    <w:basedOn w:val="Normal"/>
    <w:uiPriority w:val="99"/>
    <w:rsid w:val="00BC105C"/>
    <w:pPr>
      <w:framePr w:hSpace="181" w:wrap="around" w:vAnchor="page" w:hAnchor="margin" w:y="3403"/>
      <w:suppressOverlap/>
    </w:pPr>
    <w:rPr>
      <w:color w:val="002776"/>
      <w:sz w:val="72"/>
      <w:szCs w:val="56"/>
    </w:rPr>
  </w:style>
  <w:style w:type="paragraph" w:customStyle="1" w:styleId="SubHeading">
    <w:name w:val="Sub Heading"/>
    <w:basedOn w:val="Normal"/>
    <w:uiPriority w:val="99"/>
    <w:rsid w:val="00BC105C"/>
    <w:pPr>
      <w:keepNext/>
      <w:spacing w:before="360" w:after="60"/>
    </w:pPr>
    <w:rPr>
      <w:rFonts w:cs="Arial"/>
      <w:b/>
      <w:color w:val="931638"/>
    </w:rPr>
  </w:style>
  <w:style w:type="character" w:styleId="Strong">
    <w:name w:val="Strong"/>
    <w:basedOn w:val="DefaultParagraphFont"/>
    <w:uiPriority w:val="99"/>
    <w:qFormat/>
    <w:rsid w:val="00BC105C"/>
    <w:rPr>
      <w:rFonts w:cs="Times New Roman"/>
      <w:b/>
      <w:bCs/>
    </w:rPr>
  </w:style>
  <w:style w:type="character" w:styleId="Emphasis">
    <w:name w:val="Emphasis"/>
    <w:basedOn w:val="DefaultParagraphFont"/>
    <w:uiPriority w:val="99"/>
    <w:qFormat/>
    <w:rsid w:val="00BC105C"/>
    <w:rPr>
      <w:rFonts w:cs="Times New Roman"/>
      <w:i/>
      <w:iCs/>
    </w:rPr>
  </w:style>
  <w:style w:type="paragraph" w:styleId="CommentText">
    <w:name w:val="annotation text"/>
    <w:basedOn w:val="Normal"/>
    <w:link w:val="CommentTextChar"/>
    <w:uiPriority w:val="99"/>
    <w:rsid w:val="00EC2DBB"/>
    <w:rPr>
      <w:sz w:val="20"/>
    </w:rPr>
  </w:style>
  <w:style w:type="paragraph" w:styleId="CommentSubject">
    <w:name w:val="annotation subject"/>
    <w:basedOn w:val="Normal"/>
    <w:link w:val="CommentSubjectChar"/>
    <w:uiPriority w:val="99"/>
    <w:semiHidden/>
    <w:rsid w:val="00BC105C"/>
    <w:rPr>
      <w:b/>
      <w:bCs/>
      <w:sz w:val="20"/>
    </w:rPr>
  </w:style>
  <w:style w:type="character" w:customStyle="1" w:styleId="CommentTextChar">
    <w:name w:val="Comment Text Char"/>
    <w:basedOn w:val="DefaultParagraphFont"/>
    <w:link w:val="CommentText"/>
    <w:uiPriority w:val="99"/>
    <w:locked/>
    <w:rsid w:val="00EC2DBB"/>
    <w:rPr>
      <w:rFonts w:ascii="Calibri" w:hAnsi="Calibri" w:cs="Times New Roman"/>
      <w:lang w:val="x-none" w:eastAsia="en-US"/>
    </w:rPr>
  </w:style>
  <w:style w:type="paragraph" w:styleId="Revision">
    <w:name w:val="Revision"/>
    <w:hidden/>
    <w:uiPriority w:val="99"/>
    <w:semiHidden/>
    <w:rsid w:val="00BC105C"/>
    <w:pPr>
      <w:spacing w:before="240" w:after="0" w:line="240" w:lineRule="auto"/>
    </w:pPr>
    <w:rPr>
      <w:rFonts w:ascii="Arial" w:hAnsi="Arial"/>
      <w:szCs w:val="20"/>
      <w:lang w:eastAsia="en-US"/>
    </w:rPr>
  </w:style>
  <w:style w:type="character" w:customStyle="1" w:styleId="CommentSubjectChar">
    <w:name w:val="Comment Subject Char"/>
    <w:basedOn w:val="CommentTextChar"/>
    <w:link w:val="CommentSubject"/>
    <w:uiPriority w:val="99"/>
    <w:semiHidden/>
    <w:locked/>
    <w:rsid w:val="008645FC"/>
    <w:rPr>
      <w:rFonts w:ascii="Calibri" w:hAnsi="Calibri" w:cs="Times New Roman"/>
      <w:b/>
      <w:bCs/>
      <w:sz w:val="20"/>
      <w:szCs w:val="20"/>
      <w:lang w:val="x-none" w:eastAsia="en-US"/>
    </w:rPr>
  </w:style>
  <w:style w:type="paragraph" w:customStyle="1" w:styleId="Bullet2">
    <w:name w:val="Bullet 2"/>
    <w:basedOn w:val="Normal"/>
    <w:uiPriority w:val="99"/>
    <w:rsid w:val="00BC105C"/>
    <w:pPr>
      <w:numPr>
        <w:numId w:val="19"/>
      </w:numPr>
      <w:spacing w:before="60"/>
      <w:ind w:left="1134" w:hanging="567"/>
      <w:jc w:val="both"/>
    </w:pPr>
  </w:style>
  <w:style w:type="paragraph" w:customStyle="1" w:styleId="Bullet3">
    <w:name w:val="Bullet 3"/>
    <w:basedOn w:val="Normal"/>
    <w:uiPriority w:val="99"/>
    <w:rsid w:val="00BC105C"/>
    <w:pPr>
      <w:numPr>
        <w:numId w:val="20"/>
      </w:numPr>
      <w:spacing w:before="60"/>
      <w:ind w:left="1134" w:firstLine="567"/>
      <w:jc w:val="both"/>
    </w:pPr>
  </w:style>
  <w:style w:type="paragraph" w:customStyle="1" w:styleId="FooterSecurity">
    <w:name w:val="Footer Security"/>
    <w:basedOn w:val="Normal"/>
    <w:uiPriority w:val="99"/>
    <w:rsid w:val="00BC105C"/>
    <w:pPr>
      <w:jc w:val="center"/>
    </w:pPr>
    <w:rPr>
      <w:rFonts w:cs="Arial"/>
      <w:color w:val="7A7A78"/>
      <w:sz w:val="24"/>
      <w:szCs w:val="16"/>
    </w:rPr>
  </w:style>
  <w:style w:type="paragraph" w:customStyle="1" w:styleId="ReportDate">
    <w:name w:val="Report Date"/>
    <w:basedOn w:val="Normal"/>
    <w:uiPriority w:val="99"/>
    <w:rsid w:val="00BC105C"/>
    <w:rPr>
      <w:color w:val="92D400"/>
      <w:sz w:val="28"/>
      <w:szCs w:val="28"/>
    </w:rPr>
  </w:style>
  <w:style w:type="paragraph" w:customStyle="1" w:styleId="ReportBy">
    <w:name w:val="Report By"/>
    <w:basedOn w:val="Normal"/>
    <w:uiPriority w:val="99"/>
    <w:rsid w:val="00BC105C"/>
    <w:pPr>
      <w:spacing w:line="360" w:lineRule="auto"/>
    </w:pPr>
    <w:rPr>
      <w:rFonts w:cs="Arial"/>
      <w:color w:val="931638"/>
      <w:sz w:val="24"/>
      <w:szCs w:val="28"/>
    </w:rPr>
  </w:style>
  <w:style w:type="paragraph" w:customStyle="1" w:styleId="ReportCompany">
    <w:name w:val="Report Company"/>
    <w:basedOn w:val="Normal"/>
    <w:uiPriority w:val="99"/>
    <w:rsid w:val="00BC105C"/>
    <w:rPr>
      <w:rFonts w:cs="Arial"/>
      <w:color w:val="92D400"/>
      <w:sz w:val="56"/>
      <w:szCs w:val="56"/>
    </w:rPr>
  </w:style>
  <w:style w:type="paragraph" w:customStyle="1" w:styleId="BodyText-Centred">
    <w:name w:val="BodyText - Centred"/>
    <w:basedOn w:val="Normal"/>
    <w:uiPriority w:val="99"/>
    <w:rsid w:val="00BC105C"/>
    <w:pPr>
      <w:spacing w:before="240"/>
      <w:jc w:val="center"/>
    </w:pPr>
    <w:rPr>
      <w:noProof/>
      <w:sz w:val="24"/>
      <w:lang w:eastAsia="en-AU"/>
    </w:rPr>
  </w:style>
  <w:style w:type="paragraph" w:customStyle="1" w:styleId="FooterLine1">
    <w:name w:val="Footer Line 1"/>
    <w:basedOn w:val="Normal"/>
    <w:uiPriority w:val="99"/>
    <w:rsid w:val="00BC105C"/>
    <w:pPr>
      <w:jc w:val="right"/>
    </w:pPr>
    <w:rPr>
      <w:sz w:val="18"/>
    </w:rPr>
  </w:style>
  <w:style w:type="paragraph" w:customStyle="1" w:styleId="Glossarytext">
    <w:name w:val="Glossary text"/>
    <w:basedOn w:val="Normal"/>
    <w:uiPriority w:val="99"/>
    <w:rsid w:val="00BC105C"/>
    <w:pPr>
      <w:spacing w:before="120"/>
      <w:contextualSpacing/>
    </w:pPr>
    <w:rPr>
      <w:rFonts w:cs="Arial"/>
    </w:rPr>
  </w:style>
  <w:style w:type="paragraph" w:customStyle="1" w:styleId="GlossaryAbbreviation">
    <w:name w:val="Glossary Abbreviation"/>
    <w:basedOn w:val="Normal"/>
    <w:uiPriority w:val="99"/>
    <w:rsid w:val="00BC105C"/>
    <w:pPr>
      <w:spacing w:before="120"/>
    </w:pPr>
    <w:rPr>
      <w:rFonts w:cs="Arial"/>
      <w:caps/>
    </w:rPr>
  </w:style>
  <w:style w:type="table" w:customStyle="1" w:styleId="TableAEGrey">
    <w:name w:val="Table AE Grey"/>
    <w:basedOn w:val="TableAE"/>
    <w:uiPriority w:val="99"/>
    <w:rsid w:val="00BC105C"/>
    <w:tblPr>
      <w:jc w:val="center"/>
      <w:tblInd w:w="0" w:type="dxa"/>
      <w:tblBorders>
        <w:top w:val="single" w:sz="12" w:space="0" w:color="002776"/>
        <w:bottom w:val="single" w:sz="12" w:space="0" w:color="002776"/>
        <w:insideH w:val="single" w:sz="4" w:space="0" w:color="A6A6A6"/>
        <w:insideV w:val="single" w:sz="4" w:space="0" w:color="A6A6A6"/>
      </w:tblBorders>
      <w:tblCellMar>
        <w:top w:w="0" w:type="dxa"/>
        <w:left w:w="108" w:type="dxa"/>
        <w:bottom w:w="0" w:type="dxa"/>
        <w:right w:w="108" w:type="dxa"/>
      </w:tblCellMar>
    </w:tblPr>
    <w:trPr>
      <w:cantSplit/>
      <w:jc w:val="center"/>
    </w:trPr>
    <w:tblStylePr w:type="firstRow">
      <w:rPr>
        <w:rFonts w:cs="Times New Roman"/>
      </w:rPr>
      <w:tblPr/>
      <w:tcPr>
        <w:tcBorders>
          <w:top w:val="single" w:sz="12" w:space="0" w:color="002776"/>
          <w:left w:val="nil"/>
          <w:bottom w:val="single" w:sz="8" w:space="0" w:color="002776"/>
          <w:right w:val="nil"/>
          <w:insideH w:val="nil"/>
          <w:insideV w:val="single" w:sz="4" w:space="0" w:color="A6A6A6"/>
          <w:tl2br w:val="nil"/>
          <w:tr2bl w:val="nil"/>
        </w:tcBorders>
      </w:tcPr>
    </w:tblStylePr>
    <w:tblStylePr w:type="lastRow">
      <w:rPr>
        <w:rFonts w:cs="Times New Roman"/>
      </w:rPr>
      <w:tblPr/>
      <w:tcPr>
        <w:tcBorders>
          <w:top w:val="nil"/>
          <w:bottom w:val="single" w:sz="12" w:space="0" w:color="002776"/>
        </w:tcBorders>
      </w:tcPr>
    </w:tblStylePr>
  </w:style>
  <w:style w:type="paragraph" w:customStyle="1" w:styleId="ReportFooterSecurity">
    <w:name w:val="Report Footer Security"/>
    <w:basedOn w:val="FooterSecurity"/>
    <w:uiPriority w:val="99"/>
    <w:rsid w:val="00BC105C"/>
    <w:rPr>
      <w:color w:val="931638"/>
    </w:rPr>
  </w:style>
  <w:style w:type="table" w:customStyle="1" w:styleId="TableAEGreyTotals">
    <w:name w:val="Table AE Grey Totals"/>
    <w:basedOn w:val="TableAEGrey"/>
    <w:uiPriority w:val="99"/>
    <w:rsid w:val="00BC105C"/>
    <w:tblPr>
      <w:jc w:val="center"/>
      <w:tblInd w:w="0" w:type="dxa"/>
      <w:tblBorders>
        <w:top w:val="single" w:sz="12" w:space="0" w:color="002776"/>
        <w:bottom w:val="single" w:sz="12" w:space="0" w:color="002776"/>
        <w:insideH w:val="single" w:sz="4" w:space="0" w:color="A6A6A6"/>
        <w:insideV w:val="single" w:sz="4" w:space="0" w:color="A6A6A6"/>
      </w:tblBorders>
      <w:tblCellMar>
        <w:top w:w="0" w:type="dxa"/>
        <w:left w:w="108" w:type="dxa"/>
        <w:bottom w:w="0" w:type="dxa"/>
        <w:right w:w="108" w:type="dxa"/>
      </w:tblCellMar>
    </w:tblPr>
    <w:trPr>
      <w:cantSplit/>
      <w:jc w:val="center"/>
    </w:trPr>
    <w:tblStylePr w:type="firstRow">
      <w:rPr>
        <w:rFonts w:cs="Times New Roman"/>
      </w:rPr>
      <w:tblPr/>
      <w:tcPr>
        <w:tcBorders>
          <w:top w:val="single" w:sz="12" w:space="0" w:color="002776"/>
          <w:left w:val="nil"/>
          <w:bottom w:val="single" w:sz="8" w:space="0" w:color="002776"/>
          <w:right w:val="nil"/>
          <w:insideH w:val="nil"/>
          <w:insideV w:val="single" w:sz="4" w:space="0" w:color="A6A6A6"/>
          <w:tl2br w:val="nil"/>
          <w:tr2bl w:val="nil"/>
        </w:tcBorders>
      </w:tcPr>
    </w:tblStylePr>
    <w:tblStylePr w:type="lastRow">
      <w:rPr>
        <w:rFonts w:cs="Times New Roman"/>
      </w:rPr>
      <w:tblPr/>
      <w:tcPr>
        <w:tcBorders>
          <w:top w:val="single" w:sz="12" w:space="0" w:color="002776"/>
          <w:left w:val="nil"/>
          <w:bottom w:val="single" w:sz="12" w:space="0" w:color="002776"/>
          <w:right w:val="nil"/>
          <w:insideH w:val="nil"/>
          <w:insideV w:val="single" w:sz="4" w:space="0" w:color="A6A6A6"/>
          <w:tl2br w:val="nil"/>
          <w:tr2bl w:val="nil"/>
        </w:tcBorders>
      </w:tcPr>
    </w:tblStylePr>
  </w:style>
  <w:style w:type="paragraph" w:customStyle="1" w:styleId="Glossary">
    <w:name w:val="Glossary"/>
    <w:basedOn w:val="Normal"/>
    <w:next w:val="BodyText"/>
    <w:uiPriority w:val="99"/>
    <w:rsid w:val="00BC105C"/>
    <w:pPr>
      <w:keepNext/>
      <w:spacing w:after="200"/>
    </w:pPr>
    <w:rPr>
      <w:b/>
      <w:color w:val="002776"/>
      <w:sz w:val="56"/>
    </w:rPr>
  </w:style>
  <w:style w:type="table" w:customStyle="1" w:styleId="TableAEGlossary">
    <w:name w:val="Table AE Glossary"/>
    <w:uiPriority w:val="99"/>
    <w:rsid w:val="00BC105C"/>
    <w:pPr>
      <w:spacing w:after="0" w:line="240" w:lineRule="auto"/>
    </w:pPr>
    <w:rPr>
      <w:sz w:val="20"/>
      <w:szCs w:val="20"/>
    </w:rPr>
    <w:tblPr>
      <w:tblInd w:w="0" w:type="dxa"/>
      <w:tblBorders>
        <w:top w:val="single" w:sz="4" w:space="0" w:color="931638"/>
        <w:bottom w:val="single" w:sz="4" w:space="0" w:color="931638"/>
      </w:tblBorders>
      <w:tblCellMar>
        <w:top w:w="0" w:type="dxa"/>
        <w:left w:w="108" w:type="dxa"/>
        <w:bottom w:w="0" w:type="dxa"/>
        <w:right w:w="108" w:type="dxa"/>
      </w:tblCellMar>
    </w:tblPr>
  </w:style>
  <w:style w:type="paragraph" w:customStyle="1" w:styleId="Contents-Minor">
    <w:name w:val="Contents - Minor"/>
    <w:basedOn w:val="Contents-Major"/>
    <w:uiPriority w:val="99"/>
    <w:rsid w:val="00BC105C"/>
    <w:pPr>
      <w:spacing w:before="400"/>
    </w:pPr>
  </w:style>
  <w:style w:type="paragraph" w:customStyle="1" w:styleId="ReportBy0">
    <w:name w:val="ReportBy"/>
    <w:basedOn w:val="Normal"/>
    <w:uiPriority w:val="99"/>
    <w:rsid w:val="00BC105C"/>
    <w:pPr>
      <w:spacing w:line="360" w:lineRule="auto"/>
    </w:pPr>
    <w:rPr>
      <w:rFonts w:cs="Arial"/>
      <w:color w:val="000000"/>
      <w:sz w:val="28"/>
      <w:szCs w:val="28"/>
    </w:rPr>
  </w:style>
  <w:style w:type="paragraph" w:customStyle="1" w:styleId="ReportDate0">
    <w:name w:val="ReportDate"/>
    <w:basedOn w:val="Normal"/>
    <w:uiPriority w:val="99"/>
    <w:rsid w:val="00BC105C"/>
    <w:pPr>
      <w:spacing w:before="300"/>
      <w:ind w:right="1429"/>
    </w:pPr>
    <w:rPr>
      <w:color w:val="92D400"/>
      <w:sz w:val="52"/>
      <w:szCs w:val="24"/>
    </w:rPr>
  </w:style>
  <w:style w:type="paragraph" w:customStyle="1" w:styleId="Security">
    <w:name w:val="Security"/>
    <w:basedOn w:val="Normal"/>
    <w:uiPriority w:val="99"/>
    <w:rsid w:val="00BC105C"/>
    <w:pPr>
      <w:jc w:val="center"/>
    </w:pPr>
    <w:rPr>
      <w:rFonts w:cs="Arial"/>
      <w:color w:val="7A7A78"/>
      <w:sz w:val="16"/>
      <w:szCs w:val="16"/>
    </w:rPr>
  </w:style>
  <w:style w:type="paragraph" w:customStyle="1" w:styleId="TableofContents">
    <w:name w:val="Table of Contents"/>
    <w:basedOn w:val="Normal"/>
    <w:uiPriority w:val="99"/>
    <w:rsid w:val="00BC105C"/>
    <w:pPr>
      <w:keepNext/>
      <w:spacing w:before="400" w:after="200"/>
    </w:pPr>
    <w:rPr>
      <w:b/>
      <w:color w:val="002776"/>
      <w:sz w:val="32"/>
      <w:szCs w:val="32"/>
    </w:rPr>
  </w:style>
  <w:style w:type="paragraph" w:styleId="Footer">
    <w:name w:val="footer"/>
    <w:basedOn w:val="Normal"/>
    <w:link w:val="FooterChar"/>
    <w:uiPriority w:val="99"/>
    <w:rsid w:val="00BC105C"/>
    <w:pPr>
      <w:tabs>
        <w:tab w:val="center" w:pos="4513"/>
        <w:tab w:val="right" w:pos="9026"/>
      </w:tabs>
    </w:pPr>
  </w:style>
  <w:style w:type="paragraph" w:customStyle="1" w:styleId="HeadingA">
    <w:name w:val="Heading A"/>
    <w:next w:val="BodyText"/>
    <w:uiPriority w:val="99"/>
    <w:rsid w:val="00BC105C"/>
    <w:pPr>
      <w:keepNext/>
      <w:keepLines/>
      <w:spacing w:before="120" w:after="60" w:line="240" w:lineRule="auto"/>
    </w:pPr>
    <w:rPr>
      <w:rFonts w:ascii="Calibri" w:hAnsi="Calibri"/>
      <w:b/>
      <w:color w:val="002776"/>
      <w:sz w:val="32"/>
      <w:szCs w:val="28"/>
      <w:lang w:eastAsia="en-US"/>
    </w:rPr>
  </w:style>
  <w:style w:type="character" w:customStyle="1" w:styleId="FooterChar">
    <w:name w:val="Footer Char"/>
    <w:basedOn w:val="DefaultParagraphFont"/>
    <w:link w:val="Footer"/>
    <w:uiPriority w:val="99"/>
    <w:locked/>
    <w:rsid w:val="00BC105C"/>
    <w:rPr>
      <w:rFonts w:ascii="Calibri" w:hAnsi="Calibri" w:cs="Times New Roman"/>
      <w:sz w:val="22"/>
      <w:lang w:val="x-none" w:eastAsia="en-US"/>
    </w:rPr>
  </w:style>
  <w:style w:type="paragraph" w:customStyle="1" w:styleId="HeadingB">
    <w:name w:val="Heading B"/>
    <w:basedOn w:val="HeadingA"/>
    <w:next w:val="BodyText"/>
    <w:uiPriority w:val="99"/>
    <w:rsid w:val="00BC105C"/>
    <w:pPr>
      <w:spacing w:before="240" w:after="0"/>
    </w:pPr>
    <w:rPr>
      <w:sz w:val="28"/>
      <w:szCs w:val="26"/>
    </w:rPr>
  </w:style>
  <w:style w:type="paragraph" w:customStyle="1" w:styleId="Heading2Appendix">
    <w:name w:val="Heading 2 Appendix"/>
    <w:basedOn w:val="Normal"/>
    <w:next w:val="BodyText"/>
    <w:uiPriority w:val="99"/>
    <w:rsid w:val="0008028A"/>
    <w:pPr>
      <w:keepNext/>
      <w:keepLines/>
      <w:spacing w:before="240"/>
    </w:pPr>
    <w:rPr>
      <w:b/>
      <w:color w:val="002776"/>
      <w:sz w:val="28"/>
      <w:szCs w:val="28"/>
    </w:rPr>
  </w:style>
  <w:style w:type="paragraph" w:customStyle="1" w:styleId="AlphabeticList">
    <w:name w:val="Alphabetic List"/>
    <w:basedOn w:val="Normal"/>
    <w:uiPriority w:val="99"/>
    <w:rsid w:val="00BC105C"/>
    <w:pPr>
      <w:numPr>
        <w:numId w:val="15"/>
      </w:numPr>
      <w:spacing w:before="120"/>
      <w:jc w:val="both"/>
    </w:pPr>
  </w:style>
  <w:style w:type="paragraph" w:customStyle="1" w:styleId="DashList">
    <w:name w:val="Dash List"/>
    <w:basedOn w:val="Normal"/>
    <w:uiPriority w:val="99"/>
    <w:rsid w:val="00BC105C"/>
    <w:pPr>
      <w:numPr>
        <w:ilvl w:val="1"/>
        <w:numId w:val="14"/>
      </w:numPr>
      <w:spacing w:before="60"/>
    </w:pPr>
  </w:style>
  <w:style w:type="paragraph" w:customStyle="1" w:styleId="IndentParaDarkGrey">
    <w:name w:val="Indent Para Dark Grey"/>
    <w:basedOn w:val="IndentPara"/>
    <w:next w:val="Normal"/>
    <w:uiPriority w:val="99"/>
    <w:rsid w:val="00BC105C"/>
    <w:pPr>
      <w:pBdr>
        <w:top w:val="single" w:sz="8" w:space="5" w:color="827F77"/>
        <w:left w:val="single" w:sz="8" w:space="5" w:color="827F77"/>
        <w:bottom w:val="single" w:sz="8" w:space="5" w:color="827F77"/>
        <w:right w:val="single" w:sz="8" w:space="5" w:color="827F77"/>
      </w:pBdr>
      <w:shd w:val="clear" w:color="808080" w:fill="827F77"/>
      <w:spacing w:after="240"/>
    </w:pPr>
    <w:rPr>
      <w:b/>
      <w:color w:val="FFFFFF"/>
      <w:szCs w:val="24"/>
    </w:rPr>
  </w:style>
  <w:style w:type="paragraph" w:customStyle="1" w:styleId="TableNote">
    <w:name w:val="Table Note"/>
    <w:basedOn w:val="Normal"/>
    <w:uiPriority w:val="99"/>
    <w:rsid w:val="00BC105C"/>
    <w:pPr>
      <w:tabs>
        <w:tab w:val="left" w:pos="425"/>
      </w:tabs>
      <w:spacing w:before="60"/>
      <w:jc w:val="center"/>
    </w:pPr>
    <w:rPr>
      <w:sz w:val="18"/>
    </w:rPr>
  </w:style>
  <w:style w:type="paragraph" w:customStyle="1" w:styleId="IndentNumberedList">
    <w:name w:val="Indent Numbered List"/>
    <w:basedOn w:val="Normal"/>
    <w:uiPriority w:val="99"/>
    <w:rsid w:val="00BC105C"/>
    <w:pPr>
      <w:numPr>
        <w:numId w:val="17"/>
      </w:numPr>
      <w:spacing w:before="60"/>
      <w:jc w:val="both"/>
    </w:pPr>
  </w:style>
  <w:style w:type="paragraph" w:customStyle="1" w:styleId="IndentAlphabeticList">
    <w:name w:val="Indent Alphabetic List"/>
    <w:basedOn w:val="Normal"/>
    <w:uiPriority w:val="99"/>
    <w:rsid w:val="00BC105C"/>
    <w:pPr>
      <w:numPr>
        <w:numId w:val="16"/>
      </w:numPr>
      <w:tabs>
        <w:tab w:val="left" w:pos="1134"/>
      </w:tabs>
      <w:spacing w:before="60"/>
      <w:ind w:left="1134" w:hanging="567"/>
      <w:jc w:val="both"/>
    </w:pPr>
  </w:style>
  <w:style w:type="paragraph" w:styleId="FootnoteText">
    <w:name w:val="footnote text"/>
    <w:basedOn w:val="Normal"/>
    <w:link w:val="FootnoteTextChar"/>
    <w:uiPriority w:val="99"/>
    <w:rsid w:val="00BC105C"/>
    <w:pPr>
      <w:spacing w:before="120" w:after="60"/>
      <w:jc w:val="both"/>
    </w:pPr>
    <w:rPr>
      <w:sz w:val="18"/>
    </w:rPr>
  </w:style>
  <w:style w:type="table" w:customStyle="1" w:styleId="TableAETotals">
    <w:name w:val="Table AE Totals"/>
    <w:uiPriority w:val="99"/>
    <w:rsid w:val="00BC105C"/>
    <w:pPr>
      <w:spacing w:after="0" w:line="240" w:lineRule="auto"/>
    </w:pPr>
    <w:rPr>
      <w:rFonts w:ascii="Arial" w:hAnsi="Arial"/>
      <w:sz w:val="20"/>
      <w:szCs w:val="20"/>
    </w:rPr>
    <w:tblPr>
      <w:tblInd w:w="0" w:type="dxa"/>
      <w:tblBorders>
        <w:top w:val="single" w:sz="12" w:space="0" w:color="002776"/>
        <w:bottom w:val="single" w:sz="12" w:space="0" w:color="002776"/>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locked/>
    <w:rsid w:val="00BC105C"/>
    <w:rPr>
      <w:rFonts w:ascii="Calibri" w:hAnsi="Calibri" w:cs="Times New Roman"/>
      <w:sz w:val="18"/>
      <w:lang w:val="x-none" w:eastAsia="en-US"/>
    </w:rPr>
  </w:style>
  <w:style w:type="paragraph" w:customStyle="1" w:styleId="AppendixTableCaption">
    <w:name w:val="Appendix Table Caption"/>
    <w:basedOn w:val="CaptionAE"/>
    <w:next w:val="BodyText"/>
    <w:uiPriority w:val="99"/>
    <w:rsid w:val="00BC105C"/>
    <w:pPr>
      <w:numPr>
        <w:ilvl w:val="1"/>
        <w:numId w:val="25"/>
      </w:numPr>
    </w:pPr>
    <w:rPr>
      <w:color w:val="002776"/>
    </w:rPr>
  </w:style>
  <w:style w:type="paragraph" w:customStyle="1" w:styleId="AppendixChartCaption">
    <w:name w:val="Appendix Chart Caption"/>
    <w:basedOn w:val="CaptionAE"/>
    <w:next w:val="BodyText"/>
    <w:uiPriority w:val="99"/>
    <w:rsid w:val="00BC105C"/>
    <w:pPr>
      <w:numPr>
        <w:ilvl w:val="2"/>
        <w:numId w:val="25"/>
      </w:numPr>
    </w:pPr>
    <w:rPr>
      <w:color w:val="002776"/>
    </w:rPr>
  </w:style>
  <w:style w:type="paragraph" w:customStyle="1" w:styleId="AppendixFigureCaption">
    <w:name w:val="Appendix Figure Caption"/>
    <w:basedOn w:val="CaptionAE"/>
    <w:next w:val="BodyText"/>
    <w:uiPriority w:val="99"/>
    <w:rsid w:val="00BC105C"/>
    <w:pPr>
      <w:numPr>
        <w:ilvl w:val="3"/>
        <w:numId w:val="25"/>
      </w:numPr>
    </w:pPr>
    <w:rPr>
      <w:color w:val="002776"/>
    </w:rPr>
  </w:style>
  <w:style w:type="paragraph" w:customStyle="1" w:styleId="CaptionTable">
    <w:name w:val="Caption_Table"/>
    <w:basedOn w:val="CaptionAE"/>
    <w:next w:val="BodyText"/>
    <w:uiPriority w:val="99"/>
    <w:rsid w:val="00BC105C"/>
    <w:pPr>
      <w:numPr>
        <w:ilvl w:val="6"/>
        <w:numId w:val="4"/>
      </w:numPr>
      <w:tabs>
        <w:tab w:val="clear" w:pos="360"/>
      </w:tabs>
    </w:pPr>
    <w:rPr>
      <w:color w:val="002776"/>
    </w:rPr>
  </w:style>
  <w:style w:type="paragraph" w:customStyle="1" w:styleId="CaptionFigure">
    <w:name w:val="Caption_Figure"/>
    <w:basedOn w:val="CaptionTable"/>
    <w:next w:val="BodyText"/>
    <w:uiPriority w:val="99"/>
    <w:rsid w:val="00BC105C"/>
    <w:pPr>
      <w:numPr>
        <w:ilvl w:val="8"/>
      </w:numPr>
      <w:tabs>
        <w:tab w:val="clear" w:pos="360"/>
      </w:tabs>
      <w:ind w:left="7614"/>
    </w:pPr>
    <w:rPr>
      <w:bCs/>
      <w:szCs w:val="22"/>
    </w:rPr>
  </w:style>
  <w:style w:type="paragraph" w:customStyle="1" w:styleId="CaptionChart">
    <w:name w:val="Caption_Chart"/>
    <w:basedOn w:val="CaptionFigure"/>
    <w:next w:val="BodyText"/>
    <w:uiPriority w:val="99"/>
    <w:rsid w:val="00BC105C"/>
    <w:pPr>
      <w:numPr>
        <w:ilvl w:val="7"/>
      </w:numPr>
      <w:tabs>
        <w:tab w:val="clear" w:pos="360"/>
      </w:tabs>
    </w:pPr>
  </w:style>
  <w:style w:type="paragraph" w:customStyle="1" w:styleId="ExecChartCaption">
    <w:name w:val="Exec Chart Caption"/>
    <w:basedOn w:val="CaptionAE"/>
    <w:next w:val="BodyText"/>
    <w:uiPriority w:val="99"/>
    <w:rsid w:val="00BC105C"/>
    <w:pPr>
      <w:numPr>
        <w:ilvl w:val="2"/>
        <w:numId w:val="6"/>
      </w:numPr>
      <w:tabs>
        <w:tab w:val="clear" w:pos="360"/>
        <w:tab w:val="num" w:pos="1080"/>
      </w:tabs>
      <w:ind w:left="567" w:hanging="567"/>
    </w:pPr>
    <w:rPr>
      <w:color w:val="002776"/>
    </w:rPr>
  </w:style>
  <w:style w:type="paragraph" w:customStyle="1" w:styleId="ExecFigureCaption">
    <w:name w:val="Exec Figure Caption"/>
    <w:basedOn w:val="CaptionAE"/>
    <w:next w:val="BodyText"/>
    <w:uiPriority w:val="99"/>
    <w:rsid w:val="00BC105C"/>
    <w:pPr>
      <w:numPr>
        <w:ilvl w:val="3"/>
        <w:numId w:val="6"/>
      </w:numPr>
      <w:tabs>
        <w:tab w:val="clear" w:pos="360"/>
        <w:tab w:val="num" w:pos="1440"/>
      </w:tabs>
      <w:ind w:left="567" w:hanging="567"/>
    </w:pPr>
    <w:rPr>
      <w:color w:val="002776"/>
    </w:rPr>
  </w:style>
  <w:style w:type="paragraph" w:customStyle="1" w:styleId="ExecTableCaption">
    <w:name w:val="Exec Table Caption"/>
    <w:basedOn w:val="CaptionAE"/>
    <w:next w:val="BodyText"/>
    <w:uiPriority w:val="99"/>
    <w:rsid w:val="00BC105C"/>
    <w:pPr>
      <w:numPr>
        <w:ilvl w:val="1"/>
        <w:numId w:val="6"/>
      </w:numPr>
      <w:tabs>
        <w:tab w:val="clear" w:pos="360"/>
        <w:tab w:val="num" w:pos="1134"/>
      </w:tabs>
      <w:ind w:left="567" w:hanging="567"/>
    </w:pPr>
    <w:rPr>
      <w:color w:val="002776"/>
    </w:rPr>
  </w:style>
  <w:style w:type="paragraph" w:customStyle="1" w:styleId="CaptionAE">
    <w:name w:val="Caption AE"/>
    <w:basedOn w:val="Normal"/>
    <w:next w:val="BodyText"/>
    <w:uiPriority w:val="99"/>
    <w:rsid w:val="00BC105C"/>
    <w:pPr>
      <w:keepNext/>
      <w:keepLines/>
      <w:spacing w:before="240" w:after="240"/>
      <w:jc w:val="center"/>
    </w:pPr>
    <w:rPr>
      <w:b/>
      <w:color w:val="931638"/>
    </w:rPr>
  </w:style>
  <w:style w:type="paragraph" w:customStyle="1" w:styleId="CVaddress">
    <w:name w:val="CV address"/>
    <w:uiPriority w:val="99"/>
    <w:rsid w:val="00BC105C"/>
    <w:pPr>
      <w:spacing w:after="0" w:line="240" w:lineRule="auto"/>
    </w:pPr>
    <w:rPr>
      <w:rFonts w:ascii="Calibri" w:hAnsi="Calibri"/>
      <w:color w:val="404040"/>
      <w:sz w:val="20"/>
      <w:szCs w:val="20"/>
      <w:lang w:eastAsia="en-US"/>
    </w:rPr>
  </w:style>
  <w:style w:type="paragraph" w:customStyle="1" w:styleId="CVbullet">
    <w:name w:val="CV bullet"/>
    <w:basedOn w:val="Normal"/>
    <w:uiPriority w:val="99"/>
    <w:rsid w:val="00BC105C"/>
    <w:pPr>
      <w:spacing w:after="60"/>
      <w:jc w:val="both"/>
    </w:pPr>
  </w:style>
  <w:style w:type="paragraph" w:customStyle="1" w:styleId="CVbulletindent">
    <w:name w:val="CV bullet indent"/>
    <w:basedOn w:val="Normal"/>
    <w:uiPriority w:val="99"/>
    <w:rsid w:val="00BC105C"/>
    <w:pPr>
      <w:spacing w:after="60"/>
      <w:jc w:val="both"/>
    </w:pPr>
  </w:style>
  <w:style w:type="paragraph" w:customStyle="1" w:styleId="CVDate">
    <w:name w:val="CV Date"/>
    <w:basedOn w:val="CVaddress"/>
    <w:next w:val="Normal"/>
    <w:uiPriority w:val="99"/>
    <w:rsid w:val="00BC105C"/>
    <w:pPr>
      <w:keepNext/>
      <w:spacing w:before="60" w:after="60"/>
    </w:pPr>
    <w:rPr>
      <w:b/>
      <w:color w:val="931638"/>
      <w:sz w:val="22"/>
    </w:rPr>
  </w:style>
  <w:style w:type="paragraph" w:customStyle="1" w:styleId="CVDateExperience">
    <w:name w:val="CV Date Experience"/>
    <w:basedOn w:val="CVDate"/>
    <w:uiPriority w:val="99"/>
    <w:rsid w:val="00BC105C"/>
    <w:pPr>
      <w:spacing w:before="120" w:after="0"/>
    </w:pPr>
    <w:rPr>
      <w:sz w:val="24"/>
    </w:rPr>
  </w:style>
  <w:style w:type="paragraph" w:customStyle="1" w:styleId="CVHeadingB">
    <w:name w:val="CV Heading B"/>
    <w:basedOn w:val="HeadingA"/>
    <w:next w:val="Normal"/>
    <w:uiPriority w:val="99"/>
    <w:rsid w:val="00BC105C"/>
    <w:rPr>
      <w:sz w:val="28"/>
      <w:szCs w:val="26"/>
    </w:rPr>
  </w:style>
  <w:style w:type="paragraph" w:customStyle="1" w:styleId="CVHeadingC">
    <w:name w:val="CV Heading C"/>
    <w:basedOn w:val="Normal"/>
    <w:next w:val="Normal"/>
    <w:uiPriority w:val="99"/>
    <w:rsid w:val="00BC105C"/>
    <w:pPr>
      <w:keepNext/>
      <w:keepLines/>
      <w:spacing w:before="180"/>
    </w:pPr>
    <w:rPr>
      <w:b/>
      <w:color w:val="931638"/>
      <w:sz w:val="24"/>
      <w:szCs w:val="28"/>
    </w:rPr>
  </w:style>
  <w:style w:type="paragraph" w:customStyle="1" w:styleId="CVHeadingExperience">
    <w:name w:val="CV Heading Experience"/>
    <w:basedOn w:val="CVDate"/>
    <w:uiPriority w:val="99"/>
    <w:rsid w:val="00BC105C"/>
    <w:pPr>
      <w:spacing w:before="120" w:after="0"/>
    </w:pPr>
    <w:rPr>
      <w:sz w:val="24"/>
    </w:rPr>
  </w:style>
  <w:style w:type="paragraph" w:customStyle="1" w:styleId="CVHeadingqualifications">
    <w:name w:val="CV Heading qualifications"/>
    <w:basedOn w:val="CVHeadingC"/>
    <w:uiPriority w:val="99"/>
    <w:rsid w:val="00BC105C"/>
    <w:pPr>
      <w:spacing w:before="0"/>
      <w:ind w:left="142"/>
    </w:pPr>
    <w:rPr>
      <w:bCs/>
      <w:szCs w:val="20"/>
    </w:rPr>
  </w:style>
  <w:style w:type="paragraph" w:customStyle="1" w:styleId="CVqualificationsawards">
    <w:name w:val="CV qualifications/awards"/>
    <w:basedOn w:val="CVaddress"/>
    <w:uiPriority w:val="99"/>
    <w:rsid w:val="00BC105C"/>
    <w:pPr>
      <w:ind w:left="142"/>
    </w:pPr>
    <w:rPr>
      <w:color w:val="auto"/>
    </w:rPr>
  </w:style>
  <w:style w:type="paragraph" w:customStyle="1" w:styleId="CVtabledate">
    <w:name w:val="CV table date"/>
    <w:basedOn w:val="Normal"/>
    <w:uiPriority w:val="99"/>
    <w:rsid w:val="00BC105C"/>
    <w:pPr>
      <w:jc w:val="both"/>
    </w:pPr>
    <w:rPr>
      <w:b/>
      <w:color w:val="262626"/>
    </w:rPr>
  </w:style>
  <w:style w:type="paragraph" w:customStyle="1" w:styleId="CVTableText">
    <w:name w:val="CV Table Text"/>
    <w:basedOn w:val="CVaddress"/>
    <w:uiPriority w:val="99"/>
    <w:rsid w:val="00BC105C"/>
    <w:rPr>
      <w:color w:val="auto"/>
      <w:sz w:val="22"/>
    </w:rPr>
  </w:style>
  <w:style w:type="character" w:customStyle="1" w:styleId="Boldword">
    <w:name w:val="Bold word"/>
    <w:basedOn w:val="DefaultParagraphFont"/>
    <w:uiPriority w:val="99"/>
    <w:rsid w:val="00BC105C"/>
    <w:rPr>
      <w:rFonts w:ascii="Calibri" w:hAnsi="Calibri" w:cs="Times New Roman"/>
      <w:b/>
      <w:color w:val="931638"/>
      <w:sz w:val="22"/>
      <w:lang w:val="x-none" w:eastAsia="en-AU"/>
    </w:rPr>
  </w:style>
  <w:style w:type="paragraph" w:styleId="BalloonText">
    <w:name w:val="Balloon Text"/>
    <w:basedOn w:val="Normal"/>
    <w:link w:val="BalloonTextChar"/>
    <w:uiPriority w:val="99"/>
    <w:rsid w:val="00BC105C"/>
    <w:rPr>
      <w:rFonts w:ascii="Tahoma" w:hAnsi="Tahoma" w:cs="Tahoma"/>
      <w:sz w:val="16"/>
      <w:szCs w:val="16"/>
    </w:rPr>
  </w:style>
  <w:style w:type="character" w:customStyle="1" w:styleId="BoldParaChar">
    <w:name w:val="Bold Para Char"/>
    <w:basedOn w:val="DefaultParagraphFont"/>
    <w:link w:val="BoldPara"/>
    <w:uiPriority w:val="99"/>
    <w:locked/>
    <w:rsid w:val="00BC105C"/>
    <w:rPr>
      <w:rFonts w:ascii="Calibri" w:hAnsi="Calibri" w:cs="Times New Roman"/>
      <w:b/>
      <w:color w:val="002776"/>
      <w:sz w:val="24"/>
      <w:szCs w:val="24"/>
      <w:lang w:val="x-none" w:eastAsia="en-US"/>
    </w:rPr>
  </w:style>
  <w:style w:type="character" w:customStyle="1" w:styleId="BalloonTextChar">
    <w:name w:val="Balloon Text Char"/>
    <w:basedOn w:val="DefaultParagraphFont"/>
    <w:link w:val="BalloonText"/>
    <w:uiPriority w:val="99"/>
    <w:locked/>
    <w:rsid w:val="00BC105C"/>
    <w:rPr>
      <w:rFonts w:ascii="Tahoma" w:hAnsi="Tahoma" w:cs="Tahoma"/>
      <w:sz w:val="16"/>
      <w:szCs w:val="16"/>
      <w:lang w:val="x-none" w:eastAsia="en-US"/>
    </w:rPr>
  </w:style>
  <w:style w:type="paragraph" w:customStyle="1" w:styleId="Addressdetails">
    <w:name w:val="Address details"/>
    <w:basedOn w:val="Normal"/>
    <w:link w:val="AddressdetailsChar"/>
    <w:uiPriority w:val="99"/>
    <w:rsid w:val="00BC105C"/>
    <w:pPr>
      <w:spacing w:before="85" w:line="180" w:lineRule="atLeast"/>
    </w:pPr>
    <w:rPr>
      <w:rFonts w:ascii="Arial" w:hAnsi="Arial"/>
      <w:sz w:val="15"/>
      <w:szCs w:val="24"/>
    </w:rPr>
  </w:style>
  <w:style w:type="character" w:customStyle="1" w:styleId="AddressdetailsChar">
    <w:name w:val="Address details Char"/>
    <w:basedOn w:val="DefaultParagraphFont"/>
    <w:link w:val="Addressdetails"/>
    <w:uiPriority w:val="99"/>
    <w:locked/>
    <w:rsid w:val="00BC105C"/>
    <w:rPr>
      <w:rFonts w:ascii="Arial" w:hAnsi="Arial" w:cs="Times New Roman"/>
      <w:sz w:val="24"/>
      <w:szCs w:val="24"/>
      <w:lang w:val="x-none" w:eastAsia="en-US"/>
    </w:rPr>
  </w:style>
  <w:style w:type="paragraph" w:customStyle="1" w:styleId="Bodycopy">
    <w:name w:val="Body copy"/>
    <w:basedOn w:val="Normal"/>
    <w:link w:val="BodycopyChar"/>
    <w:uiPriority w:val="99"/>
    <w:rsid w:val="00BC105C"/>
    <w:pPr>
      <w:spacing w:after="113" w:line="240" w:lineRule="atLeast"/>
      <w:jc w:val="both"/>
    </w:pPr>
    <w:rPr>
      <w:rFonts w:ascii="Arial" w:hAnsi="Arial"/>
      <w:sz w:val="20"/>
      <w:szCs w:val="24"/>
    </w:rPr>
  </w:style>
  <w:style w:type="paragraph" w:customStyle="1" w:styleId="BodycopyBold">
    <w:name w:val="Body copy Bold"/>
    <w:basedOn w:val="Normal"/>
    <w:uiPriority w:val="99"/>
    <w:semiHidden/>
    <w:rsid w:val="00BC105C"/>
    <w:pPr>
      <w:spacing w:after="113" w:line="240" w:lineRule="atLeast"/>
    </w:pPr>
    <w:rPr>
      <w:rFonts w:ascii="Times New Roman" w:hAnsi="Times New Roman"/>
      <w:b/>
      <w:sz w:val="20"/>
      <w:szCs w:val="24"/>
    </w:rPr>
  </w:style>
  <w:style w:type="character" w:customStyle="1" w:styleId="BodycopyChar">
    <w:name w:val="Body copy Char"/>
    <w:basedOn w:val="DefaultParagraphFont"/>
    <w:link w:val="Bodycopy"/>
    <w:uiPriority w:val="99"/>
    <w:locked/>
    <w:rsid w:val="00BC105C"/>
    <w:rPr>
      <w:rFonts w:ascii="Arial" w:hAnsi="Arial" w:cs="Times New Roman"/>
      <w:sz w:val="24"/>
      <w:szCs w:val="24"/>
      <w:lang w:val="x-none" w:eastAsia="en-US"/>
    </w:rPr>
  </w:style>
  <w:style w:type="paragraph" w:customStyle="1" w:styleId="SignOffTextwithImage">
    <w:name w:val="SignOff Text with Image"/>
    <w:basedOn w:val="Normal"/>
    <w:uiPriority w:val="99"/>
    <w:rsid w:val="00BC105C"/>
    <w:pPr>
      <w:spacing w:before="480"/>
    </w:pPr>
  </w:style>
  <w:style w:type="paragraph" w:customStyle="1" w:styleId="SignOffText">
    <w:name w:val="SignOff Text"/>
    <w:basedOn w:val="Normal"/>
    <w:next w:val="Normal"/>
    <w:uiPriority w:val="99"/>
    <w:rsid w:val="00BC105C"/>
    <w:pPr>
      <w:spacing w:before="480" w:after="1120"/>
    </w:pPr>
  </w:style>
  <w:style w:type="paragraph" w:customStyle="1" w:styleId="Table">
    <w:name w:val="Table"/>
    <w:basedOn w:val="Bodycopy"/>
    <w:next w:val="Bodycopy"/>
    <w:uiPriority w:val="99"/>
    <w:rsid w:val="00BC105C"/>
    <w:pPr>
      <w:spacing w:before="240" w:after="0" w:line="240" w:lineRule="auto"/>
      <w:ind w:left="851"/>
    </w:pPr>
    <w:rPr>
      <w:rFonts w:ascii="Calibri" w:hAnsi="Calibri"/>
      <w:b/>
      <w:sz w:val="22"/>
    </w:rPr>
  </w:style>
  <w:style w:type="paragraph" w:customStyle="1" w:styleId="Box">
    <w:name w:val="Box"/>
    <w:basedOn w:val="Bodycopy"/>
    <w:next w:val="Bodycopy"/>
    <w:uiPriority w:val="99"/>
    <w:rsid w:val="00BC105C"/>
    <w:pPr>
      <w:spacing w:before="240" w:after="0" w:line="240" w:lineRule="auto"/>
      <w:ind w:left="851"/>
    </w:pPr>
    <w:rPr>
      <w:rFonts w:ascii="Calibri" w:hAnsi="Calibri"/>
      <w:b/>
      <w:sz w:val="22"/>
    </w:rPr>
  </w:style>
  <w:style w:type="paragraph" w:customStyle="1" w:styleId="Keypoint">
    <w:name w:val="Keypoint"/>
    <w:basedOn w:val="Normal"/>
    <w:uiPriority w:val="99"/>
    <w:rsid w:val="00BC105C"/>
    <w:pPr>
      <w:spacing w:before="600"/>
    </w:pPr>
    <w:rPr>
      <w:rFonts w:ascii="Times New Roman" w:hAnsi="Times New Roman"/>
      <w:color w:val="72C7E7"/>
      <w:sz w:val="32"/>
      <w:szCs w:val="24"/>
    </w:rPr>
  </w:style>
  <w:style w:type="paragraph" w:customStyle="1" w:styleId="BSubheading-Bluedk">
    <w:name w:val="B Subheading - Blue dk"/>
    <w:basedOn w:val="Normal"/>
    <w:uiPriority w:val="99"/>
    <w:rsid w:val="00BC105C"/>
    <w:pPr>
      <w:spacing w:before="320" w:after="120"/>
      <w:outlineLvl w:val="1"/>
    </w:pPr>
    <w:rPr>
      <w:rFonts w:ascii="Arial" w:hAnsi="Arial"/>
      <w:b/>
      <w:noProof/>
      <w:color w:val="002776"/>
      <w:sz w:val="24"/>
      <w:szCs w:val="24"/>
      <w:lang w:val="en-US"/>
    </w:rPr>
  </w:style>
  <w:style w:type="paragraph" w:customStyle="1" w:styleId="DHeading">
    <w:name w:val="DHeading"/>
    <w:basedOn w:val="Normal"/>
    <w:uiPriority w:val="99"/>
    <w:rsid w:val="00BC105C"/>
    <w:pPr>
      <w:autoSpaceDE w:val="0"/>
      <w:autoSpaceDN w:val="0"/>
      <w:adjustRightInd w:val="0"/>
      <w:spacing w:before="360" w:after="120"/>
      <w:ind w:firstLine="11"/>
    </w:pPr>
    <w:rPr>
      <w:color w:val="333F7F"/>
      <w:sz w:val="44"/>
      <w:szCs w:val="44"/>
      <w:lang w:val="en-GB"/>
    </w:rPr>
  </w:style>
  <w:style w:type="paragraph" w:customStyle="1" w:styleId="DBody">
    <w:name w:val="DBody"/>
    <w:basedOn w:val="Normal"/>
    <w:uiPriority w:val="99"/>
    <w:rsid w:val="00BC105C"/>
    <w:pPr>
      <w:spacing w:before="60" w:after="113"/>
    </w:pPr>
    <w:rPr>
      <w:rFonts w:ascii="Arial" w:hAnsi="Arial"/>
      <w:color w:val="333F7F"/>
      <w:sz w:val="20"/>
      <w:lang w:val="en-GB"/>
    </w:rPr>
  </w:style>
  <w:style w:type="paragraph" w:customStyle="1" w:styleId="DBullet">
    <w:name w:val="DBullet"/>
    <w:basedOn w:val="ListBullet"/>
    <w:uiPriority w:val="99"/>
    <w:rsid w:val="00BC105C"/>
    <w:pPr>
      <w:numPr>
        <w:numId w:val="26"/>
      </w:numPr>
      <w:spacing w:before="40" w:after="40"/>
      <w:contextualSpacing w:val="0"/>
    </w:pPr>
    <w:rPr>
      <w:rFonts w:ascii="Arial" w:hAnsi="Arial"/>
      <w:color w:val="333D7F"/>
      <w:szCs w:val="24"/>
    </w:rPr>
  </w:style>
  <w:style w:type="paragraph" w:styleId="ListBullet">
    <w:name w:val="List Bullet"/>
    <w:basedOn w:val="Normal"/>
    <w:uiPriority w:val="99"/>
    <w:rsid w:val="00BC105C"/>
    <w:pPr>
      <w:numPr>
        <w:numId w:val="1"/>
      </w:numPr>
      <w:contextualSpacing/>
    </w:pPr>
  </w:style>
  <w:style w:type="paragraph" w:customStyle="1" w:styleId="DBluedk">
    <w:name w:val="D Blue dk"/>
    <w:basedOn w:val="Normal"/>
    <w:uiPriority w:val="99"/>
    <w:rsid w:val="00BC105C"/>
    <w:pPr>
      <w:spacing w:before="320" w:after="120"/>
      <w:outlineLvl w:val="1"/>
    </w:pPr>
    <w:rPr>
      <w:rFonts w:ascii="Arial" w:hAnsi="Arial"/>
      <w:b/>
      <w:noProof/>
      <w:color w:val="002776"/>
      <w:sz w:val="24"/>
      <w:szCs w:val="24"/>
      <w:lang w:val="en-US"/>
    </w:rPr>
  </w:style>
  <w:style w:type="character" w:styleId="CommentReference">
    <w:name w:val="annotation reference"/>
    <w:basedOn w:val="DefaultParagraphFont"/>
    <w:uiPriority w:val="99"/>
    <w:rsid w:val="00BC105C"/>
    <w:rPr>
      <w:rFonts w:cs="Times New Roman"/>
      <w:sz w:val="16"/>
      <w:szCs w:val="16"/>
    </w:rPr>
  </w:style>
  <w:style w:type="paragraph" w:styleId="ListParagraph">
    <w:name w:val="List Paragraph"/>
    <w:basedOn w:val="Normal"/>
    <w:uiPriority w:val="99"/>
    <w:qFormat/>
    <w:rsid w:val="00BC105C"/>
    <w:pPr>
      <w:ind w:left="720"/>
      <w:contextualSpacing/>
    </w:pPr>
    <w:rPr>
      <w:rFonts w:ascii="Times New Roman" w:hAnsi="Times New Roman"/>
      <w:sz w:val="24"/>
      <w:szCs w:val="24"/>
    </w:rPr>
  </w:style>
  <w:style w:type="paragraph" w:customStyle="1" w:styleId="Legalstatement">
    <w:name w:val="Legal statement"/>
    <w:basedOn w:val="Footer"/>
    <w:uiPriority w:val="99"/>
    <w:rsid w:val="00BC105C"/>
    <w:pPr>
      <w:tabs>
        <w:tab w:val="clear" w:pos="4513"/>
        <w:tab w:val="clear" w:pos="9026"/>
        <w:tab w:val="right" w:pos="9356"/>
      </w:tabs>
      <w:spacing w:before="120"/>
    </w:pPr>
    <w:rPr>
      <w:rFonts w:ascii="Arial" w:hAnsi="Arial" w:cs="Arial"/>
      <w:color w:val="000000"/>
      <w:sz w:val="14"/>
      <w:szCs w:val="16"/>
    </w:rPr>
  </w:style>
  <w:style w:type="paragraph" w:customStyle="1" w:styleId="Default">
    <w:name w:val="Default"/>
    <w:uiPriority w:val="99"/>
    <w:rsid w:val="00080290"/>
    <w:pPr>
      <w:autoSpaceDE w:val="0"/>
      <w:autoSpaceDN w:val="0"/>
      <w:adjustRightInd w:val="0"/>
      <w:spacing w:after="0" w:line="240" w:lineRule="auto"/>
    </w:pPr>
    <w:rPr>
      <w:color w:val="000000"/>
      <w:sz w:val="24"/>
      <w:szCs w:val="24"/>
    </w:rPr>
  </w:style>
  <w:style w:type="paragraph" w:customStyle="1" w:styleId="MENoIndent1">
    <w:name w:val="ME NoIndent 1"/>
    <w:basedOn w:val="Normal"/>
    <w:uiPriority w:val="99"/>
    <w:rsid w:val="00595C71"/>
    <w:pPr>
      <w:numPr>
        <w:numId w:val="27"/>
      </w:numPr>
      <w:spacing w:after="240" w:line="280" w:lineRule="atLeast"/>
    </w:pPr>
    <w:rPr>
      <w:rFonts w:ascii="Times New Roman" w:hAnsi="Times New Roman"/>
      <w:szCs w:val="24"/>
      <w:lang w:eastAsia="en-AU"/>
    </w:rPr>
  </w:style>
  <w:style w:type="table" w:styleId="TableGrid1">
    <w:name w:val="Table Grid 1"/>
    <w:basedOn w:val="TableNormal"/>
    <w:uiPriority w:val="99"/>
    <w:rsid w:val="00645FB8"/>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SignatureBlock">
    <w:name w:val="Signature Block"/>
    <w:basedOn w:val="Normal"/>
    <w:uiPriority w:val="99"/>
    <w:rsid w:val="00656022"/>
    <w:pPr>
      <w:spacing w:after="120"/>
    </w:pPr>
  </w:style>
  <w:style w:type="paragraph" w:customStyle="1" w:styleId="citation">
    <w:name w:val="citation"/>
    <w:basedOn w:val="Normal"/>
    <w:uiPriority w:val="99"/>
    <w:rsid w:val="00C53003"/>
    <w:pPr>
      <w:spacing w:before="100" w:beforeAutospacing="1" w:after="100" w:afterAutospacing="1"/>
    </w:pPr>
    <w:rPr>
      <w:rFonts w:ascii="Times New Roman" w:hAnsi="Times New Roman"/>
      <w:sz w:val="24"/>
      <w:szCs w:val="24"/>
      <w:lang w:eastAsia="en-AU"/>
    </w:rPr>
  </w:style>
  <w:style w:type="paragraph" w:styleId="DocumentMap">
    <w:name w:val="Document Map"/>
    <w:basedOn w:val="Normal"/>
    <w:link w:val="DocumentMapChar"/>
    <w:uiPriority w:val="99"/>
    <w:semiHidden/>
    <w:rsid w:val="00405EA2"/>
    <w:pPr>
      <w:shd w:val="clear" w:color="auto" w:fill="000080"/>
    </w:pPr>
    <w:rPr>
      <w:rFonts w:ascii="Tahoma" w:hAnsi="Tahoma" w:cs="Tahoma"/>
      <w:sz w:val="20"/>
    </w:rPr>
  </w:style>
  <w:style w:type="paragraph" w:customStyle="1" w:styleId="DOT1">
    <w:name w:val="DOT1"/>
    <w:basedOn w:val="Normal"/>
    <w:uiPriority w:val="99"/>
    <w:semiHidden/>
    <w:rsid w:val="00C173BE"/>
    <w:pPr>
      <w:spacing w:after="120" w:line="360" w:lineRule="auto"/>
      <w:ind w:left="709" w:hanging="709"/>
    </w:pPr>
    <w:rPr>
      <w:rFonts w:ascii="Arial" w:hAnsi="Arial"/>
      <w:sz w:val="24"/>
      <w:lang w:eastAsia="en-AU"/>
    </w:rPr>
  </w:style>
  <w:style w:type="character" w:customStyle="1" w:styleId="DocumentMapChar">
    <w:name w:val="Document Map Char"/>
    <w:basedOn w:val="DefaultParagraphFont"/>
    <w:link w:val="DocumentMap"/>
    <w:uiPriority w:val="99"/>
    <w:semiHidden/>
    <w:locked/>
    <w:rsid w:val="008645FC"/>
    <w:rPr>
      <w:rFonts w:cs="Times New Roman"/>
      <w:sz w:val="2"/>
      <w:lang w:val="x-none" w:eastAsia="en-US"/>
    </w:rPr>
  </w:style>
  <w:style w:type="character" w:styleId="FollowedHyperlink">
    <w:name w:val="FollowedHyperlink"/>
    <w:basedOn w:val="DefaultParagraphFont"/>
    <w:uiPriority w:val="99"/>
    <w:locked/>
    <w:rsid w:val="00152C50"/>
    <w:rPr>
      <w:rFonts w:cs="Times New Roman"/>
      <w:color w:val="800080"/>
      <w:u w:val="single"/>
    </w:rPr>
  </w:style>
  <w:style w:type="paragraph" w:styleId="Title">
    <w:name w:val="Title"/>
    <w:basedOn w:val="ReportTitle"/>
    <w:link w:val="TitleChar"/>
    <w:uiPriority w:val="99"/>
    <w:qFormat/>
    <w:rsid w:val="000A1218"/>
    <w:pPr>
      <w:framePr w:hSpace="0" w:wrap="auto" w:vAnchor="margin" w:hAnchor="text" w:yAlign="inline"/>
      <w:ind w:left="4840"/>
      <w:suppressOverlap w:val="0"/>
    </w:p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Subtitle">
    <w:name w:val="Subtitle"/>
    <w:basedOn w:val="ReportCompany"/>
    <w:link w:val="SubtitleChar"/>
    <w:uiPriority w:val="99"/>
    <w:qFormat/>
    <w:rsid w:val="000A1218"/>
    <w:pPr>
      <w:ind w:left="4950"/>
    </w:pPr>
    <w:rPr>
      <w:szCs w:val="32"/>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eastAsia="en-US"/>
    </w:rPr>
  </w:style>
  <w:style w:type="paragraph" w:customStyle="1" w:styleId="italic">
    <w:name w:val=".italic"/>
    <w:basedOn w:val="BodyText"/>
    <w:link w:val="italicChar"/>
    <w:uiPriority w:val="99"/>
    <w:rsid w:val="006D4795"/>
    <w:rPr>
      <w:i/>
    </w:rPr>
  </w:style>
  <w:style w:type="character" w:customStyle="1" w:styleId="italicChar">
    <w:name w:val=".italic Char"/>
    <w:basedOn w:val="BodyTextChar"/>
    <w:link w:val="italic"/>
    <w:uiPriority w:val="99"/>
    <w:locked/>
    <w:rsid w:val="006D4795"/>
    <w:rPr>
      <w:rFonts w:ascii="Calibri" w:hAnsi="Calibri" w:cs="Times New Roman"/>
      <w:i/>
      <w:sz w:val="22"/>
      <w:lang w:val="en-AU" w:eastAsia="en-US" w:bidi="ar-SA"/>
    </w:rPr>
  </w:style>
  <w:style w:type="paragraph" w:customStyle="1" w:styleId="Figure">
    <w:name w:val="Figure"/>
    <w:basedOn w:val="BodyText"/>
    <w:uiPriority w:val="99"/>
    <w:rsid w:val="00B04B2B"/>
    <w:pPr>
      <w:jc w:val="center"/>
    </w:pPr>
    <w:rPr>
      <w:noProof/>
      <w:lang w:eastAsia="en-AU"/>
    </w:rPr>
  </w:style>
  <w:style w:type="character" w:customStyle="1" w:styleId="NoteChar">
    <w:name w:val="Note Char"/>
    <w:basedOn w:val="DefaultParagraphFont"/>
    <w:link w:val="Note"/>
    <w:uiPriority w:val="99"/>
    <w:locked/>
    <w:rsid w:val="00B04B2B"/>
    <w:rPr>
      <w:rFonts w:ascii="Calibri" w:hAnsi="Calibri" w:cs="Times New Roman"/>
      <w:sz w:val="18"/>
      <w:lang w:val="en-AU" w:eastAsia="en-US" w:bidi="ar-SA"/>
    </w:rPr>
  </w:style>
  <w:style w:type="character" w:customStyle="1" w:styleId="SourceChar">
    <w:name w:val="Source Char"/>
    <w:basedOn w:val="NoteChar"/>
    <w:link w:val="Source"/>
    <w:uiPriority w:val="99"/>
    <w:locked/>
    <w:rsid w:val="00B04B2B"/>
    <w:rPr>
      <w:rFonts w:ascii="Calibri" w:hAnsi="Calibri" w:cs="Arial"/>
      <w:sz w:val="18"/>
      <w:lang w:val="en-AU" w:eastAsia="en-US" w:bidi="ar-SA"/>
    </w:rPr>
  </w:style>
  <w:style w:type="paragraph" w:customStyle="1" w:styleId="Callout">
    <w:name w:val="Callout"/>
    <w:basedOn w:val="IndentParaGrey"/>
    <w:uiPriority w:val="99"/>
    <w:rsid w:val="001D6F9A"/>
    <w:pPr>
      <w:pBdr>
        <w:top w:val="single" w:sz="8" w:space="4" w:color="002776"/>
      </w:pBdr>
      <w:shd w:val="clear" w:color="auto" w:fill="FFFFFF"/>
      <w:ind w:left="0" w:right="-2"/>
    </w:pPr>
    <w:rPr>
      <w:b/>
      <w:color w:val="002776"/>
    </w:rPr>
  </w:style>
  <w:style w:type="paragraph" w:customStyle="1" w:styleId="Callouttext">
    <w:name w:val="Callout text"/>
    <w:basedOn w:val="IndentParaGrey"/>
    <w:uiPriority w:val="99"/>
    <w:rsid w:val="001D6F9A"/>
    <w:pPr>
      <w:pBdr>
        <w:top w:val="single" w:sz="8" w:space="4" w:color="002776"/>
      </w:pBdr>
      <w:shd w:val="clear" w:color="auto" w:fill="FFFFFF"/>
      <w:ind w:left="0" w:right="-2"/>
    </w:pPr>
  </w:style>
  <w:style w:type="paragraph" w:customStyle="1" w:styleId="TableTextCentred">
    <w:name w:val="Table Text Centred"/>
    <w:basedOn w:val="TabletextLeft"/>
    <w:uiPriority w:val="99"/>
    <w:rsid w:val="001D6F9A"/>
    <w:pPr>
      <w:jc w:val="center"/>
    </w:pPr>
  </w:style>
  <w:style w:type="paragraph" w:customStyle="1" w:styleId="Tablecolumnheader">
    <w:name w:val="Table column header"/>
    <w:basedOn w:val="Normal"/>
    <w:uiPriority w:val="99"/>
    <w:rsid w:val="00481593"/>
    <w:pPr>
      <w:ind w:left="-57" w:right="-57"/>
    </w:pPr>
    <w:rPr>
      <w:b/>
      <w:sz w:val="20"/>
    </w:rPr>
  </w:style>
  <w:style w:type="paragraph" w:customStyle="1" w:styleId="bold">
    <w:name w:val=".bold"/>
    <w:basedOn w:val="BodyText"/>
    <w:link w:val="boldChar"/>
    <w:uiPriority w:val="99"/>
    <w:rsid w:val="00DA1A88"/>
    <w:rPr>
      <w:b/>
      <w:bCs/>
    </w:rPr>
  </w:style>
  <w:style w:type="character" w:customStyle="1" w:styleId="boldChar">
    <w:name w:val=".bold Char"/>
    <w:basedOn w:val="BodyTextChar"/>
    <w:link w:val="bold"/>
    <w:uiPriority w:val="99"/>
    <w:locked/>
    <w:rsid w:val="00DA1A88"/>
    <w:rPr>
      <w:rFonts w:ascii="Calibri" w:hAnsi="Calibri" w:cs="Times New Roman"/>
      <w:b/>
      <w:bCs/>
      <w:sz w:val="22"/>
      <w:lang w:val="en-AU" w:eastAsia="en-US" w:bidi="ar-SA"/>
    </w:rPr>
  </w:style>
  <w:style w:type="paragraph" w:customStyle="1" w:styleId="Addendum">
    <w:name w:val="Addendum"/>
    <w:basedOn w:val="Normal"/>
    <w:uiPriority w:val="99"/>
    <w:rsid w:val="00DA1A88"/>
    <w:pPr>
      <w:autoSpaceDE w:val="0"/>
      <w:autoSpaceDN w:val="0"/>
      <w:adjustRightInd w:val="0"/>
    </w:pPr>
    <w:rPr>
      <w:rFonts w:cs="Calibri"/>
      <w:sz w:val="18"/>
      <w:szCs w:val="18"/>
      <w:lang w:eastAsia="en-AU"/>
    </w:rPr>
  </w:style>
  <w:style w:type="paragraph" w:customStyle="1" w:styleId="Listbullettable">
    <w:name w:val="List bullet table"/>
    <w:basedOn w:val="TabletextLeft"/>
    <w:uiPriority w:val="99"/>
    <w:rsid w:val="002939B3"/>
    <w:pPr>
      <w:numPr>
        <w:numId w:val="30"/>
      </w:numPr>
    </w:pPr>
  </w:style>
  <w:style w:type="paragraph" w:styleId="ListNumber">
    <w:name w:val="List Number"/>
    <w:basedOn w:val="NumberedList"/>
    <w:uiPriority w:val="99"/>
    <w:locked/>
    <w:rsid w:val="00757A8E"/>
    <w:pPr>
      <w:spacing w:before="240"/>
    </w:pPr>
  </w:style>
  <w:style w:type="paragraph" w:customStyle="1" w:styleId="Heading1Heading">
    <w:name w:val="Heading 1 Heading"/>
    <w:basedOn w:val="HeadingA"/>
    <w:uiPriority w:val="99"/>
    <w:rsid w:val="0008028A"/>
    <w:rPr>
      <w:sz w:val="44"/>
      <w:szCs w:val="44"/>
    </w:rPr>
  </w:style>
  <w:style w:type="paragraph" w:customStyle="1" w:styleId="Heading3Appendix">
    <w:name w:val="Heading 3 Appendix"/>
    <w:basedOn w:val="BodyText"/>
    <w:uiPriority w:val="99"/>
    <w:rsid w:val="0008028A"/>
    <w:pPr>
      <w:tabs>
        <w:tab w:val="left" w:pos="4665"/>
      </w:tabs>
      <w:jc w:val="left"/>
    </w:pPr>
    <w:rPr>
      <w:b/>
      <w:color w:val="00B0F0"/>
    </w:rPr>
  </w:style>
  <w:style w:type="paragraph" w:customStyle="1" w:styleId="Addendumheading">
    <w:name w:val="Addendum heading"/>
    <w:basedOn w:val="BoldPara"/>
    <w:uiPriority w:val="99"/>
    <w:rsid w:val="00C70073"/>
    <w:pPr>
      <w:spacing w:before="120"/>
    </w:pPr>
    <w:rPr>
      <w:sz w:val="20"/>
      <w:szCs w:val="18"/>
    </w:rPr>
  </w:style>
  <w:style w:type="paragraph" w:customStyle="1" w:styleId="Addendumtext">
    <w:name w:val="Addendum text"/>
    <w:basedOn w:val="BodyText"/>
    <w:uiPriority w:val="99"/>
    <w:rsid w:val="00C70073"/>
    <w:pPr>
      <w:jc w:val="left"/>
    </w:pPr>
    <w:rPr>
      <w:sz w:val="20"/>
    </w:rPr>
  </w:style>
  <w:style w:type="character" w:customStyle="1" w:styleId="StyleFootnoteReference">
    <w:name w:val="Style Footnote Reference"/>
    <w:basedOn w:val="FootnoteReference"/>
    <w:uiPriority w:val="99"/>
    <w:rsid w:val="00D65F13"/>
    <w:rPr>
      <w:rFonts w:ascii="Arial" w:hAnsi="Arial" w:cs="Times New Roman"/>
      <w:sz w:val="24"/>
      <w:szCs w:val="24"/>
      <w:vertAlign w:val="superscript"/>
    </w:rPr>
  </w:style>
  <w:style w:type="paragraph" w:customStyle="1" w:styleId="Bulletbold">
    <w:name w:val="Bullet bold"/>
    <w:basedOn w:val="Bullet1"/>
    <w:link w:val="BulletboldChar"/>
    <w:uiPriority w:val="99"/>
    <w:rsid w:val="00FD179B"/>
    <w:pPr>
      <w:numPr>
        <w:numId w:val="18"/>
      </w:numPr>
    </w:pPr>
    <w:rPr>
      <w:b/>
      <w:bCs/>
    </w:rPr>
  </w:style>
  <w:style w:type="character" w:customStyle="1" w:styleId="Bullet1Char">
    <w:name w:val="Bullet 1 Char"/>
    <w:basedOn w:val="DefaultParagraphFont"/>
    <w:link w:val="Bullet1"/>
    <w:uiPriority w:val="99"/>
    <w:locked/>
    <w:rsid w:val="00FD179B"/>
    <w:rPr>
      <w:rFonts w:ascii="Calibri" w:hAnsi="Calibri" w:cs="Arial"/>
      <w:sz w:val="22"/>
      <w:lang w:val="en-AU" w:eastAsia="en-AU" w:bidi="ar-SA"/>
    </w:rPr>
  </w:style>
  <w:style w:type="character" w:customStyle="1" w:styleId="BulletboldChar">
    <w:name w:val="Bullet bold Char"/>
    <w:basedOn w:val="Bullet1Char"/>
    <w:link w:val="Bulletbold"/>
    <w:uiPriority w:val="99"/>
    <w:locked/>
    <w:rsid w:val="00FD179B"/>
    <w:rPr>
      <w:rFonts w:ascii="Calibri" w:hAnsi="Calibri" w:cs="Arial"/>
      <w:b/>
      <w:bCs/>
      <w:sz w:val="22"/>
      <w:szCs w:val="20"/>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C105C"/>
    <w:pPr>
      <w:spacing w:after="0" w:line="240" w:lineRule="auto"/>
    </w:pPr>
    <w:rPr>
      <w:rFonts w:ascii="Calibri" w:hAnsi="Calibri"/>
      <w:szCs w:val="20"/>
      <w:lang w:eastAsia="en-US"/>
    </w:rPr>
  </w:style>
  <w:style w:type="paragraph" w:styleId="Heading1">
    <w:name w:val="heading 1"/>
    <w:basedOn w:val="Normal"/>
    <w:next w:val="BodyText"/>
    <w:link w:val="Heading1Char"/>
    <w:uiPriority w:val="99"/>
    <w:qFormat/>
    <w:rsid w:val="00BC105C"/>
    <w:pPr>
      <w:keepNext/>
      <w:keepLines/>
      <w:pageBreakBefore/>
      <w:numPr>
        <w:numId w:val="4"/>
      </w:numPr>
      <w:tabs>
        <w:tab w:val="clear" w:pos="360"/>
      </w:tabs>
      <w:spacing w:before="360"/>
      <w:ind w:hanging="567"/>
      <w:outlineLvl w:val="0"/>
    </w:pPr>
    <w:rPr>
      <w:b/>
      <w:color w:val="002776"/>
      <w:kern w:val="28"/>
      <w:sz w:val="56"/>
    </w:rPr>
  </w:style>
  <w:style w:type="paragraph" w:styleId="Heading2">
    <w:name w:val="heading 2"/>
    <w:basedOn w:val="Normal"/>
    <w:next w:val="BodyText"/>
    <w:link w:val="Heading2Char"/>
    <w:uiPriority w:val="99"/>
    <w:qFormat/>
    <w:rsid w:val="00BC105C"/>
    <w:pPr>
      <w:keepNext/>
      <w:numPr>
        <w:ilvl w:val="1"/>
        <w:numId w:val="4"/>
      </w:numPr>
      <w:tabs>
        <w:tab w:val="clear" w:pos="360"/>
        <w:tab w:val="left" w:pos="851"/>
      </w:tabs>
      <w:spacing w:before="240"/>
      <w:ind w:left="851" w:hanging="851"/>
      <w:outlineLvl w:val="1"/>
    </w:pPr>
    <w:rPr>
      <w:b/>
      <w:color w:val="00A1DE"/>
      <w:sz w:val="40"/>
      <w:szCs w:val="28"/>
    </w:rPr>
  </w:style>
  <w:style w:type="paragraph" w:styleId="Heading3">
    <w:name w:val="heading 3"/>
    <w:basedOn w:val="Normal"/>
    <w:next w:val="BodyText"/>
    <w:link w:val="Heading3Char"/>
    <w:uiPriority w:val="99"/>
    <w:qFormat/>
    <w:rsid w:val="00BC105C"/>
    <w:pPr>
      <w:keepNext/>
      <w:numPr>
        <w:ilvl w:val="2"/>
        <w:numId w:val="4"/>
      </w:numPr>
      <w:tabs>
        <w:tab w:val="clear" w:pos="360"/>
        <w:tab w:val="num" w:pos="1134"/>
      </w:tabs>
      <w:spacing w:before="240"/>
      <w:ind w:left="1134" w:hanging="1134"/>
      <w:outlineLvl w:val="2"/>
    </w:pPr>
    <w:rPr>
      <w:color w:val="00A1DE"/>
      <w:sz w:val="28"/>
    </w:rPr>
  </w:style>
  <w:style w:type="paragraph" w:styleId="Heading4">
    <w:name w:val="heading 4"/>
    <w:basedOn w:val="Normal"/>
    <w:next w:val="BodyText"/>
    <w:link w:val="Heading4Char"/>
    <w:uiPriority w:val="99"/>
    <w:qFormat/>
    <w:rsid w:val="00BC105C"/>
    <w:pPr>
      <w:keepNext/>
      <w:numPr>
        <w:ilvl w:val="3"/>
        <w:numId w:val="4"/>
      </w:numPr>
      <w:tabs>
        <w:tab w:val="clear" w:pos="360"/>
        <w:tab w:val="num" w:pos="1134"/>
      </w:tabs>
      <w:spacing w:before="180" w:after="60"/>
      <w:ind w:left="1134" w:hanging="1134"/>
      <w:outlineLvl w:val="3"/>
    </w:pPr>
    <w:rPr>
      <w:b/>
      <w:color w:val="00A1DE"/>
      <w:sz w:val="24"/>
      <w:szCs w:val="24"/>
    </w:rPr>
  </w:style>
  <w:style w:type="paragraph" w:styleId="Heading5">
    <w:name w:val="heading 5"/>
    <w:basedOn w:val="Normal"/>
    <w:next w:val="BodyText"/>
    <w:link w:val="Heading5Char"/>
    <w:uiPriority w:val="99"/>
    <w:qFormat/>
    <w:rsid w:val="00BC105C"/>
    <w:pPr>
      <w:keepNext/>
      <w:numPr>
        <w:ilvl w:val="4"/>
        <w:numId w:val="4"/>
      </w:numPr>
      <w:pBdr>
        <w:top w:val="single" w:sz="12" w:space="5" w:color="931638"/>
        <w:left w:val="single" w:sz="12" w:space="5" w:color="931638"/>
        <w:bottom w:val="single" w:sz="12" w:space="5" w:color="931638"/>
        <w:right w:val="single" w:sz="12" w:space="5" w:color="931638"/>
      </w:pBdr>
      <w:shd w:val="clear" w:color="auto" w:fill="931638"/>
      <w:tabs>
        <w:tab w:val="clear" w:pos="360"/>
      </w:tabs>
      <w:ind w:left="1134" w:right="284" w:hanging="850"/>
      <w:outlineLvl w:val="4"/>
    </w:pPr>
    <w:rPr>
      <w:b/>
      <w:color w:val="FFFFFF"/>
      <w:szCs w:val="24"/>
    </w:rPr>
  </w:style>
  <w:style w:type="paragraph" w:styleId="Heading6">
    <w:name w:val="heading 6"/>
    <w:basedOn w:val="Normal"/>
    <w:next w:val="BodyText"/>
    <w:link w:val="Heading6Char"/>
    <w:uiPriority w:val="99"/>
    <w:qFormat/>
    <w:rsid w:val="00BC105C"/>
    <w:pPr>
      <w:outlineLvl w:val="5"/>
    </w:pPr>
    <w:rPr>
      <w:rFonts w:ascii="Arial Bold" w:hAnsi="Arial Bold"/>
      <w:b/>
      <w:color w:val="931638"/>
      <w:szCs w:val="22"/>
    </w:rPr>
  </w:style>
  <w:style w:type="paragraph" w:styleId="Heading7">
    <w:name w:val="heading 7"/>
    <w:basedOn w:val="Normal"/>
    <w:next w:val="BodyText"/>
    <w:link w:val="Heading7Char"/>
    <w:uiPriority w:val="99"/>
    <w:qFormat/>
    <w:rsid w:val="00BC105C"/>
    <w:pPr>
      <w:outlineLvl w:val="6"/>
    </w:pPr>
    <w:rPr>
      <w:color w:val="931638"/>
      <w:szCs w:val="24"/>
    </w:rPr>
  </w:style>
  <w:style w:type="paragraph" w:styleId="Heading8">
    <w:name w:val="heading 8"/>
    <w:basedOn w:val="Normal"/>
    <w:next w:val="BodyText"/>
    <w:link w:val="Heading8Char"/>
    <w:uiPriority w:val="99"/>
    <w:qFormat/>
    <w:rsid w:val="00BC105C"/>
    <w:pPr>
      <w:spacing w:before="180"/>
      <w:outlineLvl w:val="7"/>
    </w:pPr>
    <w:rPr>
      <w:color w:val="931638"/>
    </w:rPr>
  </w:style>
  <w:style w:type="paragraph" w:styleId="Heading9">
    <w:name w:val="heading 9"/>
    <w:basedOn w:val="Normal"/>
    <w:next w:val="BodyText"/>
    <w:link w:val="Heading9Char"/>
    <w:uiPriority w:val="99"/>
    <w:qFormat/>
    <w:rsid w:val="00BC105C"/>
    <w:pPr>
      <w:spacing w:before="180"/>
      <w:outlineLvl w:val="8"/>
    </w:pPr>
    <w:rPr>
      <w:color w:val="93163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645FC"/>
    <w:rPr>
      <w:rFonts w:ascii="Calibri" w:hAnsi="Calibri" w:cs="Times New Roman"/>
      <w:b/>
      <w:color w:val="00A1DE"/>
      <w:sz w:val="28"/>
      <w:szCs w:val="28"/>
      <w:lang w:val="en-AU" w:eastAsia="en-US" w:bidi="ar-SA"/>
    </w:rPr>
  </w:style>
  <w:style w:type="character" w:customStyle="1" w:styleId="Heading3Char">
    <w:name w:val="Heading 3 Char"/>
    <w:basedOn w:val="DefaultParagraphFont"/>
    <w:link w:val="Heading3"/>
    <w:uiPriority w:val="99"/>
    <w:semiHidden/>
    <w:locked/>
    <w:rsid w:val="008645FC"/>
    <w:rPr>
      <w:rFonts w:ascii="Calibri" w:hAnsi="Calibri" w:cs="Times New Roman"/>
      <w:color w:val="00A1DE"/>
      <w:sz w:val="28"/>
      <w:lang w:val="en-AU" w:eastAsia="en-US" w:bidi="ar-SA"/>
    </w:rPr>
  </w:style>
  <w:style w:type="character" w:customStyle="1" w:styleId="Heading4Char">
    <w:name w:val="Heading 4 Char"/>
    <w:basedOn w:val="DefaultParagraphFont"/>
    <w:link w:val="Heading4"/>
    <w:uiPriority w:val="99"/>
    <w:semiHidden/>
    <w:locked/>
    <w:rsid w:val="008645FC"/>
    <w:rPr>
      <w:rFonts w:ascii="Calibri" w:hAnsi="Calibri" w:cs="Times New Roman"/>
      <w:b/>
      <w:color w:val="00A1DE"/>
      <w:sz w:val="24"/>
      <w:szCs w:val="24"/>
      <w:lang w:val="en-AU" w:eastAsia="en-US" w:bidi="ar-SA"/>
    </w:rPr>
  </w:style>
  <w:style w:type="character" w:customStyle="1" w:styleId="Heading5Char">
    <w:name w:val="Heading 5 Char"/>
    <w:basedOn w:val="DefaultParagraphFont"/>
    <w:link w:val="Heading5"/>
    <w:uiPriority w:val="99"/>
    <w:semiHidden/>
    <w:locked/>
    <w:rsid w:val="008645FC"/>
    <w:rPr>
      <w:rFonts w:ascii="Calibri" w:hAnsi="Calibri" w:cs="Times New Roman"/>
      <w:b/>
      <w:color w:val="FFFFFF"/>
      <w:sz w:val="24"/>
      <w:szCs w:val="24"/>
      <w:lang w:val="en-AU" w:eastAsia="en-US" w:bidi="ar-SA"/>
    </w:rPr>
  </w:style>
  <w:style w:type="character" w:customStyle="1" w:styleId="Heading6Char">
    <w:name w:val="Heading 6 Char"/>
    <w:basedOn w:val="DefaultParagraphFont"/>
    <w:link w:val="Heading6"/>
    <w:uiPriority w:val="99"/>
    <w:semiHidden/>
    <w:locked/>
    <w:rsid w:val="008645FC"/>
    <w:rPr>
      <w:rFonts w:ascii="Calibri" w:hAnsi="Calibri" w:cs="Times New Roman"/>
      <w:b/>
      <w:bCs/>
      <w:lang w:val="x-none" w:eastAsia="en-US"/>
    </w:rPr>
  </w:style>
  <w:style w:type="character" w:customStyle="1" w:styleId="Heading7Char">
    <w:name w:val="Heading 7 Char"/>
    <w:basedOn w:val="DefaultParagraphFont"/>
    <w:link w:val="Heading7"/>
    <w:uiPriority w:val="99"/>
    <w:semiHidden/>
    <w:locked/>
    <w:rsid w:val="008645FC"/>
    <w:rPr>
      <w:rFonts w:ascii="Calibri" w:hAnsi="Calibri" w:cs="Times New Roman"/>
      <w:sz w:val="24"/>
      <w:szCs w:val="24"/>
      <w:lang w:val="x-none" w:eastAsia="en-US"/>
    </w:rPr>
  </w:style>
  <w:style w:type="character" w:customStyle="1" w:styleId="Heading8Char">
    <w:name w:val="Heading 8 Char"/>
    <w:basedOn w:val="DefaultParagraphFont"/>
    <w:link w:val="Heading8"/>
    <w:uiPriority w:val="99"/>
    <w:semiHidden/>
    <w:locked/>
    <w:rsid w:val="008645FC"/>
    <w:rPr>
      <w:rFonts w:ascii="Calibri" w:hAnsi="Calibri" w:cs="Times New Roman"/>
      <w:i/>
      <w:iCs/>
      <w:sz w:val="24"/>
      <w:szCs w:val="24"/>
      <w:lang w:val="x-none" w:eastAsia="en-US"/>
    </w:rPr>
  </w:style>
  <w:style w:type="character" w:customStyle="1" w:styleId="Heading9Char">
    <w:name w:val="Heading 9 Char"/>
    <w:basedOn w:val="DefaultParagraphFont"/>
    <w:link w:val="Heading9"/>
    <w:uiPriority w:val="99"/>
    <w:semiHidden/>
    <w:locked/>
    <w:rsid w:val="008645FC"/>
    <w:rPr>
      <w:rFonts w:ascii="Cambria" w:hAnsi="Cambria" w:cs="Times New Roman"/>
      <w:lang w:val="x-none" w:eastAsia="en-US"/>
    </w:rPr>
  </w:style>
  <w:style w:type="paragraph" w:styleId="BodyText">
    <w:name w:val="Body Text"/>
    <w:basedOn w:val="Normal"/>
    <w:link w:val="BodyTextChar"/>
    <w:uiPriority w:val="99"/>
    <w:rsid w:val="00BC105C"/>
    <w:pPr>
      <w:spacing w:before="240"/>
      <w:jc w:val="both"/>
    </w:pPr>
  </w:style>
  <w:style w:type="character" w:customStyle="1" w:styleId="Heading1Char">
    <w:name w:val="Heading 1 Char"/>
    <w:basedOn w:val="DefaultParagraphFont"/>
    <w:link w:val="Heading1"/>
    <w:uiPriority w:val="99"/>
    <w:locked/>
    <w:rsid w:val="008645FC"/>
    <w:rPr>
      <w:rFonts w:ascii="Calibri" w:hAnsi="Calibri" w:cs="Times New Roman"/>
      <w:b/>
      <w:color w:val="002776"/>
      <w:kern w:val="28"/>
      <w:sz w:val="56"/>
      <w:lang w:val="en-AU" w:eastAsia="en-US" w:bidi="ar-SA"/>
    </w:rPr>
  </w:style>
  <w:style w:type="paragraph" w:customStyle="1" w:styleId="TableHeadingLeft">
    <w:name w:val="Table Heading Left"/>
    <w:basedOn w:val="Normal"/>
    <w:uiPriority w:val="99"/>
    <w:rsid w:val="00BC105C"/>
    <w:pPr>
      <w:keepNext/>
      <w:keepLines/>
      <w:spacing w:before="20" w:after="20"/>
    </w:pPr>
    <w:rPr>
      <w:b/>
      <w:color w:val="002776"/>
    </w:rPr>
  </w:style>
  <w:style w:type="character" w:customStyle="1" w:styleId="BodyTextChar">
    <w:name w:val="Body Text Char"/>
    <w:basedOn w:val="DefaultParagraphFont"/>
    <w:link w:val="BodyText"/>
    <w:uiPriority w:val="99"/>
    <w:locked/>
    <w:rsid w:val="00BC105C"/>
    <w:rPr>
      <w:rFonts w:ascii="Calibri" w:hAnsi="Calibri" w:cs="Times New Roman"/>
      <w:sz w:val="22"/>
      <w:lang w:val="x-none" w:eastAsia="en-US"/>
    </w:rPr>
  </w:style>
  <w:style w:type="paragraph" w:customStyle="1" w:styleId="TableHeadingRight">
    <w:name w:val="Table Heading Right"/>
    <w:basedOn w:val="Normal"/>
    <w:uiPriority w:val="99"/>
    <w:rsid w:val="00BC105C"/>
    <w:pPr>
      <w:keepNext/>
      <w:keepLines/>
      <w:spacing w:before="20" w:after="20"/>
      <w:jc w:val="right"/>
    </w:pPr>
    <w:rPr>
      <w:b/>
      <w:color w:val="002776"/>
    </w:rPr>
  </w:style>
  <w:style w:type="paragraph" w:customStyle="1" w:styleId="SingleLeft">
    <w:name w:val="Single Left"/>
    <w:basedOn w:val="Normal"/>
    <w:uiPriority w:val="99"/>
    <w:rsid w:val="00BC105C"/>
    <w:pPr>
      <w:jc w:val="both"/>
    </w:pPr>
  </w:style>
  <w:style w:type="paragraph" w:customStyle="1" w:styleId="TabletextCentre">
    <w:name w:val="Table text Centre"/>
    <w:basedOn w:val="Normal"/>
    <w:uiPriority w:val="99"/>
    <w:rsid w:val="00BC105C"/>
    <w:pPr>
      <w:spacing w:before="60"/>
      <w:jc w:val="center"/>
    </w:pPr>
    <w:rPr>
      <w:rFonts w:cs="Arial"/>
      <w:sz w:val="20"/>
    </w:rPr>
  </w:style>
  <w:style w:type="paragraph" w:customStyle="1" w:styleId="TabletextRight">
    <w:name w:val="Table text Right"/>
    <w:basedOn w:val="Normal"/>
    <w:uiPriority w:val="99"/>
    <w:rsid w:val="00BC105C"/>
    <w:pPr>
      <w:spacing w:before="60"/>
      <w:jc w:val="right"/>
    </w:pPr>
    <w:rPr>
      <w:sz w:val="20"/>
    </w:rPr>
  </w:style>
  <w:style w:type="paragraph" w:customStyle="1" w:styleId="IndentParaGreySource">
    <w:name w:val="Indent Para Grey Source"/>
    <w:basedOn w:val="IndentParaGrey"/>
    <w:uiPriority w:val="99"/>
    <w:rsid w:val="00BC105C"/>
    <w:pPr>
      <w:keepNext w:val="0"/>
    </w:pPr>
    <w:rPr>
      <w:rFonts w:cs="Arial"/>
      <w:sz w:val="18"/>
    </w:rPr>
  </w:style>
  <w:style w:type="paragraph" w:customStyle="1" w:styleId="IndentParaGrey">
    <w:name w:val="Indent Para Grey"/>
    <w:basedOn w:val="IndentPara"/>
    <w:next w:val="Normal"/>
    <w:uiPriority w:val="99"/>
    <w:rsid w:val="00BC105C"/>
    <w:pPr>
      <w:keepNext/>
      <w:keepLines/>
      <w:pBdr>
        <w:top w:val="single" w:sz="8" w:space="5" w:color="002776"/>
        <w:left w:val="single" w:sz="8" w:space="5" w:color="002776"/>
        <w:bottom w:val="single" w:sz="8" w:space="5" w:color="002776"/>
        <w:right w:val="single" w:sz="8" w:space="5" w:color="002776"/>
      </w:pBdr>
      <w:shd w:val="solid" w:color="E1E1E1" w:fill="C0C0C0"/>
      <w:spacing w:after="240"/>
    </w:pPr>
    <w:rPr>
      <w:color w:val="000000"/>
    </w:rPr>
  </w:style>
  <w:style w:type="paragraph" w:customStyle="1" w:styleId="IndentPara">
    <w:name w:val="Indent Para"/>
    <w:basedOn w:val="Normal"/>
    <w:next w:val="BodyText"/>
    <w:uiPriority w:val="99"/>
    <w:rsid w:val="00BC105C"/>
    <w:pPr>
      <w:spacing w:before="240"/>
      <w:ind w:left="567" w:right="567"/>
      <w:jc w:val="both"/>
    </w:pPr>
  </w:style>
  <w:style w:type="paragraph" w:customStyle="1" w:styleId="IndentParaGreyBullet">
    <w:name w:val="Indent Para Grey Bullet"/>
    <w:basedOn w:val="IndentParaGrey"/>
    <w:uiPriority w:val="99"/>
    <w:rsid w:val="00BC105C"/>
    <w:pPr>
      <w:numPr>
        <w:numId w:val="22"/>
      </w:numPr>
      <w:tabs>
        <w:tab w:val="left" w:pos="1134"/>
      </w:tabs>
      <w:spacing w:after="60"/>
    </w:pPr>
    <w:rPr>
      <w:rFonts w:cs="Arial"/>
    </w:rPr>
  </w:style>
  <w:style w:type="paragraph" w:styleId="Header">
    <w:name w:val="header"/>
    <w:basedOn w:val="Normal"/>
    <w:link w:val="HeaderChar"/>
    <w:uiPriority w:val="99"/>
    <w:rsid w:val="00BC105C"/>
    <w:pPr>
      <w:jc w:val="right"/>
    </w:pPr>
    <w:rPr>
      <w:color w:val="595959"/>
    </w:rPr>
  </w:style>
  <w:style w:type="paragraph" w:customStyle="1" w:styleId="BoldPara">
    <w:name w:val="Bold Para"/>
    <w:basedOn w:val="Normal"/>
    <w:next w:val="BodyText"/>
    <w:link w:val="BoldParaChar"/>
    <w:uiPriority w:val="99"/>
    <w:rsid w:val="00BC105C"/>
    <w:pPr>
      <w:spacing w:before="240"/>
      <w:jc w:val="both"/>
    </w:pPr>
    <w:rPr>
      <w:b/>
      <w:color w:val="002776"/>
      <w:szCs w:val="24"/>
    </w:rPr>
  </w:style>
  <w:style w:type="character" w:customStyle="1" w:styleId="HeaderChar">
    <w:name w:val="Header Char"/>
    <w:basedOn w:val="DefaultParagraphFont"/>
    <w:link w:val="Header"/>
    <w:uiPriority w:val="99"/>
    <w:locked/>
    <w:rsid w:val="00BC105C"/>
    <w:rPr>
      <w:rFonts w:ascii="Calibri" w:hAnsi="Calibri" w:cs="Times New Roman"/>
      <w:color w:val="595959"/>
      <w:sz w:val="22"/>
      <w:lang w:val="x-none" w:eastAsia="en-US"/>
    </w:rPr>
  </w:style>
  <w:style w:type="character" w:styleId="PageNumber">
    <w:name w:val="page number"/>
    <w:basedOn w:val="DefaultParagraphFont"/>
    <w:uiPriority w:val="99"/>
    <w:rsid w:val="00BC105C"/>
    <w:rPr>
      <w:rFonts w:ascii="Calibri" w:hAnsi="Calibri" w:cs="Times New Roman"/>
      <w:color w:val="auto"/>
      <w:sz w:val="18"/>
      <w:szCs w:val="18"/>
    </w:rPr>
  </w:style>
  <w:style w:type="paragraph" w:customStyle="1" w:styleId="Bullet1">
    <w:name w:val="Bullet 1"/>
    <w:basedOn w:val="Normal"/>
    <w:link w:val="Bullet1Char"/>
    <w:uiPriority w:val="99"/>
    <w:rsid w:val="00BC105C"/>
    <w:pPr>
      <w:numPr>
        <w:numId w:val="2"/>
      </w:numPr>
      <w:tabs>
        <w:tab w:val="clear" w:pos="360"/>
      </w:tabs>
      <w:spacing w:before="60"/>
      <w:jc w:val="both"/>
    </w:pPr>
    <w:rPr>
      <w:rFonts w:cs="Arial"/>
      <w:lang w:eastAsia="en-AU"/>
    </w:rPr>
  </w:style>
  <w:style w:type="paragraph" w:customStyle="1" w:styleId="BoxedHighlight">
    <w:name w:val="Boxed Highlight"/>
    <w:basedOn w:val="IndentPara"/>
    <w:next w:val="BodyText"/>
    <w:uiPriority w:val="99"/>
    <w:rsid w:val="00BC105C"/>
    <w:pPr>
      <w:pBdr>
        <w:top w:val="single" w:sz="18" w:space="5" w:color="002776"/>
        <w:left w:val="single" w:sz="18" w:space="5" w:color="002776"/>
        <w:bottom w:val="single" w:sz="18" w:space="5" w:color="002776"/>
        <w:right w:val="single" w:sz="18" w:space="5" w:color="002776"/>
      </w:pBdr>
      <w:contextualSpacing/>
    </w:pPr>
    <w:rPr>
      <w:rFonts w:cs="Arial"/>
      <w:color w:val="002776"/>
      <w:szCs w:val="24"/>
    </w:rPr>
  </w:style>
  <w:style w:type="paragraph" w:customStyle="1" w:styleId="Disclaimer">
    <w:name w:val="Disclaimer"/>
    <w:basedOn w:val="Normal"/>
    <w:uiPriority w:val="99"/>
    <w:rsid w:val="00BC105C"/>
    <w:rPr>
      <w:rFonts w:ascii="Swis721 Md BT" w:hAnsi="Swis721 Md BT"/>
      <w:b/>
      <w:color w:val="000000"/>
      <w:sz w:val="16"/>
      <w:szCs w:val="16"/>
    </w:rPr>
  </w:style>
  <w:style w:type="character" w:styleId="FootnoteReference">
    <w:name w:val="footnote reference"/>
    <w:basedOn w:val="DefaultParagraphFont"/>
    <w:uiPriority w:val="99"/>
    <w:semiHidden/>
    <w:rsid w:val="00BC105C"/>
    <w:rPr>
      <w:rFonts w:ascii="Arial" w:hAnsi="Arial" w:cs="Times New Roman"/>
      <w:sz w:val="24"/>
      <w:szCs w:val="24"/>
      <w:vertAlign w:val="superscript"/>
    </w:rPr>
  </w:style>
  <w:style w:type="table" w:customStyle="1" w:styleId="TableAE">
    <w:name w:val="Table AE"/>
    <w:uiPriority w:val="99"/>
    <w:rsid w:val="00BC105C"/>
    <w:pPr>
      <w:spacing w:after="0" w:line="240" w:lineRule="auto"/>
    </w:pPr>
    <w:rPr>
      <w:rFonts w:ascii="Arial" w:hAnsi="Arial"/>
      <w:sz w:val="20"/>
      <w:szCs w:val="20"/>
    </w:rPr>
    <w:tblPr>
      <w:jc w:val="center"/>
      <w:tblInd w:w="0" w:type="dxa"/>
      <w:tblBorders>
        <w:bottom w:val="single" w:sz="12" w:space="0" w:color="002776"/>
      </w:tblBorders>
      <w:tblCellMar>
        <w:top w:w="0" w:type="dxa"/>
        <w:left w:w="108" w:type="dxa"/>
        <w:bottom w:w="0" w:type="dxa"/>
        <w:right w:w="108" w:type="dxa"/>
      </w:tblCellMar>
    </w:tblPr>
    <w:trPr>
      <w:cantSplit/>
      <w:jc w:val="center"/>
    </w:trPr>
  </w:style>
  <w:style w:type="paragraph" w:customStyle="1" w:styleId="IndentParaBurgundy">
    <w:name w:val="Indent Para Burgundy"/>
    <w:basedOn w:val="IndentParaDarkGrey"/>
    <w:next w:val="Normal"/>
    <w:uiPriority w:val="99"/>
    <w:rsid w:val="00BC105C"/>
    <w:pPr>
      <w:keepNext/>
      <w:keepLines/>
      <w:pBdr>
        <w:top w:val="single" w:sz="8" w:space="5" w:color="002776"/>
        <w:left w:val="single" w:sz="8" w:space="5" w:color="002776"/>
        <w:bottom w:val="single" w:sz="8" w:space="5" w:color="002776"/>
        <w:right w:val="single" w:sz="8" w:space="5" w:color="002776"/>
      </w:pBdr>
      <w:shd w:val="clear" w:color="808080" w:fill="002776"/>
    </w:pPr>
  </w:style>
  <w:style w:type="paragraph" w:customStyle="1" w:styleId="IndentQuote">
    <w:name w:val="Indent Quote"/>
    <w:basedOn w:val="Normal"/>
    <w:next w:val="Normal"/>
    <w:uiPriority w:val="99"/>
    <w:rsid w:val="00BC105C"/>
    <w:pPr>
      <w:tabs>
        <w:tab w:val="left" w:pos="1134"/>
      </w:tabs>
      <w:spacing w:before="240"/>
      <w:ind w:left="567" w:right="567"/>
      <w:jc w:val="both"/>
    </w:pPr>
    <w:rPr>
      <w:i/>
      <w:color w:val="595959"/>
    </w:rPr>
  </w:style>
  <w:style w:type="paragraph" w:customStyle="1" w:styleId="TableHeadingCentre">
    <w:name w:val="Table Heading Centre"/>
    <w:basedOn w:val="Normal"/>
    <w:uiPriority w:val="99"/>
    <w:rsid w:val="00BC105C"/>
    <w:pPr>
      <w:keepNext/>
      <w:keepLines/>
      <w:spacing w:before="20" w:after="20"/>
      <w:jc w:val="center"/>
    </w:pPr>
    <w:rPr>
      <w:b/>
      <w:color w:val="002776"/>
      <w:szCs w:val="22"/>
    </w:rPr>
  </w:style>
  <w:style w:type="paragraph" w:customStyle="1" w:styleId="Equation">
    <w:name w:val="Equation"/>
    <w:basedOn w:val="Normal"/>
    <w:next w:val="Normal"/>
    <w:uiPriority w:val="99"/>
    <w:rsid w:val="00BC105C"/>
    <w:pPr>
      <w:spacing w:before="240"/>
      <w:jc w:val="center"/>
    </w:pPr>
    <w:rPr>
      <w:rFonts w:ascii="Times New Roman" w:hAnsi="Times New Roman"/>
      <w:i/>
      <w:sz w:val="24"/>
      <w:szCs w:val="24"/>
    </w:rPr>
  </w:style>
  <w:style w:type="paragraph" w:customStyle="1" w:styleId="Contents-Major">
    <w:name w:val="Contents - Major"/>
    <w:basedOn w:val="Normal"/>
    <w:uiPriority w:val="99"/>
    <w:rsid w:val="00BC105C"/>
    <w:pPr>
      <w:keepNext/>
      <w:spacing w:after="200"/>
    </w:pPr>
    <w:rPr>
      <w:color w:val="002776"/>
      <w:sz w:val="56"/>
      <w:szCs w:val="32"/>
    </w:rPr>
  </w:style>
  <w:style w:type="paragraph" w:customStyle="1" w:styleId="Reference">
    <w:name w:val="Reference"/>
    <w:basedOn w:val="Normal"/>
    <w:uiPriority w:val="99"/>
    <w:rsid w:val="00BC105C"/>
    <w:pPr>
      <w:spacing w:before="240" w:after="240"/>
      <w:ind w:left="567" w:hanging="567"/>
    </w:pPr>
  </w:style>
  <w:style w:type="paragraph" w:styleId="TOC1">
    <w:name w:val="toc 1"/>
    <w:basedOn w:val="Normal"/>
    <w:next w:val="Normal"/>
    <w:uiPriority w:val="99"/>
    <w:rsid w:val="00BC105C"/>
    <w:pPr>
      <w:tabs>
        <w:tab w:val="left" w:pos="567"/>
        <w:tab w:val="right" w:leader="dot" w:pos="8505"/>
      </w:tabs>
      <w:spacing w:before="120"/>
    </w:pPr>
    <w:rPr>
      <w:rFonts w:cs="Arial"/>
      <w:szCs w:val="22"/>
    </w:rPr>
  </w:style>
  <w:style w:type="paragraph" w:styleId="TOC2">
    <w:name w:val="toc 2"/>
    <w:basedOn w:val="Normal"/>
    <w:next w:val="Normal"/>
    <w:uiPriority w:val="99"/>
    <w:rsid w:val="00BC105C"/>
    <w:pPr>
      <w:tabs>
        <w:tab w:val="left" w:pos="1134"/>
        <w:tab w:val="right" w:leader="dot" w:pos="8505"/>
      </w:tabs>
      <w:spacing w:before="60"/>
      <w:ind w:left="1134" w:right="567" w:hanging="567"/>
    </w:pPr>
    <w:rPr>
      <w:noProof/>
      <w:sz w:val="20"/>
    </w:rPr>
  </w:style>
  <w:style w:type="paragraph" w:styleId="TOC3">
    <w:name w:val="toc 3"/>
    <w:basedOn w:val="Normal"/>
    <w:next w:val="Normal"/>
    <w:autoRedefine/>
    <w:uiPriority w:val="99"/>
    <w:rsid w:val="00BC105C"/>
    <w:pPr>
      <w:tabs>
        <w:tab w:val="left" w:pos="1985"/>
        <w:tab w:val="right" w:leader="dot" w:pos="8505"/>
      </w:tabs>
      <w:spacing w:before="60" w:after="100" w:line="276" w:lineRule="auto"/>
      <w:ind w:left="2268" w:hanging="1134"/>
    </w:pPr>
    <w:rPr>
      <w:sz w:val="20"/>
      <w:szCs w:val="22"/>
    </w:rPr>
  </w:style>
  <w:style w:type="character" w:styleId="Hyperlink">
    <w:name w:val="Hyperlink"/>
    <w:basedOn w:val="DefaultParagraphFont"/>
    <w:uiPriority w:val="99"/>
    <w:rsid w:val="00BC105C"/>
    <w:rPr>
      <w:rFonts w:cs="Times New Roman"/>
    </w:rPr>
  </w:style>
  <w:style w:type="paragraph" w:customStyle="1" w:styleId="FooterOdd">
    <w:name w:val="Footer Odd"/>
    <w:basedOn w:val="Normal"/>
    <w:uiPriority w:val="99"/>
    <w:rsid w:val="00BC105C"/>
    <w:pPr>
      <w:framePr w:hSpace="181" w:wrap="around" w:vAnchor="text" w:hAnchor="page" w:x="10774" w:y="211"/>
      <w:shd w:val="solid" w:color="FFFFFF" w:fill="FFFFFF"/>
      <w:spacing w:before="120"/>
      <w:jc w:val="right"/>
    </w:pPr>
    <w:rPr>
      <w:sz w:val="18"/>
    </w:rPr>
  </w:style>
  <w:style w:type="table" w:customStyle="1" w:styleId="TableGridWithTotals">
    <w:name w:val="Table Grid With Totals"/>
    <w:uiPriority w:val="99"/>
    <w:rsid w:val="00BC105C"/>
    <w:pPr>
      <w:keepNext/>
      <w:keepLines/>
      <w:spacing w:before="60" w:after="0" w:line="240" w:lineRule="auto"/>
    </w:pPr>
    <w:rPr>
      <w:rFonts w:ascii="Arial" w:hAnsi="Arial"/>
      <w:sz w:val="20"/>
      <w:szCs w:val="20"/>
    </w:rPr>
    <w:tblPr>
      <w:tblInd w:w="0" w:type="dxa"/>
      <w:tblCellMar>
        <w:top w:w="0" w:type="dxa"/>
        <w:left w:w="108" w:type="dxa"/>
        <w:bottom w:w="0" w:type="dxa"/>
        <w:right w:w="108" w:type="dxa"/>
      </w:tblCellMar>
    </w:tblPr>
    <w:trPr>
      <w:cantSplit/>
    </w:trPr>
  </w:style>
  <w:style w:type="paragraph" w:customStyle="1" w:styleId="NumberedList">
    <w:name w:val="Numbered List"/>
    <w:basedOn w:val="Normal"/>
    <w:uiPriority w:val="99"/>
    <w:rsid w:val="00BC105C"/>
    <w:pPr>
      <w:numPr>
        <w:numId w:val="24"/>
      </w:numPr>
      <w:spacing w:before="60"/>
      <w:jc w:val="both"/>
    </w:pPr>
    <w:rPr>
      <w:rFonts w:cs="Arial"/>
    </w:rPr>
  </w:style>
  <w:style w:type="paragraph" w:styleId="Caption">
    <w:name w:val="caption"/>
    <w:basedOn w:val="Normal"/>
    <w:next w:val="Normal"/>
    <w:uiPriority w:val="99"/>
    <w:qFormat/>
    <w:rsid w:val="00BC105C"/>
    <w:pPr>
      <w:keepNext/>
      <w:keepLines/>
      <w:spacing w:before="240" w:after="240"/>
      <w:jc w:val="center"/>
    </w:pPr>
    <w:rPr>
      <w:b/>
      <w:bCs/>
      <w:color w:val="931638"/>
      <w:szCs w:val="22"/>
    </w:rPr>
  </w:style>
  <w:style w:type="paragraph" w:customStyle="1" w:styleId="Note">
    <w:name w:val="Note"/>
    <w:basedOn w:val="Normal"/>
    <w:link w:val="NoteChar"/>
    <w:uiPriority w:val="99"/>
    <w:rsid w:val="00BC105C"/>
    <w:pPr>
      <w:spacing w:before="60" w:after="120"/>
    </w:pPr>
    <w:rPr>
      <w:sz w:val="18"/>
    </w:rPr>
  </w:style>
  <w:style w:type="paragraph" w:customStyle="1" w:styleId="MajorHeading">
    <w:name w:val="Major Heading"/>
    <w:basedOn w:val="Normal"/>
    <w:next w:val="Normal"/>
    <w:uiPriority w:val="99"/>
    <w:rsid w:val="00BC105C"/>
    <w:pPr>
      <w:pageBreakBefore/>
      <w:numPr>
        <w:numId w:val="6"/>
      </w:numPr>
      <w:tabs>
        <w:tab w:val="clear" w:pos="360"/>
      </w:tabs>
      <w:spacing w:after="120"/>
      <w:ind w:left="567" w:hanging="113"/>
    </w:pPr>
    <w:rPr>
      <w:rFonts w:cs="Arial"/>
      <w:b/>
      <w:color w:val="002776"/>
      <w:sz w:val="56"/>
    </w:rPr>
  </w:style>
  <w:style w:type="paragraph" w:styleId="TableofFigures">
    <w:name w:val="table of figures"/>
    <w:basedOn w:val="Normal"/>
    <w:next w:val="Normal"/>
    <w:uiPriority w:val="99"/>
    <w:rsid w:val="00BC105C"/>
    <w:pPr>
      <w:tabs>
        <w:tab w:val="right" w:leader="dot" w:pos="8505"/>
      </w:tabs>
      <w:spacing w:before="60"/>
      <w:ind w:left="567" w:right="567" w:hanging="567"/>
    </w:pPr>
    <w:rPr>
      <w:szCs w:val="22"/>
    </w:rPr>
  </w:style>
  <w:style w:type="paragraph" w:customStyle="1" w:styleId="TabletextLeft">
    <w:name w:val="Table text Left"/>
    <w:basedOn w:val="Normal"/>
    <w:uiPriority w:val="99"/>
    <w:rsid w:val="00BC105C"/>
    <w:pPr>
      <w:spacing w:before="60"/>
    </w:pPr>
    <w:rPr>
      <w:sz w:val="20"/>
    </w:rPr>
  </w:style>
  <w:style w:type="table" w:customStyle="1" w:styleId="TableGridWithoutTotals">
    <w:name w:val="Table Grid Without Totals"/>
    <w:uiPriority w:val="99"/>
    <w:rsid w:val="00BC105C"/>
    <w:pPr>
      <w:keepNext/>
      <w:keepLines/>
      <w:spacing w:after="0" w:line="240" w:lineRule="auto"/>
    </w:pPr>
    <w:rPr>
      <w:rFonts w:ascii="Arial" w:hAnsi="Arial"/>
      <w:sz w:val="20"/>
      <w:szCs w:val="20"/>
    </w:rPr>
    <w:tblPr>
      <w:tblInd w:w="0" w:type="dxa"/>
      <w:tblCellMar>
        <w:top w:w="0" w:type="dxa"/>
        <w:left w:w="108" w:type="dxa"/>
        <w:bottom w:w="0" w:type="dxa"/>
        <w:right w:w="108" w:type="dxa"/>
      </w:tblCellMar>
    </w:tblPr>
    <w:trPr>
      <w:cantSplit/>
    </w:trPr>
  </w:style>
  <w:style w:type="table" w:styleId="TableGrid">
    <w:name w:val="Table Grid"/>
    <w:basedOn w:val="TableNormal"/>
    <w:uiPriority w:val="99"/>
    <w:rsid w:val="00BC105C"/>
    <w:pPr>
      <w:spacing w:after="0" w:line="240" w:lineRule="auto"/>
      <w:jc w:val="both"/>
    </w:pPr>
    <w:rPr>
      <w:sz w:val="20"/>
      <w:szCs w:val="20"/>
    </w:rPr>
    <w:tblPr>
      <w:tblInd w:w="0" w:type="dxa"/>
      <w:tblCellMar>
        <w:top w:w="0" w:type="dxa"/>
        <w:left w:w="108" w:type="dxa"/>
        <w:bottom w:w="0" w:type="dxa"/>
        <w:right w:w="108" w:type="dxa"/>
      </w:tblCellMar>
    </w:tblPr>
    <w:trPr>
      <w:cantSplit/>
    </w:trPr>
  </w:style>
  <w:style w:type="paragraph" w:customStyle="1" w:styleId="Tabletotals">
    <w:name w:val="Table totals"/>
    <w:basedOn w:val="Normal"/>
    <w:uiPriority w:val="99"/>
    <w:rsid w:val="00BC105C"/>
    <w:pPr>
      <w:keepNext/>
      <w:keepLines/>
      <w:ind w:left="142"/>
    </w:pPr>
  </w:style>
  <w:style w:type="table" w:customStyle="1" w:styleId="TableTwoHeadingRows">
    <w:name w:val="Table Two Heading Rows"/>
    <w:uiPriority w:val="99"/>
    <w:rsid w:val="00BC105C"/>
    <w:pPr>
      <w:spacing w:after="0" w:line="240" w:lineRule="auto"/>
    </w:pPr>
    <w:rPr>
      <w:rFonts w:ascii="Arial" w:hAnsi="Arial"/>
      <w:sz w:val="20"/>
      <w:szCs w:val="20"/>
    </w:rPr>
    <w:tblPr>
      <w:tblInd w:w="0" w:type="dxa"/>
      <w:tblCellMar>
        <w:top w:w="0" w:type="dxa"/>
        <w:left w:w="108" w:type="dxa"/>
        <w:bottom w:w="0" w:type="dxa"/>
        <w:right w:w="108" w:type="dxa"/>
      </w:tblCellMar>
    </w:tblPr>
  </w:style>
  <w:style w:type="paragraph" w:customStyle="1" w:styleId="FooterLeft">
    <w:name w:val="FooterLeft"/>
    <w:basedOn w:val="Normal"/>
    <w:uiPriority w:val="99"/>
    <w:rsid w:val="00BC105C"/>
    <w:pPr>
      <w:ind w:left="-227" w:right="357"/>
    </w:pPr>
    <w:rPr>
      <w:sz w:val="18"/>
    </w:rPr>
  </w:style>
  <w:style w:type="paragraph" w:customStyle="1" w:styleId="Heading">
    <w:name w:val="Heading"/>
    <w:basedOn w:val="Normal"/>
    <w:next w:val="Normal"/>
    <w:uiPriority w:val="99"/>
    <w:rsid w:val="00BC105C"/>
    <w:pPr>
      <w:keepNext/>
      <w:pageBreakBefore/>
      <w:numPr>
        <w:numId w:val="25"/>
      </w:numPr>
      <w:spacing w:before="360" w:after="180"/>
    </w:pPr>
    <w:rPr>
      <w:b/>
      <w:color w:val="002776"/>
      <w:sz w:val="56"/>
      <w:szCs w:val="28"/>
    </w:rPr>
  </w:style>
  <w:style w:type="paragraph" w:customStyle="1" w:styleId="Source">
    <w:name w:val="Source"/>
    <w:basedOn w:val="Note"/>
    <w:link w:val="SourceChar"/>
    <w:uiPriority w:val="99"/>
    <w:rsid w:val="00BC105C"/>
    <w:pPr>
      <w:spacing w:before="0"/>
    </w:pPr>
    <w:rPr>
      <w:rFonts w:cs="Arial"/>
    </w:rPr>
  </w:style>
  <w:style w:type="paragraph" w:customStyle="1" w:styleId="HeaderLine2">
    <w:name w:val="Header Line 2"/>
    <w:basedOn w:val="Header"/>
    <w:uiPriority w:val="99"/>
    <w:rsid w:val="00BC105C"/>
    <w:pPr>
      <w:pBdr>
        <w:top w:val="single" w:sz="4" w:space="1" w:color="931638"/>
      </w:pBdr>
    </w:pPr>
  </w:style>
  <w:style w:type="paragraph" w:customStyle="1" w:styleId="DisclaimerText">
    <w:name w:val="DisclaimerText"/>
    <w:basedOn w:val="Normal"/>
    <w:uiPriority w:val="99"/>
    <w:rsid w:val="00BC105C"/>
    <w:pPr>
      <w:spacing w:before="20"/>
      <w:jc w:val="both"/>
    </w:pPr>
    <w:rPr>
      <w:rFonts w:ascii="Swis721 Md BT" w:hAnsi="Swis721 Md BT"/>
      <w:color w:val="000000"/>
      <w:sz w:val="16"/>
      <w:szCs w:val="16"/>
    </w:rPr>
  </w:style>
  <w:style w:type="paragraph" w:customStyle="1" w:styleId="FooterLandscape">
    <w:name w:val="FooterLandscape"/>
    <w:basedOn w:val="Normal"/>
    <w:uiPriority w:val="99"/>
    <w:rsid w:val="00BC105C"/>
    <w:pPr>
      <w:tabs>
        <w:tab w:val="right" w:pos="14031"/>
      </w:tabs>
      <w:ind w:left="-454" w:right="142"/>
    </w:pPr>
    <w:rPr>
      <w:rFonts w:ascii="Swis721 LtCn BT" w:hAnsi="Swis721 LtCn BT"/>
      <w:sz w:val="18"/>
    </w:rPr>
  </w:style>
  <w:style w:type="paragraph" w:customStyle="1" w:styleId="ReportTitle">
    <w:name w:val="Report Title"/>
    <w:basedOn w:val="Normal"/>
    <w:uiPriority w:val="99"/>
    <w:rsid w:val="00BC105C"/>
    <w:pPr>
      <w:framePr w:hSpace="181" w:wrap="around" w:vAnchor="page" w:hAnchor="margin" w:y="3403"/>
      <w:suppressOverlap/>
    </w:pPr>
    <w:rPr>
      <w:color w:val="002776"/>
      <w:sz w:val="72"/>
      <w:szCs w:val="56"/>
    </w:rPr>
  </w:style>
  <w:style w:type="paragraph" w:customStyle="1" w:styleId="SubHeading">
    <w:name w:val="Sub Heading"/>
    <w:basedOn w:val="Normal"/>
    <w:uiPriority w:val="99"/>
    <w:rsid w:val="00BC105C"/>
    <w:pPr>
      <w:keepNext/>
      <w:spacing w:before="360" w:after="60"/>
    </w:pPr>
    <w:rPr>
      <w:rFonts w:cs="Arial"/>
      <w:b/>
      <w:color w:val="931638"/>
    </w:rPr>
  </w:style>
  <w:style w:type="character" w:styleId="Strong">
    <w:name w:val="Strong"/>
    <w:basedOn w:val="DefaultParagraphFont"/>
    <w:uiPriority w:val="99"/>
    <w:qFormat/>
    <w:rsid w:val="00BC105C"/>
    <w:rPr>
      <w:rFonts w:cs="Times New Roman"/>
      <w:b/>
      <w:bCs/>
    </w:rPr>
  </w:style>
  <w:style w:type="character" w:styleId="Emphasis">
    <w:name w:val="Emphasis"/>
    <w:basedOn w:val="DefaultParagraphFont"/>
    <w:uiPriority w:val="99"/>
    <w:qFormat/>
    <w:rsid w:val="00BC105C"/>
    <w:rPr>
      <w:rFonts w:cs="Times New Roman"/>
      <w:i/>
      <w:iCs/>
    </w:rPr>
  </w:style>
  <w:style w:type="paragraph" w:styleId="CommentText">
    <w:name w:val="annotation text"/>
    <w:basedOn w:val="Normal"/>
    <w:link w:val="CommentTextChar"/>
    <w:uiPriority w:val="99"/>
    <w:rsid w:val="00EC2DBB"/>
    <w:rPr>
      <w:sz w:val="20"/>
    </w:rPr>
  </w:style>
  <w:style w:type="paragraph" w:styleId="CommentSubject">
    <w:name w:val="annotation subject"/>
    <w:basedOn w:val="Normal"/>
    <w:link w:val="CommentSubjectChar"/>
    <w:uiPriority w:val="99"/>
    <w:semiHidden/>
    <w:rsid w:val="00BC105C"/>
    <w:rPr>
      <w:b/>
      <w:bCs/>
      <w:sz w:val="20"/>
    </w:rPr>
  </w:style>
  <w:style w:type="character" w:customStyle="1" w:styleId="CommentTextChar">
    <w:name w:val="Comment Text Char"/>
    <w:basedOn w:val="DefaultParagraphFont"/>
    <w:link w:val="CommentText"/>
    <w:uiPriority w:val="99"/>
    <w:locked/>
    <w:rsid w:val="00EC2DBB"/>
    <w:rPr>
      <w:rFonts w:ascii="Calibri" w:hAnsi="Calibri" w:cs="Times New Roman"/>
      <w:lang w:val="x-none" w:eastAsia="en-US"/>
    </w:rPr>
  </w:style>
  <w:style w:type="paragraph" w:styleId="Revision">
    <w:name w:val="Revision"/>
    <w:hidden/>
    <w:uiPriority w:val="99"/>
    <w:semiHidden/>
    <w:rsid w:val="00BC105C"/>
    <w:pPr>
      <w:spacing w:before="240" w:after="0" w:line="240" w:lineRule="auto"/>
    </w:pPr>
    <w:rPr>
      <w:rFonts w:ascii="Arial" w:hAnsi="Arial"/>
      <w:szCs w:val="20"/>
      <w:lang w:eastAsia="en-US"/>
    </w:rPr>
  </w:style>
  <w:style w:type="character" w:customStyle="1" w:styleId="CommentSubjectChar">
    <w:name w:val="Comment Subject Char"/>
    <w:basedOn w:val="CommentTextChar"/>
    <w:link w:val="CommentSubject"/>
    <w:uiPriority w:val="99"/>
    <w:semiHidden/>
    <w:locked/>
    <w:rsid w:val="008645FC"/>
    <w:rPr>
      <w:rFonts w:ascii="Calibri" w:hAnsi="Calibri" w:cs="Times New Roman"/>
      <w:b/>
      <w:bCs/>
      <w:sz w:val="20"/>
      <w:szCs w:val="20"/>
      <w:lang w:val="x-none" w:eastAsia="en-US"/>
    </w:rPr>
  </w:style>
  <w:style w:type="paragraph" w:customStyle="1" w:styleId="Bullet2">
    <w:name w:val="Bullet 2"/>
    <w:basedOn w:val="Normal"/>
    <w:uiPriority w:val="99"/>
    <w:rsid w:val="00BC105C"/>
    <w:pPr>
      <w:numPr>
        <w:numId w:val="19"/>
      </w:numPr>
      <w:spacing w:before="60"/>
      <w:ind w:left="1134" w:hanging="567"/>
      <w:jc w:val="both"/>
    </w:pPr>
  </w:style>
  <w:style w:type="paragraph" w:customStyle="1" w:styleId="Bullet3">
    <w:name w:val="Bullet 3"/>
    <w:basedOn w:val="Normal"/>
    <w:uiPriority w:val="99"/>
    <w:rsid w:val="00BC105C"/>
    <w:pPr>
      <w:numPr>
        <w:numId w:val="20"/>
      </w:numPr>
      <w:spacing w:before="60"/>
      <w:ind w:left="1134" w:firstLine="567"/>
      <w:jc w:val="both"/>
    </w:pPr>
  </w:style>
  <w:style w:type="paragraph" w:customStyle="1" w:styleId="FooterSecurity">
    <w:name w:val="Footer Security"/>
    <w:basedOn w:val="Normal"/>
    <w:uiPriority w:val="99"/>
    <w:rsid w:val="00BC105C"/>
    <w:pPr>
      <w:jc w:val="center"/>
    </w:pPr>
    <w:rPr>
      <w:rFonts w:cs="Arial"/>
      <w:color w:val="7A7A78"/>
      <w:sz w:val="24"/>
      <w:szCs w:val="16"/>
    </w:rPr>
  </w:style>
  <w:style w:type="paragraph" w:customStyle="1" w:styleId="ReportDate">
    <w:name w:val="Report Date"/>
    <w:basedOn w:val="Normal"/>
    <w:uiPriority w:val="99"/>
    <w:rsid w:val="00BC105C"/>
    <w:rPr>
      <w:color w:val="92D400"/>
      <w:sz w:val="28"/>
      <w:szCs w:val="28"/>
    </w:rPr>
  </w:style>
  <w:style w:type="paragraph" w:customStyle="1" w:styleId="ReportBy">
    <w:name w:val="Report By"/>
    <w:basedOn w:val="Normal"/>
    <w:uiPriority w:val="99"/>
    <w:rsid w:val="00BC105C"/>
    <w:pPr>
      <w:spacing w:line="360" w:lineRule="auto"/>
    </w:pPr>
    <w:rPr>
      <w:rFonts w:cs="Arial"/>
      <w:color w:val="931638"/>
      <w:sz w:val="24"/>
      <w:szCs w:val="28"/>
    </w:rPr>
  </w:style>
  <w:style w:type="paragraph" w:customStyle="1" w:styleId="ReportCompany">
    <w:name w:val="Report Company"/>
    <w:basedOn w:val="Normal"/>
    <w:uiPriority w:val="99"/>
    <w:rsid w:val="00BC105C"/>
    <w:rPr>
      <w:rFonts w:cs="Arial"/>
      <w:color w:val="92D400"/>
      <w:sz w:val="56"/>
      <w:szCs w:val="56"/>
    </w:rPr>
  </w:style>
  <w:style w:type="paragraph" w:customStyle="1" w:styleId="BodyText-Centred">
    <w:name w:val="BodyText - Centred"/>
    <w:basedOn w:val="Normal"/>
    <w:uiPriority w:val="99"/>
    <w:rsid w:val="00BC105C"/>
    <w:pPr>
      <w:spacing w:before="240"/>
      <w:jc w:val="center"/>
    </w:pPr>
    <w:rPr>
      <w:noProof/>
      <w:sz w:val="24"/>
      <w:lang w:eastAsia="en-AU"/>
    </w:rPr>
  </w:style>
  <w:style w:type="paragraph" w:customStyle="1" w:styleId="FooterLine1">
    <w:name w:val="Footer Line 1"/>
    <w:basedOn w:val="Normal"/>
    <w:uiPriority w:val="99"/>
    <w:rsid w:val="00BC105C"/>
    <w:pPr>
      <w:jc w:val="right"/>
    </w:pPr>
    <w:rPr>
      <w:sz w:val="18"/>
    </w:rPr>
  </w:style>
  <w:style w:type="paragraph" w:customStyle="1" w:styleId="Glossarytext">
    <w:name w:val="Glossary text"/>
    <w:basedOn w:val="Normal"/>
    <w:uiPriority w:val="99"/>
    <w:rsid w:val="00BC105C"/>
    <w:pPr>
      <w:spacing w:before="120"/>
      <w:contextualSpacing/>
    </w:pPr>
    <w:rPr>
      <w:rFonts w:cs="Arial"/>
    </w:rPr>
  </w:style>
  <w:style w:type="paragraph" w:customStyle="1" w:styleId="GlossaryAbbreviation">
    <w:name w:val="Glossary Abbreviation"/>
    <w:basedOn w:val="Normal"/>
    <w:uiPriority w:val="99"/>
    <w:rsid w:val="00BC105C"/>
    <w:pPr>
      <w:spacing w:before="120"/>
    </w:pPr>
    <w:rPr>
      <w:rFonts w:cs="Arial"/>
      <w:caps/>
    </w:rPr>
  </w:style>
  <w:style w:type="table" w:customStyle="1" w:styleId="TableAEGrey">
    <w:name w:val="Table AE Grey"/>
    <w:basedOn w:val="TableAE"/>
    <w:uiPriority w:val="99"/>
    <w:rsid w:val="00BC105C"/>
    <w:tblPr>
      <w:jc w:val="center"/>
      <w:tblInd w:w="0" w:type="dxa"/>
      <w:tblBorders>
        <w:top w:val="single" w:sz="12" w:space="0" w:color="002776"/>
        <w:bottom w:val="single" w:sz="12" w:space="0" w:color="002776"/>
        <w:insideH w:val="single" w:sz="4" w:space="0" w:color="A6A6A6"/>
        <w:insideV w:val="single" w:sz="4" w:space="0" w:color="A6A6A6"/>
      </w:tblBorders>
      <w:tblCellMar>
        <w:top w:w="0" w:type="dxa"/>
        <w:left w:w="108" w:type="dxa"/>
        <w:bottom w:w="0" w:type="dxa"/>
        <w:right w:w="108" w:type="dxa"/>
      </w:tblCellMar>
    </w:tblPr>
    <w:trPr>
      <w:cantSplit/>
      <w:jc w:val="center"/>
    </w:trPr>
    <w:tblStylePr w:type="firstRow">
      <w:rPr>
        <w:rFonts w:cs="Times New Roman"/>
      </w:rPr>
      <w:tblPr/>
      <w:tcPr>
        <w:tcBorders>
          <w:top w:val="single" w:sz="12" w:space="0" w:color="002776"/>
          <w:left w:val="nil"/>
          <w:bottom w:val="single" w:sz="8" w:space="0" w:color="002776"/>
          <w:right w:val="nil"/>
          <w:insideH w:val="nil"/>
          <w:insideV w:val="single" w:sz="4" w:space="0" w:color="A6A6A6"/>
          <w:tl2br w:val="nil"/>
          <w:tr2bl w:val="nil"/>
        </w:tcBorders>
      </w:tcPr>
    </w:tblStylePr>
    <w:tblStylePr w:type="lastRow">
      <w:rPr>
        <w:rFonts w:cs="Times New Roman"/>
      </w:rPr>
      <w:tblPr/>
      <w:tcPr>
        <w:tcBorders>
          <w:top w:val="nil"/>
          <w:bottom w:val="single" w:sz="12" w:space="0" w:color="002776"/>
        </w:tcBorders>
      </w:tcPr>
    </w:tblStylePr>
  </w:style>
  <w:style w:type="paragraph" w:customStyle="1" w:styleId="ReportFooterSecurity">
    <w:name w:val="Report Footer Security"/>
    <w:basedOn w:val="FooterSecurity"/>
    <w:uiPriority w:val="99"/>
    <w:rsid w:val="00BC105C"/>
    <w:rPr>
      <w:color w:val="931638"/>
    </w:rPr>
  </w:style>
  <w:style w:type="table" w:customStyle="1" w:styleId="TableAEGreyTotals">
    <w:name w:val="Table AE Grey Totals"/>
    <w:basedOn w:val="TableAEGrey"/>
    <w:uiPriority w:val="99"/>
    <w:rsid w:val="00BC105C"/>
    <w:tblPr>
      <w:jc w:val="center"/>
      <w:tblInd w:w="0" w:type="dxa"/>
      <w:tblBorders>
        <w:top w:val="single" w:sz="12" w:space="0" w:color="002776"/>
        <w:bottom w:val="single" w:sz="12" w:space="0" w:color="002776"/>
        <w:insideH w:val="single" w:sz="4" w:space="0" w:color="A6A6A6"/>
        <w:insideV w:val="single" w:sz="4" w:space="0" w:color="A6A6A6"/>
      </w:tblBorders>
      <w:tblCellMar>
        <w:top w:w="0" w:type="dxa"/>
        <w:left w:w="108" w:type="dxa"/>
        <w:bottom w:w="0" w:type="dxa"/>
        <w:right w:w="108" w:type="dxa"/>
      </w:tblCellMar>
    </w:tblPr>
    <w:trPr>
      <w:cantSplit/>
      <w:jc w:val="center"/>
    </w:trPr>
    <w:tblStylePr w:type="firstRow">
      <w:rPr>
        <w:rFonts w:cs="Times New Roman"/>
      </w:rPr>
      <w:tblPr/>
      <w:tcPr>
        <w:tcBorders>
          <w:top w:val="single" w:sz="12" w:space="0" w:color="002776"/>
          <w:left w:val="nil"/>
          <w:bottom w:val="single" w:sz="8" w:space="0" w:color="002776"/>
          <w:right w:val="nil"/>
          <w:insideH w:val="nil"/>
          <w:insideV w:val="single" w:sz="4" w:space="0" w:color="A6A6A6"/>
          <w:tl2br w:val="nil"/>
          <w:tr2bl w:val="nil"/>
        </w:tcBorders>
      </w:tcPr>
    </w:tblStylePr>
    <w:tblStylePr w:type="lastRow">
      <w:rPr>
        <w:rFonts w:cs="Times New Roman"/>
      </w:rPr>
      <w:tblPr/>
      <w:tcPr>
        <w:tcBorders>
          <w:top w:val="single" w:sz="12" w:space="0" w:color="002776"/>
          <w:left w:val="nil"/>
          <w:bottom w:val="single" w:sz="12" w:space="0" w:color="002776"/>
          <w:right w:val="nil"/>
          <w:insideH w:val="nil"/>
          <w:insideV w:val="single" w:sz="4" w:space="0" w:color="A6A6A6"/>
          <w:tl2br w:val="nil"/>
          <w:tr2bl w:val="nil"/>
        </w:tcBorders>
      </w:tcPr>
    </w:tblStylePr>
  </w:style>
  <w:style w:type="paragraph" w:customStyle="1" w:styleId="Glossary">
    <w:name w:val="Glossary"/>
    <w:basedOn w:val="Normal"/>
    <w:next w:val="BodyText"/>
    <w:uiPriority w:val="99"/>
    <w:rsid w:val="00BC105C"/>
    <w:pPr>
      <w:keepNext/>
      <w:spacing w:after="200"/>
    </w:pPr>
    <w:rPr>
      <w:b/>
      <w:color w:val="002776"/>
      <w:sz w:val="56"/>
    </w:rPr>
  </w:style>
  <w:style w:type="table" w:customStyle="1" w:styleId="TableAEGlossary">
    <w:name w:val="Table AE Glossary"/>
    <w:uiPriority w:val="99"/>
    <w:rsid w:val="00BC105C"/>
    <w:pPr>
      <w:spacing w:after="0" w:line="240" w:lineRule="auto"/>
    </w:pPr>
    <w:rPr>
      <w:sz w:val="20"/>
      <w:szCs w:val="20"/>
    </w:rPr>
    <w:tblPr>
      <w:tblInd w:w="0" w:type="dxa"/>
      <w:tblBorders>
        <w:top w:val="single" w:sz="4" w:space="0" w:color="931638"/>
        <w:bottom w:val="single" w:sz="4" w:space="0" w:color="931638"/>
      </w:tblBorders>
      <w:tblCellMar>
        <w:top w:w="0" w:type="dxa"/>
        <w:left w:w="108" w:type="dxa"/>
        <w:bottom w:w="0" w:type="dxa"/>
        <w:right w:w="108" w:type="dxa"/>
      </w:tblCellMar>
    </w:tblPr>
  </w:style>
  <w:style w:type="paragraph" w:customStyle="1" w:styleId="Contents-Minor">
    <w:name w:val="Contents - Minor"/>
    <w:basedOn w:val="Contents-Major"/>
    <w:uiPriority w:val="99"/>
    <w:rsid w:val="00BC105C"/>
    <w:pPr>
      <w:spacing w:before="400"/>
    </w:pPr>
  </w:style>
  <w:style w:type="paragraph" w:customStyle="1" w:styleId="ReportBy0">
    <w:name w:val="ReportBy"/>
    <w:basedOn w:val="Normal"/>
    <w:uiPriority w:val="99"/>
    <w:rsid w:val="00BC105C"/>
    <w:pPr>
      <w:spacing w:line="360" w:lineRule="auto"/>
    </w:pPr>
    <w:rPr>
      <w:rFonts w:cs="Arial"/>
      <w:color w:val="000000"/>
      <w:sz w:val="28"/>
      <w:szCs w:val="28"/>
    </w:rPr>
  </w:style>
  <w:style w:type="paragraph" w:customStyle="1" w:styleId="ReportDate0">
    <w:name w:val="ReportDate"/>
    <w:basedOn w:val="Normal"/>
    <w:uiPriority w:val="99"/>
    <w:rsid w:val="00BC105C"/>
    <w:pPr>
      <w:spacing w:before="300"/>
      <w:ind w:right="1429"/>
    </w:pPr>
    <w:rPr>
      <w:color w:val="92D400"/>
      <w:sz w:val="52"/>
      <w:szCs w:val="24"/>
    </w:rPr>
  </w:style>
  <w:style w:type="paragraph" w:customStyle="1" w:styleId="Security">
    <w:name w:val="Security"/>
    <w:basedOn w:val="Normal"/>
    <w:uiPriority w:val="99"/>
    <w:rsid w:val="00BC105C"/>
    <w:pPr>
      <w:jc w:val="center"/>
    </w:pPr>
    <w:rPr>
      <w:rFonts w:cs="Arial"/>
      <w:color w:val="7A7A78"/>
      <w:sz w:val="16"/>
      <w:szCs w:val="16"/>
    </w:rPr>
  </w:style>
  <w:style w:type="paragraph" w:customStyle="1" w:styleId="TableofContents">
    <w:name w:val="Table of Contents"/>
    <w:basedOn w:val="Normal"/>
    <w:uiPriority w:val="99"/>
    <w:rsid w:val="00BC105C"/>
    <w:pPr>
      <w:keepNext/>
      <w:spacing w:before="400" w:after="200"/>
    </w:pPr>
    <w:rPr>
      <w:b/>
      <w:color w:val="002776"/>
      <w:sz w:val="32"/>
      <w:szCs w:val="32"/>
    </w:rPr>
  </w:style>
  <w:style w:type="paragraph" w:styleId="Footer">
    <w:name w:val="footer"/>
    <w:basedOn w:val="Normal"/>
    <w:link w:val="FooterChar"/>
    <w:uiPriority w:val="99"/>
    <w:rsid w:val="00BC105C"/>
    <w:pPr>
      <w:tabs>
        <w:tab w:val="center" w:pos="4513"/>
        <w:tab w:val="right" w:pos="9026"/>
      </w:tabs>
    </w:pPr>
  </w:style>
  <w:style w:type="paragraph" w:customStyle="1" w:styleId="HeadingA">
    <w:name w:val="Heading A"/>
    <w:next w:val="BodyText"/>
    <w:uiPriority w:val="99"/>
    <w:rsid w:val="00BC105C"/>
    <w:pPr>
      <w:keepNext/>
      <w:keepLines/>
      <w:spacing w:before="120" w:after="60" w:line="240" w:lineRule="auto"/>
    </w:pPr>
    <w:rPr>
      <w:rFonts w:ascii="Calibri" w:hAnsi="Calibri"/>
      <w:b/>
      <w:color w:val="002776"/>
      <w:sz w:val="32"/>
      <w:szCs w:val="28"/>
      <w:lang w:eastAsia="en-US"/>
    </w:rPr>
  </w:style>
  <w:style w:type="character" w:customStyle="1" w:styleId="FooterChar">
    <w:name w:val="Footer Char"/>
    <w:basedOn w:val="DefaultParagraphFont"/>
    <w:link w:val="Footer"/>
    <w:uiPriority w:val="99"/>
    <w:locked/>
    <w:rsid w:val="00BC105C"/>
    <w:rPr>
      <w:rFonts w:ascii="Calibri" w:hAnsi="Calibri" w:cs="Times New Roman"/>
      <w:sz w:val="22"/>
      <w:lang w:val="x-none" w:eastAsia="en-US"/>
    </w:rPr>
  </w:style>
  <w:style w:type="paragraph" w:customStyle="1" w:styleId="HeadingB">
    <w:name w:val="Heading B"/>
    <w:basedOn w:val="HeadingA"/>
    <w:next w:val="BodyText"/>
    <w:uiPriority w:val="99"/>
    <w:rsid w:val="00BC105C"/>
    <w:pPr>
      <w:spacing w:before="240" w:after="0"/>
    </w:pPr>
    <w:rPr>
      <w:sz w:val="28"/>
      <w:szCs w:val="26"/>
    </w:rPr>
  </w:style>
  <w:style w:type="paragraph" w:customStyle="1" w:styleId="Heading2Appendix">
    <w:name w:val="Heading 2 Appendix"/>
    <w:basedOn w:val="Normal"/>
    <w:next w:val="BodyText"/>
    <w:uiPriority w:val="99"/>
    <w:rsid w:val="0008028A"/>
    <w:pPr>
      <w:keepNext/>
      <w:keepLines/>
      <w:spacing w:before="240"/>
    </w:pPr>
    <w:rPr>
      <w:b/>
      <w:color w:val="002776"/>
      <w:sz w:val="28"/>
      <w:szCs w:val="28"/>
    </w:rPr>
  </w:style>
  <w:style w:type="paragraph" w:customStyle="1" w:styleId="AlphabeticList">
    <w:name w:val="Alphabetic List"/>
    <w:basedOn w:val="Normal"/>
    <w:uiPriority w:val="99"/>
    <w:rsid w:val="00BC105C"/>
    <w:pPr>
      <w:numPr>
        <w:numId w:val="15"/>
      </w:numPr>
      <w:spacing w:before="120"/>
      <w:jc w:val="both"/>
    </w:pPr>
  </w:style>
  <w:style w:type="paragraph" w:customStyle="1" w:styleId="DashList">
    <w:name w:val="Dash List"/>
    <w:basedOn w:val="Normal"/>
    <w:uiPriority w:val="99"/>
    <w:rsid w:val="00BC105C"/>
    <w:pPr>
      <w:numPr>
        <w:ilvl w:val="1"/>
        <w:numId w:val="14"/>
      </w:numPr>
      <w:spacing w:before="60"/>
    </w:pPr>
  </w:style>
  <w:style w:type="paragraph" w:customStyle="1" w:styleId="IndentParaDarkGrey">
    <w:name w:val="Indent Para Dark Grey"/>
    <w:basedOn w:val="IndentPara"/>
    <w:next w:val="Normal"/>
    <w:uiPriority w:val="99"/>
    <w:rsid w:val="00BC105C"/>
    <w:pPr>
      <w:pBdr>
        <w:top w:val="single" w:sz="8" w:space="5" w:color="827F77"/>
        <w:left w:val="single" w:sz="8" w:space="5" w:color="827F77"/>
        <w:bottom w:val="single" w:sz="8" w:space="5" w:color="827F77"/>
        <w:right w:val="single" w:sz="8" w:space="5" w:color="827F77"/>
      </w:pBdr>
      <w:shd w:val="clear" w:color="808080" w:fill="827F77"/>
      <w:spacing w:after="240"/>
    </w:pPr>
    <w:rPr>
      <w:b/>
      <w:color w:val="FFFFFF"/>
      <w:szCs w:val="24"/>
    </w:rPr>
  </w:style>
  <w:style w:type="paragraph" w:customStyle="1" w:styleId="TableNote">
    <w:name w:val="Table Note"/>
    <w:basedOn w:val="Normal"/>
    <w:uiPriority w:val="99"/>
    <w:rsid w:val="00BC105C"/>
    <w:pPr>
      <w:tabs>
        <w:tab w:val="left" w:pos="425"/>
      </w:tabs>
      <w:spacing w:before="60"/>
      <w:jc w:val="center"/>
    </w:pPr>
    <w:rPr>
      <w:sz w:val="18"/>
    </w:rPr>
  </w:style>
  <w:style w:type="paragraph" w:customStyle="1" w:styleId="IndentNumberedList">
    <w:name w:val="Indent Numbered List"/>
    <w:basedOn w:val="Normal"/>
    <w:uiPriority w:val="99"/>
    <w:rsid w:val="00BC105C"/>
    <w:pPr>
      <w:numPr>
        <w:numId w:val="17"/>
      </w:numPr>
      <w:spacing w:before="60"/>
      <w:jc w:val="both"/>
    </w:pPr>
  </w:style>
  <w:style w:type="paragraph" w:customStyle="1" w:styleId="IndentAlphabeticList">
    <w:name w:val="Indent Alphabetic List"/>
    <w:basedOn w:val="Normal"/>
    <w:uiPriority w:val="99"/>
    <w:rsid w:val="00BC105C"/>
    <w:pPr>
      <w:numPr>
        <w:numId w:val="16"/>
      </w:numPr>
      <w:tabs>
        <w:tab w:val="left" w:pos="1134"/>
      </w:tabs>
      <w:spacing w:before="60"/>
      <w:ind w:left="1134" w:hanging="567"/>
      <w:jc w:val="both"/>
    </w:pPr>
  </w:style>
  <w:style w:type="paragraph" w:styleId="FootnoteText">
    <w:name w:val="footnote text"/>
    <w:basedOn w:val="Normal"/>
    <w:link w:val="FootnoteTextChar"/>
    <w:uiPriority w:val="99"/>
    <w:rsid w:val="00BC105C"/>
    <w:pPr>
      <w:spacing w:before="120" w:after="60"/>
      <w:jc w:val="both"/>
    </w:pPr>
    <w:rPr>
      <w:sz w:val="18"/>
    </w:rPr>
  </w:style>
  <w:style w:type="table" w:customStyle="1" w:styleId="TableAETotals">
    <w:name w:val="Table AE Totals"/>
    <w:uiPriority w:val="99"/>
    <w:rsid w:val="00BC105C"/>
    <w:pPr>
      <w:spacing w:after="0" w:line="240" w:lineRule="auto"/>
    </w:pPr>
    <w:rPr>
      <w:rFonts w:ascii="Arial" w:hAnsi="Arial"/>
      <w:sz w:val="20"/>
      <w:szCs w:val="20"/>
    </w:rPr>
    <w:tblPr>
      <w:tblInd w:w="0" w:type="dxa"/>
      <w:tblBorders>
        <w:top w:val="single" w:sz="12" w:space="0" w:color="002776"/>
        <w:bottom w:val="single" w:sz="12" w:space="0" w:color="002776"/>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locked/>
    <w:rsid w:val="00BC105C"/>
    <w:rPr>
      <w:rFonts w:ascii="Calibri" w:hAnsi="Calibri" w:cs="Times New Roman"/>
      <w:sz w:val="18"/>
      <w:lang w:val="x-none" w:eastAsia="en-US"/>
    </w:rPr>
  </w:style>
  <w:style w:type="paragraph" w:customStyle="1" w:styleId="AppendixTableCaption">
    <w:name w:val="Appendix Table Caption"/>
    <w:basedOn w:val="CaptionAE"/>
    <w:next w:val="BodyText"/>
    <w:uiPriority w:val="99"/>
    <w:rsid w:val="00BC105C"/>
    <w:pPr>
      <w:numPr>
        <w:ilvl w:val="1"/>
        <w:numId w:val="25"/>
      </w:numPr>
    </w:pPr>
    <w:rPr>
      <w:color w:val="002776"/>
    </w:rPr>
  </w:style>
  <w:style w:type="paragraph" w:customStyle="1" w:styleId="AppendixChartCaption">
    <w:name w:val="Appendix Chart Caption"/>
    <w:basedOn w:val="CaptionAE"/>
    <w:next w:val="BodyText"/>
    <w:uiPriority w:val="99"/>
    <w:rsid w:val="00BC105C"/>
    <w:pPr>
      <w:numPr>
        <w:ilvl w:val="2"/>
        <w:numId w:val="25"/>
      </w:numPr>
    </w:pPr>
    <w:rPr>
      <w:color w:val="002776"/>
    </w:rPr>
  </w:style>
  <w:style w:type="paragraph" w:customStyle="1" w:styleId="AppendixFigureCaption">
    <w:name w:val="Appendix Figure Caption"/>
    <w:basedOn w:val="CaptionAE"/>
    <w:next w:val="BodyText"/>
    <w:uiPriority w:val="99"/>
    <w:rsid w:val="00BC105C"/>
    <w:pPr>
      <w:numPr>
        <w:ilvl w:val="3"/>
        <w:numId w:val="25"/>
      </w:numPr>
    </w:pPr>
    <w:rPr>
      <w:color w:val="002776"/>
    </w:rPr>
  </w:style>
  <w:style w:type="paragraph" w:customStyle="1" w:styleId="CaptionTable">
    <w:name w:val="Caption_Table"/>
    <w:basedOn w:val="CaptionAE"/>
    <w:next w:val="BodyText"/>
    <w:uiPriority w:val="99"/>
    <w:rsid w:val="00BC105C"/>
    <w:pPr>
      <w:numPr>
        <w:ilvl w:val="6"/>
        <w:numId w:val="4"/>
      </w:numPr>
      <w:tabs>
        <w:tab w:val="clear" w:pos="360"/>
      </w:tabs>
    </w:pPr>
    <w:rPr>
      <w:color w:val="002776"/>
    </w:rPr>
  </w:style>
  <w:style w:type="paragraph" w:customStyle="1" w:styleId="CaptionFigure">
    <w:name w:val="Caption_Figure"/>
    <w:basedOn w:val="CaptionTable"/>
    <w:next w:val="BodyText"/>
    <w:uiPriority w:val="99"/>
    <w:rsid w:val="00BC105C"/>
    <w:pPr>
      <w:numPr>
        <w:ilvl w:val="8"/>
      </w:numPr>
      <w:tabs>
        <w:tab w:val="clear" w:pos="360"/>
      </w:tabs>
      <w:ind w:left="7614"/>
    </w:pPr>
    <w:rPr>
      <w:bCs/>
      <w:szCs w:val="22"/>
    </w:rPr>
  </w:style>
  <w:style w:type="paragraph" w:customStyle="1" w:styleId="CaptionChart">
    <w:name w:val="Caption_Chart"/>
    <w:basedOn w:val="CaptionFigure"/>
    <w:next w:val="BodyText"/>
    <w:uiPriority w:val="99"/>
    <w:rsid w:val="00BC105C"/>
    <w:pPr>
      <w:numPr>
        <w:ilvl w:val="7"/>
      </w:numPr>
      <w:tabs>
        <w:tab w:val="clear" w:pos="360"/>
      </w:tabs>
    </w:pPr>
  </w:style>
  <w:style w:type="paragraph" w:customStyle="1" w:styleId="ExecChartCaption">
    <w:name w:val="Exec Chart Caption"/>
    <w:basedOn w:val="CaptionAE"/>
    <w:next w:val="BodyText"/>
    <w:uiPriority w:val="99"/>
    <w:rsid w:val="00BC105C"/>
    <w:pPr>
      <w:numPr>
        <w:ilvl w:val="2"/>
        <w:numId w:val="6"/>
      </w:numPr>
      <w:tabs>
        <w:tab w:val="clear" w:pos="360"/>
        <w:tab w:val="num" w:pos="1080"/>
      </w:tabs>
      <w:ind w:left="567" w:hanging="567"/>
    </w:pPr>
    <w:rPr>
      <w:color w:val="002776"/>
    </w:rPr>
  </w:style>
  <w:style w:type="paragraph" w:customStyle="1" w:styleId="ExecFigureCaption">
    <w:name w:val="Exec Figure Caption"/>
    <w:basedOn w:val="CaptionAE"/>
    <w:next w:val="BodyText"/>
    <w:uiPriority w:val="99"/>
    <w:rsid w:val="00BC105C"/>
    <w:pPr>
      <w:numPr>
        <w:ilvl w:val="3"/>
        <w:numId w:val="6"/>
      </w:numPr>
      <w:tabs>
        <w:tab w:val="clear" w:pos="360"/>
        <w:tab w:val="num" w:pos="1440"/>
      </w:tabs>
      <w:ind w:left="567" w:hanging="567"/>
    </w:pPr>
    <w:rPr>
      <w:color w:val="002776"/>
    </w:rPr>
  </w:style>
  <w:style w:type="paragraph" w:customStyle="1" w:styleId="ExecTableCaption">
    <w:name w:val="Exec Table Caption"/>
    <w:basedOn w:val="CaptionAE"/>
    <w:next w:val="BodyText"/>
    <w:uiPriority w:val="99"/>
    <w:rsid w:val="00BC105C"/>
    <w:pPr>
      <w:numPr>
        <w:ilvl w:val="1"/>
        <w:numId w:val="6"/>
      </w:numPr>
      <w:tabs>
        <w:tab w:val="clear" w:pos="360"/>
        <w:tab w:val="num" w:pos="1134"/>
      </w:tabs>
      <w:ind w:left="567" w:hanging="567"/>
    </w:pPr>
    <w:rPr>
      <w:color w:val="002776"/>
    </w:rPr>
  </w:style>
  <w:style w:type="paragraph" w:customStyle="1" w:styleId="CaptionAE">
    <w:name w:val="Caption AE"/>
    <w:basedOn w:val="Normal"/>
    <w:next w:val="BodyText"/>
    <w:uiPriority w:val="99"/>
    <w:rsid w:val="00BC105C"/>
    <w:pPr>
      <w:keepNext/>
      <w:keepLines/>
      <w:spacing w:before="240" w:after="240"/>
      <w:jc w:val="center"/>
    </w:pPr>
    <w:rPr>
      <w:b/>
      <w:color w:val="931638"/>
    </w:rPr>
  </w:style>
  <w:style w:type="paragraph" w:customStyle="1" w:styleId="CVaddress">
    <w:name w:val="CV address"/>
    <w:uiPriority w:val="99"/>
    <w:rsid w:val="00BC105C"/>
    <w:pPr>
      <w:spacing w:after="0" w:line="240" w:lineRule="auto"/>
    </w:pPr>
    <w:rPr>
      <w:rFonts w:ascii="Calibri" w:hAnsi="Calibri"/>
      <w:color w:val="404040"/>
      <w:sz w:val="20"/>
      <w:szCs w:val="20"/>
      <w:lang w:eastAsia="en-US"/>
    </w:rPr>
  </w:style>
  <w:style w:type="paragraph" w:customStyle="1" w:styleId="CVbullet">
    <w:name w:val="CV bullet"/>
    <w:basedOn w:val="Normal"/>
    <w:uiPriority w:val="99"/>
    <w:rsid w:val="00BC105C"/>
    <w:pPr>
      <w:spacing w:after="60"/>
      <w:jc w:val="both"/>
    </w:pPr>
  </w:style>
  <w:style w:type="paragraph" w:customStyle="1" w:styleId="CVbulletindent">
    <w:name w:val="CV bullet indent"/>
    <w:basedOn w:val="Normal"/>
    <w:uiPriority w:val="99"/>
    <w:rsid w:val="00BC105C"/>
    <w:pPr>
      <w:spacing w:after="60"/>
      <w:jc w:val="both"/>
    </w:pPr>
  </w:style>
  <w:style w:type="paragraph" w:customStyle="1" w:styleId="CVDate">
    <w:name w:val="CV Date"/>
    <w:basedOn w:val="CVaddress"/>
    <w:next w:val="Normal"/>
    <w:uiPriority w:val="99"/>
    <w:rsid w:val="00BC105C"/>
    <w:pPr>
      <w:keepNext/>
      <w:spacing w:before="60" w:after="60"/>
    </w:pPr>
    <w:rPr>
      <w:b/>
      <w:color w:val="931638"/>
      <w:sz w:val="22"/>
    </w:rPr>
  </w:style>
  <w:style w:type="paragraph" w:customStyle="1" w:styleId="CVDateExperience">
    <w:name w:val="CV Date Experience"/>
    <w:basedOn w:val="CVDate"/>
    <w:uiPriority w:val="99"/>
    <w:rsid w:val="00BC105C"/>
    <w:pPr>
      <w:spacing w:before="120" w:after="0"/>
    </w:pPr>
    <w:rPr>
      <w:sz w:val="24"/>
    </w:rPr>
  </w:style>
  <w:style w:type="paragraph" w:customStyle="1" w:styleId="CVHeadingB">
    <w:name w:val="CV Heading B"/>
    <w:basedOn w:val="HeadingA"/>
    <w:next w:val="Normal"/>
    <w:uiPriority w:val="99"/>
    <w:rsid w:val="00BC105C"/>
    <w:rPr>
      <w:sz w:val="28"/>
      <w:szCs w:val="26"/>
    </w:rPr>
  </w:style>
  <w:style w:type="paragraph" w:customStyle="1" w:styleId="CVHeadingC">
    <w:name w:val="CV Heading C"/>
    <w:basedOn w:val="Normal"/>
    <w:next w:val="Normal"/>
    <w:uiPriority w:val="99"/>
    <w:rsid w:val="00BC105C"/>
    <w:pPr>
      <w:keepNext/>
      <w:keepLines/>
      <w:spacing w:before="180"/>
    </w:pPr>
    <w:rPr>
      <w:b/>
      <w:color w:val="931638"/>
      <w:sz w:val="24"/>
      <w:szCs w:val="28"/>
    </w:rPr>
  </w:style>
  <w:style w:type="paragraph" w:customStyle="1" w:styleId="CVHeadingExperience">
    <w:name w:val="CV Heading Experience"/>
    <w:basedOn w:val="CVDate"/>
    <w:uiPriority w:val="99"/>
    <w:rsid w:val="00BC105C"/>
    <w:pPr>
      <w:spacing w:before="120" w:after="0"/>
    </w:pPr>
    <w:rPr>
      <w:sz w:val="24"/>
    </w:rPr>
  </w:style>
  <w:style w:type="paragraph" w:customStyle="1" w:styleId="CVHeadingqualifications">
    <w:name w:val="CV Heading qualifications"/>
    <w:basedOn w:val="CVHeadingC"/>
    <w:uiPriority w:val="99"/>
    <w:rsid w:val="00BC105C"/>
    <w:pPr>
      <w:spacing w:before="0"/>
      <w:ind w:left="142"/>
    </w:pPr>
    <w:rPr>
      <w:bCs/>
      <w:szCs w:val="20"/>
    </w:rPr>
  </w:style>
  <w:style w:type="paragraph" w:customStyle="1" w:styleId="CVqualificationsawards">
    <w:name w:val="CV qualifications/awards"/>
    <w:basedOn w:val="CVaddress"/>
    <w:uiPriority w:val="99"/>
    <w:rsid w:val="00BC105C"/>
    <w:pPr>
      <w:ind w:left="142"/>
    </w:pPr>
    <w:rPr>
      <w:color w:val="auto"/>
    </w:rPr>
  </w:style>
  <w:style w:type="paragraph" w:customStyle="1" w:styleId="CVtabledate">
    <w:name w:val="CV table date"/>
    <w:basedOn w:val="Normal"/>
    <w:uiPriority w:val="99"/>
    <w:rsid w:val="00BC105C"/>
    <w:pPr>
      <w:jc w:val="both"/>
    </w:pPr>
    <w:rPr>
      <w:b/>
      <w:color w:val="262626"/>
    </w:rPr>
  </w:style>
  <w:style w:type="paragraph" w:customStyle="1" w:styleId="CVTableText">
    <w:name w:val="CV Table Text"/>
    <w:basedOn w:val="CVaddress"/>
    <w:uiPriority w:val="99"/>
    <w:rsid w:val="00BC105C"/>
    <w:rPr>
      <w:color w:val="auto"/>
      <w:sz w:val="22"/>
    </w:rPr>
  </w:style>
  <w:style w:type="character" w:customStyle="1" w:styleId="Boldword">
    <w:name w:val="Bold word"/>
    <w:basedOn w:val="DefaultParagraphFont"/>
    <w:uiPriority w:val="99"/>
    <w:rsid w:val="00BC105C"/>
    <w:rPr>
      <w:rFonts w:ascii="Calibri" w:hAnsi="Calibri" w:cs="Times New Roman"/>
      <w:b/>
      <w:color w:val="931638"/>
      <w:sz w:val="22"/>
      <w:lang w:val="x-none" w:eastAsia="en-AU"/>
    </w:rPr>
  </w:style>
  <w:style w:type="paragraph" w:styleId="BalloonText">
    <w:name w:val="Balloon Text"/>
    <w:basedOn w:val="Normal"/>
    <w:link w:val="BalloonTextChar"/>
    <w:uiPriority w:val="99"/>
    <w:rsid w:val="00BC105C"/>
    <w:rPr>
      <w:rFonts w:ascii="Tahoma" w:hAnsi="Tahoma" w:cs="Tahoma"/>
      <w:sz w:val="16"/>
      <w:szCs w:val="16"/>
    </w:rPr>
  </w:style>
  <w:style w:type="character" w:customStyle="1" w:styleId="BoldParaChar">
    <w:name w:val="Bold Para Char"/>
    <w:basedOn w:val="DefaultParagraphFont"/>
    <w:link w:val="BoldPara"/>
    <w:uiPriority w:val="99"/>
    <w:locked/>
    <w:rsid w:val="00BC105C"/>
    <w:rPr>
      <w:rFonts w:ascii="Calibri" w:hAnsi="Calibri" w:cs="Times New Roman"/>
      <w:b/>
      <w:color w:val="002776"/>
      <w:sz w:val="24"/>
      <w:szCs w:val="24"/>
      <w:lang w:val="x-none" w:eastAsia="en-US"/>
    </w:rPr>
  </w:style>
  <w:style w:type="character" w:customStyle="1" w:styleId="BalloonTextChar">
    <w:name w:val="Balloon Text Char"/>
    <w:basedOn w:val="DefaultParagraphFont"/>
    <w:link w:val="BalloonText"/>
    <w:uiPriority w:val="99"/>
    <w:locked/>
    <w:rsid w:val="00BC105C"/>
    <w:rPr>
      <w:rFonts w:ascii="Tahoma" w:hAnsi="Tahoma" w:cs="Tahoma"/>
      <w:sz w:val="16"/>
      <w:szCs w:val="16"/>
      <w:lang w:val="x-none" w:eastAsia="en-US"/>
    </w:rPr>
  </w:style>
  <w:style w:type="paragraph" w:customStyle="1" w:styleId="Addressdetails">
    <w:name w:val="Address details"/>
    <w:basedOn w:val="Normal"/>
    <w:link w:val="AddressdetailsChar"/>
    <w:uiPriority w:val="99"/>
    <w:rsid w:val="00BC105C"/>
    <w:pPr>
      <w:spacing w:before="85" w:line="180" w:lineRule="atLeast"/>
    </w:pPr>
    <w:rPr>
      <w:rFonts w:ascii="Arial" w:hAnsi="Arial"/>
      <w:sz w:val="15"/>
      <w:szCs w:val="24"/>
    </w:rPr>
  </w:style>
  <w:style w:type="character" w:customStyle="1" w:styleId="AddressdetailsChar">
    <w:name w:val="Address details Char"/>
    <w:basedOn w:val="DefaultParagraphFont"/>
    <w:link w:val="Addressdetails"/>
    <w:uiPriority w:val="99"/>
    <w:locked/>
    <w:rsid w:val="00BC105C"/>
    <w:rPr>
      <w:rFonts w:ascii="Arial" w:hAnsi="Arial" w:cs="Times New Roman"/>
      <w:sz w:val="24"/>
      <w:szCs w:val="24"/>
      <w:lang w:val="x-none" w:eastAsia="en-US"/>
    </w:rPr>
  </w:style>
  <w:style w:type="paragraph" w:customStyle="1" w:styleId="Bodycopy">
    <w:name w:val="Body copy"/>
    <w:basedOn w:val="Normal"/>
    <w:link w:val="BodycopyChar"/>
    <w:uiPriority w:val="99"/>
    <w:rsid w:val="00BC105C"/>
    <w:pPr>
      <w:spacing w:after="113" w:line="240" w:lineRule="atLeast"/>
      <w:jc w:val="both"/>
    </w:pPr>
    <w:rPr>
      <w:rFonts w:ascii="Arial" w:hAnsi="Arial"/>
      <w:sz w:val="20"/>
      <w:szCs w:val="24"/>
    </w:rPr>
  </w:style>
  <w:style w:type="paragraph" w:customStyle="1" w:styleId="BodycopyBold">
    <w:name w:val="Body copy Bold"/>
    <w:basedOn w:val="Normal"/>
    <w:uiPriority w:val="99"/>
    <w:semiHidden/>
    <w:rsid w:val="00BC105C"/>
    <w:pPr>
      <w:spacing w:after="113" w:line="240" w:lineRule="atLeast"/>
    </w:pPr>
    <w:rPr>
      <w:rFonts w:ascii="Times New Roman" w:hAnsi="Times New Roman"/>
      <w:b/>
      <w:sz w:val="20"/>
      <w:szCs w:val="24"/>
    </w:rPr>
  </w:style>
  <w:style w:type="character" w:customStyle="1" w:styleId="BodycopyChar">
    <w:name w:val="Body copy Char"/>
    <w:basedOn w:val="DefaultParagraphFont"/>
    <w:link w:val="Bodycopy"/>
    <w:uiPriority w:val="99"/>
    <w:locked/>
    <w:rsid w:val="00BC105C"/>
    <w:rPr>
      <w:rFonts w:ascii="Arial" w:hAnsi="Arial" w:cs="Times New Roman"/>
      <w:sz w:val="24"/>
      <w:szCs w:val="24"/>
      <w:lang w:val="x-none" w:eastAsia="en-US"/>
    </w:rPr>
  </w:style>
  <w:style w:type="paragraph" w:customStyle="1" w:styleId="SignOffTextwithImage">
    <w:name w:val="SignOff Text with Image"/>
    <w:basedOn w:val="Normal"/>
    <w:uiPriority w:val="99"/>
    <w:rsid w:val="00BC105C"/>
    <w:pPr>
      <w:spacing w:before="480"/>
    </w:pPr>
  </w:style>
  <w:style w:type="paragraph" w:customStyle="1" w:styleId="SignOffText">
    <w:name w:val="SignOff Text"/>
    <w:basedOn w:val="Normal"/>
    <w:next w:val="Normal"/>
    <w:uiPriority w:val="99"/>
    <w:rsid w:val="00BC105C"/>
    <w:pPr>
      <w:spacing w:before="480" w:after="1120"/>
    </w:pPr>
  </w:style>
  <w:style w:type="paragraph" w:customStyle="1" w:styleId="Table">
    <w:name w:val="Table"/>
    <w:basedOn w:val="Bodycopy"/>
    <w:next w:val="Bodycopy"/>
    <w:uiPriority w:val="99"/>
    <w:rsid w:val="00BC105C"/>
    <w:pPr>
      <w:spacing w:before="240" w:after="0" w:line="240" w:lineRule="auto"/>
      <w:ind w:left="851"/>
    </w:pPr>
    <w:rPr>
      <w:rFonts w:ascii="Calibri" w:hAnsi="Calibri"/>
      <w:b/>
      <w:sz w:val="22"/>
    </w:rPr>
  </w:style>
  <w:style w:type="paragraph" w:customStyle="1" w:styleId="Box">
    <w:name w:val="Box"/>
    <w:basedOn w:val="Bodycopy"/>
    <w:next w:val="Bodycopy"/>
    <w:uiPriority w:val="99"/>
    <w:rsid w:val="00BC105C"/>
    <w:pPr>
      <w:spacing w:before="240" w:after="0" w:line="240" w:lineRule="auto"/>
      <w:ind w:left="851"/>
    </w:pPr>
    <w:rPr>
      <w:rFonts w:ascii="Calibri" w:hAnsi="Calibri"/>
      <w:b/>
      <w:sz w:val="22"/>
    </w:rPr>
  </w:style>
  <w:style w:type="paragraph" w:customStyle="1" w:styleId="Keypoint">
    <w:name w:val="Keypoint"/>
    <w:basedOn w:val="Normal"/>
    <w:uiPriority w:val="99"/>
    <w:rsid w:val="00BC105C"/>
    <w:pPr>
      <w:spacing w:before="600"/>
    </w:pPr>
    <w:rPr>
      <w:rFonts w:ascii="Times New Roman" w:hAnsi="Times New Roman"/>
      <w:color w:val="72C7E7"/>
      <w:sz w:val="32"/>
      <w:szCs w:val="24"/>
    </w:rPr>
  </w:style>
  <w:style w:type="paragraph" w:customStyle="1" w:styleId="BSubheading-Bluedk">
    <w:name w:val="B Subheading - Blue dk"/>
    <w:basedOn w:val="Normal"/>
    <w:uiPriority w:val="99"/>
    <w:rsid w:val="00BC105C"/>
    <w:pPr>
      <w:spacing w:before="320" w:after="120"/>
      <w:outlineLvl w:val="1"/>
    </w:pPr>
    <w:rPr>
      <w:rFonts w:ascii="Arial" w:hAnsi="Arial"/>
      <w:b/>
      <w:noProof/>
      <w:color w:val="002776"/>
      <w:sz w:val="24"/>
      <w:szCs w:val="24"/>
      <w:lang w:val="en-US"/>
    </w:rPr>
  </w:style>
  <w:style w:type="paragraph" w:customStyle="1" w:styleId="DHeading">
    <w:name w:val="DHeading"/>
    <w:basedOn w:val="Normal"/>
    <w:uiPriority w:val="99"/>
    <w:rsid w:val="00BC105C"/>
    <w:pPr>
      <w:autoSpaceDE w:val="0"/>
      <w:autoSpaceDN w:val="0"/>
      <w:adjustRightInd w:val="0"/>
      <w:spacing w:before="360" w:after="120"/>
      <w:ind w:firstLine="11"/>
    </w:pPr>
    <w:rPr>
      <w:color w:val="333F7F"/>
      <w:sz w:val="44"/>
      <w:szCs w:val="44"/>
      <w:lang w:val="en-GB"/>
    </w:rPr>
  </w:style>
  <w:style w:type="paragraph" w:customStyle="1" w:styleId="DBody">
    <w:name w:val="DBody"/>
    <w:basedOn w:val="Normal"/>
    <w:uiPriority w:val="99"/>
    <w:rsid w:val="00BC105C"/>
    <w:pPr>
      <w:spacing w:before="60" w:after="113"/>
    </w:pPr>
    <w:rPr>
      <w:rFonts w:ascii="Arial" w:hAnsi="Arial"/>
      <w:color w:val="333F7F"/>
      <w:sz w:val="20"/>
      <w:lang w:val="en-GB"/>
    </w:rPr>
  </w:style>
  <w:style w:type="paragraph" w:customStyle="1" w:styleId="DBullet">
    <w:name w:val="DBullet"/>
    <w:basedOn w:val="ListBullet"/>
    <w:uiPriority w:val="99"/>
    <w:rsid w:val="00BC105C"/>
    <w:pPr>
      <w:numPr>
        <w:numId w:val="26"/>
      </w:numPr>
      <w:spacing w:before="40" w:after="40"/>
      <w:contextualSpacing w:val="0"/>
    </w:pPr>
    <w:rPr>
      <w:rFonts w:ascii="Arial" w:hAnsi="Arial"/>
      <w:color w:val="333D7F"/>
      <w:szCs w:val="24"/>
    </w:rPr>
  </w:style>
  <w:style w:type="paragraph" w:styleId="ListBullet">
    <w:name w:val="List Bullet"/>
    <w:basedOn w:val="Normal"/>
    <w:uiPriority w:val="99"/>
    <w:rsid w:val="00BC105C"/>
    <w:pPr>
      <w:numPr>
        <w:numId w:val="1"/>
      </w:numPr>
      <w:contextualSpacing/>
    </w:pPr>
  </w:style>
  <w:style w:type="paragraph" w:customStyle="1" w:styleId="DBluedk">
    <w:name w:val="D Blue dk"/>
    <w:basedOn w:val="Normal"/>
    <w:uiPriority w:val="99"/>
    <w:rsid w:val="00BC105C"/>
    <w:pPr>
      <w:spacing w:before="320" w:after="120"/>
      <w:outlineLvl w:val="1"/>
    </w:pPr>
    <w:rPr>
      <w:rFonts w:ascii="Arial" w:hAnsi="Arial"/>
      <w:b/>
      <w:noProof/>
      <w:color w:val="002776"/>
      <w:sz w:val="24"/>
      <w:szCs w:val="24"/>
      <w:lang w:val="en-US"/>
    </w:rPr>
  </w:style>
  <w:style w:type="character" w:styleId="CommentReference">
    <w:name w:val="annotation reference"/>
    <w:basedOn w:val="DefaultParagraphFont"/>
    <w:uiPriority w:val="99"/>
    <w:rsid w:val="00BC105C"/>
    <w:rPr>
      <w:rFonts w:cs="Times New Roman"/>
      <w:sz w:val="16"/>
      <w:szCs w:val="16"/>
    </w:rPr>
  </w:style>
  <w:style w:type="paragraph" w:styleId="ListParagraph">
    <w:name w:val="List Paragraph"/>
    <w:basedOn w:val="Normal"/>
    <w:uiPriority w:val="99"/>
    <w:qFormat/>
    <w:rsid w:val="00BC105C"/>
    <w:pPr>
      <w:ind w:left="720"/>
      <w:contextualSpacing/>
    </w:pPr>
    <w:rPr>
      <w:rFonts w:ascii="Times New Roman" w:hAnsi="Times New Roman"/>
      <w:sz w:val="24"/>
      <w:szCs w:val="24"/>
    </w:rPr>
  </w:style>
  <w:style w:type="paragraph" w:customStyle="1" w:styleId="Legalstatement">
    <w:name w:val="Legal statement"/>
    <w:basedOn w:val="Footer"/>
    <w:uiPriority w:val="99"/>
    <w:rsid w:val="00BC105C"/>
    <w:pPr>
      <w:tabs>
        <w:tab w:val="clear" w:pos="4513"/>
        <w:tab w:val="clear" w:pos="9026"/>
        <w:tab w:val="right" w:pos="9356"/>
      </w:tabs>
      <w:spacing w:before="120"/>
    </w:pPr>
    <w:rPr>
      <w:rFonts w:ascii="Arial" w:hAnsi="Arial" w:cs="Arial"/>
      <w:color w:val="000000"/>
      <w:sz w:val="14"/>
      <w:szCs w:val="16"/>
    </w:rPr>
  </w:style>
  <w:style w:type="paragraph" w:customStyle="1" w:styleId="Default">
    <w:name w:val="Default"/>
    <w:uiPriority w:val="99"/>
    <w:rsid w:val="00080290"/>
    <w:pPr>
      <w:autoSpaceDE w:val="0"/>
      <w:autoSpaceDN w:val="0"/>
      <w:adjustRightInd w:val="0"/>
      <w:spacing w:after="0" w:line="240" w:lineRule="auto"/>
    </w:pPr>
    <w:rPr>
      <w:color w:val="000000"/>
      <w:sz w:val="24"/>
      <w:szCs w:val="24"/>
    </w:rPr>
  </w:style>
  <w:style w:type="paragraph" w:customStyle="1" w:styleId="MENoIndent1">
    <w:name w:val="ME NoIndent 1"/>
    <w:basedOn w:val="Normal"/>
    <w:uiPriority w:val="99"/>
    <w:rsid w:val="00595C71"/>
    <w:pPr>
      <w:numPr>
        <w:numId w:val="27"/>
      </w:numPr>
      <w:spacing w:after="240" w:line="280" w:lineRule="atLeast"/>
    </w:pPr>
    <w:rPr>
      <w:rFonts w:ascii="Times New Roman" w:hAnsi="Times New Roman"/>
      <w:szCs w:val="24"/>
      <w:lang w:eastAsia="en-AU"/>
    </w:rPr>
  </w:style>
  <w:style w:type="table" w:styleId="TableGrid1">
    <w:name w:val="Table Grid 1"/>
    <w:basedOn w:val="TableNormal"/>
    <w:uiPriority w:val="99"/>
    <w:rsid w:val="00645FB8"/>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SignatureBlock">
    <w:name w:val="Signature Block"/>
    <w:basedOn w:val="Normal"/>
    <w:uiPriority w:val="99"/>
    <w:rsid w:val="00656022"/>
    <w:pPr>
      <w:spacing w:after="120"/>
    </w:pPr>
  </w:style>
  <w:style w:type="paragraph" w:customStyle="1" w:styleId="citation">
    <w:name w:val="citation"/>
    <w:basedOn w:val="Normal"/>
    <w:uiPriority w:val="99"/>
    <w:rsid w:val="00C53003"/>
    <w:pPr>
      <w:spacing w:before="100" w:beforeAutospacing="1" w:after="100" w:afterAutospacing="1"/>
    </w:pPr>
    <w:rPr>
      <w:rFonts w:ascii="Times New Roman" w:hAnsi="Times New Roman"/>
      <w:sz w:val="24"/>
      <w:szCs w:val="24"/>
      <w:lang w:eastAsia="en-AU"/>
    </w:rPr>
  </w:style>
  <w:style w:type="paragraph" w:styleId="DocumentMap">
    <w:name w:val="Document Map"/>
    <w:basedOn w:val="Normal"/>
    <w:link w:val="DocumentMapChar"/>
    <w:uiPriority w:val="99"/>
    <w:semiHidden/>
    <w:rsid w:val="00405EA2"/>
    <w:pPr>
      <w:shd w:val="clear" w:color="auto" w:fill="000080"/>
    </w:pPr>
    <w:rPr>
      <w:rFonts w:ascii="Tahoma" w:hAnsi="Tahoma" w:cs="Tahoma"/>
      <w:sz w:val="20"/>
    </w:rPr>
  </w:style>
  <w:style w:type="paragraph" w:customStyle="1" w:styleId="DOT1">
    <w:name w:val="DOT1"/>
    <w:basedOn w:val="Normal"/>
    <w:uiPriority w:val="99"/>
    <w:semiHidden/>
    <w:rsid w:val="00C173BE"/>
    <w:pPr>
      <w:spacing w:after="120" w:line="360" w:lineRule="auto"/>
      <w:ind w:left="709" w:hanging="709"/>
    </w:pPr>
    <w:rPr>
      <w:rFonts w:ascii="Arial" w:hAnsi="Arial"/>
      <w:sz w:val="24"/>
      <w:lang w:eastAsia="en-AU"/>
    </w:rPr>
  </w:style>
  <w:style w:type="character" w:customStyle="1" w:styleId="DocumentMapChar">
    <w:name w:val="Document Map Char"/>
    <w:basedOn w:val="DefaultParagraphFont"/>
    <w:link w:val="DocumentMap"/>
    <w:uiPriority w:val="99"/>
    <w:semiHidden/>
    <w:locked/>
    <w:rsid w:val="008645FC"/>
    <w:rPr>
      <w:rFonts w:cs="Times New Roman"/>
      <w:sz w:val="2"/>
      <w:lang w:val="x-none" w:eastAsia="en-US"/>
    </w:rPr>
  </w:style>
  <w:style w:type="character" w:styleId="FollowedHyperlink">
    <w:name w:val="FollowedHyperlink"/>
    <w:basedOn w:val="DefaultParagraphFont"/>
    <w:uiPriority w:val="99"/>
    <w:locked/>
    <w:rsid w:val="00152C50"/>
    <w:rPr>
      <w:rFonts w:cs="Times New Roman"/>
      <w:color w:val="800080"/>
      <w:u w:val="single"/>
    </w:rPr>
  </w:style>
  <w:style w:type="paragraph" w:styleId="Title">
    <w:name w:val="Title"/>
    <w:basedOn w:val="ReportTitle"/>
    <w:link w:val="TitleChar"/>
    <w:uiPriority w:val="99"/>
    <w:qFormat/>
    <w:rsid w:val="000A1218"/>
    <w:pPr>
      <w:framePr w:hSpace="0" w:wrap="auto" w:vAnchor="margin" w:hAnchor="text" w:yAlign="inline"/>
      <w:ind w:left="4840"/>
      <w:suppressOverlap w:val="0"/>
    </w:p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Subtitle">
    <w:name w:val="Subtitle"/>
    <w:basedOn w:val="ReportCompany"/>
    <w:link w:val="SubtitleChar"/>
    <w:uiPriority w:val="99"/>
    <w:qFormat/>
    <w:rsid w:val="000A1218"/>
    <w:pPr>
      <w:ind w:left="4950"/>
    </w:pPr>
    <w:rPr>
      <w:szCs w:val="32"/>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eastAsia="en-US"/>
    </w:rPr>
  </w:style>
  <w:style w:type="paragraph" w:customStyle="1" w:styleId="italic">
    <w:name w:val=".italic"/>
    <w:basedOn w:val="BodyText"/>
    <w:link w:val="italicChar"/>
    <w:uiPriority w:val="99"/>
    <w:rsid w:val="006D4795"/>
    <w:rPr>
      <w:i/>
    </w:rPr>
  </w:style>
  <w:style w:type="character" w:customStyle="1" w:styleId="italicChar">
    <w:name w:val=".italic Char"/>
    <w:basedOn w:val="BodyTextChar"/>
    <w:link w:val="italic"/>
    <w:uiPriority w:val="99"/>
    <w:locked/>
    <w:rsid w:val="006D4795"/>
    <w:rPr>
      <w:rFonts w:ascii="Calibri" w:hAnsi="Calibri" w:cs="Times New Roman"/>
      <w:i/>
      <w:sz w:val="22"/>
      <w:lang w:val="en-AU" w:eastAsia="en-US" w:bidi="ar-SA"/>
    </w:rPr>
  </w:style>
  <w:style w:type="paragraph" w:customStyle="1" w:styleId="Figure">
    <w:name w:val="Figure"/>
    <w:basedOn w:val="BodyText"/>
    <w:uiPriority w:val="99"/>
    <w:rsid w:val="00B04B2B"/>
    <w:pPr>
      <w:jc w:val="center"/>
    </w:pPr>
    <w:rPr>
      <w:noProof/>
      <w:lang w:eastAsia="en-AU"/>
    </w:rPr>
  </w:style>
  <w:style w:type="character" w:customStyle="1" w:styleId="NoteChar">
    <w:name w:val="Note Char"/>
    <w:basedOn w:val="DefaultParagraphFont"/>
    <w:link w:val="Note"/>
    <w:uiPriority w:val="99"/>
    <w:locked/>
    <w:rsid w:val="00B04B2B"/>
    <w:rPr>
      <w:rFonts w:ascii="Calibri" w:hAnsi="Calibri" w:cs="Times New Roman"/>
      <w:sz w:val="18"/>
      <w:lang w:val="en-AU" w:eastAsia="en-US" w:bidi="ar-SA"/>
    </w:rPr>
  </w:style>
  <w:style w:type="character" w:customStyle="1" w:styleId="SourceChar">
    <w:name w:val="Source Char"/>
    <w:basedOn w:val="NoteChar"/>
    <w:link w:val="Source"/>
    <w:uiPriority w:val="99"/>
    <w:locked/>
    <w:rsid w:val="00B04B2B"/>
    <w:rPr>
      <w:rFonts w:ascii="Calibri" w:hAnsi="Calibri" w:cs="Arial"/>
      <w:sz w:val="18"/>
      <w:lang w:val="en-AU" w:eastAsia="en-US" w:bidi="ar-SA"/>
    </w:rPr>
  </w:style>
  <w:style w:type="paragraph" w:customStyle="1" w:styleId="Callout">
    <w:name w:val="Callout"/>
    <w:basedOn w:val="IndentParaGrey"/>
    <w:uiPriority w:val="99"/>
    <w:rsid w:val="001D6F9A"/>
    <w:pPr>
      <w:pBdr>
        <w:top w:val="single" w:sz="8" w:space="4" w:color="002776"/>
      </w:pBdr>
      <w:shd w:val="clear" w:color="auto" w:fill="FFFFFF"/>
      <w:ind w:left="0" w:right="-2"/>
    </w:pPr>
    <w:rPr>
      <w:b/>
      <w:color w:val="002776"/>
    </w:rPr>
  </w:style>
  <w:style w:type="paragraph" w:customStyle="1" w:styleId="Callouttext">
    <w:name w:val="Callout text"/>
    <w:basedOn w:val="IndentParaGrey"/>
    <w:uiPriority w:val="99"/>
    <w:rsid w:val="001D6F9A"/>
    <w:pPr>
      <w:pBdr>
        <w:top w:val="single" w:sz="8" w:space="4" w:color="002776"/>
      </w:pBdr>
      <w:shd w:val="clear" w:color="auto" w:fill="FFFFFF"/>
      <w:ind w:left="0" w:right="-2"/>
    </w:pPr>
  </w:style>
  <w:style w:type="paragraph" w:customStyle="1" w:styleId="TableTextCentred">
    <w:name w:val="Table Text Centred"/>
    <w:basedOn w:val="TabletextLeft"/>
    <w:uiPriority w:val="99"/>
    <w:rsid w:val="001D6F9A"/>
    <w:pPr>
      <w:jc w:val="center"/>
    </w:pPr>
  </w:style>
  <w:style w:type="paragraph" w:customStyle="1" w:styleId="Tablecolumnheader">
    <w:name w:val="Table column header"/>
    <w:basedOn w:val="Normal"/>
    <w:uiPriority w:val="99"/>
    <w:rsid w:val="00481593"/>
    <w:pPr>
      <w:ind w:left="-57" w:right="-57"/>
    </w:pPr>
    <w:rPr>
      <w:b/>
      <w:sz w:val="20"/>
    </w:rPr>
  </w:style>
  <w:style w:type="paragraph" w:customStyle="1" w:styleId="bold">
    <w:name w:val=".bold"/>
    <w:basedOn w:val="BodyText"/>
    <w:link w:val="boldChar"/>
    <w:uiPriority w:val="99"/>
    <w:rsid w:val="00DA1A88"/>
    <w:rPr>
      <w:b/>
      <w:bCs/>
    </w:rPr>
  </w:style>
  <w:style w:type="character" w:customStyle="1" w:styleId="boldChar">
    <w:name w:val=".bold Char"/>
    <w:basedOn w:val="BodyTextChar"/>
    <w:link w:val="bold"/>
    <w:uiPriority w:val="99"/>
    <w:locked/>
    <w:rsid w:val="00DA1A88"/>
    <w:rPr>
      <w:rFonts w:ascii="Calibri" w:hAnsi="Calibri" w:cs="Times New Roman"/>
      <w:b/>
      <w:bCs/>
      <w:sz w:val="22"/>
      <w:lang w:val="en-AU" w:eastAsia="en-US" w:bidi="ar-SA"/>
    </w:rPr>
  </w:style>
  <w:style w:type="paragraph" w:customStyle="1" w:styleId="Addendum">
    <w:name w:val="Addendum"/>
    <w:basedOn w:val="Normal"/>
    <w:uiPriority w:val="99"/>
    <w:rsid w:val="00DA1A88"/>
    <w:pPr>
      <w:autoSpaceDE w:val="0"/>
      <w:autoSpaceDN w:val="0"/>
      <w:adjustRightInd w:val="0"/>
    </w:pPr>
    <w:rPr>
      <w:rFonts w:cs="Calibri"/>
      <w:sz w:val="18"/>
      <w:szCs w:val="18"/>
      <w:lang w:eastAsia="en-AU"/>
    </w:rPr>
  </w:style>
  <w:style w:type="paragraph" w:customStyle="1" w:styleId="Listbullettable">
    <w:name w:val="List bullet table"/>
    <w:basedOn w:val="TabletextLeft"/>
    <w:uiPriority w:val="99"/>
    <w:rsid w:val="002939B3"/>
    <w:pPr>
      <w:numPr>
        <w:numId w:val="30"/>
      </w:numPr>
    </w:pPr>
  </w:style>
  <w:style w:type="paragraph" w:styleId="ListNumber">
    <w:name w:val="List Number"/>
    <w:basedOn w:val="NumberedList"/>
    <w:uiPriority w:val="99"/>
    <w:locked/>
    <w:rsid w:val="00757A8E"/>
    <w:pPr>
      <w:spacing w:before="240"/>
    </w:pPr>
  </w:style>
  <w:style w:type="paragraph" w:customStyle="1" w:styleId="Heading1Heading">
    <w:name w:val="Heading 1 Heading"/>
    <w:basedOn w:val="HeadingA"/>
    <w:uiPriority w:val="99"/>
    <w:rsid w:val="0008028A"/>
    <w:rPr>
      <w:sz w:val="44"/>
      <w:szCs w:val="44"/>
    </w:rPr>
  </w:style>
  <w:style w:type="paragraph" w:customStyle="1" w:styleId="Heading3Appendix">
    <w:name w:val="Heading 3 Appendix"/>
    <w:basedOn w:val="BodyText"/>
    <w:uiPriority w:val="99"/>
    <w:rsid w:val="0008028A"/>
    <w:pPr>
      <w:tabs>
        <w:tab w:val="left" w:pos="4665"/>
      </w:tabs>
      <w:jc w:val="left"/>
    </w:pPr>
    <w:rPr>
      <w:b/>
      <w:color w:val="00B0F0"/>
    </w:rPr>
  </w:style>
  <w:style w:type="paragraph" w:customStyle="1" w:styleId="Addendumheading">
    <w:name w:val="Addendum heading"/>
    <w:basedOn w:val="BoldPara"/>
    <w:uiPriority w:val="99"/>
    <w:rsid w:val="00C70073"/>
    <w:pPr>
      <w:spacing w:before="120"/>
    </w:pPr>
    <w:rPr>
      <w:sz w:val="20"/>
      <w:szCs w:val="18"/>
    </w:rPr>
  </w:style>
  <w:style w:type="paragraph" w:customStyle="1" w:styleId="Addendumtext">
    <w:name w:val="Addendum text"/>
    <w:basedOn w:val="BodyText"/>
    <w:uiPriority w:val="99"/>
    <w:rsid w:val="00C70073"/>
    <w:pPr>
      <w:jc w:val="left"/>
    </w:pPr>
    <w:rPr>
      <w:sz w:val="20"/>
    </w:rPr>
  </w:style>
  <w:style w:type="character" w:customStyle="1" w:styleId="StyleFootnoteReference">
    <w:name w:val="Style Footnote Reference"/>
    <w:basedOn w:val="FootnoteReference"/>
    <w:uiPriority w:val="99"/>
    <w:rsid w:val="00D65F13"/>
    <w:rPr>
      <w:rFonts w:ascii="Arial" w:hAnsi="Arial" w:cs="Times New Roman"/>
      <w:sz w:val="24"/>
      <w:szCs w:val="24"/>
      <w:vertAlign w:val="superscript"/>
    </w:rPr>
  </w:style>
  <w:style w:type="paragraph" w:customStyle="1" w:styleId="Bulletbold">
    <w:name w:val="Bullet bold"/>
    <w:basedOn w:val="Bullet1"/>
    <w:link w:val="BulletboldChar"/>
    <w:uiPriority w:val="99"/>
    <w:rsid w:val="00FD179B"/>
    <w:pPr>
      <w:numPr>
        <w:numId w:val="18"/>
      </w:numPr>
    </w:pPr>
    <w:rPr>
      <w:b/>
      <w:bCs/>
    </w:rPr>
  </w:style>
  <w:style w:type="character" w:customStyle="1" w:styleId="Bullet1Char">
    <w:name w:val="Bullet 1 Char"/>
    <w:basedOn w:val="DefaultParagraphFont"/>
    <w:link w:val="Bullet1"/>
    <w:uiPriority w:val="99"/>
    <w:locked/>
    <w:rsid w:val="00FD179B"/>
    <w:rPr>
      <w:rFonts w:ascii="Calibri" w:hAnsi="Calibri" w:cs="Arial"/>
      <w:sz w:val="22"/>
      <w:lang w:val="en-AU" w:eastAsia="en-AU" w:bidi="ar-SA"/>
    </w:rPr>
  </w:style>
  <w:style w:type="character" w:customStyle="1" w:styleId="BulletboldChar">
    <w:name w:val="Bullet bold Char"/>
    <w:basedOn w:val="Bullet1Char"/>
    <w:link w:val="Bulletbold"/>
    <w:uiPriority w:val="99"/>
    <w:locked/>
    <w:rsid w:val="00FD179B"/>
    <w:rPr>
      <w:rFonts w:ascii="Calibri" w:hAnsi="Calibri" w:cs="Arial"/>
      <w:b/>
      <w:bCs/>
      <w:sz w:val="22"/>
      <w:szCs w:val="20"/>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81867">
      <w:marLeft w:val="0"/>
      <w:marRight w:val="0"/>
      <w:marTop w:val="0"/>
      <w:marBottom w:val="0"/>
      <w:divBdr>
        <w:top w:val="none" w:sz="0" w:space="0" w:color="auto"/>
        <w:left w:val="none" w:sz="0" w:space="0" w:color="auto"/>
        <w:bottom w:val="none" w:sz="0" w:space="0" w:color="auto"/>
        <w:right w:val="none" w:sz="0" w:space="0" w:color="auto"/>
      </w:divBdr>
    </w:div>
    <w:div w:id="122381868">
      <w:marLeft w:val="0"/>
      <w:marRight w:val="0"/>
      <w:marTop w:val="0"/>
      <w:marBottom w:val="0"/>
      <w:divBdr>
        <w:top w:val="none" w:sz="0" w:space="0" w:color="auto"/>
        <w:left w:val="none" w:sz="0" w:space="0" w:color="auto"/>
        <w:bottom w:val="none" w:sz="0" w:space="0" w:color="auto"/>
        <w:right w:val="none" w:sz="0" w:space="0" w:color="auto"/>
      </w:divBdr>
    </w:div>
    <w:div w:id="122381869">
      <w:marLeft w:val="0"/>
      <w:marRight w:val="0"/>
      <w:marTop w:val="0"/>
      <w:marBottom w:val="0"/>
      <w:divBdr>
        <w:top w:val="none" w:sz="0" w:space="0" w:color="auto"/>
        <w:left w:val="none" w:sz="0" w:space="0" w:color="auto"/>
        <w:bottom w:val="none" w:sz="0" w:space="0" w:color="auto"/>
        <w:right w:val="none" w:sz="0" w:space="0" w:color="auto"/>
      </w:divBdr>
    </w:div>
    <w:div w:id="122381870">
      <w:marLeft w:val="0"/>
      <w:marRight w:val="0"/>
      <w:marTop w:val="0"/>
      <w:marBottom w:val="0"/>
      <w:divBdr>
        <w:top w:val="none" w:sz="0" w:space="0" w:color="auto"/>
        <w:left w:val="none" w:sz="0" w:space="0" w:color="auto"/>
        <w:bottom w:val="none" w:sz="0" w:space="0" w:color="auto"/>
        <w:right w:val="none" w:sz="0" w:space="0" w:color="auto"/>
      </w:divBdr>
    </w:div>
    <w:div w:id="122381871">
      <w:marLeft w:val="0"/>
      <w:marRight w:val="0"/>
      <w:marTop w:val="0"/>
      <w:marBottom w:val="0"/>
      <w:divBdr>
        <w:top w:val="none" w:sz="0" w:space="0" w:color="auto"/>
        <w:left w:val="none" w:sz="0" w:space="0" w:color="auto"/>
        <w:bottom w:val="none" w:sz="0" w:space="0" w:color="auto"/>
        <w:right w:val="none" w:sz="0" w:space="0" w:color="auto"/>
      </w:divBdr>
    </w:div>
    <w:div w:id="122381872">
      <w:marLeft w:val="0"/>
      <w:marRight w:val="0"/>
      <w:marTop w:val="0"/>
      <w:marBottom w:val="0"/>
      <w:divBdr>
        <w:top w:val="none" w:sz="0" w:space="0" w:color="auto"/>
        <w:left w:val="none" w:sz="0" w:space="0" w:color="auto"/>
        <w:bottom w:val="none" w:sz="0" w:space="0" w:color="auto"/>
        <w:right w:val="none" w:sz="0" w:space="0" w:color="auto"/>
      </w:divBdr>
    </w:div>
    <w:div w:id="122381873">
      <w:marLeft w:val="0"/>
      <w:marRight w:val="0"/>
      <w:marTop w:val="0"/>
      <w:marBottom w:val="0"/>
      <w:divBdr>
        <w:top w:val="none" w:sz="0" w:space="0" w:color="auto"/>
        <w:left w:val="none" w:sz="0" w:space="0" w:color="auto"/>
        <w:bottom w:val="none" w:sz="0" w:space="0" w:color="auto"/>
        <w:right w:val="none" w:sz="0" w:space="0" w:color="auto"/>
      </w:divBdr>
    </w:div>
    <w:div w:id="122381874">
      <w:marLeft w:val="0"/>
      <w:marRight w:val="0"/>
      <w:marTop w:val="0"/>
      <w:marBottom w:val="0"/>
      <w:divBdr>
        <w:top w:val="none" w:sz="0" w:space="0" w:color="auto"/>
        <w:left w:val="none" w:sz="0" w:space="0" w:color="auto"/>
        <w:bottom w:val="none" w:sz="0" w:space="0" w:color="auto"/>
        <w:right w:val="none" w:sz="0" w:space="0" w:color="auto"/>
      </w:divBdr>
    </w:div>
    <w:div w:id="122381875">
      <w:marLeft w:val="0"/>
      <w:marRight w:val="0"/>
      <w:marTop w:val="0"/>
      <w:marBottom w:val="0"/>
      <w:divBdr>
        <w:top w:val="none" w:sz="0" w:space="0" w:color="auto"/>
        <w:left w:val="none" w:sz="0" w:space="0" w:color="auto"/>
        <w:bottom w:val="none" w:sz="0" w:space="0" w:color="auto"/>
        <w:right w:val="none" w:sz="0" w:space="0" w:color="auto"/>
      </w:divBdr>
    </w:div>
    <w:div w:id="122381876">
      <w:marLeft w:val="0"/>
      <w:marRight w:val="0"/>
      <w:marTop w:val="0"/>
      <w:marBottom w:val="0"/>
      <w:divBdr>
        <w:top w:val="none" w:sz="0" w:space="0" w:color="auto"/>
        <w:left w:val="none" w:sz="0" w:space="0" w:color="auto"/>
        <w:bottom w:val="none" w:sz="0" w:space="0" w:color="auto"/>
        <w:right w:val="none" w:sz="0" w:space="0" w:color="auto"/>
      </w:divBdr>
    </w:div>
    <w:div w:id="122381877">
      <w:marLeft w:val="0"/>
      <w:marRight w:val="0"/>
      <w:marTop w:val="0"/>
      <w:marBottom w:val="0"/>
      <w:divBdr>
        <w:top w:val="none" w:sz="0" w:space="0" w:color="auto"/>
        <w:left w:val="none" w:sz="0" w:space="0" w:color="auto"/>
        <w:bottom w:val="none" w:sz="0" w:space="0" w:color="auto"/>
        <w:right w:val="none" w:sz="0" w:space="0" w:color="auto"/>
      </w:divBdr>
    </w:div>
    <w:div w:id="122381878">
      <w:marLeft w:val="0"/>
      <w:marRight w:val="0"/>
      <w:marTop w:val="0"/>
      <w:marBottom w:val="0"/>
      <w:divBdr>
        <w:top w:val="none" w:sz="0" w:space="0" w:color="auto"/>
        <w:left w:val="none" w:sz="0" w:space="0" w:color="auto"/>
        <w:bottom w:val="none" w:sz="0" w:space="0" w:color="auto"/>
        <w:right w:val="none" w:sz="0" w:space="0" w:color="auto"/>
      </w:divBdr>
    </w:div>
    <w:div w:id="122381879">
      <w:marLeft w:val="0"/>
      <w:marRight w:val="0"/>
      <w:marTop w:val="0"/>
      <w:marBottom w:val="0"/>
      <w:divBdr>
        <w:top w:val="none" w:sz="0" w:space="0" w:color="auto"/>
        <w:left w:val="none" w:sz="0" w:space="0" w:color="auto"/>
        <w:bottom w:val="none" w:sz="0" w:space="0" w:color="auto"/>
        <w:right w:val="none" w:sz="0" w:space="0" w:color="auto"/>
      </w:divBdr>
    </w:div>
    <w:div w:id="122381880">
      <w:marLeft w:val="0"/>
      <w:marRight w:val="0"/>
      <w:marTop w:val="0"/>
      <w:marBottom w:val="0"/>
      <w:divBdr>
        <w:top w:val="none" w:sz="0" w:space="0" w:color="auto"/>
        <w:left w:val="none" w:sz="0" w:space="0" w:color="auto"/>
        <w:bottom w:val="none" w:sz="0" w:space="0" w:color="auto"/>
        <w:right w:val="none" w:sz="0" w:space="0" w:color="auto"/>
      </w:divBdr>
    </w:div>
    <w:div w:id="122381881">
      <w:marLeft w:val="0"/>
      <w:marRight w:val="0"/>
      <w:marTop w:val="0"/>
      <w:marBottom w:val="0"/>
      <w:divBdr>
        <w:top w:val="none" w:sz="0" w:space="0" w:color="auto"/>
        <w:left w:val="none" w:sz="0" w:space="0" w:color="auto"/>
        <w:bottom w:val="none" w:sz="0" w:space="0" w:color="auto"/>
        <w:right w:val="none" w:sz="0" w:space="0" w:color="auto"/>
      </w:divBdr>
    </w:div>
    <w:div w:id="122381882">
      <w:marLeft w:val="0"/>
      <w:marRight w:val="0"/>
      <w:marTop w:val="0"/>
      <w:marBottom w:val="0"/>
      <w:divBdr>
        <w:top w:val="none" w:sz="0" w:space="0" w:color="auto"/>
        <w:left w:val="none" w:sz="0" w:space="0" w:color="auto"/>
        <w:bottom w:val="none" w:sz="0" w:space="0" w:color="auto"/>
        <w:right w:val="none" w:sz="0" w:space="0" w:color="auto"/>
      </w:divBdr>
    </w:div>
    <w:div w:id="122381883">
      <w:marLeft w:val="0"/>
      <w:marRight w:val="0"/>
      <w:marTop w:val="0"/>
      <w:marBottom w:val="0"/>
      <w:divBdr>
        <w:top w:val="none" w:sz="0" w:space="0" w:color="auto"/>
        <w:left w:val="none" w:sz="0" w:space="0" w:color="auto"/>
        <w:bottom w:val="none" w:sz="0" w:space="0" w:color="auto"/>
        <w:right w:val="none" w:sz="0" w:space="0" w:color="auto"/>
      </w:divBdr>
    </w:div>
    <w:div w:id="122381884">
      <w:marLeft w:val="0"/>
      <w:marRight w:val="0"/>
      <w:marTop w:val="0"/>
      <w:marBottom w:val="0"/>
      <w:divBdr>
        <w:top w:val="none" w:sz="0" w:space="0" w:color="auto"/>
        <w:left w:val="none" w:sz="0" w:space="0" w:color="auto"/>
        <w:bottom w:val="none" w:sz="0" w:space="0" w:color="auto"/>
        <w:right w:val="none" w:sz="0" w:space="0" w:color="auto"/>
      </w:divBdr>
    </w:div>
    <w:div w:id="122381885">
      <w:marLeft w:val="0"/>
      <w:marRight w:val="0"/>
      <w:marTop w:val="0"/>
      <w:marBottom w:val="0"/>
      <w:divBdr>
        <w:top w:val="none" w:sz="0" w:space="0" w:color="auto"/>
        <w:left w:val="none" w:sz="0" w:space="0" w:color="auto"/>
        <w:bottom w:val="none" w:sz="0" w:space="0" w:color="auto"/>
        <w:right w:val="none" w:sz="0" w:space="0" w:color="auto"/>
      </w:divBdr>
    </w:div>
    <w:div w:id="122381886">
      <w:marLeft w:val="0"/>
      <w:marRight w:val="0"/>
      <w:marTop w:val="0"/>
      <w:marBottom w:val="0"/>
      <w:divBdr>
        <w:top w:val="none" w:sz="0" w:space="0" w:color="auto"/>
        <w:left w:val="none" w:sz="0" w:space="0" w:color="auto"/>
        <w:bottom w:val="none" w:sz="0" w:space="0" w:color="auto"/>
        <w:right w:val="none" w:sz="0" w:space="0" w:color="auto"/>
      </w:divBdr>
    </w:div>
    <w:div w:id="122381887">
      <w:marLeft w:val="0"/>
      <w:marRight w:val="0"/>
      <w:marTop w:val="0"/>
      <w:marBottom w:val="0"/>
      <w:divBdr>
        <w:top w:val="none" w:sz="0" w:space="0" w:color="auto"/>
        <w:left w:val="none" w:sz="0" w:space="0" w:color="auto"/>
        <w:bottom w:val="none" w:sz="0" w:space="0" w:color="auto"/>
        <w:right w:val="none" w:sz="0" w:space="0" w:color="auto"/>
      </w:divBdr>
    </w:div>
    <w:div w:id="122381888">
      <w:marLeft w:val="0"/>
      <w:marRight w:val="0"/>
      <w:marTop w:val="0"/>
      <w:marBottom w:val="0"/>
      <w:divBdr>
        <w:top w:val="none" w:sz="0" w:space="0" w:color="auto"/>
        <w:left w:val="none" w:sz="0" w:space="0" w:color="auto"/>
        <w:bottom w:val="none" w:sz="0" w:space="0" w:color="auto"/>
        <w:right w:val="none" w:sz="0" w:space="0" w:color="auto"/>
      </w:divBdr>
    </w:div>
    <w:div w:id="122381889">
      <w:marLeft w:val="0"/>
      <w:marRight w:val="0"/>
      <w:marTop w:val="0"/>
      <w:marBottom w:val="0"/>
      <w:divBdr>
        <w:top w:val="none" w:sz="0" w:space="0" w:color="auto"/>
        <w:left w:val="none" w:sz="0" w:space="0" w:color="auto"/>
        <w:bottom w:val="none" w:sz="0" w:space="0" w:color="auto"/>
        <w:right w:val="none" w:sz="0" w:space="0" w:color="auto"/>
      </w:divBdr>
    </w:div>
    <w:div w:id="122381890">
      <w:marLeft w:val="0"/>
      <w:marRight w:val="0"/>
      <w:marTop w:val="0"/>
      <w:marBottom w:val="0"/>
      <w:divBdr>
        <w:top w:val="none" w:sz="0" w:space="0" w:color="auto"/>
        <w:left w:val="none" w:sz="0" w:space="0" w:color="auto"/>
        <w:bottom w:val="none" w:sz="0" w:space="0" w:color="auto"/>
        <w:right w:val="none" w:sz="0" w:space="0" w:color="auto"/>
      </w:divBdr>
    </w:div>
    <w:div w:id="122381891">
      <w:marLeft w:val="0"/>
      <w:marRight w:val="0"/>
      <w:marTop w:val="0"/>
      <w:marBottom w:val="0"/>
      <w:divBdr>
        <w:top w:val="none" w:sz="0" w:space="0" w:color="auto"/>
        <w:left w:val="none" w:sz="0" w:space="0" w:color="auto"/>
        <w:bottom w:val="none" w:sz="0" w:space="0" w:color="auto"/>
        <w:right w:val="none" w:sz="0" w:space="0" w:color="auto"/>
      </w:divBdr>
    </w:div>
    <w:div w:id="122381892">
      <w:marLeft w:val="0"/>
      <w:marRight w:val="0"/>
      <w:marTop w:val="0"/>
      <w:marBottom w:val="0"/>
      <w:divBdr>
        <w:top w:val="none" w:sz="0" w:space="0" w:color="auto"/>
        <w:left w:val="none" w:sz="0" w:space="0" w:color="auto"/>
        <w:bottom w:val="none" w:sz="0" w:space="0" w:color="auto"/>
        <w:right w:val="none" w:sz="0" w:space="0" w:color="auto"/>
      </w:divBdr>
    </w:div>
    <w:div w:id="122381893">
      <w:marLeft w:val="0"/>
      <w:marRight w:val="0"/>
      <w:marTop w:val="0"/>
      <w:marBottom w:val="0"/>
      <w:divBdr>
        <w:top w:val="none" w:sz="0" w:space="0" w:color="auto"/>
        <w:left w:val="none" w:sz="0" w:space="0" w:color="auto"/>
        <w:bottom w:val="none" w:sz="0" w:space="0" w:color="auto"/>
        <w:right w:val="none" w:sz="0" w:space="0" w:color="auto"/>
      </w:divBdr>
    </w:div>
    <w:div w:id="122381894">
      <w:marLeft w:val="0"/>
      <w:marRight w:val="0"/>
      <w:marTop w:val="0"/>
      <w:marBottom w:val="0"/>
      <w:divBdr>
        <w:top w:val="none" w:sz="0" w:space="0" w:color="auto"/>
        <w:left w:val="none" w:sz="0" w:space="0" w:color="auto"/>
        <w:bottom w:val="none" w:sz="0" w:space="0" w:color="auto"/>
        <w:right w:val="none" w:sz="0" w:space="0" w:color="auto"/>
      </w:divBdr>
    </w:div>
    <w:div w:id="122381895">
      <w:marLeft w:val="0"/>
      <w:marRight w:val="0"/>
      <w:marTop w:val="0"/>
      <w:marBottom w:val="0"/>
      <w:divBdr>
        <w:top w:val="none" w:sz="0" w:space="0" w:color="auto"/>
        <w:left w:val="none" w:sz="0" w:space="0" w:color="auto"/>
        <w:bottom w:val="none" w:sz="0" w:space="0" w:color="auto"/>
        <w:right w:val="none" w:sz="0" w:space="0" w:color="auto"/>
      </w:divBdr>
    </w:div>
    <w:div w:id="122381896">
      <w:marLeft w:val="0"/>
      <w:marRight w:val="0"/>
      <w:marTop w:val="0"/>
      <w:marBottom w:val="0"/>
      <w:divBdr>
        <w:top w:val="none" w:sz="0" w:space="0" w:color="auto"/>
        <w:left w:val="none" w:sz="0" w:space="0" w:color="auto"/>
        <w:bottom w:val="none" w:sz="0" w:space="0" w:color="auto"/>
        <w:right w:val="none" w:sz="0" w:space="0" w:color="auto"/>
      </w:divBdr>
    </w:div>
    <w:div w:id="122381897">
      <w:marLeft w:val="0"/>
      <w:marRight w:val="0"/>
      <w:marTop w:val="0"/>
      <w:marBottom w:val="0"/>
      <w:divBdr>
        <w:top w:val="none" w:sz="0" w:space="0" w:color="auto"/>
        <w:left w:val="none" w:sz="0" w:space="0" w:color="auto"/>
        <w:bottom w:val="none" w:sz="0" w:space="0" w:color="auto"/>
        <w:right w:val="none" w:sz="0" w:space="0" w:color="auto"/>
      </w:divBdr>
    </w:div>
    <w:div w:id="122381898">
      <w:marLeft w:val="0"/>
      <w:marRight w:val="0"/>
      <w:marTop w:val="0"/>
      <w:marBottom w:val="0"/>
      <w:divBdr>
        <w:top w:val="none" w:sz="0" w:space="0" w:color="auto"/>
        <w:left w:val="none" w:sz="0" w:space="0" w:color="auto"/>
        <w:bottom w:val="none" w:sz="0" w:space="0" w:color="auto"/>
        <w:right w:val="none" w:sz="0" w:space="0" w:color="auto"/>
      </w:divBdr>
    </w:div>
    <w:div w:id="122381899">
      <w:marLeft w:val="0"/>
      <w:marRight w:val="0"/>
      <w:marTop w:val="0"/>
      <w:marBottom w:val="0"/>
      <w:divBdr>
        <w:top w:val="none" w:sz="0" w:space="0" w:color="auto"/>
        <w:left w:val="none" w:sz="0" w:space="0" w:color="auto"/>
        <w:bottom w:val="none" w:sz="0" w:space="0" w:color="auto"/>
        <w:right w:val="none" w:sz="0" w:space="0" w:color="auto"/>
      </w:divBdr>
    </w:div>
    <w:div w:id="122381900">
      <w:marLeft w:val="0"/>
      <w:marRight w:val="0"/>
      <w:marTop w:val="0"/>
      <w:marBottom w:val="0"/>
      <w:divBdr>
        <w:top w:val="none" w:sz="0" w:space="0" w:color="auto"/>
        <w:left w:val="none" w:sz="0" w:space="0" w:color="auto"/>
        <w:bottom w:val="none" w:sz="0" w:space="0" w:color="auto"/>
        <w:right w:val="none" w:sz="0" w:space="0" w:color="auto"/>
      </w:divBdr>
    </w:div>
    <w:div w:id="122381901">
      <w:marLeft w:val="0"/>
      <w:marRight w:val="0"/>
      <w:marTop w:val="0"/>
      <w:marBottom w:val="0"/>
      <w:divBdr>
        <w:top w:val="none" w:sz="0" w:space="0" w:color="auto"/>
        <w:left w:val="none" w:sz="0" w:space="0" w:color="auto"/>
        <w:bottom w:val="none" w:sz="0" w:space="0" w:color="auto"/>
        <w:right w:val="none" w:sz="0" w:space="0" w:color="auto"/>
      </w:divBdr>
    </w:div>
    <w:div w:id="122381902">
      <w:marLeft w:val="0"/>
      <w:marRight w:val="0"/>
      <w:marTop w:val="0"/>
      <w:marBottom w:val="0"/>
      <w:divBdr>
        <w:top w:val="none" w:sz="0" w:space="0" w:color="auto"/>
        <w:left w:val="none" w:sz="0" w:space="0" w:color="auto"/>
        <w:bottom w:val="none" w:sz="0" w:space="0" w:color="auto"/>
        <w:right w:val="none" w:sz="0" w:space="0" w:color="auto"/>
      </w:divBdr>
    </w:div>
    <w:div w:id="122381903">
      <w:marLeft w:val="0"/>
      <w:marRight w:val="0"/>
      <w:marTop w:val="0"/>
      <w:marBottom w:val="0"/>
      <w:divBdr>
        <w:top w:val="none" w:sz="0" w:space="0" w:color="auto"/>
        <w:left w:val="none" w:sz="0" w:space="0" w:color="auto"/>
        <w:bottom w:val="none" w:sz="0" w:space="0" w:color="auto"/>
        <w:right w:val="none" w:sz="0" w:space="0" w:color="auto"/>
      </w:divBdr>
    </w:div>
    <w:div w:id="122381904">
      <w:marLeft w:val="0"/>
      <w:marRight w:val="0"/>
      <w:marTop w:val="0"/>
      <w:marBottom w:val="0"/>
      <w:divBdr>
        <w:top w:val="none" w:sz="0" w:space="0" w:color="auto"/>
        <w:left w:val="none" w:sz="0" w:space="0" w:color="auto"/>
        <w:bottom w:val="none" w:sz="0" w:space="0" w:color="auto"/>
        <w:right w:val="none" w:sz="0" w:space="0" w:color="auto"/>
      </w:divBdr>
    </w:div>
    <w:div w:id="122381905">
      <w:marLeft w:val="0"/>
      <w:marRight w:val="0"/>
      <w:marTop w:val="0"/>
      <w:marBottom w:val="0"/>
      <w:divBdr>
        <w:top w:val="none" w:sz="0" w:space="0" w:color="auto"/>
        <w:left w:val="none" w:sz="0" w:space="0" w:color="auto"/>
        <w:bottom w:val="none" w:sz="0" w:space="0" w:color="auto"/>
        <w:right w:val="none" w:sz="0" w:space="0" w:color="auto"/>
      </w:divBdr>
    </w:div>
    <w:div w:id="122381906">
      <w:marLeft w:val="0"/>
      <w:marRight w:val="0"/>
      <w:marTop w:val="0"/>
      <w:marBottom w:val="0"/>
      <w:divBdr>
        <w:top w:val="none" w:sz="0" w:space="0" w:color="auto"/>
        <w:left w:val="none" w:sz="0" w:space="0" w:color="auto"/>
        <w:bottom w:val="none" w:sz="0" w:space="0" w:color="auto"/>
        <w:right w:val="none" w:sz="0" w:space="0" w:color="auto"/>
      </w:divBdr>
    </w:div>
    <w:div w:id="122381907">
      <w:marLeft w:val="0"/>
      <w:marRight w:val="0"/>
      <w:marTop w:val="0"/>
      <w:marBottom w:val="0"/>
      <w:divBdr>
        <w:top w:val="none" w:sz="0" w:space="0" w:color="auto"/>
        <w:left w:val="none" w:sz="0" w:space="0" w:color="auto"/>
        <w:bottom w:val="none" w:sz="0" w:space="0" w:color="auto"/>
        <w:right w:val="none" w:sz="0" w:space="0" w:color="auto"/>
      </w:divBdr>
    </w:div>
    <w:div w:id="122381908">
      <w:marLeft w:val="0"/>
      <w:marRight w:val="0"/>
      <w:marTop w:val="0"/>
      <w:marBottom w:val="0"/>
      <w:divBdr>
        <w:top w:val="none" w:sz="0" w:space="0" w:color="auto"/>
        <w:left w:val="none" w:sz="0" w:space="0" w:color="auto"/>
        <w:bottom w:val="none" w:sz="0" w:space="0" w:color="auto"/>
        <w:right w:val="none" w:sz="0" w:space="0" w:color="auto"/>
      </w:divBdr>
    </w:div>
    <w:div w:id="122381909">
      <w:marLeft w:val="0"/>
      <w:marRight w:val="0"/>
      <w:marTop w:val="0"/>
      <w:marBottom w:val="0"/>
      <w:divBdr>
        <w:top w:val="none" w:sz="0" w:space="0" w:color="auto"/>
        <w:left w:val="none" w:sz="0" w:space="0" w:color="auto"/>
        <w:bottom w:val="none" w:sz="0" w:space="0" w:color="auto"/>
        <w:right w:val="none" w:sz="0" w:space="0" w:color="auto"/>
      </w:divBdr>
    </w:div>
    <w:div w:id="122381910">
      <w:marLeft w:val="0"/>
      <w:marRight w:val="0"/>
      <w:marTop w:val="0"/>
      <w:marBottom w:val="0"/>
      <w:divBdr>
        <w:top w:val="none" w:sz="0" w:space="0" w:color="auto"/>
        <w:left w:val="none" w:sz="0" w:space="0" w:color="auto"/>
        <w:bottom w:val="none" w:sz="0" w:space="0" w:color="auto"/>
        <w:right w:val="none" w:sz="0" w:space="0" w:color="auto"/>
      </w:divBdr>
    </w:div>
    <w:div w:id="122381911">
      <w:marLeft w:val="0"/>
      <w:marRight w:val="0"/>
      <w:marTop w:val="0"/>
      <w:marBottom w:val="0"/>
      <w:divBdr>
        <w:top w:val="none" w:sz="0" w:space="0" w:color="auto"/>
        <w:left w:val="none" w:sz="0" w:space="0" w:color="auto"/>
        <w:bottom w:val="none" w:sz="0" w:space="0" w:color="auto"/>
        <w:right w:val="none" w:sz="0" w:space="0" w:color="auto"/>
      </w:divBdr>
    </w:div>
    <w:div w:id="122381912">
      <w:marLeft w:val="0"/>
      <w:marRight w:val="0"/>
      <w:marTop w:val="0"/>
      <w:marBottom w:val="0"/>
      <w:divBdr>
        <w:top w:val="none" w:sz="0" w:space="0" w:color="auto"/>
        <w:left w:val="none" w:sz="0" w:space="0" w:color="auto"/>
        <w:bottom w:val="none" w:sz="0" w:space="0" w:color="auto"/>
        <w:right w:val="none" w:sz="0" w:space="0" w:color="auto"/>
      </w:divBdr>
    </w:div>
    <w:div w:id="122381913">
      <w:marLeft w:val="0"/>
      <w:marRight w:val="0"/>
      <w:marTop w:val="0"/>
      <w:marBottom w:val="0"/>
      <w:divBdr>
        <w:top w:val="none" w:sz="0" w:space="0" w:color="auto"/>
        <w:left w:val="none" w:sz="0" w:space="0" w:color="auto"/>
        <w:bottom w:val="none" w:sz="0" w:space="0" w:color="auto"/>
        <w:right w:val="none" w:sz="0" w:space="0" w:color="auto"/>
      </w:divBdr>
    </w:div>
    <w:div w:id="122381914">
      <w:marLeft w:val="0"/>
      <w:marRight w:val="0"/>
      <w:marTop w:val="0"/>
      <w:marBottom w:val="0"/>
      <w:divBdr>
        <w:top w:val="none" w:sz="0" w:space="0" w:color="auto"/>
        <w:left w:val="none" w:sz="0" w:space="0" w:color="auto"/>
        <w:bottom w:val="none" w:sz="0" w:space="0" w:color="auto"/>
        <w:right w:val="none" w:sz="0" w:space="0" w:color="auto"/>
      </w:divBdr>
    </w:div>
    <w:div w:id="122381915">
      <w:marLeft w:val="0"/>
      <w:marRight w:val="0"/>
      <w:marTop w:val="0"/>
      <w:marBottom w:val="0"/>
      <w:divBdr>
        <w:top w:val="none" w:sz="0" w:space="0" w:color="auto"/>
        <w:left w:val="none" w:sz="0" w:space="0" w:color="auto"/>
        <w:bottom w:val="none" w:sz="0" w:space="0" w:color="auto"/>
        <w:right w:val="none" w:sz="0" w:space="0" w:color="auto"/>
      </w:divBdr>
    </w:div>
    <w:div w:id="122381916">
      <w:marLeft w:val="0"/>
      <w:marRight w:val="0"/>
      <w:marTop w:val="0"/>
      <w:marBottom w:val="0"/>
      <w:divBdr>
        <w:top w:val="none" w:sz="0" w:space="0" w:color="auto"/>
        <w:left w:val="none" w:sz="0" w:space="0" w:color="auto"/>
        <w:bottom w:val="none" w:sz="0" w:space="0" w:color="auto"/>
        <w:right w:val="none" w:sz="0" w:space="0" w:color="auto"/>
      </w:divBdr>
    </w:div>
    <w:div w:id="122381917">
      <w:marLeft w:val="0"/>
      <w:marRight w:val="0"/>
      <w:marTop w:val="0"/>
      <w:marBottom w:val="0"/>
      <w:divBdr>
        <w:top w:val="none" w:sz="0" w:space="0" w:color="auto"/>
        <w:left w:val="none" w:sz="0" w:space="0" w:color="auto"/>
        <w:bottom w:val="none" w:sz="0" w:space="0" w:color="auto"/>
        <w:right w:val="none" w:sz="0" w:space="0" w:color="auto"/>
      </w:divBdr>
    </w:div>
    <w:div w:id="122381918">
      <w:marLeft w:val="0"/>
      <w:marRight w:val="0"/>
      <w:marTop w:val="0"/>
      <w:marBottom w:val="0"/>
      <w:divBdr>
        <w:top w:val="none" w:sz="0" w:space="0" w:color="auto"/>
        <w:left w:val="none" w:sz="0" w:space="0" w:color="auto"/>
        <w:bottom w:val="none" w:sz="0" w:space="0" w:color="auto"/>
        <w:right w:val="none" w:sz="0" w:space="0" w:color="auto"/>
      </w:divBdr>
    </w:div>
    <w:div w:id="122381919">
      <w:marLeft w:val="0"/>
      <w:marRight w:val="0"/>
      <w:marTop w:val="0"/>
      <w:marBottom w:val="0"/>
      <w:divBdr>
        <w:top w:val="none" w:sz="0" w:space="0" w:color="auto"/>
        <w:left w:val="none" w:sz="0" w:space="0" w:color="auto"/>
        <w:bottom w:val="none" w:sz="0" w:space="0" w:color="auto"/>
        <w:right w:val="none" w:sz="0" w:space="0" w:color="auto"/>
      </w:divBdr>
    </w:div>
    <w:div w:id="122381920">
      <w:marLeft w:val="0"/>
      <w:marRight w:val="0"/>
      <w:marTop w:val="0"/>
      <w:marBottom w:val="0"/>
      <w:divBdr>
        <w:top w:val="none" w:sz="0" w:space="0" w:color="auto"/>
        <w:left w:val="none" w:sz="0" w:space="0" w:color="auto"/>
        <w:bottom w:val="none" w:sz="0" w:space="0" w:color="auto"/>
        <w:right w:val="none" w:sz="0" w:space="0" w:color="auto"/>
      </w:divBdr>
    </w:div>
    <w:div w:id="122381921">
      <w:marLeft w:val="0"/>
      <w:marRight w:val="0"/>
      <w:marTop w:val="0"/>
      <w:marBottom w:val="0"/>
      <w:divBdr>
        <w:top w:val="none" w:sz="0" w:space="0" w:color="auto"/>
        <w:left w:val="none" w:sz="0" w:space="0" w:color="auto"/>
        <w:bottom w:val="none" w:sz="0" w:space="0" w:color="auto"/>
        <w:right w:val="none" w:sz="0" w:space="0" w:color="auto"/>
      </w:divBdr>
    </w:div>
    <w:div w:id="122381922">
      <w:marLeft w:val="0"/>
      <w:marRight w:val="0"/>
      <w:marTop w:val="0"/>
      <w:marBottom w:val="0"/>
      <w:divBdr>
        <w:top w:val="none" w:sz="0" w:space="0" w:color="auto"/>
        <w:left w:val="none" w:sz="0" w:space="0" w:color="auto"/>
        <w:bottom w:val="none" w:sz="0" w:space="0" w:color="auto"/>
        <w:right w:val="none" w:sz="0" w:space="0" w:color="auto"/>
      </w:divBdr>
    </w:div>
    <w:div w:id="122381923">
      <w:marLeft w:val="0"/>
      <w:marRight w:val="0"/>
      <w:marTop w:val="0"/>
      <w:marBottom w:val="0"/>
      <w:divBdr>
        <w:top w:val="none" w:sz="0" w:space="0" w:color="auto"/>
        <w:left w:val="none" w:sz="0" w:space="0" w:color="auto"/>
        <w:bottom w:val="none" w:sz="0" w:space="0" w:color="auto"/>
        <w:right w:val="none" w:sz="0" w:space="0" w:color="auto"/>
      </w:divBdr>
    </w:div>
    <w:div w:id="122381924">
      <w:marLeft w:val="0"/>
      <w:marRight w:val="0"/>
      <w:marTop w:val="0"/>
      <w:marBottom w:val="0"/>
      <w:divBdr>
        <w:top w:val="none" w:sz="0" w:space="0" w:color="auto"/>
        <w:left w:val="none" w:sz="0" w:space="0" w:color="auto"/>
        <w:bottom w:val="none" w:sz="0" w:space="0" w:color="auto"/>
        <w:right w:val="none" w:sz="0" w:space="0" w:color="auto"/>
      </w:divBdr>
    </w:div>
    <w:div w:id="122381925">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1927">
      <w:marLeft w:val="0"/>
      <w:marRight w:val="0"/>
      <w:marTop w:val="0"/>
      <w:marBottom w:val="0"/>
      <w:divBdr>
        <w:top w:val="none" w:sz="0" w:space="0" w:color="auto"/>
        <w:left w:val="none" w:sz="0" w:space="0" w:color="auto"/>
        <w:bottom w:val="none" w:sz="0" w:space="0" w:color="auto"/>
        <w:right w:val="none" w:sz="0" w:space="0" w:color="auto"/>
      </w:divBdr>
    </w:div>
    <w:div w:id="122381928">
      <w:marLeft w:val="0"/>
      <w:marRight w:val="0"/>
      <w:marTop w:val="0"/>
      <w:marBottom w:val="0"/>
      <w:divBdr>
        <w:top w:val="none" w:sz="0" w:space="0" w:color="auto"/>
        <w:left w:val="none" w:sz="0" w:space="0" w:color="auto"/>
        <w:bottom w:val="none" w:sz="0" w:space="0" w:color="auto"/>
        <w:right w:val="none" w:sz="0" w:space="0" w:color="auto"/>
      </w:divBdr>
    </w:div>
    <w:div w:id="1223819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hyperlink" Target="http://www.innovation.gov.au/Research/ResearchWorkforceIssues/Documents/DisciplineSpecificCaseStudies.pdf" TargetMode="External"/><Relationship Id="rId21" Type="http://schemas.openxmlformats.org/officeDocument/2006/relationships/image" Target="media/image10.emf"/><Relationship Id="rId34" Type="http://schemas.openxmlformats.org/officeDocument/2006/relationships/hyperlink" Target="http://www.innovation.gov.au/AboutUs/FinancialInformationandLegislation/BudgetInformation/Documents/PortfolioBudgetStatementsFull2006-07.pdf" TargetMode="External"/><Relationship Id="rId42" Type="http://schemas.openxmlformats.org/officeDocument/2006/relationships/hyperlink" Target="http://www.dfg.de/en/research_funding/programmes/coordinated_programmes/research_training_groups/index.html" TargetMode="External"/><Relationship Id="rId47" Type="http://schemas.openxmlformats.org/officeDocument/2006/relationships/header" Target="header3.xml"/><Relationship Id="rId50" Type="http://schemas.openxmlformats.org/officeDocument/2006/relationships/header" Target="header5.xml"/><Relationship Id="rId55" Type="http://schemas.openxmlformats.org/officeDocument/2006/relationships/footer" Target="footer7.xml"/><Relationship Id="rId63" Type="http://schemas.openxmlformats.org/officeDocument/2006/relationships/hyperlink" Target="http://www.deloitte.com/au/about" TargetMode="External"/><Relationship Id="rId68"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emf"/><Relationship Id="rId29" Type="http://schemas.openxmlformats.org/officeDocument/2006/relationships/hyperlink" Target="http://www.innovation.gov.au/AboutUs/FinancialInformationandLegislation/BudgetInformation/Documents/PortfolioBudgetStatementsFull2001-02.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emf"/><Relationship Id="rId32" Type="http://schemas.openxmlformats.org/officeDocument/2006/relationships/hyperlink" Target="http://www.innovation.gov.au/AboutUs/FinancialInformationandLegislation/BudgetInformation/Documents/PortfolioBudgetStatementsFull2004-05.pdf" TargetMode="External"/><Relationship Id="rId37" Type="http://schemas.openxmlformats.org/officeDocument/2006/relationships/hyperlink" Target="http://www.innovation.gov.au/AboutUs/FinancialInformationandLegislation/BudgetInformation/Documents/PortfolioBudgetStatementsFull2010-11.pdf" TargetMode="External"/><Relationship Id="rId40" Type="http://schemas.openxmlformats.org/officeDocument/2006/relationships/hyperlink" Target="http://www.spatialonline.com.au/aria/default.aspx" TargetMode="External"/><Relationship Id="rId45" Type="http://schemas.openxmlformats.org/officeDocument/2006/relationships/hyperlink" Target="http://www.otago.ac.nz/study/otago001301.html" TargetMode="External"/><Relationship Id="rId53" Type="http://schemas.openxmlformats.org/officeDocument/2006/relationships/footer" Target="footer6.xml"/><Relationship Id="rId58" Type="http://schemas.openxmlformats.org/officeDocument/2006/relationships/footer" Target="footer8.xml"/><Relationship Id="rId66"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hyperlink" Target="http://www.innovation.gov.au/AboutUs/FinancialInformationandLegislation/BudgetInformation/Documents/PortfolioBudgetStatementsFull2009-10.pdf" TargetMode="External"/><Relationship Id="rId49" Type="http://schemas.openxmlformats.org/officeDocument/2006/relationships/footer" Target="footer4.xml"/><Relationship Id="rId57" Type="http://schemas.openxmlformats.org/officeDocument/2006/relationships/header" Target="header9.xml"/><Relationship Id="rId61" Type="http://schemas.openxmlformats.org/officeDocument/2006/relationships/footer" Target="footer10.xml"/><Relationship Id="rId10" Type="http://schemas.openxmlformats.org/officeDocument/2006/relationships/image" Target="media/image2.png"/><Relationship Id="rId19" Type="http://schemas.openxmlformats.org/officeDocument/2006/relationships/image" Target="media/image8.emf"/><Relationship Id="rId31" Type="http://schemas.openxmlformats.org/officeDocument/2006/relationships/hyperlink" Target="http://www.innovation.gov.au/AboutUs/FinancialInformationandLegislation/BudgetInformation/Documents/PortfolioBudgetStatementsFull2003-04.pdf" TargetMode="External"/><Relationship Id="rId44" Type="http://schemas.openxmlformats.org/officeDocument/2006/relationships/hyperlink" Target="http://en.wikipedia.org/wiki/Doctor_of_Philosophy%22_/l_%22New_Zealand%22" TargetMode="External"/><Relationship Id="rId52" Type="http://schemas.openxmlformats.org/officeDocument/2006/relationships/footer" Target="footer5.xml"/><Relationship Id="rId60" Type="http://schemas.openxmlformats.org/officeDocument/2006/relationships/header" Target="header10.xml"/><Relationship Id="rId65"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hyperlink" Target="http://www.innovation.gov.au/AboutUs/FinancialInformationandLegislation/BudgetInformation/Documents/PortfolioBudgetStatementsFull2002-03.pdf" TargetMode="External"/><Relationship Id="rId35" Type="http://schemas.openxmlformats.org/officeDocument/2006/relationships/hyperlink" Target="http://www.innovation.gov.au/AboutUs/FinancialInformationandLegislation/BudgetInformation/Documents/PortfolioBudgetStatementsFull2008-09.pdf" TargetMode="External"/><Relationship Id="rId43" Type="http://schemas.openxmlformats.org/officeDocument/2006/relationships/hyperlink" Target="http://www.eui.eu/ProgrammesAndFellowships/AcademicCareersObservatory/JobFundingResources/NationalResearchFundingOpportunities.aspx" TargetMode="External"/><Relationship Id="rId48" Type="http://schemas.openxmlformats.org/officeDocument/2006/relationships/header" Target="header4.xml"/><Relationship Id="rId56" Type="http://schemas.openxmlformats.org/officeDocument/2006/relationships/header" Target="header8.xml"/><Relationship Id="rId64" Type="http://schemas.openxmlformats.org/officeDocument/2006/relationships/hyperlink" Target="http://www.deloitte.com.au"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eader" Target="header6.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hyperlink" Target="http://www.innovation.gov.au/AboutUs/FinancialInformationandLegislation/BudgetInformation/Documents/PortfolioBudgetStatementsFull2005-06.pdf" TargetMode="External"/><Relationship Id="rId38" Type="http://schemas.openxmlformats.org/officeDocument/2006/relationships/hyperlink" Target="http://www.innovation.gov.au/Research/ResearchBlockGrants/Documents/RTSProcessCalculations2011.pdf" TargetMode="External"/><Relationship Id="rId46" Type="http://schemas.openxmlformats.org/officeDocument/2006/relationships/header" Target="header2.xml"/><Relationship Id="rId59" Type="http://schemas.openxmlformats.org/officeDocument/2006/relationships/footer" Target="footer9.xml"/><Relationship Id="rId67" Type="http://schemas.openxmlformats.org/officeDocument/2006/relationships/footer" Target="footer11.xml"/><Relationship Id="rId20" Type="http://schemas.openxmlformats.org/officeDocument/2006/relationships/image" Target="media/image9.emf"/><Relationship Id="rId41" Type="http://schemas.openxmlformats.org/officeDocument/2006/relationships/hyperlink" Target="http://www.eui.eu/ProgrammesAndFellowships/AcademicCareersObservatory/JobFundingResources/NationalResearchFundingOpportunities.aspx" TargetMode="External"/><Relationship Id="rId54" Type="http://schemas.openxmlformats.org/officeDocument/2006/relationships/header" Target="header7.xml"/><Relationship Id="rId62" Type="http://schemas.openxmlformats.org/officeDocument/2006/relationships/hyperlink" Target="http://www.deloitte.com/au/economics" TargetMode="External"/><Relationship Id="rId70"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18.jpeg"/></Relationships>
</file>

<file path=word/_rels/footnotes.xml.rels><?xml version="1.0" encoding="UTF-8" standalone="yes"?>
<Relationships xmlns="http://schemas.openxmlformats.org/package/2006/relationships"><Relationship Id="rId2" Type="http://schemas.openxmlformats.org/officeDocument/2006/relationships/hyperlink" Target="http://web.mit.edu/catalog/overv.chap4-costs.html" TargetMode="External"/><Relationship Id="rId1" Type="http://schemas.openxmlformats.org/officeDocument/2006/relationships/hyperlink" Target="http://www.whitehouse.gov/omb/circulars_a021_20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Report.dotm</Template>
  <TotalTime>1</TotalTime>
  <Pages>67</Pages>
  <Words>19574</Words>
  <Characters>111576</Characters>
  <Application>Microsoft Office Word</Application>
  <DocSecurity>4</DocSecurity>
  <Lines>929</Lines>
  <Paragraphs>261</Paragraphs>
  <ScaleCrop>false</ScaleCrop>
  <HeadingPairs>
    <vt:vector size="2" baseType="variant">
      <vt:variant>
        <vt:lpstr>Title</vt:lpstr>
      </vt:variant>
      <vt:variant>
        <vt:i4>1</vt:i4>
      </vt:variant>
    </vt:vector>
  </HeadingPairs>
  <TitlesOfParts>
    <vt:vector size="1" baseType="lpstr">
      <vt:lpstr>Report</vt:lpstr>
    </vt:vector>
  </TitlesOfParts>
  <Company>MacroView</Company>
  <LinksUpToDate>false</LinksUpToDate>
  <CharactersWithSpaces>130889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Isabel.Faeth</dc:creator>
  <cp:lastModifiedBy>Liz Smith</cp:lastModifiedBy>
  <cp:revision>2</cp:revision>
  <cp:lastPrinted>2011-07-13T01:53:00Z</cp:lastPrinted>
  <dcterms:created xsi:type="dcterms:W3CDTF">2013-11-21T06:32:00Z</dcterms:created>
  <dcterms:modified xsi:type="dcterms:W3CDTF">2013-11-21T06:32:00Z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 Date">
    <vt:lpwstr>May 2011</vt:lpwstr>
  </property>
  <property fmtid="{D5CDD505-2E9C-101B-9397-08002B2CF9AE}" pid="3" name="Report Company">
    <vt:lpwstr>Department of Innovation, Industry, Science and Research</vt:lpwstr>
  </property>
  <property fmtid="{D5CDD505-2E9C-101B-9397-08002B2CF9AE}" pid="4" name="Report Title">
    <vt:lpwstr>Examination of the Full Cost of Research Training</vt:lpwstr>
  </property>
  <property fmtid="{D5CDD505-2E9C-101B-9397-08002B2CF9AE}" pid="5" name="Report Type">
    <vt:lpwstr>Report</vt:lpwstr>
  </property>
  <property fmtid="{D5CDD505-2E9C-101B-9397-08002B2CF9AE}" pid="6" name="DocType">
    <vt:lpwstr>Report</vt:lpwstr>
  </property>
  <property fmtid="{D5CDD505-2E9C-101B-9397-08002B2CF9AE}" pid="7" name="Report Header">
    <vt:lpwstr>Examination of the Full Cost of Research Training</vt:lpwstr>
  </property>
  <property fmtid="{D5CDD505-2E9C-101B-9397-08002B2CF9AE}" pid="8" name="VersionNumber">
    <vt:i4>0</vt:i4>
  </property>
  <property fmtid="{D5CDD505-2E9C-101B-9397-08002B2CF9AE}" pid="9" name="ClassificationPty">
    <vt:lpwstr/>
  </property>
  <property fmtid="{D5CDD505-2E9C-101B-9397-08002B2CF9AE}" pid="10" name="FileNumberPty">
    <vt:lpwstr/>
  </property>
  <property fmtid="{D5CDD505-2E9C-101B-9397-08002B2CF9AE}" pid="11" name="CorporateTmplBased">
    <vt:lpwstr>No</vt:lpwstr>
  </property>
</Properties>
</file>