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5DB3" w14:textId="3DB0D9F2" w:rsidR="002B70D5" w:rsidRPr="001807A0" w:rsidRDefault="008F1BDB" w:rsidP="005E68E9">
      <w:pPr>
        <w:pStyle w:val="Heading1"/>
        <w:numPr>
          <w:ilvl w:val="0"/>
          <w:numId w:val="0"/>
        </w:numPr>
      </w:pPr>
      <w:r>
        <w:t>Delivering high-quality</w:t>
      </w:r>
      <w:r w:rsidR="00434873" w:rsidRPr="001807A0">
        <w:t xml:space="preserve"> practicum placements</w:t>
      </w:r>
    </w:p>
    <w:p w14:paraId="173BFC7E" w14:textId="35F9CF9C" w:rsidR="00950B67" w:rsidRPr="005E68E9" w:rsidRDefault="00434873" w:rsidP="00AB53E5">
      <w:pPr>
        <w:pStyle w:val="NoSpacing"/>
      </w:pPr>
      <w:r w:rsidRPr="009A2EA8">
        <w:t xml:space="preserve"> </w:t>
      </w:r>
    </w:p>
    <w:p w14:paraId="1BCF32E5" w14:textId="26A92083" w:rsidR="00434873" w:rsidRDefault="00434873" w:rsidP="009A2EA8">
      <w:pPr>
        <w:pStyle w:val="Heading1"/>
      </w:pPr>
      <w:r>
        <w:t>Context</w:t>
      </w:r>
    </w:p>
    <w:p w14:paraId="76E03542" w14:textId="77777777" w:rsidR="00434873" w:rsidRDefault="00434873" w:rsidP="00434873">
      <w:r>
        <w:t xml:space="preserve">Practicum placements enable ITE students to apply and practice their learning while they prepare themselves for the classroom. Practicum design and delivery varies significantly across jurisdictions, </w:t>
      </w:r>
      <w:r w:rsidRPr="00161B63">
        <w:t xml:space="preserve">ITE </w:t>
      </w:r>
      <w:r>
        <w:t xml:space="preserve">providers and schools. This leads to a spectrum of ITE student experiences across hundreds of ITE programs. Inconsistent practicum quality may negatively impact ITE student development and their retention in teaching. </w:t>
      </w:r>
    </w:p>
    <w:p w14:paraId="12681C6A" w14:textId="77777777" w:rsidR="00434873" w:rsidRDefault="00434873" w:rsidP="00434873">
      <w:r>
        <w:t>Recent consultations and reviews have sought to improve the consistency of practicum placements:</w:t>
      </w:r>
    </w:p>
    <w:p w14:paraId="3F16D6AA" w14:textId="4DE3220C" w:rsidR="00434873" w:rsidRDefault="00434873" w:rsidP="00D96B63">
      <w:pPr>
        <w:pStyle w:val="ListParagraph"/>
        <w:numPr>
          <w:ilvl w:val="0"/>
          <w:numId w:val="37"/>
        </w:numPr>
      </w:pPr>
      <w:r>
        <w:t xml:space="preserve">The </w:t>
      </w:r>
      <w:r w:rsidRPr="00B86932">
        <w:rPr>
          <w:b/>
          <w:i/>
        </w:rPr>
        <w:t>National Teacher Workforce Action Plan</w:t>
      </w:r>
      <w:r>
        <w:t xml:space="preserve"> and accompanying roundtables highlighted the importance of targeted support for first year ITE students. Early experiences of high-quality practicum are key to encouraging ITE students to become teachers. </w:t>
      </w:r>
    </w:p>
    <w:p w14:paraId="6A360E86" w14:textId="5E59B149" w:rsidR="00434873" w:rsidRDefault="00434873" w:rsidP="00D96B63">
      <w:pPr>
        <w:pStyle w:val="ListParagraph"/>
        <w:numPr>
          <w:ilvl w:val="0"/>
          <w:numId w:val="37"/>
        </w:numPr>
      </w:pPr>
      <w:r>
        <w:t xml:space="preserve">The </w:t>
      </w:r>
      <w:r w:rsidRPr="00B86932">
        <w:rPr>
          <w:b/>
          <w:i/>
        </w:rPr>
        <w:t>Quality Initial Teacher Education (QITE)</w:t>
      </w:r>
      <w:r>
        <w:t xml:space="preserve"> review stressed that ITE students should develop strong relationships with mentor teachers and broader school communities during practicum</w:t>
      </w:r>
      <w:r w:rsidR="009E7EF6">
        <w:t xml:space="preserve"> placements</w:t>
      </w:r>
      <w:r>
        <w:t xml:space="preserve">. This may require thoughtful provider innovation, stronger school support mechanisms and greater ITE student immersion in practicum contexts. </w:t>
      </w:r>
    </w:p>
    <w:p w14:paraId="36D8118F" w14:textId="6C84DCB9" w:rsidR="00434873" w:rsidRDefault="00434873" w:rsidP="00D96B63">
      <w:pPr>
        <w:pStyle w:val="ListParagraph"/>
        <w:numPr>
          <w:ilvl w:val="0"/>
          <w:numId w:val="37"/>
        </w:numPr>
      </w:pPr>
      <w:r>
        <w:t xml:space="preserve">The </w:t>
      </w:r>
      <w:r w:rsidRPr="00B86932">
        <w:rPr>
          <w:b/>
          <w:i/>
        </w:rPr>
        <w:t>Teacher Education Ministerial Advisory Group (TEMAG)</w:t>
      </w:r>
      <w:r w:rsidRPr="006D0A7E">
        <w:rPr>
          <w:b/>
          <w:bCs/>
        </w:rPr>
        <w:t xml:space="preserve"> </w:t>
      </w:r>
      <w:r>
        <w:t xml:space="preserve">review recommended strengthening standards for minimum practicum requirements and improving the provider-school partnership approach. A more recent implementation review found that TEMAG recommendations have been implemented inconsistently across providers and jurisdictions over the last decade, largely due to high variation in ITE delivery contexts, resource constraints and competing reform priorities. </w:t>
      </w:r>
    </w:p>
    <w:p w14:paraId="1A265D7D" w14:textId="77777777" w:rsidR="00434873" w:rsidRDefault="00434873" w:rsidP="00434873"/>
    <w:p w14:paraId="57D18CD4" w14:textId="78AD1656" w:rsidR="7F8E2843" w:rsidRDefault="7F8E2843" w:rsidP="20DF5CB6">
      <w:pPr>
        <w:pStyle w:val="Heading1"/>
      </w:pPr>
      <w:r>
        <w:t>Scope and Approach</w:t>
      </w:r>
    </w:p>
    <w:p w14:paraId="6D9337A2" w14:textId="075BB965" w:rsidR="20DF5CB6" w:rsidRDefault="00CC37EE" w:rsidP="20DF5CB6">
      <w:r>
        <w:t>This paper focuses on improving</w:t>
      </w:r>
      <w:r w:rsidR="1F1073F1">
        <w:t xml:space="preserve"> the quality of </w:t>
      </w:r>
      <w:r w:rsidR="006A34BC">
        <w:t>practicum placements in ITE</w:t>
      </w:r>
      <w:r w:rsidR="00A10143">
        <w:t xml:space="preserve"> by </w:t>
      </w:r>
      <w:r w:rsidR="00A1536E">
        <w:t>exploring the following key questions:</w:t>
      </w:r>
    </w:p>
    <w:p w14:paraId="1D872B89" w14:textId="20E0A8C7" w:rsidR="00A1536E" w:rsidRDefault="00A1536E" w:rsidP="00D96B63">
      <w:pPr>
        <w:pStyle w:val="ListParagraph"/>
        <w:numPr>
          <w:ilvl w:val="0"/>
          <w:numId w:val="3"/>
        </w:numPr>
      </w:pPr>
      <w:r>
        <w:t>What are the characteristics of high-quality practicum placements?</w:t>
      </w:r>
    </w:p>
    <w:p w14:paraId="0EB28712" w14:textId="4BB914BC" w:rsidR="7F8E2843" w:rsidRDefault="00A1536E" w:rsidP="00D96B63">
      <w:pPr>
        <w:pStyle w:val="ListParagraph"/>
        <w:numPr>
          <w:ilvl w:val="0"/>
          <w:numId w:val="3"/>
        </w:numPr>
      </w:pPr>
      <w:r>
        <w:t xml:space="preserve">What are the key challenges in delivering high-quality practicum consistently across </w:t>
      </w:r>
      <w:r w:rsidR="006D0576">
        <w:t>ITE?</w:t>
      </w:r>
    </w:p>
    <w:p w14:paraId="4B3C1232" w14:textId="128D5E1A" w:rsidR="7F8E2843" w:rsidRDefault="006D0576" w:rsidP="00D96B63">
      <w:pPr>
        <w:pStyle w:val="ListParagraph"/>
        <w:numPr>
          <w:ilvl w:val="0"/>
          <w:numId w:val="3"/>
        </w:numPr>
      </w:pPr>
      <w:r>
        <w:t>What are the system opportunities to address these key challenges, and how can these opportunities build on previous and existing reforms?</w:t>
      </w:r>
    </w:p>
    <w:p w14:paraId="3E23543E" w14:textId="34CE5F87" w:rsidR="00BC0CF6" w:rsidRDefault="00BC0CF6" w:rsidP="00BC0CF6">
      <w:r>
        <w:t>Analysis in this paper is informed by:</w:t>
      </w:r>
    </w:p>
    <w:p w14:paraId="0EB054CF" w14:textId="2D410810" w:rsidR="00BC0CF6" w:rsidRDefault="00BC0CF6" w:rsidP="00D96B63">
      <w:pPr>
        <w:pStyle w:val="ListParagraph"/>
        <w:numPr>
          <w:ilvl w:val="0"/>
          <w:numId w:val="3"/>
        </w:numPr>
      </w:pPr>
      <w:r>
        <w:t xml:space="preserve">Stakeholder consultation with ITE providers, </w:t>
      </w:r>
      <w:r w:rsidR="009433DC">
        <w:t>education departments, teacher regulatory authorities and peak sector organisations</w:t>
      </w:r>
      <w:r w:rsidR="00AB53E5">
        <w:t>.</w:t>
      </w:r>
    </w:p>
    <w:p w14:paraId="1C67F725" w14:textId="50D9B17A" w:rsidR="26CC4756" w:rsidRDefault="009433DC" w:rsidP="00D96B63">
      <w:pPr>
        <w:pStyle w:val="ListParagraph"/>
        <w:numPr>
          <w:ilvl w:val="0"/>
          <w:numId w:val="3"/>
        </w:numPr>
      </w:pPr>
      <w:r>
        <w:t xml:space="preserve">A review of existing academic and grey literature on practicum. </w:t>
      </w:r>
    </w:p>
    <w:p w14:paraId="4CDD4346" w14:textId="034401B8" w:rsidR="00434873" w:rsidRDefault="00434873" w:rsidP="009A2EA8">
      <w:pPr>
        <w:pStyle w:val="Heading1"/>
      </w:pPr>
      <w:r>
        <w:lastRenderedPageBreak/>
        <w:t>Emerging findings</w:t>
      </w:r>
    </w:p>
    <w:p w14:paraId="5F6ABD7A" w14:textId="1C2F89BF" w:rsidR="00434873" w:rsidRDefault="00434873" w:rsidP="009A2EA8">
      <w:pPr>
        <w:pStyle w:val="Heading2"/>
      </w:pPr>
      <w:r>
        <w:t>Characteristics of high-quality practicum</w:t>
      </w:r>
      <w:r w:rsidR="009E7EF6">
        <w:t xml:space="preserve"> placements</w:t>
      </w:r>
    </w:p>
    <w:p w14:paraId="539149DA" w14:textId="212E0C94" w:rsidR="00434873" w:rsidRPr="00D35D72" w:rsidRDefault="00434873" w:rsidP="00434873">
      <w:r>
        <w:t xml:space="preserve">More broadly, there is no clear evidence that a single model of practicum will deliver consistent, high-quality placements across all contexts. However, </w:t>
      </w:r>
      <w:r w:rsidR="00FC3C48">
        <w:t xml:space="preserve">evidence and </w:t>
      </w:r>
      <w:r w:rsidR="00A24BCC">
        <w:t xml:space="preserve">stakeholder feedback </w:t>
      </w:r>
      <w:r w:rsidR="00FC3C48">
        <w:t>suggest</w:t>
      </w:r>
      <w:r>
        <w:t xml:space="preserve"> that there are several </w:t>
      </w:r>
      <w:r w:rsidR="00FC3C48">
        <w:t xml:space="preserve">broad </w:t>
      </w:r>
      <w:r>
        <w:t xml:space="preserve">characteristics of high-quality </w:t>
      </w:r>
      <w:r w:rsidR="00FC3C48">
        <w:t>placements</w:t>
      </w:r>
      <w:r>
        <w:t>.</w:t>
      </w:r>
    </w:p>
    <w:p w14:paraId="32ED2D7C" w14:textId="77777777" w:rsidR="005E68E9" w:rsidRPr="00D35D72" w:rsidRDefault="005E68E9" w:rsidP="00434873"/>
    <w:p w14:paraId="07CB241D" w14:textId="2727D9EF" w:rsidR="00434873" w:rsidRDefault="00F479D6" w:rsidP="009A2EA8">
      <w:pPr>
        <w:pStyle w:val="Heading3"/>
      </w:pPr>
      <w:r>
        <w:t>W</w:t>
      </w:r>
      <w:r w:rsidR="00434873">
        <w:t xml:space="preserve">ell-timed, longer in duration, earlier in programs and more frequent </w:t>
      </w:r>
    </w:p>
    <w:p w14:paraId="17351FF0" w14:textId="47CBC568" w:rsidR="00434873" w:rsidRDefault="00434873" w:rsidP="00434873">
      <w:r w:rsidRPr="00871655">
        <w:t xml:space="preserve">Having </w:t>
      </w:r>
      <w:r>
        <w:t xml:space="preserve">ITE students </w:t>
      </w:r>
      <w:r w:rsidRPr="00871655">
        <w:t>undertake practicum early</w:t>
      </w:r>
      <w:r>
        <w:t>,</w:t>
      </w:r>
      <w:r w:rsidRPr="00871655">
        <w:t xml:space="preserve"> </w:t>
      </w:r>
      <w:r>
        <w:t>at different points in the school year, for longer periods at a time, and more frequently</w:t>
      </w:r>
      <w:r w:rsidRPr="00871655">
        <w:t xml:space="preserve"> </w:t>
      </w:r>
      <w:r>
        <w:t>allows ITE students</w:t>
      </w:r>
      <w:r w:rsidRPr="00871655">
        <w:t xml:space="preserve"> to</w:t>
      </w:r>
      <w:r>
        <w:t xml:space="preserve"> better</w:t>
      </w:r>
      <w:r w:rsidRPr="00871655">
        <w:t xml:space="preserve"> relate pedagogy to practice</w:t>
      </w:r>
      <w:r>
        <w:t xml:space="preserve"> </w:t>
      </w:r>
      <w:r w:rsidRPr="00871655">
        <w:t xml:space="preserve">and understand the responsibilities of teaching. </w:t>
      </w:r>
      <w:r>
        <w:t>Research does not prescribe specific</w:t>
      </w:r>
      <w:r w:rsidR="00B67776">
        <w:t xml:space="preserve"> </w:t>
      </w:r>
      <w:proofErr w:type="gramStart"/>
      <w:r>
        <w:t>timing,</w:t>
      </w:r>
      <w:proofErr w:type="gramEnd"/>
      <w:r>
        <w:t xml:space="preserve"> however generally best practice is seen as: </w:t>
      </w:r>
    </w:p>
    <w:p w14:paraId="6C1704E3" w14:textId="77777777" w:rsidR="00434873" w:rsidRDefault="00434873" w:rsidP="00D96B63">
      <w:pPr>
        <w:pStyle w:val="ListParagraph"/>
        <w:numPr>
          <w:ilvl w:val="0"/>
          <w:numId w:val="20"/>
        </w:numPr>
      </w:pPr>
      <w:r w:rsidRPr="002B70D5">
        <w:rPr>
          <w:b/>
          <w:bCs/>
          <w:iCs/>
        </w:rPr>
        <w:t>Beginning early in the course.</w:t>
      </w:r>
      <w:r>
        <w:t xml:space="preserve"> An earlier</w:t>
      </w:r>
      <w:r w:rsidRPr="00871655">
        <w:t xml:space="preserve"> practicum means </w:t>
      </w:r>
      <w:r>
        <w:t>ITE students</w:t>
      </w:r>
      <w:r w:rsidRPr="00871655">
        <w:t xml:space="preserve"> can </w:t>
      </w:r>
      <w:r>
        <w:t xml:space="preserve">better contextualise their learning and </w:t>
      </w:r>
      <w:r w:rsidRPr="00871655">
        <w:t>determine whether they are committed to their teacher career</w:t>
      </w:r>
      <w:r>
        <w:t xml:space="preserve">. Most major ITE providers schedule their first placement in Semester 1 of first year (e.g., University of Melbourne in week three of the course). </w:t>
      </w:r>
    </w:p>
    <w:p w14:paraId="4A237C57" w14:textId="05703E37" w:rsidR="00434873" w:rsidRDefault="00434873" w:rsidP="00D96B63">
      <w:pPr>
        <w:pStyle w:val="ListParagraph"/>
        <w:numPr>
          <w:ilvl w:val="0"/>
          <w:numId w:val="20"/>
        </w:numPr>
      </w:pPr>
      <w:r w:rsidRPr="002B70D5">
        <w:rPr>
          <w:b/>
          <w:bCs/>
          <w:iCs/>
        </w:rPr>
        <w:t>Longer in duration (collectively and individually).</w:t>
      </w:r>
      <w:r w:rsidRPr="00871655">
        <w:t xml:space="preserve"> The longer </w:t>
      </w:r>
      <w:r>
        <w:t>an ITE student</w:t>
      </w:r>
      <w:r w:rsidRPr="00871655">
        <w:t xml:space="preserve"> is </w:t>
      </w:r>
      <w:r>
        <w:t>placed in</w:t>
      </w:r>
      <w:r w:rsidRPr="00871655">
        <w:t xml:space="preserve"> a school, the greater their connection</w:t>
      </w:r>
      <w:r>
        <w:t xml:space="preserve"> to</w:t>
      </w:r>
      <w:r w:rsidRPr="00871655">
        <w:t xml:space="preserve"> </w:t>
      </w:r>
      <w:r>
        <w:t>mentors,</w:t>
      </w:r>
      <w:r w:rsidRPr="00871655">
        <w:t xml:space="preserve"> </w:t>
      </w:r>
      <w:r>
        <w:t xml:space="preserve">school </w:t>
      </w:r>
      <w:r w:rsidRPr="00871655">
        <w:t xml:space="preserve">students and </w:t>
      </w:r>
      <w:r>
        <w:t>the community</w:t>
      </w:r>
      <w:r w:rsidRPr="00871655">
        <w:t xml:space="preserve">. </w:t>
      </w:r>
      <w:r>
        <w:t>Current placement length varies across providers (e.g., from 5 to 45-day blocks), with some moving to extended final placements</w:t>
      </w:r>
      <w:r w:rsidR="00E55D73">
        <w:t xml:space="preserve"> (e.g., 10 weeks)</w:t>
      </w:r>
      <w:r>
        <w:t>. Longer placements can involve a trade-off with diversity of experience.</w:t>
      </w:r>
    </w:p>
    <w:p w14:paraId="4E65E375" w14:textId="0934DE02" w:rsidR="00434873" w:rsidRDefault="00434873" w:rsidP="00D96B63">
      <w:pPr>
        <w:pStyle w:val="ListParagraph"/>
        <w:numPr>
          <w:ilvl w:val="0"/>
          <w:numId w:val="20"/>
        </w:numPr>
      </w:pPr>
      <w:r w:rsidRPr="002B70D5">
        <w:rPr>
          <w:b/>
          <w:bCs/>
          <w:iCs/>
        </w:rPr>
        <w:t>More frequent.</w:t>
      </w:r>
      <w:r w:rsidRPr="27A63869">
        <w:rPr>
          <w:i/>
        </w:rPr>
        <w:t xml:space="preserve"> </w:t>
      </w:r>
      <w:r>
        <w:t xml:space="preserve">ITE students benefit from regularly </w:t>
      </w:r>
      <w:r w:rsidR="00E52620">
        <w:t xml:space="preserve">practicing </w:t>
      </w:r>
      <w:r>
        <w:t>what they learn from their courses. This could look like more placements in total (e.g., Charles Sturt University runs nine undergraduate practicum</w:t>
      </w:r>
      <w:r w:rsidR="00E52620">
        <w:t xml:space="preserve"> placements</w:t>
      </w:r>
      <w:r>
        <w:t>) or continuous school immersion (e.g., regularly each week</w:t>
      </w:r>
      <w:r w:rsidR="00E52620">
        <w:t xml:space="preserve">, as in the </w:t>
      </w:r>
      <w:r>
        <w:t>Alpha Crucis Hub School model and Edith Cowan University’s Scholar in Residence program)</w:t>
      </w:r>
      <w:r w:rsidR="00E52620">
        <w:t>.</w:t>
      </w:r>
      <w:r>
        <w:t xml:space="preserve"> </w:t>
      </w:r>
    </w:p>
    <w:p w14:paraId="35D3CEC7" w14:textId="093066A4" w:rsidR="00434873" w:rsidRDefault="00434873" w:rsidP="00D96B63">
      <w:pPr>
        <w:pStyle w:val="ListParagraph"/>
        <w:numPr>
          <w:ilvl w:val="0"/>
          <w:numId w:val="20"/>
        </w:numPr>
      </w:pPr>
      <w:r w:rsidRPr="002B70D5">
        <w:rPr>
          <w:b/>
          <w:bCs/>
          <w:iCs/>
        </w:rPr>
        <w:t>Throughout the school year.</w:t>
      </w:r>
      <w:r w:rsidRPr="00B86932">
        <w:rPr>
          <w:b/>
        </w:rPr>
        <w:t xml:space="preserve"> </w:t>
      </w:r>
      <w:r>
        <w:t xml:space="preserve">A variety of placement timings </w:t>
      </w:r>
      <w:r w:rsidRPr="00871655">
        <w:t>exposes</w:t>
      </w:r>
      <w:r>
        <w:t xml:space="preserve"> ITE students </w:t>
      </w:r>
      <w:r w:rsidRPr="00871655">
        <w:t>to</w:t>
      </w:r>
      <w:r>
        <w:t xml:space="preserve"> a</w:t>
      </w:r>
      <w:r w:rsidRPr="00871655">
        <w:t xml:space="preserve"> broader </w:t>
      </w:r>
      <w:r>
        <w:t>range</w:t>
      </w:r>
      <w:r w:rsidRPr="00871655">
        <w:t xml:space="preserve"> of teacher duties</w:t>
      </w:r>
      <w:r>
        <w:t xml:space="preserve"> (such as term planning, </w:t>
      </w:r>
      <w:r w:rsidR="005A7308">
        <w:t>substantive teaching</w:t>
      </w:r>
      <w:r>
        <w:t xml:space="preserve"> and report writing). Currently, placements tend to be scheduled to fit into ITE course schedules and school availability, so may repetitively occur at similar times (e.g., end of term where assessments can crowd out genuine teaching opportunities). </w:t>
      </w:r>
    </w:p>
    <w:p w14:paraId="17ED5725" w14:textId="77777777" w:rsidR="00173B3C" w:rsidRDefault="00173B3C" w:rsidP="00434873">
      <w:pPr>
        <w:rPr>
          <w:i/>
          <w:iCs/>
          <w:u w:val="single"/>
        </w:rPr>
      </w:pPr>
    </w:p>
    <w:p w14:paraId="19B088E1" w14:textId="77777777" w:rsidR="00434873" w:rsidRPr="003D2CAD" w:rsidRDefault="00434873" w:rsidP="00434873">
      <w:pPr>
        <w:rPr>
          <w:i/>
          <w:iCs/>
          <w:u w:val="single"/>
        </w:rPr>
      </w:pPr>
      <w:r w:rsidRPr="003D2CAD">
        <w:rPr>
          <w:i/>
          <w:iCs/>
          <w:u w:val="single"/>
        </w:rPr>
        <w:t xml:space="preserve">Case study: University of Notre Dame, Western Australia – Bachelor of Education </w:t>
      </w:r>
    </w:p>
    <w:p w14:paraId="247FD863" w14:textId="6470A1A3" w:rsidR="00434873" w:rsidRPr="003D2CAD" w:rsidRDefault="005D32D6" w:rsidP="00434873">
      <w:pPr>
        <w:rPr>
          <w:i/>
          <w:iCs/>
        </w:rPr>
      </w:pPr>
      <w:r>
        <w:rPr>
          <w:i/>
          <w:iCs/>
        </w:rPr>
        <w:t xml:space="preserve">The </w:t>
      </w:r>
      <w:r w:rsidR="00434873" w:rsidRPr="003D2CAD">
        <w:rPr>
          <w:i/>
          <w:iCs/>
        </w:rPr>
        <w:t>University of Notre Dame Australia offers a total of 160 days</w:t>
      </w:r>
      <w:r>
        <w:rPr>
          <w:i/>
          <w:iCs/>
        </w:rPr>
        <w:t xml:space="preserve"> for practicum days</w:t>
      </w:r>
      <w:r w:rsidR="00434873" w:rsidRPr="003D2CAD">
        <w:rPr>
          <w:i/>
          <w:iCs/>
        </w:rPr>
        <w:t>, doubl</w:t>
      </w:r>
      <w:r>
        <w:rPr>
          <w:i/>
          <w:iCs/>
        </w:rPr>
        <w:t>e</w:t>
      </w:r>
      <w:r w:rsidR="00434873" w:rsidRPr="003D2CAD">
        <w:rPr>
          <w:i/>
          <w:iCs/>
        </w:rPr>
        <w:t xml:space="preserve"> the minimum </w:t>
      </w:r>
      <w:r>
        <w:rPr>
          <w:i/>
          <w:iCs/>
        </w:rPr>
        <w:t>requirement</w:t>
      </w:r>
      <w:r w:rsidR="00434873" w:rsidRPr="003D2CAD">
        <w:rPr>
          <w:i/>
          <w:iCs/>
        </w:rPr>
        <w:t xml:space="preserve">. </w:t>
      </w:r>
      <w:r>
        <w:rPr>
          <w:i/>
          <w:iCs/>
        </w:rPr>
        <w:t>Placements</w:t>
      </w:r>
      <w:r w:rsidR="00434873" w:rsidRPr="003D2CAD">
        <w:rPr>
          <w:i/>
          <w:iCs/>
        </w:rPr>
        <w:t xml:space="preserve"> tend to be longer ~</w:t>
      </w:r>
      <w:proofErr w:type="gramStart"/>
      <w:r w:rsidR="00434873" w:rsidRPr="003D2CAD">
        <w:rPr>
          <w:i/>
          <w:iCs/>
        </w:rPr>
        <w:t>10 week</w:t>
      </w:r>
      <w:proofErr w:type="gramEnd"/>
      <w:r w:rsidR="00434873" w:rsidRPr="003D2CAD">
        <w:rPr>
          <w:i/>
          <w:iCs/>
        </w:rPr>
        <w:t xml:space="preserve"> blocks. This allows ITE students to better immerse themselves in the school community and experience the full school term cycle. Longer </w:t>
      </w:r>
      <w:r w:rsidR="008F213E">
        <w:rPr>
          <w:i/>
          <w:iCs/>
        </w:rPr>
        <w:t>placements</w:t>
      </w:r>
      <w:r w:rsidR="00434873" w:rsidRPr="003D2CAD">
        <w:rPr>
          <w:i/>
          <w:iCs/>
        </w:rPr>
        <w:t xml:space="preserve"> also allow for greater mentor reflection and feedback, which both enhance ITE students’ </w:t>
      </w:r>
      <w:r w:rsidR="008F213E">
        <w:rPr>
          <w:i/>
          <w:iCs/>
        </w:rPr>
        <w:t>capabilities</w:t>
      </w:r>
      <w:r w:rsidR="00434873" w:rsidRPr="003D2CAD">
        <w:rPr>
          <w:i/>
          <w:iCs/>
        </w:rPr>
        <w:t xml:space="preserve"> and enthusiasm to continue teaching. </w:t>
      </w:r>
    </w:p>
    <w:p w14:paraId="579D0DBA" w14:textId="77777777" w:rsidR="00434873" w:rsidRDefault="00434873" w:rsidP="00434873"/>
    <w:p w14:paraId="3F248883" w14:textId="018F26A3" w:rsidR="00434873" w:rsidRPr="00950B67" w:rsidRDefault="00055887" w:rsidP="00950B67">
      <w:pPr>
        <w:pStyle w:val="Heading3"/>
      </w:pPr>
      <w:r>
        <w:lastRenderedPageBreak/>
        <w:t>Properly sequenced</w:t>
      </w:r>
      <w:r w:rsidR="00172613">
        <w:t xml:space="preserve">, aligned to ITE </w:t>
      </w:r>
      <w:r w:rsidR="00FD63DB">
        <w:t xml:space="preserve">course </w:t>
      </w:r>
      <w:r w:rsidR="00172613">
        <w:t>content and focused on practical skills</w:t>
      </w:r>
    </w:p>
    <w:p w14:paraId="3FD70CB0" w14:textId="6C3114D0" w:rsidR="00D57934" w:rsidRDefault="006F4A17" w:rsidP="00434873">
      <w:r>
        <w:t>Practicum placements should also be well-structured, which means:</w:t>
      </w:r>
    </w:p>
    <w:p w14:paraId="1E7AD6DA" w14:textId="46B5DB32" w:rsidR="006F4A17" w:rsidRDefault="00055887" w:rsidP="00D96B63">
      <w:pPr>
        <w:pStyle w:val="ListParagraph"/>
        <w:numPr>
          <w:ilvl w:val="0"/>
          <w:numId w:val="41"/>
        </w:numPr>
      </w:pPr>
      <w:r w:rsidRPr="00B86932">
        <w:rPr>
          <w:b/>
        </w:rPr>
        <w:t xml:space="preserve">Properly sequenced </w:t>
      </w:r>
      <w:r w:rsidR="002C6DB8" w:rsidRPr="00BB0961">
        <w:rPr>
          <w:i/>
          <w:iCs/>
        </w:rPr>
        <w:t>–</w:t>
      </w:r>
      <w:r w:rsidR="002C6DB8">
        <w:t xml:space="preserve"> </w:t>
      </w:r>
      <w:r w:rsidR="006A625D">
        <w:t>practicum design should</w:t>
      </w:r>
      <w:r w:rsidR="003A3163">
        <w:t xml:space="preserve"> incrementally empower ITE students to apply and practice their </w:t>
      </w:r>
      <w:r w:rsidR="00F87E3C">
        <w:t>learning</w:t>
      </w:r>
      <w:r w:rsidR="00A21CC0">
        <w:t xml:space="preserve"> in a way </w:t>
      </w:r>
      <w:r w:rsidR="006C67ED">
        <w:t xml:space="preserve">that allows for scaffolded </w:t>
      </w:r>
      <w:r w:rsidR="005A5826">
        <w:t xml:space="preserve">skill </w:t>
      </w:r>
      <w:r w:rsidR="006C67ED">
        <w:t xml:space="preserve">development. </w:t>
      </w:r>
      <w:r w:rsidR="00350A27">
        <w:t xml:space="preserve">For </w:t>
      </w:r>
      <w:r w:rsidR="00BD06DD">
        <w:rPr>
          <w:rFonts w:ascii="Arial Narrow" w:hAnsi="Arial Narrow"/>
        </w:rPr>
        <w:t xml:space="preserve">example, ITE students may benefit from being given greater levels of direct guidance for </w:t>
      </w:r>
      <w:r w:rsidR="00BD06DD" w:rsidRPr="391279E9">
        <w:rPr>
          <w:rFonts w:ascii="Arial Narrow" w:hAnsi="Arial Narrow"/>
        </w:rPr>
        <w:t>discrete</w:t>
      </w:r>
      <w:r w:rsidR="00BD06DD">
        <w:rPr>
          <w:rFonts w:ascii="Arial Narrow" w:hAnsi="Arial Narrow"/>
        </w:rPr>
        <w:t xml:space="preserve"> topics during </w:t>
      </w:r>
      <w:r w:rsidR="00BD06DD" w:rsidRPr="281294C8">
        <w:rPr>
          <w:rFonts w:ascii="Arial Narrow" w:hAnsi="Arial Narrow"/>
        </w:rPr>
        <w:t xml:space="preserve">the </w:t>
      </w:r>
      <w:r w:rsidR="00BD06DD" w:rsidRPr="59F3D8E3">
        <w:rPr>
          <w:rFonts w:ascii="Arial Narrow" w:hAnsi="Arial Narrow"/>
        </w:rPr>
        <w:t xml:space="preserve">initial </w:t>
      </w:r>
      <w:r w:rsidR="00BD06DD" w:rsidRPr="33B6A0ED">
        <w:rPr>
          <w:rFonts w:ascii="Arial Narrow" w:hAnsi="Arial Narrow"/>
        </w:rPr>
        <w:t>placement</w:t>
      </w:r>
      <w:r w:rsidR="00BD06DD" w:rsidRPr="281294C8">
        <w:rPr>
          <w:rFonts w:ascii="Arial Narrow" w:hAnsi="Arial Narrow"/>
        </w:rPr>
        <w:t>,</w:t>
      </w:r>
      <w:r w:rsidR="00BD06DD">
        <w:rPr>
          <w:rFonts w:ascii="Arial Narrow" w:hAnsi="Arial Narrow"/>
        </w:rPr>
        <w:t xml:space="preserve"> followed by more independent, </w:t>
      </w:r>
      <w:r w:rsidR="00BD06DD" w:rsidRPr="391279E9">
        <w:rPr>
          <w:rFonts w:ascii="Arial Narrow" w:hAnsi="Arial Narrow"/>
        </w:rPr>
        <w:t>generalised</w:t>
      </w:r>
      <w:r w:rsidR="00BD06DD">
        <w:rPr>
          <w:rFonts w:ascii="Arial Narrow" w:hAnsi="Arial Narrow"/>
        </w:rPr>
        <w:t xml:space="preserve"> responsibilities in later practicum</w:t>
      </w:r>
      <w:r w:rsidR="006B6CD8">
        <w:rPr>
          <w:rFonts w:ascii="Arial Narrow" w:hAnsi="Arial Narrow"/>
        </w:rPr>
        <w:t xml:space="preserve"> placements</w:t>
      </w:r>
      <w:r w:rsidR="00BD06DD">
        <w:rPr>
          <w:rFonts w:ascii="Arial Narrow" w:hAnsi="Arial Narrow"/>
        </w:rPr>
        <w:t>.</w:t>
      </w:r>
      <w:r w:rsidR="00350A27" w:rsidRPr="00350A27">
        <w:rPr>
          <w:rFonts w:ascii="Arial Narrow" w:hAnsi="Arial Narrow"/>
        </w:rPr>
        <w:t xml:space="preserve"> </w:t>
      </w:r>
      <w:r w:rsidR="00350A27">
        <w:rPr>
          <w:rFonts w:ascii="Arial Narrow" w:hAnsi="Arial Narrow"/>
        </w:rPr>
        <w:t>This may increase ITE students’ feelings of ‘classroom readiness’</w:t>
      </w:r>
      <w:r w:rsidR="00B86932">
        <w:rPr>
          <w:rFonts w:ascii="Arial Narrow" w:hAnsi="Arial Narrow"/>
        </w:rPr>
        <w:t>.</w:t>
      </w:r>
    </w:p>
    <w:p w14:paraId="062E2FA6" w14:textId="3320A051" w:rsidR="00917410" w:rsidRPr="00917410" w:rsidRDefault="00917410" w:rsidP="00D96B63">
      <w:pPr>
        <w:pStyle w:val="ListParagraph"/>
        <w:numPr>
          <w:ilvl w:val="0"/>
          <w:numId w:val="41"/>
        </w:numPr>
        <w:rPr>
          <w:i/>
          <w:iCs/>
        </w:rPr>
      </w:pPr>
      <w:r w:rsidRPr="00F729C9">
        <w:rPr>
          <w:b/>
          <w:bCs/>
        </w:rPr>
        <w:t>Focused on practical skills –</w:t>
      </w:r>
      <w:r w:rsidRPr="00BB0961">
        <w:rPr>
          <w:i/>
          <w:iCs/>
        </w:rPr>
        <w:t xml:space="preserve"> </w:t>
      </w:r>
      <w:r>
        <w:t>practicum design should focus on more practical skills that must be learned and practiced in a classroom setting, such as behavioural management</w:t>
      </w:r>
      <w:r w:rsidR="00F55370">
        <w:t xml:space="preserve"> and teaching diverse learners. </w:t>
      </w:r>
    </w:p>
    <w:p w14:paraId="7795F1AA" w14:textId="2ED082BB" w:rsidR="00434873" w:rsidRPr="00917410" w:rsidRDefault="002C6DB8" w:rsidP="00D96B63">
      <w:pPr>
        <w:pStyle w:val="ListParagraph"/>
        <w:numPr>
          <w:ilvl w:val="0"/>
          <w:numId w:val="41"/>
        </w:numPr>
        <w:rPr>
          <w:i/>
          <w:iCs/>
        </w:rPr>
      </w:pPr>
      <w:r w:rsidRPr="00F729C9">
        <w:rPr>
          <w:b/>
          <w:bCs/>
        </w:rPr>
        <w:t xml:space="preserve">Aligned to </w:t>
      </w:r>
      <w:r w:rsidR="009A2E49" w:rsidRPr="00F729C9">
        <w:rPr>
          <w:b/>
          <w:bCs/>
        </w:rPr>
        <w:t xml:space="preserve">ITE </w:t>
      </w:r>
      <w:r w:rsidR="00FD63DB">
        <w:rPr>
          <w:b/>
          <w:bCs/>
        </w:rPr>
        <w:t xml:space="preserve">course </w:t>
      </w:r>
      <w:r w:rsidR="009A2E49" w:rsidRPr="00F729C9">
        <w:rPr>
          <w:b/>
          <w:bCs/>
        </w:rPr>
        <w:t xml:space="preserve">content </w:t>
      </w:r>
      <w:r w:rsidR="00EB5255" w:rsidRPr="00F729C9">
        <w:rPr>
          <w:b/>
          <w:bCs/>
        </w:rPr>
        <w:t>–</w:t>
      </w:r>
      <w:r w:rsidR="00EB5255">
        <w:t xml:space="preserve"> </w:t>
      </w:r>
      <w:r w:rsidR="006A625D">
        <w:t xml:space="preserve">practicum design should </w:t>
      </w:r>
      <w:r w:rsidR="00C37269">
        <w:t xml:space="preserve">align directly to different aspects of ITE </w:t>
      </w:r>
      <w:r w:rsidR="00FD63DB">
        <w:t xml:space="preserve">course </w:t>
      </w:r>
      <w:r w:rsidR="00C37269">
        <w:t>content</w:t>
      </w:r>
      <w:r w:rsidR="00BB0961">
        <w:t>.</w:t>
      </w:r>
      <w:r w:rsidR="00917410">
        <w:t xml:space="preserve"> </w:t>
      </w:r>
    </w:p>
    <w:p w14:paraId="4E64EC0F" w14:textId="77777777" w:rsidR="00434873" w:rsidRDefault="00434873" w:rsidP="001015CA">
      <w:r>
        <w:t>To better link theory and practice, a well-designed practicum will typically include time and opportunities for:</w:t>
      </w:r>
    </w:p>
    <w:p w14:paraId="10C0EB78" w14:textId="77777777" w:rsidR="00434873" w:rsidRPr="001015CA" w:rsidRDefault="00434873" w:rsidP="00D96B63">
      <w:pPr>
        <w:pStyle w:val="ListParagraph"/>
        <w:numPr>
          <w:ilvl w:val="0"/>
          <w:numId w:val="41"/>
        </w:numPr>
        <w:rPr>
          <w:rFonts w:ascii="Arial Narrow" w:hAnsi="Arial Narrow"/>
        </w:rPr>
      </w:pPr>
      <w:r w:rsidRPr="00F729C9">
        <w:rPr>
          <w:rFonts w:ascii="Arial Narrow" w:hAnsi="Arial Narrow"/>
          <w:b/>
          <w:bCs/>
          <w:iCs/>
        </w:rPr>
        <w:t>Lesson planning –</w:t>
      </w:r>
      <w:r w:rsidRPr="001015CA">
        <w:rPr>
          <w:rFonts w:ascii="Arial Narrow" w:hAnsi="Arial Narrow"/>
        </w:rPr>
        <w:t xml:space="preserve"> to allow for the additional time ITE students need to prepare, to improve their confidence. </w:t>
      </w:r>
    </w:p>
    <w:p w14:paraId="54162346" w14:textId="77777777" w:rsidR="00434873" w:rsidRPr="001015CA" w:rsidRDefault="00434873" w:rsidP="00D96B63">
      <w:pPr>
        <w:pStyle w:val="ListParagraph"/>
        <w:numPr>
          <w:ilvl w:val="0"/>
          <w:numId w:val="41"/>
        </w:numPr>
        <w:rPr>
          <w:rFonts w:ascii="Arial Narrow" w:hAnsi="Arial Narrow"/>
        </w:rPr>
      </w:pPr>
      <w:r w:rsidRPr="00F729C9">
        <w:rPr>
          <w:rFonts w:ascii="Arial Narrow" w:hAnsi="Arial Narrow"/>
          <w:b/>
          <w:bCs/>
          <w:iCs/>
        </w:rPr>
        <w:t>Performance reflection –</w:t>
      </w:r>
      <w:r w:rsidRPr="001015CA">
        <w:rPr>
          <w:rFonts w:ascii="Arial Narrow" w:hAnsi="Arial Narrow"/>
        </w:rPr>
        <w:t xml:space="preserve"> to allow for self-reflection and deliberate, incremental performance improvement. </w:t>
      </w:r>
    </w:p>
    <w:p w14:paraId="7054159C" w14:textId="77777777" w:rsidR="00434873" w:rsidRPr="001015CA" w:rsidRDefault="00434873" w:rsidP="00D96B63">
      <w:pPr>
        <w:pStyle w:val="ListParagraph"/>
        <w:numPr>
          <w:ilvl w:val="0"/>
          <w:numId w:val="41"/>
        </w:numPr>
        <w:rPr>
          <w:rFonts w:ascii="Arial Narrow" w:hAnsi="Arial Narrow"/>
        </w:rPr>
      </w:pPr>
      <w:r w:rsidRPr="00F729C9">
        <w:rPr>
          <w:rFonts w:ascii="Arial Narrow" w:hAnsi="Arial Narrow"/>
          <w:b/>
          <w:bCs/>
          <w:iCs/>
        </w:rPr>
        <w:t>Mentor feedback –</w:t>
      </w:r>
      <w:r w:rsidRPr="001015CA">
        <w:rPr>
          <w:rFonts w:ascii="Arial Narrow" w:hAnsi="Arial Narrow"/>
        </w:rPr>
        <w:t xml:space="preserve"> to benefit from detailed and personalised observations, and suggestions for actions.</w:t>
      </w:r>
    </w:p>
    <w:p w14:paraId="64CDF210" w14:textId="77777777" w:rsidR="00434873" w:rsidRPr="001015CA" w:rsidRDefault="00434873" w:rsidP="00D96B63">
      <w:pPr>
        <w:pStyle w:val="ListParagraph"/>
        <w:numPr>
          <w:ilvl w:val="0"/>
          <w:numId w:val="41"/>
        </w:numPr>
        <w:rPr>
          <w:rFonts w:ascii="Arial Narrow" w:hAnsi="Arial Narrow"/>
        </w:rPr>
      </w:pPr>
      <w:r w:rsidRPr="00F729C9">
        <w:rPr>
          <w:rFonts w:ascii="Arial Narrow" w:hAnsi="Arial Narrow"/>
          <w:b/>
          <w:bCs/>
          <w:iCs/>
        </w:rPr>
        <w:t>Peer collaboration –</w:t>
      </w:r>
      <w:r w:rsidRPr="001015CA">
        <w:rPr>
          <w:rFonts w:ascii="Arial Narrow" w:hAnsi="Arial Narrow"/>
        </w:rPr>
        <w:t xml:space="preserve"> to benefit from others’ experiences, to improve skills and likelihood of course completion.  </w:t>
      </w:r>
    </w:p>
    <w:p w14:paraId="2FA79715" w14:textId="77777777" w:rsidR="00173B3C" w:rsidRDefault="00173B3C" w:rsidP="00434873">
      <w:pPr>
        <w:rPr>
          <w:rFonts w:ascii="Arial Narrow" w:hAnsi="Arial Narrow"/>
          <w:u w:val="single"/>
        </w:rPr>
      </w:pPr>
    </w:p>
    <w:p w14:paraId="4BCC3B56" w14:textId="4EC09C37" w:rsidR="00434873" w:rsidRPr="00173B3C" w:rsidRDefault="00434873" w:rsidP="00434873">
      <w:pPr>
        <w:rPr>
          <w:rFonts w:ascii="Arial Narrow" w:hAnsi="Arial Narrow"/>
          <w:i/>
          <w:u w:val="single"/>
        </w:rPr>
      </w:pPr>
      <w:r w:rsidRPr="00173B3C">
        <w:rPr>
          <w:rFonts w:ascii="Arial Narrow" w:hAnsi="Arial Narrow"/>
          <w:i/>
          <w:u w:val="single"/>
        </w:rPr>
        <w:t xml:space="preserve">Case study: </w:t>
      </w:r>
      <w:r w:rsidRPr="00173B3C">
        <w:rPr>
          <w:rFonts w:ascii="Arial Narrow" w:eastAsia="Arial Narrow" w:hAnsi="Arial Narrow" w:cs="Arial Narrow"/>
          <w:i/>
          <w:u w:val="single"/>
        </w:rPr>
        <w:t xml:space="preserve">Deakin University </w:t>
      </w:r>
      <w:r w:rsidR="0000564A">
        <w:rPr>
          <w:rFonts w:ascii="Arial Narrow" w:eastAsia="Arial Narrow" w:hAnsi="Arial Narrow" w:cs="Arial Narrow"/>
          <w:i/>
          <w:u w:val="single"/>
        </w:rPr>
        <w:t xml:space="preserve">– </w:t>
      </w:r>
      <w:r w:rsidRPr="00173B3C">
        <w:rPr>
          <w:rFonts w:ascii="Arial Narrow" w:eastAsia="Arial Narrow" w:hAnsi="Arial Narrow" w:cs="Arial Narrow"/>
          <w:i/>
          <w:u w:val="single"/>
        </w:rPr>
        <w:t>Bachelor of Education (Primary)</w:t>
      </w:r>
    </w:p>
    <w:p w14:paraId="750D1ED1" w14:textId="75C2E96F" w:rsidR="00434873" w:rsidRPr="00173B3C" w:rsidRDefault="00434873" w:rsidP="00434873">
      <w:pPr>
        <w:rPr>
          <w:rFonts w:ascii="Arial Narrow" w:eastAsia="Arial Narrow" w:hAnsi="Arial Narrow" w:cs="Arial Narrow"/>
          <w:i/>
          <w:szCs w:val="22"/>
        </w:rPr>
      </w:pPr>
      <w:r w:rsidRPr="00173B3C">
        <w:rPr>
          <w:rFonts w:ascii="Arial Narrow" w:eastAsia="Arial Narrow" w:hAnsi="Arial Narrow" w:cs="Arial Narrow"/>
          <w:i/>
          <w:szCs w:val="22"/>
        </w:rPr>
        <w:t xml:space="preserve">Deakin University has designed a model of practicum which integrates and reflects coursework and develops </w:t>
      </w:r>
      <w:r w:rsidRPr="00173B3C">
        <w:rPr>
          <w:i/>
        </w:rPr>
        <w:t>ITE student</w:t>
      </w:r>
      <w:r w:rsidRPr="00173B3C">
        <w:rPr>
          <w:rFonts w:ascii="Arial Narrow" w:eastAsia="Arial Narrow" w:hAnsi="Arial Narrow" w:cs="Arial Narrow"/>
          <w:i/>
          <w:szCs w:val="22"/>
        </w:rPr>
        <w:t xml:space="preserve"> skills incrementally. The focus of </w:t>
      </w:r>
      <w:r w:rsidR="0000564A">
        <w:rPr>
          <w:rFonts w:ascii="Arial Narrow" w:eastAsia="Arial Narrow" w:hAnsi="Arial Narrow" w:cs="Arial Narrow"/>
          <w:i/>
          <w:szCs w:val="22"/>
        </w:rPr>
        <w:t>placements</w:t>
      </w:r>
      <w:r w:rsidRPr="00173B3C">
        <w:rPr>
          <w:rFonts w:ascii="Arial Narrow" w:eastAsia="Arial Narrow" w:hAnsi="Arial Narrow" w:cs="Arial Narrow"/>
          <w:i/>
          <w:szCs w:val="22"/>
        </w:rPr>
        <w:t xml:space="preserve"> </w:t>
      </w:r>
      <w:proofErr w:type="gramStart"/>
      <w:r w:rsidRPr="00173B3C">
        <w:rPr>
          <w:rFonts w:ascii="Arial Narrow" w:eastAsia="Arial Narrow" w:hAnsi="Arial Narrow" w:cs="Arial Narrow"/>
          <w:i/>
          <w:szCs w:val="22"/>
        </w:rPr>
        <w:t>include</w:t>
      </w:r>
      <w:r w:rsidR="0000564A">
        <w:rPr>
          <w:rFonts w:ascii="Arial Narrow" w:eastAsia="Arial Narrow" w:hAnsi="Arial Narrow" w:cs="Arial Narrow"/>
          <w:i/>
          <w:szCs w:val="22"/>
        </w:rPr>
        <w:t>s</w:t>
      </w:r>
      <w:r w:rsidRPr="00173B3C">
        <w:rPr>
          <w:rFonts w:ascii="Arial Narrow" w:eastAsia="Arial Narrow" w:hAnsi="Arial Narrow" w:cs="Arial Narrow"/>
          <w:i/>
          <w:szCs w:val="22"/>
        </w:rPr>
        <w:t>:</w:t>
      </w:r>
      <w:proofErr w:type="gramEnd"/>
      <w:r w:rsidRPr="00173B3C">
        <w:rPr>
          <w:rFonts w:ascii="Arial Narrow" w:eastAsia="Arial Narrow" w:hAnsi="Arial Narrow" w:cs="Arial Narrow"/>
          <w:i/>
          <w:szCs w:val="22"/>
        </w:rPr>
        <w:t xml:space="preserve"> social contexts of education, classroom management, inclusive education, curriculum and pedagogy, assessment and the university-to-work transition. </w:t>
      </w:r>
      <w:r w:rsidRPr="00173B3C">
        <w:rPr>
          <w:rFonts w:ascii="Arial Narrow" w:eastAsia="Arial Narrow" w:hAnsi="Arial Narrow" w:cs="Arial Narrow"/>
          <w:i/>
          <w:szCs w:val="22"/>
          <w:lang w:val="en-US"/>
        </w:rPr>
        <w:t xml:space="preserve">Other providers with a similar approach include </w:t>
      </w:r>
      <w:r w:rsidR="00062729">
        <w:rPr>
          <w:rFonts w:ascii="Arial Narrow" w:eastAsia="Arial Narrow" w:hAnsi="Arial Narrow" w:cs="Arial Narrow"/>
          <w:i/>
          <w:szCs w:val="22"/>
          <w:lang w:val="en-US"/>
        </w:rPr>
        <w:t xml:space="preserve">the </w:t>
      </w:r>
      <w:r w:rsidRPr="00173B3C">
        <w:rPr>
          <w:rFonts w:ascii="Arial Narrow" w:eastAsia="Arial Narrow" w:hAnsi="Arial Narrow" w:cs="Arial Narrow"/>
          <w:i/>
          <w:szCs w:val="22"/>
          <w:lang w:val="en-US"/>
        </w:rPr>
        <w:t xml:space="preserve">Australian Catholic University, University of New </w:t>
      </w:r>
      <w:proofErr w:type="gramStart"/>
      <w:r w:rsidRPr="00173B3C">
        <w:rPr>
          <w:rFonts w:ascii="Arial Narrow" w:eastAsia="Arial Narrow" w:hAnsi="Arial Narrow" w:cs="Arial Narrow"/>
          <w:i/>
          <w:szCs w:val="22"/>
          <w:lang w:val="en-US"/>
        </w:rPr>
        <w:t>England</w:t>
      </w:r>
      <w:proofErr w:type="gramEnd"/>
      <w:r w:rsidRPr="00173B3C">
        <w:rPr>
          <w:rFonts w:ascii="Arial Narrow" w:eastAsia="Arial Narrow" w:hAnsi="Arial Narrow" w:cs="Arial Narrow"/>
          <w:i/>
          <w:szCs w:val="22"/>
          <w:lang w:val="en-US"/>
        </w:rPr>
        <w:t xml:space="preserve"> and University of Wollongong.</w:t>
      </w:r>
    </w:p>
    <w:p w14:paraId="13642A32" w14:textId="77777777" w:rsidR="00434873" w:rsidRDefault="00434873" w:rsidP="00434873">
      <w:pPr>
        <w:rPr>
          <w:rFonts w:ascii="Arial Narrow" w:eastAsia="Arial Narrow" w:hAnsi="Arial Narrow" w:cs="Arial Narrow"/>
          <w:szCs w:val="22"/>
          <w:lang w:val="en-US"/>
        </w:rPr>
      </w:pPr>
    </w:p>
    <w:p w14:paraId="04B373CB" w14:textId="676CE222" w:rsidR="00434873" w:rsidRPr="004560A2" w:rsidRDefault="00434873" w:rsidP="004560A2">
      <w:pPr>
        <w:pStyle w:val="Heading3"/>
      </w:pPr>
      <w:r>
        <w:t>Overseen by capable and well-equipped teacher mentors</w:t>
      </w:r>
    </w:p>
    <w:p w14:paraId="736DEBFD" w14:textId="05AE2F65" w:rsidR="00434873" w:rsidRDefault="00434873" w:rsidP="00434873">
      <w:pPr>
        <w:rPr>
          <w:rFonts w:ascii="Arial Narrow" w:hAnsi="Arial Narrow"/>
        </w:rPr>
      </w:pPr>
      <w:r>
        <w:rPr>
          <w:rFonts w:ascii="Arial Narrow" w:hAnsi="Arial Narrow"/>
        </w:rPr>
        <w:t>T</w:t>
      </w:r>
      <w:r w:rsidRPr="009522FC">
        <w:rPr>
          <w:rFonts w:ascii="Arial Narrow" w:hAnsi="Arial Narrow"/>
        </w:rPr>
        <w:t xml:space="preserve">eacher mentors </w:t>
      </w:r>
      <w:r>
        <w:rPr>
          <w:rFonts w:ascii="Arial Narrow" w:hAnsi="Arial Narrow"/>
        </w:rPr>
        <w:t>are crucial to</w:t>
      </w:r>
      <w:r w:rsidRPr="009522FC">
        <w:rPr>
          <w:rFonts w:ascii="Arial Narrow" w:hAnsi="Arial Narrow"/>
        </w:rPr>
        <w:t xml:space="preserve"> </w:t>
      </w:r>
      <w:r>
        <w:rPr>
          <w:rFonts w:ascii="Arial Narrow" w:hAnsi="Arial Narrow"/>
        </w:rPr>
        <w:t xml:space="preserve">ensuring high-quality </w:t>
      </w:r>
      <w:r w:rsidRPr="009522FC">
        <w:rPr>
          <w:rFonts w:ascii="Arial Narrow" w:hAnsi="Arial Narrow"/>
        </w:rPr>
        <w:t>practicum experience</w:t>
      </w:r>
      <w:r>
        <w:rPr>
          <w:rFonts w:ascii="Arial Narrow" w:hAnsi="Arial Narrow"/>
        </w:rPr>
        <w:t>s for ITE students</w:t>
      </w:r>
      <w:r w:rsidRPr="009522FC">
        <w:rPr>
          <w:rFonts w:ascii="Arial Narrow" w:hAnsi="Arial Narrow"/>
        </w:rPr>
        <w:t xml:space="preserve">. A capable mentor </w:t>
      </w:r>
      <w:r w:rsidRPr="006B6F4C">
        <w:rPr>
          <w:rFonts w:ascii="Arial Narrow" w:hAnsi="Arial Narrow"/>
        </w:rPr>
        <w:t>is</w:t>
      </w:r>
      <w:r w:rsidRPr="009522FC">
        <w:rPr>
          <w:rFonts w:ascii="Arial Narrow" w:hAnsi="Arial Narrow"/>
        </w:rPr>
        <w:t xml:space="preserve"> an experienced teacher</w:t>
      </w:r>
      <w:r>
        <w:rPr>
          <w:rFonts w:ascii="Arial Narrow" w:hAnsi="Arial Narrow"/>
        </w:rPr>
        <w:t xml:space="preserve"> who is adequately </w:t>
      </w:r>
      <w:r w:rsidRPr="009522FC">
        <w:rPr>
          <w:rFonts w:ascii="Arial Narrow" w:hAnsi="Arial Narrow"/>
        </w:rPr>
        <w:t>trained</w:t>
      </w:r>
      <w:r>
        <w:rPr>
          <w:rFonts w:ascii="Arial Narrow" w:hAnsi="Arial Narrow"/>
        </w:rPr>
        <w:t xml:space="preserve"> in supervision</w:t>
      </w:r>
      <w:r w:rsidRPr="009522FC">
        <w:rPr>
          <w:rFonts w:ascii="Arial Narrow" w:hAnsi="Arial Narrow"/>
        </w:rPr>
        <w:t xml:space="preserve"> </w:t>
      </w:r>
      <w:r>
        <w:rPr>
          <w:rFonts w:ascii="Arial Narrow" w:hAnsi="Arial Narrow"/>
        </w:rPr>
        <w:t xml:space="preserve">and willing to invest time and </w:t>
      </w:r>
      <w:r w:rsidR="00062729">
        <w:rPr>
          <w:rFonts w:ascii="Arial Narrow" w:hAnsi="Arial Narrow"/>
        </w:rPr>
        <w:t xml:space="preserve">energy </w:t>
      </w:r>
      <w:r>
        <w:rPr>
          <w:rFonts w:ascii="Arial Narrow" w:hAnsi="Arial Narrow"/>
        </w:rPr>
        <w:t>into</w:t>
      </w:r>
      <w:r w:rsidRPr="009522FC">
        <w:rPr>
          <w:rFonts w:ascii="Arial Narrow" w:hAnsi="Arial Narrow"/>
        </w:rPr>
        <w:t xml:space="preserve"> the </w:t>
      </w:r>
      <w:r>
        <w:rPr>
          <w:rFonts w:ascii="Arial Narrow" w:hAnsi="Arial Narrow"/>
        </w:rPr>
        <w:t>role</w:t>
      </w:r>
      <w:r w:rsidRPr="009522FC">
        <w:rPr>
          <w:rFonts w:ascii="Arial Narrow" w:hAnsi="Arial Narrow"/>
        </w:rPr>
        <w:t xml:space="preserve">. </w:t>
      </w:r>
      <w:r>
        <w:rPr>
          <w:rFonts w:ascii="Arial Narrow" w:hAnsi="Arial Narrow"/>
        </w:rPr>
        <w:t xml:space="preserve">They typically have at least five years’ classroom experience, during which they have amassed many useful insights to share with their mentees. </w:t>
      </w:r>
    </w:p>
    <w:p w14:paraId="5B03406B" w14:textId="77777777" w:rsidR="00434873" w:rsidRDefault="00434873" w:rsidP="00434873">
      <w:pPr>
        <w:rPr>
          <w:rFonts w:ascii="Arial Narrow" w:hAnsi="Arial Narrow"/>
        </w:rPr>
      </w:pPr>
      <w:r>
        <w:rPr>
          <w:rFonts w:ascii="Arial Narrow" w:hAnsi="Arial Narrow"/>
        </w:rPr>
        <w:t xml:space="preserve">Mentor teachers should ideally undertake training to ensure they: </w:t>
      </w:r>
    </w:p>
    <w:p w14:paraId="26CB3E49" w14:textId="77777777" w:rsidR="00434873" w:rsidRDefault="00434873" w:rsidP="00D96B63">
      <w:pPr>
        <w:pStyle w:val="ListParagraph"/>
        <w:numPr>
          <w:ilvl w:val="0"/>
          <w:numId w:val="17"/>
        </w:numPr>
        <w:rPr>
          <w:rFonts w:ascii="Arial Narrow" w:hAnsi="Arial Narrow"/>
        </w:rPr>
      </w:pPr>
      <w:r>
        <w:rPr>
          <w:rFonts w:ascii="Arial Narrow" w:hAnsi="Arial Narrow"/>
        </w:rPr>
        <w:t xml:space="preserve">develop their skills in observing, supervising and sharing </w:t>
      </w:r>
      <w:r w:rsidRPr="5CB0774B">
        <w:rPr>
          <w:rFonts w:ascii="Arial Narrow" w:hAnsi="Arial Narrow"/>
        </w:rPr>
        <w:t>experiences</w:t>
      </w:r>
      <w:r>
        <w:rPr>
          <w:rFonts w:ascii="Arial Narrow" w:hAnsi="Arial Narrow"/>
        </w:rPr>
        <w:t xml:space="preserve"> as a </w:t>
      </w:r>
      <w:proofErr w:type="gramStart"/>
      <w:r>
        <w:rPr>
          <w:rFonts w:ascii="Arial Narrow" w:hAnsi="Arial Narrow"/>
        </w:rPr>
        <w:t>mentor;</w:t>
      </w:r>
      <w:proofErr w:type="gramEnd"/>
    </w:p>
    <w:p w14:paraId="5E214232" w14:textId="77777777" w:rsidR="00434873" w:rsidRDefault="00434873" w:rsidP="00D96B63">
      <w:pPr>
        <w:pStyle w:val="ListParagraph"/>
        <w:numPr>
          <w:ilvl w:val="0"/>
          <w:numId w:val="17"/>
        </w:numPr>
        <w:rPr>
          <w:rFonts w:ascii="Arial Narrow" w:hAnsi="Arial Narrow"/>
        </w:rPr>
      </w:pPr>
      <w:r>
        <w:rPr>
          <w:rFonts w:ascii="Arial Narrow" w:hAnsi="Arial Narrow"/>
        </w:rPr>
        <w:t xml:space="preserve">have a current understanding of </w:t>
      </w:r>
      <w:r w:rsidRPr="008B4342">
        <w:rPr>
          <w:rFonts w:ascii="Arial Narrow" w:hAnsi="Arial Narrow"/>
        </w:rPr>
        <w:t xml:space="preserve">best practice teaching models delivered by the </w:t>
      </w:r>
      <w:proofErr w:type="gramStart"/>
      <w:r w:rsidRPr="008B4342">
        <w:rPr>
          <w:rFonts w:ascii="Arial Narrow" w:hAnsi="Arial Narrow"/>
        </w:rPr>
        <w:t>provider</w:t>
      </w:r>
      <w:r>
        <w:rPr>
          <w:rFonts w:ascii="Arial Narrow" w:hAnsi="Arial Narrow"/>
        </w:rPr>
        <w:t>;</w:t>
      </w:r>
      <w:proofErr w:type="gramEnd"/>
    </w:p>
    <w:p w14:paraId="3CF56389" w14:textId="72D8569B" w:rsidR="00434873" w:rsidRDefault="710FA3F6" w:rsidP="00D96B63">
      <w:pPr>
        <w:pStyle w:val="ListParagraph"/>
        <w:numPr>
          <w:ilvl w:val="0"/>
          <w:numId w:val="17"/>
        </w:numPr>
        <w:rPr>
          <w:rFonts w:ascii="Arial Narrow" w:hAnsi="Arial Narrow"/>
        </w:rPr>
      </w:pPr>
      <w:r w:rsidRPr="26CC4756">
        <w:rPr>
          <w:rFonts w:ascii="Arial Narrow" w:hAnsi="Arial Narrow"/>
        </w:rPr>
        <w:t>can</w:t>
      </w:r>
      <w:r w:rsidR="00434873" w:rsidRPr="26CC4756">
        <w:rPr>
          <w:rFonts w:ascii="Arial Narrow" w:hAnsi="Arial Narrow"/>
        </w:rPr>
        <w:t xml:space="preserve"> sufficiently self-critique their professional practice and to assist ITE students to self-reflect; and </w:t>
      </w:r>
    </w:p>
    <w:p w14:paraId="2CF863C6" w14:textId="77777777" w:rsidR="00434873" w:rsidRDefault="00434873" w:rsidP="00D96B63">
      <w:pPr>
        <w:pStyle w:val="ListParagraph"/>
        <w:numPr>
          <w:ilvl w:val="0"/>
          <w:numId w:val="17"/>
        </w:numPr>
        <w:rPr>
          <w:rFonts w:ascii="Arial Narrow" w:hAnsi="Arial Narrow"/>
        </w:rPr>
      </w:pPr>
      <w:r>
        <w:rPr>
          <w:rFonts w:ascii="Arial Narrow" w:hAnsi="Arial Narrow"/>
        </w:rPr>
        <w:t>understand ‘Australian Professional Standards’ and effectively judge ITE students’ performance</w:t>
      </w:r>
      <w:r w:rsidRPr="00E71932">
        <w:rPr>
          <w:rFonts w:ascii="Arial Narrow" w:hAnsi="Arial Narrow"/>
        </w:rPr>
        <w:t xml:space="preserve"> </w:t>
      </w:r>
      <w:r>
        <w:rPr>
          <w:rFonts w:ascii="Arial Narrow" w:hAnsi="Arial Narrow"/>
        </w:rPr>
        <w:t>against these.</w:t>
      </w:r>
    </w:p>
    <w:p w14:paraId="50187713" w14:textId="77777777" w:rsidR="00434873" w:rsidRPr="002963B8" w:rsidRDefault="00434873" w:rsidP="00434873">
      <w:pPr>
        <w:rPr>
          <w:rFonts w:ascii="Arial Narrow" w:hAnsi="Arial Narrow"/>
        </w:rPr>
      </w:pPr>
      <w:r>
        <w:rPr>
          <w:rFonts w:ascii="Arial Narrow" w:hAnsi="Arial Narrow"/>
        </w:rPr>
        <w:lastRenderedPageBreak/>
        <w:t>Mentor teachers who willingly take on the role, instead of being allocated, also</w:t>
      </w:r>
      <w:r w:rsidRPr="00D80625">
        <w:rPr>
          <w:rFonts w:ascii="Arial Narrow" w:hAnsi="Arial Narrow"/>
        </w:rPr>
        <w:t xml:space="preserve"> </w:t>
      </w:r>
      <w:r>
        <w:rPr>
          <w:rFonts w:ascii="Arial Narrow" w:hAnsi="Arial Narrow"/>
        </w:rPr>
        <w:t>enable better ITE</w:t>
      </w:r>
      <w:r w:rsidRPr="00D80625">
        <w:rPr>
          <w:rFonts w:ascii="Arial Narrow" w:hAnsi="Arial Narrow"/>
        </w:rPr>
        <w:t xml:space="preserve"> practicum</w:t>
      </w:r>
      <w:r>
        <w:rPr>
          <w:rFonts w:ascii="Arial Narrow" w:hAnsi="Arial Narrow"/>
        </w:rPr>
        <w:t xml:space="preserve"> experiences</w:t>
      </w:r>
      <w:r w:rsidRPr="00D80625">
        <w:rPr>
          <w:rFonts w:ascii="Arial Narrow" w:hAnsi="Arial Narrow"/>
        </w:rPr>
        <w:t>.</w:t>
      </w:r>
      <w:r>
        <w:rPr>
          <w:rFonts w:ascii="Arial Narrow" w:hAnsi="Arial Narrow"/>
        </w:rPr>
        <w:t xml:space="preserve"> </w:t>
      </w:r>
    </w:p>
    <w:p w14:paraId="336DD5DD" w14:textId="77777777" w:rsidR="00173B3C" w:rsidRDefault="00173B3C" w:rsidP="00434873">
      <w:pPr>
        <w:rPr>
          <w:rFonts w:ascii="Arial Narrow" w:hAnsi="Arial Narrow"/>
          <w:u w:val="single"/>
        </w:rPr>
      </w:pPr>
    </w:p>
    <w:p w14:paraId="559CED11" w14:textId="77777777" w:rsidR="00434873" w:rsidRPr="00173B3C" w:rsidRDefault="00434873" w:rsidP="00434873">
      <w:pPr>
        <w:rPr>
          <w:rFonts w:ascii="Arial Narrow" w:hAnsi="Arial Narrow"/>
          <w:i/>
          <w:u w:val="single"/>
        </w:rPr>
      </w:pPr>
      <w:r w:rsidRPr="00173B3C">
        <w:rPr>
          <w:rFonts w:ascii="Arial Narrow" w:hAnsi="Arial Narrow"/>
          <w:i/>
          <w:u w:val="single"/>
        </w:rPr>
        <w:t>Case study: AITSL’s Supervising Preservice Teacher program</w:t>
      </w:r>
    </w:p>
    <w:p w14:paraId="003F84DD" w14:textId="402AC81E" w:rsidR="00434873" w:rsidRPr="00173B3C" w:rsidRDefault="00434873" w:rsidP="26CC4756">
      <w:pPr>
        <w:rPr>
          <w:rFonts w:ascii="Arial Narrow" w:eastAsia="Arial Narrow" w:hAnsi="Arial Narrow" w:cs="Arial Narrow"/>
          <w:i/>
          <w:iCs/>
        </w:rPr>
      </w:pPr>
      <w:r w:rsidRPr="26CC4756">
        <w:rPr>
          <w:rFonts w:ascii="Arial Narrow" w:eastAsia="Arial Narrow" w:hAnsi="Arial Narrow" w:cs="Arial Narrow"/>
          <w:i/>
          <w:iCs/>
          <w:lang w:val="en-US"/>
        </w:rPr>
        <w:t xml:space="preserve">AITSL has developed an interactive and self-directed online professional learning program aimed at enhancing mentor teachers’ knowledge, </w:t>
      </w:r>
      <w:proofErr w:type="gramStart"/>
      <w:r w:rsidRPr="26CC4756">
        <w:rPr>
          <w:rFonts w:ascii="Arial Narrow" w:eastAsia="Arial Narrow" w:hAnsi="Arial Narrow" w:cs="Arial Narrow"/>
          <w:i/>
          <w:iCs/>
          <w:lang w:val="en-US"/>
        </w:rPr>
        <w:t>skills</w:t>
      </w:r>
      <w:proofErr w:type="gramEnd"/>
      <w:r w:rsidRPr="26CC4756">
        <w:rPr>
          <w:rFonts w:ascii="Arial Narrow" w:eastAsia="Arial Narrow" w:hAnsi="Arial Narrow" w:cs="Arial Narrow"/>
          <w:i/>
          <w:iCs/>
          <w:lang w:val="en-US"/>
        </w:rPr>
        <w:t xml:space="preserve"> and confidence to effectively supervise </w:t>
      </w:r>
      <w:r w:rsidRPr="26CC4756">
        <w:rPr>
          <w:i/>
          <w:iCs/>
        </w:rPr>
        <w:t>ITE students</w:t>
      </w:r>
      <w:r w:rsidRPr="26CC4756">
        <w:rPr>
          <w:rFonts w:ascii="Arial Narrow" w:eastAsia="Arial Narrow" w:hAnsi="Arial Narrow" w:cs="Arial Narrow"/>
          <w:i/>
          <w:iCs/>
          <w:lang w:val="en-US"/>
        </w:rPr>
        <w:t>. Content includes effective partnerships, practice analysis, making judgements, unpacking the Graduate</w:t>
      </w:r>
      <w:r w:rsidR="00272190">
        <w:rPr>
          <w:rFonts w:ascii="Arial Narrow" w:eastAsia="Arial Narrow" w:hAnsi="Arial Narrow" w:cs="Arial Narrow"/>
          <w:i/>
          <w:iCs/>
          <w:lang w:val="en-US"/>
        </w:rPr>
        <w:t>-level</w:t>
      </w:r>
      <w:r w:rsidRPr="26CC4756">
        <w:rPr>
          <w:rFonts w:ascii="Arial Narrow" w:eastAsia="Arial Narrow" w:hAnsi="Arial Narrow" w:cs="Arial Narrow"/>
          <w:i/>
          <w:iCs/>
          <w:lang w:val="en-US"/>
        </w:rPr>
        <w:t xml:space="preserve"> Australian Professional Standards for Teachers and the Teaching Performance Assessment (TPA). </w:t>
      </w:r>
    </w:p>
    <w:p w14:paraId="0A615000" w14:textId="1B65D5D2" w:rsidR="006C09F8" w:rsidRDefault="006C09F8" w:rsidP="26CC4756">
      <w:pPr>
        <w:spacing w:after="240" w:line="240" w:lineRule="auto"/>
        <w:rPr>
          <w:rFonts w:ascii="Arial Narrow" w:eastAsia="Arial Narrow" w:hAnsi="Arial Narrow" w:cs="Arial Narrow"/>
          <w:i/>
          <w:iCs/>
          <w:lang w:val="en-US"/>
        </w:rPr>
      </w:pPr>
    </w:p>
    <w:p w14:paraId="4C0B8CA2" w14:textId="22DA8C18" w:rsidR="006C09F8" w:rsidRDefault="57B8804B" w:rsidP="26CC4756">
      <w:pPr>
        <w:spacing w:after="160" w:line="259" w:lineRule="auto"/>
        <w:rPr>
          <w:rFonts w:ascii="Arial Narrow" w:eastAsia="Arial Narrow" w:hAnsi="Arial Narrow" w:cs="Arial Narrow"/>
          <w:i/>
          <w:iCs/>
          <w:szCs w:val="22"/>
          <w:u w:val="single"/>
        </w:rPr>
      </w:pPr>
      <w:r w:rsidRPr="26CC4756">
        <w:rPr>
          <w:rFonts w:ascii="Arial Narrow" w:eastAsia="Arial Narrow" w:hAnsi="Arial Narrow" w:cs="Arial Narrow"/>
          <w:i/>
          <w:iCs/>
          <w:szCs w:val="22"/>
          <w:u w:val="single"/>
        </w:rPr>
        <w:t xml:space="preserve">Case study: </w:t>
      </w:r>
      <w:r w:rsidR="007C2A04">
        <w:rPr>
          <w:rFonts w:ascii="Arial Narrow" w:eastAsia="Arial Narrow" w:hAnsi="Arial Narrow" w:cs="Arial Narrow"/>
          <w:i/>
          <w:iCs/>
          <w:szCs w:val="22"/>
          <w:u w:val="single"/>
        </w:rPr>
        <w:t xml:space="preserve">Victorian </w:t>
      </w:r>
      <w:r w:rsidRPr="26CC4756">
        <w:rPr>
          <w:rFonts w:ascii="Arial Narrow" w:eastAsia="Arial Narrow" w:hAnsi="Arial Narrow" w:cs="Arial Narrow"/>
          <w:i/>
          <w:iCs/>
          <w:szCs w:val="22"/>
          <w:u w:val="single"/>
        </w:rPr>
        <w:t>Effective Mentoring Program</w:t>
      </w:r>
    </w:p>
    <w:p w14:paraId="4C383D72" w14:textId="57678AD9" w:rsidR="006C09F8" w:rsidRDefault="57B8804B" w:rsidP="26CC4756">
      <w:pPr>
        <w:pStyle w:val="NoSpacing"/>
        <w:rPr>
          <w:i/>
          <w:iCs/>
        </w:rPr>
      </w:pPr>
      <w:r w:rsidRPr="26CC4756">
        <w:rPr>
          <w:i/>
          <w:iCs/>
        </w:rPr>
        <w:t xml:space="preserve">The Effective Mentoring Program is delivered </w:t>
      </w:r>
      <w:r w:rsidR="5381AD3B" w:rsidRPr="26CC4756">
        <w:rPr>
          <w:i/>
          <w:iCs/>
        </w:rPr>
        <w:t xml:space="preserve">in </w:t>
      </w:r>
      <w:r w:rsidRPr="26CC4756">
        <w:rPr>
          <w:i/>
          <w:iCs/>
        </w:rPr>
        <w:t xml:space="preserve">partnership between the </w:t>
      </w:r>
      <w:r w:rsidR="1A9840F9" w:rsidRPr="26CC4756">
        <w:rPr>
          <w:i/>
          <w:iCs/>
        </w:rPr>
        <w:t xml:space="preserve">Victorian </w:t>
      </w:r>
      <w:r w:rsidRPr="26CC4756">
        <w:rPr>
          <w:i/>
          <w:iCs/>
        </w:rPr>
        <w:t>D</w:t>
      </w:r>
      <w:r w:rsidR="007C2A04">
        <w:rPr>
          <w:i/>
          <w:iCs/>
        </w:rPr>
        <w:t>epartment of Education</w:t>
      </w:r>
      <w:r w:rsidRPr="26CC4756">
        <w:rPr>
          <w:i/>
          <w:iCs/>
        </w:rPr>
        <w:t xml:space="preserve"> and V</w:t>
      </w:r>
      <w:r w:rsidR="007C2A04">
        <w:rPr>
          <w:i/>
          <w:iCs/>
        </w:rPr>
        <w:t>ictorian Institute of Teaching</w:t>
      </w:r>
      <w:r w:rsidRPr="26CC4756">
        <w:rPr>
          <w:i/>
          <w:iCs/>
        </w:rPr>
        <w:t>. It is designed to enhance the knowledge and skills of experienced teachers</w:t>
      </w:r>
      <w:r w:rsidR="04A7D128" w:rsidRPr="26CC4756">
        <w:rPr>
          <w:i/>
          <w:iCs/>
        </w:rPr>
        <w:t>,</w:t>
      </w:r>
      <w:r w:rsidR="00D722C8">
        <w:rPr>
          <w:i/>
          <w:iCs/>
        </w:rPr>
        <w:t xml:space="preserve"> and</w:t>
      </w:r>
      <w:r w:rsidRPr="26CC4756">
        <w:rPr>
          <w:i/>
          <w:iCs/>
        </w:rPr>
        <w:t xml:space="preserve"> to upskill them</w:t>
      </w:r>
      <w:r w:rsidR="7F631B5F" w:rsidRPr="26CC4756">
        <w:rPr>
          <w:i/>
          <w:iCs/>
        </w:rPr>
        <w:t xml:space="preserve"> to</w:t>
      </w:r>
      <w:r w:rsidRPr="26CC4756">
        <w:rPr>
          <w:i/>
          <w:iCs/>
        </w:rPr>
        <w:t xml:space="preserve"> mentor graduate teachers to achieve full registration. </w:t>
      </w:r>
      <w:r w:rsidR="1E64D857" w:rsidRPr="26CC4756">
        <w:rPr>
          <w:i/>
          <w:iCs/>
        </w:rPr>
        <w:t>While the</w:t>
      </w:r>
      <w:r w:rsidRPr="26CC4756">
        <w:rPr>
          <w:i/>
          <w:iCs/>
        </w:rPr>
        <w:t xml:space="preserve"> model is</w:t>
      </w:r>
      <w:r w:rsidR="0F850CF2" w:rsidRPr="26CC4756">
        <w:rPr>
          <w:i/>
          <w:iCs/>
        </w:rPr>
        <w:t xml:space="preserve"> not </w:t>
      </w:r>
      <w:r w:rsidRPr="26CC4756">
        <w:rPr>
          <w:i/>
          <w:iCs/>
        </w:rPr>
        <w:t xml:space="preserve">specifically focused on mentoring preservice teachers, the program </w:t>
      </w:r>
      <w:r w:rsidR="00D722C8">
        <w:rPr>
          <w:i/>
          <w:iCs/>
        </w:rPr>
        <w:t>is useful for supporting</w:t>
      </w:r>
      <w:r w:rsidRPr="26CC4756">
        <w:rPr>
          <w:i/>
          <w:iCs/>
        </w:rPr>
        <w:t xml:space="preserve"> mentoring relationships with preservice and early career teachers.</w:t>
      </w:r>
    </w:p>
    <w:p w14:paraId="35BEA12A" w14:textId="309968CB" w:rsidR="26CC4756" w:rsidRDefault="26CC4756" w:rsidP="26CC4756">
      <w:pPr>
        <w:pStyle w:val="NoSpacing"/>
        <w:rPr>
          <w:i/>
          <w:iCs/>
        </w:rPr>
      </w:pPr>
    </w:p>
    <w:p w14:paraId="59E57E7D" w14:textId="487D1BE2" w:rsidR="00434873" w:rsidRPr="004560A2" w:rsidRDefault="00434873" w:rsidP="004560A2">
      <w:pPr>
        <w:pStyle w:val="Heading3"/>
      </w:pPr>
      <w:r>
        <w:t>Delivered in high-quality, collaborative teaching environments with capacity for placements</w:t>
      </w:r>
    </w:p>
    <w:p w14:paraId="543254E1" w14:textId="77777777" w:rsidR="00434873" w:rsidRDefault="00434873" w:rsidP="00434873">
      <w:pPr>
        <w:rPr>
          <w:rFonts w:ascii="Arial Narrow" w:hAnsi="Arial Narrow"/>
        </w:rPr>
      </w:pPr>
      <w:r w:rsidRPr="00BB045B">
        <w:rPr>
          <w:rFonts w:ascii="Arial Narrow" w:hAnsi="Arial Narrow"/>
        </w:rPr>
        <w:t xml:space="preserve">Schools </w:t>
      </w:r>
      <w:r>
        <w:rPr>
          <w:rFonts w:ascii="Arial Narrow" w:hAnsi="Arial Narrow"/>
        </w:rPr>
        <w:t xml:space="preserve">are more likely to deliver high-quality practicum experiences and adequate student learning opportunities for ITE students if they have enough capacity. </w:t>
      </w:r>
      <w:r w:rsidRPr="5ABD8D08">
        <w:rPr>
          <w:rFonts w:ascii="Arial Narrow" w:hAnsi="Arial Narrow"/>
        </w:rPr>
        <w:t>These</w:t>
      </w:r>
      <w:r w:rsidRPr="00BB045B">
        <w:rPr>
          <w:rFonts w:ascii="Arial Narrow" w:hAnsi="Arial Narrow"/>
        </w:rPr>
        <w:t xml:space="preserve"> schools </w:t>
      </w:r>
      <w:r w:rsidRPr="1F42BF17">
        <w:rPr>
          <w:rFonts w:ascii="Arial Narrow" w:hAnsi="Arial Narrow"/>
        </w:rPr>
        <w:t>have</w:t>
      </w:r>
      <w:r w:rsidRPr="00BB045B">
        <w:rPr>
          <w:rFonts w:ascii="Arial Narrow" w:hAnsi="Arial Narrow"/>
        </w:rPr>
        <w:t xml:space="preserve"> minimal staff turnover, well-resourced administration, a culture of collaboration and </w:t>
      </w:r>
      <w:r>
        <w:rPr>
          <w:rFonts w:ascii="Arial Narrow" w:hAnsi="Arial Narrow"/>
        </w:rPr>
        <w:t xml:space="preserve">focus on </w:t>
      </w:r>
      <w:r w:rsidRPr="00BB045B">
        <w:rPr>
          <w:rFonts w:ascii="Arial Narrow" w:hAnsi="Arial Narrow"/>
        </w:rPr>
        <w:t xml:space="preserve">teaching excellence. </w:t>
      </w:r>
      <w:r>
        <w:rPr>
          <w:rFonts w:ascii="Arial Narrow" w:hAnsi="Arial Narrow"/>
        </w:rPr>
        <w:t xml:space="preserve">The school teaching community may be involved in a ‘school hub’ network, enabling schools to share innovative practices. </w:t>
      </w:r>
    </w:p>
    <w:p w14:paraId="29EF22EB" w14:textId="77777777" w:rsidR="00434873" w:rsidRDefault="00434873" w:rsidP="00434873">
      <w:pPr>
        <w:rPr>
          <w:rFonts w:ascii="Arial Narrow" w:hAnsi="Arial Narrow"/>
        </w:rPr>
      </w:pPr>
      <w:r>
        <w:rPr>
          <w:rFonts w:ascii="Arial Narrow" w:hAnsi="Arial Narrow"/>
        </w:rPr>
        <w:t xml:space="preserve">Mentor teachers benefit from being allotted enough time to mentor ITE students around their classroom duties. Ideally, ITE students are not only used as an ‘extra pair of hands’ </w:t>
      </w:r>
      <w:r w:rsidRPr="00BB045B">
        <w:rPr>
          <w:rFonts w:ascii="Arial Narrow" w:hAnsi="Arial Narrow"/>
        </w:rPr>
        <w:t>or plac</w:t>
      </w:r>
      <w:r>
        <w:rPr>
          <w:rFonts w:ascii="Arial Narrow" w:hAnsi="Arial Narrow"/>
        </w:rPr>
        <w:t>ed</w:t>
      </w:r>
      <w:r w:rsidRPr="00BB045B">
        <w:rPr>
          <w:rFonts w:ascii="Arial Narrow" w:hAnsi="Arial Narrow"/>
        </w:rPr>
        <w:t xml:space="preserve"> in an</w:t>
      </w:r>
      <w:r>
        <w:rPr>
          <w:rFonts w:ascii="Arial Narrow" w:hAnsi="Arial Narrow"/>
        </w:rPr>
        <w:t xml:space="preserve"> unsupportive</w:t>
      </w:r>
      <w:r w:rsidRPr="00BB045B">
        <w:rPr>
          <w:rFonts w:ascii="Arial Narrow" w:hAnsi="Arial Narrow"/>
        </w:rPr>
        <w:t xml:space="preserve"> environment </w:t>
      </w:r>
      <w:r>
        <w:rPr>
          <w:rFonts w:ascii="Arial Narrow" w:hAnsi="Arial Narrow"/>
        </w:rPr>
        <w:t>with excessive responsibility.</w:t>
      </w:r>
    </w:p>
    <w:p w14:paraId="5F51F014" w14:textId="4A213B4C" w:rsidR="00173B3C" w:rsidRDefault="00173B3C" w:rsidP="00434873">
      <w:pPr>
        <w:pStyle w:val="NoSpacing"/>
        <w:spacing w:after="160" w:line="259" w:lineRule="auto"/>
        <w:rPr>
          <w:rFonts w:ascii="Arial Narrow" w:eastAsia="Arial Narrow" w:hAnsi="Arial Narrow" w:cs="Arial Narrow"/>
          <w:u w:val="single"/>
          <w:lang w:val="en-US"/>
        </w:rPr>
      </w:pPr>
    </w:p>
    <w:p w14:paraId="75AFFCD2" w14:textId="2CAEFFB5" w:rsidR="00434873" w:rsidRDefault="72F58CB7" w:rsidP="26CC4756">
      <w:pPr>
        <w:spacing w:after="160" w:line="259" w:lineRule="auto"/>
        <w:rPr>
          <w:rFonts w:ascii="Arial Narrow" w:eastAsia="Arial Narrow" w:hAnsi="Arial Narrow" w:cs="Arial Narrow"/>
          <w:i/>
          <w:iCs/>
          <w:szCs w:val="22"/>
          <w:u w:val="single"/>
        </w:rPr>
      </w:pPr>
      <w:r w:rsidRPr="26CC4756">
        <w:rPr>
          <w:rFonts w:ascii="Arial Narrow" w:eastAsia="Arial Narrow" w:hAnsi="Arial Narrow" w:cs="Arial Narrow"/>
          <w:i/>
          <w:iCs/>
          <w:szCs w:val="22"/>
          <w:u w:val="single"/>
        </w:rPr>
        <w:t>Case study: NSW Hub School Program</w:t>
      </w:r>
    </w:p>
    <w:p w14:paraId="41AE0762" w14:textId="29C6047D" w:rsidR="00434873" w:rsidRDefault="72F58CB7" w:rsidP="26CC4756">
      <w:pPr>
        <w:pStyle w:val="NoSpacing"/>
        <w:rPr>
          <w:rFonts w:ascii="Arial Narrow" w:eastAsia="Arial Narrow" w:hAnsi="Arial Narrow" w:cs="Arial Narrow"/>
          <w:i/>
          <w:iCs/>
          <w:szCs w:val="22"/>
          <w:lang w:val="en-US"/>
        </w:rPr>
      </w:pPr>
      <w:r w:rsidRPr="26CC4756">
        <w:rPr>
          <w:i/>
          <w:iCs/>
          <w:lang w:val="en-US"/>
        </w:rPr>
        <w:t>The NSW Hub School Program includes specific initiatives to support involved schools to be high-quality, collaborative teaching environments and to host high-quality practicum</w:t>
      </w:r>
      <w:r w:rsidR="006B6CD8">
        <w:rPr>
          <w:i/>
          <w:iCs/>
          <w:lang w:val="en-US"/>
        </w:rPr>
        <w:t xml:space="preserve"> placements</w:t>
      </w:r>
      <w:r w:rsidRPr="26CC4756">
        <w:rPr>
          <w:i/>
          <w:iCs/>
          <w:lang w:val="en-US"/>
        </w:rPr>
        <w:t xml:space="preserve">. </w:t>
      </w:r>
      <w:r w:rsidR="1F279898" w:rsidRPr="26CC4756">
        <w:rPr>
          <w:i/>
          <w:iCs/>
          <w:lang w:val="en-US"/>
        </w:rPr>
        <w:t xml:space="preserve">These initiatives </w:t>
      </w:r>
      <w:r w:rsidRPr="26CC4756">
        <w:rPr>
          <w:i/>
          <w:iCs/>
          <w:lang w:val="en-US"/>
        </w:rPr>
        <w:t>include:</w:t>
      </w:r>
    </w:p>
    <w:p w14:paraId="4A7E7F23" w14:textId="67C50F02" w:rsidR="00434873" w:rsidRDefault="4A6C1198" w:rsidP="26CC4756">
      <w:pPr>
        <w:pStyle w:val="NoSpacing"/>
        <w:numPr>
          <w:ilvl w:val="0"/>
          <w:numId w:val="1"/>
        </w:numPr>
        <w:rPr>
          <w:i/>
          <w:iCs/>
          <w:lang w:val="en-US"/>
        </w:rPr>
      </w:pPr>
      <w:r w:rsidRPr="26CC4756">
        <w:rPr>
          <w:i/>
          <w:iCs/>
          <w:lang w:val="en-US"/>
        </w:rPr>
        <w:t xml:space="preserve">Professional Experience Coordinators </w:t>
      </w:r>
      <w:r w:rsidR="3E2BACD4" w:rsidRPr="26CC4756">
        <w:rPr>
          <w:i/>
          <w:iCs/>
          <w:lang w:val="en-US"/>
        </w:rPr>
        <w:t>dedicated to assisting school</w:t>
      </w:r>
      <w:r w:rsidRPr="26CC4756">
        <w:rPr>
          <w:i/>
          <w:iCs/>
          <w:lang w:val="en-US"/>
        </w:rPr>
        <w:t xml:space="preserve"> to develop </w:t>
      </w:r>
      <w:r w:rsidR="17DC6824" w:rsidRPr="26CC4756">
        <w:rPr>
          <w:i/>
          <w:iCs/>
          <w:lang w:val="en-US"/>
        </w:rPr>
        <w:t xml:space="preserve">their internal </w:t>
      </w:r>
      <w:r w:rsidRPr="26CC4756">
        <w:rPr>
          <w:i/>
          <w:iCs/>
          <w:lang w:val="en-US"/>
        </w:rPr>
        <w:t>procedures and practices t</w:t>
      </w:r>
      <w:r w:rsidR="6D77493A" w:rsidRPr="26CC4756">
        <w:rPr>
          <w:i/>
          <w:iCs/>
          <w:lang w:val="en-US"/>
        </w:rPr>
        <w:t>o deliver</w:t>
      </w:r>
      <w:r w:rsidRPr="26CC4756">
        <w:rPr>
          <w:i/>
          <w:iCs/>
          <w:lang w:val="en-US"/>
        </w:rPr>
        <w:t xml:space="preserve"> high-quality practicum</w:t>
      </w:r>
      <w:r w:rsidR="00BA56A6">
        <w:rPr>
          <w:i/>
          <w:iCs/>
          <w:lang w:val="en-US"/>
        </w:rPr>
        <w:t xml:space="preserve"> </w:t>
      </w:r>
      <w:proofErr w:type="gramStart"/>
      <w:r w:rsidR="00BA56A6">
        <w:rPr>
          <w:i/>
          <w:iCs/>
          <w:lang w:val="en-US"/>
        </w:rPr>
        <w:t>placements</w:t>
      </w:r>
      <w:r w:rsidRPr="26CC4756">
        <w:rPr>
          <w:i/>
          <w:iCs/>
          <w:lang w:val="en-US"/>
        </w:rPr>
        <w:t>;</w:t>
      </w:r>
      <w:proofErr w:type="gramEnd"/>
      <w:r w:rsidRPr="26CC4756">
        <w:rPr>
          <w:i/>
          <w:iCs/>
          <w:lang w:val="en-US"/>
        </w:rPr>
        <w:t xml:space="preserve"> </w:t>
      </w:r>
    </w:p>
    <w:p w14:paraId="09E7F812" w14:textId="77911BEF" w:rsidR="00434873" w:rsidRDefault="72F58CB7" w:rsidP="26CC4756">
      <w:pPr>
        <w:pStyle w:val="NoSpacing"/>
        <w:numPr>
          <w:ilvl w:val="0"/>
          <w:numId w:val="1"/>
        </w:numPr>
        <w:rPr>
          <w:rFonts w:ascii="Arial Narrow" w:eastAsia="Arial Narrow" w:hAnsi="Arial Narrow" w:cs="Arial Narrow"/>
          <w:i/>
          <w:iCs/>
          <w:szCs w:val="22"/>
          <w:lang w:val="en-US"/>
        </w:rPr>
      </w:pPr>
      <w:r w:rsidRPr="26CC4756">
        <w:rPr>
          <w:i/>
          <w:iCs/>
          <w:lang w:val="en-US"/>
        </w:rPr>
        <w:t xml:space="preserve">Professional learning for school staff </w:t>
      </w:r>
      <w:r w:rsidR="586396ED" w:rsidRPr="26CC4756">
        <w:rPr>
          <w:i/>
          <w:iCs/>
          <w:lang w:val="en-US"/>
        </w:rPr>
        <w:t xml:space="preserve">to provider better </w:t>
      </w:r>
      <w:r w:rsidRPr="26CC4756">
        <w:rPr>
          <w:i/>
          <w:iCs/>
          <w:lang w:val="en-US"/>
        </w:rPr>
        <w:t xml:space="preserve">mentoring and </w:t>
      </w:r>
      <w:proofErr w:type="gramStart"/>
      <w:r w:rsidRPr="26CC4756">
        <w:rPr>
          <w:i/>
          <w:iCs/>
          <w:lang w:val="en-US"/>
        </w:rPr>
        <w:t>feedback</w:t>
      </w:r>
      <w:r w:rsidR="04B010F3" w:rsidRPr="26CC4756">
        <w:rPr>
          <w:i/>
          <w:iCs/>
          <w:lang w:val="en-US"/>
        </w:rPr>
        <w:t>;</w:t>
      </w:r>
      <w:proofErr w:type="gramEnd"/>
    </w:p>
    <w:p w14:paraId="631F5602" w14:textId="07772E53" w:rsidR="00434873" w:rsidRDefault="72F58CB7" w:rsidP="26CC4756">
      <w:pPr>
        <w:pStyle w:val="NoSpacing"/>
        <w:numPr>
          <w:ilvl w:val="0"/>
          <w:numId w:val="1"/>
        </w:numPr>
        <w:rPr>
          <w:i/>
          <w:iCs/>
          <w:lang w:val="en-US"/>
        </w:rPr>
      </w:pPr>
      <w:r w:rsidRPr="26CC4756">
        <w:rPr>
          <w:i/>
          <w:iCs/>
          <w:lang w:val="en-US"/>
        </w:rPr>
        <w:t xml:space="preserve">Sharing resources between schools to </w:t>
      </w:r>
      <w:r w:rsidR="007131B2">
        <w:rPr>
          <w:i/>
          <w:iCs/>
          <w:lang w:val="en-US"/>
        </w:rPr>
        <w:t>support placements</w:t>
      </w:r>
      <w:r w:rsidRPr="26CC4756">
        <w:rPr>
          <w:i/>
          <w:iCs/>
          <w:lang w:val="en-US"/>
        </w:rPr>
        <w:t xml:space="preserve"> (</w:t>
      </w:r>
      <w:r w:rsidR="4AB7C964" w:rsidRPr="26CC4756">
        <w:rPr>
          <w:i/>
          <w:iCs/>
          <w:lang w:val="en-US"/>
        </w:rPr>
        <w:t>e.g.,</w:t>
      </w:r>
      <w:r w:rsidRPr="26CC4756">
        <w:rPr>
          <w:i/>
          <w:iCs/>
          <w:lang w:val="en-US"/>
        </w:rPr>
        <w:t xml:space="preserve"> documents and templates for providing feedback, teaching materials, induction folders and induction and orientation session plans)</w:t>
      </w:r>
      <w:r w:rsidR="656F51D4" w:rsidRPr="26CC4756">
        <w:rPr>
          <w:i/>
          <w:iCs/>
          <w:lang w:val="en-US"/>
        </w:rPr>
        <w:t>;</w:t>
      </w:r>
      <w:r w:rsidR="0FA70E63" w:rsidRPr="26CC4756">
        <w:rPr>
          <w:i/>
          <w:iCs/>
          <w:lang w:val="en-US"/>
        </w:rPr>
        <w:t xml:space="preserve"> and</w:t>
      </w:r>
    </w:p>
    <w:p w14:paraId="08EF1D31" w14:textId="6D3F524C" w:rsidR="00434873" w:rsidRDefault="499E9C9B" w:rsidP="26CC4756">
      <w:pPr>
        <w:pStyle w:val="NoSpacing"/>
        <w:numPr>
          <w:ilvl w:val="0"/>
          <w:numId w:val="1"/>
        </w:numPr>
        <w:rPr>
          <w:i/>
          <w:iCs/>
          <w:lang w:val="en-US"/>
        </w:rPr>
      </w:pPr>
      <w:r w:rsidRPr="26CC4756">
        <w:rPr>
          <w:i/>
          <w:iCs/>
          <w:lang w:val="en-US"/>
        </w:rPr>
        <w:lastRenderedPageBreak/>
        <w:t>Linkages between schools and ITE providers, and to promote interschool collaboration</w:t>
      </w:r>
      <w:r w:rsidR="28F10F34" w:rsidRPr="26CC4756">
        <w:rPr>
          <w:i/>
          <w:iCs/>
          <w:lang w:val="en-US"/>
        </w:rPr>
        <w:t>.</w:t>
      </w:r>
    </w:p>
    <w:p w14:paraId="4FFB6166" w14:textId="08B57817" w:rsidR="00434873" w:rsidRDefault="00434873" w:rsidP="26CC4756">
      <w:pPr>
        <w:spacing w:after="160" w:line="259" w:lineRule="auto"/>
        <w:rPr>
          <w:rFonts w:ascii="Arial Narrow" w:eastAsia="Arial Narrow" w:hAnsi="Arial Narrow" w:cs="Arial Narrow"/>
          <w:i/>
          <w:iCs/>
          <w:highlight w:val="yellow"/>
          <w:u w:val="single"/>
          <w:lang w:val="en-US"/>
        </w:rPr>
      </w:pPr>
    </w:p>
    <w:p w14:paraId="741469A7" w14:textId="0A5684B2" w:rsidR="00434873" w:rsidRDefault="753B4B64" w:rsidP="26CC4756">
      <w:pPr>
        <w:rPr>
          <w:rFonts w:ascii="Arial Narrow" w:hAnsi="Arial Narrow"/>
          <w:i/>
          <w:iCs/>
          <w:u w:val="single"/>
        </w:rPr>
      </w:pPr>
      <w:r w:rsidRPr="26CC4756">
        <w:rPr>
          <w:rFonts w:ascii="Arial Narrow" w:hAnsi="Arial Narrow"/>
          <w:i/>
          <w:iCs/>
          <w:u w:val="single"/>
        </w:rPr>
        <w:t>Case</w:t>
      </w:r>
      <w:r w:rsidR="004D1603">
        <w:rPr>
          <w:rFonts w:ascii="Arial Narrow" w:hAnsi="Arial Narrow"/>
          <w:i/>
          <w:iCs/>
          <w:u w:val="single"/>
        </w:rPr>
        <w:t xml:space="preserve"> s</w:t>
      </w:r>
      <w:r w:rsidRPr="26CC4756">
        <w:rPr>
          <w:rFonts w:ascii="Arial Narrow" w:hAnsi="Arial Narrow"/>
          <w:i/>
          <w:iCs/>
          <w:u w:val="single"/>
        </w:rPr>
        <w:t xml:space="preserve">tudy: </w:t>
      </w:r>
      <w:r w:rsidR="00350296">
        <w:rPr>
          <w:rFonts w:ascii="Arial Narrow" w:hAnsi="Arial Narrow"/>
          <w:i/>
          <w:iCs/>
          <w:u w:val="single"/>
        </w:rPr>
        <w:t xml:space="preserve">ACT </w:t>
      </w:r>
      <w:r w:rsidRPr="26CC4756">
        <w:rPr>
          <w:rFonts w:ascii="Arial Narrow" w:hAnsi="Arial Narrow"/>
          <w:i/>
          <w:iCs/>
          <w:u w:val="single"/>
        </w:rPr>
        <w:t xml:space="preserve">Affiliated Schools </w:t>
      </w:r>
      <w:r w:rsidR="00350296">
        <w:rPr>
          <w:rFonts w:ascii="Arial Narrow" w:hAnsi="Arial Narrow"/>
          <w:i/>
          <w:iCs/>
          <w:u w:val="single"/>
        </w:rPr>
        <w:t>Program</w:t>
      </w:r>
    </w:p>
    <w:p w14:paraId="54F70919" w14:textId="33286018" w:rsidR="00434873" w:rsidRDefault="753B4B64" w:rsidP="26CC4756">
      <w:pPr>
        <w:rPr>
          <w:rFonts w:ascii="Arial Narrow" w:eastAsia="Arial Narrow" w:hAnsi="Arial Narrow" w:cs="Arial Narrow"/>
          <w:i/>
          <w:iCs/>
          <w:lang w:val="en-US"/>
        </w:rPr>
      </w:pPr>
      <w:r w:rsidRPr="26CC4756">
        <w:rPr>
          <w:rFonts w:ascii="Arial Narrow" w:eastAsia="Arial Narrow" w:hAnsi="Arial Narrow" w:cs="Arial Narrow"/>
          <w:i/>
          <w:iCs/>
        </w:rPr>
        <w:t>The ACT Affiliated Schools Program is a collaborative partnership between the University of Canberra, 26 selected ACT public schools and the ACT Government. It is built on a research-based, shared vision for innovation focusing on developing quality ITE education</w:t>
      </w:r>
      <w:r w:rsidR="00A059B3">
        <w:rPr>
          <w:rFonts w:ascii="Arial Narrow" w:eastAsia="Arial Narrow" w:hAnsi="Arial Narrow" w:cs="Arial Narrow"/>
          <w:i/>
          <w:iCs/>
          <w:lang w:val="en-US"/>
        </w:rPr>
        <w:t xml:space="preserve">. </w:t>
      </w:r>
      <w:r w:rsidRPr="26CC4756">
        <w:rPr>
          <w:rFonts w:ascii="Arial Narrow" w:eastAsia="Arial Narrow" w:hAnsi="Arial Narrow" w:cs="Arial Narrow"/>
          <w:i/>
          <w:iCs/>
          <w:lang w:val="en-US"/>
        </w:rPr>
        <w:t>The program is a reciprocal model between providers and schools and incorporates:</w:t>
      </w:r>
    </w:p>
    <w:p w14:paraId="54D43893" w14:textId="4D13A842" w:rsidR="00434873" w:rsidRDefault="753B4B64" w:rsidP="00D96B63">
      <w:pPr>
        <w:pStyle w:val="ListParagraph"/>
        <w:numPr>
          <w:ilvl w:val="0"/>
          <w:numId w:val="2"/>
        </w:numPr>
        <w:rPr>
          <w:rFonts w:ascii="Arial Narrow" w:eastAsia="Arial Narrow" w:hAnsi="Arial Narrow" w:cs="Arial Narrow"/>
          <w:i/>
          <w:iCs/>
          <w:lang w:val="en-US"/>
        </w:rPr>
      </w:pPr>
      <w:r w:rsidRPr="26CC4756">
        <w:rPr>
          <w:rFonts w:ascii="Arial Narrow" w:eastAsia="Arial Narrow" w:hAnsi="Arial Narrow" w:cs="Arial Narrow"/>
          <w:i/>
          <w:iCs/>
          <w:lang w:val="en-US"/>
        </w:rPr>
        <w:t xml:space="preserve">school based ITE student education </w:t>
      </w:r>
      <w:proofErr w:type="gramStart"/>
      <w:r w:rsidRPr="26CC4756">
        <w:rPr>
          <w:rFonts w:ascii="Arial Narrow" w:eastAsia="Arial Narrow" w:hAnsi="Arial Narrow" w:cs="Arial Narrow"/>
          <w:i/>
          <w:iCs/>
          <w:lang w:val="en-US"/>
        </w:rPr>
        <w:t>clinics</w:t>
      </w:r>
      <w:r w:rsidR="68CEE2F6" w:rsidRPr="26CC4756">
        <w:rPr>
          <w:rFonts w:ascii="Arial Narrow" w:eastAsia="Arial Narrow" w:hAnsi="Arial Narrow" w:cs="Arial Narrow"/>
          <w:i/>
          <w:iCs/>
          <w:lang w:val="en-US"/>
        </w:rPr>
        <w:t>;</w:t>
      </w:r>
      <w:proofErr w:type="gramEnd"/>
    </w:p>
    <w:p w14:paraId="268B5E88" w14:textId="2A809940" w:rsidR="00434873" w:rsidRDefault="753B4B64" w:rsidP="00D96B63">
      <w:pPr>
        <w:pStyle w:val="ListParagraph"/>
        <w:numPr>
          <w:ilvl w:val="0"/>
          <w:numId w:val="2"/>
        </w:numPr>
        <w:rPr>
          <w:rFonts w:ascii="Arial Narrow" w:eastAsia="Arial Narrow" w:hAnsi="Arial Narrow" w:cs="Arial Narrow"/>
          <w:i/>
          <w:iCs/>
          <w:lang w:val="en-US"/>
        </w:rPr>
      </w:pPr>
      <w:r w:rsidRPr="26CC4756">
        <w:rPr>
          <w:rFonts w:ascii="Arial Narrow" w:eastAsia="Arial Narrow" w:hAnsi="Arial Narrow" w:cs="Arial Narrow"/>
          <w:i/>
          <w:iCs/>
          <w:lang w:val="en-US"/>
        </w:rPr>
        <w:t xml:space="preserve">ITE practicum, including academics and teachers working together to provide best practice </w:t>
      </w:r>
      <w:proofErr w:type="gramStart"/>
      <w:r w:rsidRPr="26CC4756">
        <w:rPr>
          <w:rFonts w:ascii="Arial Narrow" w:eastAsia="Arial Narrow" w:hAnsi="Arial Narrow" w:cs="Arial Narrow"/>
          <w:i/>
          <w:iCs/>
          <w:lang w:val="en-US"/>
        </w:rPr>
        <w:t>p</w:t>
      </w:r>
      <w:r w:rsidR="006B6CD8">
        <w:rPr>
          <w:rFonts w:ascii="Arial Narrow" w:eastAsia="Arial Narrow" w:hAnsi="Arial Narrow" w:cs="Arial Narrow"/>
          <w:i/>
          <w:iCs/>
          <w:lang w:val="en-US"/>
        </w:rPr>
        <w:t>racticum</w:t>
      </w:r>
      <w:r w:rsidR="03018AB3" w:rsidRPr="26CC4756">
        <w:rPr>
          <w:rFonts w:ascii="Arial Narrow" w:eastAsia="Arial Narrow" w:hAnsi="Arial Narrow" w:cs="Arial Narrow"/>
          <w:i/>
          <w:iCs/>
          <w:lang w:val="en-US"/>
        </w:rPr>
        <w:t>;</w:t>
      </w:r>
      <w:proofErr w:type="gramEnd"/>
    </w:p>
    <w:p w14:paraId="4B27B0E6" w14:textId="0735276C" w:rsidR="00434873" w:rsidRDefault="753B4B64" w:rsidP="00D96B63">
      <w:pPr>
        <w:pStyle w:val="ListParagraph"/>
        <w:numPr>
          <w:ilvl w:val="0"/>
          <w:numId w:val="2"/>
        </w:numPr>
        <w:rPr>
          <w:rFonts w:ascii="Arial Narrow" w:eastAsia="Arial Narrow" w:hAnsi="Arial Narrow" w:cs="Arial Narrow"/>
          <w:i/>
          <w:iCs/>
          <w:lang w:val="en-US"/>
        </w:rPr>
      </w:pPr>
      <w:r w:rsidRPr="26CC4756">
        <w:rPr>
          <w:rFonts w:ascii="Arial Narrow" w:eastAsia="Arial Narrow" w:hAnsi="Arial Narrow" w:cs="Arial Narrow"/>
          <w:i/>
          <w:iCs/>
          <w:lang w:val="en-US"/>
        </w:rPr>
        <w:t xml:space="preserve">university-facilitated professional learning for </w:t>
      </w:r>
      <w:proofErr w:type="gramStart"/>
      <w:r w:rsidRPr="26CC4756">
        <w:rPr>
          <w:rFonts w:ascii="Arial Narrow" w:eastAsia="Arial Narrow" w:hAnsi="Arial Narrow" w:cs="Arial Narrow"/>
          <w:i/>
          <w:iCs/>
          <w:lang w:val="en-US"/>
        </w:rPr>
        <w:t>teachers</w:t>
      </w:r>
      <w:r w:rsidR="498E23D8" w:rsidRPr="26CC4756">
        <w:rPr>
          <w:rFonts w:ascii="Arial Narrow" w:eastAsia="Arial Narrow" w:hAnsi="Arial Narrow" w:cs="Arial Narrow"/>
          <w:i/>
          <w:iCs/>
          <w:lang w:val="en-US"/>
        </w:rPr>
        <w:t>;</w:t>
      </w:r>
      <w:proofErr w:type="gramEnd"/>
    </w:p>
    <w:p w14:paraId="0E339D4D" w14:textId="69D51B5B" w:rsidR="00434873" w:rsidRDefault="753B4B64" w:rsidP="00D96B63">
      <w:pPr>
        <w:pStyle w:val="ListParagraph"/>
        <w:numPr>
          <w:ilvl w:val="0"/>
          <w:numId w:val="2"/>
        </w:numPr>
        <w:rPr>
          <w:rFonts w:ascii="Arial Narrow" w:eastAsia="Arial Narrow" w:hAnsi="Arial Narrow" w:cs="Arial Narrow"/>
          <w:i/>
          <w:iCs/>
          <w:lang w:val="en-US"/>
        </w:rPr>
      </w:pPr>
      <w:r w:rsidRPr="26CC4756">
        <w:rPr>
          <w:rFonts w:ascii="Arial Narrow" w:eastAsia="Arial Narrow" w:hAnsi="Arial Narrow" w:cs="Arial Narrow"/>
          <w:i/>
          <w:iCs/>
          <w:lang w:val="en-US"/>
        </w:rPr>
        <w:t xml:space="preserve">research driven school and system </w:t>
      </w:r>
      <w:proofErr w:type="gramStart"/>
      <w:r w:rsidRPr="26CC4756">
        <w:rPr>
          <w:rFonts w:ascii="Arial Narrow" w:eastAsia="Arial Narrow" w:hAnsi="Arial Narrow" w:cs="Arial Narrow"/>
          <w:i/>
          <w:iCs/>
          <w:lang w:val="en-US"/>
        </w:rPr>
        <w:t>improvement</w:t>
      </w:r>
      <w:r w:rsidR="5DAA832B" w:rsidRPr="26CC4756">
        <w:rPr>
          <w:rFonts w:ascii="Arial Narrow" w:eastAsia="Arial Narrow" w:hAnsi="Arial Narrow" w:cs="Arial Narrow"/>
          <w:i/>
          <w:iCs/>
          <w:lang w:val="en-US"/>
        </w:rPr>
        <w:t>;</w:t>
      </w:r>
      <w:proofErr w:type="gramEnd"/>
    </w:p>
    <w:p w14:paraId="3D268A2E" w14:textId="564CF3F4" w:rsidR="00434873" w:rsidRDefault="753B4B64" w:rsidP="00D96B63">
      <w:pPr>
        <w:pStyle w:val="ListParagraph"/>
        <w:numPr>
          <w:ilvl w:val="0"/>
          <w:numId w:val="2"/>
        </w:numPr>
        <w:rPr>
          <w:rFonts w:ascii="Arial Narrow" w:eastAsia="Arial Narrow" w:hAnsi="Arial Narrow" w:cs="Arial Narrow"/>
          <w:i/>
          <w:iCs/>
          <w:lang w:val="en-US"/>
        </w:rPr>
      </w:pPr>
      <w:r w:rsidRPr="26CC4756">
        <w:rPr>
          <w:rFonts w:ascii="Arial Narrow" w:eastAsia="Arial Narrow" w:hAnsi="Arial Narrow" w:cs="Arial Narrow"/>
          <w:i/>
          <w:iCs/>
          <w:lang w:val="en-US"/>
        </w:rPr>
        <w:t>school-based research projects to meet school and system needs</w:t>
      </w:r>
      <w:r w:rsidR="1086A397" w:rsidRPr="26CC4756">
        <w:rPr>
          <w:rFonts w:ascii="Arial Narrow" w:eastAsia="Arial Narrow" w:hAnsi="Arial Narrow" w:cs="Arial Narrow"/>
          <w:i/>
          <w:iCs/>
          <w:lang w:val="en-US"/>
        </w:rPr>
        <w:t>; and</w:t>
      </w:r>
    </w:p>
    <w:p w14:paraId="6CFCFB77" w14:textId="35D1679F" w:rsidR="00434873" w:rsidRDefault="753B4B64" w:rsidP="00D96B63">
      <w:pPr>
        <w:pStyle w:val="ListParagraph"/>
        <w:numPr>
          <w:ilvl w:val="0"/>
          <w:numId w:val="2"/>
        </w:numPr>
        <w:rPr>
          <w:rFonts w:ascii="Arial Narrow" w:eastAsia="Arial Narrow" w:hAnsi="Arial Narrow" w:cs="Arial Narrow"/>
          <w:i/>
          <w:iCs/>
          <w:lang w:val="en-US"/>
        </w:rPr>
      </w:pPr>
      <w:r w:rsidRPr="26CC4756">
        <w:rPr>
          <w:rFonts w:ascii="Arial Narrow" w:eastAsia="Arial Narrow" w:hAnsi="Arial Narrow" w:cs="Arial Narrow"/>
          <w:i/>
          <w:iCs/>
          <w:lang w:val="en-US"/>
        </w:rPr>
        <w:t>teacher and leader scholarships</w:t>
      </w:r>
      <w:r w:rsidR="2BCF9C7B" w:rsidRPr="26CC4756">
        <w:rPr>
          <w:rFonts w:ascii="Arial Narrow" w:eastAsia="Arial Narrow" w:hAnsi="Arial Narrow" w:cs="Arial Narrow"/>
          <w:i/>
          <w:iCs/>
          <w:lang w:val="en-US"/>
        </w:rPr>
        <w:t>.</w:t>
      </w:r>
    </w:p>
    <w:p w14:paraId="2F3687FE" w14:textId="471AF1A9" w:rsidR="00434873" w:rsidRDefault="753B4B64" w:rsidP="00434873">
      <w:r w:rsidRPr="26CC4756">
        <w:rPr>
          <w:rFonts w:ascii="Arial Narrow" w:eastAsia="Arial Narrow" w:hAnsi="Arial Narrow" w:cs="Arial Narrow"/>
          <w:i/>
          <w:iCs/>
          <w:lang w:val="en-US"/>
        </w:rPr>
        <w:t xml:space="preserve">This program was designed and developed using the Mutual Affiliation for Sustained Transformation (MAST) model. The MAST model seeks to </w:t>
      </w:r>
      <w:r w:rsidR="00C34F72">
        <w:rPr>
          <w:rFonts w:ascii="Arial Narrow" w:eastAsia="Arial Narrow" w:hAnsi="Arial Narrow" w:cs="Arial Narrow"/>
          <w:i/>
          <w:iCs/>
          <w:lang w:val="en-US"/>
        </w:rPr>
        <w:t xml:space="preserve">use </w:t>
      </w:r>
      <w:r w:rsidRPr="26CC4756">
        <w:rPr>
          <w:rFonts w:ascii="Arial Narrow" w:eastAsia="Arial Narrow" w:hAnsi="Arial Narrow" w:cs="Arial Narrow"/>
          <w:i/>
          <w:iCs/>
          <w:lang w:val="en-US"/>
        </w:rPr>
        <w:t xml:space="preserve">lessons learned through studies such as school-university partnerships and </w:t>
      </w:r>
      <w:r w:rsidR="00C34F72">
        <w:rPr>
          <w:rFonts w:ascii="Arial Narrow" w:eastAsia="Arial Narrow" w:hAnsi="Arial Narrow" w:cs="Arial Narrow"/>
          <w:i/>
          <w:iCs/>
          <w:lang w:val="en-US"/>
        </w:rPr>
        <w:t>work-integrated learning</w:t>
      </w:r>
      <w:r w:rsidRPr="26CC4756">
        <w:rPr>
          <w:rFonts w:ascii="Arial Narrow" w:eastAsia="Arial Narrow" w:hAnsi="Arial Narrow" w:cs="Arial Narrow"/>
          <w:i/>
          <w:iCs/>
          <w:lang w:val="en-US"/>
        </w:rPr>
        <w:t>. This example models effective provider-school partnership and may possibly be suitable to scale to other jurisdictions.</w:t>
      </w:r>
    </w:p>
    <w:p w14:paraId="1C95B2D9" w14:textId="3C4882BF" w:rsidR="00434873" w:rsidRDefault="00434873" w:rsidP="26CC4756">
      <w:pPr>
        <w:spacing w:after="160" w:line="259" w:lineRule="auto"/>
        <w:rPr>
          <w:rFonts w:ascii="Arial Narrow" w:eastAsia="Arial Narrow" w:hAnsi="Arial Narrow" w:cs="Arial Narrow"/>
          <w:i/>
          <w:iCs/>
          <w:u w:val="single"/>
          <w:lang w:val="en-US"/>
        </w:rPr>
      </w:pPr>
    </w:p>
    <w:p w14:paraId="35FAE528" w14:textId="1647E1A3" w:rsidR="00434873" w:rsidRPr="008A6DF3" w:rsidRDefault="00434873" w:rsidP="008A6DF3">
      <w:pPr>
        <w:pStyle w:val="Heading3"/>
      </w:pPr>
      <w:r>
        <w:t xml:space="preserve">Supported by effective provider-school partnerships </w:t>
      </w:r>
    </w:p>
    <w:p w14:paraId="7535FD74" w14:textId="3D67D052" w:rsidR="00434873" w:rsidRDefault="00434873" w:rsidP="00434873">
      <w:pPr>
        <w:rPr>
          <w:rFonts w:ascii="Arial Narrow" w:hAnsi="Arial Narrow"/>
        </w:rPr>
      </w:pPr>
      <w:r>
        <w:rPr>
          <w:rFonts w:ascii="Arial Narrow" w:hAnsi="Arial Narrow"/>
        </w:rPr>
        <w:t xml:space="preserve">An effective, collaborative provider-school partnership bridges the gap between pedagogy and practice to produce </w:t>
      </w:r>
      <w:r w:rsidR="00481C68">
        <w:rPr>
          <w:rFonts w:ascii="Arial Narrow" w:hAnsi="Arial Narrow"/>
        </w:rPr>
        <w:br/>
      </w:r>
      <w:r>
        <w:rPr>
          <w:rFonts w:ascii="Arial Narrow" w:hAnsi="Arial Narrow"/>
        </w:rPr>
        <w:t>high-quality practicum experiences. These partnerships are characterised by:</w:t>
      </w:r>
    </w:p>
    <w:p w14:paraId="334947BF" w14:textId="77777777" w:rsidR="00434873" w:rsidRDefault="00434873" w:rsidP="00D96B63">
      <w:pPr>
        <w:pStyle w:val="ListParagraph"/>
        <w:numPr>
          <w:ilvl w:val="0"/>
          <w:numId w:val="18"/>
        </w:numPr>
        <w:rPr>
          <w:rFonts w:ascii="Arial Narrow" w:hAnsi="Arial Narrow"/>
        </w:rPr>
      </w:pPr>
      <w:r>
        <w:rPr>
          <w:rFonts w:ascii="Arial Narrow" w:hAnsi="Arial Narrow"/>
        </w:rPr>
        <w:t xml:space="preserve">comprehensive </w:t>
      </w:r>
      <w:r w:rsidRPr="0046290E">
        <w:rPr>
          <w:rFonts w:ascii="Arial Narrow" w:hAnsi="Arial Narrow"/>
        </w:rPr>
        <w:t xml:space="preserve">roles and responsibilities </w:t>
      </w:r>
      <w:r>
        <w:rPr>
          <w:rFonts w:ascii="Arial Narrow" w:hAnsi="Arial Narrow"/>
        </w:rPr>
        <w:t xml:space="preserve">for all parties, including school and university </w:t>
      </w:r>
      <w:proofErr w:type="gramStart"/>
      <w:r>
        <w:rPr>
          <w:rFonts w:ascii="Arial Narrow" w:hAnsi="Arial Narrow"/>
        </w:rPr>
        <w:t>staff;</w:t>
      </w:r>
      <w:proofErr w:type="gramEnd"/>
    </w:p>
    <w:p w14:paraId="1D5246ED" w14:textId="77777777" w:rsidR="00434873" w:rsidRDefault="00434873" w:rsidP="00D96B63">
      <w:pPr>
        <w:pStyle w:val="ListParagraph"/>
        <w:numPr>
          <w:ilvl w:val="0"/>
          <w:numId w:val="18"/>
        </w:numPr>
        <w:rPr>
          <w:rFonts w:ascii="Arial Narrow" w:hAnsi="Arial Narrow"/>
        </w:rPr>
      </w:pPr>
      <w:r>
        <w:rPr>
          <w:rFonts w:ascii="Arial Narrow" w:hAnsi="Arial Narrow"/>
        </w:rPr>
        <w:t xml:space="preserve">cohesion between current ITE teaching theory and mentor teachers’ classroom </w:t>
      </w:r>
      <w:proofErr w:type="gramStart"/>
      <w:r>
        <w:rPr>
          <w:rFonts w:ascii="Arial Narrow" w:hAnsi="Arial Narrow"/>
        </w:rPr>
        <w:t>practice;</w:t>
      </w:r>
      <w:proofErr w:type="gramEnd"/>
    </w:p>
    <w:p w14:paraId="7877B215" w14:textId="77777777" w:rsidR="00434873" w:rsidRDefault="00434873" w:rsidP="00D96B63">
      <w:pPr>
        <w:pStyle w:val="ListParagraph"/>
        <w:numPr>
          <w:ilvl w:val="0"/>
          <w:numId w:val="18"/>
        </w:numPr>
        <w:rPr>
          <w:rFonts w:ascii="Arial Narrow" w:hAnsi="Arial Narrow"/>
        </w:rPr>
      </w:pPr>
      <w:r>
        <w:rPr>
          <w:rFonts w:ascii="Arial Narrow" w:hAnsi="Arial Narrow"/>
        </w:rPr>
        <w:t>feedback loops for communication and collaboration between providers and schools; and</w:t>
      </w:r>
    </w:p>
    <w:p w14:paraId="22F7D47B" w14:textId="33840F5D" w:rsidR="00434873" w:rsidRDefault="00434873" w:rsidP="00D96B63">
      <w:pPr>
        <w:pStyle w:val="ListParagraph"/>
        <w:numPr>
          <w:ilvl w:val="0"/>
          <w:numId w:val="18"/>
        </w:numPr>
        <w:rPr>
          <w:rFonts w:ascii="Arial Narrow" w:hAnsi="Arial Narrow"/>
        </w:rPr>
      </w:pPr>
      <w:r>
        <w:rPr>
          <w:rFonts w:ascii="Arial Narrow" w:hAnsi="Arial Narrow"/>
        </w:rPr>
        <w:t xml:space="preserve">mechanisms for tracking </w:t>
      </w:r>
      <w:r w:rsidR="005E68E9">
        <w:t>ITE students’</w:t>
      </w:r>
      <w:r>
        <w:rPr>
          <w:rFonts w:ascii="Arial Narrow" w:hAnsi="Arial Narrow"/>
        </w:rPr>
        <w:t xml:space="preserve"> progress towards the Graduate Standards. </w:t>
      </w:r>
    </w:p>
    <w:p w14:paraId="189F281C" w14:textId="77777777" w:rsidR="00434873" w:rsidRPr="00962536" w:rsidRDefault="00434873" w:rsidP="00434873">
      <w:pPr>
        <w:rPr>
          <w:rFonts w:ascii="Arial Narrow" w:hAnsi="Arial Narrow"/>
        </w:rPr>
      </w:pPr>
      <w:r>
        <w:rPr>
          <w:rFonts w:ascii="Arial Narrow" w:hAnsi="Arial Narrow"/>
        </w:rPr>
        <w:t xml:space="preserve">Previous ITE reforms have emphasised the importance of provider-school partnerships, however their effectiveness in supporting high-quality practicum depends on their practical implementation. A well-implemented partnership empowers schools to collaborate with providers in facilitating </w:t>
      </w:r>
      <w:r>
        <w:t>ITE student</w:t>
      </w:r>
      <w:r>
        <w:rPr>
          <w:rFonts w:ascii="Arial Narrow" w:hAnsi="Arial Narrow"/>
        </w:rPr>
        <w:t xml:space="preserve"> development.</w:t>
      </w:r>
    </w:p>
    <w:p w14:paraId="2CD28135" w14:textId="77777777" w:rsidR="00434873" w:rsidRDefault="00434873" w:rsidP="00434873">
      <w:pPr>
        <w:rPr>
          <w:rFonts w:ascii="Arial Narrow" w:hAnsi="Arial Narrow"/>
        </w:rPr>
      </w:pPr>
      <w:r>
        <w:rPr>
          <w:rFonts w:ascii="Arial Narrow" w:hAnsi="Arial Narrow"/>
        </w:rPr>
        <w:t>Examples of provider-school collaboration may include:</w:t>
      </w:r>
    </w:p>
    <w:p w14:paraId="22B38939" w14:textId="77777777" w:rsidR="00434873" w:rsidRPr="00543A3F" w:rsidRDefault="00434873" w:rsidP="00D96B63">
      <w:pPr>
        <w:pStyle w:val="ListParagraph"/>
        <w:numPr>
          <w:ilvl w:val="0"/>
          <w:numId w:val="19"/>
        </w:numPr>
        <w:rPr>
          <w:rFonts w:ascii="Arial Narrow" w:hAnsi="Arial Narrow"/>
        </w:rPr>
      </w:pPr>
      <w:r>
        <w:rPr>
          <w:rFonts w:ascii="Arial Narrow" w:hAnsi="Arial Narrow"/>
        </w:rPr>
        <w:t xml:space="preserve">involving teachers in the development of </w:t>
      </w:r>
      <w:proofErr w:type="gramStart"/>
      <w:r>
        <w:rPr>
          <w:rFonts w:ascii="Arial Narrow" w:hAnsi="Arial Narrow"/>
        </w:rPr>
        <w:t>partnerships;</w:t>
      </w:r>
      <w:proofErr w:type="gramEnd"/>
    </w:p>
    <w:p w14:paraId="5CA427AC" w14:textId="77777777" w:rsidR="00434873" w:rsidRDefault="00434873" w:rsidP="00D96B63">
      <w:pPr>
        <w:pStyle w:val="ListParagraph"/>
        <w:numPr>
          <w:ilvl w:val="0"/>
          <w:numId w:val="19"/>
        </w:numPr>
        <w:rPr>
          <w:rFonts w:ascii="Arial Narrow" w:hAnsi="Arial Narrow"/>
        </w:rPr>
      </w:pPr>
      <w:r>
        <w:rPr>
          <w:rFonts w:ascii="Arial Narrow" w:hAnsi="Arial Narrow"/>
        </w:rPr>
        <w:t xml:space="preserve">taking school feedback and implementing program </w:t>
      </w:r>
      <w:proofErr w:type="gramStart"/>
      <w:r>
        <w:rPr>
          <w:rFonts w:ascii="Arial Narrow" w:hAnsi="Arial Narrow"/>
        </w:rPr>
        <w:t>improvement;</w:t>
      </w:r>
      <w:proofErr w:type="gramEnd"/>
    </w:p>
    <w:p w14:paraId="2092D4C4" w14:textId="77777777" w:rsidR="00434873" w:rsidRDefault="00434873" w:rsidP="00D96B63">
      <w:pPr>
        <w:pStyle w:val="ListParagraph"/>
        <w:numPr>
          <w:ilvl w:val="0"/>
          <w:numId w:val="19"/>
        </w:numPr>
        <w:rPr>
          <w:rFonts w:ascii="Arial Narrow" w:hAnsi="Arial Narrow"/>
        </w:rPr>
      </w:pPr>
      <w:r>
        <w:rPr>
          <w:rFonts w:ascii="Arial Narrow" w:hAnsi="Arial Narrow"/>
        </w:rPr>
        <w:t xml:space="preserve">involving schools in the selection process of ITE </w:t>
      </w:r>
      <w:proofErr w:type="gramStart"/>
      <w:r>
        <w:rPr>
          <w:rFonts w:ascii="Arial Narrow" w:hAnsi="Arial Narrow"/>
        </w:rPr>
        <w:t>students;</w:t>
      </w:r>
      <w:proofErr w:type="gramEnd"/>
    </w:p>
    <w:p w14:paraId="3BF93088" w14:textId="77777777" w:rsidR="00434873" w:rsidRDefault="00434873" w:rsidP="00D96B63">
      <w:pPr>
        <w:pStyle w:val="ListParagraph"/>
        <w:numPr>
          <w:ilvl w:val="0"/>
          <w:numId w:val="19"/>
        </w:numPr>
        <w:rPr>
          <w:rFonts w:ascii="Arial Narrow" w:hAnsi="Arial Narrow"/>
        </w:rPr>
      </w:pPr>
      <w:r>
        <w:rPr>
          <w:rFonts w:ascii="Arial Narrow" w:hAnsi="Arial Narrow"/>
        </w:rPr>
        <w:t xml:space="preserve">regular university staff liaison visits to support both school staff and </w:t>
      </w:r>
      <w:r>
        <w:t>ITE students</w:t>
      </w:r>
      <w:r>
        <w:rPr>
          <w:rFonts w:ascii="Arial Narrow" w:hAnsi="Arial Narrow"/>
        </w:rPr>
        <w:t>; and</w:t>
      </w:r>
    </w:p>
    <w:p w14:paraId="61C79643" w14:textId="77777777" w:rsidR="00434873" w:rsidRPr="00400E75" w:rsidRDefault="00434873" w:rsidP="00D96B63">
      <w:pPr>
        <w:pStyle w:val="ListParagraph"/>
        <w:numPr>
          <w:ilvl w:val="0"/>
          <w:numId w:val="19"/>
        </w:numPr>
        <w:rPr>
          <w:rFonts w:ascii="Arial Narrow" w:hAnsi="Arial Narrow"/>
        </w:rPr>
      </w:pPr>
      <w:r>
        <w:rPr>
          <w:rFonts w:ascii="Arial Narrow" w:hAnsi="Arial Narrow"/>
        </w:rPr>
        <w:t xml:space="preserve">innovative delivery of </w:t>
      </w:r>
      <w:r>
        <w:t>ITE student</w:t>
      </w:r>
      <w:r>
        <w:rPr>
          <w:rFonts w:ascii="Arial Narrow" w:hAnsi="Arial Narrow"/>
        </w:rPr>
        <w:t xml:space="preserve"> learning (such as clinical delivery models).</w:t>
      </w:r>
    </w:p>
    <w:p w14:paraId="0CC52290" w14:textId="671BF274" w:rsidR="26CC4756" w:rsidRDefault="26CC4756" w:rsidP="26CC4756">
      <w:pPr>
        <w:spacing w:after="160" w:line="259" w:lineRule="auto"/>
        <w:rPr>
          <w:rFonts w:ascii="Arial Narrow" w:eastAsia="Arial Narrow" w:hAnsi="Arial Narrow" w:cs="Arial Narrow"/>
          <w:i/>
          <w:iCs/>
          <w:u w:val="single"/>
          <w:lang w:val="en-US"/>
        </w:rPr>
      </w:pPr>
    </w:p>
    <w:p w14:paraId="7C56A05B" w14:textId="77777777" w:rsidR="00A94021" w:rsidRDefault="00A94021" w:rsidP="00A94021">
      <w:pPr>
        <w:pStyle w:val="NoSpacing"/>
        <w:spacing w:after="160" w:line="259" w:lineRule="auto"/>
        <w:rPr>
          <w:rFonts w:ascii="Arial Narrow" w:eastAsia="Arial Narrow" w:hAnsi="Arial Narrow" w:cs="Arial Narrow"/>
          <w:i/>
          <w:iCs/>
          <w:lang w:val="en-US"/>
        </w:rPr>
      </w:pPr>
      <w:r w:rsidRPr="26CC4756">
        <w:rPr>
          <w:rFonts w:ascii="Arial Narrow" w:eastAsia="Arial Narrow" w:hAnsi="Arial Narrow" w:cs="Arial Narrow"/>
          <w:i/>
          <w:iCs/>
          <w:u w:val="single"/>
          <w:lang w:val="en-US"/>
        </w:rPr>
        <w:t>Case study: Teaching Schools Hub Program, UK</w:t>
      </w:r>
    </w:p>
    <w:p w14:paraId="2252B0AE" w14:textId="77777777" w:rsidR="00A94021" w:rsidRDefault="00A94021" w:rsidP="00A94021">
      <w:pPr>
        <w:pStyle w:val="NoSpacing"/>
        <w:rPr>
          <w:rFonts w:ascii="Arial Narrow" w:eastAsia="Arial Narrow" w:hAnsi="Arial Narrow" w:cs="Arial Narrow"/>
          <w:i/>
          <w:iCs/>
          <w:lang w:val="en-US"/>
        </w:rPr>
      </w:pPr>
      <w:r w:rsidRPr="26CC4756">
        <w:rPr>
          <w:i/>
          <w:iCs/>
          <w:lang w:val="en-US"/>
        </w:rPr>
        <w:t xml:space="preserve">Teaching Schools Hubs are school-led centres of excellence for teacher and leadership development. High-performing schools are invited to participate in the program, based on their </w:t>
      </w:r>
      <w:r>
        <w:rPr>
          <w:i/>
          <w:iCs/>
          <w:lang w:val="en-US"/>
        </w:rPr>
        <w:t>performance</w:t>
      </w:r>
      <w:r w:rsidRPr="26CC4756">
        <w:rPr>
          <w:i/>
          <w:iCs/>
          <w:lang w:val="en-US"/>
        </w:rPr>
        <w:t xml:space="preserve">. The </w:t>
      </w:r>
      <w:r>
        <w:rPr>
          <w:i/>
          <w:iCs/>
          <w:lang w:val="en-US"/>
        </w:rPr>
        <w:t>program</w:t>
      </w:r>
      <w:r w:rsidRPr="26CC4756">
        <w:rPr>
          <w:i/>
          <w:iCs/>
          <w:lang w:val="en-US"/>
        </w:rPr>
        <w:t xml:space="preserve"> seeks to support teachers throughout their career and forms part of the recruitment and retention strategy to raise teacher quality and effectiveness. Schools play a significant role in: </w:t>
      </w:r>
    </w:p>
    <w:p w14:paraId="5950D329" w14:textId="77777777" w:rsidR="00A94021" w:rsidRDefault="00A94021" w:rsidP="00D96B63">
      <w:pPr>
        <w:pStyle w:val="ListParagraph"/>
        <w:numPr>
          <w:ilvl w:val="0"/>
          <w:numId w:val="35"/>
        </w:numPr>
        <w:rPr>
          <w:rFonts w:ascii="Arial Narrow" w:eastAsia="Arial Narrow" w:hAnsi="Arial Narrow" w:cs="Arial Narrow"/>
          <w:i/>
          <w:iCs/>
          <w:lang w:val="en-US"/>
        </w:rPr>
      </w:pPr>
      <w:r w:rsidRPr="26CC4756">
        <w:rPr>
          <w:i/>
          <w:iCs/>
          <w:lang w:val="en-US"/>
        </w:rPr>
        <w:t xml:space="preserve">school-based initial teaching </w:t>
      </w:r>
      <w:proofErr w:type="gramStart"/>
      <w:r w:rsidRPr="26CC4756">
        <w:rPr>
          <w:i/>
          <w:iCs/>
          <w:lang w:val="en-US"/>
        </w:rPr>
        <w:t>training;</w:t>
      </w:r>
      <w:proofErr w:type="gramEnd"/>
    </w:p>
    <w:p w14:paraId="0CC19E78" w14:textId="77777777" w:rsidR="00A94021" w:rsidRDefault="00A94021" w:rsidP="00D96B63">
      <w:pPr>
        <w:pStyle w:val="ListParagraph"/>
        <w:numPr>
          <w:ilvl w:val="0"/>
          <w:numId w:val="35"/>
        </w:numPr>
        <w:rPr>
          <w:rFonts w:ascii="Arial Narrow" w:eastAsia="Arial Narrow" w:hAnsi="Arial Narrow" w:cs="Arial Narrow"/>
          <w:i/>
          <w:iCs/>
          <w:lang w:val="en-US"/>
        </w:rPr>
      </w:pPr>
      <w:r w:rsidRPr="26CC4756">
        <w:rPr>
          <w:i/>
          <w:iCs/>
          <w:lang w:val="en-US"/>
        </w:rPr>
        <w:t>services for early career teachers and promotion; and</w:t>
      </w:r>
    </w:p>
    <w:p w14:paraId="7AE91B83" w14:textId="77777777" w:rsidR="00A94021" w:rsidRDefault="00A94021" w:rsidP="00D96B63">
      <w:pPr>
        <w:pStyle w:val="ListParagraph"/>
        <w:numPr>
          <w:ilvl w:val="0"/>
          <w:numId w:val="35"/>
        </w:numPr>
        <w:rPr>
          <w:rFonts w:ascii="Arial Narrow" w:eastAsia="Arial Narrow" w:hAnsi="Arial Narrow" w:cs="Arial Narrow"/>
          <w:i/>
          <w:iCs/>
          <w:lang w:val="en-US"/>
        </w:rPr>
      </w:pPr>
      <w:r w:rsidRPr="26CC4756">
        <w:rPr>
          <w:i/>
          <w:iCs/>
          <w:lang w:val="en-US"/>
        </w:rPr>
        <w:t>delivery of high-quality evidence-based professional development</w:t>
      </w:r>
      <w:r>
        <w:rPr>
          <w:i/>
          <w:iCs/>
          <w:lang w:val="en-US"/>
        </w:rPr>
        <w:t>.</w:t>
      </w:r>
    </w:p>
    <w:p w14:paraId="389BF677" w14:textId="6840C088" w:rsidR="26CC4756" w:rsidRDefault="26CC4756" w:rsidP="26CC4756">
      <w:pPr>
        <w:rPr>
          <w:rFonts w:ascii="Arial Narrow" w:hAnsi="Arial Narrow"/>
          <w:i/>
          <w:iCs/>
          <w:u w:val="single"/>
        </w:rPr>
      </w:pPr>
    </w:p>
    <w:p w14:paraId="79B1E6CF" w14:textId="6A9040D5" w:rsidR="00434873" w:rsidRPr="008F1BDB" w:rsidRDefault="1E1D7A87" w:rsidP="008F1BDB">
      <w:pPr>
        <w:pStyle w:val="Heading3"/>
      </w:pPr>
      <w:r>
        <w:t>Community engagement and embedded practices,</w:t>
      </w:r>
      <w:r w:rsidR="00434873">
        <w:t xml:space="preserve"> to </w:t>
      </w:r>
      <w:r w:rsidR="41DC6580">
        <w:t>support</w:t>
      </w:r>
      <w:r w:rsidR="00434873">
        <w:t xml:space="preserve"> transition towards post-ITE teaching</w:t>
      </w:r>
    </w:p>
    <w:p w14:paraId="38F09487" w14:textId="77777777" w:rsidR="00434873" w:rsidRDefault="00434873" w:rsidP="00434873">
      <w:r>
        <w:t>ITE students</w:t>
      </w:r>
      <w:r w:rsidRPr="007D527B">
        <w:t xml:space="preserve"> who are integrated into the school community</w:t>
      </w:r>
      <w:r>
        <w:t xml:space="preserve"> benefit from the increased degree of wrap-around support and community connection. Opportunities for ITE students to engage with students and parents outside of class improves their knowledge of diverse school contexts and ways to accommodate them through different teaching styles. I</w:t>
      </w:r>
      <w:r w:rsidRPr="007D527B">
        <w:t xml:space="preserve">nvesting in </w:t>
      </w:r>
      <w:r>
        <w:t>ITE student interactions with the school community</w:t>
      </w:r>
      <w:r w:rsidRPr="007D527B">
        <w:t xml:space="preserve"> </w:t>
      </w:r>
      <w:r>
        <w:t>enrichens</w:t>
      </w:r>
      <w:r w:rsidRPr="007D527B">
        <w:t xml:space="preserve"> </w:t>
      </w:r>
      <w:r>
        <w:t>their</w:t>
      </w:r>
      <w:r w:rsidRPr="007D527B">
        <w:t xml:space="preserve"> </w:t>
      </w:r>
      <w:r>
        <w:t>engagement</w:t>
      </w:r>
      <w:r w:rsidRPr="007D527B">
        <w:t xml:space="preserve"> </w:t>
      </w:r>
      <w:r>
        <w:t xml:space="preserve">with mentor </w:t>
      </w:r>
      <w:r w:rsidRPr="007D527B">
        <w:t xml:space="preserve">teachers and </w:t>
      </w:r>
      <w:r>
        <w:t xml:space="preserve">broadens their </w:t>
      </w:r>
      <w:r w:rsidRPr="007D527B">
        <w:t>future professional network</w:t>
      </w:r>
      <w:r>
        <w:t>, enhancing their employment prospects.</w:t>
      </w:r>
    </w:p>
    <w:p w14:paraId="007EC64E" w14:textId="73503A59" w:rsidR="00434873" w:rsidRDefault="00434873" w:rsidP="00434873">
      <w:r>
        <w:t xml:space="preserve">Activities </w:t>
      </w:r>
      <w:r w:rsidR="001242C6">
        <w:t>that</w:t>
      </w:r>
      <w:r>
        <w:t xml:space="preserve"> allow ITE students to integrate into the community </w:t>
      </w:r>
      <w:r w:rsidRPr="007D527B">
        <w:t>may include</w:t>
      </w:r>
      <w:r>
        <w:t>:</w:t>
      </w:r>
    </w:p>
    <w:p w14:paraId="1A8A47D9" w14:textId="343A6FB2" w:rsidR="00434873" w:rsidRPr="007D527B" w:rsidRDefault="00434873" w:rsidP="00D96B63">
      <w:pPr>
        <w:pStyle w:val="ListParagraph"/>
        <w:numPr>
          <w:ilvl w:val="0"/>
          <w:numId w:val="36"/>
        </w:numPr>
      </w:pPr>
      <w:r>
        <w:t>involvement in sports carnivals</w:t>
      </w:r>
      <w:r w:rsidR="00385E4D">
        <w:t xml:space="preserve"> and other extra-curricular </w:t>
      </w:r>
      <w:proofErr w:type="gramStart"/>
      <w:r w:rsidR="00385E4D">
        <w:t>events</w:t>
      </w:r>
      <w:r>
        <w:t>;</w:t>
      </w:r>
      <w:proofErr w:type="gramEnd"/>
      <w:r>
        <w:t xml:space="preserve"> </w:t>
      </w:r>
    </w:p>
    <w:p w14:paraId="45F31B70" w14:textId="77777777" w:rsidR="00434873" w:rsidRPr="007D527B" w:rsidRDefault="00434873" w:rsidP="00D96B63">
      <w:pPr>
        <w:pStyle w:val="ListParagraph"/>
        <w:numPr>
          <w:ilvl w:val="0"/>
          <w:numId w:val="36"/>
        </w:numPr>
      </w:pPr>
      <w:r>
        <w:t xml:space="preserve">attendance at parent-teacher nights or family social </w:t>
      </w:r>
      <w:proofErr w:type="gramStart"/>
      <w:r>
        <w:t>events;</w:t>
      </w:r>
      <w:proofErr w:type="gramEnd"/>
      <w:r>
        <w:t xml:space="preserve"> </w:t>
      </w:r>
    </w:p>
    <w:p w14:paraId="1A70613B" w14:textId="77777777" w:rsidR="00434873" w:rsidRPr="007D527B" w:rsidRDefault="00434873" w:rsidP="00D96B63">
      <w:pPr>
        <w:pStyle w:val="ListParagraph"/>
        <w:numPr>
          <w:ilvl w:val="0"/>
          <w:numId w:val="36"/>
        </w:numPr>
      </w:pPr>
      <w:r>
        <w:t>participation in</w:t>
      </w:r>
      <w:r w:rsidRPr="007D527B">
        <w:t xml:space="preserve"> teacher networking events</w:t>
      </w:r>
      <w:r>
        <w:t>; and</w:t>
      </w:r>
    </w:p>
    <w:p w14:paraId="644EE5CE" w14:textId="77777777" w:rsidR="00434873" w:rsidRDefault="00434873" w:rsidP="00D96B63">
      <w:pPr>
        <w:pStyle w:val="ListParagraph"/>
        <w:numPr>
          <w:ilvl w:val="0"/>
          <w:numId w:val="36"/>
        </w:numPr>
      </w:pPr>
      <w:r>
        <w:t xml:space="preserve">employment as a paraprofessional alongside practicum and during their degree. </w:t>
      </w:r>
    </w:p>
    <w:p w14:paraId="3ADA643F" w14:textId="77777777" w:rsidR="00173B3C" w:rsidRDefault="00173B3C" w:rsidP="00434873">
      <w:pPr>
        <w:rPr>
          <w:u w:val="single"/>
        </w:rPr>
      </w:pPr>
    </w:p>
    <w:p w14:paraId="41D2F3B7" w14:textId="77777777" w:rsidR="00434873" w:rsidRPr="00173B3C" w:rsidRDefault="00434873" w:rsidP="00434873">
      <w:pPr>
        <w:rPr>
          <w:i/>
          <w:u w:val="single"/>
        </w:rPr>
      </w:pPr>
      <w:r w:rsidRPr="00173B3C">
        <w:rPr>
          <w:i/>
          <w:u w:val="single"/>
        </w:rPr>
        <w:t xml:space="preserve">Case study: Internship model at Edith Cowan University, WA </w:t>
      </w:r>
    </w:p>
    <w:p w14:paraId="54DC9230" w14:textId="77777777" w:rsidR="00434873" w:rsidRPr="00173B3C" w:rsidRDefault="00434873" w:rsidP="00434873">
      <w:pPr>
        <w:rPr>
          <w:rFonts w:ascii="Arial Narrow" w:eastAsia="Arial Narrow" w:hAnsi="Arial Narrow" w:cs="Arial Narrow"/>
          <w:i/>
        </w:rPr>
      </w:pPr>
      <w:r w:rsidRPr="00173B3C">
        <w:rPr>
          <w:rFonts w:ascii="Arial Narrow" w:eastAsia="Arial Narrow" w:hAnsi="Arial Narrow" w:cs="Arial Narrow"/>
          <w:i/>
        </w:rPr>
        <w:t xml:space="preserve">Edith Cowan University offer additional professional experience in their ITE programs through their Scholar in Residence and Assistant Teacher Program. As scholars in residence, </w:t>
      </w:r>
      <w:r w:rsidRPr="00173B3C">
        <w:rPr>
          <w:i/>
        </w:rPr>
        <w:t>ITE students</w:t>
      </w:r>
      <w:r w:rsidRPr="00173B3C">
        <w:rPr>
          <w:rFonts w:ascii="Arial Narrow" w:eastAsia="Arial Narrow" w:hAnsi="Arial Narrow" w:cs="Arial Narrow"/>
          <w:i/>
        </w:rPr>
        <w:t xml:space="preserve"> first spend 2-3 days a week immersed in their placement school environment. Final year ITE students can complete the 8-week Assistant Teacher Program extended practicum internship. The model gradually increases ITE students’ classroom time, aiding their transition to teaching. </w:t>
      </w:r>
    </w:p>
    <w:p w14:paraId="4D4DE578" w14:textId="77777777" w:rsidR="00173B3C" w:rsidRPr="00173B3C" w:rsidRDefault="00173B3C" w:rsidP="00434873">
      <w:pPr>
        <w:rPr>
          <w:rFonts w:ascii="Arial Narrow" w:eastAsia="Arial Narrow" w:hAnsi="Arial Narrow" w:cs="Arial Narrow"/>
          <w:i/>
          <w:iCs/>
          <w:szCs w:val="22"/>
          <w:u w:val="single"/>
        </w:rPr>
      </w:pPr>
    </w:p>
    <w:p w14:paraId="2CE12C0E" w14:textId="77777777" w:rsidR="00434873" w:rsidRPr="00173B3C" w:rsidRDefault="00434873" w:rsidP="00434873">
      <w:pPr>
        <w:rPr>
          <w:rFonts w:ascii="Arial Narrow" w:eastAsia="Arial Narrow" w:hAnsi="Arial Narrow" w:cs="Arial Narrow"/>
          <w:i/>
          <w:szCs w:val="22"/>
          <w:lang w:val="en-US"/>
        </w:rPr>
      </w:pPr>
      <w:r w:rsidRPr="00173B3C">
        <w:rPr>
          <w:rFonts w:ascii="Arial Narrow" w:eastAsia="Arial Narrow" w:hAnsi="Arial Narrow" w:cs="Arial Narrow"/>
          <w:i/>
          <w:szCs w:val="22"/>
          <w:u w:val="single"/>
        </w:rPr>
        <w:t xml:space="preserve">Case study: </w:t>
      </w:r>
      <w:proofErr w:type="spellStart"/>
      <w:r w:rsidRPr="00173B3C">
        <w:rPr>
          <w:rFonts w:ascii="Arial Narrow" w:eastAsia="Arial Narrow" w:hAnsi="Arial Narrow" w:cs="Arial Narrow"/>
          <w:i/>
          <w:szCs w:val="22"/>
          <w:u w:val="single"/>
        </w:rPr>
        <w:t>Alphacrucis</w:t>
      </w:r>
      <w:proofErr w:type="spellEnd"/>
      <w:r w:rsidRPr="00173B3C">
        <w:rPr>
          <w:rFonts w:ascii="Arial Narrow" w:eastAsia="Arial Narrow" w:hAnsi="Arial Narrow" w:cs="Arial Narrow"/>
          <w:i/>
          <w:szCs w:val="22"/>
          <w:u w:val="single"/>
        </w:rPr>
        <w:t xml:space="preserve"> Hub Model, NSW</w:t>
      </w:r>
      <w:r w:rsidRPr="00173B3C">
        <w:rPr>
          <w:rFonts w:ascii="Arial Narrow" w:eastAsia="Arial Narrow" w:hAnsi="Arial Narrow" w:cs="Arial Narrow"/>
          <w:i/>
          <w:szCs w:val="22"/>
        </w:rPr>
        <w:t xml:space="preserve"> </w:t>
      </w:r>
    </w:p>
    <w:p w14:paraId="5563EF26" w14:textId="1B4CF652" w:rsidR="00434873" w:rsidRPr="00173B3C" w:rsidRDefault="00434873" w:rsidP="00434873">
      <w:pPr>
        <w:rPr>
          <w:rFonts w:ascii="Arial Narrow" w:eastAsia="Arial Narrow" w:hAnsi="Arial Narrow" w:cs="Arial Narrow"/>
          <w:i/>
          <w:lang w:val="en-US"/>
        </w:rPr>
      </w:pPr>
      <w:proofErr w:type="spellStart"/>
      <w:r w:rsidRPr="00173B3C">
        <w:rPr>
          <w:rFonts w:ascii="Arial Narrow" w:eastAsia="Arial Narrow" w:hAnsi="Arial Narrow" w:cs="Arial Narrow"/>
          <w:i/>
        </w:rPr>
        <w:t>Alphacrucis</w:t>
      </w:r>
      <w:proofErr w:type="spellEnd"/>
      <w:r w:rsidRPr="00173B3C">
        <w:rPr>
          <w:rFonts w:ascii="Arial Narrow" w:eastAsia="Arial Narrow" w:hAnsi="Arial Narrow" w:cs="Arial Narrow"/>
          <w:i/>
        </w:rPr>
        <w:t xml:space="preserve"> ITE students spend more time inside schools during their course to improve their classroom readiness. ITE students are paid as paraprofessionals for 1-2 two days per week in a partner school, with the aim of working within that </w:t>
      </w:r>
      <w:r w:rsidRPr="00173B3C">
        <w:rPr>
          <w:rFonts w:ascii="Arial Narrow" w:eastAsia="Arial Narrow" w:hAnsi="Arial Narrow" w:cs="Arial Narrow"/>
          <w:i/>
        </w:rPr>
        <w:lastRenderedPageBreak/>
        <w:t xml:space="preserve">school full-time once they graduate. ITE students observe classrooms and </w:t>
      </w:r>
      <w:proofErr w:type="gramStart"/>
      <w:r w:rsidRPr="00173B3C">
        <w:rPr>
          <w:rFonts w:ascii="Arial Narrow" w:eastAsia="Arial Narrow" w:hAnsi="Arial Narrow" w:cs="Arial Narrow"/>
          <w:i/>
        </w:rPr>
        <w:t>teaching, and</w:t>
      </w:r>
      <w:proofErr w:type="gramEnd"/>
      <w:r w:rsidRPr="00173B3C">
        <w:rPr>
          <w:rFonts w:ascii="Arial Narrow" w:eastAsia="Arial Narrow" w:hAnsi="Arial Narrow" w:cs="Arial Narrow"/>
          <w:i/>
        </w:rPr>
        <w:t xml:space="preserve"> receive mentorship and guidance. </w:t>
      </w:r>
      <w:r w:rsidR="00377620">
        <w:rPr>
          <w:rFonts w:ascii="Arial Narrow" w:eastAsia="Arial Narrow" w:hAnsi="Arial Narrow" w:cs="Arial Narrow"/>
          <w:i/>
        </w:rPr>
        <w:t xml:space="preserve">The </w:t>
      </w:r>
      <w:r w:rsidRPr="00173B3C">
        <w:rPr>
          <w:rFonts w:ascii="Arial Narrow" w:eastAsia="Arial Narrow" w:hAnsi="Arial Narrow" w:cs="Arial Narrow"/>
          <w:i/>
        </w:rPr>
        <w:t xml:space="preserve">current </w:t>
      </w:r>
      <w:r w:rsidR="00377620">
        <w:rPr>
          <w:rFonts w:ascii="Arial Narrow" w:eastAsia="Arial Narrow" w:hAnsi="Arial Narrow" w:cs="Arial Narrow"/>
          <w:i/>
        </w:rPr>
        <w:t>attrition</w:t>
      </w:r>
      <w:r w:rsidRPr="00173B3C">
        <w:rPr>
          <w:rFonts w:ascii="Arial Narrow" w:eastAsia="Arial Narrow" w:hAnsi="Arial Narrow" w:cs="Arial Narrow"/>
          <w:i/>
        </w:rPr>
        <w:t xml:space="preserve"> rate for the </w:t>
      </w:r>
      <w:proofErr w:type="spellStart"/>
      <w:r w:rsidRPr="00173B3C">
        <w:rPr>
          <w:rFonts w:ascii="Arial Narrow" w:eastAsia="Arial Narrow" w:hAnsi="Arial Narrow" w:cs="Arial Narrow"/>
          <w:i/>
        </w:rPr>
        <w:t>Alphacrucis</w:t>
      </w:r>
      <w:proofErr w:type="spellEnd"/>
      <w:r w:rsidRPr="00173B3C">
        <w:rPr>
          <w:rFonts w:ascii="Arial Narrow" w:eastAsia="Arial Narrow" w:hAnsi="Arial Narrow" w:cs="Arial Narrow"/>
          <w:i/>
        </w:rPr>
        <w:t xml:space="preserve"> Hub Model is</w:t>
      </w:r>
      <w:r w:rsidR="00377620">
        <w:rPr>
          <w:rFonts w:ascii="Arial Narrow" w:eastAsia="Arial Narrow" w:hAnsi="Arial Narrow" w:cs="Arial Narrow"/>
          <w:i/>
        </w:rPr>
        <w:t xml:space="preserve"> very low – around</w:t>
      </w:r>
      <w:r w:rsidRPr="00173B3C">
        <w:rPr>
          <w:rFonts w:ascii="Arial Narrow" w:eastAsia="Arial Narrow" w:hAnsi="Arial Narrow" w:cs="Arial Narrow"/>
          <w:i/>
        </w:rPr>
        <w:t xml:space="preserve"> 5%</w:t>
      </w:r>
      <w:r w:rsidRPr="00173B3C">
        <w:rPr>
          <w:rStyle w:val="FootnoteReference"/>
          <w:rFonts w:ascii="Arial Narrow" w:eastAsia="Arial Narrow" w:hAnsi="Arial Narrow" w:cs="Arial Narrow"/>
          <w:i/>
        </w:rPr>
        <w:footnoteReference w:id="2"/>
      </w:r>
      <w:r w:rsidRPr="00173B3C">
        <w:rPr>
          <w:rFonts w:ascii="Arial Narrow" w:eastAsia="Arial Narrow" w:hAnsi="Arial Narrow" w:cs="Arial Narrow"/>
          <w:i/>
        </w:rPr>
        <w:t xml:space="preserve">. </w:t>
      </w:r>
    </w:p>
    <w:p w14:paraId="75DA6B61" w14:textId="77777777" w:rsidR="00434873" w:rsidRDefault="00434873" w:rsidP="00434873">
      <w:pPr>
        <w:rPr>
          <w:rFonts w:ascii="Arial Narrow" w:eastAsia="Arial Narrow" w:hAnsi="Arial Narrow" w:cs="Arial Narrow"/>
          <w:lang w:val="en-US"/>
        </w:rPr>
      </w:pPr>
    </w:p>
    <w:p w14:paraId="57565BA0" w14:textId="0CAF92DB" w:rsidR="00434873" w:rsidRPr="00A24C4D" w:rsidRDefault="00434873" w:rsidP="00033A1B">
      <w:pPr>
        <w:pStyle w:val="Heading2"/>
      </w:pPr>
      <w:r>
        <w:t xml:space="preserve">Key challenges for high-quality practicum delivery </w:t>
      </w:r>
    </w:p>
    <w:p w14:paraId="2705FED7" w14:textId="5C46CBF7" w:rsidR="00434873" w:rsidRDefault="00434873" w:rsidP="00434873">
      <w:r>
        <w:t xml:space="preserve">Despite reform efforts since </w:t>
      </w:r>
      <w:r w:rsidR="00533945">
        <w:t xml:space="preserve">the </w:t>
      </w:r>
      <w:r>
        <w:t>TEMAG</w:t>
      </w:r>
      <w:r w:rsidR="00533945">
        <w:t xml:space="preserve"> review</w:t>
      </w:r>
      <w:r>
        <w:t xml:space="preserve">, key challenges persist in delivering consistently high-quality practicum placements. </w:t>
      </w:r>
    </w:p>
    <w:p w14:paraId="2C0E3F4B" w14:textId="5BF96A98" w:rsidR="00434873" w:rsidRPr="00155A1A" w:rsidRDefault="00434873" w:rsidP="00155A1A">
      <w:pPr>
        <w:pStyle w:val="Heading3"/>
      </w:pPr>
      <w:r>
        <w:t>Unclear expectations for the design and delivery of p</w:t>
      </w:r>
      <w:r w:rsidR="0FEBBF41">
        <w:t>racticum</w:t>
      </w:r>
      <w:r w:rsidR="006B6CD8">
        <w:t xml:space="preserve"> placements</w:t>
      </w:r>
    </w:p>
    <w:p w14:paraId="02294238" w14:textId="77777777" w:rsidR="00BD6FB0" w:rsidRPr="001F0F52" w:rsidRDefault="00BD6FB0" w:rsidP="00BD6FB0">
      <w:r>
        <w:t xml:space="preserve">Practicum placements must meet the minimum accreditation requirements in Australian Institute of Teaching and School Leadership (AITSL)’s </w:t>
      </w:r>
      <w:r>
        <w:rPr>
          <w:i/>
          <w:iCs/>
        </w:rPr>
        <w:t>Accreditation Standards and Procedures</w:t>
      </w:r>
      <w:r>
        <w:t xml:space="preserve"> – </w:t>
      </w:r>
      <w:r w:rsidRPr="00537D1E">
        <w:t>at least 80 days for undergraduate and 60 days for postgraduate programs</w:t>
      </w:r>
      <w:r>
        <w:t xml:space="preserve">. Placements </w:t>
      </w:r>
      <w:r w:rsidRPr="00604214">
        <w:t xml:space="preserve">must </w:t>
      </w:r>
      <w:r>
        <w:t>also be</w:t>
      </w:r>
      <w:r w:rsidRPr="00604214">
        <w:t xml:space="preserve"> supervised and assessed</w:t>
      </w:r>
      <w:r>
        <w:t>,</w:t>
      </w:r>
      <w:r w:rsidRPr="00604214">
        <w:t xml:space="preserve"> undertaken over a ‘substantial and sustained period’, </w:t>
      </w:r>
      <w:r>
        <w:t xml:space="preserve">and delivered </w:t>
      </w:r>
      <w:r w:rsidRPr="00604214">
        <w:t>mostly in Australia</w:t>
      </w:r>
      <w:r>
        <w:t>n and</w:t>
      </w:r>
      <w:r w:rsidRPr="00604214">
        <w:t xml:space="preserve"> recogni</w:t>
      </w:r>
      <w:r>
        <w:t>s</w:t>
      </w:r>
      <w:r w:rsidRPr="00604214">
        <w:t>ed school settings.</w:t>
      </w:r>
    </w:p>
    <w:p w14:paraId="399EFB23" w14:textId="6BF214FF" w:rsidR="00434873" w:rsidRDefault="00BD6FB0" w:rsidP="00434873">
      <w:r>
        <w:t xml:space="preserve">The application of these standards </w:t>
      </w:r>
      <w:r w:rsidR="00DF4CAF">
        <w:t>is</w:t>
      </w:r>
      <w:r>
        <w:t xml:space="preserve"> assessed by the</w:t>
      </w:r>
      <w:r>
        <w:t xml:space="preserve"> relevant</w:t>
      </w:r>
      <w:r>
        <w:t xml:space="preserve"> </w:t>
      </w:r>
      <w:r>
        <w:t>teacher regulatory authority (TRA)</w:t>
      </w:r>
      <w:r>
        <w:t xml:space="preserve"> in each jurisdiction</w:t>
      </w:r>
      <w:r>
        <w:t>.</w:t>
      </w:r>
      <w:r>
        <w:t xml:space="preserve"> </w:t>
      </w:r>
      <w:r w:rsidR="00DF4CAF">
        <w:t>The QITE review found that there is</w:t>
      </w:r>
      <w:r w:rsidR="42B67276">
        <w:t xml:space="preserve"> limited transparent moderation to give confidence that </w:t>
      </w:r>
      <w:r w:rsidR="000C5E1A">
        <w:t>TRAs</w:t>
      </w:r>
      <w:r w:rsidR="42B67276">
        <w:t xml:space="preserve"> are assessing ITE programs against these standards </w:t>
      </w:r>
      <w:r w:rsidR="000C5E1A">
        <w:t>in a consistent way</w:t>
      </w:r>
      <w:r w:rsidR="42B67276">
        <w:t xml:space="preserve">. This allows for varied interpretations of the </w:t>
      </w:r>
      <w:r w:rsidR="2864C6B7">
        <w:t>standards</w:t>
      </w:r>
      <w:r w:rsidR="00AA5119">
        <w:t xml:space="preserve"> relating to practicum</w:t>
      </w:r>
      <w:r w:rsidR="2864C6B7">
        <w:t>, which in turn may result in varied delivery</w:t>
      </w:r>
      <w:r w:rsidR="00365890">
        <w:t xml:space="preserve"> by providers</w:t>
      </w:r>
      <w:r w:rsidR="2864C6B7">
        <w:t xml:space="preserve">. </w:t>
      </w:r>
      <w:r w:rsidR="00651979">
        <w:t>There are no national guidelines</w:t>
      </w:r>
      <w:r w:rsidR="00BA57ED">
        <w:t xml:space="preserve"> </w:t>
      </w:r>
      <w:r w:rsidR="007A55EA">
        <w:t>the application of the standards</w:t>
      </w:r>
      <w:r w:rsidR="00BA57ED">
        <w:t xml:space="preserve">. </w:t>
      </w:r>
      <w:r w:rsidR="2159C583">
        <w:t xml:space="preserve">While some jurisdictions have put mechanisms in place to clarify expectations for practicum design and delivery, </w:t>
      </w:r>
      <w:r w:rsidR="6BD6BDD6">
        <w:t>such as Victoria, these are not universal.</w:t>
      </w:r>
    </w:p>
    <w:p w14:paraId="23152DDB" w14:textId="0E05017D" w:rsidR="00434873" w:rsidRDefault="00434873" w:rsidP="00434873">
      <w:r>
        <w:t xml:space="preserve">For example, </w:t>
      </w:r>
      <w:r w:rsidR="00381334">
        <w:t>the standards require placements to be</w:t>
      </w:r>
      <w:r>
        <w:t xml:space="preserve"> ‘as diverse as practicable’. Providers and TRAs </w:t>
      </w:r>
      <w:r w:rsidR="4179DEB8">
        <w:t xml:space="preserve">could </w:t>
      </w:r>
      <w:r>
        <w:t>interpret ‘diverse’ as:</w:t>
      </w:r>
    </w:p>
    <w:p w14:paraId="7E8CF09D" w14:textId="055D209C" w:rsidR="00434873" w:rsidRDefault="00434873" w:rsidP="00D96B63">
      <w:pPr>
        <w:pStyle w:val="ListParagraph"/>
        <w:numPr>
          <w:ilvl w:val="0"/>
          <w:numId w:val="34"/>
        </w:numPr>
      </w:pPr>
      <w:r w:rsidRPr="00B86932">
        <w:rPr>
          <w:b/>
        </w:rPr>
        <w:t>differing student cohorts</w:t>
      </w:r>
      <w:r>
        <w:t xml:space="preserve"> </w:t>
      </w:r>
      <w:r w:rsidR="00B86932">
        <w:t>–</w:t>
      </w:r>
      <w:r>
        <w:t xml:space="preserve"> diverse locations, cultural backgrounds or socio-economic </w:t>
      </w:r>
      <w:proofErr w:type="gramStart"/>
      <w:r>
        <w:t>status;</w:t>
      </w:r>
      <w:proofErr w:type="gramEnd"/>
    </w:p>
    <w:p w14:paraId="7FF7B0DD" w14:textId="7B2CEBC0" w:rsidR="00434873" w:rsidRDefault="00434873" w:rsidP="00D96B63">
      <w:pPr>
        <w:pStyle w:val="ListParagraph"/>
        <w:numPr>
          <w:ilvl w:val="0"/>
          <w:numId w:val="34"/>
        </w:numPr>
      </w:pPr>
      <w:r w:rsidRPr="00B86932">
        <w:rPr>
          <w:b/>
        </w:rPr>
        <w:t>varied stages of the school calendar</w:t>
      </w:r>
      <w:r>
        <w:t xml:space="preserve"> </w:t>
      </w:r>
      <w:r w:rsidR="00B86932">
        <w:t>–</w:t>
      </w:r>
      <w:r>
        <w:t xml:space="preserve"> initial term planning, end of year student </w:t>
      </w:r>
      <w:proofErr w:type="gramStart"/>
      <w:r>
        <w:t>assessment;</w:t>
      </w:r>
      <w:proofErr w:type="gramEnd"/>
    </w:p>
    <w:p w14:paraId="5C491BF9" w14:textId="176C1ABF" w:rsidR="00434873" w:rsidRDefault="00434873" w:rsidP="00D96B63">
      <w:pPr>
        <w:pStyle w:val="ListParagraph"/>
        <w:numPr>
          <w:ilvl w:val="0"/>
          <w:numId w:val="34"/>
        </w:numPr>
      </w:pPr>
      <w:r w:rsidRPr="00B86932">
        <w:rPr>
          <w:b/>
        </w:rPr>
        <w:t>different practicum tasks</w:t>
      </w:r>
      <w:r>
        <w:t xml:space="preserve"> </w:t>
      </w:r>
      <w:r w:rsidR="00B86932">
        <w:t>–</w:t>
      </w:r>
      <w:r>
        <w:t xml:space="preserve"> observing or teaching under supervision; and</w:t>
      </w:r>
    </w:p>
    <w:p w14:paraId="7BC30BE0" w14:textId="173A2215" w:rsidR="00434873" w:rsidRDefault="00434873" w:rsidP="00D96B63">
      <w:pPr>
        <w:pStyle w:val="ListParagraph"/>
        <w:numPr>
          <w:ilvl w:val="0"/>
          <w:numId w:val="34"/>
        </w:numPr>
      </w:pPr>
      <w:r w:rsidRPr="00B86932">
        <w:rPr>
          <w:b/>
        </w:rPr>
        <w:t>different student year levels</w:t>
      </w:r>
      <w:r>
        <w:t xml:space="preserve"> </w:t>
      </w:r>
      <w:r w:rsidR="00B86932">
        <w:t>–</w:t>
      </w:r>
      <w:r>
        <w:t xml:space="preserve"> junior or </w:t>
      </w:r>
      <w:r w:rsidR="00166E55">
        <w:t>senior</w:t>
      </w:r>
      <w:r>
        <w:t xml:space="preserve"> school.</w:t>
      </w:r>
    </w:p>
    <w:p w14:paraId="04AB8A36" w14:textId="77777777" w:rsidR="00434873" w:rsidRDefault="00434873" w:rsidP="00434873">
      <w:r>
        <w:t xml:space="preserve">However, keeping the standards relatively open-ended ensures schools and providers have the flexibility they need to accommodate a wide range of school and student circumstances. For example, ITE students in the NT are based in ‘badged/demonstration’ schools while also being required to engage in community-based projects to improve their understanding of local communities. Practicum funding is allocated to a weekly professional development program driven by the needs of 10-12 ITE students. This delivery flexibility helps to empower regional actors to organise practicum according to unique community needs, including those of highly transient and hard-to-reach populations. </w:t>
      </w:r>
    </w:p>
    <w:p w14:paraId="43E1FA95" w14:textId="197799A4" w:rsidR="00434873" w:rsidRDefault="00434873" w:rsidP="00434873">
      <w:r>
        <w:t xml:space="preserve">Flexibility may produce additional administrative burden for schools required to manage variable provider requirements. For example, a growing number of Tasmanian ITE students are seeking interstate qualifications online beyond the sole </w:t>
      </w:r>
      <w:r>
        <w:lastRenderedPageBreak/>
        <w:t xml:space="preserve">option of the University of Tasmania. Many Tasmanian schools are tasked with </w:t>
      </w:r>
      <w:r w:rsidR="00894212">
        <w:t>delivering</w:t>
      </w:r>
      <w:r>
        <w:t xml:space="preserve"> local practicum experiences for a range of ITE students </w:t>
      </w:r>
      <w:r w:rsidR="00894212">
        <w:t>and</w:t>
      </w:r>
      <w:r>
        <w:t xml:space="preserve"> interstate </w:t>
      </w:r>
      <w:r w:rsidR="00894212">
        <w:t xml:space="preserve">provider </w:t>
      </w:r>
      <w:r>
        <w:t>requirements (and paperwork), creating confusion and inefficiencies.</w:t>
      </w:r>
    </w:p>
    <w:p w14:paraId="78074176" w14:textId="77777777" w:rsidR="0056667E" w:rsidRDefault="0056667E" w:rsidP="00434873">
      <w:pPr>
        <w:rPr>
          <w:b/>
          <w:bCs/>
        </w:rPr>
      </w:pPr>
    </w:p>
    <w:p w14:paraId="4F56EC1C" w14:textId="45CBDE27" w:rsidR="00434873" w:rsidRPr="008A6DF3" w:rsidRDefault="00434873" w:rsidP="008A6DF3">
      <w:pPr>
        <w:pStyle w:val="Heading3"/>
      </w:pPr>
      <w:r>
        <w:t xml:space="preserve">Limited teacher mentor capacity, capability, and incentives to mentor ITE students </w:t>
      </w:r>
    </w:p>
    <w:p w14:paraId="54ACE109" w14:textId="1C3AF400" w:rsidR="00434873" w:rsidRDefault="00434873" w:rsidP="00434873">
      <w:pPr>
        <w:rPr>
          <w:rFonts w:ascii="Arial Narrow" w:eastAsia="Arial Narrow" w:hAnsi="Arial Narrow" w:cs="Arial Narrow"/>
          <w:lang w:val="en-US"/>
        </w:rPr>
      </w:pPr>
      <w:r w:rsidRPr="26CC4756">
        <w:rPr>
          <w:rFonts w:ascii="Arial Narrow" w:eastAsia="Arial Narrow" w:hAnsi="Arial Narrow" w:cs="Arial Narrow"/>
        </w:rPr>
        <w:t>Many teachers</w:t>
      </w:r>
      <w:r w:rsidR="328BDA39" w:rsidRPr="26CC4756">
        <w:rPr>
          <w:rFonts w:ascii="Arial Narrow" w:eastAsia="Arial Narrow" w:hAnsi="Arial Narrow" w:cs="Arial Narrow"/>
        </w:rPr>
        <w:t xml:space="preserve"> feel they</w:t>
      </w:r>
      <w:r w:rsidRPr="26CC4756">
        <w:rPr>
          <w:rFonts w:ascii="Arial Narrow" w:eastAsia="Arial Narrow" w:hAnsi="Arial Narrow" w:cs="Arial Narrow"/>
        </w:rPr>
        <w:t xml:space="preserve"> do not have </w:t>
      </w:r>
      <w:r w:rsidR="7A5FC69C" w:rsidRPr="26CC4756">
        <w:rPr>
          <w:rFonts w:ascii="Arial Narrow" w:eastAsia="Arial Narrow" w:hAnsi="Arial Narrow" w:cs="Arial Narrow"/>
        </w:rPr>
        <w:t xml:space="preserve">enough </w:t>
      </w:r>
      <w:r w:rsidRPr="26CC4756">
        <w:rPr>
          <w:rFonts w:ascii="Arial Narrow" w:eastAsia="Arial Narrow" w:hAnsi="Arial Narrow" w:cs="Arial Narrow"/>
        </w:rPr>
        <w:t xml:space="preserve">time to mentor </w:t>
      </w:r>
      <w:r>
        <w:t>ITE students beyond their existing teaching demands</w:t>
      </w:r>
      <w:r w:rsidRPr="26CC4756">
        <w:rPr>
          <w:rFonts w:ascii="Arial Narrow" w:eastAsia="Arial Narrow" w:hAnsi="Arial Narrow" w:cs="Arial Narrow"/>
        </w:rPr>
        <w:t xml:space="preserve">. This may result in the supply of willing and available mentor teachers not meeting demand, reducing overall placement availability. </w:t>
      </w:r>
    </w:p>
    <w:p w14:paraId="07420192" w14:textId="071B0FDE" w:rsidR="00434873" w:rsidRDefault="00434873" w:rsidP="00434873">
      <w:pPr>
        <w:rPr>
          <w:rFonts w:ascii="Arial Narrow" w:eastAsia="Arial Narrow" w:hAnsi="Arial Narrow" w:cs="Arial Narrow"/>
          <w:color w:val="auto"/>
          <w:lang w:val="en-US"/>
        </w:rPr>
      </w:pPr>
      <w:r w:rsidRPr="26CC4756">
        <w:rPr>
          <w:rFonts w:ascii="Arial Narrow" w:eastAsia="Arial Narrow" w:hAnsi="Arial Narrow" w:cs="Arial Narrow"/>
          <w:lang w:val="en-US"/>
        </w:rPr>
        <w:t>Even if teachers do have the capacity, they may lack the capability to effectively mentor PSTs and deliver a high-quality practicum experience.</w:t>
      </w:r>
      <w:r w:rsidRPr="26CC4756">
        <w:rPr>
          <w:rFonts w:ascii="Arial Narrow" w:eastAsia="Arial Narrow" w:hAnsi="Arial Narrow" w:cs="Arial Narrow"/>
          <w:color w:val="auto"/>
          <w:lang w:val="en-US"/>
        </w:rPr>
        <w:t xml:space="preserve"> </w:t>
      </w:r>
      <w:r w:rsidRPr="26CC4756">
        <w:rPr>
          <w:color w:val="auto"/>
        </w:rPr>
        <w:t xml:space="preserve">Current processes for selecting mentors are typically ad-hoc and unstructured. Poorly </w:t>
      </w:r>
      <w:r w:rsidR="002A2B7F" w:rsidRPr="26CC4756">
        <w:rPr>
          <w:color w:val="auto"/>
        </w:rPr>
        <w:t>planned</w:t>
      </w:r>
      <w:r w:rsidRPr="26CC4756">
        <w:rPr>
          <w:color w:val="auto"/>
        </w:rPr>
        <w:t xml:space="preserve"> selection can lead to high variation in a school’s </w:t>
      </w:r>
      <w:r w:rsidR="005E68E9" w:rsidRPr="26CC4756">
        <w:rPr>
          <w:color w:val="auto"/>
        </w:rPr>
        <w:t>mentor</w:t>
      </w:r>
      <w:r w:rsidRPr="26CC4756">
        <w:rPr>
          <w:color w:val="auto"/>
        </w:rPr>
        <w:t xml:space="preserve"> cohort in terms of experience, </w:t>
      </w:r>
      <w:proofErr w:type="gramStart"/>
      <w:r w:rsidRPr="26CC4756">
        <w:rPr>
          <w:color w:val="auto"/>
        </w:rPr>
        <w:t>capability</w:t>
      </w:r>
      <w:proofErr w:type="gramEnd"/>
      <w:r w:rsidRPr="26CC4756">
        <w:rPr>
          <w:color w:val="auto"/>
        </w:rPr>
        <w:t xml:space="preserve"> and investment in the role. </w:t>
      </w:r>
      <w:r w:rsidRPr="26CC4756">
        <w:rPr>
          <w:rFonts w:ascii="Arial Narrow" w:eastAsia="Arial Narrow" w:hAnsi="Arial Narrow" w:cs="Arial Narrow"/>
          <w:color w:val="auto"/>
          <w:lang w:val="en-US"/>
        </w:rPr>
        <w:t xml:space="preserve">Mentors may also be unaware of – or lack access to – professional development opportunities that would improve their capability. </w:t>
      </w:r>
      <w:r w:rsidR="45C29514" w:rsidRPr="26CC4756">
        <w:rPr>
          <w:rFonts w:ascii="Arial Narrow" w:eastAsia="Arial Narrow" w:hAnsi="Arial Narrow" w:cs="Arial Narrow"/>
          <w:color w:val="auto"/>
          <w:lang w:val="en-US"/>
        </w:rPr>
        <w:t xml:space="preserve">For example, </w:t>
      </w:r>
      <w:r w:rsidR="009B5F4D">
        <w:rPr>
          <w:rFonts w:ascii="Arial Narrow" w:eastAsia="Arial Narrow" w:hAnsi="Arial Narrow" w:cs="Arial Narrow"/>
          <w:color w:val="auto"/>
          <w:lang w:val="en-US"/>
        </w:rPr>
        <w:t>one survey</w:t>
      </w:r>
      <w:r w:rsidR="45C29514" w:rsidRPr="26CC4756">
        <w:rPr>
          <w:rFonts w:ascii="Arial Narrow" w:eastAsia="Arial Narrow" w:hAnsi="Arial Narrow" w:cs="Arial Narrow"/>
          <w:color w:val="auto"/>
          <w:lang w:val="en-US"/>
        </w:rPr>
        <w:t xml:space="preserve"> saw 55 percent of respondents reporting that their mentor teachers had not completed related professional learning the previous year</w:t>
      </w:r>
      <w:r w:rsidR="009B5F4D">
        <w:rPr>
          <w:rFonts w:ascii="Arial Narrow" w:eastAsia="Arial Narrow" w:hAnsi="Arial Narrow" w:cs="Arial Narrow"/>
          <w:color w:val="auto"/>
          <w:lang w:val="en-US"/>
        </w:rPr>
        <w:t>.</w:t>
      </w:r>
      <w:r w:rsidRPr="26CC4756">
        <w:rPr>
          <w:rStyle w:val="FootnoteReference"/>
          <w:rFonts w:ascii="Arial Narrow" w:eastAsia="Arial Narrow" w:hAnsi="Arial Narrow" w:cs="Arial Narrow"/>
          <w:color w:val="auto"/>
          <w:lang w:val="en-US"/>
        </w:rPr>
        <w:footnoteReference w:id="3"/>
      </w:r>
      <w:r w:rsidR="45C29514" w:rsidRPr="26CC4756">
        <w:rPr>
          <w:rFonts w:ascii="Arial Narrow" w:eastAsia="Arial Narrow" w:hAnsi="Arial Narrow" w:cs="Arial Narrow"/>
          <w:color w:val="auto"/>
          <w:lang w:val="en-US"/>
        </w:rPr>
        <w:t xml:space="preserve"> </w:t>
      </w:r>
      <w:r w:rsidRPr="26CC4756">
        <w:rPr>
          <w:rFonts w:ascii="Arial Narrow" w:eastAsia="Arial Narrow" w:hAnsi="Arial Narrow" w:cs="Arial Narrow"/>
          <w:color w:val="auto"/>
        </w:rPr>
        <w:t>F</w:t>
      </w:r>
      <w:r w:rsidR="3AE88791" w:rsidRPr="26CC4756">
        <w:rPr>
          <w:rFonts w:ascii="Arial Narrow" w:eastAsia="Arial Narrow" w:hAnsi="Arial Narrow" w:cs="Arial Narrow"/>
          <w:color w:val="auto"/>
        </w:rPr>
        <w:t>urther</w:t>
      </w:r>
      <w:r w:rsidRPr="26CC4756">
        <w:rPr>
          <w:rFonts w:ascii="Arial Narrow" w:eastAsia="Arial Narrow" w:hAnsi="Arial Narrow" w:cs="Arial Narrow"/>
          <w:color w:val="auto"/>
        </w:rPr>
        <w:t xml:space="preserve">, an evaluation of AITSL’s Supervising Preservice Teachers program demonstrated that while the program was effective, many teachers were unaware of its benefits.  </w:t>
      </w:r>
    </w:p>
    <w:p w14:paraId="0A42F5B7" w14:textId="5FC78BA4" w:rsidR="00434873" w:rsidRDefault="00434873" w:rsidP="26CC4756">
      <w:pPr>
        <w:rPr>
          <w:rStyle w:val="FootnoteReference"/>
          <w:color w:val="auto"/>
        </w:rPr>
      </w:pPr>
      <w:r w:rsidRPr="26CC4756">
        <w:rPr>
          <w:rFonts w:ascii="Arial Narrow" w:eastAsia="Arial Narrow" w:hAnsi="Arial Narrow" w:cs="Arial Narrow"/>
          <w:color w:val="auto"/>
        </w:rPr>
        <w:t xml:space="preserve">There is also minimal professional recognition and resource support for mentors. </w:t>
      </w:r>
      <w:r w:rsidR="5494B40E" w:rsidRPr="26CC4756">
        <w:rPr>
          <w:rFonts w:ascii="Arial Narrow" w:eastAsia="Arial Narrow" w:hAnsi="Arial Narrow" w:cs="Arial Narrow"/>
          <w:color w:val="auto"/>
        </w:rPr>
        <w:t>For example, mentor</w:t>
      </w:r>
      <w:r w:rsidR="00B649F4">
        <w:rPr>
          <w:rFonts w:ascii="Arial Narrow" w:eastAsia="Arial Narrow" w:hAnsi="Arial Narrow" w:cs="Arial Narrow"/>
          <w:color w:val="auto"/>
        </w:rPr>
        <w:t>ing ITE students</w:t>
      </w:r>
      <w:r w:rsidR="5494B40E" w:rsidRPr="26CC4756">
        <w:rPr>
          <w:rFonts w:ascii="Arial Narrow" w:eastAsia="Arial Narrow" w:hAnsi="Arial Narrow" w:cs="Arial Narrow"/>
          <w:color w:val="auto"/>
        </w:rPr>
        <w:t xml:space="preserve"> no longer contributes towards professional learning for teacher re-accreditation. </w:t>
      </w:r>
      <w:r w:rsidRPr="26CC4756">
        <w:rPr>
          <w:rFonts w:ascii="Arial Narrow" w:eastAsia="Arial Narrow" w:hAnsi="Arial Narrow" w:cs="Arial Narrow"/>
          <w:color w:val="auto"/>
        </w:rPr>
        <w:t>Teachers may receive some additional renumeration in acknowledgement of their efforts, but this is often not accompanied by a reduction in normal teaching workload. At the same time</w:t>
      </w:r>
      <w:r w:rsidR="00776986">
        <w:rPr>
          <w:rFonts w:ascii="Arial Narrow" w:eastAsia="Arial Narrow" w:hAnsi="Arial Narrow" w:cs="Arial Narrow"/>
          <w:color w:val="auto"/>
        </w:rPr>
        <w:t xml:space="preserve">, stakeholder expressed concerns </w:t>
      </w:r>
      <w:r w:rsidRPr="26CC4756">
        <w:rPr>
          <w:color w:val="auto"/>
        </w:rPr>
        <w:t xml:space="preserve">that </w:t>
      </w:r>
      <w:r w:rsidR="00C71694">
        <w:rPr>
          <w:color w:val="auto"/>
        </w:rPr>
        <w:t>‘top up’</w:t>
      </w:r>
      <w:r w:rsidRPr="26CC4756">
        <w:rPr>
          <w:color w:val="auto"/>
        </w:rPr>
        <w:t xml:space="preserve"> renumeration may perversely divert focus from high-quality mentoring </w:t>
      </w:r>
      <w:r w:rsidR="5A92F8D0" w:rsidRPr="26CC4756">
        <w:rPr>
          <w:color w:val="auto"/>
        </w:rPr>
        <w:t xml:space="preserve">to reimbursement, </w:t>
      </w:r>
      <w:r w:rsidRPr="26CC4756">
        <w:rPr>
          <w:color w:val="auto"/>
        </w:rPr>
        <w:t xml:space="preserve">or </w:t>
      </w:r>
      <w:r w:rsidR="1268F5FC" w:rsidRPr="26CC4756">
        <w:rPr>
          <w:color w:val="auto"/>
        </w:rPr>
        <w:t xml:space="preserve">explicitly </w:t>
      </w:r>
      <w:r w:rsidRPr="26CC4756">
        <w:rPr>
          <w:color w:val="auto"/>
        </w:rPr>
        <w:t xml:space="preserve">position </w:t>
      </w:r>
      <w:r w:rsidR="1F11AC62" w:rsidRPr="26CC4756">
        <w:rPr>
          <w:color w:val="auto"/>
        </w:rPr>
        <w:t xml:space="preserve">mentoring </w:t>
      </w:r>
      <w:r w:rsidRPr="26CC4756">
        <w:rPr>
          <w:color w:val="auto"/>
        </w:rPr>
        <w:t>as ‘additional’ rather than core teaching business.</w:t>
      </w:r>
    </w:p>
    <w:p w14:paraId="45D91F62" w14:textId="77777777" w:rsidR="00434873" w:rsidRDefault="00434873" w:rsidP="00434873">
      <w:pPr>
        <w:rPr>
          <w:color w:val="auto"/>
        </w:rPr>
      </w:pPr>
    </w:p>
    <w:p w14:paraId="3595CB64" w14:textId="5EA34381" w:rsidR="00434873" w:rsidRPr="008A6DF3" w:rsidRDefault="00434873" w:rsidP="008A6DF3">
      <w:pPr>
        <w:pStyle w:val="Heading3"/>
      </w:pPr>
      <w:r>
        <w:t xml:space="preserve">Ineffective formal provider-school partnerships </w:t>
      </w:r>
    </w:p>
    <w:p w14:paraId="389C650D" w14:textId="4DC2BF21" w:rsidR="00434873" w:rsidRPr="00EE129F" w:rsidRDefault="00434873" w:rsidP="00434873">
      <w:pPr>
        <w:pStyle w:val="NoSpacing"/>
      </w:pPr>
      <w:r>
        <w:t xml:space="preserve">In most jurisdictions, practicum coordination processes are decentralised and reliant on individual providers (or even ITE students themselves). </w:t>
      </w:r>
      <w:r w:rsidR="005A06B2">
        <w:t>This is often the case e</w:t>
      </w:r>
      <w:r w:rsidR="20AD5C08">
        <w:t>ven when there are provider-school agreements in place</w:t>
      </w:r>
      <w:r w:rsidR="00D71A8B">
        <w:t xml:space="preserve">, particularly where these agreements are not </w:t>
      </w:r>
      <w:r w:rsidR="149B5CB6">
        <w:t xml:space="preserve">appropriately </w:t>
      </w:r>
      <w:r>
        <w:t>designed or implemented</w:t>
      </w:r>
      <w:r w:rsidR="00D71A8B">
        <w:t>.</w:t>
      </w:r>
    </w:p>
    <w:p w14:paraId="6A59532A" w14:textId="77777777" w:rsidR="00CE6B23" w:rsidRDefault="00CE6B23" w:rsidP="00CE6B23">
      <w:pPr>
        <w:pStyle w:val="NoSpacing"/>
      </w:pPr>
      <w:r>
        <w:t xml:space="preserve">This can result in inconsistent, inefficient, ad-hoc ITE student to school matching process, which may be evidenced by </w:t>
      </w:r>
    </w:p>
    <w:p w14:paraId="7FD859CE" w14:textId="77777777" w:rsidR="00CE6B23" w:rsidRDefault="00CE6B23" w:rsidP="00D96B63">
      <w:pPr>
        <w:pStyle w:val="ListParagraph"/>
        <w:numPr>
          <w:ilvl w:val="0"/>
          <w:numId w:val="39"/>
        </w:numPr>
      </w:pPr>
      <w:r>
        <w:t xml:space="preserve">competition between providers to obtain practicum </w:t>
      </w:r>
      <w:proofErr w:type="gramStart"/>
      <w:r>
        <w:t>placements;</w:t>
      </w:r>
      <w:proofErr w:type="gramEnd"/>
    </w:p>
    <w:p w14:paraId="29FA3517" w14:textId="77777777" w:rsidR="00CE6B23" w:rsidRDefault="00CE6B23" w:rsidP="00D96B63">
      <w:pPr>
        <w:pStyle w:val="ListParagraph"/>
        <w:numPr>
          <w:ilvl w:val="0"/>
          <w:numId w:val="39"/>
        </w:numPr>
      </w:pPr>
      <w:r>
        <w:t xml:space="preserve">difficulty matching ITE students with an appropriate school for their subject specialisation and skill </w:t>
      </w:r>
      <w:proofErr w:type="gramStart"/>
      <w:r>
        <w:t>level;</w:t>
      </w:r>
      <w:proofErr w:type="gramEnd"/>
    </w:p>
    <w:p w14:paraId="7ED37391" w14:textId="77777777" w:rsidR="00CE6B23" w:rsidRDefault="00CE6B23" w:rsidP="00D96B63">
      <w:pPr>
        <w:pStyle w:val="ListParagraph"/>
        <w:numPr>
          <w:ilvl w:val="0"/>
          <w:numId w:val="39"/>
        </w:numPr>
      </w:pPr>
      <w:r>
        <w:t>rushed placement arrangements and minimal time for ITE student preparation.</w:t>
      </w:r>
    </w:p>
    <w:p w14:paraId="5872557E" w14:textId="77777777" w:rsidR="00CE6B23" w:rsidRDefault="00CE6B23" w:rsidP="00CE6B23">
      <w:pPr>
        <w:pStyle w:val="NoSpacing"/>
      </w:pPr>
      <w:r>
        <w:t>Once an ITE student is placed in a school, the partnerships themselves may be ineffective, which may involve:</w:t>
      </w:r>
    </w:p>
    <w:p w14:paraId="3546A78E" w14:textId="77777777" w:rsidR="00CE6B23" w:rsidRDefault="00CE6B23" w:rsidP="00D96B63">
      <w:pPr>
        <w:pStyle w:val="ListParagraph"/>
        <w:numPr>
          <w:ilvl w:val="0"/>
          <w:numId w:val="39"/>
        </w:numPr>
      </w:pPr>
      <w:r>
        <w:t xml:space="preserve">lacking communication channels between provider and </w:t>
      </w:r>
      <w:proofErr w:type="gramStart"/>
      <w:r>
        <w:t>school;</w:t>
      </w:r>
      <w:proofErr w:type="gramEnd"/>
      <w:r>
        <w:t xml:space="preserve"> </w:t>
      </w:r>
    </w:p>
    <w:p w14:paraId="7296B1D3" w14:textId="77777777" w:rsidR="00CE6B23" w:rsidRDefault="00CE6B23" w:rsidP="00D96B63">
      <w:pPr>
        <w:pStyle w:val="ListParagraph"/>
        <w:numPr>
          <w:ilvl w:val="0"/>
          <w:numId w:val="39"/>
        </w:numPr>
      </w:pPr>
      <w:r>
        <w:lastRenderedPageBreak/>
        <w:t xml:space="preserve">mismatched expectations regarding </w:t>
      </w:r>
      <w:proofErr w:type="gramStart"/>
      <w:r>
        <w:t>responsibilities;</w:t>
      </w:r>
      <w:proofErr w:type="gramEnd"/>
      <w:r>
        <w:t xml:space="preserve"> </w:t>
      </w:r>
    </w:p>
    <w:p w14:paraId="1A30D12F" w14:textId="77777777" w:rsidR="00CE6B23" w:rsidRDefault="00CE6B23" w:rsidP="00D96B63">
      <w:pPr>
        <w:pStyle w:val="ListParagraph"/>
        <w:numPr>
          <w:ilvl w:val="0"/>
          <w:numId w:val="39"/>
        </w:numPr>
      </w:pPr>
      <w:r>
        <w:t>differences between provider theory and school teaching practice; and</w:t>
      </w:r>
    </w:p>
    <w:p w14:paraId="5DD5B058" w14:textId="77777777" w:rsidR="00CE6B23" w:rsidRDefault="00CE6B23" w:rsidP="00D96B63">
      <w:pPr>
        <w:pStyle w:val="ListParagraph"/>
        <w:numPr>
          <w:ilvl w:val="0"/>
          <w:numId w:val="39"/>
        </w:numPr>
      </w:pPr>
      <w:r>
        <w:t xml:space="preserve">decontextualised delivery of provider theory without adequate preparation for the realities of a classroom. </w:t>
      </w:r>
    </w:p>
    <w:p w14:paraId="4EA89E88" w14:textId="48CA5C94" w:rsidR="00434873" w:rsidRPr="00EE129F" w:rsidRDefault="02BC252F" w:rsidP="26CC4756">
      <w:pPr>
        <w:pStyle w:val="NoSpacing"/>
      </w:pPr>
      <w:r>
        <w:t>Current partnerships may not always be mutually beneficial. For instance, t</w:t>
      </w:r>
      <w:r w:rsidR="00434873">
        <w:t xml:space="preserve">here may be a greater incentive for providers to ensure ITE students meet </w:t>
      </w:r>
      <w:r w:rsidR="002A6FEF">
        <w:t xml:space="preserve">the </w:t>
      </w:r>
      <w:r w:rsidR="00434873">
        <w:t>Graduate</w:t>
      </w:r>
      <w:r w:rsidR="002A6FEF">
        <w:t>-level</w:t>
      </w:r>
      <w:r w:rsidR="00434873">
        <w:t xml:space="preserve"> </w:t>
      </w:r>
      <w:r w:rsidR="002A6FEF">
        <w:t>teacher s</w:t>
      </w:r>
      <w:r w:rsidR="00434873">
        <w:t>tandards rather than have a positive experience</w:t>
      </w:r>
      <w:r w:rsidR="00DE3B3E">
        <w:t xml:space="preserve">. </w:t>
      </w:r>
      <w:r w:rsidR="4CB6B423">
        <w:t>By contrast</w:t>
      </w:r>
      <w:r w:rsidR="6020C5A3">
        <w:t>, s</w:t>
      </w:r>
      <w:r w:rsidR="00DE3B3E">
        <w:t xml:space="preserve">chools are not obligated </w:t>
      </w:r>
      <w:r w:rsidR="09063D09">
        <w:t xml:space="preserve">to host </w:t>
      </w:r>
      <w:r w:rsidR="002A6FEF">
        <w:t xml:space="preserve">students </w:t>
      </w:r>
      <w:r w:rsidR="00DE3B3E">
        <w:t xml:space="preserve">and may have </w:t>
      </w:r>
      <w:r w:rsidR="00434873">
        <w:t>limited capacity to accommodate high-quality</w:t>
      </w:r>
      <w:r w:rsidR="00DE3B3E">
        <w:t xml:space="preserve"> </w:t>
      </w:r>
      <w:r w:rsidR="00434873">
        <w:t>practicum</w:t>
      </w:r>
      <w:r w:rsidR="006B6CD8">
        <w:t xml:space="preserve"> placements</w:t>
      </w:r>
      <w:r w:rsidR="00434873">
        <w:t xml:space="preserve">. </w:t>
      </w:r>
    </w:p>
    <w:p w14:paraId="0CCBE7A6" w14:textId="3E0FB6E8" w:rsidR="00BE0461" w:rsidRDefault="00BE0461">
      <w:pPr>
        <w:spacing w:after="240" w:line="240" w:lineRule="auto"/>
        <w:rPr>
          <w:rFonts w:asciiTheme="majorHAnsi" w:hAnsiTheme="majorHAnsi"/>
          <w:color w:val="931B2F" w:themeColor="background2"/>
          <w:sz w:val="32"/>
        </w:rPr>
      </w:pPr>
    </w:p>
    <w:p w14:paraId="09ADD83A" w14:textId="76D0FFBB" w:rsidR="00434873" w:rsidRPr="00155A1A" w:rsidRDefault="00434873" w:rsidP="00D559DB">
      <w:pPr>
        <w:pStyle w:val="Heading2"/>
      </w:pPr>
      <w:r>
        <w:t xml:space="preserve">Compounding </w:t>
      </w:r>
      <w:r w:rsidR="68B2FD71">
        <w:t>f</w:t>
      </w:r>
      <w:r>
        <w:t>actors</w:t>
      </w:r>
    </w:p>
    <w:p w14:paraId="6D4CEA68" w14:textId="51DE2A93" w:rsidR="00434873" w:rsidRPr="006B4A03" w:rsidRDefault="00434873" w:rsidP="006B4A03">
      <w:pPr>
        <w:pStyle w:val="Heading3"/>
      </w:pPr>
      <w:r>
        <w:t xml:space="preserve">Teacher workforce pressures </w:t>
      </w:r>
    </w:p>
    <w:p w14:paraId="795A1B46" w14:textId="6C275443" w:rsidR="005E68E9" w:rsidRDefault="00434873" w:rsidP="00434873">
      <w:pPr>
        <w:rPr>
          <w:rFonts w:ascii="Arial Narrow" w:eastAsia="Arial Narrow" w:hAnsi="Arial Narrow" w:cs="Arial Narrow"/>
        </w:rPr>
      </w:pPr>
      <w:r w:rsidRPr="26CC4756">
        <w:rPr>
          <w:rFonts w:ascii="Arial Narrow" w:eastAsia="Arial Narrow" w:hAnsi="Arial Narrow" w:cs="Arial Narrow"/>
        </w:rPr>
        <w:t xml:space="preserve">There is </w:t>
      </w:r>
      <w:r w:rsidR="38740955" w:rsidRPr="26CC4756">
        <w:rPr>
          <w:rFonts w:ascii="Arial Narrow" w:eastAsia="Arial Narrow" w:hAnsi="Arial Narrow" w:cs="Arial Narrow"/>
        </w:rPr>
        <w:t xml:space="preserve">currently </w:t>
      </w:r>
      <w:r w:rsidRPr="26CC4756">
        <w:rPr>
          <w:rFonts w:ascii="Arial Narrow" w:eastAsia="Arial Narrow" w:hAnsi="Arial Narrow" w:cs="Arial Narrow"/>
        </w:rPr>
        <w:t>a national teacher shortage</w:t>
      </w:r>
      <w:r w:rsidR="17B440BD" w:rsidRPr="26CC4756">
        <w:rPr>
          <w:rFonts w:ascii="Arial Narrow" w:eastAsia="Arial Narrow" w:hAnsi="Arial Narrow" w:cs="Arial Narrow"/>
        </w:rPr>
        <w:t>. M</w:t>
      </w:r>
      <w:r w:rsidR="703044DA" w:rsidRPr="26CC4756">
        <w:rPr>
          <w:rFonts w:ascii="Arial Narrow" w:eastAsia="Arial Narrow" w:hAnsi="Arial Narrow" w:cs="Arial Narrow"/>
        </w:rPr>
        <w:t xml:space="preserve">any believe that </w:t>
      </w:r>
      <w:r w:rsidR="00924A70" w:rsidRPr="26CC4756">
        <w:rPr>
          <w:rFonts w:ascii="Arial Narrow" w:eastAsia="Arial Narrow" w:hAnsi="Arial Narrow" w:cs="Arial Narrow"/>
        </w:rPr>
        <w:t>teacher workloads have increased over time</w:t>
      </w:r>
      <w:r w:rsidR="6E00B650" w:rsidRPr="26CC4756">
        <w:rPr>
          <w:rFonts w:ascii="Arial Narrow" w:eastAsia="Arial Narrow" w:hAnsi="Arial Narrow" w:cs="Arial Narrow"/>
        </w:rPr>
        <w:t xml:space="preserve">, especially </w:t>
      </w:r>
      <w:r w:rsidR="3C391A3E" w:rsidRPr="26CC4756">
        <w:rPr>
          <w:rFonts w:ascii="Arial Narrow" w:eastAsia="Arial Narrow" w:hAnsi="Arial Narrow" w:cs="Arial Narrow"/>
        </w:rPr>
        <w:t>in the administrative domain</w:t>
      </w:r>
      <w:r w:rsidRPr="26CC4756">
        <w:rPr>
          <w:rFonts w:ascii="Arial Narrow" w:eastAsia="Arial Narrow" w:hAnsi="Arial Narrow" w:cs="Arial Narrow"/>
        </w:rPr>
        <w:t xml:space="preserve">. </w:t>
      </w:r>
      <w:r w:rsidR="00924A70" w:rsidRPr="26CC4756">
        <w:rPr>
          <w:rFonts w:ascii="Arial Narrow" w:eastAsia="Arial Narrow" w:hAnsi="Arial Narrow" w:cs="Arial Narrow"/>
        </w:rPr>
        <w:t xml:space="preserve">These challenges </w:t>
      </w:r>
      <w:r w:rsidR="008E46B4" w:rsidRPr="26CC4756">
        <w:rPr>
          <w:rFonts w:ascii="Arial Narrow" w:eastAsia="Arial Narrow" w:hAnsi="Arial Narrow" w:cs="Arial Narrow"/>
        </w:rPr>
        <w:t>compound the</w:t>
      </w:r>
      <w:r w:rsidRPr="26CC4756">
        <w:rPr>
          <w:rFonts w:ascii="Arial Narrow" w:eastAsia="Arial Narrow" w:hAnsi="Arial Narrow" w:cs="Arial Narrow"/>
        </w:rPr>
        <w:t xml:space="preserve"> scarcity of potential mentors </w:t>
      </w:r>
      <w:r w:rsidR="006565D1" w:rsidRPr="26CC4756">
        <w:rPr>
          <w:rFonts w:ascii="Arial Narrow" w:eastAsia="Arial Narrow" w:hAnsi="Arial Narrow" w:cs="Arial Narrow"/>
        </w:rPr>
        <w:t>and may create some reluctance on the part of remaining</w:t>
      </w:r>
      <w:r w:rsidRPr="26CC4756">
        <w:rPr>
          <w:rFonts w:ascii="Arial Narrow" w:eastAsia="Arial Narrow" w:hAnsi="Arial Narrow" w:cs="Arial Narrow"/>
        </w:rPr>
        <w:t xml:space="preserve"> experienced teachers to go ‘above and beyond’ their existing </w:t>
      </w:r>
      <w:r w:rsidR="006565D1" w:rsidRPr="26CC4756">
        <w:rPr>
          <w:rFonts w:ascii="Arial Narrow" w:eastAsia="Arial Narrow" w:hAnsi="Arial Narrow" w:cs="Arial Narrow"/>
        </w:rPr>
        <w:t>workload</w:t>
      </w:r>
      <w:r w:rsidRPr="26CC4756">
        <w:rPr>
          <w:rFonts w:ascii="Arial Narrow" w:eastAsia="Arial Narrow" w:hAnsi="Arial Narrow" w:cs="Arial Narrow"/>
        </w:rPr>
        <w:t xml:space="preserve">. School administrators </w:t>
      </w:r>
      <w:r w:rsidR="2051EC20" w:rsidRPr="26CC4756">
        <w:rPr>
          <w:rFonts w:ascii="Arial Narrow" w:eastAsia="Arial Narrow" w:hAnsi="Arial Narrow" w:cs="Arial Narrow"/>
        </w:rPr>
        <w:t>report being</w:t>
      </w:r>
      <w:r w:rsidRPr="26CC4756">
        <w:rPr>
          <w:rFonts w:ascii="Arial Narrow" w:eastAsia="Arial Narrow" w:hAnsi="Arial Narrow" w:cs="Arial Narrow"/>
        </w:rPr>
        <w:t xml:space="preserve"> similarly stretched due to </w:t>
      </w:r>
      <w:proofErr w:type="gramStart"/>
      <w:r w:rsidRPr="26CC4756">
        <w:rPr>
          <w:rFonts w:ascii="Arial Narrow" w:eastAsia="Arial Narrow" w:hAnsi="Arial Narrow" w:cs="Arial Narrow"/>
        </w:rPr>
        <w:t>understaffing, and</w:t>
      </w:r>
      <w:proofErr w:type="gramEnd"/>
      <w:r w:rsidRPr="26CC4756">
        <w:rPr>
          <w:rFonts w:ascii="Arial Narrow" w:eastAsia="Arial Narrow" w:hAnsi="Arial Narrow" w:cs="Arial Narrow"/>
        </w:rPr>
        <w:t xml:space="preserve"> may either be incentivised to deprioritise hosting ITE students altogether or else perversely incentivised to bring them in to ‘plug</w:t>
      </w:r>
      <w:r w:rsidR="00B27ADF">
        <w:rPr>
          <w:rFonts w:ascii="Arial Narrow" w:eastAsia="Arial Narrow" w:hAnsi="Arial Narrow" w:cs="Arial Narrow"/>
        </w:rPr>
        <w:t>’</w:t>
      </w:r>
      <w:r w:rsidRPr="26CC4756">
        <w:rPr>
          <w:rFonts w:ascii="Arial Narrow" w:eastAsia="Arial Narrow" w:hAnsi="Arial Narrow" w:cs="Arial Narrow"/>
        </w:rPr>
        <w:t xml:space="preserve"> staffing </w:t>
      </w:r>
      <w:r w:rsidR="00B27ADF">
        <w:rPr>
          <w:rFonts w:ascii="Arial Narrow" w:eastAsia="Arial Narrow" w:hAnsi="Arial Narrow" w:cs="Arial Narrow"/>
        </w:rPr>
        <w:t>gaps</w:t>
      </w:r>
      <w:r w:rsidRPr="26CC4756">
        <w:rPr>
          <w:rFonts w:ascii="Arial Narrow" w:eastAsia="Arial Narrow" w:hAnsi="Arial Narrow" w:cs="Arial Narrow"/>
        </w:rPr>
        <w:t xml:space="preserve">. </w:t>
      </w:r>
    </w:p>
    <w:p w14:paraId="5F5798A4" w14:textId="77777777" w:rsidR="00434873" w:rsidRPr="006B4A03" w:rsidRDefault="00434873" w:rsidP="006B4A03">
      <w:pPr>
        <w:pStyle w:val="Heading3"/>
      </w:pPr>
      <w:r>
        <w:t xml:space="preserve">Regional, </w:t>
      </w:r>
      <w:proofErr w:type="gramStart"/>
      <w:r>
        <w:t>rural</w:t>
      </w:r>
      <w:proofErr w:type="gramEnd"/>
      <w:r>
        <w:t xml:space="preserve"> and remote (RRR) contexts</w:t>
      </w:r>
    </w:p>
    <w:p w14:paraId="3E87BFB8" w14:textId="357F91A2" w:rsidR="00434873" w:rsidRDefault="00434873" w:rsidP="00434873">
      <w:r>
        <w:t>There are acute and specific challenges to delivering high-quality practicum</w:t>
      </w:r>
      <w:r w:rsidR="006B6CD8">
        <w:t xml:space="preserve"> placements</w:t>
      </w:r>
      <w:r>
        <w:t xml:space="preserve"> in RRR contexts. </w:t>
      </w:r>
      <w:r w:rsidR="00BE7A3C">
        <w:t xml:space="preserve">RRR generally have less capacity to host ITE </w:t>
      </w:r>
      <w:proofErr w:type="gramStart"/>
      <w:r w:rsidR="00BE7A3C">
        <w:t>students, and</w:t>
      </w:r>
      <w:proofErr w:type="gramEnd"/>
      <w:r w:rsidR="00BE7A3C">
        <w:t xml:space="preserve"> may also have capability issues resulting from – for example </w:t>
      </w:r>
      <w:r w:rsidR="00985A10">
        <w:t>–</w:t>
      </w:r>
      <w:r w:rsidR="00346C6C">
        <w:t xml:space="preserve"> </w:t>
      </w:r>
      <w:r w:rsidR="00985A10">
        <w:t>lack of access to professional learning opportunities.</w:t>
      </w:r>
    </w:p>
    <w:p w14:paraId="78D2BE25" w14:textId="5E996B79" w:rsidR="00434873" w:rsidRDefault="00434873" w:rsidP="00434873">
      <w:r>
        <w:t xml:space="preserve">The unique and significant role RRR schools play in community life means that ITE students need to be not only be ‘classroom-ready’ but ‘community-ready’ to be set up for success. This is particularly important for </w:t>
      </w:r>
      <w:r w:rsidR="006B6CD8">
        <w:t>placements</w:t>
      </w:r>
      <w:r>
        <w:t xml:space="preserve"> in remote Aboriginal and Torres Strait Islander communities, and many ITE students may lack </w:t>
      </w:r>
      <w:r w:rsidR="00C742D9">
        <w:t xml:space="preserve">cultural </w:t>
      </w:r>
      <w:r w:rsidR="008D01AD">
        <w:t>competency</w:t>
      </w:r>
      <w:r>
        <w:t xml:space="preserve">. However, ITE students already from RRR areas may face challenges being placed in schools in their community because of their existing connections potentially creating a conflict of interest. For example, </w:t>
      </w:r>
      <w:r w:rsidR="5C4CB5F4">
        <w:t xml:space="preserve">stakeholders report how </w:t>
      </w:r>
      <w:r>
        <w:t xml:space="preserve">current teaching aides may be unable to complete </w:t>
      </w:r>
      <w:r w:rsidR="006B6CD8">
        <w:t>placements</w:t>
      </w:r>
      <w:r>
        <w:t xml:space="preserve"> in their schools located within remote communities.</w:t>
      </w:r>
    </w:p>
    <w:p w14:paraId="47D59C82" w14:textId="1FBA7DBC" w:rsidR="00434873" w:rsidRDefault="00434873" w:rsidP="00434873">
      <w:r>
        <w:t>RRR p</w:t>
      </w:r>
      <w:r w:rsidR="006B6CD8">
        <w:t>lacements</w:t>
      </w:r>
      <w:r>
        <w:t xml:space="preserve"> may also be less attractive for ITE students relocating from metro / interstate origins due to</w:t>
      </w:r>
      <w:r w:rsidR="00AD4C27">
        <w:t>:</w:t>
      </w:r>
    </w:p>
    <w:p w14:paraId="68E205DC" w14:textId="52C698E9" w:rsidR="00434873" w:rsidRDefault="00AD4C27" w:rsidP="00D96B63">
      <w:pPr>
        <w:pStyle w:val="ListParagraph"/>
        <w:numPr>
          <w:ilvl w:val="0"/>
          <w:numId w:val="21"/>
        </w:numPr>
      </w:pPr>
      <w:r w:rsidRPr="00B86932">
        <w:rPr>
          <w:b/>
        </w:rPr>
        <w:t>F</w:t>
      </w:r>
      <w:r w:rsidR="00434873" w:rsidRPr="00B86932">
        <w:rPr>
          <w:b/>
        </w:rPr>
        <w:t xml:space="preserve">inancial </w:t>
      </w:r>
      <w:r w:rsidRPr="00B86932">
        <w:rPr>
          <w:b/>
        </w:rPr>
        <w:t>challenges</w:t>
      </w:r>
      <w:r>
        <w:t xml:space="preserve"> – </w:t>
      </w:r>
      <w:r w:rsidR="00434873">
        <w:t>e.g., transport, accommodation, extended time off work</w:t>
      </w:r>
    </w:p>
    <w:p w14:paraId="4207B292" w14:textId="27E4FE35" w:rsidR="00434873" w:rsidRDefault="00AD4C27" w:rsidP="00D96B63">
      <w:pPr>
        <w:pStyle w:val="ListParagraph"/>
        <w:numPr>
          <w:ilvl w:val="0"/>
          <w:numId w:val="20"/>
        </w:numPr>
      </w:pPr>
      <w:r w:rsidRPr="00B86932">
        <w:rPr>
          <w:b/>
        </w:rPr>
        <w:t>Personal</w:t>
      </w:r>
      <w:r w:rsidR="00434873" w:rsidRPr="00B86932">
        <w:rPr>
          <w:b/>
        </w:rPr>
        <w:t xml:space="preserve"> challenges</w:t>
      </w:r>
      <w:r w:rsidR="00434873">
        <w:t xml:space="preserve"> </w:t>
      </w:r>
      <w:r>
        <w:t xml:space="preserve">– </w:t>
      </w:r>
      <w:r w:rsidR="00434873">
        <w:t>e.g., social isolation, reduced university support and access to essential services</w:t>
      </w:r>
    </w:p>
    <w:p w14:paraId="3C5A6939" w14:textId="47A61D91" w:rsidR="00434873" w:rsidRDefault="00434873" w:rsidP="00434873">
      <w:r>
        <w:t xml:space="preserve">While there are many initiatives and financial incentives to encourage and support ITE students to complete RRR </w:t>
      </w:r>
      <w:r w:rsidR="006B6CD8">
        <w:t>placements</w:t>
      </w:r>
      <w:r>
        <w:t xml:space="preserve">, these challenges may still prove insurmountable (e.g., for those with families or caring responsibilities). </w:t>
      </w:r>
    </w:p>
    <w:p w14:paraId="738395E8" w14:textId="77777777" w:rsidR="00434873" w:rsidRDefault="00434873" w:rsidP="00434873">
      <w:r>
        <w:t>ITE students are more likely to consider teaching in RRR schools after they graduate if they have a high-quality practicum in these contexts. However, the existing barriers make achieving this challenging for many ITE students.</w:t>
      </w:r>
    </w:p>
    <w:p w14:paraId="155EB298" w14:textId="77777777" w:rsidR="00173B3C" w:rsidRDefault="00173B3C" w:rsidP="00434873">
      <w:pPr>
        <w:rPr>
          <w:u w:val="single"/>
        </w:rPr>
      </w:pPr>
    </w:p>
    <w:p w14:paraId="1A1ADC32" w14:textId="77777777" w:rsidR="00434873" w:rsidRPr="00173B3C" w:rsidRDefault="00434873" w:rsidP="00434873">
      <w:pPr>
        <w:rPr>
          <w:i/>
          <w:u w:val="single"/>
        </w:rPr>
      </w:pPr>
      <w:r w:rsidRPr="00173B3C">
        <w:rPr>
          <w:i/>
          <w:u w:val="single"/>
        </w:rPr>
        <w:t>Case study: La Trobe Nexus Practice Advisors</w:t>
      </w:r>
    </w:p>
    <w:p w14:paraId="137E27D5" w14:textId="4115C5E6" w:rsidR="00434873" w:rsidRPr="00173B3C" w:rsidRDefault="00434873" w:rsidP="26CC4756">
      <w:pPr>
        <w:pStyle w:val="NoSpacing"/>
        <w:rPr>
          <w:i/>
          <w:iCs/>
        </w:rPr>
      </w:pPr>
      <w:r w:rsidRPr="26CC4756">
        <w:rPr>
          <w:i/>
          <w:iCs/>
          <w:lang w:val="en-US"/>
        </w:rPr>
        <w:t xml:space="preserve">The </w:t>
      </w:r>
      <w:proofErr w:type="gramStart"/>
      <w:r w:rsidR="79E76B4E" w:rsidRPr="26CC4756">
        <w:rPr>
          <w:i/>
          <w:iCs/>
          <w:lang w:val="en-US"/>
        </w:rPr>
        <w:t>employment</w:t>
      </w:r>
      <w:r w:rsidR="00F159D5">
        <w:rPr>
          <w:i/>
          <w:iCs/>
          <w:lang w:val="en-US"/>
        </w:rPr>
        <w:t>-</w:t>
      </w:r>
      <w:r w:rsidR="79E76B4E" w:rsidRPr="26CC4756">
        <w:rPr>
          <w:i/>
          <w:iCs/>
          <w:lang w:val="en-US"/>
        </w:rPr>
        <w:t>based</w:t>
      </w:r>
      <w:proofErr w:type="gramEnd"/>
      <w:r w:rsidRPr="26CC4756">
        <w:rPr>
          <w:i/>
          <w:iCs/>
          <w:lang w:val="en-US"/>
        </w:rPr>
        <w:t xml:space="preserve"> La Trobe University Nexus program seeks to prepare teachers transitioning from other industries for employment in regional, rural, remote and low socio-economic schools across Victoria. </w:t>
      </w:r>
      <w:r w:rsidRPr="26CC4756">
        <w:rPr>
          <w:i/>
          <w:iCs/>
        </w:rPr>
        <w:t>ITE students</w:t>
      </w:r>
      <w:r w:rsidRPr="26CC4756">
        <w:rPr>
          <w:i/>
          <w:iCs/>
          <w:lang w:val="en-US"/>
        </w:rPr>
        <w:t xml:space="preserve"> are provided</w:t>
      </w:r>
      <w:r w:rsidRPr="26CC4756">
        <w:rPr>
          <w:i/>
          <w:iCs/>
        </w:rPr>
        <w:t xml:space="preserve"> with additional opportunities for professional development and mentoring. Practice Advisors work to bridge the gap between provider and school, and ensure high-quality practicum experiences, by:</w:t>
      </w:r>
    </w:p>
    <w:p w14:paraId="69CADCA9" w14:textId="2F0C236F" w:rsidR="00434873" w:rsidRPr="00173B3C" w:rsidRDefault="00BC0108" w:rsidP="00D96B63">
      <w:pPr>
        <w:pStyle w:val="ListParagraph"/>
        <w:numPr>
          <w:ilvl w:val="0"/>
          <w:numId w:val="38"/>
        </w:numPr>
        <w:rPr>
          <w:i/>
        </w:rPr>
      </w:pPr>
      <w:r>
        <w:rPr>
          <w:i/>
        </w:rPr>
        <w:t>m</w:t>
      </w:r>
      <w:r w:rsidR="00434873" w:rsidRPr="00173B3C">
        <w:rPr>
          <w:i/>
        </w:rPr>
        <w:t>aking five visits to the school during the ITE student’s three-week practicum</w:t>
      </w:r>
      <w:r>
        <w:rPr>
          <w:i/>
        </w:rPr>
        <w:t xml:space="preserve"> </w:t>
      </w:r>
      <w:proofErr w:type="gramStart"/>
      <w:r>
        <w:rPr>
          <w:i/>
        </w:rPr>
        <w:t>placement</w:t>
      </w:r>
      <w:r w:rsidR="00434873" w:rsidRPr="00173B3C">
        <w:rPr>
          <w:i/>
        </w:rPr>
        <w:t>;</w:t>
      </w:r>
      <w:proofErr w:type="gramEnd"/>
    </w:p>
    <w:p w14:paraId="268027C6" w14:textId="14B74710" w:rsidR="00434873" w:rsidRPr="00173B3C" w:rsidRDefault="00BC0108" w:rsidP="00D96B63">
      <w:pPr>
        <w:pStyle w:val="ListParagraph"/>
        <w:numPr>
          <w:ilvl w:val="0"/>
          <w:numId w:val="38"/>
        </w:numPr>
        <w:rPr>
          <w:i/>
        </w:rPr>
      </w:pPr>
      <w:r>
        <w:rPr>
          <w:i/>
        </w:rPr>
        <w:t>w</w:t>
      </w:r>
      <w:r w:rsidR="00434873" w:rsidRPr="00173B3C">
        <w:rPr>
          <w:i/>
        </w:rPr>
        <w:t xml:space="preserve">orking with the school and ITE students to ensure </w:t>
      </w:r>
      <w:r w:rsidR="006B6CD8">
        <w:rPr>
          <w:i/>
        </w:rPr>
        <w:t xml:space="preserve">placements </w:t>
      </w:r>
      <w:r w:rsidR="00434873" w:rsidRPr="00173B3C">
        <w:rPr>
          <w:i/>
        </w:rPr>
        <w:t xml:space="preserve">reflect </w:t>
      </w:r>
      <w:r w:rsidR="006B6CD8">
        <w:rPr>
          <w:i/>
        </w:rPr>
        <w:t xml:space="preserve">ITE </w:t>
      </w:r>
      <w:r w:rsidR="00434873" w:rsidRPr="00173B3C">
        <w:rPr>
          <w:i/>
        </w:rPr>
        <w:t xml:space="preserve">course content and the Graduate Australian Professional Standards for Teachers; and </w:t>
      </w:r>
    </w:p>
    <w:p w14:paraId="1D828B62" w14:textId="5489AF54" w:rsidR="00434873" w:rsidRPr="00173B3C" w:rsidRDefault="00434873" w:rsidP="00D96B63">
      <w:pPr>
        <w:pStyle w:val="ListParagraph"/>
        <w:numPr>
          <w:ilvl w:val="0"/>
          <w:numId w:val="38"/>
        </w:numPr>
        <w:rPr>
          <w:i/>
        </w:rPr>
      </w:pPr>
      <w:r w:rsidRPr="00173B3C">
        <w:rPr>
          <w:i/>
        </w:rPr>
        <w:t>measur</w:t>
      </w:r>
      <w:r w:rsidR="00FF0843">
        <w:rPr>
          <w:i/>
        </w:rPr>
        <w:t>ing</w:t>
      </w:r>
      <w:r w:rsidRPr="00173B3C">
        <w:rPr>
          <w:i/>
        </w:rPr>
        <w:t xml:space="preserve"> the ITE student impact in the classroom. </w:t>
      </w:r>
    </w:p>
    <w:p w14:paraId="3429E7C6" w14:textId="77777777" w:rsidR="00434873" w:rsidRPr="00173B3C" w:rsidRDefault="00434873" w:rsidP="00434873">
      <w:pPr>
        <w:rPr>
          <w:i/>
        </w:rPr>
      </w:pPr>
      <w:r w:rsidRPr="00173B3C">
        <w:rPr>
          <w:i/>
        </w:rPr>
        <w:t>While this predominantly caters to a mid-career demographic, lessons can be learned from its prioritisation of practical measures to ensure a high-quality practicum component of the program.</w:t>
      </w:r>
    </w:p>
    <w:p w14:paraId="46AD611C" w14:textId="77777777" w:rsidR="00434873" w:rsidRDefault="00434873" w:rsidP="00434873">
      <w:pPr>
        <w:rPr>
          <w:b/>
          <w:bCs/>
        </w:rPr>
      </w:pPr>
    </w:p>
    <w:p w14:paraId="04734245" w14:textId="77777777" w:rsidR="00434873" w:rsidRDefault="00434873" w:rsidP="00434873">
      <w:pPr>
        <w:pBdr>
          <w:top w:val="single" w:sz="4" w:space="1" w:color="auto"/>
          <w:left w:val="single" w:sz="4" w:space="4" w:color="auto"/>
          <w:bottom w:val="single" w:sz="4" w:space="1" w:color="auto"/>
          <w:right w:val="single" w:sz="4" w:space="4" w:color="auto"/>
        </w:pBdr>
        <w:rPr>
          <w:i/>
          <w:iCs/>
        </w:rPr>
      </w:pPr>
      <w:r>
        <w:rPr>
          <w:i/>
          <w:iCs/>
        </w:rPr>
        <w:t>Stakeholder consultation questions:</w:t>
      </w:r>
    </w:p>
    <w:p w14:paraId="54C21566" w14:textId="77777777" w:rsidR="00434873" w:rsidRDefault="00434873" w:rsidP="00D96B63">
      <w:pPr>
        <w:pStyle w:val="ListParagraph"/>
        <w:numPr>
          <w:ilvl w:val="0"/>
          <w:numId w:val="16"/>
        </w:numPr>
        <w:pBdr>
          <w:top w:val="single" w:sz="4" w:space="1" w:color="auto"/>
          <w:left w:val="single" w:sz="4" w:space="4" w:color="auto"/>
          <w:bottom w:val="single" w:sz="4" w:space="1" w:color="auto"/>
          <w:right w:val="single" w:sz="4" w:space="4" w:color="auto"/>
        </w:pBdr>
      </w:pPr>
      <w:r>
        <w:t>Do you agree with this characterisation of the key challenges? Are there other challenges we haven’t identified?</w:t>
      </w:r>
    </w:p>
    <w:p w14:paraId="34BBDD12" w14:textId="77777777" w:rsidR="00434873" w:rsidRPr="00DA1C0F" w:rsidRDefault="00434873" w:rsidP="00D96B63">
      <w:pPr>
        <w:pStyle w:val="ListParagraph"/>
        <w:numPr>
          <w:ilvl w:val="0"/>
          <w:numId w:val="16"/>
        </w:numPr>
        <w:pBdr>
          <w:top w:val="single" w:sz="4" w:space="1" w:color="auto"/>
          <w:left w:val="single" w:sz="4" w:space="4" w:color="auto"/>
          <w:bottom w:val="single" w:sz="4" w:space="1" w:color="auto"/>
          <w:right w:val="single" w:sz="4" w:space="4" w:color="auto"/>
        </w:pBdr>
      </w:pPr>
      <w:r>
        <w:t>What challenges have current reform efforts failed to adequately address? Why?</w:t>
      </w:r>
    </w:p>
    <w:p w14:paraId="261CCE69" w14:textId="77777777" w:rsidR="00434873" w:rsidRPr="00C26ECC" w:rsidRDefault="00434873" w:rsidP="00434873">
      <w:pPr>
        <w:rPr>
          <w:b/>
          <w:bCs/>
        </w:rPr>
      </w:pPr>
    </w:p>
    <w:p w14:paraId="3A2767F0" w14:textId="77777777" w:rsidR="00434873" w:rsidRDefault="00434873" w:rsidP="00D559DB">
      <w:pPr>
        <w:pStyle w:val="Heading1"/>
      </w:pPr>
      <w:r>
        <w:t>System opportunities to support consistent, high-quality practicum placements</w:t>
      </w:r>
    </w:p>
    <w:p w14:paraId="21A1ADF2" w14:textId="77777777" w:rsidR="00A7528C" w:rsidRDefault="00A7528C" w:rsidP="00434873"/>
    <w:p w14:paraId="14CB3B35" w14:textId="28D2AC20" w:rsidR="00434873" w:rsidRPr="009A08F5" w:rsidRDefault="00434873" w:rsidP="00434873">
      <w:r>
        <w:t xml:space="preserve">There are </w:t>
      </w:r>
      <w:r w:rsidR="00B72C16">
        <w:t xml:space="preserve">several </w:t>
      </w:r>
      <w:r>
        <w:t>key system opportunities to support consistent, high-quality practicum placements across all jurisdictions</w:t>
      </w:r>
      <w:r w:rsidR="00B72C16">
        <w:t xml:space="preserve">, </w:t>
      </w:r>
      <w:proofErr w:type="gramStart"/>
      <w:r w:rsidR="00B72C16">
        <w:t>providers</w:t>
      </w:r>
      <w:proofErr w:type="gramEnd"/>
      <w:r>
        <w:t xml:space="preserve"> and schools. </w:t>
      </w:r>
    </w:p>
    <w:p w14:paraId="63EA4C92" w14:textId="087A3AD0" w:rsidR="00434873" w:rsidRPr="00B86932" w:rsidRDefault="00434873" w:rsidP="003C43CF">
      <w:pPr>
        <w:pStyle w:val="Heading2"/>
      </w:pPr>
      <w:r>
        <w:t xml:space="preserve">Embedding standardised frameworks, </w:t>
      </w:r>
      <w:proofErr w:type="gramStart"/>
      <w:r>
        <w:t>guidance</w:t>
      </w:r>
      <w:proofErr w:type="gramEnd"/>
      <w:r>
        <w:t xml:space="preserve"> and resources</w:t>
      </w:r>
    </w:p>
    <w:p w14:paraId="2E886D82" w14:textId="4CC91012" w:rsidR="00434873" w:rsidRDefault="00434873" w:rsidP="00434873">
      <w:r>
        <w:t xml:space="preserve">Providing system-level, standardised </w:t>
      </w:r>
      <w:r w:rsidR="00171942">
        <w:t>materials</w:t>
      </w:r>
      <w:r>
        <w:t xml:space="preserve"> for practicum could improve the capacity and capability of jurisdictions, </w:t>
      </w:r>
      <w:proofErr w:type="gramStart"/>
      <w:r>
        <w:t>providers</w:t>
      </w:r>
      <w:proofErr w:type="gramEnd"/>
      <w:r>
        <w:t xml:space="preserve"> and schools to design and deliver placements both:</w:t>
      </w:r>
    </w:p>
    <w:p w14:paraId="42DDE05B" w14:textId="77C59516" w:rsidR="00434873" w:rsidRDefault="00434873" w:rsidP="00D96B63">
      <w:pPr>
        <w:pStyle w:val="ListParagraph"/>
        <w:numPr>
          <w:ilvl w:val="0"/>
          <w:numId w:val="26"/>
        </w:numPr>
      </w:pPr>
      <w:r w:rsidRPr="00B86932">
        <w:rPr>
          <w:b/>
        </w:rPr>
        <w:t>Effectively</w:t>
      </w:r>
      <w:r>
        <w:t xml:space="preserve"> – creating awareness and understanding of best-practice and the </w:t>
      </w:r>
      <w:r w:rsidR="004043FD">
        <w:t xml:space="preserve">growing </w:t>
      </w:r>
      <w:r>
        <w:t>evidence base</w:t>
      </w:r>
      <w:r w:rsidR="004043FD">
        <w:t xml:space="preserve"> on</w:t>
      </w:r>
      <w:r w:rsidR="004043FD">
        <w:br/>
        <w:t>high-quality practicum</w:t>
      </w:r>
      <w:r>
        <w:t>.</w:t>
      </w:r>
    </w:p>
    <w:p w14:paraId="54F4CB83" w14:textId="42FDF589" w:rsidR="00434873" w:rsidRDefault="00434873" w:rsidP="00D96B63">
      <w:pPr>
        <w:pStyle w:val="ListParagraph"/>
        <w:numPr>
          <w:ilvl w:val="0"/>
          <w:numId w:val="26"/>
        </w:numPr>
      </w:pPr>
      <w:r w:rsidRPr="00B86932">
        <w:rPr>
          <w:b/>
        </w:rPr>
        <w:t>Efficiently</w:t>
      </w:r>
      <w:r>
        <w:t xml:space="preserve"> – enabling system actors to leverage existing materials and avoid ‘reinventing the wheel’</w:t>
      </w:r>
      <w:r w:rsidR="002B7E93">
        <w:t>, while also reducing workforce pressures on teachers</w:t>
      </w:r>
      <w:r>
        <w:t>.</w:t>
      </w:r>
    </w:p>
    <w:p w14:paraId="65D5B146" w14:textId="7180AA1D" w:rsidR="0037620E" w:rsidRDefault="0037620E" w:rsidP="0037620E">
      <w:r>
        <w:lastRenderedPageBreak/>
        <w:t>AITSL</w:t>
      </w:r>
      <w:r w:rsidR="00F044E9">
        <w:t xml:space="preserve"> already provides some standardised materials, such as </w:t>
      </w:r>
      <w:r w:rsidR="00F80674">
        <w:t>best-practice case studies</w:t>
      </w:r>
      <w:r w:rsidR="003C5396">
        <w:t>,</w:t>
      </w:r>
      <w:r w:rsidR="00F80674">
        <w:t xml:space="preserve"> high-level guidance on practicum roles and responsibilities</w:t>
      </w:r>
      <w:r w:rsidR="003C5396">
        <w:t xml:space="preserve"> and high-level guidance on provider-school partnerships</w:t>
      </w:r>
      <w:r w:rsidR="00F80674">
        <w:t xml:space="preserve">. </w:t>
      </w:r>
      <w:r w:rsidR="00763753">
        <w:t xml:space="preserve">Jurisdiction-based materials are ad hoc and inconsistent. </w:t>
      </w:r>
      <w:r w:rsidR="00F80674">
        <w:t xml:space="preserve">There is an opportunity to more systematically embed </w:t>
      </w:r>
      <w:proofErr w:type="gramStart"/>
      <w:r w:rsidR="00B31549">
        <w:t>nationally-consistent</w:t>
      </w:r>
      <w:proofErr w:type="gramEnd"/>
      <w:r w:rsidR="00B31549">
        <w:t xml:space="preserve"> </w:t>
      </w:r>
      <w:r w:rsidR="00F80674">
        <w:t>standardised frameworks, guidance and resources across jurisdictions</w:t>
      </w:r>
      <w:r w:rsidR="00281CCE">
        <w:t>, including:</w:t>
      </w:r>
    </w:p>
    <w:p w14:paraId="2EF5D4D4" w14:textId="228F8CEB" w:rsidR="00434873" w:rsidRDefault="009D5ACE" w:rsidP="00D96B63">
      <w:pPr>
        <w:pStyle w:val="ListParagraph"/>
        <w:numPr>
          <w:ilvl w:val="0"/>
          <w:numId w:val="27"/>
        </w:numPr>
      </w:pPr>
      <w:r>
        <w:t xml:space="preserve">National </w:t>
      </w:r>
      <w:r w:rsidR="00E2274D">
        <w:t xml:space="preserve">guidelines </w:t>
      </w:r>
      <w:r w:rsidR="00434873">
        <w:t>on key design features</w:t>
      </w:r>
      <w:r w:rsidR="00E2274D">
        <w:t xml:space="preserve"> to supplement the accreditation standards</w:t>
      </w:r>
      <w:r w:rsidR="00434873">
        <w:t xml:space="preserve">, including length, timing, frequency, structure and sequencing, roles and responsibilities of different parties, intensity, feedback mechanisms, and alignment with ITE </w:t>
      </w:r>
      <w:r w:rsidR="009E7EF6">
        <w:t xml:space="preserve">course </w:t>
      </w:r>
      <w:r w:rsidR="00434873">
        <w:t xml:space="preserve">content. </w:t>
      </w:r>
    </w:p>
    <w:p w14:paraId="53254953" w14:textId="6110C0B4" w:rsidR="00B15082" w:rsidRDefault="00B15082" w:rsidP="00D96B63">
      <w:pPr>
        <w:pStyle w:val="ListParagraph"/>
        <w:numPr>
          <w:ilvl w:val="0"/>
          <w:numId w:val="27"/>
        </w:numPr>
      </w:pPr>
      <w:r>
        <w:t xml:space="preserve">Templates </w:t>
      </w:r>
      <w:r w:rsidR="000E5C0F">
        <w:t xml:space="preserve">incorporating these key design features. </w:t>
      </w:r>
    </w:p>
    <w:p w14:paraId="1F1A02DE" w14:textId="56DA5DE3" w:rsidR="00434873" w:rsidRDefault="00434873" w:rsidP="00D96B63">
      <w:pPr>
        <w:pStyle w:val="ListParagraph"/>
        <w:numPr>
          <w:ilvl w:val="0"/>
          <w:numId w:val="27"/>
        </w:numPr>
      </w:pPr>
      <w:r>
        <w:t xml:space="preserve">Checklists for providers and schools to complete collaboratively before putting a practicum model into practice, aligned with the characteristics </w:t>
      </w:r>
      <w:r w:rsidR="00776F94">
        <w:t>of high-quality practicum</w:t>
      </w:r>
      <w:r w:rsidR="009E7EF6">
        <w:t xml:space="preserve"> placements</w:t>
      </w:r>
      <w:r w:rsidR="00776F94">
        <w:t xml:space="preserve"> </w:t>
      </w:r>
      <w:r w:rsidR="00546E9F">
        <w:t>outlined</w:t>
      </w:r>
      <w:r>
        <w:t xml:space="preserve"> in the previous section.</w:t>
      </w:r>
    </w:p>
    <w:p w14:paraId="59460031" w14:textId="74E5DF21" w:rsidR="00434873" w:rsidRDefault="00434873" w:rsidP="00D96B63">
      <w:pPr>
        <w:pStyle w:val="ListParagraph"/>
        <w:numPr>
          <w:ilvl w:val="0"/>
          <w:numId w:val="27"/>
        </w:numPr>
      </w:pPr>
      <w:r>
        <w:t xml:space="preserve">A framework for best-practice supervision and mentorship that </w:t>
      </w:r>
      <w:r w:rsidR="00B96DCB">
        <w:t>includes standards and templates for mentor teachers.</w:t>
      </w:r>
    </w:p>
    <w:p w14:paraId="630E461F" w14:textId="58540A8C" w:rsidR="00B96DCB" w:rsidRDefault="001F3AB9" w:rsidP="00434873">
      <w:r>
        <w:t>Embedding standardised materials may also involve:</w:t>
      </w:r>
    </w:p>
    <w:p w14:paraId="57786080" w14:textId="66C4AE3A" w:rsidR="001F3AB9" w:rsidRDefault="008E37A4" w:rsidP="00D96B63">
      <w:pPr>
        <w:pStyle w:val="ListParagraph"/>
        <w:numPr>
          <w:ilvl w:val="0"/>
          <w:numId w:val="27"/>
        </w:numPr>
      </w:pPr>
      <w:r>
        <w:t xml:space="preserve">Better promoting and implementing existing materials at the federal level, such as AITSL’s case studies, which may benefit </w:t>
      </w:r>
      <w:r w:rsidR="00B17F04">
        <w:t xml:space="preserve">from </w:t>
      </w:r>
      <w:r w:rsidR="00307A23">
        <w:t xml:space="preserve">supplementary </w:t>
      </w:r>
      <w:r w:rsidR="00684688">
        <w:t>advice on how to translate these best-practice examples into delivery in different contexts.</w:t>
      </w:r>
      <w:r w:rsidR="00B17F04">
        <w:t xml:space="preserve"> </w:t>
      </w:r>
    </w:p>
    <w:p w14:paraId="1856914A" w14:textId="3F68F823" w:rsidR="003F6F55" w:rsidRDefault="00C4596D" w:rsidP="00D96B63">
      <w:pPr>
        <w:pStyle w:val="ListParagraph"/>
        <w:numPr>
          <w:ilvl w:val="0"/>
          <w:numId w:val="27"/>
        </w:numPr>
      </w:pPr>
      <w:r>
        <w:t xml:space="preserve">Scaling up existing and successful materials from the jurisdiction level. </w:t>
      </w:r>
      <w:r w:rsidR="029E4692">
        <w:t>For example, states including Queensland</w:t>
      </w:r>
      <w:r w:rsidR="0851299F">
        <w:t>, NSW</w:t>
      </w:r>
      <w:r w:rsidR="029E4692">
        <w:t xml:space="preserve"> and the </w:t>
      </w:r>
      <w:r w:rsidR="221913E8">
        <w:t xml:space="preserve">NT have developed resources to support teacher mentors. </w:t>
      </w:r>
    </w:p>
    <w:p w14:paraId="584F1E45" w14:textId="6B3152EA" w:rsidR="003F6F55" w:rsidRDefault="002446C7" w:rsidP="00434873">
      <w:r>
        <w:t>There is an opportunity to standardise professional learning resources</w:t>
      </w:r>
      <w:r w:rsidR="00BE186E">
        <w:t xml:space="preserve"> to ensure that m</w:t>
      </w:r>
      <w:r w:rsidR="005111EA">
        <w:t>entor teachers have the capability to mentor ITE students effectively</w:t>
      </w:r>
      <w:r w:rsidR="00BE186E">
        <w:t>. This could include:</w:t>
      </w:r>
    </w:p>
    <w:p w14:paraId="33BE049D" w14:textId="2A6B469E" w:rsidR="005111EA" w:rsidRDefault="005111EA" w:rsidP="00D96B63">
      <w:pPr>
        <w:pStyle w:val="ListParagraph"/>
        <w:numPr>
          <w:ilvl w:val="0"/>
          <w:numId w:val="42"/>
        </w:numPr>
      </w:pPr>
      <w:r w:rsidRPr="00B86932">
        <w:rPr>
          <w:b/>
        </w:rPr>
        <w:t>Course-based professional learning</w:t>
      </w:r>
      <w:r>
        <w:t xml:space="preserve"> – </w:t>
      </w:r>
      <w:r w:rsidR="00E54537">
        <w:t>standardising</w:t>
      </w:r>
      <w:r w:rsidR="007425A3">
        <w:t xml:space="preserve"> the design of</w:t>
      </w:r>
      <w:r w:rsidR="00E54537">
        <w:t xml:space="preserve"> various mentor teacher </w:t>
      </w:r>
      <w:r w:rsidR="007425A3">
        <w:t xml:space="preserve">courses provided by local ITE providers to align with national </w:t>
      </w:r>
      <w:proofErr w:type="gramStart"/>
      <w:r w:rsidR="007425A3">
        <w:t>guidelines, and</w:t>
      </w:r>
      <w:proofErr w:type="gramEnd"/>
      <w:r w:rsidR="007425A3">
        <w:t xml:space="preserve"> expanding </w:t>
      </w:r>
      <w:r w:rsidR="00B41FC3">
        <w:t>access to</w:t>
      </w:r>
      <w:r w:rsidR="00B41FC3">
        <w:t xml:space="preserve"> AITSL’s ‘Supervising Preservice Teachers’ program.</w:t>
      </w:r>
      <w:r w:rsidR="00B41FC3">
        <w:t xml:space="preserve"> </w:t>
      </w:r>
      <w:r>
        <w:t xml:space="preserve"> </w:t>
      </w:r>
    </w:p>
    <w:p w14:paraId="1BC3BD80" w14:textId="42C49DEF" w:rsidR="005111EA" w:rsidRDefault="005111EA" w:rsidP="00D96B63">
      <w:pPr>
        <w:pStyle w:val="ListParagraph"/>
        <w:numPr>
          <w:ilvl w:val="0"/>
          <w:numId w:val="42"/>
        </w:numPr>
      </w:pPr>
      <w:r w:rsidRPr="00B86932">
        <w:rPr>
          <w:b/>
        </w:rPr>
        <w:t>Communities of practice</w:t>
      </w:r>
      <w:r>
        <w:t xml:space="preserve"> – </w:t>
      </w:r>
      <w:r w:rsidR="007425A3">
        <w:t xml:space="preserve">supporting standardised </w:t>
      </w:r>
      <w:r>
        <w:t xml:space="preserve">communities of </w:t>
      </w:r>
      <w:r w:rsidR="007425A3">
        <w:t xml:space="preserve">mentor </w:t>
      </w:r>
      <w:r>
        <w:t xml:space="preserve">teachers at the education region or jurisdiction level, to facilitate shared learning and peer-to-peer collaboration and mentoring. </w:t>
      </w:r>
    </w:p>
    <w:p w14:paraId="6AACA3E3" w14:textId="64E8ADB1" w:rsidR="00C927C1" w:rsidRDefault="005111EA" w:rsidP="00D96B63">
      <w:pPr>
        <w:pStyle w:val="ListParagraph"/>
        <w:numPr>
          <w:ilvl w:val="0"/>
          <w:numId w:val="42"/>
        </w:numPr>
      </w:pPr>
      <w:r w:rsidRPr="4E55B92A">
        <w:rPr>
          <w:b/>
          <w:bCs/>
        </w:rPr>
        <w:t>Coaching</w:t>
      </w:r>
      <w:r>
        <w:t xml:space="preserve"> – </w:t>
      </w:r>
      <w:r w:rsidR="005D66C6">
        <w:t>standardising coaching through</w:t>
      </w:r>
      <w:r>
        <w:t xml:space="preserve"> Highly Accomplished and Lead Teachers in schools or retired, high-quality teachers who have extensive experience in supervising practicum placements.</w:t>
      </w:r>
    </w:p>
    <w:p w14:paraId="6C640C17" w14:textId="2339B1DD" w:rsidR="00434873" w:rsidRDefault="00434873" w:rsidP="26CC4756">
      <w:pPr>
        <w:rPr>
          <w:rFonts w:ascii="Arial Narrow" w:eastAsia="Arial Narrow" w:hAnsi="Arial Narrow" w:cs="Arial Narrow"/>
          <w:i/>
          <w:iCs/>
          <w:u w:val="single"/>
          <w:lang w:val="en-US"/>
        </w:rPr>
      </w:pPr>
    </w:p>
    <w:p w14:paraId="1AB532AF" w14:textId="29CD4720" w:rsidR="00434873" w:rsidRDefault="5B0067CE" w:rsidP="26CC4756">
      <w:pPr>
        <w:rPr>
          <w:rFonts w:ascii="Arial Narrow" w:eastAsia="Arial Narrow" w:hAnsi="Arial Narrow" w:cs="Arial Narrow"/>
          <w:i/>
          <w:iCs/>
          <w:u w:val="single"/>
          <w:lang w:val="en-US"/>
        </w:rPr>
      </w:pPr>
      <w:r w:rsidRPr="26CC4756">
        <w:rPr>
          <w:rFonts w:ascii="Arial Narrow" w:eastAsia="Arial Narrow" w:hAnsi="Arial Narrow" w:cs="Arial Narrow"/>
          <w:i/>
          <w:iCs/>
          <w:u w:val="single"/>
          <w:lang w:val="en-US"/>
        </w:rPr>
        <w:t xml:space="preserve">Case study: National Standards for school-based initial teacher </w:t>
      </w:r>
      <w:proofErr w:type="gramStart"/>
      <w:r w:rsidRPr="26CC4756">
        <w:rPr>
          <w:rFonts w:ascii="Arial Narrow" w:eastAsia="Arial Narrow" w:hAnsi="Arial Narrow" w:cs="Arial Narrow"/>
          <w:i/>
          <w:iCs/>
          <w:u w:val="single"/>
          <w:lang w:val="en-US"/>
        </w:rPr>
        <w:t>training  mentors</w:t>
      </w:r>
      <w:proofErr w:type="gramEnd"/>
      <w:r w:rsidRPr="26CC4756">
        <w:rPr>
          <w:rFonts w:ascii="Arial Narrow" w:eastAsia="Arial Narrow" w:hAnsi="Arial Narrow" w:cs="Arial Narrow"/>
          <w:i/>
          <w:iCs/>
          <w:u w:val="single"/>
          <w:lang w:val="en-US"/>
        </w:rPr>
        <w:t>, United Kingdom</w:t>
      </w:r>
    </w:p>
    <w:p w14:paraId="42EDF505" w14:textId="670D9D5E" w:rsidR="00434873" w:rsidRDefault="5B0067CE" w:rsidP="26CC4756">
      <w:pPr>
        <w:rPr>
          <w:rFonts w:ascii="Arial Narrow" w:eastAsia="Arial Narrow" w:hAnsi="Arial Narrow" w:cs="Arial Narrow"/>
          <w:i/>
          <w:iCs/>
          <w:lang w:val="en-US"/>
        </w:rPr>
      </w:pPr>
      <w:r w:rsidRPr="26CC4756">
        <w:rPr>
          <w:rFonts w:ascii="Arial Narrow" w:eastAsia="Arial Narrow" w:hAnsi="Arial Narrow" w:cs="Arial Narrow"/>
          <w:i/>
          <w:iCs/>
          <w:lang w:val="en-US"/>
        </w:rPr>
        <w:t xml:space="preserve">The National Standards for </w:t>
      </w:r>
      <w:proofErr w:type="gramStart"/>
      <w:r w:rsidRPr="26CC4756">
        <w:rPr>
          <w:rFonts w:ascii="Arial Narrow" w:eastAsia="Arial Narrow" w:hAnsi="Arial Narrow" w:cs="Arial Narrow"/>
          <w:i/>
          <w:iCs/>
          <w:lang w:val="en-US"/>
        </w:rPr>
        <w:t>school-based</w:t>
      </w:r>
      <w:proofErr w:type="gramEnd"/>
      <w:r w:rsidRPr="26CC4756">
        <w:rPr>
          <w:rFonts w:ascii="Arial Narrow" w:eastAsia="Arial Narrow" w:hAnsi="Arial Narrow" w:cs="Arial Narrow"/>
          <w:i/>
          <w:iCs/>
          <w:lang w:val="en-US"/>
        </w:rPr>
        <w:t xml:space="preserve"> IT</w:t>
      </w:r>
      <w:r w:rsidR="00C37892">
        <w:rPr>
          <w:rFonts w:ascii="Arial Narrow" w:eastAsia="Arial Narrow" w:hAnsi="Arial Narrow" w:cs="Arial Narrow"/>
          <w:i/>
          <w:iCs/>
          <w:lang w:val="en-US"/>
        </w:rPr>
        <w:t>E</w:t>
      </w:r>
      <w:r w:rsidRPr="26CC4756">
        <w:rPr>
          <w:rFonts w:ascii="Arial Narrow" w:eastAsia="Arial Narrow" w:hAnsi="Arial Narrow" w:cs="Arial Narrow"/>
          <w:i/>
          <w:iCs/>
          <w:lang w:val="en-US"/>
        </w:rPr>
        <w:t xml:space="preserve"> mentors were created to promote the importance of the mentor teacher role and to create a better understanding of effective mentoring characteristics. Areas of the standards include:</w:t>
      </w:r>
    </w:p>
    <w:p w14:paraId="57779092" w14:textId="0BEDE39C" w:rsidR="00434873" w:rsidRDefault="5B0067CE" w:rsidP="00D96B63">
      <w:pPr>
        <w:pStyle w:val="ListParagraph"/>
        <w:numPr>
          <w:ilvl w:val="0"/>
          <w:numId w:val="22"/>
        </w:numPr>
        <w:rPr>
          <w:rFonts w:ascii="Arial Narrow" w:eastAsia="Arial Narrow" w:hAnsi="Arial Narrow" w:cs="Arial Narrow"/>
          <w:i/>
          <w:iCs/>
          <w:lang w:val="en-US"/>
        </w:rPr>
      </w:pPr>
      <w:r w:rsidRPr="26CC4756">
        <w:rPr>
          <w:rFonts w:ascii="Arial Narrow" w:eastAsia="Arial Narrow" w:hAnsi="Arial Narrow" w:cs="Arial Narrow"/>
          <w:b/>
          <w:bCs/>
          <w:i/>
          <w:iCs/>
          <w:lang w:val="en-US"/>
        </w:rPr>
        <w:t>Personal qualities</w:t>
      </w:r>
      <w:r w:rsidRPr="26CC4756">
        <w:rPr>
          <w:rFonts w:ascii="Arial Narrow" w:eastAsia="Arial Narrow" w:hAnsi="Arial Narrow" w:cs="Arial Narrow"/>
          <w:i/>
          <w:iCs/>
          <w:lang w:val="en-US"/>
        </w:rPr>
        <w:t xml:space="preserve"> – establishing trusting relationships, modelling best practice, empathising with the challenges ITE students </w:t>
      </w:r>
      <w:proofErr w:type="gramStart"/>
      <w:r w:rsidRPr="26CC4756">
        <w:rPr>
          <w:rFonts w:ascii="Arial Narrow" w:eastAsia="Arial Narrow" w:hAnsi="Arial Narrow" w:cs="Arial Narrow"/>
          <w:i/>
          <w:iCs/>
          <w:lang w:val="en-US"/>
        </w:rPr>
        <w:t>face;</w:t>
      </w:r>
      <w:proofErr w:type="gramEnd"/>
    </w:p>
    <w:p w14:paraId="3BB085AD" w14:textId="0470107F" w:rsidR="00434873" w:rsidRDefault="5B0067CE" w:rsidP="00D96B63">
      <w:pPr>
        <w:pStyle w:val="ListParagraph"/>
        <w:numPr>
          <w:ilvl w:val="0"/>
          <w:numId w:val="22"/>
        </w:numPr>
        <w:rPr>
          <w:rFonts w:ascii="Arial Narrow" w:eastAsia="Arial Narrow" w:hAnsi="Arial Narrow" w:cs="Arial Narrow"/>
          <w:i/>
          <w:iCs/>
          <w:lang w:val="en-US"/>
        </w:rPr>
      </w:pPr>
      <w:r w:rsidRPr="26CC4756">
        <w:rPr>
          <w:rFonts w:ascii="Arial Narrow" w:eastAsia="Arial Narrow" w:hAnsi="Arial Narrow" w:cs="Arial Narrow"/>
          <w:b/>
          <w:bCs/>
          <w:i/>
          <w:iCs/>
          <w:lang w:val="en-US"/>
        </w:rPr>
        <w:t>Teaching</w:t>
      </w:r>
      <w:r w:rsidRPr="26CC4756">
        <w:rPr>
          <w:rFonts w:ascii="Arial Narrow" w:eastAsia="Arial Narrow" w:hAnsi="Arial Narrow" w:cs="Arial Narrow"/>
          <w:i/>
          <w:iCs/>
          <w:lang w:val="en-US"/>
        </w:rPr>
        <w:t xml:space="preserve"> – developing ITE students teaching practice, setting high expectations to meet student </w:t>
      </w:r>
      <w:proofErr w:type="gramStart"/>
      <w:r w:rsidRPr="26CC4756">
        <w:rPr>
          <w:rFonts w:ascii="Arial Narrow" w:eastAsia="Arial Narrow" w:hAnsi="Arial Narrow" w:cs="Arial Narrow"/>
          <w:i/>
          <w:iCs/>
          <w:lang w:val="en-US"/>
        </w:rPr>
        <w:t>need;</w:t>
      </w:r>
      <w:proofErr w:type="gramEnd"/>
    </w:p>
    <w:p w14:paraId="793BDCFF" w14:textId="19E72E3E" w:rsidR="00434873" w:rsidRDefault="5B0067CE" w:rsidP="00D96B63">
      <w:pPr>
        <w:pStyle w:val="ListParagraph"/>
        <w:numPr>
          <w:ilvl w:val="0"/>
          <w:numId w:val="22"/>
        </w:numPr>
        <w:rPr>
          <w:rFonts w:ascii="Arial Narrow" w:eastAsia="Arial Narrow" w:hAnsi="Arial Narrow" w:cs="Arial Narrow"/>
          <w:i/>
          <w:iCs/>
          <w:lang w:val="en-US"/>
        </w:rPr>
      </w:pPr>
      <w:r w:rsidRPr="26CC4756">
        <w:rPr>
          <w:rFonts w:ascii="Arial Narrow" w:eastAsia="Arial Narrow" w:hAnsi="Arial Narrow" w:cs="Arial Narrow"/>
          <w:b/>
          <w:bCs/>
          <w:i/>
          <w:iCs/>
          <w:lang w:val="en-US"/>
        </w:rPr>
        <w:lastRenderedPageBreak/>
        <w:t>Professionalism</w:t>
      </w:r>
      <w:r w:rsidRPr="26CC4756">
        <w:rPr>
          <w:rFonts w:ascii="Arial Narrow" w:eastAsia="Arial Narrow" w:hAnsi="Arial Narrow" w:cs="Arial Narrow"/>
          <w:i/>
          <w:iCs/>
          <w:lang w:val="en-US"/>
        </w:rPr>
        <w:t xml:space="preserve"> – inducting ITE students into norms and values; and</w:t>
      </w:r>
    </w:p>
    <w:p w14:paraId="49008754" w14:textId="2F72B7C4" w:rsidR="26CC4756" w:rsidRDefault="5B0067CE" w:rsidP="00D96B63">
      <w:pPr>
        <w:pStyle w:val="ListParagraph"/>
        <w:numPr>
          <w:ilvl w:val="0"/>
          <w:numId w:val="22"/>
        </w:numPr>
        <w:rPr>
          <w:rFonts w:ascii="Arial Narrow" w:eastAsia="Arial Narrow" w:hAnsi="Arial Narrow" w:cs="Arial Narrow"/>
          <w:i/>
          <w:iCs/>
          <w:lang w:val="en-US"/>
        </w:rPr>
      </w:pPr>
      <w:r w:rsidRPr="26CC4756">
        <w:rPr>
          <w:rFonts w:ascii="Arial Narrow" w:eastAsia="Arial Narrow" w:hAnsi="Arial Narrow" w:cs="Arial Narrow"/>
          <w:b/>
          <w:bCs/>
          <w:i/>
          <w:iCs/>
          <w:lang w:val="en-US"/>
        </w:rPr>
        <w:t>Self-development, and working in partnership</w:t>
      </w:r>
      <w:r w:rsidRPr="26CC4756">
        <w:rPr>
          <w:rFonts w:ascii="Arial Narrow" w:eastAsia="Arial Narrow" w:hAnsi="Arial Narrow" w:cs="Arial Narrow"/>
          <w:i/>
          <w:iCs/>
          <w:lang w:val="en-US"/>
        </w:rPr>
        <w:t xml:space="preserve"> – developing own professional knowledge, skills and understanding.</w:t>
      </w:r>
    </w:p>
    <w:p w14:paraId="3838E4FB" w14:textId="77777777" w:rsidR="006F36B8" w:rsidRPr="006F36B8" w:rsidRDefault="006F36B8" w:rsidP="006F36B8">
      <w:pPr>
        <w:pStyle w:val="ListParagraph"/>
        <w:numPr>
          <w:ilvl w:val="0"/>
          <w:numId w:val="0"/>
        </w:numPr>
        <w:ind w:left="720"/>
        <w:rPr>
          <w:rFonts w:ascii="Arial Narrow" w:eastAsia="Arial Narrow" w:hAnsi="Arial Narrow" w:cs="Arial Narrow"/>
          <w:i/>
          <w:iCs/>
          <w:lang w:val="en-US"/>
        </w:rPr>
      </w:pPr>
    </w:p>
    <w:p w14:paraId="6AB835D6" w14:textId="2F66090E" w:rsidR="00434873" w:rsidRDefault="00AD47B5" w:rsidP="003C43CF">
      <w:pPr>
        <w:pStyle w:val="Heading2"/>
      </w:pPr>
      <w:r>
        <w:t>Delivering consistency and m</w:t>
      </w:r>
      <w:r w:rsidR="00B63624">
        <w:t>odelling best</w:t>
      </w:r>
      <w:r w:rsidR="00D1757D">
        <w:t>-</w:t>
      </w:r>
      <w:r w:rsidR="00B63624">
        <w:t>practice</w:t>
      </w:r>
      <w:r w:rsidR="00C93C4F">
        <w:t xml:space="preserve"> in</w:t>
      </w:r>
      <w:r w:rsidR="00434873">
        <w:t xml:space="preserve"> demonstration schools</w:t>
      </w:r>
    </w:p>
    <w:p w14:paraId="37F63859" w14:textId="5D59AE71" w:rsidR="00434873" w:rsidRDefault="00434873" w:rsidP="00434873">
      <w:r>
        <w:t xml:space="preserve">‘Demonstration schools’ are high-performing schools that specialise in providing consistent, high-quality </w:t>
      </w:r>
      <w:r w:rsidR="038175AD">
        <w:t xml:space="preserve">ITE student </w:t>
      </w:r>
      <w:r>
        <w:t>practicum</w:t>
      </w:r>
      <w:r w:rsidR="009E7EF6">
        <w:t xml:space="preserve"> placements</w:t>
      </w:r>
      <w:r>
        <w:t xml:space="preserve">. They can provide </w:t>
      </w:r>
      <w:r w:rsidR="00AC53EC">
        <w:t xml:space="preserve">students </w:t>
      </w:r>
      <w:r w:rsidR="00C93C4F">
        <w:t xml:space="preserve">with </w:t>
      </w:r>
      <w:r>
        <w:t xml:space="preserve">a different range of experiences, including exposure to diverse learners and </w:t>
      </w:r>
      <w:r w:rsidR="00233FAC">
        <w:t xml:space="preserve">rural, </w:t>
      </w:r>
      <w:proofErr w:type="gramStart"/>
      <w:r>
        <w:t>regional</w:t>
      </w:r>
      <w:proofErr w:type="gramEnd"/>
      <w:r>
        <w:t xml:space="preserve"> and remote contexts. They also model </w:t>
      </w:r>
      <w:r w:rsidR="00233FAC">
        <w:t>high-quality</w:t>
      </w:r>
      <w:r>
        <w:t xml:space="preserve"> </w:t>
      </w:r>
      <w:r w:rsidR="00233FAC">
        <w:t>practicum</w:t>
      </w:r>
      <w:r>
        <w:t xml:space="preserve"> for </w:t>
      </w:r>
      <w:r w:rsidR="3562D365">
        <w:t xml:space="preserve">other </w:t>
      </w:r>
      <w:r>
        <w:t xml:space="preserve">schools </w:t>
      </w:r>
      <w:r w:rsidR="00233FAC">
        <w:t>across</w:t>
      </w:r>
      <w:r>
        <w:t xml:space="preserve"> the system</w:t>
      </w:r>
      <w:r w:rsidR="003AE58A">
        <w:t>, and provide a clear, consistent representation of what may be expected of providers, mentor teachers and ITE students.</w:t>
      </w:r>
      <w:r w:rsidR="4D012E0D">
        <w:t xml:space="preserve"> While there are limited examples of demonstration school models, these are not consistently available nation-wide.</w:t>
      </w:r>
    </w:p>
    <w:p w14:paraId="0F22AA38" w14:textId="105B06C7" w:rsidR="00434873" w:rsidRDefault="00434873" w:rsidP="00434873">
      <w:r>
        <w:t>There is an opportunity to support a more system-level approach to demonstration schools across jurisdictions. This would enable jurisdictions to better standardise practicum design and ensure consistent delivery. Schools would have an incentive to participate in a system-level approach due to the benefits associated with becoming a ‘demonstration school’</w:t>
      </w:r>
      <w:r w:rsidR="00173963">
        <w:t>. These may include</w:t>
      </w:r>
      <w:r>
        <w:t xml:space="preserve"> developing their teacher pipeline, accessing professional </w:t>
      </w:r>
      <w:proofErr w:type="gramStart"/>
      <w:r>
        <w:t>learning</w:t>
      </w:r>
      <w:proofErr w:type="gramEnd"/>
      <w:r>
        <w:t xml:space="preserve"> and influencing ITE content design. Jurisdictions can maintain a high standard of practicum by regulating school participation. </w:t>
      </w:r>
    </w:p>
    <w:p w14:paraId="6095BF35" w14:textId="77777777" w:rsidR="00A94021" w:rsidRDefault="00A94021" w:rsidP="00A94021">
      <w:pPr>
        <w:spacing w:after="160" w:line="259" w:lineRule="auto"/>
        <w:rPr>
          <w:rFonts w:ascii="Arial Narrow" w:eastAsia="Arial Narrow" w:hAnsi="Arial Narrow" w:cs="Arial Narrow"/>
          <w:i/>
          <w:iCs/>
          <w:u w:val="single"/>
          <w:lang w:val="en-US"/>
        </w:rPr>
      </w:pPr>
    </w:p>
    <w:p w14:paraId="5B6CD65A" w14:textId="49BC870C" w:rsidR="00A94021" w:rsidRDefault="00A94021" w:rsidP="00A94021">
      <w:pPr>
        <w:spacing w:after="160" w:line="259" w:lineRule="auto"/>
        <w:rPr>
          <w:rFonts w:ascii="Arial Narrow" w:eastAsia="Arial Narrow" w:hAnsi="Arial Narrow" w:cs="Arial Narrow"/>
          <w:i/>
          <w:iCs/>
          <w:lang w:val="en-US"/>
        </w:rPr>
      </w:pPr>
      <w:r w:rsidRPr="26CC4756">
        <w:rPr>
          <w:rFonts w:ascii="Arial Narrow" w:eastAsia="Arial Narrow" w:hAnsi="Arial Narrow" w:cs="Arial Narrow"/>
          <w:i/>
          <w:iCs/>
          <w:u w:val="single"/>
          <w:lang w:val="en-US"/>
        </w:rPr>
        <w:t xml:space="preserve">Case study: </w:t>
      </w:r>
      <w:r>
        <w:rPr>
          <w:rFonts w:ascii="Arial Narrow" w:eastAsia="Arial Narrow" w:hAnsi="Arial Narrow" w:cs="Arial Narrow"/>
          <w:i/>
          <w:iCs/>
          <w:u w:val="single"/>
          <w:lang w:val="en-US"/>
        </w:rPr>
        <w:t xml:space="preserve">NT </w:t>
      </w:r>
      <w:r w:rsidRPr="26CC4756">
        <w:rPr>
          <w:rFonts w:ascii="Arial Narrow" w:eastAsia="Arial Narrow" w:hAnsi="Arial Narrow" w:cs="Arial Narrow"/>
          <w:i/>
          <w:iCs/>
          <w:u w:val="single"/>
          <w:lang w:val="en-US"/>
        </w:rPr>
        <w:t>Teaching Schools program</w:t>
      </w:r>
    </w:p>
    <w:p w14:paraId="79682C35" w14:textId="77777777" w:rsidR="00A94021" w:rsidRDefault="00A94021" w:rsidP="00A94021">
      <w:pPr>
        <w:rPr>
          <w:rFonts w:ascii="Arial Narrow" w:eastAsia="Arial Narrow" w:hAnsi="Arial Narrow" w:cs="Arial Narrow"/>
          <w:i/>
          <w:iCs/>
        </w:rPr>
      </w:pPr>
      <w:r w:rsidRPr="26CC4756">
        <w:rPr>
          <w:rFonts w:ascii="Arial Narrow" w:eastAsia="Arial Narrow" w:hAnsi="Arial Narrow" w:cs="Arial Narrow"/>
          <w:i/>
          <w:iCs/>
        </w:rPr>
        <w:t xml:space="preserve">Charles Darwin University (CDU) and the NT Department of Education and Training (DET) have developed a Teaching Schools agreement where students can undertake professional experience in designated partnership schools. The model highlights the increased efficiency benefits of a well-run partnership </w:t>
      </w:r>
      <w:proofErr w:type="gramStart"/>
      <w:r w:rsidRPr="26CC4756">
        <w:rPr>
          <w:rFonts w:ascii="Arial Narrow" w:eastAsia="Arial Narrow" w:hAnsi="Arial Narrow" w:cs="Arial Narrow"/>
          <w:i/>
          <w:iCs/>
        </w:rPr>
        <w:t>agreement, and</w:t>
      </w:r>
      <w:proofErr w:type="gramEnd"/>
      <w:r w:rsidRPr="26CC4756">
        <w:rPr>
          <w:rFonts w:ascii="Arial Narrow" w:eastAsia="Arial Narrow" w:hAnsi="Arial Narrow" w:cs="Arial Narrow"/>
          <w:i/>
          <w:iCs/>
        </w:rPr>
        <w:t xml:space="preserve"> has been responsible for a 46% increase (from 423 to 923) in ITE student placements between 2020 and 2021.</w:t>
      </w:r>
      <w:r w:rsidRPr="26CC4756">
        <w:rPr>
          <w:rStyle w:val="FootnoteReference"/>
          <w:rFonts w:ascii="Arial Narrow" w:eastAsia="Arial Narrow" w:hAnsi="Arial Narrow" w:cs="Arial Narrow"/>
          <w:i/>
          <w:iCs/>
        </w:rPr>
        <w:footnoteReference w:id="4"/>
      </w:r>
    </w:p>
    <w:p w14:paraId="2C74F493" w14:textId="77777777" w:rsidR="00A94021" w:rsidRDefault="00A94021" w:rsidP="00A94021">
      <w:pPr>
        <w:rPr>
          <w:rFonts w:ascii="Arial Narrow" w:eastAsia="Arial Narrow" w:hAnsi="Arial Narrow" w:cs="Arial Narrow"/>
          <w:i/>
          <w:iCs/>
          <w:lang w:val="en-US"/>
        </w:rPr>
      </w:pPr>
      <w:r w:rsidRPr="53FC1472">
        <w:rPr>
          <w:rFonts w:ascii="Arial Narrow" w:eastAsia="Arial Narrow" w:hAnsi="Arial Narrow" w:cs="Arial Narrow"/>
          <w:i/>
          <w:iCs/>
        </w:rPr>
        <w:t>These partnerships facilitate:</w:t>
      </w:r>
    </w:p>
    <w:p w14:paraId="1DD7870B" w14:textId="77777777" w:rsidR="00A94021" w:rsidRDefault="00A94021" w:rsidP="00D96B63">
      <w:pPr>
        <w:pStyle w:val="ListParagraph"/>
        <w:numPr>
          <w:ilvl w:val="0"/>
          <w:numId w:val="40"/>
        </w:numPr>
        <w:rPr>
          <w:rFonts w:ascii="Arial Narrow" w:eastAsia="Arial Narrow" w:hAnsi="Arial Narrow" w:cs="Arial Narrow"/>
          <w:i/>
          <w:iCs/>
          <w:lang w:val="en-US"/>
        </w:rPr>
      </w:pPr>
      <w:r w:rsidRPr="26CC4756">
        <w:rPr>
          <w:rFonts w:ascii="Arial Narrow" w:eastAsia="Arial Narrow" w:hAnsi="Arial Narrow" w:cs="Arial Narrow"/>
          <w:i/>
          <w:iCs/>
          <w:lang w:val="en-US"/>
        </w:rPr>
        <w:t xml:space="preserve">a close working relationship between CDU and partnership schools, which sees select schools embed the practicum student rotation </w:t>
      </w:r>
      <w:proofErr w:type="gramStart"/>
      <w:r w:rsidRPr="26CC4756">
        <w:rPr>
          <w:rFonts w:ascii="Arial Narrow" w:eastAsia="Arial Narrow" w:hAnsi="Arial Narrow" w:cs="Arial Narrow"/>
          <w:i/>
          <w:iCs/>
          <w:lang w:val="en-US"/>
        </w:rPr>
        <w:t>annually;</w:t>
      </w:r>
      <w:proofErr w:type="gramEnd"/>
    </w:p>
    <w:p w14:paraId="70646A17" w14:textId="77777777" w:rsidR="00A94021" w:rsidRDefault="00A94021" w:rsidP="00D96B63">
      <w:pPr>
        <w:pStyle w:val="ListParagraph"/>
        <w:numPr>
          <w:ilvl w:val="0"/>
          <w:numId w:val="40"/>
        </w:numPr>
        <w:rPr>
          <w:rFonts w:ascii="Arial Narrow" w:eastAsia="Arial Narrow" w:hAnsi="Arial Narrow" w:cs="Arial Narrow"/>
          <w:i/>
          <w:iCs/>
          <w:lang w:val="en-US"/>
        </w:rPr>
      </w:pPr>
      <w:r w:rsidRPr="26CC4756">
        <w:rPr>
          <w:rFonts w:ascii="Arial Narrow" w:eastAsia="Arial Narrow" w:hAnsi="Arial Narrow" w:cs="Arial Narrow"/>
          <w:i/>
          <w:iCs/>
          <w:lang w:val="en-US"/>
        </w:rPr>
        <w:t>resources for mentors, including guides for planning and assessment of placements and templates for observation/</w:t>
      </w:r>
      <w:proofErr w:type="gramStart"/>
      <w:r w:rsidRPr="26CC4756">
        <w:rPr>
          <w:rFonts w:ascii="Arial Narrow" w:eastAsia="Arial Narrow" w:hAnsi="Arial Narrow" w:cs="Arial Narrow"/>
          <w:i/>
          <w:iCs/>
          <w:lang w:val="en-US"/>
        </w:rPr>
        <w:t>reflection;</w:t>
      </w:r>
      <w:proofErr w:type="gramEnd"/>
    </w:p>
    <w:p w14:paraId="5746DDEE" w14:textId="77777777" w:rsidR="00A94021" w:rsidRDefault="00A94021" w:rsidP="00D96B63">
      <w:pPr>
        <w:pStyle w:val="ListParagraph"/>
        <w:numPr>
          <w:ilvl w:val="0"/>
          <w:numId w:val="40"/>
        </w:numPr>
        <w:rPr>
          <w:rFonts w:ascii="Arial Narrow" w:eastAsia="Arial Narrow" w:hAnsi="Arial Narrow" w:cs="Arial Narrow"/>
          <w:i/>
          <w:iCs/>
          <w:lang w:val="en-US"/>
        </w:rPr>
      </w:pPr>
      <w:r w:rsidRPr="53FC1472">
        <w:rPr>
          <w:rFonts w:ascii="Arial Narrow" w:eastAsia="Arial Narrow" w:hAnsi="Arial Narrow" w:cs="Arial Narrow"/>
          <w:i/>
          <w:iCs/>
        </w:rPr>
        <w:t>an ongoing conversation and mutual support between CDU and DET; and</w:t>
      </w:r>
    </w:p>
    <w:p w14:paraId="0CD9D13E" w14:textId="13ECD0EF" w:rsidR="00233FAC" w:rsidRPr="00A94021" w:rsidRDefault="00A94021" w:rsidP="00D96B63">
      <w:pPr>
        <w:pStyle w:val="ListParagraph"/>
        <w:numPr>
          <w:ilvl w:val="0"/>
          <w:numId w:val="40"/>
        </w:numPr>
        <w:rPr>
          <w:rFonts w:ascii="Arial Narrow" w:eastAsia="Arial Narrow" w:hAnsi="Arial Narrow" w:cs="Arial Narrow"/>
          <w:i/>
          <w:iCs/>
          <w:lang w:val="en-US"/>
        </w:rPr>
      </w:pPr>
      <w:r w:rsidRPr="26CC4756">
        <w:rPr>
          <w:rFonts w:ascii="Arial Narrow" w:eastAsia="Arial Narrow" w:hAnsi="Arial Narrow" w:cs="Arial Narrow"/>
          <w:i/>
          <w:iCs/>
        </w:rPr>
        <w:t>ongoing professional learning for mentor teachers and ‘Professional Learning Leaders’ in schools.</w:t>
      </w:r>
    </w:p>
    <w:p w14:paraId="78E4FC0D" w14:textId="4B506E01" w:rsidR="26CC4756" w:rsidRDefault="26CC4756" w:rsidP="26CC4756">
      <w:pPr>
        <w:rPr>
          <w:highlight w:val="yellow"/>
          <w:u w:val="single"/>
        </w:rPr>
      </w:pPr>
    </w:p>
    <w:p w14:paraId="3FE8EAFA" w14:textId="542EFD2E" w:rsidR="00434873" w:rsidRPr="004560A2" w:rsidRDefault="00434873" w:rsidP="0007242B">
      <w:pPr>
        <w:pStyle w:val="Heading2"/>
      </w:pPr>
      <w:r>
        <w:t>Streamlined practicum matching and coordination processes</w:t>
      </w:r>
    </w:p>
    <w:p w14:paraId="658B6158" w14:textId="77777777" w:rsidR="00434873" w:rsidRDefault="00434873" w:rsidP="00434873">
      <w:r>
        <w:lastRenderedPageBreak/>
        <w:t>Current practicum matching coordination processes are often ad hoc and inconsistent across providers and jurisdictions. Streamlining these processes could offer benefits on two levels:</w:t>
      </w:r>
    </w:p>
    <w:p w14:paraId="2F2255B8" w14:textId="7AFAF487" w:rsidR="00434873" w:rsidRDefault="00434873" w:rsidP="00D96B63">
      <w:pPr>
        <w:pStyle w:val="ListParagraph"/>
        <w:numPr>
          <w:ilvl w:val="0"/>
          <w:numId w:val="29"/>
        </w:numPr>
      </w:pPr>
      <w:r w:rsidRPr="00B86932">
        <w:rPr>
          <w:b/>
        </w:rPr>
        <w:t>Macro level</w:t>
      </w:r>
      <w:r>
        <w:t xml:space="preserve"> – more effectively and efficiently matching the supply of placements with the demand for placements, to ensure that every </w:t>
      </w:r>
      <w:r w:rsidR="005E68E9">
        <w:t>ITE student</w:t>
      </w:r>
      <w:r>
        <w:t xml:space="preserve"> can access a practicum placement at the right time.</w:t>
      </w:r>
    </w:p>
    <w:p w14:paraId="533F4B22" w14:textId="332CE7C2" w:rsidR="00434873" w:rsidRDefault="00434873" w:rsidP="00D96B63">
      <w:pPr>
        <w:pStyle w:val="ListParagraph"/>
        <w:numPr>
          <w:ilvl w:val="0"/>
          <w:numId w:val="28"/>
        </w:numPr>
      </w:pPr>
      <w:r w:rsidRPr="00B86932">
        <w:rPr>
          <w:b/>
        </w:rPr>
        <w:t>Micro level</w:t>
      </w:r>
      <w:r>
        <w:t xml:space="preserve"> – more effectively and efficiently matching </w:t>
      </w:r>
      <w:r w:rsidR="005E68E9">
        <w:t>ITE students</w:t>
      </w:r>
      <w:r>
        <w:t xml:space="preserve"> to placements specific to their needs in the context of their specific ITE program, including alignment with core units and exposure to practical capability areas (for example, a student who needs exposure to a specific learner cohort or school setting)</w:t>
      </w:r>
      <w:r w:rsidR="003D0E35">
        <w:t>.</w:t>
      </w:r>
    </w:p>
    <w:p w14:paraId="3E3248A5" w14:textId="77777777" w:rsidR="00434873" w:rsidRDefault="00434873" w:rsidP="00434873">
      <w:r>
        <w:t>Streamlining matching and coordination processes may have other benefits, such as:</w:t>
      </w:r>
    </w:p>
    <w:p w14:paraId="2A19ADFF" w14:textId="77777777" w:rsidR="00434873" w:rsidRDefault="00434873" w:rsidP="00D96B63">
      <w:pPr>
        <w:pStyle w:val="ListParagraph"/>
        <w:numPr>
          <w:ilvl w:val="0"/>
          <w:numId w:val="30"/>
        </w:numPr>
      </w:pPr>
      <w:r>
        <w:t xml:space="preserve">More effectively negotiating placements across jurisdictional boundaries in a regional and remote context. </w:t>
      </w:r>
    </w:p>
    <w:p w14:paraId="3634D120" w14:textId="77777777" w:rsidR="00434873" w:rsidRDefault="00434873" w:rsidP="00D96B63">
      <w:pPr>
        <w:pStyle w:val="ListParagraph"/>
        <w:numPr>
          <w:ilvl w:val="0"/>
          <w:numId w:val="30"/>
        </w:numPr>
      </w:pPr>
      <w:r>
        <w:t>Enabling government agencies to contribute to wrap-around support for practicum placements, such as access to accommodation or health services in remote areas.</w:t>
      </w:r>
    </w:p>
    <w:p w14:paraId="350E8233" w14:textId="77777777" w:rsidR="006F36B8" w:rsidRDefault="006F36B8" w:rsidP="006F36B8">
      <w:pPr>
        <w:spacing w:after="160" w:line="259" w:lineRule="auto"/>
        <w:rPr>
          <w:i/>
          <w:iCs/>
          <w:u w:val="single"/>
        </w:rPr>
      </w:pPr>
    </w:p>
    <w:p w14:paraId="08A5B4D9" w14:textId="77777777" w:rsidR="006F36B8" w:rsidRDefault="006F36B8" w:rsidP="006F36B8">
      <w:pPr>
        <w:spacing w:after="160" w:line="259" w:lineRule="auto"/>
        <w:rPr>
          <w:i/>
          <w:iCs/>
          <w:highlight w:val="yellow"/>
          <w:u w:val="single"/>
        </w:rPr>
      </w:pPr>
      <w:r w:rsidRPr="26CC4756">
        <w:rPr>
          <w:i/>
          <w:iCs/>
          <w:u w:val="single"/>
        </w:rPr>
        <w:t>Case study: The NSW Hub School Program</w:t>
      </w:r>
    </w:p>
    <w:p w14:paraId="5817A5E6" w14:textId="77777777" w:rsidR="006F36B8" w:rsidRDefault="006F36B8" w:rsidP="006F36B8">
      <w:pPr>
        <w:rPr>
          <w:i/>
          <w:iCs/>
        </w:rPr>
      </w:pPr>
      <w:r w:rsidRPr="26CC4756">
        <w:rPr>
          <w:i/>
          <w:iCs/>
        </w:rPr>
        <w:t xml:space="preserve">The NSW Hub School program is a system-level framework which comprises of partnerships between 26 ITE providers and 45 schools that are grouped into 20 ‘Hubs’. The ‘Hubs’ </w:t>
      </w:r>
      <w:proofErr w:type="gramStart"/>
      <w:r w:rsidRPr="26CC4756">
        <w:rPr>
          <w:i/>
          <w:iCs/>
        </w:rPr>
        <w:t>work</w:t>
      </w:r>
      <w:proofErr w:type="gramEnd"/>
      <w:r w:rsidRPr="26CC4756">
        <w:rPr>
          <w:i/>
          <w:iCs/>
        </w:rPr>
        <w:t xml:space="preserve"> together to deliver a networked and mutually beneficial approach to delivering practicum across system actors via effective provider-school partnerships. The program includes initiatives targeting: </w:t>
      </w:r>
    </w:p>
    <w:p w14:paraId="1E4443D2" w14:textId="77777777" w:rsidR="006F36B8" w:rsidRDefault="006F36B8" w:rsidP="00D96B63">
      <w:pPr>
        <w:pStyle w:val="ListParagraph"/>
        <w:numPr>
          <w:ilvl w:val="0"/>
          <w:numId w:val="30"/>
        </w:numPr>
        <w:rPr>
          <w:i/>
          <w:iCs/>
        </w:rPr>
      </w:pPr>
      <w:r w:rsidRPr="26CC4756">
        <w:rPr>
          <w:b/>
          <w:bCs/>
          <w:i/>
          <w:iCs/>
        </w:rPr>
        <w:t>mentor teachers</w:t>
      </w:r>
      <w:r w:rsidRPr="26CC4756">
        <w:rPr>
          <w:i/>
          <w:iCs/>
        </w:rPr>
        <w:t xml:space="preserve"> – professional learning in mentoring </w:t>
      </w:r>
      <w:proofErr w:type="gramStart"/>
      <w:r w:rsidRPr="26CC4756">
        <w:rPr>
          <w:i/>
          <w:iCs/>
        </w:rPr>
        <w:t>skills;</w:t>
      </w:r>
      <w:proofErr w:type="gramEnd"/>
    </w:p>
    <w:p w14:paraId="3BEA8BE8" w14:textId="77777777" w:rsidR="006F36B8" w:rsidRDefault="006F36B8" w:rsidP="00D96B63">
      <w:pPr>
        <w:pStyle w:val="ListParagraph"/>
        <w:numPr>
          <w:ilvl w:val="0"/>
          <w:numId w:val="30"/>
        </w:numPr>
        <w:rPr>
          <w:i/>
          <w:iCs/>
        </w:rPr>
      </w:pPr>
      <w:r w:rsidRPr="26CC4756">
        <w:rPr>
          <w:b/>
          <w:bCs/>
          <w:i/>
          <w:iCs/>
        </w:rPr>
        <w:t>ITE students</w:t>
      </w:r>
      <w:r w:rsidRPr="26CC4756">
        <w:rPr>
          <w:i/>
          <w:iCs/>
        </w:rPr>
        <w:t xml:space="preserve"> – improved supervising models, communities of practice, support sessions, professional learning, resources, immersion in the school community and modified ITE course </w:t>
      </w:r>
      <w:proofErr w:type="gramStart"/>
      <w:r w:rsidRPr="26CC4756">
        <w:rPr>
          <w:i/>
          <w:iCs/>
        </w:rPr>
        <w:t>delivery;</w:t>
      </w:r>
      <w:proofErr w:type="gramEnd"/>
      <w:r w:rsidRPr="26CC4756">
        <w:rPr>
          <w:i/>
          <w:iCs/>
        </w:rPr>
        <w:t xml:space="preserve"> </w:t>
      </w:r>
    </w:p>
    <w:p w14:paraId="30061B19" w14:textId="04AF1D62" w:rsidR="006F36B8" w:rsidRDefault="006F36B8" w:rsidP="00D96B63">
      <w:pPr>
        <w:pStyle w:val="ListParagraph"/>
        <w:numPr>
          <w:ilvl w:val="0"/>
          <w:numId w:val="30"/>
        </w:numPr>
        <w:rPr>
          <w:i/>
          <w:iCs/>
        </w:rPr>
      </w:pPr>
      <w:r w:rsidRPr="26CC4756">
        <w:rPr>
          <w:b/>
          <w:bCs/>
          <w:i/>
          <w:iCs/>
        </w:rPr>
        <w:t>partner schools</w:t>
      </w:r>
      <w:r w:rsidRPr="26CC4756">
        <w:rPr>
          <w:i/>
          <w:iCs/>
        </w:rPr>
        <w:t xml:space="preserve"> - funding, sharing resources and professional learning with other schools and communication with other schools and ITE </w:t>
      </w:r>
      <w:proofErr w:type="gramStart"/>
      <w:r w:rsidRPr="26CC4756">
        <w:rPr>
          <w:i/>
          <w:iCs/>
        </w:rPr>
        <w:t>providers;</w:t>
      </w:r>
      <w:proofErr w:type="gramEnd"/>
      <w:r w:rsidRPr="26CC4756">
        <w:rPr>
          <w:i/>
          <w:iCs/>
        </w:rPr>
        <w:t xml:space="preserve"> </w:t>
      </w:r>
    </w:p>
    <w:p w14:paraId="754A636C" w14:textId="515B3BEA" w:rsidR="006F36B8" w:rsidRDefault="006F36B8" w:rsidP="00D96B63">
      <w:pPr>
        <w:pStyle w:val="ListParagraph"/>
        <w:numPr>
          <w:ilvl w:val="0"/>
          <w:numId w:val="30"/>
        </w:numPr>
        <w:rPr>
          <w:i/>
          <w:iCs/>
        </w:rPr>
      </w:pPr>
      <w:r w:rsidRPr="26CC4756">
        <w:rPr>
          <w:b/>
          <w:bCs/>
          <w:i/>
          <w:iCs/>
        </w:rPr>
        <w:t>implementation of the program</w:t>
      </w:r>
      <w:r w:rsidRPr="26CC4756">
        <w:rPr>
          <w:i/>
          <w:iCs/>
        </w:rPr>
        <w:t xml:space="preserve"> – in-school Professional Experience Coordinators, dedicated staff, and evaluation programs, scheduling changes to accommodate needs of schools</w:t>
      </w:r>
      <w:r w:rsidR="00DD69BD">
        <w:rPr>
          <w:i/>
          <w:iCs/>
        </w:rPr>
        <w:t>; and</w:t>
      </w:r>
    </w:p>
    <w:p w14:paraId="41D5222A" w14:textId="34165EF1" w:rsidR="006F36B8" w:rsidRDefault="006F36B8" w:rsidP="00D96B63">
      <w:pPr>
        <w:pStyle w:val="ListParagraph"/>
        <w:numPr>
          <w:ilvl w:val="0"/>
          <w:numId w:val="30"/>
        </w:numPr>
        <w:rPr>
          <w:i/>
          <w:iCs/>
        </w:rPr>
      </w:pPr>
      <w:r w:rsidRPr="26CC4756">
        <w:rPr>
          <w:b/>
          <w:bCs/>
          <w:i/>
          <w:iCs/>
        </w:rPr>
        <w:t xml:space="preserve">input into ITE courses – </w:t>
      </w:r>
      <w:r w:rsidRPr="26CC4756">
        <w:rPr>
          <w:i/>
          <w:iCs/>
        </w:rPr>
        <w:t>covering practical strategies, identifying gaps in ITE course content</w:t>
      </w:r>
      <w:r w:rsidR="00DD69BD">
        <w:rPr>
          <w:i/>
          <w:iCs/>
        </w:rPr>
        <w:t>.</w:t>
      </w:r>
      <w:r w:rsidRPr="26CC4756">
        <w:rPr>
          <w:i/>
          <w:iCs/>
        </w:rPr>
        <w:t xml:space="preserve"> </w:t>
      </w:r>
    </w:p>
    <w:p w14:paraId="288C8FE2" w14:textId="77777777" w:rsidR="006F36B8" w:rsidRDefault="006F36B8" w:rsidP="006F36B8">
      <w:pPr>
        <w:rPr>
          <w:i/>
          <w:iCs/>
        </w:rPr>
      </w:pPr>
      <w:r w:rsidRPr="26CC4756">
        <w:rPr>
          <w:i/>
          <w:iCs/>
        </w:rPr>
        <w:t>This model aims to resolve challenges such as:</w:t>
      </w:r>
    </w:p>
    <w:p w14:paraId="337896C9" w14:textId="40C1F14A" w:rsidR="006F36B8" w:rsidRDefault="006F36B8" w:rsidP="00D96B63">
      <w:pPr>
        <w:pStyle w:val="ListParagraph"/>
        <w:numPr>
          <w:ilvl w:val="0"/>
          <w:numId w:val="24"/>
        </w:numPr>
        <w:rPr>
          <w:i/>
          <w:iCs/>
        </w:rPr>
      </w:pPr>
      <w:r w:rsidRPr="26CC4756">
        <w:rPr>
          <w:i/>
          <w:iCs/>
        </w:rPr>
        <w:t>difficulty in finding appropriate practicum</w:t>
      </w:r>
      <w:r w:rsidR="009E7EF6">
        <w:rPr>
          <w:i/>
          <w:iCs/>
        </w:rPr>
        <w:t xml:space="preserve"> </w:t>
      </w:r>
      <w:proofErr w:type="spellStart"/>
      <w:r w:rsidR="009E7EF6">
        <w:rPr>
          <w:i/>
          <w:iCs/>
        </w:rPr>
        <w:t>placments</w:t>
      </w:r>
      <w:proofErr w:type="spellEnd"/>
      <w:r w:rsidRPr="26CC4756">
        <w:rPr>
          <w:i/>
          <w:iCs/>
        </w:rPr>
        <w:t xml:space="preserve"> for ITE </w:t>
      </w:r>
      <w:proofErr w:type="gramStart"/>
      <w:r w:rsidRPr="26CC4756">
        <w:rPr>
          <w:i/>
          <w:iCs/>
        </w:rPr>
        <w:t>students;</w:t>
      </w:r>
      <w:proofErr w:type="gramEnd"/>
    </w:p>
    <w:p w14:paraId="343D7403" w14:textId="77777777" w:rsidR="006F36B8" w:rsidRDefault="006F36B8" w:rsidP="00D96B63">
      <w:pPr>
        <w:pStyle w:val="ListParagraph"/>
        <w:numPr>
          <w:ilvl w:val="0"/>
          <w:numId w:val="24"/>
        </w:numPr>
        <w:rPr>
          <w:i/>
          <w:iCs/>
        </w:rPr>
      </w:pPr>
      <w:r w:rsidRPr="26CC4756">
        <w:rPr>
          <w:i/>
          <w:iCs/>
        </w:rPr>
        <w:t>integration between ITE course content and practicum</w:t>
      </w:r>
    </w:p>
    <w:p w14:paraId="34986C82" w14:textId="564C34B1" w:rsidR="006F36B8" w:rsidRDefault="006F36B8" w:rsidP="00D96B63">
      <w:pPr>
        <w:pStyle w:val="ListParagraph"/>
        <w:numPr>
          <w:ilvl w:val="0"/>
          <w:numId w:val="24"/>
        </w:numPr>
        <w:rPr>
          <w:i/>
          <w:iCs/>
        </w:rPr>
      </w:pPr>
      <w:r w:rsidRPr="26CC4756">
        <w:rPr>
          <w:i/>
          <w:iCs/>
        </w:rPr>
        <w:t>variance in the quality of practicum</w:t>
      </w:r>
      <w:r w:rsidR="009E7EF6">
        <w:rPr>
          <w:i/>
          <w:iCs/>
        </w:rPr>
        <w:t xml:space="preserve"> placements</w:t>
      </w:r>
      <w:r w:rsidRPr="26CC4756">
        <w:rPr>
          <w:i/>
          <w:iCs/>
        </w:rPr>
        <w:t xml:space="preserve"> across schools; and</w:t>
      </w:r>
    </w:p>
    <w:p w14:paraId="568793C3" w14:textId="77777777" w:rsidR="006F36B8" w:rsidRDefault="006F36B8" w:rsidP="00D96B63">
      <w:pPr>
        <w:pStyle w:val="ListParagraph"/>
        <w:numPr>
          <w:ilvl w:val="0"/>
          <w:numId w:val="24"/>
        </w:numPr>
        <w:rPr>
          <w:i/>
          <w:iCs/>
        </w:rPr>
      </w:pPr>
      <w:r w:rsidRPr="26CC4756">
        <w:rPr>
          <w:i/>
          <w:iCs/>
        </w:rPr>
        <w:t xml:space="preserve">the high administration cost and relationship maintenance. </w:t>
      </w:r>
    </w:p>
    <w:p w14:paraId="2A3C8632" w14:textId="4C516DD1" w:rsidR="006F36B8" w:rsidRDefault="006F36B8" w:rsidP="006F36B8">
      <w:pPr>
        <w:rPr>
          <w:i/>
          <w:iCs/>
        </w:rPr>
      </w:pPr>
      <w:r w:rsidRPr="26CC4756">
        <w:rPr>
          <w:i/>
          <w:iCs/>
        </w:rPr>
        <w:t xml:space="preserve">A 2018 NSW Department of Education evaluation of </w:t>
      </w:r>
      <w:r w:rsidR="00DD69BD">
        <w:rPr>
          <w:i/>
          <w:iCs/>
        </w:rPr>
        <w:t>t</w:t>
      </w:r>
      <w:r w:rsidRPr="26CC4756">
        <w:rPr>
          <w:i/>
          <w:iCs/>
        </w:rPr>
        <w:t>he Hub School program identified benefits for all parties including students, mentor teachers, partner schools and ITE providers.</w:t>
      </w:r>
    </w:p>
    <w:p w14:paraId="22F1E5ED" w14:textId="77777777" w:rsidR="006F36B8" w:rsidRDefault="006F36B8" w:rsidP="00434873">
      <w:pPr>
        <w:rPr>
          <w:rFonts w:ascii="Arial Narrow" w:eastAsia="Arial Narrow" w:hAnsi="Arial Narrow" w:cs="Arial Narrow"/>
          <w:u w:val="single"/>
          <w:lang w:val="en-US"/>
        </w:rPr>
      </w:pPr>
    </w:p>
    <w:p w14:paraId="5B05DEBB" w14:textId="78D5DBBA" w:rsidR="00434873" w:rsidRDefault="00DD69BD" w:rsidP="26CC4756">
      <w:pPr>
        <w:rPr>
          <w:rFonts w:ascii="Arial Narrow" w:eastAsia="Arial Narrow" w:hAnsi="Arial Narrow" w:cs="Arial Narrow"/>
          <w:i/>
          <w:iCs/>
          <w:u w:val="single"/>
          <w:lang w:val="en-US"/>
        </w:rPr>
      </w:pPr>
      <w:r>
        <w:rPr>
          <w:i/>
          <w:iCs/>
          <w:u w:val="single"/>
        </w:rPr>
        <w:t>Victorian</w:t>
      </w:r>
      <w:r w:rsidR="5ADBDEC1" w:rsidRPr="26CC4756">
        <w:rPr>
          <w:i/>
          <w:iCs/>
          <w:u w:val="single"/>
        </w:rPr>
        <w:t xml:space="preserve"> provider collaborative </w:t>
      </w:r>
      <w:r w:rsidR="5ADBDEC1" w:rsidRPr="26CC4756">
        <w:rPr>
          <w:rFonts w:ascii="Arial Narrow" w:eastAsia="Arial Narrow" w:hAnsi="Arial Narrow" w:cs="Arial Narrow"/>
          <w:i/>
          <w:iCs/>
          <w:u w:val="single"/>
          <w:lang w:val="en-US"/>
        </w:rPr>
        <w:t xml:space="preserve">agreements </w:t>
      </w:r>
    </w:p>
    <w:p w14:paraId="74EE20C8" w14:textId="7E5F32D0" w:rsidR="00434873" w:rsidRDefault="00DD69BD" w:rsidP="26CC4756">
      <w:pPr>
        <w:rPr>
          <w:rFonts w:ascii="Arial Narrow" w:eastAsia="Arial Narrow" w:hAnsi="Arial Narrow" w:cs="Arial Narrow"/>
          <w:i/>
          <w:iCs/>
          <w:lang w:val="en-US"/>
        </w:rPr>
      </w:pPr>
      <w:r>
        <w:rPr>
          <w:rFonts w:ascii="Arial Narrow" w:eastAsia="Arial Narrow" w:hAnsi="Arial Narrow" w:cs="Arial Narrow"/>
          <w:i/>
          <w:iCs/>
          <w:lang w:val="en-US"/>
        </w:rPr>
        <w:lastRenderedPageBreak/>
        <w:t>The Victorian Department of Education</w:t>
      </w:r>
      <w:r w:rsidR="5ADBDEC1" w:rsidRPr="26CC4756">
        <w:rPr>
          <w:rFonts w:ascii="Arial Narrow" w:eastAsia="Arial Narrow" w:hAnsi="Arial Narrow" w:cs="Arial Narrow"/>
          <w:i/>
          <w:iCs/>
          <w:lang w:val="en-US"/>
        </w:rPr>
        <w:t xml:space="preserve"> and ITE providers have established a framework for strategic collaboration to improve </w:t>
      </w:r>
      <w:r w:rsidR="5ADBDEC1" w:rsidRPr="26CC4756">
        <w:rPr>
          <w:i/>
          <w:iCs/>
        </w:rPr>
        <w:t>ITE student</w:t>
      </w:r>
      <w:r w:rsidR="5ADBDEC1" w:rsidRPr="26CC4756">
        <w:rPr>
          <w:rFonts w:ascii="Arial Narrow" w:eastAsia="Arial Narrow" w:hAnsi="Arial Narrow" w:cs="Arial Narrow"/>
          <w:i/>
          <w:iCs/>
          <w:lang w:val="en-US"/>
        </w:rPr>
        <w:t xml:space="preserve"> practicum. They have agreed to benchmark practices and processes that apply to practicum</w:t>
      </w:r>
      <w:r w:rsidR="009E7EF6">
        <w:rPr>
          <w:rFonts w:ascii="Arial Narrow" w:eastAsia="Arial Narrow" w:hAnsi="Arial Narrow" w:cs="Arial Narrow"/>
          <w:i/>
          <w:iCs/>
          <w:lang w:val="en-US"/>
        </w:rPr>
        <w:t xml:space="preserve"> placements</w:t>
      </w:r>
      <w:r w:rsidR="5ADBDEC1" w:rsidRPr="26CC4756">
        <w:rPr>
          <w:rFonts w:ascii="Arial Narrow" w:eastAsia="Arial Narrow" w:hAnsi="Arial Narrow" w:cs="Arial Narrow"/>
          <w:i/>
          <w:iCs/>
          <w:lang w:val="en-US"/>
        </w:rPr>
        <w:t xml:space="preserve"> in all Victorian government schools</w:t>
      </w:r>
      <w:r w:rsidR="007C6AA4">
        <w:rPr>
          <w:rFonts w:ascii="Arial Narrow" w:eastAsia="Arial Narrow" w:hAnsi="Arial Narrow" w:cs="Arial Narrow"/>
          <w:i/>
          <w:iCs/>
          <w:lang w:val="en-US"/>
        </w:rPr>
        <w:t>.</w:t>
      </w:r>
      <w:r w:rsidR="5ADBDEC1" w:rsidRPr="26CC4756">
        <w:rPr>
          <w:rFonts w:ascii="Arial Narrow" w:eastAsia="Arial Narrow" w:hAnsi="Arial Narrow" w:cs="Arial Narrow"/>
          <w:i/>
          <w:iCs/>
          <w:lang w:val="en-US"/>
        </w:rPr>
        <w:t xml:space="preserve"> These practices and processes are designed to make it easier for schools to host </w:t>
      </w:r>
      <w:proofErr w:type="gramStart"/>
      <w:r w:rsidR="5ADBDEC1" w:rsidRPr="26CC4756">
        <w:rPr>
          <w:rFonts w:ascii="Arial Narrow" w:eastAsia="Arial Narrow" w:hAnsi="Arial Narrow" w:cs="Arial Narrow"/>
          <w:i/>
          <w:iCs/>
          <w:lang w:val="en-US"/>
        </w:rPr>
        <w:t>practicum  to</w:t>
      </w:r>
      <w:proofErr w:type="gramEnd"/>
      <w:r w:rsidR="5ADBDEC1" w:rsidRPr="26CC4756">
        <w:rPr>
          <w:rFonts w:ascii="Arial Narrow" w:eastAsia="Arial Narrow" w:hAnsi="Arial Narrow" w:cs="Arial Narrow"/>
          <w:i/>
          <w:iCs/>
          <w:lang w:val="en-US"/>
        </w:rPr>
        <w:t xml:space="preserve"> increase Victorian Government schools’ capacity to support practicum</w:t>
      </w:r>
      <w:r w:rsidR="009E7EF6">
        <w:rPr>
          <w:rFonts w:ascii="Arial Narrow" w:eastAsia="Arial Narrow" w:hAnsi="Arial Narrow" w:cs="Arial Narrow"/>
          <w:i/>
          <w:iCs/>
          <w:lang w:val="en-US"/>
        </w:rPr>
        <w:t xml:space="preserve"> placements</w:t>
      </w:r>
      <w:r w:rsidR="5ADBDEC1" w:rsidRPr="26CC4756">
        <w:rPr>
          <w:rFonts w:ascii="Arial Narrow" w:eastAsia="Arial Narrow" w:hAnsi="Arial Narrow" w:cs="Arial Narrow"/>
          <w:i/>
          <w:iCs/>
          <w:lang w:val="en-US"/>
        </w:rPr>
        <w:t>. This framework includes a Memorandum of Understanding (MOU) between DET and ITE Providers. The initiatives outlined in the MOU aim to:</w:t>
      </w:r>
    </w:p>
    <w:p w14:paraId="28621258" w14:textId="0C862FFB" w:rsidR="00434873" w:rsidRDefault="5ADBDEC1" w:rsidP="00D96B63">
      <w:pPr>
        <w:pStyle w:val="ListParagraph"/>
        <w:numPr>
          <w:ilvl w:val="0"/>
          <w:numId w:val="23"/>
        </w:numPr>
        <w:rPr>
          <w:rFonts w:ascii="Arial Narrow" w:eastAsia="Arial Narrow" w:hAnsi="Arial Narrow" w:cs="Arial Narrow"/>
          <w:i/>
          <w:iCs/>
          <w:lang w:val="en-US"/>
        </w:rPr>
      </w:pPr>
      <w:r w:rsidRPr="26CC4756">
        <w:rPr>
          <w:rFonts w:ascii="Arial Narrow" w:eastAsia="Arial Narrow" w:hAnsi="Arial Narrow" w:cs="Arial Narrow"/>
          <w:i/>
          <w:iCs/>
          <w:lang w:val="en-US"/>
        </w:rPr>
        <w:t>streamline the processes associated with practicum (e.g., setting practicum booking windows to support predictability in provider communication with schools, supporting planning, creating standard assessment templates</w:t>
      </w:r>
      <w:proofErr w:type="gramStart"/>
      <w:r w:rsidRPr="26CC4756">
        <w:rPr>
          <w:rFonts w:ascii="Arial Narrow" w:eastAsia="Arial Narrow" w:hAnsi="Arial Narrow" w:cs="Arial Narrow"/>
          <w:i/>
          <w:iCs/>
          <w:lang w:val="en-US"/>
        </w:rPr>
        <w:t>)</w:t>
      </w:r>
      <w:r w:rsidR="007C6AA4">
        <w:rPr>
          <w:rFonts w:ascii="Arial Narrow" w:eastAsia="Arial Narrow" w:hAnsi="Arial Narrow" w:cs="Arial Narrow"/>
          <w:i/>
          <w:iCs/>
          <w:lang w:val="en-US"/>
        </w:rPr>
        <w:t>;</w:t>
      </w:r>
      <w:proofErr w:type="gramEnd"/>
    </w:p>
    <w:p w14:paraId="695FDBA8" w14:textId="12EB702D" w:rsidR="00434873" w:rsidRDefault="5ADBDEC1" w:rsidP="00D96B63">
      <w:pPr>
        <w:pStyle w:val="ListParagraph"/>
        <w:numPr>
          <w:ilvl w:val="0"/>
          <w:numId w:val="23"/>
        </w:numPr>
        <w:rPr>
          <w:rFonts w:ascii="Arial Narrow" w:eastAsia="Arial Narrow" w:hAnsi="Arial Narrow" w:cs="Arial Narrow"/>
          <w:i/>
          <w:iCs/>
          <w:lang w:val="en-US"/>
        </w:rPr>
      </w:pPr>
      <w:r w:rsidRPr="26CC4756">
        <w:rPr>
          <w:rFonts w:ascii="Arial Narrow" w:eastAsia="Arial Narrow" w:hAnsi="Arial Narrow" w:cs="Arial Narrow"/>
          <w:i/>
          <w:iCs/>
          <w:lang w:val="en-US"/>
        </w:rPr>
        <w:t>support improvement in quality of practicum experiences (e.g., setting roles and responsibilities to provide level of support required for preservice teachers</w:t>
      </w:r>
      <w:proofErr w:type="gramStart"/>
      <w:r w:rsidRPr="26CC4756">
        <w:rPr>
          <w:rFonts w:ascii="Arial Narrow" w:eastAsia="Arial Narrow" w:hAnsi="Arial Narrow" w:cs="Arial Narrow"/>
          <w:i/>
          <w:iCs/>
          <w:lang w:val="en-US"/>
        </w:rPr>
        <w:t>)</w:t>
      </w:r>
      <w:r w:rsidR="007C6AA4">
        <w:rPr>
          <w:rFonts w:ascii="Arial Narrow" w:eastAsia="Arial Narrow" w:hAnsi="Arial Narrow" w:cs="Arial Narrow"/>
          <w:i/>
          <w:iCs/>
          <w:lang w:val="en-US"/>
        </w:rPr>
        <w:t>;</w:t>
      </w:r>
      <w:proofErr w:type="gramEnd"/>
    </w:p>
    <w:p w14:paraId="37940CF3" w14:textId="5925A83D" w:rsidR="00434873" w:rsidRDefault="5ADBDEC1" w:rsidP="00D96B63">
      <w:pPr>
        <w:pStyle w:val="ListParagraph"/>
        <w:numPr>
          <w:ilvl w:val="0"/>
          <w:numId w:val="23"/>
        </w:numPr>
        <w:rPr>
          <w:rFonts w:ascii="Arial Narrow" w:eastAsia="Arial Narrow" w:hAnsi="Arial Narrow" w:cs="Arial Narrow"/>
          <w:i/>
          <w:iCs/>
          <w:lang w:val="en-US"/>
        </w:rPr>
      </w:pPr>
      <w:r w:rsidRPr="26CC4756">
        <w:rPr>
          <w:rFonts w:ascii="Arial Narrow" w:eastAsia="Arial Narrow" w:hAnsi="Arial Narrow" w:cs="Arial Narrow"/>
          <w:i/>
          <w:iCs/>
          <w:lang w:val="en-US"/>
        </w:rPr>
        <w:t xml:space="preserve">increase the quantity of practicum opportunities across the </w:t>
      </w:r>
      <w:proofErr w:type="gramStart"/>
      <w:r w:rsidRPr="26CC4756">
        <w:rPr>
          <w:rFonts w:ascii="Arial Narrow" w:eastAsia="Arial Narrow" w:hAnsi="Arial Narrow" w:cs="Arial Narrow"/>
          <w:i/>
          <w:iCs/>
          <w:lang w:val="en-US"/>
        </w:rPr>
        <w:t>system;</w:t>
      </w:r>
      <w:proofErr w:type="gramEnd"/>
    </w:p>
    <w:p w14:paraId="442B3256" w14:textId="70447F6E" w:rsidR="00434873" w:rsidRDefault="5ADBDEC1" w:rsidP="00D96B63">
      <w:pPr>
        <w:pStyle w:val="ListParagraph"/>
        <w:numPr>
          <w:ilvl w:val="0"/>
          <w:numId w:val="23"/>
        </w:numPr>
        <w:rPr>
          <w:rFonts w:ascii="Arial Narrow" w:eastAsia="Arial Narrow" w:hAnsi="Arial Narrow" w:cs="Arial Narrow"/>
          <w:i/>
          <w:iCs/>
          <w:lang w:val="en-US"/>
        </w:rPr>
      </w:pPr>
      <w:r w:rsidRPr="26CC4756">
        <w:rPr>
          <w:rFonts w:ascii="Arial Narrow" w:eastAsia="Arial Narrow" w:hAnsi="Arial Narrow" w:cs="Arial Narrow"/>
          <w:i/>
          <w:iCs/>
          <w:lang w:val="en-US"/>
        </w:rPr>
        <w:t>deliver a more sustainable workforce supply across Victoria (</w:t>
      </w:r>
      <w:proofErr w:type="gramStart"/>
      <w:r w:rsidRPr="26CC4756">
        <w:rPr>
          <w:rFonts w:ascii="Arial Narrow" w:eastAsia="Arial Narrow" w:hAnsi="Arial Narrow" w:cs="Arial Narrow"/>
          <w:i/>
          <w:iCs/>
          <w:lang w:val="en-US"/>
        </w:rPr>
        <w:t>e.g.</w:t>
      </w:r>
      <w:proofErr w:type="gramEnd"/>
      <w:r w:rsidRPr="26CC4756">
        <w:rPr>
          <w:rFonts w:ascii="Arial Narrow" w:eastAsia="Arial Narrow" w:hAnsi="Arial Narrow" w:cs="Arial Narrow"/>
          <w:i/>
          <w:iCs/>
          <w:lang w:val="en-US"/>
        </w:rPr>
        <w:t xml:space="preserve"> providing a list of priority subject and geographic areas to align practicum</w:t>
      </w:r>
      <w:r w:rsidR="009E7EF6">
        <w:rPr>
          <w:rFonts w:ascii="Arial Narrow" w:eastAsia="Arial Narrow" w:hAnsi="Arial Narrow" w:cs="Arial Narrow"/>
          <w:i/>
          <w:iCs/>
          <w:lang w:val="en-US"/>
        </w:rPr>
        <w:t xml:space="preserve"> placements</w:t>
      </w:r>
      <w:r w:rsidRPr="26CC4756">
        <w:rPr>
          <w:rFonts w:ascii="Arial Narrow" w:eastAsia="Arial Narrow" w:hAnsi="Arial Narrow" w:cs="Arial Narrow"/>
          <w:i/>
          <w:iCs/>
          <w:lang w:val="en-US"/>
        </w:rPr>
        <w:t xml:space="preserve"> with forecast demand)</w:t>
      </w:r>
      <w:r w:rsidR="007C6AA4">
        <w:rPr>
          <w:rFonts w:ascii="Arial Narrow" w:eastAsia="Arial Narrow" w:hAnsi="Arial Narrow" w:cs="Arial Narrow"/>
          <w:i/>
          <w:iCs/>
          <w:lang w:val="en-US"/>
        </w:rPr>
        <w:t>; and</w:t>
      </w:r>
    </w:p>
    <w:p w14:paraId="1C7BB9DD" w14:textId="4D8152DD" w:rsidR="00434873" w:rsidRDefault="5ADBDEC1" w:rsidP="00D96B63">
      <w:pPr>
        <w:pStyle w:val="ListParagraph"/>
        <w:numPr>
          <w:ilvl w:val="0"/>
          <w:numId w:val="23"/>
        </w:numPr>
        <w:rPr>
          <w:rFonts w:ascii="Arial Narrow" w:eastAsia="Arial Narrow" w:hAnsi="Arial Narrow" w:cs="Arial Narrow"/>
          <w:i/>
          <w:iCs/>
          <w:lang w:val="en-US"/>
        </w:rPr>
      </w:pPr>
      <w:r w:rsidRPr="26CC4756">
        <w:rPr>
          <w:rFonts w:ascii="Arial Narrow" w:eastAsia="Arial Narrow" w:hAnsi="Arial Narrow" w:cs="Arial Narrow"/>
          <w:i/>
          <w:iCs/>
          <w:lang w:val="en-US"/>
        </w:rPr>
        <w:t>inform school improvement programs</w:t>
      </w:r>
      <w:r w:rsidR="007C6AA4">
        <w:rPr>
          <w:rFonts w:ascii="Arial Narrow" w:eastAsia="Arial Narrow" w:hAnsi="Arial Narrow" w:cs="Arial Narrow"/>
          <w:i/>
          <w:iCs/>
          <w:lang w:val="en-US"/>
        </w:rPr>
        <w:t xml:space="preserve"> and innovation in ITE.</w:t>
      </w:r>
    </w:p>
    <w:p w14:paraId="34FA777C" w14:textId="1176B6EB" w:rsidR="00434873" w:rsidRDefault="5ADBDEC1" w:rsidP="26CC4756">
      <w:pPr>
        <w:rPr>
          <w:rFonts w:ascii="Arial Narrow" w:eastAsia="Arial Narrow" w:hAnsi="Arial Narrow" w:cs="Arial Narrow"/>
          <w:i/>
          <w:iCs/>
          <w:lang w:val="en-US"/>
        </w:rPr>
      </w:pPr>
      <w:r w:rsidRPr="26CC4756">
        <w:rPr>
          <w:rFonts w:ascii="Arial Narrow" w:eastAsia="Arial Narrow" w:hAnsi="Arial Narrow" w:cs="Arial Narrow"/>
          <w:i/>
          <w:iCs/>
          <w:lang w:val="en-US"/>
        </w:rPr>
        <w:t xml:space="preserve">These same parties have also signed an information sharing agreement with the Victorian Institute of Teaching which will enable better </w:t>
      </w:r>
      <w:r w:rsidR="004019ED">
        <w:rPr>
          <w:rFonts w:ascii="Arial Narrow" w:eastAsia="Arial Narrow" w:hAnsi="Arial Narrow" w:cs="Arial Narrow"/>
          <w:i/>
          <w:iCs/>
          <w:lang w:val="en-US"/>
        </w:rPr>
        <w:t>use</w:t>
      </w:r>
      <w:r w:rsidRPr="26CC4756">
        <w:rPr>
          <w:rFonts w:ascii="Arial Narrow" w:eastAsia="Arial Narrow" w:hAnsi="Arial Narrow" w:cs="Arial Narrow"/>
          <w:i/>
          <w:iCs/>
          <w:lang w:val="en-US"/>
        </w:rPr>
        <w:t xml:space="preserve"> of current ITE data and streamlining of future data collection and sharing across the system to improve the delivery of ITE.</w:t>
      </w:r>
    </w:p>
    <w:p w14:paraId="20B45A57" w14:textId="7F2D2069" w:rsidR="00434873" w:rsidRDefault="00434873" w:rsidP="26CC4756">
      <w:pPr>
        <w:rPr>
          <w:u w:val="single"/>
        </w:rPr>
      </w:pPr>
    </w:p>
    <w:p w14:paraId="41FA6F3B" w14:textId="77777777" w:rsidR="00434873" w:rsidRPr="004560A2" w:rsidRDefault="00434873" w:rsidP="0007242B">
      <w:pPr>
        <w:pStyle w:val="Heading2"/>
      </w:pPr>
      <w:r>
        <w:t xml:space="preserve">Testing, </w:t>
      </w:r>
      <w:proofErr w:type="gramStart"/>
      <w:r>
        <w:t>supporting</w:t>
      </w:r>
      <w:proofErr w:type="gramEnd"/>
      <w:r>
        <w:t xml:space="preserve"> and sharing innovative delivery models in regional, remote and rural contexts</w:t>
      </w:r>
    </w:p>
    <w:p w14:paraId="3F8A0A0B" w14:textId="77777777" w:rsidR="00434873" w:rsidRDefault="00434873" w:rsidP="00434873">
      <w:r>
        <w:t xml:space="preserve">There is an opportunity to take a system-level approach to testing, supporting sharing innovative delivery models that help to address the challenges of practicum delivery in regional, </w:t>
      </w:r>
      <w:proofErr w:type="gramStart"/>
      <w:r>
        <w:t>remote</w:t>
      </w:r>
      <w:proofErr w:type="gramEnd"/>
      <w:r>
        <w:t xml:space="preserve"> and rural contexts. </w:t>
      </w:r>
    </w:p>
    <w:p w14:paraId="2DB01925" w14:textId="77777777" w:rsidR="00434873" w:rsidRDefault="00434873" w:rsidP="00434873">
      <w:r>
        <w:t>These models could encapsulate, for example:</w:t>
      </w:r>
    </w:p>
    <w:p w14:paraId="57C16F6A" w14:textId="77777777" w:rsidR="00434873" w:rsidRDefault="00434873" w:rsidP="00D96B63">
      <w:pPr>
        <w:pStyle w:val="ListParagraph"/>
        <w:numPr>
          <w:ilvl w:val="0"/>
          <w:numId w:val="32"/>
        </w:numPr>
      </w:pPr>
      <w:r w:rsidRPr="00B86932">
        <w:rPr>
          <w:b/>
        </w:rPr>
        <w:t>Virtual delivery</w:t>
      </w:r>
      <w:r>
        <w:t xml:space="preserve"> – delivering appropriate aspects of practicum virtually, which may include more basic activities such as observation.</w:t>
      </w:r>
    </w:p>
    <w:p w14:paraId="32DC2095" w14:textId="5C12CFF8" w:rsidR="00434873" w:rsidRDefault="00434873" w:rsidP="00D96B63">
      <w:pPr>
        <w:pStyle w:val="ListParagraph"/>
        <w:numPr>
          <w:ilvl w:val="0"/>
          <w:numId w:val="31"/>
        </w:numPr>
      </w:pPr>
      <w:r w:rsidRPr="00B86932">
        <w:rPr>
          <w:b/>
        </w:rPr>
        <w:t>Rapid placements</w:t>
      </w:r>
      <w:r>
        <w:t xml:space="preserve"> – shorter, more intense placements that give </w:t>
      </w:r>
      <w:r w:rsidR="005E68E9">
        <w:t>ITE students</w:t>
      </w:r>
      <w:r>
        <w:t xml:space="preserve"> exposure to regional, </w:t>
      </w:r>
      <w:proofErr w:type="gramStart"/>
      <w:r>
        <w:t>remote</w:t>
      </w:r>
      <w:proofErr w:type="gramEnd"/>
      <w:r>
        <w:t xml:space="preserve"> and rural contexts while mitigating the barriers they may face in accessing those placements. </w:t>
      </w:r>
    </w:p>
    <w:p w14:paraId="41DABD42" w14:textId="7ECA17FA" w:rsidR="00434873" w:rsidRDefault="00434873" w:rsidP="00D96B63">
      <w:pPr>
        <w:pStyle w:val="ListParagraph"/>
        <w:numPr>
          <w:ilvl w:val="0"/>
          <w:numId w:val="31"/>
        </w:numPr>
      </w:pPr>
      <w:r w:rsidRPr="00B86932">
        <w:rPr>
          <w:b/>
        </w:rPr>
        <w:t>Roaming supervisors</w:t>
      </w:r>
      <w:r>
        <w:t xml:space="preserve"> – engaging supervising teachers who ‘roam’ across regional, </w:t>
      </w:r>
      <w:proofErr w:type="gramStart"/>
      <w:r>
        <w:t>rural</w:t>
      </w:r>
      <w:proofErr w:type="gramEnd"/>
      <w:r>
        <w:t xml:space="preserve"> and remote contexts with groups of </w:t>
      </w:r>
      <w:r w:rsidR="005E68E9">
        <w:t>ITE students</w:t>
      </w:r>
      <w:r>
        <w:t xml:space="preserve"> in acknowledgement that schools in those areas may not have the capacity and capability to support high-quality placements.</w:t>
      </w:r>
    </w:p>
    <w:p w14:paraId="7F9B719A" w14:textId="77777777" w:rsidR="00434873" w:rsidRDefault="00434873" w:rsidP="00D96B63">
      <w:pPr>
        <w:pStyle w:val="ListParagraph"/>
        <w:numPr>
          <w:ilvl w:val="0"/>
          <w:numId w:val="31"/>
        </w:numPr>
      </w:pPr>
      <w:r w:rsidRPr="00F932F3">
        <w:rPr>
          <w:b/>
          <w:bCs/>
        </w:rPr>
        <w:t>Cultural competency support</w:t>
      </w:r>
      <w:r>
        <w:t xml:space="preserve"> – delivering practicum in a more culturally competent and safe way where, for example, placements involve interactions with Aboriginal and Torres Strait Islander learners and other stakeholders.</w:t>
      </w:r>
    </w:p>
    <w:p w14:paraId="0A4977C4" w14:textId="6F22D35E" w:rsidR="003C43CF" w:rsidRDefault="003C43CF" w:rsidP="00434873">
      <w:r>
        <w:lastRenderedPageBreak/>
        <w:t>T</w:t>
      </w:r>
      <w:r w:rsidR="00434873">
        <w:t>hese models could be evaluated for their potential to scale or transfer to other areas</w:t>
      </w:r>
      <w:r w:rsidR="65D9F143">
        <w:t>, noting they may present some challenges in particular contexts</w:t>
      </w:r>
      <w:r w:rsidR="00434873">
        <w:t>.</w:t>
      </w:r>
      <w:r w:rsidR="002C08EA">
        <w:t xml:space="preserve"> For example, an evaluation may examine the trade-off between the accessibility of </w:t>
      </w:r>
      <w:r w:rsidR="00EF3A1F">
        <w:t xml:space="preserve">virtual </w:t>
      </w:r>
      <w:r w:rsidR="009E7EF6">
        <w:t>placements</w:t>
      </w:r>
      <w:r w:rsidR="00EF3A1F">
        <w:t xml:space="preserve"> to interstate or metro students with </w:t>
      </w:r>
      <w:r>
        <w:t xml:space="preserve">potentially their increased feelings of disconnectedness with the </w:t>
      </w:r>
      <w:r w:rsidR="73AB9AB2">
        <w:t xml:space="preserve">local </w:t>
      </w:r>
      <w:r>
        <w:t>school community.</w:t>
      </w:r>
      <w:r w:rsidR="00434873">
        <w:t xml:space="preserve"> </w:t>
      </w:r>
      <w:r w:rsidR="6FFD02AE">
        <w:t>Learning these lessons may reveal opportunities for scaling certain models to other areas.</w:t>
      </w:r>
    </w:p>
    <w:p w14:paraId="144B2461" w14:textId="2C1DB22F" w:rsidR="00434873" w:rsidRDefault="00434873" w:rsidP="00434873">
      <w:r>
        <w:t>There is a broader system opportunity to build and disseminate best practice information, and to promote successful models that have been proven to make a difference. This could look like an ‘innovation library’, communications materials profiling innovative pilot approaches, awards to celebrate innovation, among other activities.</w:t>
      </w:r>
    </w:p>
    <w:p w14:paraId="21BF62A0" w14:textId="77777777" w:rsidR="00434873" w:rsidRDefault="00434873" w:rsidP="00434873"/>
    <w:p w14:paraId="46374F3E" w14:textId="77777777" w:rsidR="00434873" w:rsidRPr="00CF37FE" w:rsidRDefault="00434873" w:rsidP="00434873">
      <w:pPr>
        <w:rPr>
          <w:rFonts w:ascii="Arial Narrow" w:eastAsia="Arial Narrow" w:hAnsi="Arial Narrow" w:cs="Arial Narrow"/>
          <w:i/>
          <w:lang w:val="en-US"/>
        </w:rPr>
      </w:pPr>
      <w:r w:rsidRPr="00CF37FE">
        <w:rPr>
          <w:rFonts w:ascii="Arial Narrow" w:eastAsia="Arial Narrow" w:hAnsi="Arial Narrow" w:cs="Arial Narrow"/>
          <w:i/>
          <w:u w:val="single"/>
          <w:lang w:val="en-US"/>
        </w:rPr>
        <w:t>Case study: Virtual practicum, University of New England, NSW</w:t>
      </w:r>
    </w:p>
    <w:p w14:paraId="52E7E36D" w14:textId="3FEA7A1A" w:rsidR="00434873" w:rsidRPr="00CF37FE" w:rsidRDefault="00434873" w:rsidP="00434873">
      <w:pPr>
        <w:pStyle w:val="NoSpacing"/>
        <w:rPr>
          <w:i/>
          <w:lang w:val="en-US"/>
        </w:rPr>
      </w:pPr>
      <w:r w:rsidRPr="00CF37FE">
        <w:rPr>
          <w:i/>
          <w:lang w:val="en-US"/>
        </w:rPr>
        <w:t xml:space="preserve">The University of New England offers a </w:t>
      </w:r>
      <w:r w:rsidRPr="00CF37FE">
        <w:rPr>
          <w:rFonts w:ascii="Arial Narrow" w:eastAsia="Arial Narrow" w:hAnsi="Arial Narrow" w:cs="Arial Narrow"/>
          <w:i/>
          <w:lang w:val="en-US"/>
        </w:rPr>
        <w:t>10-day</w:t>
      </w:r>
      <w:r w:rsidRPr="00CF37FE">
        <w:rPr>
          <w:i/>
          <w:lang w:val="en-US"/>
        </w:rPr>
        <w:t xml:space="preserve"> virtual practicum. </w:t>
      </w:r>
      <w:r w:rsidR="00035AE6">
        <w:rPr>
          <w:i/>
          <w:lang w:val="en-US"/>
        </w:rPr>
        <w:t xml:space="preserve">This focuses on </w:t>
      </w:r>
      <w:r w:rsidRPr="00CF37FE">
        <w:rPr>
          <w:i/>
          <w:lang w:val="en-US"/>
        </w:rPr>
        <w:t xml:space="preserve">how to liaise with stakeholders </w:t>
      </w:r>
      <w:r w:rsidRPr="00CF37FE">
        <w:rPr>
          <w:i/>
        </w:rPr>
        <w:t>to</w:t>
      </w:r>
      <w:r w:rsidRPr="00CF37FE">
        <w:rPr>
          <w:i/>
          <w:lang w:val="en-US"/>
        </w:rPr>
        <w:t xml:space="preserve"> develop skills in quality feedback, reflective </w:t>
      </w:r>
      <w:proofErr w:type="gramStart"/>
      <w:r w:rsidRPr="00CF37FE">
        <w:rPr>
          <w:i/>
          <w:lang w:val="en-US"/>
        </w:rPr>
        <w:t>practice</w:t>
      </w:r>
      <w:proofErr w:type="gramEnd"/>
      <w:r w:rsidRPr="00CF37FE">
        <w:rPr>
          <w:i/>
          <w:lang w:val="en-US"/>
        </w:rPr>
        <w:t xml:space="preserve"> and the Graduate Australian Professional Standards for Teachers. This online practicum</w:t>
      </w:r>
      <w:r w:rsidR="000805D2">
        <w:rPr>
          <w:i/>
          <w:lang w:val="en-US"/>
        </w:rPr>
        <w:t xml:space="preserve"> placement</w:t>
      </w:r>
      <w:r w:rsidRPr="00CF37FE">
        <w:rPr>
          <w:i/>
          <w:lang w:val="en-US"/>
        </w:rPr>
        <w:t xml:space="preserve"> is focused on observation of classroom footage and is designed to encourage students to notice what to observe when teaching in school classrooms. While this practicum is</w:t>
      </w:r>
      <w:r w:rsidR="00035AE6">
        <w:rPr>
          <w:i/>
          <w:lang w:val="en-US"/>
        </w:rPr>
        <w:t xml:space="preserve"> not</w:t>
      </w:r>
      <w:r w:rsidRPr="00CF37FE">
        <w:rPr>
          <w:i/>
          <w:lang w:val="en-US"/>
        </w:rPr>
        <w:t xml:space="preserve"> </w:t>
      </w:r>
      <w:r w:rsidR="000805D2">
        <w:rPr>
          <w:i/>
          <w:lang w:val="en-US"/>
        </w:rPr>
        <w:t xml:space="preserve">focused on </w:t>
      </w:r>
      <w:r w:rsidRPr="00CF37FE">
        <w:rPr>
          <w:i/>
          <w:lang w:val="en-US"/>
        </w:rPr>
        <w:t xml:space="preserve">RRR practicum, it is an example of a model which could be to deliver professional experience in RRR contexts. </w:t>
      </w:r>
    </w:p>
    <w:p w14:paraId="250CA7A3" w14:textId="77777777" w:rsidR="00434873" w:rsidRPr="00CF37FE" w:rsidRDefault="00434873" w:rsidP="00434873">
      <w:pPr>
        <w:rPr>
          <w:rFonts w:ascii="Arial Narrow" w:eastAsia="Arial Narrow" w:hAnsi="Arial Narrow" w:cs="Arial Narrow"/>
          <w:i/>
          <w:szCs w:val="22"/>
          <w:u w:val="single"/>
        </w:rPr>
      </w:pPr>
    </w:p>
    <w:p w14:paraId="7187E64A" w14:textId="19EE340F" w:rsidR="00434873" w:rsidRPr="00CF37FE" w:rsidRDefault="00434873" w:rsidP="00434873">
      <w:pPr>
        <w:rPr>
          <w:rFonts w:ascii="Arial Narrow" w:eastAsia="Arial Narrow" w:hAnsi="Arial Narrow" w:cs="Arial Narrow"/>
          <w:i/>
          <w:lang w:val="en-US"/>
        </w:rPr>
      </w:pPr>
      <w:r w:rsidRPr="00CF37FE">
        <w:rPr>
          <w:rFonts w:ascii="Arial Narrow" w:eastAsia="Arial Narrow" w:hAnsi="Arial Narrow" w:cs="Arial Narrow"/>
          <w:i/>
          <w:u w:val="single"/>
        </w:rPr>
        <w:t>Case study: Partnering for Remote Education Experience Project (</w:t>
      </w:r>
      <w:proofErr w:type="spellStart"/>
      <w:r w:rsidRPr="00CF37FE">
        <w:rPr>
          <w:rFonts w:ascii="Arial Narrow" w:eastAsia="Arial Narrow" w:hAnsi="Arial Narrow" w:cs="Arial Narrow"/>
          <w:i/>
          <w:u w:val="single"/>
        </w:rPr>
        <w:t>PREEpard</w:t>
      </w:r>
      <w:proofErr w:type="spellEnd"/>
      <w:r w:rsidRPr="00CF37FE">
        <w:rPr>
          <w:rFonts w:ascii="Arial Narrow" w:eastAsia="Arial Narrow" w:hAnsi="Arial Narrow" w:cs="Arial Narrow"/>
          <w:i/>
          <w:u w:val="single"/>
        </w:rPr>
        <w:t xml:space="preserve">), </w:t>
      </w:r>
      <w:r w:rsidR="00035AE6">
        <w:rPr>
          <w:rFonts w:ascii="Arial Narrow" w:eastAsia="Arial Narrow" w:hAnsi="Arial Narrow" w:cs="Arial Narrow"/>
          <w:i/>
          <w:u w:val="single"/>
        </w:rPr>
        <w:t>Victorian Department of Education</w:t>
      </w:r>
      <w:r w:rsidRPr="00CF37FE">
        <w:rPr>
          <w:rFonts w:ascii="Arial Narrow" w:eastAsia="Arial Narrow" w:hAnsi="Arial Narrow" w:cs="Arial Narrow"/>
          <w:i/>
          <w:u w:val="single"/>
        </w:rPr>
        <w:t xml:space="preserve"> and Monash University </w:t>
      </w:r>
    </w:p>
    <w:p w14:paraId="059A8911" w14:textId="77A7570E" w:rsidR="00434873" w:rsidRPr="00CF37FE" w:rsidRDefault="00434873" w:rsidP="00434873">
      <w:pPr>
        <w:rPr>
          <w:rFonts w:ascii="Arial Narrow" w:eastAsia="Arial Narrow" w:hAnsi="Arial Narrow" w:cs="Arial Narrow"/>
          <w:i/>
          <w:szCs w:val="22"/>
          <w:lang w:val="en-US"/>
        </w:rPr>
      </w:pPr>
      <w:r w:rsidRPr="00CF37FE">
        <w:rPr>
          <w:rFonts w:ascii="Arial Narrow" w:eastAsia="Arial Narrow" w:hAnsi="Arial Narrow" w:cs="Arial Narrow"/>
          <w:i/>
          <w:szCs w:val="22"/>
        </w:rPr>
        <w:t xml:space="preserve">This project’s approach to </w:t>
      </w:r>
      <w:r w:rsidR="00F03E56">
        <w:rPr>
          <w:rFonts w:ascii="Arial Narrow" w:eastAsia="Arial Narrow" w:hAnsi="Arial Narrow" w:cs="Arial Narrow"/>
          <w:i/>
          <w:iCs/>
          <w:szCs w:val="22"/>
        </w:rPr>
        <w:t xml:space="preserve">ITE </w:t>
      </w:r>
      <w:proofErr w:type="gramStart"/>
      <w:r w:rsidR="00F03E56">
        <w:rPr>
          <w:rFonts w:ascii="Arial Narrow" w:eastAsia="Arial Narrow" w:hAnsi="Arial Narrow" w:cs="Arial Narrow"/>
          <w:i/>
          <w:iCs/>
          <w:szCs w:val="22"/>
        </w:rPr>
        <w:t>students</w:t>
      </w:r>
      <w:proofErr w:type="gramEnd"/>
      <w:r w:rsidRPr="00CF37FE">
        <w:rPr>
          <w:rFonts w:ascii="Arial Narrow" w:eastAsia="Arial Narrow" w:hAnsi="Arial Narrow" w:cs="Arial Narrow"/>
          <w:i/>
          <w:szCs w:val="22"/>
        </w:rPr>
        <w:t xml:space="preserve"> practicum</w:t>
      </w:r>
      <w:r w:rsidR="000805D2">
        <w:rPr>
          <w:rFonts w:ascii="Arial Narrow" w:eastAsia="Arial Narrow" w:hAnsi="Arial Narrow" w:cs="Arial Narrow"/>
          <w:i/>
          <w:szCs w:val="22"/>
        </w:rPr>
        <w:t xml:space="preserve"> placements</w:t>
      </w:r>
      <w:r w:rsidRPr="00CF37FE">
        <w:rPr>
          <w:rFonts w:ascii="Arial Narrow" w:eastAsia="Arial Narrow" w:hAnsi="Arial Narrow" w:cs="Arial Narrow"/>
          <w:i/>
          <w:szCs w:val="22"/>
        </w:rPr>
        <w:t xml:space="preserve"> in remote contexts was underpinned by strong school, community and ITE provider relationships. The project provided high-level recruitment, preparation, resources, </w:t>
      </w:r>
      <w:proofErr w:type="gramStart"/>
      <w:r w:rsidRPr="00CF37FE">
        <w:rPr>
          <w:rFonts w:ascii="Arial Narrow" w:eastAsia="Arial Narrow" w:hAnsi="Arial Narrow" w:cs="Arial Narrow"/>
          <w:i/>
          <w:szCs w:val="22"/>
        </w:rPr>
        <w:t>support</w:t>
      </w:r>
      <w:proofErr w:type="gramEnd"/>
      <w:r w:rsidRPr="00CF37FE">
        <w:rPr>
          <w:rFonts w:ascii="Arial Narrow" w:eastAsia="Arial Narrow" w:hAnsi="Arial Narrow" w:cs="Arial Narrow"/>
          <w:i/>
          <w:szCs w:val="22"/>
        </w:rPr>
        <w:t xml:space="preserve"> and guidance to </w:t>
      </w:r>
      <w:r w:rsidR="00F03E56">
        <w:rPr>
          <w:rFonts w:ascii="Arial Narrow" w:eastAsia="Arial Narrow" w:hAnsi="Arial Narrow" w:cs="Arial Narrow"/>
          <w:i/>
          <w:iCs/>
          <w:szCs w:val="22"/>
        </w:rPr>
        <w:t>ITE students</w:t>
      </w:r>
      <w:r w:rsidRPr="00CF37FE">
        <w:rPr>
          <w:rFonts w:ascii="Arial Narrow" w:eastAsia="Arial Narrow" w:hAnsi="Arial Narrow" w:cs="Arial Narrow"/>
          <w:i/>
          <w:szCs w:val="22"/>
        </w:rPr>
        <w:t xml:space="preserve"> completing their practicum</w:t>
      </w:r>
      <w:r w:rsidR="009E7EF6">
        <w:rPr>
          <w:rFonts w:ascii="Arial Narrow" w:eastAsia="Arial Narrow" w:hAnsi="Arial Narrow" w:cs="Arial Narrow"/>
          <w:i/>
          <w:szCs w:val="22"/>
        </w:rPr>
        <w:t xml:space="preserve"> placements</w:t>
      </w:r>
      <w:r w:rsidRPr="00CF37FE">
        <w:rPr>
          <w:rFonts w:ascii="Arial Narrow" w:eastAsia="Arial Narrow" w:hAnsi="Arial Narrow" w:cs="Arial Narrow"/>
          <w:i/>
          <w:szCs w:val="22"/>
        </w:rPr>
        <w:t xml:space="preserve"> in RRR context. </w:t>
      </w:r>
      <w:r w:rsidR="00C6085E">
        <w:rPr>
          <w:rFonts w:ascii="Arial Narrow" w:eastAsia="Arial Narrow" w:hAnsi="Arial Narrow" w:cs="Arial Narrow"/>
          <w:i/>
          <w:szCs w:val="22"/>
        </w:rPr>
        <w:t>R</w:t>
      </w:r>
      <w:r w:rsidRPr="00CF37FE">
        <w:rPr>
          <w:rFonts w:ascii="Arial Narrow" w:eastAsia="Arial Narrow" w:hAnsi="Arial Narrow" w:cs="Arial Narrow"/>
          <w:i/>
          <w:szCs w:val="22"/>
        </w:rPr>
        <w:t xml:space="preserve">esearchers developed curriculum and professional experience resources for ITE providers to use to prepare </w:t>
      </w:r>
      <w:r w:rsidR="00F03E56">
        <w:rPr>
          <w:rFonts w:ascii="Arial Narrow" w:eastAsia="Arial Narrow" w:hAnsi="Arial Narrow" w:cs="Arial Narrow"/>
          <w:i/>
          <w:iCs/>
          <w:szCs w:val="22"/>
        </w:rPr>
        <w:t>ITE students</w:t>
      </w:r>
      <w:r w:rsidRPr="00CF37FE">
        <w:rPr>
          <w:rFonts w:ascii="Arial Narrow" w:eastAsia="Arial Narrow" w:hAnsi="Arial Narrow" w:cs="Arial Narrow"/>
          <w:i/>
          <w:szCs w:val="22"/>
        </w:rPr>
        <w:t xml:space="preserve"> for placements in schools and remote Aboriginal </w:t>
      </w:r>
      <w:r w:rsidR="00C6085E">
        <w:rPr>
          <w:rFonts w:ascii="Arial Narrow" w:eastAsia="Arial Narrow" w:hAnsi="Arial Narrow" w:cs="Arial Narrow"/>
          <w:i/>
          <w:szCs w:val="22"/>
        </w:rPr>
        <w:t>and Torres Strait communities</w:t>
      </w:r>
      <w:r w:rsidRPr="00CF37FE">
        <w:rPr>
          <w:rFonts w:ascii="Arial Narrow" w:eastAsia="Arial Narrow" w:hAnsi="Arial Narrow" w:cs="Arial Narrow"/>
          <w:i/>
          <w:szCs w:val="22"/>
        </w:rPr>
        <w:t>, including:</w:t>
      </w:r>
    </w:p>
    <w:p w14:paraId="1488FF1C" w14:textId="215B1F4C" w:rsidR="00434873" w:rsidRPr="00CF37FE" w:rsidRDefault="00434873" w:rsidP="00D96B63">
      <w:pPr>
        <w:pStyle w:val="ListParagraph"/>
        <w:numPr>
          <w:ilvl w:val="0"/>
          <w:numId w:val="25"/>
        </w:numPr>
        <w:rPr>
          <w:rFonts w:ascii="Arial Narrow" w:eastAsia="Arial Narrow" w:hAnsi="Arial Narrow" w:cs="Arial Narrow"/>
          <w:i/>
          <w:szCs w:val="22"/>
          <w:lang w:val="en-US"/>
        </w:rPr>
      </w:pPr>
      <w:r w:rsidRPr="00CF37FE">
        <w:rPr>
          <w:rFonts w:ascii="Arial Narrow" w:eastAsia="Arial Narrow" w:hAnsi="Arial Narrow" w:cs="Arial Narrow"/>
          <w:i/>
          <w:szCs w:val="22"/>
        </w:rPr>
        <w:t xml:space="preserve">A literature review providing background </w:t>
      </w:r>
      <w:proofErr w:type="gramStart"/>
      <w:r w:rsidRPr="00CF37FE">
        <w:rPr>
          <w:rFonts w:ascii="Arial Narrow" w:eastAsia="Arial Narrow" w:hAnsi="Arial Narrow" w:cs="Arial Narrow"/>
          <w:i/>
          <w:szCs w:val="22"/>
        </w:rPr>
        <w:t>information</w:t>
      </w:r>
      <w:r w:rsidR="000805D2">
        <w:rPr>
          <w:rFonts w:ascii="Arial Narrow" w:eastAsia="Arial Narrow" w:hAnsi="Arial Narrow" w:cs="Arial Narrow"/>
          <w:i/>
          <w:szCs w:val="22"/>
        </w:rPr>
        <w:t>;</w:t>
      </w:r>
      <w:proofErr w:type="gramEnd"/>
    </w:p>
    <w:p w14:paraId="66AF95E8" w14:textId="3FCC7702" w:rsidR="00434873" w:rsidRPr="00CF37FE" w:rsidRDefault="00434873" w:rsidP="00D96B63">
      <w:pPr>
        <w:pStyle w:val="ListParagraph"/>
        <w:numPr>
          <w:ilvl w:val="0"/>
          <w:numId w:val="25"/>
        </w:numPr>
        <w:rPr>
          <w:rFonts w:ascii="Arial Narrow" w:eastAsia="Arial Narrow" w:hAnsi="Arial Narrow" w:cs="Arial Narrow"/>
          <w:i/>
          <w:szCs w:val="22"/>
          <w:lang w:val="en-US"/>
        </w:rPr>
      </w:pPr>
      <w:r w:rsidRPr="00CF37FE">
        <w:rPr>
          <w:rFonts w:ascii="Arial Narrow" w:eastAsia="Arial Narrow" w:hAnsi="Arial Narrow" w:cs="Arial Narrow"/>
          <w:i/>
          <w:szCs w:val="22"/>
        </w:rPr>
        <w:t xml:space="preserve">A set of protocols and principles to guide remote placement </w:t>
      </w:r>
      <w:proofErr w:type="gramStart"/>
      <w:r w:rsidRPr="00CF37FE">
        <w:rPr>
          <w:rFonts w:ascii="Arial Narrow" w:eastAsia="Arial Narrow" w:hAnsi="Arial Narrow" w:cs="Arial Narrow"/>
          <w:i/>
          <w:szCs w:val="22"/>
        </w:rPr>
        <w:t>experience</w:t>
      </w:r>
      <w:r w:rsidR="000805D2">
        <w:rPr>
          <w:rFonts w:ascii="Arial Narrow" w:eastAsia="Arial Narrow" w:hAnsi="Arial Narrow" w:cs="Arial Narrow"/>
          <w:i/>
          <w:szCs w:val="22"/>
        </w:rPr>
        <w:t>;</w:t>
      </w:r>
      <w:proofErr w:type="gramEnd"/>
    </w:p>
    <w:p w14:paraId="7916E315" w14:textId="2C74F71C" w:rsidR="00434873" w:rsidRPr="00CF37FE" w:rsidRDefault="00434873" w:rsidP="00D96B63">
      <w:pPr>
        <w:pStyle w:val="ListParagraph"/>
        <w:numPr>
          <w:ilvl w:val="0"/>
          <w:numId w:val="25"/>
        </w:numPr>
        <w:rPr>
          <w:rFonts w:ascii="Arial Narrow" w:eastAsia="Arial Narrow" w:hAnsi="Arial Narrow" w:cs="Arial Narrow"/>
          <w:i/>
          <w:szCs w:val="22"/>
          <w:lang w:val="en-US"/>
        </w:rPr>
      </w:pPr>
      <w:r w:rsidRPr="00CF37FE">
        <w:rPr>
          <w:rFonts w:ascii="Arial Narrow" w:eastAsia="Arial Narrow" w:hAnsi="Arial Narrow" w:cs="Arial Narrow"/>
          <w:i/>
          <w:szCs w:val="22"/>
        </w:rPr>
        <w:t>An Indigenous Curriculum unit outline for use in ITE programs that focussed on Indigenous Studies and Indigenous Education</w:t>
      </w:r>
      <w:r w:rsidR="000805D2">
        <w:rPr>
          <w:rFonts w:ascii="Arial Narrow" w:eastAsia="Arial Narrow" w:hAnsi="Arial Narrow" w:cs="Arial Narrow"/>
          <w:i/>
          <w:szCs w:val="22"/>
        </w:rPr>
        <w:t>; and</w:t>
      </w:r>
    </w:p>
    <w:p w14:paraId="607A1DA3" w14:textId="1E38A957" w:rsidR="00B142AC" w:rsidRPr="00EF7CCF" w:rsidRDefault="00434873" w:rsidP="00D96B63">
      <w:pPr>
        <w:pStyle w:val="ListParagraph"/>
        <w:numPr>
          <w:ilvl w:val="0"/>
          <w:numId w:val="25"/>
        </w:numPr>
        <w:rPr>
          <w:rFonts w:ascii="Arial Narrow" w:eastAsia="Arial Narrow" w:hAnsi="Arial Narrow" w:cs="Arial Narrow"/>
          <w:i/>
          <w:szCs w:val="22"/>
          <w:lang w:val="en-US"/>
        </w:rPr>
      </w:pPr>
      <w:r w:rsidRPr="00CF37FE">
        <w:rPr>
          <w:rFonts w:ascii="Arial Narrow" w:eastAsia="Arial Narrow" w:hAnsi="Arial Narrow" w:cs="Arial Narrow"/>
          <w:i/>
          <w:szCs w:val="22"/>
        </w:rPr>
        <w:t xml:space="preserve">A capstone module divided into pre-, </w:t>
      </w:r>
      <w:r w:rsidR="00EF7CCF">
        <w:rPr>
          <w:rFonts w:ascii="Arial Narrow" w:eastAsia="Arial Narrow" w:hAnsi="Arial Narrow" w:cs="Arial Narrow"/>
          <w:i/>
          <w:szCs w:val="22"/>
        </w:rPr>
        <w:t>mid-</w:t>
      </w:r>
      <w:r w:rsidRPr="00CF37FE">
        <w:rPr>
          <w:rFonts w:ascii="Arial Narrow" w:eastAsia="Arial Narrow" w:hAnsi="Arial Narrow" w:cs="Arial Narrow"/>
          <w:i/>
          <w:szCs w:val="22"/>
        </w:rPr>
        <w:t xml:space="preserve">, and post-practicum learning, </w:t>
      </w:r>
      <w:proofErr w:type="gramStart"/>
      <w:r w:rsidRPr="00CF37FE">
        <w:rPr>
          <w:rFonts w:ascii="Arial Narrow" w:eastAsia="Arial Narrow" w:hAnsi="Arial Narrow" w:cs="Arial Narrow"/>
          <w:i/>
          <w:szCs w:val="22"/>
        </w:rPr>
        <w:t>practice</w:t>
      </w:r>
      <w:proofErr w:type="gramEnd"/>
      <w:r w:rsidRPr="00CF37FE">
        <w:rPr>
          <w:rFonts w:ascii="Arial Narrow" w:eastAsia="Arial Narrow" w:hAnsi="Arial Narrow" w:cs="Arial Narrow"/>
          <w:i/>
          <w:szCs w:val="22"/>
        </w:rPr>
        <w:t xml:space="preserve"> and reflection, to guide and strengthen practicum experiences</w:t>
      </w:r>
      <w:r w:rsidR="000805D2">
        <w:rPr>
          <w:rFonts w:ascii="Arial Narrow" w:eastAsia="Arial Narrow" w:hAnsi="Arial Narrow" w:cs="Arial Narrow"/>
          <w:i/>
          <w:szCs w:val="22"/>
        </w:rPr>
        <w:t>.</w:t>
      </w:r>
    </w:p>
    <w:p w14:paraId="19F9F4F1" w14:textId="696B5EEC" w:rsidR="0E84C444" w:rsidRDefault="0E84C444" w:rsidP="26CC4756">
      <w:pPr>
        <w:spacing w:after="160" w:line="259" w:lineRule="auto"/>
        <w:rPr>
          <w:i/>
          <w:iCs/>
          <w:highlight w:val="yellow"/>
          <w:u w:val="single"/>
          <w:lang w:val="en-US"/>
        </w:rPr>
      </w:pPr>
    </w:p>
    <w:p w14:paraId="0A8B49B4" w14:textId="77777777" w:rsidR="00B142AC" w:rsidRDefault="00B142AC" w:rsidP="00B142AC">
      <w:pPr>
        <w:pBdr>
          <w:top w:val="single" w:sz="4" w:space="1" w:color="auto"/>
          <w:left w:val="single" w:sz="4" w:space="4" w:color="auto"/>
          <w:bottom w:val="single" w:sz="4" w:space="1" w:color="auto"/>
          <w:right w:val="single" w:sz="4" w:space="4" w:color="auto"/>
        </w:pBdr>
        <w:rPr>
          <w:i/>
          <w:iCs/>
        </w:rPr>
      </w:pPr>
      <w:r>
        <w:rPr>
          <w:i/>
          <w:iCs/>
        </w:rPr>
        <w:t>Stakeholder consultation questions:</w:t>
      </w:r>
    </w:p>
    <w:p w14:paraId="1C9726C8" w14:textId="77777777" w:rsidR="00B142AC" w:rsidRDefault="00B142AC" w:rsidP="00D96B63">
      <w:pPr>
        <w:pStyle w:val="ListParagraph"/>
        <w:numPr>
          <w:ilvl w:val="0"/>
          <w:numId w:val="16"/>
        </w:numPr>
        <w:pBdr>
          <w:top w:val="single" w:sz="4" w:space="1" w:color="auto"/>
          <w:left w:val="single" w:sz="4" w:space="4" w:color="auto"/>
          <w:bottom w:val="single" w:sz="4" w:space="1" w:color="auto"/>
          <w:right w:val="single" w:sz="4" w:space="4" w:color="auto"/>
        </w:pBdr>
      </w:pPr>
      <w:r>
        <w:t>Which of these opportunities should the sector prioritise? Why?</w:t>
      </w:r>
    </w:p>
    <w:p w14:paraId="6DB77675" w14:textId="77777777" w:rsidR="00B142AC" w:rsidRDefault="00B142AC" w:rsidP="00D96B63">
      <w:pPr>
        <w:pStyle w:val="ListParagraph"/>
        <w:numPr>
          <w:ilvl w:val="0"/>
          <w:numId w:val="16"/>
        </w:numPr>
        <w:pBdr>
          <w:top w:val="single" w:sz="4" w:space="1" w:color="auto"/>
          <w:left w:val="single" w:sz="4" w:space="4" w:color="auto"/>
          <w:bottom w:val="single" w:sz="4" w:space="1" w:color="auto"/>
          <w:right w:val="single" w:sz="4" w:space="4" w:color="auto"/>
        </w:pBdr>
      </w:pPr>
      <w:r>
        <w:t xml:space="preserve">What are the risks associated with these opportunities? </w:t>
      </w:r>
    </w:p>
    <w:p w14:paraId="3248625D" w14:textId="77777777" w:rsidR="00B142AC" w:rsidRPr="00DA1C0F" w:rsidRDefault="00B142AC" w:rsidP="00D96B63">
      <w:pPr>
        <w:pStyle w:val="ListParagraph"/>
        <w:numPr>
          <w:ilvl w:val="0"/>
          <w:numId w:val="16"/>
        </w:numPr>
        <w:pBdr>
          <w:top w:val="single" w:sz="4" w:space="1" w:color="auto"/>
          <w:left w:val="single" w:sz="4" w:space="4" w:color="auto"/>
          <w:bottom w:val="single" w:sz="4" w:space="1" w:color="auto"/>
          <w:right w:val="single" w:sz="4" w:space="4" w:color="auto"/>
        </w:pBdr>
      </w:pPr>
      <w:r>
        <w:t>Are there other opportunities we haven’t identified?</w:t>
      </w:r>
    </w:p>
    <w:p w14:paraId="1DF24701" w14:textId="77777777" w:rsidR="00B142AC" w:rsidRDefault="00B142AC" w:rsidP="00B142AC">
      <w:pPr>
        <w:rPr>
          <w:b/>
          <w:bCs/>
        </w:rPr>
      </w:pPr>
    </w:p>
    <w:p w14:paraId="2AF20AE2" w14:textId="77777777" w:rsidR="00434873" w:rsidRDefault="00434873" w:rsidP="00434873">
      <w:pPr>
        <w:pStyle w:val="NoSpacing"/>
        <w:rPr>
          <w:rFonts w:ascii="Arial Narrow" w:eastAsia="Arial Narrow" w:hAnsi="Arial Narrow" w:cs="Arial Narrow"/>
          <w:lang w:val="en-US"/>
        </w:rPr>
      </w:pPr>
    </w:p>
    <w:p w14:paraId="2298505A" w14:textId="77777777" w:rsidR="00434873" w:rsidRDefault="00434873" w:rsidP="00CF37FE">
      <w:pPr>
        <w:pStyle w:val="Heading1"/>
      </w:pPr>
      <w:r>
        <w:t xml:space="preserve">Key considerations </w:t>
      </w:r>
    </w:p>
    <w:p w14:paraId="484F54C7" w14:textId="77777777" w:rsidR="00434873" w:rsidRDefault="00434873" w:rsidP="00434873">
      <w:r>
        <w:t xml:space="preserve">Cost and regulation are two key considerations that may influence system opportunities to improve the delivery of consistent, high-quality practicum placements across different jurisdictions and providers. </w:t>
      </w:r>
    </w:p>
    <w:p w14:paraId="2FF3033E" w14:textId="77777777" w:rsidR="00296A3A" w:rsidRDefault="00296A3A" w:rsidP="00434873"/>
    <w:p w14:paraId="26742618" w14:textId="3012E28A" w:rsidR="00434873" w:rsidRPr="00072A7E" w:rsidRDefault="00434873" w:rsidP="00CF37FE">
      <w:pPr>
        <w:pStyle w:val="Heading2"/>
      </w:pPr>
      <w:r>
        <w:t>Costs associated with delivering high-quality practicum</w:t>
      </w:r>
      <w:r w:rsidR="009E7EF6">
        <w:t xml:space="preserve"> placements</w:t>
      </w:r>
    </w:p>
    <w:p w14:paraId="50E62B5A" w14:textId="77777777" w:rsidR="00434873" w:rsidRDefault="00434873" w:rsidP="00434873">
      <w:r>
        <w:t xml:space="preserve">Practicum placements are a relatively expensive component of an ITE program. ITE providers estimate that the cost of delivering placements has increased over time, due to higher expectations for quality and the costs associated with bespoke matching and coordination processes (a provider, for example, may employ multiple officers who are responsible for these processes). </w:t>
      </w:r>
    </w:p>
    <w:p w14:paraId="291A0439" w14:textId="77777777" w:rsidR="00434873" w:rsidRDefault="00434873" w:rsidP="00434873">
      <w:r>
        <w:t>The current level of funding may not be adequate to cover the costs of delivering high-quality placements in every context. Current funding arrangements see funding for practicum bundled into broader base funding for providers, which make choices about how much of this funding they allocate towards practicum placements in practice. Some providers may pass on all – or even more – than this funding towards their placements, whereas others may use some funding for other components of their ITE program.</w:t>
      </w:r>
    </w:p>
    <w:p w14:paraId="0BBA5F3C" w14:textId="77777777" w:rsidR="00EB3E67" w:rsidRDefault="00A45B3E" w:rsidP="00434873">
      <w:r>
        <w:t>Funding also plays a role in</w:t>
      </w:r>
      <w:r w:rsidR="00351F07">
        <w:t xml:space="preserve"> system-level incentivisation of practicum supervision, </w:t>
      </w:r>
      <w:r w:rsidR="00EB3E67">
        <w:t xml:space="preserve">to ensure participation by high-quality teachers who are motivated to mentor the next generation of teachers. This may occur: </w:t>
      </w:r>
    </w:p>
    <w:p w14:paraId="1D6E0BF2" w14:textId="6CA61D4C" w:rsidR="00EB3E67" w:rsidRDefault="00EB3E67" w:rsidP="00D96B63">
      <w:pPr>
        <w:pStyle w:val="ListParagraph"/>
        <w:numPr>
          <w:ilvl w:val="0"/>
          <w:numId w:val="43"/>
        </w:numPr>
      </w:pPr>
      <w:r w:rsidRPr="00EB3E67">
        <w:rPr>
          <w:b/>
          <w:bCs/>
        </w:rPr>
        <w:t>D</w:t>
      </w:r>
      <w:r w:rsidR="00AE1436" w:rsidRPr="00EB3E67">
        <w:rPr>
          <w:b/>
          <w:bCs/>
        </w:rPr>
        <w:t>irectly</w:t>
      </w:r>
      <w:r w:rsidR="00AE1436">
        <w:t xml:space="preserve"> </w:t>
      </w:r>
      <w:r>
        <w:t xml:space="preserve">– providing </w:t>
      </w:r>
      <w:r w:rsidR="00876125">
        <w:t>some renumeration in recognition of their time</w:t>
      </w:r>
      <w:r>
        <w:t>;</w:t>
      </w:r>
      <w:r w:rsidR="00876125">
        <w:t xml:space="preserve"> or </w:t>
      </w:r>
    </w:p>
    <w:p w14:paraId="741BE815" w14:textId="587E054B" w:rsidR="00A45B3E" w:rsidRDefault="00EB3E67" w:rsidP="00D96B63">
      <w:pPr>
        <w:pStyle w:val="ListParagraph"/>
        <w:numPr>
          <w:ilvl w:val="0"/>
          <w:numId w:val="43"/>
        </w:numPr>
      </w:pPr>
      <w:r w:rsidRPr="00EB3E67">
        <w:rPr>
          <w:b/>
          <w:bCs/>
        </w:rPr>
        <w:t>I</w:t>
      </w:r>
      <w:r w:rsidR="00876125" w:rsidRPr="00EB3E67">
        <w:rPr>
          <w:b/>
          <w:bCs/>
        </w:rPr>
        <w:t>ndirectly</w:t>
      </w:r>
      <w:r w:rsidR="007C6D9E">
        <w:t xml:space="preserve"> </w:t>
      </w:r>
      <w:r>
        <w:t xml:space="preserve">– by </w:t>
      </w:r>
      <w:r w:rsidR="007C6D9E">
        <w:t xml:space="preserve">covering the cost of time release or workload reductions (including </w:t>
      </w:r>
      <w:r w:rsidR="00DF7255">
        <w:t xml:space="preserve">for </w:t>
      </w:r>
      <w:r w:rsidR="007C6D9E">
        <w:t>non-teaching duties, such as administrative tasks).</w:t>
      </w:r>
    </w:p>
    <w:p w14:paraId="28441821" w14:textId="77777777" w:rsidR="00173B3C" w:rsidRDefault="00173B3C" w:rsidP="00434873"/>
    <w:p w14:paraId="6620C117" w14:textId="77777777" w:rsidR="00434873" w:rsidRDefault="00434873" w:rsidP="00CF37FE">
      <w:pPr>
        <w:pStyle w:val="Heading2"/>
      </w:pPr>
      <w:r>
        <w:t>Fit-for-purpose regulation of ITE and the teaching profession</w:t>
      </w:r>
    </w:p>
    <w:p w14:paraId="119C8D03" w14:textId="77777777" w:rsidR="00434873" w:rsidRDefault="00434873" w:rsidP="00434873">
      <w:r>
        <w:t xml:space="preserve">Regulatory approaches can support or hinder the delivery of high-quality practicum placements. However, these approaches need to strike the right balance between prescribing boundaries for best-practice and providing flexibility to accommodate different contexts. </w:t>
      </w:r>
    </w:p>
    <w:p w14:paraId="3DDA7705" w14:textId="77777777" w:rsidR="00434873" w:rsidRDefault="00434873" w:rsidP="00434873">
      <w:r>
        <w:t>For example:</w:t>
      </w:r>
    </w:p>
    <w:p w14:paraId="0114C6DF" w14:textId="02D79D84" w:rsidR="00434873" w:rsidRDefault="00434873" w:rsidP="00D96B63">
      <w:pPr>
        <w:pStyle w:val="ListParagraph"/>
        <w:numPr>
          <w:ilvl w:val="0"/>
          <w:numId w:val="33"/>
        </w:numPr>
      </w:pPr>
      <w:r w:rsidRPr="26CC4756">
        <w:rPr>
          <w:b/>
          <w:bCs/>
        </w:rPr>
        <w:t>Jurisdiction-level agreements</w:t>
      </w:r>
      <w:r w:rsidRPr="26CC4756">
        <w:rPr>
          <w:i/>
          <w:iCs/>
        </w:rPr>
        <w:t xml:space="preserve"> </w:t>
      </w:r>
      <w:r>
        <w:t xml:space="preserve">between government, employers and ITE providers can provide a high-level framework for the design and delivery of practicum placements </w:t>
      </w:r>
      <w:r w:rsidR="378B94D0">
        <w:t>in each</w:t>
      </w:r>
      <w:r>
        <w:t xml:space="preserve"> jurisdiction. </w:t>
      </w:r>
    </w:p>
    <w:p w14:paraId="1B96CBD8" w14:textId="77777777" w:rsidR="00575A77" w:rsidRDefault="00434873" w:rsidP="00D96B63">
      <w:pPr>
        <w:pStyle w:val="ListParagraph"/>
        <w:numPr>
          <w:ilvl w:val="0"/>
          <w:numId w:val="33"/>
        </w:numPr>
      </w:pPr>
      <w:r>
        <w:t xml:space="preserve">The </w:t>
      </w:r>
      <w:r w:rsidRPr="00B86932">
        <w:rPr>
          <w:b/>
        </w:rPr>
        <w:t>ITE accreditation standards</w:t>
      </w:r>
      <w:r>
        <w:t xml:space="preserve"> prescribe a minimum number of practicum days but are largely ambiguous on other aspects of practicum. </w:t>
      </w:r>
    </w:p>
    <w:p w14:paraId="2C1077A2" w14:textId="75E528CE" w:rsidR="00E1451A" w:rsidRDefault="00434873" w:rsidP="00D96B63">
      <w:pPr>
        <w:pStyle w:val="ListParagraph"/>
        <w:numPr>
          <w:ilvl w:val="0"/>
          <w:numId w:val="33"/>
        </w:numPr>
      </w:pPr>
      <w:r>
        <w:lastRenderedPageBreak/>
        <w:t xml:space="preserve">The </w:t>
      </w:r>
      <w:r w:rsidRPr="26CC4756">
        <w:rPr>
          <w:b/>
          <w:bCs/>
        </w:rPr>
        <w:t>Australian Professional Standards for Teachers</w:t>
      </w:r>
      <w:r>
        <w:t xml:space="preserve"> do not currently specify expectations that teachers at the Proficient level will supervise and mentor </w:t>
      </w:r>
      <w:r w:rsidR="009E6739">
        <w:t>ITE students</w:t>
      </w:r>
      <w:r>
        <w:t xml:space="preserve">, despite teachers at this level accounting for a vast majority of the teacher workforce. </w:t>
      </w:r>
      <w:r w:rsidR="00FA2435">
        <w:t xml:space="preserve">Accepting mentor hours as a contribution towards ongoing professional learning requirements, for example, may </w:t>
      </w:r>
      <w:r w:rsidR="4B3C743A">
        <w:t xml:space="preserve">encourage </w:t>
      </w:r>
      <w:r w:rsidR="00FA2435">
        <w:t>greater uptake</w:t>
      </w:r>
      <w:r w:rsidR="1310609E">
        <w:t xml:space="preserve"> of mentor roles</w:t>
      </w:r>
      <w:r w:rsidR="00FA2435">
        <w:t>.</w:t>
      </w:r>
    </w:p>
    <w:p w14:paraId="6CD75448" w14:textId="3DC872A6" w:rsidR="00261151" w:rsidRPr="000C65AD" w:rsidRDefault="00E1451A" w:rsidP="000C65AD">
      <w:r>
        <w:t>However, m</w:t>
      </w:r>
      <w:r w:rsidR="00434873">
        <w:t>ore regulation has the potential to stifle innovation or lead to adverse and unforeseen impacts on how requirements are satisfied. For example, mandating links between co</w:t>
      </w:r>
      <w:r w:rsidR="009E7EF6">
        <w:t xml:space="preserve">urse </w:t>
      </w:r>
      <w:r w:rsidR="00434873">
        <w:t>content and practicum</w:t>
      </w:r>
      <w:r w:rsidR="009E7EF6">
        <w:t xml:space="preserve"> placements</w:t>
      </w:r>
      <w:r w:rsidR="00434873">
        <w:t xml:space="preserve"> may not be possible in schools without appropriate capacity to support those learning goals. Any </w:t>
      </w:r>
      <w:r w:rsidR="00D9289F">
        <w:t>further</w:t>
      </w:r>
      <w:r w:rsidR="00434873">
        <w:t xml:space="preserve"> regulation to standardise delivery would face similar implementation challenges to </w:t>
      </w:r>
      <w:r w:rsidR="00D9289F">
        <w:t>those in the past</w:t>
      </w:r>
      <w:r w:rsidR="00434873">
        <w:t>, due to high variation in school contexts and resources.</w:t>
      </w:r>
      <w:r w:rsidR="002E20F9">
        <w:t xml:space="preserve"> </w:t>
      </w:r>
    </w:p>
    <w:sectPr w:rsidR="00261151" w:rsidRPr="000C65AD" w:rsidSect="003C0FE1">
      <w:headerReference w:type="default" r:id="rId11"/>
      <w:footerReference w:type="default" r:id="rId12"/>
      <w:headerReference w:type="first" r:id="rId13"/>
      <w:footerReference w:type="first" r:id="rId14"/>
      <w:pgSz w:w="11906" w:h="16838" w:code="9"/>
      <w:pgMar w:top="720" w:right="1134" w:bottom="72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9B0F" w14:textId="77777777" w:rsidR="004C24FC" w:rsidRDefault="004C24FC" w:rsidP="00A13F5D">
      <w:r>
        <w:separator/>
      </w:r>
    </w:p>
    <w:p w14:paraId="5696557B" w14:textId="77777777" w:rsidR="004C24FC" w:rsidRDefault="004C24FC"/>
    <w:p w14:paraId="605A3104" w14:textId="77777777" w:rsidR="004C24FC" w:rsidRDefault="004C24FC"/>
    <w:p w14:paraId="7F173E6A" w14:textId="77777777" w:rsidR="004C24FC" w:rsidRDefault="004C24FC"/>
  </w:endnote>
  <w:endnote w:type="continuationSeparator" w:id="0">
    <w:p w14:paraId="73A20F91" w14:textId="77777777" w:rsidR="004C24FC" w:rsidRDefault="004C24FC" w:rsidP="00A13F5D">
      <w:r>
        <w:continuationSeparator/>
      </w:r>
    </w:p>
    <w:p w14:paraId="2B3C1FDE" w14:textId="77777777" w:rsidR="004C24FC" w:rsidRDefault="004C24FC"/>
    <w:p w14:paraId="3C9F5A98" w14:textId="77777777" w:rsidR="004C24FC" w:rsidRDefault="004C24FC"/>
    <w:p w14:paraId="486355FB" w14:textId="77777777" w:rsidR="004C24FC" w:rsidRDefault="004C24FC"/>
  </w:endnote>
  <w:endnote w:type="continuationNotice" w:id="1">
    <w:p w14:paraId="100DF864" w14:textId="77777777" w:rsidR="004C24FC" w:rsidRDefault="004C2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badi">
    <w:panose1 w:val="020B0604020104020204"/>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843"/>
      <w:gridCol w:w="7795"/>
    </w:tblGrid>
    <w:tr w:rsidR="003C3561" w:rsidRPr="00776420" w14:paraId="0DADA5C4" w14:textId="77777777" w:rsidTr="005E30A8">
      <w:trPr>
        <w:trHeight w:val="340"/>
      </w:trPr>
      <w:tc>
        <w:tcPr>
          <w:tcW w:w="956" w:type="pct"/>
          <w:vAlign w:val="bottom"/>
        </w:tcPr>
        <w:p w14:paraId="31FE90B6" w14:textId="77777777" w:rsidR="003C3561" w:rsidRPr="002C5F08" w:rsidRDefault="003C3561" w:rsidP="00B20B55">
          <w:pPr>
            <w:pStyle w:val="FooterHeading"/>
          </w:pPr>
          <w:r>
            <w:rPr>
              <w:noProof/>
              <w:lang w:val="en-US"/>
            </w:rPr>
            <w:drawing>
              <wp:inline distT="0" distB="0" distL="0" distR="0" wp14:anchorId="3453E0AA" wp14:editId="10DEB8B2">
                <wp:extent cx="553846" cy="90000"/>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3846" cy="90000"/>
                        </a:xfrm>
                        <a:prstGeom prst="rect">
                          <a:avLst/>
                        </a:prstGeom>
                        <a:noFill/>
                        <a:ln w="9525">
                          <a:noFill/>
                          <a:miter lim="800000"/>
                          <a:headEnd/>
                          <a:tailEnd/>
                        </a:ln>
                      </pic:spPr>
                    </pic:pic>
                  </a:graphicData>
                </a:graphic>
              </wp:inline>
            </w:drawing>
          </w:r>
        </w:p>
      </w:tc>
      <w:tc>
        <w:tcPr>
          <w:tcW w:w="4044" w:type="pct"/>
          <w:vAlign w:val="bottom"/>
        </w:tcPr>
        <w:p w14:paraId="0E026A1D" w14:textId="2ACAF771" w:rsidR="003C3561" w:rsidRPr="00776420" w:rsidRDefault="00000000" w:rsidP="00B20B55">
          <w:pPr>
            <w:pStyle w:val="FooterHeading"/>
            <w:jc w:val="right"/>
            <w:rPr>
              <w:b/>
            </w:rPr>
          </w:pPr>
          <w:sdt>
            <w:sdtPr>
              <w:rPr>
                <w:caps/>
              </w:rPr>
              <w:alias w:val="Title"/>
              <w:tag w:val=""/>
              <w:id w:val="-866679459"/>
              <w:dataBinding w:prefixMappings="xmlns:ns0='http://purl.org/dc/elements/1.1/' xmlns:ns1='http://schemas.openxmlformats.org/package/2006/metadata/core-properties' " w:xpath="/ns1:coreProperties[1]/ns0:title[1]" w:storeItemID="{6C3C8BC8-F283-45AE-878A-BAB7291924A1}"/>
              <w:text/>
            </w:sdtPr>
            <w:sdtContent>
              <w:r w:rsidR="008F1BDB">
                <w:rPr>
                  <w:caps/>
                </w:rPr>
                <w:t>Delivering high-quality practicum placements</w:t>
              </w:r>
            </w:sdtContent>
          </w:sdt>
          <w:r w:rsidR="003C3561">
            <w:rPr>
              <w:b/>
            </w:rPr>
            <w:t xml:space="preserve">  </w:t>
          </w:r>
          <w:r w:rsidR="003C3561" w:rsidRPr="002C5F08">
            <w:t>|</w:t>
          </w:r>
          <w:r w:rsidR="003C3561">
            <w:t xml:space="preserve"> </w:t>
          </w:r>
          <w:r w:rsidR="003C3561" w:rsidRPr="002C5F08">
            <w:t xml:space="preserve"> </w:t>
          </w:r>
          <w:r w:rsidR="003C3561" w:rsidRPr="002C5F08">
            <w:fldChar w:fldCharType="begin"/>
          </w:r>
          <w:r w:rsidR="003C3561" w:rsidRPr="002C5F08">
            <w:instrText xml:space="preserve"> PAGE  \* Arabic </w:instrText>
          </w:r>
          <w:r w:rsidR="003C3561" w:rsidRPr="002C5F08">
            <w:fldChar w:fldCharType="separate"/>
          </w:r>
          <w:r w:rsidR="003C3561" w:rsidRPr="002C5F08">
            <w:t>2</w:t>
          </w:r>
          <w:r w:rsidR="003C3561" w:rsidRPr="002C5F08">
            <w:fldChar w:fldCharType="end"/>
          </w:r>
        </w:p>
      </w:tc>
    </w:tr>
  </w:tbl>
  <w:p w14:paraId="59BD11C4" w14:textId="77777777" w:rsidR="003C3561" w:rsidRPr="001A73D7" w:rsidRDefault="003C3561" w:rsidP="001A73D7">
    <w:pPr>
      <w:pStyle w:val="NormalSingle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638"/>
    </w:tblGrid>
    <w:tr w:rsidR="003C3561" w14:paraId="76E8E16C" w14:textId="77777777" w:rsidTr="008F700F">
      <w:trPr>
        <w:trHeight w:val="567"/>
      </w:trPr>
      <w:tc>
        <w:tcPr>
          <w:tcW w:w="5000" w:type="pct"/>
        </w:tcPr>
        <w:p w14:paraId="6AFD7B1F" w14:textId="77777777" w:rsidR="003C3561" w:rsidRDefault="003C3561" w:rsidP="008F700F">
          <w:pPr>
            <w:pStyle w:val="FooterHeading"/>
            <w:jc w:val="center"/>
          </w:pPr>
          <w:r w:rsidRPr="00E501B2">
            <w:rPr>
              <w:rFonts w:ascii="Arial Narrow" w:eastAsia="Cambria" w:hAnsi="Arial Narrow" w:cs="Times New Roman"/>
              <w:noProof/>
              <w:color w:val="auto"/>
              <w:sz w:val="24"/>
              <w:szCs w:val="24"/>
              <w:lang w:val="en-US"/>
            </w:rPr>
            <w:drawing>
              <wp:inline distT="0" distB="0" distL="0" distR="0" wp14:anchorId="3A369361" wp14:editId="5AC0B2B3">
                <wp:extent cx="1524000" cy="247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inline>
            </w:drawing>
          </w:r>
        </w:p>
        <w:p w14:paraId="19694781" w14:textId="77777777" w:rsidR="003C3561" w:rsidRDefault="003C3561" w:rsidP="008F700F">
          <w:pPr>
            <w:pStyle w:val="FooterHeading"/>
            <w:jc w:val="center"/>
          </w:pPr>
          <w:r>
            <w:rPr>
              <w:noProof/>
              <w:lang w:val="en-US"/>
            </w:rPr>
            <mc:AlternateContent>
              <mc:Choice Requires="wps">
                <w:drawing>
                  <wp:inline distT="0" distB="0" distL="0" distR="0" wp14:anchorId="2D945B4A" wp14:editId="2F7EECB1">
                    <wp:extent cx="360045" cy="0"/>
                    <wp:effectExtent l="0" t="0" r="0" b="0"/>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3C3C3B"/>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v:shapetype id="_x0000_t32" coordsize="21600,21600" o:oned="t" filled="f" o:spt="32" path="m,l21600,21600e" w14:anchorId="25B0CAA7">
                    <v:path fillok="f" arrowok="t" o:connecttype="none"/>
                    <o:lock v:ext="edit" shapetype="t"/>
                  </v:shapetype>
                  <v:shape id="AutoShape 6" style="width:28.35pt;height:0;visibility:visible;mso-wrap-style:square;mso-left-percent:-10001;mso-top-percent:-10001;mso-position-horizontal:absolute;mso-position-horizontal-relative:char;mso-position-vertical:absolute;mso-position-vertical-relative:line;mso-left-percent:-10001;mso-top-percent:-10001" o:spid="_x0000_s1026" strokecolor="#3c3c3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">
                    <w10:anchorlock/>
                  </v:shape>
                </w:pict>
              </mc:Fallback>
            </mc:AlternateContent>
          </w:r>
        </w:p>
      </w:tc>
    </w:tr>
    <w:tr w:rsidR="003C3561" w14:paraId="3FFE3794" w14:textId="77777777" w:rsidTr="008F700F">
      <w:tc>
        <w:tcPr>
          <w:tcW w:w="5000" w:type="pct"/>
        </w:tcPr>
        <w:p w14:paraId="5F1CE9F6" w14:textId="77777777" w:rsidR="003C3561" w:rsidRDefault="003C3561" w:rsidP="008F700F">
          <w:pPr>
            <w:pStyle w:val="CoverAddress"/>
          </w:pPr>
          <w:bookmarkStart w:id="0" w:name="_Hlk514803165"/>
        </w:p>
        <w:p w14:paraId="73487AC6" w14:textId="77777777" w:rsidR="003C3561" w:rsidRDefault="003C3561" w:rsidP="008F700F">
          <w:pPr>
            <w:pStyle w:val="CoverAddress"/>
          </w:pPr>
        </w:p>
        <w:p w14:paraId="3E9AFA29" w14:textId="77777777" w:rsidR="003C3561" w:rsidRDefault="003C3561" w:rsidP="008F700F">
          <w:pPr>
            <w:pStyle w:val="CoverAddress"/>
          </w:pPr>
          <w:r w:rsidRPr="00E501B2">
            <w:t>Level 1, 155 Queen Street, Melbourne 3000 Victoria</w:t>
          </w:r>
        </w:p>
        <w:p w14:paraId="5A7BD707" w14:textId="77777777" w:rsidR="003C3561" w:rsidRPr="00E501B2" w:rsidRDefault="003C3561" w:rsidP="008F700F">
          <w:pPr>
            <w:pStyle w:val="CoverAddress"/>
          </w:pPr>
        </w:p>
        <w:p w14:paraId="5BF5031B" w14:textId="77777777" w:rsidR="003C3561" w:rsidRDefault="003C3561" w:rsidP="008F700F">
          <w:pPr>
            <w:pStyle w:val="CoverAddress"/>
          </w:pPr>
          <w:r w:rsidRPr="00E501B2">
            <w:t xml:space="preserve">T: +61 3 9211 </w:t>
          </w:r>
          <w:proofErr w:type="gramStart"/>
          <w:r w:rsidRPr="00E501B2">
            <w:t>0015  F</w:t>
          </w:r>
          <w:proofErr w:type="gramEnd"/>
          <w:r w:rsidRPr="00E501B2">
            <w:t xml:space="preserve">: +61 3 9949 9768  E: </w:t>
          </w:r>
          <w:hyperlink r:id="rId2" w:history="1">
            <w:r w:rsidRPr="00E501B2">
              <w:rPr>
                <w:rStyle w:val="Hyperlink"/>
              </w:rPr>
              <w:t>enquiries@dandolo.com.au</w:t>
            </w:r>
          </w:hyperlink>
        </w:p>
        <w:p w14:paraId="6184FB4C" w14:textId="77777777" w:rsidR="003C3561" w:rsidRDefault="003C3561" w:rsidP="008F700F">
          <w:pPr>
            <w:pStyle w:val="CoverAddress"/>
          </w:pPr>
        </w:p>
        <w:p w14:paraId="45A9804E" w14:textId="77777777" w:rsidR="003C3561" w:rsidRPr="00E501B2" w:rsidRDefault="00000000" w:rsidP="008F700F">
          <w:pPr>
            <w:pStyle w:val="CoverAddress"/>
          </w:pPr>
          <w:hyperlink r:id="rId3" w:history="1">
            <w:r w:rsidR="003C3561" w:rsidRPr="00E501B2">
              <w:rPr>
                <w:rStyle w:val="Hyperlink"/>
              </w:rPr>
              <w:t>www.dandolo.com.au</w:t>
            </w:r>
          </w:hyperlink>
        </w:p>
        <w:p w14:paraId="12AC072E" w14:textId="77777777" w:rsidR="003C3561" w:rsidRPr="00E501B2" w:rsidRDefault="003C3561" w:rsidP="008F700F">
          <w:pPr>
            <w:pStyle w:val="CoverAddress"/>
          </w:pPr>
        </w:p>
        <w:p w14:paraId="6C9C3731" w14:textId="77777777" w:rsidR="003C3561" w:rsidRPr="00E501B2" w:rsidRDefault="003C3561" w:rsidP="008F700F">
          <w:pPr>
            <w:pStyle w:val="CoverAddress"/>
          </w:pPr>
          <w:r w:rsidRPr="00E501B2">
            <w:t>ABN 48 757 017 061</w:t>
          </w:r>
        </w:p>
      </w:tc>
    </w:tr>
    <w:bookmarkEnd w:id="0"/>
  </w:tbl>
  <w:p w14:paraId="16A70E72" w14:textId="77777777" w:rsidR="003C3561" w:rsidRPr="00F94A96" w:rsidRDefault="003C3561" w:rsidP="00E50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6C47" w14:textId="77777777" w:rsidR="004C24FC" w:rsidRDefault="004C24FC" w:rsidP="00261151">
      <w:pPr>
        <w:pStyle w:val="FootnoteText"/>
      </w:pPr>
      <w:r w:rsidRPr="00491B5D">
        <w:rPr>
          <w:color w:val="931B2F" w:themeColor="background2"/>
        </w:rPr>
        <w:separator/>
      </w:r>
    </w:p>
  </w:footnote>
  <w:footnote w:type="continuationSeparator" w:id="0">
    <w:p w14:paraId="0177C07B" w14:textId="77777777" w:rsidR="004C24FC" w:rsidRDefault="004C24FC" w:rsidP="00261151">
      <w:pPr>
        <w:pStyle w:val="FootnoteText"/>
      </w:pPr>
      <w:r>
        <w:continuationSeparator/>
      </w:r>
    </w:p>
  </w:footnote>
  <w:footnote w:type="continuationNotice" w:id="1">
    <w:p w14:paraId="65FFFBE0" w14:textId="77777777" w:rsidR="004C24FC" w:rsidRDefault="004C24FC" w:rsidP="00192391">
      <w:pPr>
        <w:pStyle w:val="FootnoteText"/>
      </w:pPr>
    </w:p>
  </w:footnote>
  <w:footnote w:id="2">
    <w:p w14:paraId="4D2FB1F6" w14:textId="77777777" w:rsidR="00434873" w:rsidRPr="00BE0BF2" w:rsidRDefault="00434873" w:rsidP="00434873">
      <w:pPr>
        <w:pStyle w:val="FootnoteText"/>
        <w:rPr>
          <w:lang w:val="en-AU"/>
        </w:rPr>
      </w:pPr>
      <w:r>
        <w:rPr>
          <w:rStyle w:val="FootnoteReference"/>
        </w:rPr>
        <w:footnoteRef/>
      </w:r>
      <w:r>
        <w:t xml:space="preserve"> </w:t>
      </w:r>
      <w:proofErr w:type="spellStart"/>
      <w:r>
        <w:t>Alphacrucis</w:t>
      </w:r>
      <w:proofErr w:type="spellEnd"/>
      <w:r>
        <w:t xml:space="preserve"> University College, date unspecified, </w:t>
      </w:r>
      <w:r>
        <w:rPr>
          <w:i/>
          <w:iCs/>
        </w:rPr>
        <w:t>Created for Education: Course Guide</w:t>
      </w:r>
      <w:r>
        <w:t>, “Interview with Deputy Vice President Development – David Hastie”, p.20.</w:t>
      </w:r>
    </w:p>
  </w:footnote>
  <w:footnote w:id="3">
    <w:p w14:paraId="02B26F3B" w14:textId="7E58BDC0" w:rsidR="26CC4756" w:rsidRDefault="26CC4756" w:rsidP="26CC4756">
      <w:pPr>
        <w:pStyle w:val="FootnoteText"/>
      </w:pPr>
      <w:r w:rsidRPr="26CC4756">
        <w:rPr>
          <w:rStyle w:val="FootnoteReference"/>
        </w:rPr>
        <w:footnoteRef/>
      </w:r>
      <w:r>
        <w:t xml:space="preserve"> Centre for Education Statistics and Evaluation, NSW DET, ‘Great Teaching, Inspired Learning Professional Experience evaluation report’, July 2018.</w:t>
      </w:r>
    </w:p>
  </w:footnote>
  <w:footnote w:id="4">
    <w:p w14:paraId="69BB190A" w14:textId="77777777" w:rsidR="00A94021" w:rsidRDefault="00A94021" w:rsidP="00A94021">
      <w:pPr>
        <w:pStyle w:val="FootnoteText"/>
        <w:rPr>
          <w:lang w:val="en-AU"/>
        </w:rPr>
      </w:pPr>
      <w:r w:rsidRPr="53FC1472">
        <w:rPr>
          <w:rStyle w:val="FootnoteReference"/>
        </w:rPr>
        <w:footnoteRef/>
      </w:r>
      <w:r>
        <w:t xml:space="preserve"> </w:t>
      </w:r>
      <w:r w:rsidRPr="53FC1472">
        <w:rPr>
          <w:lang w:val="en-AU"/>
        </w:rPr>
        <w:t xml:space="preserve">Charles Darwin University, ‘CDU’s major investment to boost number of </w:t>
      </w:r>
      <w:proofErr w:type="gramStart"/>
      <w:r w:rsidRPr="53FC1472">
        <w:rPr>
          <w:lang w:val="en-AU"/>
        </w:rPr>
        <w:t>school teachers’</w:t>
      </w:r>
      <w:proofErr w:type="gramEnd"/>
      <w:r w:rsidRPr="53FC1472">
        <w:rPr>
          <w:lang w:val="en-AU"/>
        </w:rPr>
        <w:t>, 9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9978"/>
    </w:tblGrid>
    <w:tr w:rsidR="003C3561" w14:paraId="00B92D0B" w14:textId="77777777" w:rsidTr="0016178E">
      <w:tc>
        <w:tcPr>
          <w:tcW w:w="9978" w:type="dxa"/>
        </w:tcPr>
        <w:p w14:paraId="7CBD2ECB" w14:textId="77777777" w:rsidR="003C3561" w:rsidRDefault="003C3561">
          <w:pPr>
            <w:pStyle w:val="Header"/>
          </w:pPr>
        </w:p>
      </w:tc>
    </w:tr>
  </w:tbl>
  <w:p w14:paraId="5B01A5E2" w14:textId="77777777" w:rsidR="003C3561" w:rsidRDefault="003C3561" w:rsidP="001A73D7">
    <w:pPr>
      <w:pStyle w:val="NormalSingle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A9EF" w14:textId="77777777" w:rsidR="003C3561" w:rsidRDefault="003C3561" w:rsidP="00FC4A9C">
    <w:pPr>
      <w:pStyle w:val="TableText"/>
    </w:pPr>
    <w:r w:rsidRPr="00F03EA7">
      <w:rPr>
        <w:noProof/>
        <w:lang w:val="en-US"/>
      </w:rPr>
      <mc:AlternateContent>
        <mc:Choice Requires="wpg">
          <w:drawing>
            <wp:anchor distT="0" distB="0" distL="114300" distR="114300" simplePos="0" relativeHeight="251658240" behindDoc="1" locked="1" layoutInCell="1" allowOverlap="1" wp14:anchorId="4B603D76" wp14:editId="4622A591">
              <wp:simplePos x="0" y="0"/>
              <wp:positionH relativeFrom="margin">
                <wp:posOffset>-720090</wp:posOffset>
              </wp:positionH>
              <wp:positionV relativeFrom="page">
                <wp:posOffset>9525</wp:posOffset>
              </wp:positionV>
              <wp:extent cx="7666990" cy="8201025"/>
              <wp:effectExtent l="0" t="0" r="0"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6990" cy="8201025"/>
                        <a:chOff x="-168" y="0"/>
                        <a:chExt cx="12074" cy="12915"/>
                      </a:xfrm>
                    </wpg:grpSpPr>
                    <wps:wsp>
                      <wps:cNvPr id="9" name="AutoShape 29"/>
                      <wps:cNvSpPr>
                        <a:spLocks noChangeArrowheads="1" noTextEdit="1"/>
                      </wps:cNvSpPr>
                      <wps:spPr bwMode="auto">
                        <a:xfrm>
                          <a:off x="0" y="0"/>
                          <a:ext cx="11906" cy="1291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0" name="Rectangle 30"/>
                      <wps:cNvSpPr>
                        <a:spLocks noChangeArrowheads="1"/>
                      </wps:cNvSpPr>
                      <wps:spPr bwMode="auto">
                        <a:xfrm>
                          <a:off x="-168" y="0"/>
                          <a:ext cx="11906" cy="12915"/>
                        </a:xfrm>
                        <a:prstGeom prst="rect">
                          <a:avLst/>
                        </a:prstGeom>
                        <a:solidFill>
                          <a:srgbClr val="E4E5E3"/>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group id="Group 28" style="position:absolute;margin-left:-56.7pt;margin-top:.75pt;width:603.7pt;height:645.75pt;z-index:-251626496;mso-position-horizontal-relative:margin;mso-position-vertical-relative:page" coordsize="12074,12915" coordorigin="-168" o:spid="_x0000_s1026" w14:anchorId="4B749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">
              <v:rect id="AutoShape 29" style="position:absolute;width:11906;height:12915;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">
                <o:lock v:ext="edit" text="t"/>
              </v:rect>
              <v:rect id="Rectangle 30" style="position:absolute;left:-168;width:11906;height:12915;visibility:visible;mso-wrap-style:square;v-text-anchor:top" o:spid="_x0000_s1028" fillcolor="#e4e5e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">
                <v:textbox inset=",7.2pt,,7.2pt"/>
              </v:rect>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274"/>
    <w:multiLevelType w:val="hybridMultilevel"/>
    <w:tmpl w:val="5B50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0042A"/>
    <w:multiLevelType w:val="multilevel"/>
    <w:tmpl w:val="DC985FD2"/>
    <w:styleLink w:val="HeadingsNumbered"/>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b w:val="0"/>
        <w:i w:val="0"/>
      </w:rPr>
    </w:lvl>
    <w:lvl w:ilvl="3">
      <w:start w:val="1"/>
      <w:numFmt w:val="none"/>
      <w:suff w:val="nothing"/>
      <w:lvlText w:val=""/>
      <w:lvlJc w:val="left"/>
      <w:pPr>
        <w:ind w:left="680" w:firstLine="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644"/>
        </w:tabs>
        <w:ind w:left="1644" w:hanging="397"/>
      </w:pPr>
      <w:rPr>
        <w:rFonts w:hint="default"/>
      </w:rPr>
    </w:lvl>
    <w:lvl w:ilvl="6">
      <w:start w:val="1"/>
      <w:numFmt w:val="upperLetter"/>
      <w:lvlText w:val="%7."/>
      <w:lvlJc w:val="left"/>
      <w:pPr>
        <w:tabs>
          <w:tab w:val="num" w:pos="2041"/>
        </w:tabs>
        <w:ind w:left="2041" w:hanging="397"/>
      </w:pPr>
      <w:rPr>
        <w:rFonts w:hint="default"/>
      </w:rPr>
    </w:lvl>
    <w:lvl w:ilvl="7">
      <w:start w:val="1"/>
      <w:numFmt w:val="decimal"/>
      <w:lvlText w:val="(%8)"/>
      <w:lvlJc w:val="left"/>
      <w:pPr>
        <w:tabs>
          <w:tab w:val="num" w:pos="2211"/>
        </w:tabs>
        <w:ind w:left="2211" w:hanging="397"/>
      </w:pPr>
      <w:rPr>
        <w:rFonts w:hint="default"/>
      </w:rPr>
    </w:lvl>
    <w:lvl w:ilvl="8">
      <w:start w:val="1"/>
      <w:numFmt w:val="none"/>
      <w:lvlText w:val=""/>
      <w:lvlJc w:val="left"/>
      <w:pPr>
        <w:tabs>
          <w:tab w:val="num" w:pos="2608"/>
        </w:tabs>
        <w:ind w:left="2608" w:hanging="397"/>
      </w:pPr>
      <w:rPr>
        <w:rFonts w:hint="default"/>
      </w:rPr>
    </w:lvl>
  </w:abstractNum>
  <w:abstractNum w:abstractNumId="2" w15:restartNumberingAfterBreak="0">
    <w:nsid w:val="0F818B1B"/>
    <w:multiLevelType w:val="hybridMultilevel"/>
    <w:tmpl w:val="FFFFFFFF"/>
    <w:lvl w:ilvl="0" w:tplc="B1F0D47C">
      <w:start w:val="1"/>
      <w:numFmt w:val="bullet"/>
      <w:lvlText w:val=""/>
      <w:lvlJc w:val="left"/>
      <w:pPr>
        <w:ind w:left="720" w:hanging="360"/>
      </w:pPr>
      <w:rPr>
        <w:rFonts w:ascii="Symbol" w:hAnsi="Symbol" w:hint="default"/>
      </w:rPr>
    </w:lvl>
    <w:lvl w:ilvl="1" w:tplc="182A7AE6">
      <w:start w:val="1"/>
      <w:numFmt w:val="bullet"/>
      <w:lvlText w:val="o"/>
      <w:lvlJc w:val="left"/>
      <w:pPr>
        <w:ind w:left="1440" w:hanging="360"/>
      </w:pPr>
      <w:rPr>
        <w:rFonts w:ascii="Courier New" w:hAnsi="Courier New" w:hint="default"/>
      </w:rPr>
    </w:lvl>
    <w:lvl w:ilvl="2" w:tplc="54E8AA22">
      <w:start w:val="1"/>
      <w:numFmt w:val="bullet"/>
      <w:lvlText w:val=""/>
      <w:lvlJc w:val="left"/>
      <w:pPr>
        <w:ind w:left="2160" w:hanging="360"/>
      </w:pPr>
      <w:rPr>
        <w:rFonts w:ascii="Wingdings" w:hAnsi="Wingdings" w:hint="default"/>
      </w:rPr>
    </w:lvl>
    <w:lvl w:ilvl="3" w:tplc="7F229B96">
      <w:start w:val="1"/>
      <w:numFmt w:val="bullet"/>
      <w:lvlText w:val=""/>
      <w:lvlJc w:val="left"/>
      <w:pPr>
        <w:ind w:left="2880" w:hanging="360"/>
      </w:pPr>
      <w:rPr>
        <w:rFonts w:ascii="Symbol" w:hAnsi="Symbol" w:hint="default"/>
      </w:rPr>
    </w:lvl>
    <w:lvl w:ilvl="4" w:tplc="55146E5C">
      <w:start w:val="1"/>
      <w:numFmt w:val="bullet"/>
      <w:lvlText w:val="o"/>
      <w:lvlJc w:val="left"/>
      <w:pPr>
        <w:ind w:left="3600" w:hanging="360"/>
      </w:pPr>
      <w:rPr>
        <w:rFonts w:ascii="Courier New" w:hAnsi="Courier New" w:hint="default"/>
      </w:rPr>
    </w:lvl>
    <w:lvl w:ilvl="5" w:tplc="4F18DED8">
      <w:start w:val="1"/>
      <w:numFmt w:val="bullet"/>
      <w:lvlText w:val=""/>
      <w:lvlJc w:val="left"/>
      <w:pPr>
        <w:ind w:left="4320" w:hanging="360"/>
      </w:pPr>
      <w:rPr>
        <w:rFonts w:ascii="Wingdings" w:hAnsi="Wingdings" w:hint="default"/>
      </w:rPr>
    </w:lvl>
    <w:lvl w:ilvl="6" w:tplc="8FA2E4CA">
      <w:start w:val="1"/>
      <w:numFmt w:val="bullet"/>
      <w:lvlText w:val=""/>
      <w:lvlJc w:val="left"/>
      <w:pPr>
        <w:ind w:left="5040" w:hanging="360"/>
      </w:pPr>
      <w:rPr>
        <w:rFonts w:ascii="Symbol" w:hAnsi="Symbol" w:hint="default"/>
      </w:rPr>
    </w:lvl>
    <w:lvl w:ilvl="7" w:tplc="AD449F2C">
      <w:start w:val="1"/>
      <w:numFmt w:val="bullet"/>
      <w:lvlText w:val="o"/>
      <w:lvlJc w:val="left"/>
      <w:pPr>
        <w:ind w:left="5760" w:hanging="360"/>
      </w:pPr>
      <w:rPr>
        <w:rFonts w:ascii="Courier New" w:hAnsi="Courier New" w:hint="default"/>
      </w:rPr>
    </w:lvl>
    <w:lvl w:ilvl="8" w:tplc="F09C4C30">
      <w:start w:val="1"/>
      <w:numFmt w:val="bullet"/>
      <w:lvlText w:val=""/>
      <w:lvlJc w:val="left"/>
      <w:pPr>
        <w:ind w:left="6480" w:hanging="360"/>
      </w:pPr>
      <w:rPr>
        <w:rFonts w:ascii="Wingdings" w:hAnsi="Wingdings" w:hint="default"/>
      </w:rPr>
    </w:lvl>
  </w:abstractNum>
  <w:abstractNum w:abstractNumId="3" w15:restartNumberingAfterBreak="0">
    <w:nsid w:val="112B12E3"/>
    <w:multiLevelType w:val="hybridMultilevel"/>
    <w:tmpl w:val="FFFFFFFF"/>
    <w:lvl w:ilvl="0" w:tplc="FD1CA76E">
      <w:start w:val="1"/>
      <w:numFmt w:val="bullet"/>
      <w:lvlText w:val=""/>
      <w:lvlJc w:val="left"/>
      <w:pPr>
        <w:ind w:left="720" w:hanging="360"/>
      </w:pPr>
      <w:rPr>
        <w:rFonts w:ascii="Symbol" w:hAnsi="Symbol" w:hint="default"/>
      </w:rPr>
    </w:lvl>
    <w:lvl w:ilvl="1" w:tplc="D9B0E0A8">
      <w:start w:val="1"/>
      <w:numFmt w:val="bullet"/>
      <w:lvlText w:val="o"/>
      <w:lvlJc w:val="left"/>
      <w:pPr>
        <w:ind w:left="1440" w:hanging="360"/>
      </w:pPr>
      <w:rPr>
        <w:rFonts w:ascii="Courier New" w:hAnsi="Courier New" w:hint="default"/>
      </w:rPr>
    </w:lvl>
    <w:lvl w:ilvl="2" w:tplc="2DBE2D00">
      <w:start w:val="1"/>
      <w:numFmt w:val="bullet"/>
      <w:lvlText w:val=""/>
      <w:lvlJc w:val="left"/>
      <w:pPr>
        <w:ind w:left="2160" w:hanging="360"/>
      </w:pPr>
      <w:rPr>
        <w:rFonts w:ascii="Wingdings" w:hAnsi="Wingdings" w:hint="default"/>
      </w:rPr>
    </w:lvl>
    <w:lvl w:ilvl="3" w:tplc="D06C3DDE">
      <w:start w:val="1"/>
      <w:numFmt w:val="bullet"/>
      <w:lvlText w:val=""/>
      <w:lvlJc w:val="left"/>
      <w:pPr>
        <w:ind w:left="2880" w:hanging="360"/>
      </w:pPr>
      <w:rPr>
        <w:rFonts w:ascii="Symbol" w:hAnsi="Symbol" w:hint="default"/>
      </w:rPr>
    </w:lvl>
    <w:lvl w:ilvl="4" w:tplc="F5021528">
      <w:start w:val="1"/>
      <w:numFmt w:val="bullet"/>
      <w:lvlText w:val="o"/>
      <w:lvlJc w:val="left"/>
      <w:pPr>
        <w:ind w:left="3600" w:hanging="360"/>
      </w:pPr>
      <w:rPr>
        <w:rFonts w:ascii="Courier New" w:hAnsi="Courier New" w:hint="default"/>
      </w:rPr>
    </w:lvl>
    <w:lvl w:ilvl="5" w:tplc="E078FD6E">
      <w:start w:val="1"/>
      <w:numFmt w:val="bullet"/>
      <w:lvlText w:val=""/>
      <w:lvlJc w:val="left"/>
      <w:pPr>
        <w:ind w:left="4320" w:hanging="360"/>
      </w:pPr>
      <w:rPr>
        <w:rFonts w:ascii="Wingdings" w:hAnsi="Wingdings" w:hint="default"/>
      </w:rPr>
    </w:lvl>
    <w:lvl w:ilvl="6" w:tplc="20129D6C">
      <w:start w:val="1"/>
      <w:numFmt w:val="bullet"/>
      <w:lvlText w:val=""/>
      <w:lvlJc w:val="left"/>
      <w:pPr>
        <w:ind w:left="5040" w:hanging="360"/>
      </w:pPr>
      <w:rPr>
        <w:rFonts w:ascii="Symbol" w:hAnsi="Symbol" w:hint="default"/>
      </w:rPr>
    </w:lvl>
    <w:lvl w:ilvl="7" w:tplc="C0D4103C">
      <w:start w:val="1"/>
      <w:numFmt w:val="bullet"/>
      <w:lvlText w:val="o"/>
      <w:lvlJc w:val="left"/>
      <w:pPr>
        <w:ind w:left="5760" w:hanging="360"/>
      </w:pPr>
      <w:rPr>
        <w:rFonts w:ascii="Courier New" w:hAnsi="Courier New" w:hint="default"/>
      </w:rPr>
    </w:lvl>
    <w:lvl w:ilvl="8" w:tplc="5392591C">
      <w:start w:val="1"/>
      <w:numFmt w:val="bullet"/>
      <w:lvlText w:val=""/>
      <w:lvlJc w:val="left"/>
      <w:pPr>
        <w:ind w:left="6480" w:hanging="360"/>
      </w:pPr>
      <w:rPr>
        <w:rFonts w:ascii="Wingdings" w:hAnsi="Wingdings" w:hint="default"/>
      </w:rPr>
    </w:lvl>
  </w:abstractNum>
  <w:abstractNum w:abstractNumId="4" w15:restartNumberingAfterBreak="0">
    <w:nsid w:val="1310393A"/>
    <w:multiLevelType w:val="hybridMultilevel"/>
    <w:tmpl w:val="FFFFFFFF"/>
    <w:lvl w:ilvl="0" w:tplc="C24E9DEA">
      <w:start w:val="1"/>
      <w:numFmt w:val="bullet"/>
      <w:lvlText w:val=""/>
      <w:lvlJc w:val="left"/>
      <w:pPr>
        <w:ind w:left="720" w:hanging="360"/>
      </w:pPr>
      <w:rPr>
        <w:rFonts w:ascii="Symbol" w:hAnsi="Symbol" w:hint="default"/>
      </w:rPr>
    </w:lvl>
    <w:lvl w:ilvl="1" w:tplc="B1FA7124">
      <w:start w:val="1"/>
      <w:numFmt w:val="bullet"/>
      <w:lvlText w:val="o"/>
      <w:lvlJc w:val="left"/>
      <w:pPr>
        <w:ind w:left="1440" w:hanging="360"/>
      </w:pPr>
      <w:rPr>
        <w:rFonts w:ascii="Courier New" w:hAnsi="Courier New" w:hint="default"/>
      </w:rPr>
    </w:lvl>
    <w:lvl w:ilvl="2" w:tplc="F5DA7620">
      <w:start w:val="1"/>
      <w:numFmt w:val="bullet"/>
      <w:lvlText w:val=""/>
      <w:lvlJc w:val="left"/>
      <w:pPr>
        <w:ind w:left="2160" w:hanging="360"/>
      </w:pPr>
      <w:rPr>
        <w:rFonts w:ascii="Wingdings" w:hAnsi="Wingdings" w:hint="default"/>
      </w:rPr>
    </w:lvl>
    <w:lvl w:ilvl="3" w:tplc="1E66855E">
      <w:start w:val="1"/>
      <w:numFmt w:val="bullet"/>
      <w:lvlText w:val=""/>
      <w:lvlJc w:val="left"/>
      <w:pPr>
        <w:ind w:left="2880" w:hanging="360"/>
      </w:pPr>
      <w:rPr>
        <w:rFonts w:ascii="Symbol" w:hAnsi="Symbol" w:hint="default"/>
      </w:rPr>
    </w:lvl>
    <w:lvl w:ilvl="4" w:tplc="E66A0B5C">
      <w:start w:val="1"/>
      <w:numFmt w:val="bullet"/>
      <w:lvlText w:val="o"/>
      <w:lvlJc w:val="left"/>
      <w:pPr>
        <w:ind w:left="3600" w:hanging="360"/>
      </w:pPr>
      <w:rPr>
        <w:rFonts w:ascii="Courier New" w:hAnsi="Courier New" w:hint="default"/>
      </w:rPr>
    </w:lvl>
    <w:lvl w:ilvl="5" w:tplc="0A0E07A8">
      <w:start w:val="1"/>
      <w:numFmt w:val="bullet"/>
      <w:lvlText w:val=""/>
      <w:lvlJc w:val="left"/>
      <w:pPr>
        <w:ind w:left="4320" w:hanging="360"/>
      </w:pPr>
      <w:rPr>
        <w:rFonts w:ascii="Wingdings" w:hAnsi="Wingdings" w:hint="default"/>
      </w:rPr>
    </w:lvl>
    <w:lvl w:ilvl="6" w:tplc="F110AC0A">
      <w:start w:val="1"/>
      <w:numFmt w:val="bullet"/>
      <w:lvlText w:val=""/>
      <w:lvlJc w:val="left"/>
      <w:pPr>
        <w:ind w:left="5040" w:hanging="360"/>
      </w:pPr>
      <w:rPr>
        <w:rFonts w:ascii="Symbol" w:hAnsi="Symbol" w:hint="default"/>
      </w:rPr>
    </w:lvl>
    <w:lvl w:ilvl="7" w:tplc="B1720C52">
      <w:start w:val="1"/>
      <w:numFmt w:val="bullet"/>
      <w:lvlText w:val="o"/>
      <w:lvlJc w:val="left"/>
      <w:pPr>
        <w:ind w:left="5760" w:hanging="360"/>
      </w:pPr>
      <w:rPr>
        <w:rFonts w:ascii="Courier New" w:hAnsi="Courier New" w:hint="default"/>
      </w:rPr>
    </w:lvl>
    <w:lvl w:ilvl="8" w:tplc="E856D6A8">
      <w:start w:val="1"/>
      <w:numFmt w:val="bullet"/>
      <w:lvlText w:val=""/>
      <w:lvlJc w:val="left"/>
      <w:pPr>
        <w:ind w:left="6480" w:hanging="360"/>
      </w:pPr>
      <w:rPr>
        <w:rFonts w:ascii="Wingdings" w:hAnsi="Wingdings" w:hint="default"/>
      </w:rPr>
    </w:lvl>
  </w:abstractNum>
  <w:abstractNum w:abstractNumId="5" w15:restartNumberingAfterBreak="0">
    <w:nsid w:val="151DE4B7"/>
    <w:multiLevelType w:val="hybridMultilevel"/>
    <w:tmpl w:val="FFFFFFFF"/>
    <w:lvl w:ilvl="0" w:tplc="57A81D98">
      <w:start w:val="1"/>
      <w:numFmt w:val="bullet"/>
      <w:lvlText w:val=""/>
      <w:lvlJc w:val="left"/>
      <w:pPr>
        <w:ind w:left="720" w:hanging="360"/>
      </w:pPr>
      <w:rPr>
        <w:rFonts w:ascii="Symbol" w:hAnsi="Symbol" w:hint="default"/>
      </w:rPr>
    </w:lvl>
    <w:lvl w:ilvl="1" w:tplc="94AABD46">
      <w:start w:val="1"/>
      <w:numFmt w:val="bullet"/>
      <w:lvlText w:val="o"/>
      <w:lvlJc w:val="left"/>
      <w:pPr>
        <w:ind w:left="1440" w:hanging="360"/>
      </w:pPr>
      <w:rPr>
        <w:rFonts w:ascii="Courier New" w:hAnsi="Courier New" w:hint="default"/>
      </w:rPr>
    </w:lvl>
    <w:lvl w:ilvl="2" w:tplc="A242368A">
      <w:start w:val="1"/>
      <w:numFmt w:val="bullet"/>
      <w:lvlText w:val=""/>
      <w:lvlJc w:val="left"/>
      <w:pPr>
        <w:ind w:left="2160" w:hanging="360"/>
      </w:pPr>
      <w:rPr>
        <w:rFonts w:ascii="Wingdings" w:hAnsi="Wingdings" w:hint="default"/>
      </w:rPr>
    </w:lvl>
    <w:lvl w:ilvl="3" w:tplc="943AF16E">
      <w:start w:val="1"/>
      <w:numFmt w:val="bullet"/>
      <w:lvlText w:val=""/>
      <w:lvlJc w:val="left"/>
      <w:pPr>
        <w:ind w:left="2880" w:hanging="360"/>
      </w:pPr>
      <w:rPr>
        <w:rFonts w:ascii="Symbol" w:hAnsi="Symbol" w:hint="default"/>
      </w:rPr>
    </w:lvl>
    <w:lvl w:ilvl="4" w:tplc="AD8AF6E6">
      <w:start w:val="1"/>
      <w:numFmt w:val="bullet"/>
      <w:lvlText w:val="o"/>
      <w:lvlJc w:val="left"/>
      <w:pPr>
        <w:ind w:left="3600" w:hanging="360"/>
      </w:pPr>
      <w:rPr>
        <w:rFonts w:ascii="Courier New" w:hAnsi="Courier New" w:hint="default"/>
      </w:rPr>
    </w:lvl>
    <w:lvl w:ilvl="5" w:tplc="6338E3A6">
      <w:start w:val="1"/>
      <w:numFmt w:val="bullet"/>
      <w:lvlText w:val=""/>
      <w:lvlJc w:val="left"/>
      <w:pPr>
        <w:ind w:left="4320" w:hanging="360"/>
      </w:pPr>
      <w:rPr>
        <w:rFonts w:ascii="Wingdings" w:hAnsi="Wingdings" w:hint="default"/>
      </w:rPr>
    </w:lvl>
    <w:lvl w:ilvl="6" w:tplc="FB62985A">
      <w:start w:val="1"/>
      <w:numFmt w:val="bullet"/>
      <w:lvlText w:val=""/>
      <w:lvlJc w:val="left"/>
      <w:pPr>
        <w:ind w:left="5040" w:hanging="360"/>
      </w:pPr>
      <w:rPr>
        <w:rFonts w:ascii="Symbol" w:hAnsi="Symbol" w:hint="default"/>
      </w:rPr>
    </w:lvl>
    <w:lvl w:ilvl="7" w:tplc="32FAE982">
      <w:start w:val="1"/>
      <w:numFmt w:val="bullet"/>
      <w:lvlText w:val="o"/>
      <w:lvlJc w:val="left"/>
      <w:pPr>
        <w:ind w:left="5760" w:hanging="360"/>
      </w:pPr>
      <w:rPr>
        <w:rFonts w:ascii="Courier New" w:hAnsi="Courier New" w:hint="default"/>
      </w:rPr>
    </w:lvl>
    <w:lvl w:ilvl="8" w:tplc="B4387032">
      <w:start w:val="1"/>
      <w:numFmt w:val="bullet"/>
      <w:lvlText w:val=""/>
      <w:lvlJc w:val="left"/>
      <w:pPr>
        <w:ind w:left="6480" w:hanging="360"/>
      </w:pPr>
      <w:rPr>
        <w:rFonts w:ascii="Wingdings" w:hAnsi="Wingdings" w:hint="default"/>
      </w:rPr>
    </w:lvl>
  </w:abstractNum>
  <w:abstractNum w:abstractNumId="6" w15:restartNumberingAfterBreak="0">
    <w:nsid w:val="16697FD3"/>
    <w:multiLevelType w:val="hybridMultilevel"/>
    <w:tmpl w:val="3A262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AA4D2A"/>
    <w:multiLevelType w:val="hybridMultilevel"/>
    <w:tmpl w:val="10027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78F9F"/>
    <w:multiLevelType w:val="hybridMultilevel"/>
    <w:tmpl w:val="FFFFFFFF"/>
    <w:lvl w:ilvl="0" w:tplc="3170196C">
      <w:start w:val="1"/>
      <w:numFmt w:val="bullet"/>
      <w:lvlText w:val=""/>
      <w:lvlJc w:val="left"/>
      <w:pPr>
        <w:ind w:left="720" w:hanging="360"/>
      </w:pPr>
      <w:rPr>
        <w:rFonts w:ascii="Symbol" w:hAnsi="Symbol" w:hint="default"/>
      </w:rPr>
    </w:lvl>
    <w:lvl w:ilvl="1" w:tplc="C8249B2C">
      <w:start w:val="1"/>
      <w:numFmt w:val="bullet"/>
      <w:lvlText w:val="o"/>
      <w:lvlJc w:val="left"/>
      <w:pPr>
        <w:ind w:left="1440" w:hanging="360"/>
      </w:pPr>
      <w:rPr>
        <w:rFonts w:ascii="Courier New" w:hAnsi="Courier New" w:hint="default"/>
      </w:rPr>
    </w:lvl>
    <w:lvl w:ilvl="2" w:tplc="959ACC34">
      <w:start w:val="1"/>
      <w:numFmt w:val="bullet"/>
      <w:lvlText w:val=""/>
      <w:lvlJc w:val="left"/>
      <w:pPr>
        <w:ind w:left="2160" w:hanging="360"/>
      </w:pPr>
      <w:rPr>
        <w:rFonts w:ascii="Wingdings" w:hAnsi="Wingdings" w:hint="default"/>
      </w:rPr>
    </w:lvl>
    <w:lvl w:ilvl="3" w:tplc="71428628">
      <w:start w:val="1"/>
      <w:numFmt w:val="bullet"/>
      <w:lvlText w:val=""/>
      <w:lvlJc w:val="left"/>
      <w:pPr>
        <w:ind w:left="2880" w:hanging="360"/>
      </w:pPr>
      <w:rPr>
        <w:rFonts w:ascii="Symbol" w:hAnsi="Symbol" w:hint="default"/>
      </w:rPr>
    </w:lvl>
    <w:lvl w:ilvl="4" w:tplc="56BE0AE2">
      <w:start w:val="1"/>
      <w:numFmt w:val="bullet"/>
      <w:lvlText w:val="o"/>
      <w:lvlJc w:val="left"/>
      <w:pPr>
        <w:ind w:left="3600" w:hanging="360"/>
      </w:pPr>
      <w:rPr>
        <w:rFonts w:ascii="Courier New" w:hAnsi="Courier New" w:hint="default"/>
      </w:rPr>
    </w:lvl>
    <w:lvl w:ilvl="5" w:tplc="E2628A00">
      <w:start w:val="1"/>
      <w:numFmt w:val="bullet"/>
      <w:lvlText w:val=""/>
      <w:lvlJc w:val="left"/>
      <w:pPr>
        <w:ind w:left="4320" w:hanging="360"/>
      </w:pPr>
      <w:rPr>
        <w:rFonts w:ascii="Wingdings" w:hAnsi="Wingdings" w:hint="default"/>
      </w:rPr>
    </w:lvl>
    <w:lvl w:ilvl="6" w:tplc="AE4404D0">
      <w:start w:val="1"/>
      <w:numFmt w:val="bullet"/>
      <w:lvlText w:val=""/>
      <w:lvlJc w:val="left"/>
      <w:pPr>
        <w:ind w:left="5040" w:hanging="360"/>
      </w:pPr>
      <w:rPr>
        <w:rFonts w:ascii="Symbol" w:hAnsi="Symbol" w:hint="default"/>
      </w:rPr>
    </w:lvl>
    <w:lvl w:ilvl="7" w:tplc="D74070A2">
      <w:start w:val="1"/>
      <w:numFmt w:val="bullet"/>
      <w:lvlText w:val="o"/>
      <w:lvlJc w:val="left"/>
      <w:pPr>
        <w:ind w:left="5760" w:hanging="360"/>
      </w:pPr>
      <w:rPr>
        <w:rFonts w:ascii="Courier New" w:hAnsi="Courier New" w:hint="default"/>
      </w:rPr>
    </w:lvl>
    <w:lvl w:ilvl="8" w:tplc="605CFEEA">
      <w:start w:val="1"/>
      <w:numFmt w:val="bullet"/>
      <w:lvlText w:val=""/>
      <w:lvlJc w:val="left"/>
      <w:pPr>
        <w:ind w:left="6480" w:hanging="360"/>
      </w:pPr>
      <w:rPr>
        <w:rFonts w:ascii="Wingdings" w:hAnsi="Wingdings" w:hint="default"/>
      </w:rPr>
    </w:lvl>
  </w:abstractNum>
  <w:abstractNum w:abstractNumId="9" w15:restartNumberingAfterBreak="0">
    <w:nsid w:val="22F122B2"/>
    <w:multiLevelType w:val="hybridMultilevel"/>
    <w:tmpl w:val="9F68072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23F91B8D"/>
    <w:multiLevelType w:val="hybridMultilevel"/>
    <w:tmpl w:val="FFFFFFFF"/>
    <w:lvl w:ilvl="0" w:tplc="209C6ADC">
      <w:start w:val="1"/>
      <w:numFmt w:val="bullet"/>
      <w:lvlText w:val=""/>
      <w:lvlJc w:val="left"/>
      <w:pPr>
        <w:ind w:left="720" w:hanging="360"/>
      </w:pPr>
      <w:rPr>
        <w:rFonts w:ascii="Symbol" w:hAnsi="Symbol" w:hint="default"/>
      </w:rPr>
    </w:lvl>
    <w:lvl w:ilvl="1" w:tplc="E09C818E">
      <w:start w:val="1"/>
      <w:numFmt w:val="bullet"/>
      <w:lvlText w:val="o"/>
      <w:lvlJc w:val="left"/>
      <w:pPr>
        <w:ind w:left="1440" w:hanging="360"/>
      </w:pPr>
      <w:rPr>
        <w:rFonts w:ascii="Courier New" w:hAnsi="Courier New" w:hint="default"/>
      </w:rPr>
    </w:lvl>
    <w:lvl w:ilvl="2" w:tplc="8CA06522">
      <w:start w:val="1"/>
      <w:numFmt w:val="bullet"/>
      <w:lvlText w:val=""/>
      <w:lvlJc w:val="left"/>
      <w:pPr>
        <w:ind w:left="2160" w:hanging="360"/>
      </w:pPr>
      <w:rPr>
        <w:rFonts w:ascii="Wingdings" w:hAnsi="Wingdings" w:hint="default"/>
      </w:rPr>
    </w:lvl>
    <w:lvl w:ilvl="3" w:tplc="3CE21BFC">
      <w:start w:val="1"/>
      <w:numFmt w:val="bullet"/>
      <w:lvlText w:val=""/>
      <w:lvlJc w:val="left"/>
      <w:pPr>
        <w:ind w:left="2880" w:hanging="360"/>
      </w:pPr>
      <w:rPr>
        <w:rFonts w:ascii="Symbol" w:hAnsi="Symbol" w:hint="default"/>
      </w:rPr>
    </w:lvl>
    <w:lvl w:ilvl="4" w:tplc="DD1E47BC">
      <w:start w:val="1"/>
      <w:numFmt w:val="bullet"/>
      <w:lvlText w:val="o"/>
      <w:lvlJc w:val="left"/>
      <w:pPr>
        <w:ind w:left="3600" w:hanging="360"/>
      </w:pPr>
      <w:rPr>
        <w:rFonts w:ascii="Courier New" w:hAnsi="Courier New" w:hint="default"/>
      </w:rPr>
    </w:lvl>
    <w:lvl w:ilvl="5" w:tplc="8182C056">
      <w:start w:val="1"/>
      <w:numFmt w:val="bullet"/>
      <w:lvlText w:val=""/>
      <w:lvlJc w:val="left"/>
      <w:pPr>
        <w:ind w:left="4320" w:hanging="360"/>
      </w:pPr>
      <w:rPr>
        <w:rFonts w:ascii="Wingdings" w:hAnsi="Wingdings" w:hint="default"/>
      </w:rPr>
    </w:lvl>
    <w:lvl w:ilvl="6" w:tplc="46743AF8">
      <w:start w:val="1"/>
      <w:numFmt w:val="bullet"/>
      <w:lvlText w:val=""/>
      <w:lvlJc w:val="left"/>
      <w:pPr>
        <w:ind w:left="5040" w:hanging="360"/>
      </w:pPr>
      <w:rPr>
        <w:rFonts w:ascii="Symbol" w:hAnsi="Symbol" w:hint="default"/>
      </w:rPr>
    </w:lvl>
    <w:lvl w:ilvl="7" w:tplc="B93CE744">
      <w:start w:val="1"/>
      <w:numFmt w:val="bullet"/>
      <w:lvlText w:val="o"/>
      <w:lvlJc w:val="left"/>
      <w:pPr>
        <w:ind w:left="5760" w:hanging="360"/>
      </w:pPr>
      <w:rPr>
        <w:rFonts w:ascii="Courier New" w:hAnsi="Courier New" w:hint="default"/>
      </w:rPr>
    </w:lvl>
    <w:lvl w:ilvl="8" w:tplc="DB7A8D44">
      <w:start w:val="1"/>
      <w:numFmt w:val="bullet"/>
      <w:lvlText w:val=""/>
      <w:lvlJc w:val="left"/>
      <w:pPr>
        <w:ind w:left="6480" w:hanging="360"/>
      </w:pPr>
      <w:rPr>
        <w:rFonts w:ascii="Wingdings" w:hAnsi="Wingdings" w:hint="default"/>
      </w:rPr>
    </w:lvl>
  </w:abstractNum>
  <w:abstractNum w:abstractNumId="11" w15:restartNumberingAfterBreak="0">
    <w:nsid w:val="246C0027"/>
    <w:multiLevelType w:val="hybridMultilevel"/>
    <w:tmpl w:val="00EE1152"/>
    <w:lvl w:ilvl="0" w:tplc="08090001">
      <w:start w:val="1"/>
      <w:numFmt w:val="bullet"/>
      <w:lvlText w:val=""/>
      <w:lvlJc w:val="left"/>
      <w:pPr>
        <w:ind w:left="717" w:hanging="360"/>
      </w:pPr>
      <w:rPr>
        <w:rFonts w:ascii="Symbol" w:hAnsi="Symbol" w:hint="default"/>
      </w:rPr>
    </w:lvl>
    <w:lvl w:ilvl="1" w:tplc="FFFFFFFF">
      <w:start w:val="1"/>
      <w:numFmt w:val="bullet"/>
      <w:lvlText w:val="o"/>
      <w:lvlJc w:val="left"/>
      <w:pPr>
        <w:ind w:left="1074" w:hanging="360"/>
      </w:pPr>
      <w:rPr>
        <w:rFonts w:ascii="Courier New" w:hAnsi="Courier New" w:cs="Courier New" w:hint="default"/>
      </w:rPr>
    </w:lvl>
    <w:lvl w:ilvl="2" w:tplc="FFFFFFFF" w:tentative="1">
      <w:start w:val="1"/>
      <w:numFmt w:val="bullet"/>
      <w:lvlText w:val=""/>
      <w:lvlJc w:val="left"/>
      <w:pPr>
        <w:ind w:left="1794" w:hanging="360"/>
      </w:pPr>
      <w:rPr>
        <w:rFonts w:ascii="Wingdings" w:hAnsi="Wingdings" w:hint="default"/>
      </w:rPr>
    </w:lvl>
    <w:lvl w:ilvl="3" w:tplc="FFFFFFFF" w:tentative="1">
      <w:start w:val="1"/>
      <w:numFmt w:val="bullet"/>
      <w:lvlText w:val=""/>
      <w:lvlJc w:val="left"/>
      <w:pPr>
        <w:ind w:left="2514" w:hanging="360"/>
      </w:pPr>
      <w:rPr>
        <w:rFonts w:ascii="Symbol" w:hAnsi="Symbol" w:hint="default"/>
      </w:rPr>
    </w:lvl>
    <w:lvl w:ilvl="4" w:tplc="FFFFFFFF" w:tentative="1">
      <w:start w:val="1"/>
      <w:numFmt w:val="bullet"/>
      <w:lvlText w:val="o"/>
      <w:lvlJc w:val="left"/>
      <w:pPr>
        <w:ind w:left="3234" w:hanging="360"/>
      </w:pPr>
      <w:rPr>
        <w:rFonts w:ascii="Courier New" w:hAnsi="Courier New" w:cs="Courier New" w:hint="default"/>
      </w:rPr>
    </w:lvl>
    <w:lvl w:ilvl="5" w:tplc="FFFFFFFF" w:tentative="1">
      <w:start w:val="1"/>
      <w:numFmt w:val="bullet"/>
      <w:lvlText w:val=""/>
      <w:lvlJc w:val="left"/>
      <w:pPr>
        <w:ind w:left="3954" w:hanging="360"/>
      </w:pPr>
      <w:rPr>
        <w:rFonts w:ascii="Wingdings" w:hAnsi="Wingdings" w:hint="default"/>
      </w:rPr>
    </w:lvl>
    <w:lvl w:ilvl="6" w:tplc="FFFFFFFF" w:tentative="1">
      <w:start w:val="1"/>
      <w:numFmt w:val="bullet"/>
      <w:lvlText w:val=""/>
      <w:lvlJc w:val="left"/>
      <w:pPr>
        <w:ind w:left="4674" w:hanging="360"/>
      </w:pPr>
      <w:rPr>
        <w:rFonts w:ascii="Symbol" w:hAnsi="Symbol" w:hint="default"/>
      </w:rPr>
    </w:lvl>
    <w:lvl w:ilvl="7" w:tplc="FFFFFFFF" w:tentative="1">
      <w:start w:val="1"/>
      <w:numFmt w:val="bullet"/>
      <w:lvlText w:val="o"/>
      <w:lvlJc w:val="left"/>
      <w:pPr>
        <w:ind w:left="5394" w:hanging="360"/>
      </w:pPr>
      <w:rPr>
        <w:rFonts w:ascii="Courier New" w:hAnsi="Courier New" w:cs="Courier New" w:hint="default"/>
      </w:rPr>
    </w:lvl>
    <w:lvl w:ilvl="8" w:tplc="FFFFFFFF" w:tentative="1">
      <w:start w:val="1"/>
      <w:numFmt w:val="bullet"/>
      <w:lvlText w:val=""/>
      <w:lvlJc w:val="left"/>
      <w:pPr>
        <w:ind w:left="6114" w:hanging="360"/>
      </w:pPr>
      <w:rPr>
        <w:rFonts w:ascii="Wingdings" w:hAnsi="Wingdings" w:hint="default"/>
      </w:rPr>
    </w:lvl>
  </w:abstractNum>
  <w:abstractNum w:abstractNumId="12" w15:restartNumberingAfterBreak="0">
    <w:nsid w:val="25A9069B"/>
    <w:multiLevelType w:val="multilevel"/>
    <w:tmpl w:val="5A168E46"/>
    <w:styleLink w:val="HeadingsNumbered0"/>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lowerLetter"/>
      <w:lvlText w:val="%4."/>
      <w:lvlJc w:val="left"/>
      <w:pPr>
        <w:tabs>
          <w:tab w:val="num" w:pos="284"/>
        </w:tabs>
        <w:ind w:left="284" w:hanging="284"/>
      </w:pPr>
      <w:rPr>
        <w:rFonts w:hint="default"/>
        <w:color w:val="000000" w:themeColor="text1"/>
      </w:rPr>
    </w:lvl>
    <w:lvl w:ilvl="4">
      <w:start w:val="1"/>
      <w:numFmt w:val="decimal"/>
      <w:lvlRestart w:val="3"/>
      <w:lvlText w:val="%5."/>
      <w:lvlJc w:val="left"/>
      <w:pPr>
        <w:tabs>
          <w:tab w:val="num" w:pos="284"/>
        </w:tabs>
        <w:ind w:left="284" w:hanging="284"/>
      </w:pPr>
      <w:rPr>
        <w:rFonts w:hint="default"/>
        <w:color w:val="000000" w:themeColor="text1"/>
      </w:rPr>
    </w:lvl>
    <w:lvl w:ilvl="5">
      <w:start w:val="1"/>
      <w:numFmt w:val="bullet"/>
      <w:lvlRestart w:val="3"/>
      <w:lvlText w:val=""/>
      <w:lvlJc w:val="left"/>
      <w:pPr>
        <w:tabs>
          <w:tab w:val="num" w:pos="284"/>
        </w:tabs>
        <w:ind w:left="284" w:hanging="284"/>
      </w:pPr>
      <w:rPr>
        <w:rFonts w:ascii="Wingdings" w:hAnsi="Wingdings" w:hint="default"/>
        <w:color w:val="000000" w:themeColor="text1"/>
      </w:rPr>
    </w:lvl>
    <w:lvl w:ilvl="6">
      <w:start w:val="1"/>
      <w:numFmt w:val="bullet"/>
      <w:lvlText w:val="○"/>
      <w:lvlJc w:val="left"/>
      <w:pPr>
        <w:ind w:left="567" w:hanging="283"/>
      </w:pPr>
      <w:rPr>
        <w:rFonts w:ascii="Abadi" w:hAnsi="Abadi" w:hint="default"/>
        <w:color w:val="000000" w:themeColor="text1"/>
      </w:rPr>
    </w:lvl>
    <w:lvl w:ilvl="7">
      <w:start w:val="1"/>
      <w:numFmt w:val="bullet"/>
      <w:lvlText w:val="−"/>
      <w:lvlJc w:val="left"/>
      <w:pPr>
        <w:tabs>
          <w:tab w:val="num" w:pos="851"/>
        </w:tabs>
        <w:ind w:left="851" w:hanging="284"/>
      </w:pPr>
      <w:rPr>
        <w:rFonts w:ascii="Times New Roman" w:hAnsi="Times New Roman" w:cs="Times New Roman" w:hint="default"/>
        <w:color w:val="4D4D4D" w:themeColor="text2"/>
      </w:rPr>
    </w:lvl>
    <w:lvl w:ilvl="8">
      <w:start w:val="1"/>
      <w:numFmt w:val="bullet"/>
      <w:lvlText w:val=""/>
      <w:lvlJc w:val="left"/>
      <w:pPr>
        <w:tabs>
          <w:tab w:val="num" w:pos="1134"/>
        </w:tabs>
        <w:ind w:left="1134" w:hanging="283"/>
      </w:pPr>
      <w:rPr>
        <w:rFonts w:ascii="Wingdings" w:hAnsi="Wingdings" w:hint="default"/>
        <w:color w:val="000000" w:themeColor="text1"/>
      </w:rPr>
    </w:lvl>
  </w:abstractNum>
  <w:abstractNum w:abstractNumId="13" w15:restartNumberingAfterBreak="0">
    <w:nsid w:val="25CF27A3"/>
    <w:multiLevelType w:val="multilevel"/>
    <w:tmpl w:val="9E6E64A4"/>
    <w:lvl w:ilvl="0">
      <w:start w:val="1"/>
      <w:numFmt w:val="bullet"/>
      <w:lvlText w:val=""/>
      <w:lvlJc w:val="left"/>
      <w:pPr>
        <w:ind w:left="357" w:hanging="357"/>
      </w:pPr>
      <w:rPr>
        <w:rFonts w:ascii="Symbol" w:hAnsi="Symbol" w:hint="default"/>
      </w:rPr>
    </w:lvl>
    <w:lvl w:ilvl="1">
      <w:start w:val="1"/>
      <w:numFmt w:val="bullet"/>
      <w:lvlText w:val="−"/>
      <w:lvlJc w:val="left"/>
      <w:pPr>
        <w:tabs>
          <w:tab w:val="num" w:pos="714"/>
        </w:tabs>
        <w:ind w:left="714" w:hanging="357"/>
      </w:pPr>
      <w:rPr>
        <w:rFonts w:ascii="Calibri" w:hAnsi="Calibri" w:hint="default"/>
      </w:rPr>
    </w:lvl>
    <w:lvl w:ilvl="2">
      <w:start w:val="1"/>
      <w:numFmt w:val="bullet"/>
      <w:lvlText w:val="−"/>
      <w:lvlJc w:val="left"/>
      <w:pPr>
        <w:ind w:left="1071" w:hanging="357"/>
      </w:pPr>
      <w:rPr>
        <w:rFonts w:ascii="Calibri" w:hAnsi="Calibri" w:hint="default"/>
      </w:rPr>
    </w:lvl>
    <w:lvl w:ilvl="3">
      <w:start w:val="1"/>
      <w:numFmt w:val="bullet"/>
      <w:lvlText w:val="−"/>
      <w:lvlJc w:val="left"/>
      <w:pPr>
        <w:ind w:left="1428" w:hanging="357"/>
      </w:pPr>
      <w:rPr>
        <w:rFonts w:ascii="Calibri" w:hAnsi="Calibri" w:hint="default"/>
      </w:rPr>
    </w:lvl>
    <w:lvl w:ilvl="4">
      <w:start w:val="1"/>
      <w:numFmt w:val="bullet"/>
      <w:pStyle w:val="ListBullet5"/>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14" w15:restartNumberingAfterBreak="0">
    <w:nsid w:val="261B50CA"/>
    <w:multiLevelType w:val="hybridMultilevel"/>
    <w:tmpl w:val="FFFFFFFF"/>
    <w:lvl w:ilvl="0" w:tplc="6EDC6C1A">
      <w:start w:val="1"/>
      <w:numFmt w:val="bullet"/>
      <w:lvlText w:val=""/>
      <w:lvlJc w:val="left"/>
      <w:pPr>
        <w:ind w:left="720" w:hanging="360"/>
      </w:pPr>
      <w:rPr>
        <w:rFonts w:ascii="Symbol" w:hAnsi="Symbol" w:hint="default"/>
      </w:rPr>
    </w:lvl>
    <w:lvl w:ilvl="1" w:tplc="90C2D56A">
      <w:start w:val="1"/>
      <w:numFmt w:val="bullet"/>
      <w:lvlText w:val="o"/>
      <w:lvlJc w:val="left"/>
      <w:pPr>
        <w:ind w:left="1440" w:hanging="360"/>
      </w:pPr>
      <w:rPr>
        <w:rFonts w:ascii="Courier New" w:hAnsi="Courier New" w:hint="default"/>
      </w:rPr>
    </w:lvl>
    <w:lvl w:ilvl="2" w:tplc="BF14E320">
      <w:start w:val="1"/>
      <w:numFmt w:val="bullet"/>
      <w:lvlText w:val=""/>
      <w:lvlJc w:val="left"/>
      <w:pPr>
        <w:ind w:left="2160" w:hanging="360"/>
      </w:pPr>
      <w:rPr>
        <w:rFonts w:ascii="Wingdings" w:hAnsi="Wingdings" w:hint="default"/>
      </w:rPr>
    </w:lvl>
    <w:lvl w:ilvl="3" w:tplc="D90E8F54">
      <w:start w:val="1"/>
      <w:numFmt w:val="bullet"/>
      <w:lvlText w:val=""/>
      <w:lvlJc w:val="left"/>
      <w:pPr>
        <w:ind w:left="2880" w:hanging="360"/>
      </w:pPr>
      <w:rPr>
        <w:rFonts w:ascii="Symbol" w:hAnsi="Symbol" w:hint="default"/>
      </w:rPr>
    </w:lvl>
    <w:lvl w:ilvl="4" w:tplc="23CEF6DC">
      <w:start w:val="1"/>
      <w:numFmt w:val="bullet"/>
      <w:lvlText w:val="o"/>
      <w:lvlJc w:val="left"/>
      <w:pPr>
        <w:ind w:left="3600" w:hanging="360"/>
      </w:pPr>
      <w:rPr>
        <w:rFonts w:ascii="Courier New" w:hAnsi="Courier New" w:hint="default"/>
      </w:rPr>
    </w:lvl>
    <w:lvl w:ilvl="5" w:tplc="FDD09BF6">
      <w:start w:val="1"/>
      <w:numFmt w:val="bullet"/>
      <w:lvlText w:val=""/>
      <w:lvlJc w:val="left"/>
      <w:pPr>
        <w:ind w:left="4320" w:hanging="360"/>
      </w:pPr>
      <w:rPr>
        <w:rFonts w:ascii="Wingdings" w:hAnsi="Wingdings" w:hint="default"/>
      </w:rPr>
    </w:lvl>
    <w:lvl w:ilvl="6" w:tplc="CED20838">
      <w:start w:val="1"/>
      <w:numFmt w:val="bullet"/>
      <w:lvlText w:val=""/>
      <w:lvlJc w:val="left"/>
      <w:pPr>
        <w:ind w:left="5040" w:hanging="360"/>
      </w:pPr>
      <w:rPr>
        <w:rFonts w:ascii="Symbol" w:hAnsi="Symbol" w:hint="default"/>
      </w:rPr>
    </w:lvl>
    <w:lvl w:ilvl="7" w:tplc="AE0816DC">
      <w:start w:val="1"/>
      <w:numFmt w:val="bullet"/>
      <w:lvlText w:val="o"/>
      <w:lvlJc w:val="left"/>
      <w:pPr>
        <w:ind w:left="5760" w:hanging="360"/>
      </w:pPr>
      <w:rPr>
        <w:rFonts w:ascii="Courier New" w:hAnsi="Courier New" w:hint="default"/>
      </w:rPr>
    </w:lvl>
    <w:lvl w:ilvl="8" w:tplc="7F8CBCA8">
      <w:start w:val="1"/>
      <w:numFmt w:val="bullet"/>
      <w:lvlText w:val=""/>
      <w:lvlJc w:val="left"/>
      <w:pPr>
        <w:ind w:left="6480" w:hanging="360"/>
      </w:pPr>
      <w:rPr>
        <w:rFonts w:ascii="Wingdings" w:hAnsi="Wingdings" w:hint="default"/>
      </w:rPr>
    </w:lvl>
  </w:abstractNum>
  <w:abstractNum w:abstractNumId="15" w15:restartNumberingAfterBreak="0">
    <w:nsid w:val="28725E6D"/>
    <w:multiLevelType w:val="hybridMultilevel"/>
    <w:tmpl w:val="8E0C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C8BA8"/>
    <w:multiLevelType w:val="hybridMultilevel"/>
    <w:tmpl w:val="FFFFFFFF"/>
    <w:lvl w:ilvl="0" w:tplc="BCFC88DC">
      <w:start w:val="1"/>
      <w:numFmt w:val="bullet"/>
      <w:lvlText w:val=""/>
      <w:lvlJc w:val="left"/>
      <w:pPr>
        <w:ind w:left="720" w:hanging="360"/>
      </w:pPr>
      <w:rPr>
        <w:rFonts w:ascii="Symbol" w:hAnsi="Symbol" w:hint="default"/>
      </w:rPr>
    </w:lvl>
    <w:lvl w:ilvl="1" w:tplc="ECE6B9E2">
      <w:start w:val="1"/>
      <w:numFmt w:val="bullet"/>
      <w:lvlText w:val="o"/>
      <w:lvlJc w:val="left"/>
      <w:pPr>
        <w:ind w:left="1440" w:hanging="360"/>
      </w:pPr>
      <w:rPr>
        <w:rFonts w:ascii="Courier New" w:hAnsi="Courier New" w:hint="default"/>
      </w:rPr>
    </w:lvl>
    <w:lvl w:ilvl="2" w:tplc="9528CB42">
      <w:start w:val="1"/>
      <w:numFmt w:val="bullet"/>
      <w:lvlText w:val=""/>
      <w:lvlJc w:val="left"/>
      <w:pPr>
        <w:ind w:left="2160" w:hanging="360"/>
      </w:pPr>
      <w:rPr>
        <w:rFonts w:ascii="Wingdings" w:hAnsi="Wingdings" w:hint="default"/>
      </w:rPr>
    </w:lvl>
    <w:lvl w:ilvl="3" w:tplc="198C5576">
      <w:start w:val="1"/>
      <w:numFmt w:val="bullet"/>
      <w:lvlText w:val=""/>
      <w:lvlJc w:val="left"/>
      <w:pPr>
        <w:ind w:left="2880" w:hanging="360"/>
      </w:pPr>
      <w:rPr>
        <w:rFonts w:ascii="Symbol" w:hAnsi="Symbol" w:hint="default"/>
      </w:rPr>
    </w:lvl>
    <w:lvl w:ilvl="4" w:tplc="1A6AC156">
      <w:start w:val="1"/>
      <w:numFmt w:val="bullet"/>
      <w:lvlText w:val="o"/>
      <w:lvlJc w:val="left"/>
      <w:pPr>
        <w:ind w:left="3600" w:hanging="360"/>
      </w:pPr>
      <w:rPr>
        <w:rFonts w:ascii="Courier New" w:hAnsi="Courier New" w:hint="default"/>
      </w:rPr>
    </w:lvl>
    <w:lvl w:ilvl="5" w:tplc="B0F420CC">
      <w:start w:val="1"/>
      <w:numFmt w:val="bullet"/>
      <w:lvlText w:val=""/>
      <w:lvlJc w:val="left"/>
      <w:pPr>
        <w:ind w:left="4320" w:hanging="360"/>
      </w:pPr>
      <w:rPr>
        <w:rFonts w:ascii="Wingdings" w:hAnsi="Wingdings" w:hint="default"/>
      </w:rPr>
    </w:lvl>
    <w:lvl w:ilvl="6" w:tplc="9E6AC246">
      <w:start w:val="1"/>
      <w:numFmt w:val="bullet"/>
      <w:lvlText w:val=""/>
      <w:lvlJc w:val="left"/>
      <w:pPr>
        <w:ind w:left="5040" w:hanging="360"/>
      </w:pPr>
      <w:rPr>
        <w:rFonts w:ascii="Symbol" w:hAnsi="Symbol" w:hint="default"/>
      </w:rPr>
    </w:lvl>
    <w:lvl w:ilvl="7" w:tplc="849CF8BC">
      <w:start w:val="1"/>
      <w:numFmt w:val="bullet"/>
      <w:lvlText w:val="o"/>
      <w:lvlJc w:val="left"/>
      <w:pPr>
        <w:ind w:left="5760" w:hanging="360"/>
      </w:pPr>
      <w:rPr>
        <w:rFonts w:ascii="Courier New" w:hAnsi="Courier New" w:hint="default"/>
      </w:rPr>
    </w:lvl>
    <w:lvl w:ilvl="8" w:tplc="0FA44F96">
      <w:start w:val="1"/>
      <w:numFmt w:val="bullet"/>
      <w:lvlText w:val=""/>
      <w:lvlJc w:val="left"/>
      <w:pPr>
        <w:ind w:left="6480" w:hanging="360"/>
      </w:pPr>
      <w:rPr>
        <w:rFonts w:ascii="Wingdings" w:hAnsi="Wingdings" w:hint="default"/>
      </w:rPr>
    </w:lvl>
  </w:abstractNum>
  <w:abstractNum w:abstractNumId="17" w15:restartNumberingAfterBreak="0">
    <w:nsid w:val="2A1D6517"/>
    <w:multiLevelType w:val="multilevel"/>
    <w:tmpl w:val="3770469C"/>
    <w:numStyleLink w:val="NumberedList"/>
  </w:abstractNum>
  <w:abstractNum w:abstractNumId="18" w15:restartNumberingAfterBreak="0">
    <w:nsid w:val="333A6AF6"/>
    <w:multiLevelType w:val="multilevel"/>
    <w:tmpl w:val="2C1CBBBA"/>
    <w:numStyleLink w:val="AlphaList"/>
  </w:abstractNum>
  <w:abstractNum w:abstractNumId="19" w15:restartNumberingAfterBreak="0">
    <w:nsid w:val="348E7087"/>
    <w:multiLevelType w:val="hybridMultilevel"/>
    <w:tmpl w:val="E3B41A26"/>
    <w:lvl w:ilvl="0" w:tplc="4F46C6AA">
      <w:start w:val="432"/>
      <w:numFmt w:val="bullet"/>
      <w:pStyle w:val="ListParagraph"/>
      <w:lvlText w:val="-"/>
      <w:lvlJc w:val="left"/>
      <w:pPr>
        <w:ind w:left="360" w:hanging="360"/>
      </w:pPr>
      <w:rPr>
        <w:rFonts w:ascii="Century Gothic" w:eastAsia="Century Gothic" w:hAnsi="Century Gothic" w:cs="Century Gothic" w:hint="default"/>
      </w:rPr>
    </w:lvl>
    <w:lvl w:ilvl="1" w:tplc="24BEDC88">
      <w:start w:val="1"/>
      <w:numFmt w:val="bullet"/>
      <w:lvlText w:val="o"/>
      <w:lvlJc w:val="left"/>
      <w:pPr>
        <w:ind w:left="1080" w:hanging="360"/>
      </w:pPr>
      <w:rPr>
        <w:rFonts w:ascii="Courier New" w:hAnsi="Courier New" w:cs="Courier New" w:hint="default"/>
      </w:rPr>
    </w:lvl>
    <w:lvl w:ilvl="2" w:tplc="CEDAF8F8" w:tentative="1">
      <w:start w:val="1"/>
      <w:numFmt w:val="bullet"/>
      <w:lvlText w:val=""/>
      <w:lvlJc w:val="left"/>
      <w:pPr>
        <w:ind w:left="1800" w:hanging="360"/>
      </w:pPr>
      <w:rPr>
        <w:rFonts w:ascii="Wingdings" w:hAnsi="Wingdings" w:hint="default"/>
      </w:rPr>
    </w:lvl>
    <w:lvl w:ilvl="3" w:tplc="F5C40EDC" w:tentative="1">
      <w:start w:val="1"/>
      <w:numFmt w:val="bullet"/>
      <w:lvlText w:val=""/>
      <w:lvlJc w:val="left"/>
      <w:pPr>
        <w:ind w:left="2520" w:hanging="360"/>
      </w:pPr>
      <w:rPr>
        <w:rFonts w:ascii="Symbol" w:hAnsi="Symbol" w:hint="default"/>
      </w:rPr>
    </w:lvl>
    <w:lvl w:ilvl="4" w:tplc="4BFC66B2" w:tentative="1">
      <w:start w:val="1"/>
      <w:numFmt w:val="bullet"/>
      <w:lvlText w:val="o"/>
      <w:lvlJc w:val="left"/>
      <w:pPr>
        <w:ind w:left="3240" w:hanging="360"/>
      </w:pPr>
      <w:rPr>
        <w:rFonts w:ascii="Courier New" w:hAnsi="Courier New" w:cs="Courier New" w:hint="default"/>
      </w:rPr>
    </w:lvl>
    <w:lvl w:ilvl="5" w:tplc="538ECAF8" w:tentative="1">
      <w:start w:val="1"/>
      <w:numFmt w:val="bullet"/>
      <w:lvlText w:val=""/>
      <w:lvlJc w:val="left"/>
      <w:pPr>
        <w:ind w:left="3960" w:hanging="360"/>
      </w:pPr>
      <w:rPr>
        <w:rFonts w:ascii="Wingdings" w:hAnsi="Wingdings" w:hint="default"/>
      </w:rPr>
    </w:lvl>
    <w:lvl w:ilvl="6" w:tplc="4B94F122" w:tentative="1">
      <w:start w:val="1"/>
      <w:numFmt w:val="bullet"/>
      <w:lvlText w:val=""/>
      <w:lvlJc w:val="left"/>
      <w:pPr>
        <w:ind w:left="4680" w:hanging="360"/>
      </w:pPr>
      <w:rPr>
        <w:rFonts w:ascii="Symbol" w:hAnsi="Symbol" w:hint="default"/>
      </w:rPr>
    </w:lvl>
    <w:lvl w:ilvl="7" w:tplc="39643C16" w:tentative="1">
      <w:start w:val="1"/>
      <w:numFmt w:val="bullet"/>
      <w:lvlText w:val="o"/>
      <w:lvlJc w:val="left"/>
      <w:pPr>
        <w:ind w:left="5400" w:hanging="360"/>
      </w:pPr>
      <w:rPr>
        <w:rFonts w:ascii="Courier New" w:hAnsi="Courier New" w:cs="Courier New" w:hint="default"/>
      </w:rPr>
    </w:lvl>
    <w:lvl w:ilvl="8" w:tplc="A1CA4C78" w:tentative="1">
      <w:start w:val="1"/>
      <w:numFmt w:val="bullet"/>
      <w:lvlText w:val=""/>
      <w:lvlJc w:val="left"/>
      <w:pPr>
        <w:ind w:left="6120" w:hanging="360"/>
      </w:pPr>
      <w:rPr>
        <w:rFonts w:ascii="Wingdings" w:hAnsi="Wingdings" w:hint="default"/>
      </w:rPr>
    </w:lvl>
  </w:abstractNum>
  <w:abstractNum w:abstractNumId="20" w15:restartNumberingAfterBreak="0">
    <w:nsid w:val="380F4848"/>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21" w15:restartNumberingAfterBreak="0">
    <w:nsid w:val="394B97E0"/>
    <w:multiLevelType w:val="hybridMultilevel"/>
    <w:tmpl w:val="FFFFFFFF"/>
    <w:lvl w:ilvl="0" w:tplc="2C341438">
      <w:start w:val="1"/>
      <w:numFmt w:val="bullet"/>
      <w:lvlText w:val=""/>
      <w:lvlJc w:val="left"/>
      <w:pPr>
        <w:ind w:left="720" w:hanging="360"/>
      </w:pPr>
      <w:rPr>
        <w:rFonts w:ascii="Symbol" w:hAnsi="Symbol" w:hint="default"/>
      </w:rPr>
    </w:lvl>
    <w:lvl w:ilvl="1" w:tplc="F5BE0C8A">
      <w:start w:val="1"/>
      <w:numFmt w:val="bullet"/>
      <w:lvlText w:val="o"/>
      <w:lvlJc w:val="left"/>
      <w:pPr>
        <w:ind w:left="1440" w:hanging="360"/>
      </w:pPr>
      <w:rPr>
        <w:rFonts w:ascii="Courier New" w:hAnsi="Courier New" w:hint="default"/>
      </w:rPr>
    </w:lvl>
    <w:lvl w:ilvl="2" w:tplc="791219F0">
      <w:start w:val="1"/>
      <w:numFmt w:val="bullet"/>
      <w:lvlText w:val=""/>
      <w:lvlJc w:val="left"/>
      <w:pPr>
        <w:ind w:left="2160" w:hanging="360"/>
      </w:pPr>
      <w:rPr>
        <w:rFonts w:ascii="Wingdings" w:hAnsi="Wingdings" w:hint="default"/>
      </w:rPr>
    </w:lvl>
    <w:lvl w:ilvl="3" w:tplc="603EB3A4">
      <w:start w:val="1"/>
      <w:numFmt w:val="bullet"/>
      <w:lvlText w:val=""/>
      <w:lvlJc w:val="left"/>
      <w:pPr>
        <w:ind w:left="2880" w:hanging="360"/>
      </w:pPr>
      <w:rPr>
        <w:rFonts w:ascii="Symbol" w:hAnsi="Symbol" w:hint="default"/>
      </w:rPr>
    </w:lvl>
    <w:lvl w:ilvl="4" w:tplc="0C768B22">
      <w:start w:val="1"/>
      <w:numFmt w:val="bullet"/>
      <w:lvlText w:val="o"/>
      <w:lvlJc w:val="left"/>
      <w:pPr>
        <w:ind w:left="3600" w:hanging="360"/>
      </w:pPr>
      <w:rPr>
        <w:rFonts w:ascii="Courier New" w:hAnsi="Courier New" w:hint="default"/>
      </w:rPr>
    </w:lvl>
    <w:lvl w:ilvl="5" w:tplc="10D61F66">
      <w:start w:val="1"/>
      <w:numFmt w:val="bullet"/>
      <w:lvlText w:val=""/>
      <w:lvlJc w:val="left"/>
      <w:pPr>
        <w:ind w:left="4320" w:hanging="360"/>
      </w:pPr>
      <w:rPr>
        <w:rFonts w:ascii="Wingdings" w:hAnsi="Wingdings" w:hint="default"/>
      </w:rPr>
    </w:lvl>
    <w:lvl w:ilvl="6" w:tplc="FA66E59A">
      <w:start w:val="1"/>
      <w:numFmt w:val="bullet"/>
      <w:lvlText w:val=""/>
      <w:lvlJc w:val="left"/>
      <w:pPr>
        <w:ind w:left="5040" w:hanging="360"/>
      </w:pPr>
      <w:rPr>
        <w:rFonts w:ascii="Symbol" w:hAnsi="Symbol" w:hint="default"/>
      </w:rPr>
    </w:lvl>
    <w:lvl w:ilvl="7" w:tplc="F47E3810">
      <w:start w:val="1"/>
      <w:numFmt w:val="bullet"/>
      <w:lvlText w:val="o"/>
      <w:lvlJc w:val="left"/>
      <w:pPr>
        <w:ind w:left="5760" w:hanging="360"/>
      </w:pPr>
      <w:rPr>
        <w:rFonts w:ascii="Courier New" w:hAnsi="Courier New" w:hint="default"/>
      </w:rPr>
    </w:lvl>
    <w:lvl w:ilvl="8" w:tplc="2B526766">
      <w:start w:val="1"/>
      <w:numFmt w:val="bullet"/>
      <w:lvlText w:val=""/>
      <w:lvlJc w:val="left"/>
      <w:pPr>
        <w:ind w:left="6480" w:hanging="360"/>
      </w:pPr>
      <w:rPr>
        <w:rFonts w:ascii="Wingdings" w:hAnsi="Wingdings" w:hint="default"/>
      </w:rPr>
    </w:lvl>
  </w:abstractNum>
  <w:abstractNum w:abstractNumId="22" w15:restartNumberingAfterBreak="0">
    <w:nsid w:val="3AF45C4F"/>
    <w:multiLevelType w:val="multilevel"/>
    <w:tmpl w:val="F95E14A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none"/>
      <w:suff w:val="nothing"/>
      <w:lvlText w:val=""/>
      <w:lvlJc w:val="left"/>
      <w:pPr>
        <w:ind w:left="794" w:firstLine="0"/>
      </w:pPr>
      <w:rPr>
        <w:rFonts w:hint="default"/>
      </w:rPr>
    </w:lvl>
    <w:lvl w:ilvl="4">
      <w:start w:val="1"/>
      <w:numFmt w:val="lowerLetter"/>
      <w:lvlText w:val="(%5)"/>
      <w:lvlJc w:val="left"/>
      <w:pPr>
        <w:tabs>
          <w:tab w:val="num" w:pos="1191"/>
        </w:tabs>
        <w:ind w:left="1191" w:hanging="397"/>
      </w:pPr>
      <w:rPr>
        <w:rFonts w:hint="default"/>
      </w:rPr>
    </w:lvl>
    <w:lvl w:ilvl="5">
      <w:start w:val="1"/>
      <w:numFmt w:val="lowerRoman"/>
      <w:lvlText w:val="(%6)"/>
      <w:lvlJc w:val="left"/>
      <w:pPr>
        <w:tabs>
          <w:tab w:val="num" w:pos="1588"/>
        </w:tabs>
        <w:ind w:left="1588" w:hanging="397"/>
      </w:pPr>
      <w:rPr>
        <w:rFonts w:hint="default"/>
      </w:rPr>
    </w:lvl>
    <w:lvl w:ilvl="6">
      <w:start w:val="1"/>
      <w:numFmt w:val="upperLetter"/>
      <w:lvlText w:val="%7."/>
      <w:lvlJc w:val="left"/>
      <w:pPr>
        <w:tabs>
          <w:tab w:val="num" w:pos="1985"/>
        </w:tabs>
        <w:ind w:left="1985" w:hanging="397"/>
      </w:pPr>
      <w:rPr>
        <w:rFonts w:hint="default"/>
      </w:rPr>
    </w:lvl>
    <w:lvl w:ilvl="7">
      <w:start w:val="1"/>
      <w:numFmt w:val="decimal"/>
      <w:pStyle w:val="List4"/>
      <w:lvlText w:val="(%8)"/>
      <w:lvlJc w:val="left"/>
      <w:pPr>
        <w:tabs>
          <w:tab w:val="num" w:pos="2381"/>
        </w:tabs>
        <w:ind w:left="2381" w:hanging="396"/>
      </w:pPr>
      <w:rPr>
        <w:rFonts w:hint="default"/>
      </w:rPr>
    </w:lvl>
    <w:lvl w:ilvl="8">
      <w:start w:val="1"/>
      <w:numFmt w:val="none"/>
      <w:suff w:val="nothing"/>
      <w:lvlText w:val=""/>
      <w:lvlJc w:val="left"/>
      <w:pPr>
        <w:ind w:left="2381" w:firstLine="0"/>
      </w:pPr>
      <w:rPr>
        <w:rFonts w:hint="default"/>
      </w:rPr>
    </w:lvl>
  </w:abstractNum>
  <w:abstractNum w:abstractNumId="23" w15:restartNumberingAfterBreak="0">
    <w:nsid w:val="3B54268E"/>
    <w:multiLevelType w:val="hybridMultilevel"/>
    <w:tmpl w:val="FFFFFFFF"/>
    <w:lvl w:ilvl="0" w:tplc="02003470">
      <w:start w:val="1"/>
      <w:numFmt w:val="bullet"/>
      <w:lvlText w:val=""/>
      <w:lvlJc w:val="left"/>
      <w:pPr>
        <w:ind w:left="720" w:hanging="360"/>
      </w:pPr>
      <w:rPr>
        <w:rFonts w:ascii="Symbol" w:hAnsi="Symbol" w:hint="default"/>
      </w:rPr>
    </w:lvl>
    <w:lvl w:ilvl="1" w:tplc="3D5C78A4">
      <w:start w:val="1"/>
      <w:numFmt w:val="bullet"/>
      <w:lvlText w:val="o"/>
      <w:lvlJc w:val="left"/>
      <w:pPr>
        <w:ind w:left="1440" w:hanging="360"/>
      </w:pPr>
      <w:rPr>
        <w:rFonts w:ascii="Courier New" w:hAnsi="Courier New" w:hint="default"/>
      </w:rPr>
    </w:lvl>
    <w:lvl w:ilvl="2" w:tplc="9C805EDC">
      <w:start w:val="1"/>
      <w:numFmt w:val="bullet"/>
      <w:lvlText w:val=""/>
      <w:lvlJc w:val="left"/>
      <w:pPr>
        <w:ind w:left="2160" w:hanging="360"/>
      </w:pPr>
      <w:rPr>
        <w:rFonts w:ascii="Wingdings" w:hAnsi="Wingdings" w:hint="default"/>
      </w:rPr>
    </w:lvl>
    <w:lvl w:ilvl="3" w:tplc="A2589AA8">
      <w:start w:val="1"/>
      <w:numFmt w:val="bullet"/>
      <w:lvlText w:val=""/>
      <w:lvlJc w:val="left"/>
      <w:pPr>
        <w:ind w:left="2880" w:hanging="360"/>
      </w:pPr>
      <w:rPr>
        <w:rFonts w:ascii="Symbol" w:hAnsi="Symbol" w:hint="default"/>
      </w:rPr>
    </w:lvl>
    <w:lvl w:ilvl="4" w:tplc="B2E0BB60">
      <w:start w:val="1"/>
      <w:numFmt w:val="bullet"/>
      <w:lvlText w:val="o"/>
      <w:lvlJc w:val="left"/>
      <w:pPr>
        <w:ind w:left="3600" w:hanging="360"/>
      </w:pPr>
      <w:rPr>
        <w:rFonts w:ascii="Courier New" w:hAnsi="Courier New" w:hint="default"/>
      </w:rPr>
    </w:lvl>
    <w:lvl w:ilvl="5" w:tplc="E6889286">
      <w:start w:val="1"/>
      <w:numFmt w:val="bullet"/>
      <w:lvlText w:val=""/>
      <w:lvlJc w:val="left"/>
      <w:pPr>
        <w:ind w:left="4320" w:hanging="360"/>
      </w:pPr>
      <w:rPr>
        <w:rFonts w:ascii="Wingdings" w:hAnsi="Wingdings" w:hint="default"/>
      </w:rPr>
    </w:lvl>
    <w:lvl w:ilvl="6" w:tplc="89A615B4">
      <w:start w:val="1"/>
      <w:numFmt w:val="bullet"/>
      <w:lvlText w:val=""/>
      <w:lvlJc w:val="left"/>
      <w:pPr>
        <w:ind w:left="5040" w:hanging="360"/>
      </w:pPr>
      <w:rPr>
        <w:rFonts w:ascii="Symbol" w:hAnsi="Symbol" w:hint="default"/>
      </w:rPr>
    </w:lvl>
    <w:lvl w:ilvl="7" w:tplc="F62A2D18">
      <w:start w:val="1"/>
      <w:numFmt w:val="bullet"/>
      <w:lvlText w:val="o"/>
      <w:lvlJc w:val="left"/>
      <w:pPr>
        <w:ind w:left="5760" w:hanging="360"/>
      </w:pPr>
      <w:rPr>
        <w:rFonts w:ascii="Courier New" w:hAnsi="Courier New" w:hint="default"/>
      </w:rPr>
    </w:lvl>
    <w:lvl w:ilvl="8" w:tplc="6A28F73C">
      <w:start w:val="1"/>
      <w:numFmt w:val="bullet"/>
      <w:lvlText w:val=""/>
      <w:lvlJc w:val="left"/>
      <w:pPr>
        <w:ind w:left="6480" w:hanging="360"/>
      </w:pPr>
      <w:rPr>
        <w:rFonts w:ascii="Wingdings" w:hAnsi="Wingdings" w:hint="default"/>
      </w:rPr>
    </w:lvl>
  </w:abstractNum>
  <w:abstractNum w:abstractNumId="24" w15:restartNumberingAfterBreak="0">
    <w:nsid w:val="3D0B0AD1"/>
    <w:multiLevelType w:val="hybridMultilevel"/>
    <w:tmpl w:val="14CC1E9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5" w15:restartNumberingAfterBreak="0">
    <w:nsid w:val="3DD3548D"/>
    <w:multiLevelType w:val="hybridMultilevel"/>
    <w:tmpl w:val="FFFFFFFF"/>
    <w:lvl w:ilvl="0" w:tplc="0F709C74">
      <w:start w:val="1"/>
      <w:numFmt w:val="bullet"/>
      <w:lvlText w:val=""/>
      <w:lvlJc w:val="left"/>
      <w:pPr>
        <w:ind w:left="720" w:hanging="360"/>
      </w:pPr>
      <w:rPr>
        <w:rFonts w:ascii="Symbol" w:hAnsi="Symbol" w:hint="default"/>
      </w:rPr>
    </w:lvl>
    <w:lvl w:ilvl="1" w:tplc="AA982AB8">
      <w:start w:val="1"/>
      <w:numFmt w:val="bullet"/>
      <w:lvlText w:val="o"/>
      <w:lvlJc w:val="left"/>
      <w:pPr>
        <w:ind w:left="1440" w:hanging="360"/>
      </w:pPr>
      <w:rPr>
        <w:rFonts w:ascii="Courier New" w:hAnsi="Courier New" w:hint="default"/>
      </w:rPr>
    </w:lvl>
    <w:lvl w:ilvl="2" w:tplc="228470FC">
      <w:start w:val="1"/>
      <w:numFmt w:val="bullet"/>
      <w:lvlText w:val=""/>
      <w:lvlJc w:val="left"/>
      <w:pPr>
        <w:ind w:left="2160" w:hanging="360"/>
      </w:pPr>
      <w:rPr>
        <w:rFonts w:ascii="Wingdings" w:hAnsi="Wingdings" w:hint="default"/>
      </w:rPr>
    </w:lvl>
    <w:lvl w:ilvl="3" w:tplc="EAC8B6BE">
      <w:start w:val="1"/>
      <w:numFmt w:val="bullet"/>
      <w:lvlText w:val=""/>
      <w:lvlJc w:val="left"/>
      <w:pPr>
        <w:ind w:left="2880" w:hanging="360"/>
      </w:pPr>
      <w:rPr>
        <w:rFonts w:ascii="Symbol" w:hAnsi="Symbol" w:hint="default"/>
      </w:rPr>
    </w:lvl>
    <w:lvl w:ilvl="4" w:tplc="0E66AE18">
      <w:start w:val="1"/>
      <w:numFmt w:val="bullet"/>
      <w:lvlText w:val="o"/>
      <w:lvlJc w:val="left"/>
      <w:pPr>
        <w:ind w:left="3600" w:hanging="360"/>
      </w:pPr>
      <w:rPr>
        <w:rFonts w:ascii="Courier New" w:hAnsi="Courier New" w:hint="default"/>
      </w:rPr>
    </w:lvl>
    <w:lvl w:ilvl="5" w:tplc="46DE2BE0">
      <w:start w:val="1"/>
      <w:numFmt w:val="bullet"/>
      <w:lvlText w:val=""/>
      <w:lvlJc w:val="left"/>
      <w:pPr>
        <w:ind w:left="4320" w:hanging="360"/>
      </w:pPr>
      <w:rPr>
        <w:rFonts w:ascii="Wingdings" w:hAnsi="Wingdings" w:hint="default"/>
      </w:rPr>
    </w:lvl>
    <w:lvl w:ilvl="6" w:tplc="A2F40A46">
      <w:start w:val="1"/>
      <w:numFmt w:val="bullet"/>
      <w:lvlText w:val=""/>
      <w:lvlJc w:val="left"/>
      <w:pPr>
        <w:ind w:left="5040" w:hanging="360"/>
      </w:pPr>
      <w:rPr>
        <w:rFonts w:ascii="Symbol" w:hAnsi="Symbol" w:hint="default"/>
      </w:rPr>
    </w:lvl>
    <w:lvl w:ilvl="7" w:tplc="6D3E633E">
      <w:start w:val="1"/>
      <w:numFmt w:val="bullet"/>
      <w:lvlText w:val="o"/>
      <w:lvlJc w:val="left"/>
      <w:pPr>
        <w:ind w:left="5760" w:hanging="360"/>
      </w:pPr>
      <w:rPr>
        <w:rFonts w:ascii="Courier New" w:hAnsi="Courier New" w:hint="default"/>
      </w:rPr>
    </w:lvl>
    <w:lvl w:ilvl="8" w:tplc="DC30D3C8">
      <w:start w:val="1"/>
      <w:numFmt w:val="bullet"/>
      <w:lvlText w:val=""/>
      <w:lvlJc w:val="left"/>
      <w:pPr>
        <w:ind w:left="6480" w:hanging="360"/>
      </w:pPr>
      <w:rPr>
        <w:rFonts w:ascii="Wingdings" w:hAnsi="Wingdings" w:hint="default"/>
      </w:rPr>
    </w:lvl>
  </w:abstractNum>
  <w:abstractNum w:abstractNumId="26" w15:restartNumberingAfterBreak="0">
    <w:nsid w:val="415E0125"/>
    <w:multiLevelType w:val="multilevel"/>
    <w:tmpl w:val="36A6E752"/>
    <w:styleLink w:val="Bullets"/>
    <w:lvl w:ilvl="0">
      <w:start w:val="1"/>
      <w:numFmt w:val="bullet"/>
      <w:pStyle w:val="ListBullet"/>
      <w:lvlText w:val=""/>
      <w:lvlJc w:val="left"/>
      <w:pPr>
        <w:ind w:left="357" w:hanging="357"/>
      </w:pPr>
      <w:rPr>
        <w:rFonts w:ascii="Wingdings" w:hAnsi="Wingdings" w:hint="default"/>
        <w:color w:val="000000" w:themeColor="text1"/>
      </w:rPr>
    </w:lvl>
    <w:lvl w:ilvl="1">
      <w:start w:val="1"/>
      <w:numFmt w:val="bullet"/>
      <w:pStyle w:val="ListBullet2"/>
      <w:lvlText w:val="○"/>
      <w:lvlJc w:val="left"/>
      <w:pPr>
        <w:tabs>
          <w:tab w:val="num" w:pos="714"/>
        </w:tabs>
        <w:ind w:left="714" w:hanging="357"/>
      </w:pPr>
      <w:rPr>
        <w:rFonts w:ascii="Abadi" w:hAnsi="Abadi" w:hint="default"/>
        <w:color w:val="000000" w:themeColor="text1"/>
      </w:rPr>
    </w:lvl>
    <w:lvl w:ilvl="2">
      <w:start w:val="1"/>
      <w:numFmt w:val="bullet"/>
      <w:pStyle w:val="ListBullet3"/>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27" w15:restartNumberingAfterBreak="0">
    <w:nsid w:val="44DB0D65"/>
    <w:multiLevelType w:val="hybridMultilevel"/>
    <w:tmpl w:val="FFFFFFFF"/>
    <w:lvl w:ilvl="0" w:tplc="77DA494C">
      <w:start w:val="1"/>
      <w:numFmt w:val="bullet"/>
      <w:lvlText w:val=""/>
      <w:lvlJc w:val="left"/>
      <w:pPr>
        <w:ind w:left="720" w:hanging="360"/>
      </w:pPr>
      <w:rPr>
        <w:rFonts w:ascii="Symbol" w:hAnsi="Symbol" w:hint="default"/>
      </w:rPr>
    </w:lvl>
    <w:lvl w:ilvl="1" w:tplc="68282146">
      <w:start w:val="1"/>
      <w:numFmt w:val="bullet"/>
      <w:lvlText w:val="o"/>
      <w:lvlJc w:val="left"/>
      <w:pPr>
        <w:ind w:left="1440" w:hanging="360"/>
      </w:pPr>
      <w:rPr>
        <w:rFonts w:ascii="Courier New" w:hAnsi="Courier New" w:hint="default"/>
      </w:rPr>
    </w:lvl>
    <w:lvl w:ilvl="2" w:tplc="DD2465EC">
      <w:start w:val="1"/>
      <w:numFmt w:val="bullet"/>
      <w:lvlText w:val=""/>
      <w:lvlJc w:val="left"/>
      <w:pPr>
        <w:ind w:left="2160" w:hanging="360"/>
      </w:pPr>
      <w:rPr>
        <w:rFonts w:ascii="Wingdings" w:hAnsi="Wingdings" w:hint="default"/>
      </w:rPr>
    </w:lvl>
    <w:lvl w:ilvl="3" w:tplc="88CC8E92">
      <w:start w:val="1"/>
      <w:numFmt w:val="bullet"/>
      <w:lvlText w:val=""/>
      <w:lvlJc w:val="left"/>
      <w:pPr>
        <w:ind w:left="2880" w:hanging="360"/>
      </w:pPr>
      <w:rPr>
        <w:rFonts w:ascii="Symbol" w:hAnsi="Symbol" w:hint="default"/>
      </w:rPr>
    </w:lvl>
    <w:lvl w:ilvl="4" w:tplc="1166DEDC">
      <w:start w:val="1"/>
      <w:numFmt w:val="bullet"/>
      <w:lvlText w:val="o"/>
      <w:lvlJc w:val="left"/>
      <w:pPr>
        <w:ind w:left="3600" w:hanging="360"/>
      </w:pPr>
      <w:rPr>
        <w:rFonts w:ascii="Courier New" w:hAnsi="Courier New" w:hint="default"/>
      </w:rPr>
    </w:lvl>
    <w:lvl w:ilvl="5" w:tplc="5C242AF2">
      <w:start w:val="1"/>
      <w:numFmt w:val="bullet"/>
      <w:lvlText w:val=""/>
      <w:lvlJc w:val="left"/>
      <w:pPr>
        <w:ind w:left="4320" w:hanging="360"/>
      </w:pPr>
      <w:rPr>
        <w:rFonts w:ascii="Wingdings" w:hAnsi="Wingdings" w:hint="default"/>
      </w:rPr>
    </w:lvl>
    <w:lvl w:ilvl="6" w:tplc="E59AE05C">
      <w:start w:val="1"/>
      <w:numFmt w:val="bullet"/>
      <w:lvlText w:val=""/>
      <w:lvlJc w:val="left"/>
      <w:pPr>
        <w:ind w:left="5040" w:hanging="360"/>
      </w:pPr>
      <w:rPr>
        <w:rFonts w:ascii="Symbol" w:hAnsi="Symbol" w:hint="default"/>
      </w:rPr>
    </w:lvl>
    <w:lvl w:ilvl="7" w:tplc="E4AC1672">
      <w:start w:val="1"/>
      <w:numFmt w:val="bullet"/>
      <w:lvlText w:val="o"/>
      <w:lvlJc w:val="left"/>
      <w:pPr>
        <w:ind w:left="5760" w:hanging="360"/>
      </w:pPr>
      <w:rPr>
        <w:rFonts w:ascii="Courier New" w:hAnsi="Courier New" w:hint="default"/>
      </w:rPr>
    </w:lvl>
    <w:lvl w:ilvl="8" w:tplc="6876FECE">
      <w:start w:val="1"/>
      <w:numFmt w:val="bullet"/>
      <w:lvlText w:val=""/>
      <w:lvlJc w:val="left"/>
      <w:pPr>
        <w:ind w:left="6480" w:hanging="360"/>
      </w:pPr>
      <w:rPr>
        <w:rFonts w:ascii="Wingdings" w:hAnsi="Wingdings" w:hint="default"/>
      </w:rPr>
    </w:lvl>
  </w:abstractNum>
  <w:abstractNum w:abstractNumId="28" w15:restartNumberingAfterBreak="0">
    <w:nsid w:val="452A2799"/>
    <w:multiLevelType w:val="multilevel"/>
    <w:tmpl w:val="4AE24AF6"/>
    <w:lvl w:ilvl="0">
      <w:start w:val="1"/>
      <w:numFmt w:val="bullet"/>
      <w:lvlText w:val=""/>
      <w:lvlJc w:val="left"/>
      <w:pPr>
        <w:ind w:left="771"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29" w15:restartNumberingAfterBreak="0">
    <w:nsid w:val="45B45BEF"/>
    <w:multiLevelType w:val="multilevel"/>
    <w:tmpl w:val="3A005AA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tabs>
          <w:tab w:val="num" w:pos="714"/>
        </w:tabs>
        <w:ind w:left="714" w:hanging="357"/>
      </w:pPr>
      <w:rPr>
        <w:rFonts w:ascii="Abadi" w:hAnsi="Abadi" w:hint="default"/>
        <w:color w:val="000000" w:themeColor="text1"/>
      </w:rPr>
    </w:lvl>
    <w:lvl w:ilvl="2">
      <w:start w:val="1"/>
      <w:numFmt w:val="bullet"/>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30" w15:restartNumberingAfterBreak="0">
    <w:nsid w:val="46655562"/>
    <w:multiLevelType w:val="hybridMultilevel"/>
    <w:tmpl w:val="A70A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A52E75"/>
    <w:multiLevelType w:val="multilevel"/>
    <w:tmpl w:val="3770469C"/>
    <w:styleLink w:val="NumberedList"/>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1" w:hanging="357"/>
      </w:pPr>
      <w:rPr>
        <w:rFonts w:hint="default"/>
      </w:rPr>
    </w:lvl>
    <w:lvl w:ilvl="3">
      <w:start w:val="1"/>
      <w:numFmt w:val="none"/>
      <w:pStyle w:val="ListNumber4"/>
      <w:lvlText w:val=""/>
      <w:lvlJc w:val="left"/>
      <w:pPr>
        <w:tabs>
          <w:tab w:val="num" w:pos="1429"/>
        </w:tabs>
        <w:ind w:left="1428" w:hanging="357"/>
      </w:pPr>
      <w:rPr>
        <w:rFonts w:hint="default"/>
      </w:rPr>
    </w:lvl>
    <w:lvl w:ilvl="4">
      <w:start w:val="1"/>
      <w:numFmt w:val="none"/>
      <w:pStyle w:val="ListNumber5"/>
      <w:lvlText w:val=""/>
      <w:lvlJc w:val="left"/>
      <w:pPr>
        <w:tabs>
          <w:tab w:val="num" w:pos="1786"/>
        </w:tabs>
        <w:ind w:left="1785" w:hanging="357"/>
      </w:pPr>
      <w:rPr>
        <w:rFonts w:hint="default"/>
      </w:rPr>
    </w:lvl>
    <w:lvl w:ilvl="5">
      <w:start w:val="1"/>
      <w:numFmt w:val="none"/>
      <w:lvlText w:val=""/>
      <w:lvlJc w:val="left"/>
      <w:pPr>
        <w:tabs>
          <w:tab w:val="num" w:pos="2143"/>
        </w:tabs>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2" w15:restartNumberingAfterBreak="0">
    <w:nsid w:val="4F204247"/>
    <w:multiLevelType w:val="multilevel"/>
    <w:tmpl w:val="3F90F17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ListBullet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33DDAFD"/>
    <w:multiLevelType w:val="hybridMultilevel"/>
    <w:tmpl w:val="FFFFFFFF"/>
    <w:lvl w:ilvl="0" w:tplc="DBC83ACA">
      <w:start w:val="1"/>
      <w:numFmt w:val="bullet"/>
      <w:lvlText w:val=""/>
      <w:lvlJc w:val="left"/>
      <w:pPr>
        <w:ind w:left="720" w:hanging="360"/>
      </w:pPr>
      <w:rPr>
        <w:rFonts w:ascii="Symbol" w:hAnsi="Symbol" w:hint="default"/>
      </w:rPr>
    </w:lvl>
    <w:lvl w:ilvl="1" w:tplc="E41C85F8">
      <w:start w:val="1"/>
      <w:numFmt w:val="bullet"/>
      <w:lvlText w:val="o"/>
      <w:lvlJc w:val="left"/>
      <w:pPr>
        <w:ind w:left="1440" w:hanging="360"/>
      </w:pPr>
      <w:rPr>
        <w:rFonts w:ascii="Courier New" w:hAnsi="Courier New" w:hint="default"/>
      </w:rPr>
    </w:lvl>
    <w:lvl w:ilvl="2" w:tplc="0708403C">
      <w:start w:val="1"/>
      <w:numFmt w:val="bullet"/>
      <w:lvlText w:val=""/>
      <w:lvlJc w:val="left"/>
      <w:pPr>
        <w:ind w:left="2160" w:hanging="360"/>
      </w:pPr>
      <w:rPr>
        <w:rFonts w:ascii="Wingdings" w:hAnsi="Wingdings" w:hint="default"/>
      </w:rPr>
    </w:lvl>
    <w:lvl w:ilvl="3" w:tplc="B7FAA80A">
      <w:start w:val="1"/>
      <w:numFmt w:val="bullet"/>
      <w:lvlText w:val=""/>
      <w:lvlJc w:val="left"/>
      <w:pPr>
        <w:ind w:left="2880" w:hanging="360"/>
      </w:pPr>
      <w:rPr>
        <w:rFonts w:ascii="Symbol" w:hAnsi="Symbol" w:hint="default"/>
      </w:rPr>
    </w:lvl>
    <w:lvl w:ilvl="4" w:tplc="F02C84CC">
      <w:start w:val="1"/>
      <w:numFmt w:val="bullet"/>
      <w:lvlText w:val="o"/>
      <w:lvlJc w:val="left"/>
      <w:pPr>
        <w:ind w:left="3600" w:hanging="360"/>
      </w:pPr>
      <w:rPr>
        <w:rFonts w:ascii="Courier New" w:hAnsi="Courier New" w:hint="default"/>
      </w:rPr>
    </w:lvl>
    <w:lvl w:ilvl="5" w:tplc="E6EA1D44">
      <w:start w:val="1"/>
      <w:numFmt w:val="bullet"/>
      <w:lvlText w:val=""/>
      <w:lvlJc w:val="left"/>
      <w:pPr>
        <w:ind w:left="4320" w:hanging="360"/>
      </w:pPr>
      <w:rPr>
        <w:rFonts w:ascii="Wingdings" w:hAnsi="Wingdings" w:hint="default"/>
      </w:rPr>
    </w:lvl>
    <w:lvl w:ilvl="6" w:tplc="FF1679A0">
      <w:start w:val="1"/>
      <w:numFmt w:val="bullet"/>
      <w:lvlText w:val=""/>
      <w:lvlJc w:val="left"/>
      <w:pPr>
        <w:ind w:left="5040" w:hanging="360"/>
      </w:pPr>
      <w:rPr>
        <w:rFonts w:ascii="Symbol" w:hAnsi="Symbol" w:hint="default"/>
      </w:rPr>
    </w:lvl>
    <w:lvl w:ilvl="7" w:tplc="5832EB5C">
      <w:start w:val="1"/>
      <w:numFmt w:val="bullet"/>
      <w:lvlText w:val="o"/>
      <w:lvlJc w:val="left"/>
      <w:pPr>
        <w:ind w:left="5760" w:hanging="360"/>
      </w:pPr>
      <w:rPr>
        <w:rFonts w:ascii="Courier New" w:hAnsi="Courier New" w:hint="default"/>
      </w:rPr>
    </w:lvl>
    <w:lvl w:ilvl="8" w:tplc="C240AF64">
      <w:start w:val="1"/>
      <w:numFmt w:val="bullet"/>
      <w:lvlText w:val=""/>
      <w:lvlJc w:val="left"/>
      <w:pPr>
        <w:ind w:left="6480" w:hanging="360"/>
      </w:pPr>
      <w:rPr>
        <w:rFonts w:ascii="Wingdings" w:hAnsi="Wingdings" w:hint="default"/>
      </w:rPr>
    </w:lvl>
  </w:abstractNum>
  <w:abstractNum w:abstractNumId="34" w15:restartNumberingAfterBreak="0">
    <w:nsid w:val="580EBEEB"/>
    <w:multiLevelType w:val="hybridMultilevel"/>
    <w:tmpl w:val="FFFFFFFF"/>
    <w:lvl w:ilvl="0" w:tplc="4DA05834">
      <w:start w:val="1"/>
      <w:numFmt w:val="bullet"/>
      <w:lvlText w:val=""/>
      <w:lvlJc w:val="left"/>
      <w:pPr>
        <w:ind w:left="720" w:hanging="360"/>
      </w:pPr>
      <w:rPr>
        <w:rFonts w:ascii="Symbol" w:hAnsi="Symbol" w:hint="default"/>
      </w:rPr>
    </w:lvl>
    <w:lvl w:ilvl="1" w:tplc="5C5A690A">
      <w:start w:val="1"/>
      <w:numFmt w:val="bullet"/>
      <w:lvlText w:val="o"/>
      <w:lvlJc w:val="left"/>
      <w:pPr>
        <w:ind w:left="1440" w:hanging="360"/>
      </w:pPr>
      <w:rPr>
        <w:rFonts w:ascii="Courier New" w:hAnsi="Courier New" w:hint="default"/>
      </w:rPr>
    </w:lvl>
    <w:lvl w:ilvl="2" w:tplc="43021D9E">
      <w:start w:val="1"/>
      <w:numFmt w:val="bullet"/>
      <w:lvlText w:val=""/>
      <w:lvlJc w:val="left"/>
      <w:pPr>
        <w:ind w:left="2160" w:hanging="360"/>
      </w:pPr>
      <w:rPr>
        <w:rFonts w:ascii="Wingdings" w:hAnsi="Wingdings" w:hint="default"/>
      </w:rPr>
    </w:lvl>
    <w:lvl w:ilvl="3" w:tplc="9ACA9C4A">
      <w:start w:val="1"/>
      <w:numFmt w:val="bullet"/>
      <w:lvlText w:val=""/>
      <w:lvlJc w:val="left"/>
      <w:pPr>
        <w:ind w:left="2880" w:hanging="360"/>
      </w:pPr>
      <w:rPr>
        <w:rFonts w:ascii="Symbol" w:hAnsi="Symbol" w:hint="default"/>
      </w:rPr>
    </w:lvl>
    <w:lvl w:ilvl="4" w:tplc="522E04EA">
      <w:start w:val="1"/>
      <w:numFmt w:val="bullet"/>
      <w:lvlText w:val="o"/>
      <w:lvlJc w:val="left"/>
      <w:pPr>
        <w:ind w:left="3600" w:hanging="360"/>
      </w:pPr>
      <w:rPr>
        <w:rFonts w:ascii="Courier New" w:hAnsi="Courier New" w:hint="default"/>
      </w:rPr>
    </w:lvl>
    <w:lvl w:ilvl="5" w:tplc="C106A1FE">
      <w:start w:val="1"/>
      <w:numFmt w:val="bullet"/>
      <w:lvlText w:val=""/>
      <w:lvlJc w:val="left"/>
      <w:pPr>
        <w:ind w:left="4320" w:hanging="360"/>
      </w:pPr>
      <w:rPr>
        <w:rFonts w:ascii="Wingdings" w:hAnsi="Wingdings" w:hint="default"/>
      </w:rPr>
    </w:lvl>
    <w:lvl w:ilvl="6" w:tplc="2766DEE2">
      <w:start w:val="1"/>
      <w:numFmt w:val="bullet"/>
      <w:lvlText w:val=""/>
      <w:lvlJc w:val="left"/>
      <w:pPr>
        <w:ind w:left="5040" w:hanging="360"/>
      </w:pPr>
      <w:rPr>
        <w:rFonts w:ascii="Symbol" w:hAnsi="Symbol" w:hint="default"/>
      </w:rPr>
    </w:lvl>
    <w:lvl w:ilvl="7" w:tplc="2DF0CAB6">
      <w:start w:val="1"/>
      <w:numFmt w:val="bullet"/>
      <w:lvlText w:val="o"/>
      <w:lvlJc w:val="left"/>
      <w:pPr>
        <w:ind w:left="5760" w:hanging="360"/>
      </w:pPr>
      <w:rPr>
        <w:rFonts w:ascii="Courier New" w:hAnsi="Courier New" w:hint="default"/>
      </w:rPr>
    </w:lvl>
    <w:lvl w:ilvl="8" w:tplc="25826E70">
      <w:start w:val="1"/>
      <w:numFmt w:val="bullet"/>
      <w:lvlText w:val=""/>
      <w:lvlJc w:val="left"/>
      <w:pPr>
        <w:ind w:left="6480" w:hanging="360"/>
      </w:pPr>
      <w:rPr>
        <w:rFonts w:ascii="Wingdings" w:hAnsi="Wingdings" w:hint="default"/>
      </w:rPr>
    </w:lvl>
  </w:abstractNum>
  <w:abstractNum w:abstractNumId="35" w15:restartNumberingAfterBreak="0">
    <w:nsid w:val="5C061B59"/>
    <w:multiLevelType w:val="hybridMultilevel"/>
    <w:tmpl w:val="8A0ED568"/>
    <w:lvl w:ilvl="0" w:tplc="1B002E82">
      <w:numFmt w:val="bullet"/>
      <w:lvlText w:val=""/>
      <w:lvlJc w:val="left"/>
      <w:pPr>
        <w:ind w:left="360" w:hanging="360"/>
      </w:pPr>
      <w:rPr>
        <w:rFonts w:ascii="Symbol" w:eastAsia="Century Gothic"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D1F93"/>
    <w:multiLevelType w:val="multilevel"/>
    <w:tmpl w:val="2C1CBBBA"/>
    <w:styleLink w:val="AlphaList"/>
    <w:lvl w:ilvl="0">
      <w:start w:val="1"/>
      <w:numFmt w:val="lowerLetter"/>
      <w:pStyle w:val="List"/>
      <w:lvlText w:val="%1."/>
      <w:lvlJc w:val="left"/>
      <w:pPr>
        <w:ind w:left="357" w:hanging="357"/>
      </w:pPr>
      <w:rPr>
        <w:rFonts w:hint="default"/>
      </w:rPr>
    </w:lvl>
    <w:lvl w:ilvl="1">
      <w:start w:val="1"/>
      <w:numFmt w:val="lowerRoman"/>
      <w:pStyle w:val="List2"/>
      <w:lvlText w:val="%2."/>
      <w:lvlJc w:val="left"/>
      <w:pPr>
        <w:ind w:left="714" w:hanging="357"/>
      </w:pPr>
      <w:rPr>
        <w:rFonts w:hint="default"/>
      </w:rPr>
    </w:lvl>
    <w:lvl w:ilvl="2">
      <w:start w:val="1"/>
      <w:numFmt w:val="decimal"/>
      <w:pStyle w:val="List3"/>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7" w15:restartNumberingAfterBreak="0">
    <w:nsid w:val="62CE4DD4"/>
    <w:multiLevelType w:val="multilevel"/>
    <w:tmpl w:val="36A6E752"/>
    <w:numStyleLink w:val="Bullets"/>
  </w:abstractNum>
  <w:abstractNum w:abstractNumId="38" w15:restartNumberingAfterBreak="0">
    <w:nsid w:val="68F1397F"/>
    <w:multiLevelType w:val="hybridMultilevel"/>
    <w:tmpl w:val="5426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69F12B"/>
    <w:multiLevelType w:val="hybridMultilevel"/>
    <w:tmpl w:val="0A2A5CFC"/>
    <w:lvl w:ilvl="0" w:tplc="08090001">
      <w:start w:val="1"/>
      <w:numFmt w:val="bullet"/>
      <w:lvlText w:val=""/>
      <w:lvlJc w:val="left"/>
      <w:pPr>
        <w:ind w:left="720" w:hanging="360"/>
      </w:pPr>
      <w:rPr>
        <w:rFonts w:ascii="Symbol" w:hAnsi="Symbol" w:hint="default"/>
      </w:rPr>
    </w:lvl>
    <w:lvl w:ilvl="1" w:tplc="F0685FD6">
      <w:start w:val="1"/>
      <w:numFmt w:val="bullet"/>
      <w:lvlText w:val="o"/>
      <w:lvlJc w:val="left"/>
      <w:pPr>
        <w:ind w:left="1440" w:hanging="360"/>
      </w:pPr>
      <w:rPr>
        <w:rFonts w:ascii="Courier New" w:hAnsi="Courier New" w:hint="default"/>
      </w:rPr>
    </w:lvl>
    <w:lvl w:ilvl="2" w:tplc="EDC07A00">
      <w:start w:val="1"/>
      <w:numFmt w:val="bullet"/>
      <w:lvlText w:val=""/>
      <w:lvlJc w:val="left"/>
      <w:pPr>
        <w:ind w:left="2160" w:hanging="360"/>
      </w:pPr>
      <w:rPr>
        <w:rFonts w:ascii="Wingdings" w:hAnsi="Wingdings" w:hint="default"/>
      </w:rPr>
    </w:lvl>
    <w:lvl w:ilvl="3" w:tplc="B5642D9A">
      <w:start w:val="1"/>
      <w:numFmt w:val="bullet"/>
      <w:lvlText w:val=""/>
      <w:lvlJc w:val="left"/>
      <w:pPr>
        <w:ind w:left="2880" w:hanging="360"/>
      </w:pPr>
      <w:rPr>
        <w:rFonts w:ascii="Symbol" w:hAnsi="Symbol" w:hint="default"/>
      </w:rPr>
    </w:lvl>
    <w:lvl w:ilvl="4" w:tplc="B31A9E7A">
      <w:start w:val="1"/>
      <w:numFmt w:val="bullet"/>
      <w:lvlText w:val="o"/>
      <w:lvlJc w:val="left"/>
      <w:pPr>
        <w:ind w:left="3600" w:hanging="360"/>
      </w:pPr>
      <w:rPr>
        <w:rFonts w:ascii="Courier New" w:hAnsi="Courier New" w:hint="default"/>
      </w:rPr>
    </w:lvl>
    <w:lvl w:ilvl="5" w:tplc="3CFE6184">
      <w:start w:val="1"/>
      <w:numFmt w:val="bullet"/>
      <w:lvlText w:val=""/>
      <w:lvlJc w:val="left"/>
      <w:pPr>
        <w:ind w:left="4320" w:hanging="360"/>
      </w:pPr>
      <w:rPr>
        <w:rFonts w:ascii="Wingdings" w:hAnsi="Wingdings" w:hint="default"/>
      </w:rPr>
    </w:lvl>
    <w:lvl w:ilvl="6" w:tplc="98EC08BA">
      <w:start w:val="1"/>
      <w:numFmt w:val="bullet"/>
      <w:lvlText w:val=""/>
      <w:lvlJc w:val="left"/>
      <w:pPr>
        <w:ind w:left="5040" w:hanging="360"/>
      </w:pPr>
      <w:rPr>
        <w:rFonts w:ascii="Symbol" w:hAnsi="Symbol" w:hint="default"/>
      </w:rPr>
    </w:lvl>
    <w:lvl w:ilvl="7" w:tplc="09E60A14">
      <w:start w:val="1"/>
      <w:numFmt w:val="bullet"/>
      <w:lvlText w:val="o"/>
      <w:lvlJc w:val="left"/>
      <w:pPr>
        <w:ind w:left="5760" w:hanging="360"/>
      </w:pPr>
      <w:rPr>
        <w:rFonts w:ascii="Courier New" w:hAnsi="Courier New" w:hint="default"/>
      </w:rPr>
    </w:lvl>
    <w:lvl w:ilvl="8" w:tplc="F64C6B66">
      <w:start w:val="1"/>
      <w:numFmt w:val="bullet"/>
      <w:lvlText w:val=""/>
      <w:lvlJc w:val="left"/>
      <w:pPr>
        <w:ind w:left="6480" w:hanging="360"/>
      </w:pPr>
      <w:rPr>
        <w:rFonts w:ascii="Wingdings" w:hAnsi="Wingdings" w:hint="default"/>
      </w:rPr>
    </w:lvl>
  </w:abstractNum>
  <w:abstractNum w:abstractNumId="40" w15:restartNumberingAfterBreak="0">
    <w:nsid w:val="748721B6"/>
    <w:multiLevelType w:val="hybridMultilevel"/>
    <w:tmpl w:val="0F0478E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1" w15:restartNumberingAfterBreak="0">
    <w:nsid w:val="75D9624A"/>
    <w:multiLevelType w:val="hybridMultilevel"/>
    <w:tmpl w:val="45A2C72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42" w15:restartNumberingAfterBreak="0">
    <w:nsid w:val="784B1F01"/>
    <w:multiLevelType w:val="hybridMultilevel"/>
    <w:tmpl w:val="5380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03181">
    <w:abstractNumId w:val="14"/>
  </w:num>
  <w:num w:numId="2" w16cid:durableId="781844903">
    <w:abstractNumId w:val="27"/>
  </w:num>
  <w:num w:numId="3" w16cid:durableId="1377048672">
    <w:abstractNumId w:val="39"/>
  </w:num>
  <w:num w:numId="4" w16cid:durableId="1537698966">
    <w:abstractNumId w:val="19"/>
  </w:num>
  <w:num w:numId="5" w16cid:durableId="391268443">
    <w:abstractNumId w:val="26"/>
  </w:num>
  <w:num w:numId="6" w16cid:durableId="1441290964">
    <w:abstractNumId w:val="13"/>
  </w:num>
  <w:num w:numId="7" w16cid:durableId="1054890344">
    <w:abstractNumId w:val="31"/>
  </w:num>
  <w:num w:numId="8" w16cid:durableId="1412046580">
    <w:abstractNumId w:val="32"/>
  </w:num>
  <w:num w:numId="9" w16cid:durableId="702244124">
    <w:abstractNumId w:val="36"/>
  </w:num>
  <w:num w:numId="10" w16cid:durableId="696153541">
    <w:abstractNumId w:val="1"/>
  </w:num>
  <w:num w:numId="11" w16cid:durableId="996151947">
    <w:abstractNumId w:val="22"/>
  </w:num>
  <w:num w:numId="12" w16cid:durableId="742142142">
    <w:abstractNumId w:val="12"/>
  </w:num>
  <w:num w:numId="13" w16cid:durableId="144123832">
    <w:abstractNumId w:val="37"/>
  </w:num>
  <w:num w:numId="14" w16cid:durableId="1520701207">
    <w:abstractNumId w:val="17"/>
  </w:num>
  <w:num w:numId="15" w16cid:durableId="1090194669">
    <w:abstractNumId w:val="18"/>
  </w:num>
  <w:num w:numId="16" w16cid:durableId="546767983">
    <w:abstractNumId w:val="35"/>
  </w:num>
  <w:num w:numId="17" w16cid:durableId="811991669">
    <w:abstractNumId w:val="7"/>
  </w:num>
  <w:num w:numId="18" w16cid:durableId="1669627311">
    <w:abstractNumId w:val="42"/>
  </w:num>
  <w:num w:numId="19" w16cid:durableId="1992102101">
    <w:abstractNumId w:val="0"/>
  </w:num>
  <w:num w:numId="20" w16cid:durableId="1000431129">
    <w:abstractNumId w:val="29"/>
  </w:num>
  <w:num w:numId="21" w16cid:durableId="479468783">
    <w:abstractNumId w:val="8"/>
  </w:num>
  <w:num w:numId="22" w16cid:durableId="632252400">
    <w:abstractNumId w:val="34"/>
  </w:num>
  <w:num w:numId="23" w16cid:durableId="1031957871">
    <w:abstractNumId w:val="2"/>
  </w:num>
  <w:num w:numId="24" w16cid:durableId="1447844624">
    <w:abstractNumId w:val="9"/>
  </w:num>
  <w:num w:numId="25" w16cid:durableId="488132837">
    <w:abstractNumId w:val="5"/>
  </w:num>
  <w:num w:numId="26" w16cid:durableId="421537349">
    <w:abstractNumId w:val="25"/>
  </w:num>
  <w:num w:numId="27" w16cid:durableId="1678732430">
    <w:abstractNumId w:val="3"/>
  </w:num>
  <w:num w:numId="28" w16cid:durableId="1607352066">
    <w:abstractNumId w:val="20"/>
  </w:num>
  <w:num w:numId="29" w16cid:durableId="1782676772">
    <w:abstractNumId w:val="16"/>
  </w:num>
  <w:num w:numId="30" w16cid:durableId="736971646">
    <w:abstractNumId w:val="21"/>
  </w:num>
  <w:num w:numId="31" w16cid:durableId="1504126170">
    <w:abstractNumId w:val="10"/>
  </w:num>
  <w:num w:numId="32" w16cid:durableId="65543185">
    <w:abstractNumId w:val="23"/>
  </w:num>
  <w:num w:numId="33" w16cid:durableId="2072000825">
    <w:abstractNumId w:val="4"/>
  </w:num>
  <w:num w:numId="34" w16cid:durableId="2021354062">
    <w:abstractNumId w:val="6"/>
  </w:num>
  <w:num w:numId="35" w16cid:durableId="1972010888">
    <w:abstractNumId w:val="41"/>
  </w:num>
  <w:num w:numId="36" w16cid:durableId="1626082695">
    <w:abstractNumId w:val="24"/>
  </w:num>
  <w:num w:numId="37" w16cid:durableId="803422512">
    <w:abstractNumId w:val="33"/>
  </w:num>
  <w:num w:numId="38" w16cid:durableId="435754658">
    <w:abstractNumId w:val="11"/>
  </w:num>
  <w:num w:numId="39" w16cid:durableId="596864071">
    <w:abstractNumId w:val="15"/>
  </w:num>
  <w:num w:numId="40" w16cid:durableId="1950161549">
    <w:abstractNumId w:val="28"/>
  </w:num>
  <w:num w:numId="41" w16cid:durableId="267927515">
    <w:abstractNumId w:val="38"/>
  </w:num>
  <w:num w:numId="42" w16cid:durableId="1631663944">
    <w:abstractNumId w:val="40"/>
  </w:num>
  <w:num w:numId="43" w16cid:durableId="1390349327">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AC"/>
    <w:rsid w:val="0000013F"/>
    <w:rsid w:val="0000554B"/>
    <w:rsid w:val="0000564A"/>
    <w:rsid w:val="00012333"/>
    <w:rsid w:val="00013DF3"/>
    <w:rsid w:val="000226DB"/>
    <w:rsid w:val="00022889"/>
    <w:rsid w:val="00023E58"/>
    <w:rsid w:val="0002408D"/>
    <w:rsid w:val="00024D2E"/>
    <w:rsid w:val="00027C8E"/>
    <w:rsid w:val="00027D3A"/>
    <w:rsid w:val="00027F33"/>
    <w:rsid w:val="00033A1B"/>
    <w:rsid w:val="00035AE6"/>
    <w:rsid w:val="0003789C"/>
    <w:rsid w:val="000424A0"/>
    <w:rsid w:val="000429AA"/>
    <w:rsid w:val="00042DEA"/>
    <w:rsid w:val="00046EB9"/>
    <w:rsid w:val="00047584"/>
    <w:rsid w:val="00053C7D"/>
    <w:rsid w:val="00055887"/>
    <w:rsid w:val="00055F24"/>
    <w:rsid w:val="00056C1D"/>
    <w:rsid w:val="000600EC"/>
    <w:rsid w:val="00061362"/>
    <w:rsid w:val="000613FB"/>
    <w:rsid w:val="00061DF5"/>
    <w:rsid w:val="0006219B"/>
    <w:rsid w:val="00062488"/>
    <w:rsid w:val="00062729"/>
    <w:rsid w:val="00062763"/>
    <w:rsid w:val="00065311"/>
    <w:rsid w:val="0007242B"/>
    <w:rsid w:val="00075E24"/>
    <w:rsid w:val="000805D2"/>
    <w:rsid w:val="00082C4D"/>
    <w:rsid w:val="000843B7"/>
    <w:rsid w:val="00087A56"/>
    <w:rsid w:val="00090370"/>
    <w:rsid w:val="000906BA"/>
    <w:rsid w:val="00090B0D"/>
    <w:rsid w:val="000913B7"/>
    <w:rsid w:val="00092A80"/>
    <w:rsid w:val="00094390"/>
    <w:rsid w:val="0009644A"/>
    <w:rsid w:val="00096652"/>
    <w:rsid w:val="000977EE"/>
    <w:rsid w:val="000A465A"/>
    <w:rsid w:val="000B0652"/>
    <w:rsid w:val="000B1C18"/>
    <w:rsid w:val="000B24F1"/>
    <w:rsid w:val="000B5EEF"/>
    <w:rsid w:val="000B6AE9"/>
    <w:rsid w:val="000B71D5"/>
    <w:rsid w:val="000B73B5"/>
    <w:rsid w:val="000C2847"/>
    <w:rsid w:val="000C2D0C"/>
    <w:rsid w:val="000C4BDE"/>
    <w:rsid w:val="000C5678"/>
    <w:rsid w:val="000C5E1A"/>
    <w:rsid w:val="000C6207"/>
    <w:rsid w:val="000C6441"/>
    <w:rsid w:val="000C65AD"/>
    <w:rsid w:val="000D1353"/>
    <w:rsid w:val="000D1FC0"/>
    <w:rsid w:val="000D2B12"/>
    <w:rsid w:val="000D32C2"/>
    <w:rsid w:val="000D3AA8"/>
    <w:rsid w:val="000D6416"/>
    <w:rsid w:val="000D6494"/>
    <w:rsid w:val="000D68C6"/>
    <w:rsid w:val="000D71A3"/>
    <w:rsid w:val="000D7536"/>
    <w:rsid w:val="000E0F9A"/>
    <w:rsid w:val="000E2112"/>
    <w:rsid w:val="000E5C0F"/>
    <w:rsid w:val="000E6877"/>
    <w:rsid w:val="000E7268"/>
    <w:rsid w:val="000F104B"/>
    <w:rsid w:val="000F2CE0"/>
    <w:rsid w:val="000F3E5D"/>
    <w:rsid w:val="000F4870"/>
    <w:rsid w:val="000F569E"/>
    <w:rsid w:val="000F6EB9"/>
    <w:rsid w:val="001015CA"/>
    <w:rsid w:val="00101FC4"/>
    <w:rsid w:val="00105035"/>
    <w:rsid w:val="00106327"/>
    <w:rsid w:val="00106BB8"/>
    <w:rsid w:val="00107D8A"/>
    <w:rsid w:val="00107E57"/>
    <w:rsid w:val="00111751"/>
    <w:rsid w:val="0011199F"/>
    <w:rsid w:val="001124E5"/>
    <w:rsid w:val="0011387E"/>
    <w:rsid w:val="001142FB"/>
    <w:rsid w:val="00120623"/>
    <w:rsid w:val="00122444"/>
    <w:rsid w:val="00122554"/>
    <w:rsid w:val="00122593"/>
    <w:rsid w:val="00123521"/>
    <w:rsid w:val="001242C6"/>
    <w:rsid w:val="00125121"/>
    <w:rsid w:val="00125B48"/>
    <w:rsid w:val="0014318A"/>
    <w:rsid w:val="0014670C"/>
    <w:rsid w:val="00146E1E"/>
    <w:rsid w:val="00146EFF"/>
    <w:rsid w:val="00150610"/>
    <w:rsid w:val="001506A1"/>
    <w:rsid w:val="001507AF"/>
    <w:rsid w:val="00150F1A"/>
    <w:rsid w:val="001515CE"/>
    <w:rsid w:val="00151BD4"/>
    <w:rsid w:val="001523BE"/>
    <w:rsid w:val="00154836"/>
    <w:rsid w:val="00155261"/>
    <w:rsid w:val="00155A1A"/>
    <w:rsid w:val="00156A95"/>
    <w:rsid w:val="001608F7"/>
    <w:rsid w:val="0016178E"/>
    <w:rsid w:val="001634A4"/>
    <w:rsid w:val="00164381"/>
    <w:rsid w:val="001668D6"/>
    <w:rsid w:val="00166E55"/>
    <w:rsid w:val="0017135A"/>
    <w:rsid w:val="00171942"/>
    <w:rsid w:val="00172613"/>
    <w:rsid w:val="00173955"/>
    <w:rsid w:val="00173963"/>
    <w:rsid w:val="00173B3C"/>
    <w:rsid w:val="00176038"/>
    <w:rsid w:val="001772B2"/>
    <w:rsid w:val="001776BB"/>
    <w:rsid w:val="001804F4"/>
    <w:rsid w:val="001807A0"/>
    <w:rsid w:val="00180DA8"/>
    <w:rsid w:val="00180E19"/>
    <w:rsid w:val="001817B4"/>
    <w:rsid w:val="00183080"/>
    <w:rsid w:val="001830BD"/>
    <w:rsid w:val="00183A54"/>
    <w:rsid w:val="00186509"/>
    <w:rsid w:val="00187F0C"/>
    <w:rsid w:val="00187F22"/>
    <w:rsid w:val="00192391"/>
    <w:rsid w:val="001951B5"/>
    <w:rsid w:val="001A1500"/>
    <w:rsid w:val="001A154D"/>
    <w:rsid w:val="001A2D13"/>
    <w:rsid w:val="001A408C"/>
    <w:rsid w:val="001A5136"/>
    <w:rsid w:val="001A6A3D"/>
    <w:rsid w:val="001A73D7"/>
    <w:rsid w:val="001B2121"/>
    <w:rsid w:val="001B2EE3"/>
    <w:rsid w:val="001B2F8C"/>
    <w:rsid w:val="001B3C74"/>
    <w:rsid w:val="001B5D24"/>
    <w:rsid w:val="001B5EB6"/>
    <w:rsid w:val="001B6911"/>
    <w:rsid w:val="001C0F9F"/>
    <w:rsid w:val="001C107B"/>
    <w:rsid w:val="001C1D70"/>
    <w:rsid w:val="001C26F3"/>
    <w:rsid w:val="001C5328"/>
    <w:rsid w:val="001C629B"/>
    <w:rsid w:val="001D09BB"/>
    <w:rsid w:val="001D3ADE"/>
    <w:rsid w:val="001D55D2"/>
    <w:rsid w:val="001D617E"/>
    <w:rsid w:val="001D6ACD"/>
    <w:rsid w:val="001D7123"/>
    <w:rsid w:val="001E0535"/>
    <w:rsid w:val="001E0551"/>
    <w:rsid w:val="001E1AFB"/>
    <w:rsid w:val="001E60E7"/>
    <w:rsid w:val="001E702E"/>
    <w:rsid w:val="001F0182"/>
    <w:rsid w:val="001F070D"/>
    <w:rsid w:val="001F0A2F"/>
    <w:rsid w:val="001F0BE3"/>
    <w:rsid w:val="001F0F0E"/>
    <w:rsid w:val="001F148C"/>
    <w:rsid w:val="001F2B59"/>
    <w:rsid w:val="001F32FC"/>
    <w:rsid w:val="001F3AB9"/>
    <w:rsid w:val="001F3EFA"/>
    <w:rsid w:val="001F73A9"/>
    <w:rsid w:val="0020171C"/>
    <w:rsid w:val="002027FE"/>
    <w:rsid w:val="0020351E"/>
    <w:rsid w:val="00212EA0"/>
    <w:rsid w:val="002145B4"/>
    <w:rsid w:val="00214B5F"/>
    <w:rsid w:val="002157E0"/>
    <w:rsid w:val="00217E26"/>
    <w:rsid w:val="00221E3E"/>
    <w:rsid w:val="002243D2"/>
    <w:rsid w:val="002243E6"/>
    <w:rsid w:val="00224D99"/>
    <w:rsid w:val="002265E7"/>
    <w:rsid w:val="00230D8C"/>
    <w:rsid w:val="00233F93"/>
    <w:rsid w:val="00233FAC"/>
    <w:rsid w:val="0023799C"/>
    <w:rsid w:val="00241817"/>
    <w:rsid w:val="002446C7"/>
    <w:rsid w:val="0024513C"/>
    <w:rsid w:val="002513D2"/>
    <w:rsid w:val="0025153B"/>
    <w:rsid w:val="00252E87"/>
    <w:rsid w:val="0025351C"/>
    <w:rsid w:val="002549F1"/>
    <w:rsid w:val="00257E4F"/>
    <w:rsid w:val="00257EED"/>
    <w:rsid w:val="00261151"/>
    <w:rsid w:val="00261713"/>
    <w:rsid w:val="002623FF"/>
    <w:rsid w:val="002659D4"/>
    <w:rsid w:val="00265A17"/>
    <w:rsid w:val="00266BB4"/>
    <w:rsid w:val="0026732A"/>
    <w:rsid w:val="00267FAF"/>
    <w:rsid w:val="002702DC"/>
    <w:rsid w:val="002709F9"/>
    <w:rsid w:val="0027179E"/>
    <w:rsid w:val="00271B8C"/>
    <w:rsid w:val="00272190"/>
    <w:rsid w:val="0027288A"/>
    <w:rsid w:val="0027596B"/>
    <w:rsid w:val="00276B93"/>
    <w:rsid w:val="00281CCE"/>
    <w:rsid w:val="00282220"/>
    <w:rsid w:val="002828FC"/>
    <w:rsid w:val="002913E4"/>
    <w:rsid w:val="00296A3A"/>
    <w:rsid w:val="002975C9"/>
    <w:rsid w:val="00297CDF"/>
    <w:rsid w:val="002A057B"/>
    <w:rsid w:val="002A0A09"/>
    <w:rsid w:val="002A14AE"/>
    <w:rsid w:val="002A2264"/>
    <w:rsid w:val="002A2B7F"/>
    <w:rsid w:val="002A398F"/>
    <w:rsid w:val="002A438D"/>
    <w:rsid w:val="002A636C"/>
    <w:rsid w:val="002A6964"/>
    <w:rsid w:val="002A6FEF"/>
    <w:rsid w:val="002B0CF7"/>
    <w:rsid w:val="002B1C7C"/>
    <w:rsid w:val="002B23F8"/>
    <w:rsid w:val="002B2803"/>
    <w:rsid w:val="002B4A40"/>
    <w:rsid w:val="002B6CEB"/>
    <w:rsid w:val="002B70D5"/>
    <w:rsid w:val="002B7E93"/>
    <w:rsid w:val="002C0459"/>
    <w:rsid w:val="002C0507"/>
    <w:rsid w:val="002C08EA"/>
    <w:rsid w:val="002C096A"/>
    <w:rsid w:val="002C16A7"/>
    <w:rsid w:val="002C5F08"/>
    <w:rsid w:val="002C6DB8"/>
    <w:rsid w:val="002C70D5"/>
    <w:rsid w:val="002C7AFF"/>
    <w:rsid w:val="002D00A0"/>
    <w:rsid w:val="002D2D14"/>
    <w:rsid w:val="002D4A05"/>
    <w:rsid w:val="002D500A"/>
    <w:rsid w:val="002D5B14"/>
    <w:rsid w:val="002D7D03"/>
    <w:rsid w:val="002D7D07"/>
    <w:rsid w:val="002E1D85"/>
    <w:rsid w:val="002E1E1B"/>
    <w:rsid w:val="002E20F9"/>
    <w:rsid w:val="002E2B58"/>
    <w:rsid w:val="002E47B2"/>
    <w:rsid w:val="002E6B26"/>
    <w:rsid w:val="002E7602"/>
    <w:rsid w:val="002F0583"/>
    <w:rsid w:val="002F0F39"/>
    <w:rsid w:val="002F1DD8"/>
    <w:rsid w:val="002F21B8"/>
    <w:rsid w:val="002F5295"/>
    <w:rsid w:val="002F5462"/>
    <w:rsid w:val="002F546A"/>
    <w:rsid w:val="002F557D"/>
    <w:rsid w:val="002F630D"/>
    <w:rsid w:val="002F6BB8"/>
    <w:rsid w:val="00300EEB"/>
    <w:rsid w:val="003013CF"/>
    <w:rsid w:val="00301912"/>
    <w:rsid w:val="00301F36"/>
    <w:rsid w:val="003025BD"/>
    <w:rsid w:val="00302D06"/>
    <w:rsid w:val="003038B4"/>
    <w:rsid w:val="00307773"/>
    <w:rsid w:val="00307A23"/>
    <w:rsid w:val="00307BA7"/>
    <w:rsid w:val="003103F6"/>
    <w:rsid w:val="00310E3A"/>
    <w:rsid w:val="00311055"/>
    <w:rsid w:val="00311D9C"/>
    <w:rsid w:val="00311DE8"/>
    <w:rsid w:val="003162E2"/>
    <w:rsid w:val="00316AD0"/>
    <w:rsid w:val="00317DC9"/>
    <w:rsid w:val="00323564"/>
    <w:rsid w:val="0032387A"/>
    <w:rsid w:val="00326BDA"/>
    <w:rsid w:val="00326E72"/>
    <w:rsid w:val="003306CC"/>
    <w:rsid w:val="00332E16"/>
    <w:rsid w:val="003355A6"/>
    <w:rsid w:val="00337234"/>
    <w:rsid w:val="00342136"/>
    <w:rsid w:val="00343FB9"/>
    <w:rsid w:val="00345367"/>
    <w:rsid w:val="00346865"/>
    <w:rsid w:val="00346C6C"/>
    <w:rsid w:val="00350296"/>
    <w:rsid w:val="00350A27"/>
    <w:rsid w:val="00351F07"/>
    <w:rsid w:val="00353218"/>
    <w:rsid w:val="00354B1B"/>
    <w:rsid w:val="003573D3"/>
    <w:rsid w:val="003573F0"/>
    <w:rsid w:val="0036028C"/>
    <w:rsid w:val="003604AD"/>
    <w:rsid w:val="00361DB6"/>
    <w:rsid w:val="00365890"/>
    <w:rsid w:val="00366B44"/>
    <w:rsid w:val="00370E59"/>
    <w:rsid w:val="0037310C"/>
    <w:rsid w:val="00373873"/>
    <w:rsid w:val="00375080"/>
    <w:rsid w:val="00375DEE"/>
    <w:rsid w:val="0037620E"/>
    <w:rsid w:val="00376281"/>
    <w:rsid w:val="00377620"/>
    <w:rsid w:val="00381334"/>
    <w:rsid w:val="00381B0C"/>
    <w:rsid w:val="00385BE7"/>
    <w:rsid w:val="00385E4D"/>
    <w:rsid w:val="003979BF"/>
    <w:rsid w:val="003A038D"/>
    <w:rsid w:val="003A08E2"/>
    <w:rsid w:val="003A1723"/>
    <w:rsid w:val="003A2D95"/>
    <w:rsid w:val="003A3163"/>
    <w:rsid w:val="003AE58A"/>
    <w:rsid w:val="003B08F9"/>
    <w:rsid w:val="003B0E7A"/>
    <w:rsid w:val="003B178C"/>
    <w:rsid w:val="003B22B2"/>
    <w:rsid w:val="003B28FF"/>
    <w:rsid w:val="003B2A57"/>
    <w:rsid w:val="003B41AE"/>
    <w:rsid w:val="003B6253"/>
    <w:rsid w:val="003B6922"/>
    <w:rsid w:val="003C0EEE"/>
    <w:rsid w:val="003C0FE1"/>
    <w:rsid w:val="003C2C0C"/>
    <w:rsid w:val="003C3561"/>
    <w:rsid w:val="003C43CF"/>
    <w:rsid w:val="003C4BAD"/>
    <w:rsid w:val="003C5396"/>
    <w:rsid w:val="003C7C2A"/>
    <w:rsid w:val="003C7E23"/>
    <w:rsid w:val="003D0711"/>
    <w:rsid w:val="003D0E35"/>
    <w:rsid w:val="003D2CAD"/>
    <w:rsid w:val="003D476B"/>
    <w:rsid w:val="003E1878"/>
    <w:rsid w:val="003E2880"/>
    <w:rsid w:val="003E3FA4"/>
    <w:rsid w:val="003E58A2"/>
    <w:rsid w:val="003E5F31"/>
    <w:rsid w:val="003F06B0"/>
    <w:rsid w:val="003F11B2"/>
    <w:rsid w:val="003F17C3"/>
    <w:rsid w:val="003F3BA5"/>
    <w:rsid w:val="003F4631"/>
    <w:rsid w:val="003F6549"/>
    <w:rsid w:val="003F6713"/>
    <w:rsid w:val="003F6F55"/>
    <w:rsid w:val="003F7F67"/>
    <w:rsid w:val="004001AB"/>
    <w:rsid w:val="00401371"/>
    <w:rsid w:val="004019ED"/>
    <w:rsid w:val="004043FD"/>
    <w:rsid w:val="00404557"/>
    <w:rsid w:val="004067A2"/>
    <w:rsid w:val="00406852"/>
    <w:rsid w:val="00407DA3"/>
    <w:rsid w:val="00407E26"/>
    <w:rsid w:val="004108C2"/>
    <w:rsid w:val="00412BE4"/>
    <w:rsid w:val="00414D56"/>
    <w:rsid w:val="00417017"/>
    <w:rsid w:val="004174B0"/>
    <w:rsid w:val="00421ABD"/>
    <w:rsid w:val="00422E57"/>
    <w:rsid w:val="00423910"/>
    <w:rsid w:val="00424C32"/>
    <w:rsid w:val="00424C85"/>
    <w:rsid w:val="00426AC7"/>
    <w:rsid w:val="004322F5"/>
    <w:rsid w:val="004323B0"/>
    <w:rsid w:val="004341CB"/>
    <w:rsid w:val="00434873"/>
    <w:rsid w:val="00436135"/>
    <w:rsid w:val="004379C0"/>
    <w:rsid w:val="0044004D"/>
    <w:rsid w:val="00441879"/>
    <w:rsid w:val="004454B2"/>
    <w:rsid w:val="00445A8E"/>
    <w:rsid w:val="00446EF1"/>
    <w:rsid w:val="004475A2"/>
    <w:rsid w:val="00450A89"/>
    <w:rsid w:val="00451F7B"/>
    <w:rsid w:val="00452070"/>
    <w:rsid w:val="004529A0"/>
    <w:rsid w:val="004529C2"/>
    <w:rsid w:val="00453C30"/>
    <w:rsid w:val="00454A43"/>
    <w:rsid w:val="0045536D"/>
    <w:rsid w:val="004560A2"/>
    <w:rsid w:val="0045638C"/>
    <w:rsid w:val="0045659B"/>
    <w:rsid w:val="0046030F"/>
    <w:rsid w:val="00460B16"/>
    <w:rsid w:val="0046158C"/>
    <w:rsid w:val="0046262C"/>
    <w:rsid w:val="00462F88"/>
    <w:rsid w:val="00464733"/>
    <w:rsid w:val="0046557C"/>
    <w:rsid w:val="00466414"/>
    <w:rsid w:val="00473A6E"/>
    <w:rsid w:val="00474240"/>
    <w:rsid w:val="004777CC"/>
    <w:rsid w:val="00481A39"/>
    <w:rsid w:val="00481C68"/>
    <w:rsid w:val="00481EEC"/>
    <w:rsid w:val="004825B9"/>
    <w:rsid w:val="00482FF0"/>
    <w:rsid w:val="004857A8"/>
    <w:rsid w:val="00486D27"/>
    <w:rsid w:val="00486F7A"/>
    <w:rsid w:val="00487B01"/>
    <w:rsid w:val="00490B67"/>
    <w:rsid w:val="00491504"/>
    <w:rsid w:val="00491B5D"/>
    <w:rsid w:val="00493C80"/>
    <w:rsid w:val="00494258"/>
    <w:rsid w:val="00495396"/>
    <w:rsid w:val="00497537"/>
    <w:rsid w:val="00497E8F"/>
    <w:rsid w:val="004A051A"/>
    <w:rsid w:val="004A22FF"/>
    <w:rsid w:val="004A244A"/>
    <w:rsid w:val="004A296B"/>
    <w:rsid w:val="004A2E17"/>
    <w:rsid w:val="004A34D8"/>
    <w:rsid w:val="004A5993"/>
    <w:rsid w:val="004A59EF"/>
    <w:rsid w:val="004A6083"/>
    <w:rsid w:val="004B3FA9"/>
    <w:rsid w:val="004B42A3"/>
    <w:rsid w:val="004B4542"/>
    <w:rsid w:val="004B4B2B"/>
    <w:rsid w:val="004C0C14"/>
    <w:rsid w:val="004C24FC"/>
    <w:rsid w:val="004C4EC6"/>
    <w:rsid w:val="004C5ABE"/>
    <w:rsid w:val="004C5B28"/>
    <w:rsid w:val="004C7F80"/>
    <w:rsid w:val="004D0902"/>
    <w:rsid w:val="004D0B69"/>
    <w:rsid w:val="004D13D1"/>
    <w:rsid w:val="004D1603"/>
    <w:rsid w:val="004D73D0"/>
    <w:rsid w:val="004E323C"/>
    <w:rsid w:val="004E3D5A"/>
    <w:rsid w:val="004E47D7"/>
    <w:rsid w:val="004E6C50"/>
    <w:rsid w:val="004F2841"/>
    <w:rsid w:val="004F31FD"/>
    <w:rsid w:val="004F6151"/>
    <w:rsid w:val="00502EA9"/>
    <w:rsid w:val="005065D9"/>
    <w:rsid w:val="005073E5"/>
    <w:rsid w:val="005111EA"/>
    <w:rsid w:val="0051529C"/>
    <w:rsid w:val="005232EF"/>
    <w:rsid w:val="00524D3A"/>
    <w:rsid w:val="00524EE2"/>
    <w:rsid w:val="00533945"/>
    <w:rsid w:val="00533AD7"/>
    <w:rsid w:val="00533B16"/>
    <w:rsid w:val="005357D9"/>
    <w:rsid w:val="00535D12"/>
    <w:rsid w:val="00536A50"/>
    <w:rsid w:val="0054135E"/>
    <w:rsid w:val="00542DBB"/>
    <w:rsid w:val="00546C27"/>
    <w:rsid w:val="00546E9F"/>
    <w:rsid w:val="00547FCB"/>
    <w:rsid w:val="005506F4"/>
    <w:rsid w:val="00550884"/>
    <w:rsid w:val="00552B10"/>
    <w:rsid w:val="00553757"/>
    <w:rsid w:val="005543DF"/>
    <w:rsid w:val="00556001"/>
    <w:rsid w:val="00556FCC"/>
    <w:rsid w:val="005633B7"/>
    <w:rsid w:val="00564833"/>
    <w:rsid w:val="00564DE0"/>
    <w:rsid w:val="00565025"/>
    <w:rsid w:val="0056667E"/>
    <w:rsid w:val="0056784A"/>
    <w:rsid w:val="005710B3"/>
    <w:rsid w:val="005722E6"/>
    <w:rsid w:val="00573D44"/>
    <w:rsid w:val="0057539D"/>
    <w:rsid w:val="00575A77"/>
    <w:rsid w:val="00575CDC"/>
    <w:rsid w:val="005779C5"/>
    <w:rsid w:val="005801E8"/>
    <w:rsid w:val="005803C4"/>
    <w:rsid w:val="00580C8F"/>
    <w:rsid w:val="005823D8"/>
    <w:rsid w:val="005845C4"/>
    <w:rsid w:val="0058489C"/>
    <w:rsid w:val="00587A8B"/>
    <w:rsid w:val="0059097C"/>
    <w:rsid w:val="0059131B"/>
    <w:rsid w:val="00591790"/>
    <w:rsid w:val="005923B2"/>
    <w:rsid w:val="005932DB"/>
    <w:rsid w:val="00596EB1"/>
    <w:rsid w:val="0059728C"/>
    <w:rsid w:val="005A06B2"/>
    <w:rsid w:val="005A086C"/>
    <w:rsid w:val="005A2766"/>
    <w:rsid w:val="005A4373"/>
    <w:rsid w:val="005A5826"/>
    <w:rsid w:val="005A6F4A"/>
    <w:rsid w:val="005A7308"/>
    <w:rsid w:val="005B323C"/>
    <w:rsid w:val="005B413C"/>
    <w:rsid w:val="005B5952"/>
    <w:rsid w:val="005B6E72"/>
    <w:rsid w:val="005B71DD"/>
    <w:rsid w:val="005C06CE"/>
    <w:rsid w:val="005C0C59"/>
    <w:rsid w:val="005C593C"/>
    <w:rsid w:val="005C7F95"/>
    <w:rsid w:val="005D0920"/>
    <w:rsid w:val="005D32D6"/>
    <w:rsid w:val="005D3706"/>
    <w:rsid w:val="005D508A"/>
    <w:rsid w:val="005D66C6"/>
    <w:rsid w:val="005D7B99"/>
    <w:rsid w:val="005E030E"/>
    <w:rsid w:val="005E1B03"/>
    <w:rsid w:val="005E1F9A"/>
    <w:rsid w:val="005E280D"/>
    <w:rsid w:val="005E2890"/>
    <w:rsid w:val="005E30A8"/>
    <w:rsid w:val="005E68E9"/>
    <w:rsid w:val="005EEB74"/>
    <w:rsid w:val="005F1280"/>
    <w:rsid w:val="005F1936"/>
    <w:rsid w:val="005F3DC8"/>
    <w:rsid w:val="005F4AA2"/>
    <w:rsid w:val="005F4E35"/>
    <w:rsid w:val="005F6D60"/>
    <w:rsid w:val="00600199"/>
    <w:rsid w:val="0060047C"/>
    <w:rsid w:val="0060252E"/>
    <w:rsid w:val="00602E7F"/>
    <w:rsid w:val="006058DB"/>
    <w:rsid w:val="0060769F"/>
    <w:rsid w:val="00611E5E"/>
    <w:rsid w:val="00614526"/>
    <w:rsid w:val="00614D89"/>
    <w:rsid w:val="0061543D"/>
    <w:rsid w:val="00617DA7"/>
    <w:rsid w:val="00620A30"/>
    <w:rsid w:val="006229AF"/>
    <w:rsid w:val="00624165"/>
    <w:rsid w:val="00625B29"/>
    <w:rsid w:val="00625EE1"/>
    <w:rsid w:val="00630A1B"/>
    <w:rsid w:val="006313EC"/>
    <w:rsid w:val="0063270F"/>
    <w:rsid w:val="00635CC2"/>
    <w:rsid w:val="00637B6A"/>
    <w:rsid w:val="00637C94"/>
    <w:rsid w:val="006409A3"/>
    <w:rsid w:val="006423A7"/>
    <w:rsid w:val="006435EE"/>
    <w:rsid w:val="0064407E"/>
    <w:rsid w:val="00646C77"/>
    <w:rsid w:val="00651979"/>
    <w:rsid w:val="00651C7B"/>
    <w:rsid w:val="00652324"/>
    <w:rsid w:val="00652AE2"/>
    <w:rsid w:val="00653D6E"/>
    <w:rsid w:val="0065419D"/>
    <w:rsid w:val="006546F1"/>
    <w:rsid w:val="00656594"/>
    <w:rsid w:val="006565D1"/>
    <w:rsid w:val="00660F95"/>
    <w:rsid w:val="00662012"/>
    <w:rsid w:val="00662234"/>
    <w:rsid w:val="00664C7A"/>
    <w:rsid w:val="00665A76"/>
    <w:rsid w:val="0066612D"/>
    <w:rsid w:val="00666BBE"/>
    <w:rsid w:val="00666E93"/>
    <w:rsid w:val="00667A83"/>
    <w:rsid w:val="00670FE0"/>
    <w:rsid w:val="006711C2"/>
    <w:rsid w:val="00673AF5"/>
    <w:rsid w:val="006762DC"/>
    <w:rsid w:val="0067750E"/>
    <w:rsid w:val="00677D39"/>
    <w:rsid w:val="00680B27"/>
    <w:rsid w:val="00682FE2"/>
    <w:rsid w:val="00683588"/>
    <w:rsid w:val="00684688"/>
    <w:rsid w:val="00684A2E"/>
    <w:rsid w:val="00687FA9"/>
    <w:rsid w:val="00690B1C"/>
    <w:rsid w:val="00691889"/>
    <w:rsid w:val="00692FAB"/>
    <w:rsid w:val="0069378B"/>
    <w:rsid w:val="00697FA0"/>
    <w:rsid w:val="006A0174"/>
    <w:rsid w:val="006A1D6C"/>
    <w:rsid w:val="006A34BC"/>
    <w:rsid w:val="006A41BD"/>
    <w:rsid w:val="006A4A10"/>
    <w:rsid w:val="006A4C05"/>
    <w:rsid w:val="006A625D"/>
    <w:rsid w:val="006B4A03"/>
    <w:rsid w:val="006B4B59"/>
    <w:rsid w:val="006B5880"/>
    <w:rsid w:val="006B60C0"/>
    <w:rsid w:val="006B6CD8"/>
    <w:rsid w:val="006B75A0"/>
    <w:rsid w:val="006B7E55"/>
    <w:rsid w:val="006C09F8"/>
    <w:rsid w:val="006C150B"/>
    <w:rsid w:val="006C1852"/>
    <w:rsid w:val="006C3BA6"/>
    <w:rsid w:val="006C3D4E"/>
    <w:rsid w:val="006C5C23"/>
    <w:rsid w:val="006C67ED"/>
    <w:rsid w:val="006D0576"/>
    <w:rsid w:val="006D1F8B"/>
    <w:rsid w:val="006D3865"/>
    <w:rsid w:val="006D48CF"/>
    <w:rsid w:val="006D5027"/>
    <w:rsid w:val="006D794C"/>
    <w:rsid w:val="006E0ACF"/>
    <w:rsid w:val="006E1649"/>
    <w:rsid w:val="006E7247"/>
    <w:rsid w:val="006F0DAA"/>
    <w:rsid w:val="006F1981"/>
    <w:rsid w:val="006F1C81"/>
    <w:rsid w:val="006F36B8"/>
    <w:rsid w:val="006F3E36"/>
    <w:rsid w:val="006F3E8E"/>
    <w:rsid w:val="006F3EC1"/>
    <w:rsid w:val="006F4300"/>
    <w:rsid w:val="006F4A17"/>
    <w:rsid w:val="006F5816"/>
    <w:rsid w:val="006F77B0"/>
    <w:rsid w:val="006F7CB3"/>
    <w:rsid w:val="007036C0"/>
    <w:rsid w:val="00703E87"/>
    <w:rsid w:val="00710E37"/>
    <w:rsid w:val="007113AD"/>
    <w:rsid w:val="0071215F"/>
    <w:rsid w:val="00713015"/>
    <w:rsid w:val="007131B2"/>
    <w:rsid w:val="00714314"/>
    <w:rsid w:val="00715154"/>
    <w:rsid w:val="007160EF"/>
    <w:rsid w:val="0071779C"/>
    <w:rsid w:val="00720284"/>
    <w:rsid w:val="00724351"/>
    <w:rsid w:val="00724759"/>
    <w:rsid w:val="0073358C"/>
    <w:rsid w:val="007338F0"/>
    <w:rsid w:val="007341CF"/>
    <w:rsid w:val="00734C10"/>
    <w:rsid w:val="0073624A"/>
    <w:rsid w:val="00737716"/>
    <w:rsid w:val="007379FC"/>
    <w:rsid w:val="007425A3"/>
    <w:rsid w:val="00750292"/>
    <w:rsid w:val="00751B0C"/>
    <w:rsid w:val="00752573"/>
    <w:rsid w:val="00753A84"/>
    <w:rsid w:val="00753EF6"/>
    <w:rsid w:val="00754B10"/>
    <w:rsid w:val="00754B12"/>
    <w:rsid w:val="00754B46"/>
    <w:rsid w:val="00755744"/>
    <w:rsid w:val="00762B54"/>
    <w:rsid w:val="00763753"/>
    <w:rsid w:val="00763A7F"/>
    <w:rsid w:val="007648E7"/>
    <w:rsid w:val="0076784A"/>
    <w:rsid w:val="0076C652"/>
    <w:rsid w:val="007718C0"/>
    <w:rsid w:val="00774D31"/>
    <w:rsid w:val="0077542E"/>
    <w:rsid w:val="00776420"/>
    <w:rsid w:val="00776986"/>
    <w:rsid w:val="00776AC3"/>
    <w:rsid w:val="00776F94"/>
    <w:rsid w:val="00781A7C"/>
    <w:rsid w:val="0078267A"/>
    <w:rsid w:val="007826B1"/>
    <w:rsid w:val="00783468"/>
    <w:rsid w:val="00784ADF"/>
    <w:rsid w:val="00792CB0"/>
    <w:rsid w:val="00794FB0"/>
    <w:rsid w:val="00795991"/>
    <w:rsid w:val="0079741B"/>
    <w:rsid w:val="00797441"/>
    <w:rsid w:val="007A12D9"/>
    <w:rsid w:val="007A135C"/>
    <w:rsid w:val="007A1466"/>
    <w:rsid w:val="007A2219"/>
    <w:rsid w:val="007A38E3"/>
    <w:rsid w:val="007A419E"/>
    <w:rsid w:val="007A52E6"/>
    <w:rsid w:val="007A55EA"/>
    <w:rsid w:val="007A57ED"/>
    <w:rsid w:val="007A7265"/>
    <w:rsid w:val="007B038B"/>
    <w:rsid w:val="007B179E"/>
    <w:rsid w:val="007B246F"/>
    <w:rsid w:val="007B3632"/>
    <w:rsid w:val="007B4660"/>
    <w:rsid w:val="007B4A33"/>
    <w:rsid w:val="007C19CD"/>
    <w:rsid w:val="007C2A04"/>
    <w:rsid w:val="007C40FD"/>
    <w:rsid w:val="007C54F2"/>
    <w:rsid w:val="007C61F6"/>
    <w:rsid w:val="007C6AA4"/>
    <w:rsid w:val="007C6D9E"/>
    <w:rsid w:val="007C6F02"/>
    <w:rsid w:val="007D0CD4"/>
    <w:rsid w:val="007D1F06"/>
    <w:rsid w:val="007D3495"/>
    <w:rsid w:val="007D493A"/>
    <w:rsid w:val="007E0006"/>
    <w:rsid w:val="007E0FF2"/>
    <w:rsid w:val="007E171F"/>
    <w:rsid w:val="007E2479"/>
    <w:rsid w:val="007E5707"/>
    <w:rsid w:val="007E5BB9"/>
    <w:rsid w:val="007F0344"/>
    <w:rsid w:val="007F0D6B"/>
    <w:rsid w:val="007F1C72"/>
    <w:rsid w:val="007F234E"/>
    <w:rsid w:val="007F2DCD"/>
    <w:rsid w:val="007F4016"/>
    <w:rsid w:val="007F47DC"/>
    <w:rsid w:val="007F568D"/>
    <w:rsid w:val="007F7AC9"/>
    <w:rsid w:val="007F7EB3"/>
    <w:rsid w:val="008014DD"/>
    <w:rsid w:val="00805236"/>
    <w:rsid w:val="00805AA4"/>
    <w:rsid w:val="00807954"/>
    <w:rsid w:val="00810D60"/>
    <w:rsid w:val="00812F62"/>
    <w:rsid w:val="008136A7"/>
    <w:rsid w:val="00813895"/>
    <w:rsid w:val="008149C9"/>
    <w:rsid w:val="00816343"/>
    <w:rsid w:val="008177F4"/>
    <w:rsid w:val="00817E3F"/>
    <w:rsid w:val="00821FCB"/>
    <w:rsid w:val="00823DD5"/>
    <w:rsid w:val="00827C69"/>
    <w:rsid w:val="0083069E"/>
    <w:rsid w:val="00835133"/>
    <w:rsid w:val="008359C2"/>
    <w:rsid w:val="008404DE"/>
    <w:rsid w:val="00840B27"/>
    <w:rsid w:val="00840BC7"/>
    <w:rsid w:val="008426BA"/>
    <w:rsid w:val="008432CB"/>
    <w:rsid w:val="008452E0"/>
    <w:rsid w:val="00845343"/>
    <w:rsid w:val="00850806"/>
    <w:rsid w:val="008508FA"/>
    <w:rsid w:val="00851310"/>
    <w:rsid w:val="008515A4"/>
    <w:rsid w:val="0085297B"/>
    <w:rsid w:val="00853852"/>
    <w:rsid w:val="008558D2"/>
    <w:rsid w:val="00860C05"/>
    <w:rsid w:val="00860E5B"/>
    <w:rsid w:val="00864A91"/>
    <w:rsid w:val="00864C6C"/>
    <w:rsid w:val="0087161B"/>
    <w:rsid w:val="00873381"/>
    <w:rsid w:val="00873C6E"/>
    <w:rsid w:val="00874A17"/>
    <w:rsid w:val="008754B6"/>
    <w:rsid w:val="00876125"/>
    <w:rsid w:val="00877F79"/>
    <w:rsid w:val="0088098A"/>
    <w:rsid w:val="008809B7"/>
    <w:rsid w:val="00881726"/>
    <w:rsid w:val="00881AD1"/>
    <w:rsid w:val="008823C9"/>
    <w:rsid w:val="00882BE4"/>
    <w:rsid w:val="0088736F"/>
    <w:rsid w:val="0088745D"/>
    <w:rsid w:val="00890F4E"/>
    <w:rsid w:val="008910F1"/>
    <w:rsid w:val="008918EF"/>
    <w:rsid w:val="00893C33"/>
    <w:rsid w:val="00894212"/>
    <w:rsid w:val="00895944"/>
    <w:rsid w:val="00896DBD"/>
    <w:rsid w:val="008A1BA4"/>
    <w:rsid w:val="008A2635"/>
    <w:rsid w:val="008A2CD7"/>
    <w:rsid w:val="008A2E99"/>
    <w:rsid w:val="008A3439"/>
    <w:rsid w:val="008A6C06"/>
    <w:rsid w:val="008A6DF3"/>
    <w:rsid w:val="008A7E91"/>
    <w:rsid w:val="008B0FE4"/>
    <w:rsid w:val="008B15EB"/>
    <w:rsid w:val="008B2169"/>
    <w:rsid w:val="008B3623"/>
    <w:rsid w:val="008B4119"/>
    <w:rsid w:val="008B42E6"/>
    <w:rsid w:val="008B7D72"/>
    <w:rsid w:val="008C1B3E"/>
    <w:rsid w:val="008C400A"/>
    <w:rsid w:val="008C40C4"/>
    <w:rsid w:val="008C4115"/>
    <w:rsid w:val="008C65FC"/>
    <w:rsid w:val="008C6D17"/>
    <w:rsid w:val="008D01AD"/>
    <w:rsid w:val="008D0A1C"/>
    <w:rsid w:val="008D0D01"/>
    <w:rsid w:val="008D3E54"/>
    <w:rsid w:val="008D566A"/>
    <w:rsid w:val="008D5B4F"/>
    <w:rsid w:val="008D7C71"/>
    <w:rsid w:val="008E37A4"/>
    <w:rsid w:val="008E3ED7"/>
    <w:rsid w:val="008E46B4"/>
    <w:rsid w:val="008E70DE"/>
    <w:rsid w:val="008F071E"/>
    <w:rsid w:val="008F114F"/>
    <w:rsid w:val="008F16E7"/>
    <w:rsid w:val="008F1BDB"/>
    <w:rsid w:val="008F20F9"/>
    <w:rsid w:val="008F213E"/>
    <w:rsid w:val="008F2B20"/>
    <w:rsid w:val="008F521E"/>
    <w:rsid w:val="008F700F"/>
    <w:rsid w:val="009032B1"/>
    <w:rsid w:val="00905080"/>
    <w:rsid w:val="0090598C"/>
    <w:rsid w:val="009064F7"/>
    <w:rsid w:val="00906FE9"/>
    <w:rsid w:val="00911986"/>
    <w:rsid w:val="00913559"/>
    <w:rsid w:val="00917410"/>
    <w:rsid w:val="009177BD"/>
    <w:rsid w:val="00917E72"/>
    <w:rsid w:val="009206B5"/>
    <w:rsid w:val="009219B4"/>
    <w:rsid w:val="0092405A"/>
    <w:rsid w:val="00924A70"/>
    <w:rsid w:val="009253C7"/>
    <w:rsid w:val="00926744"/>
    <w:rsid w:val="00927212"/>
    <w:rsid w:val="00930DA7"/>
    <w:rsid w:val="00933089"/>
    <w:rsid w:val="00934961"/>
    <w:rsid w:val="00934B90"/>
    <w:rsid w:val="00936372"/>
    <w:rsid w:val="00942CBE"/>
    <w:rsid w:val="009433DC"/>
    <w:rsid w:val="0094407B"/>
    <w:rsid w:val="00947732"/>
    <w:rsid w:val="00950B67"/>
    <w:rsid w:val="00950E72"/>
    <w:rsid w:val="00951989"/>
    <w:rsid w:val="00952913"/>
    <w:rsid w:val="00953334"/>
    <w:rsid w:val="009538D6"/>
    <w:rsid w:val="00953AB3"/>
    <w:rsid w:val="00953C42"/>
    <w:rsid w:val="00956DE1"/>
    <w:rsid w:val="00963276"/>
    <w:rsid w:val="0096508C"/>
    <w:rsid w:val="0096550F"/>
    <w:rsid w:val="009659C0"/>
    <w:rsid w:val="009665D0"/>
    <w:rsid w:val="00970EDB"/>
    <w:rsid w:val="00971E54"/>
    <w:rsid w:val="00971FD7"/>
    <w:rsid w:val="009734AE"/>
    <w:rsid w:val="00974C32"/>
    <w:rsid w:val="0097724B"/>
    <w:rsid w:val="00980CDB"/>
    <w:rsid w:val="009819F7"/>
    <w:rsid w:val="009820E3"/>
    <w:rsid w:val="00985A10"/>
    <w:rsid w:val="00986606"/>
    <w:rsid w:val="00990755"/>
    <w:rsid w:val="00992EC1"/>
    <w:rsid w:val="009933E1"/>
    <w:rsid w:val="00994389"/>
    <w:rsid w:val="0099462A"/>
    <w:rsid w:val="00996C6B"/>
    <w:rsid w:val="00996E15"/>
    <w:rsid w:val="009A1F8D"/>
    <w:rsid w:val="009A2E49"/>
    <w:rsid w:val="009A2EA8"/>
    <w:rsid w:val="009A3005"/>
    <w:rsid w:val="009A39C6"/>
    <w:rsid w:val="009A5F4A"/>
    <w:rsid w:val="009B09EC"/>
    <w:rsid w:val="009B3E67"/>
    <w:rsid w:val="009B4050"/>
    <w:rsid w:val="009B4C4C"/>
    <w:rsid w:val="009B5F4D"/>
    <w:rsid w:val="009C2F02"/>
    <w:rsid w:val="009C6022"/>
    <w:rsid w:val="009D17D7"/>
    <w:rsid w:val="009D17E7"/>
    <w:rsid w:val="009D2B5C"/>
    <w:rsid w:val="009D32C0"/>
    <w:rsid w:val="009D3A19"/>
    <w:rsid w:val="009D4B0D"/>
    <w:rsid w:val="009D4CB2"/>
    <w:rsid w:val="009D596F"/>
    <w:rsid w:val="009D5ACE"/>
    <w:rsid w:val="009D95B7"/>
    <w:rsid w:val="009E0B79"/>
    <w:rsid w:val="009E145B"/>
    <w:rsid w:val="009E174A"/>
    <w:rsid w:val="009E650E"/>
    <w:rsid w:val="009E6739"/>
    <w:rsid w:val="009E72F4"/>
    <w:rsid w:val="009E7EF6"/>
    <w:rsid w:val="009F1EC9"/>
    <w:rsid w:val="009F2DE5"/>
    <w:rsid w:val="009F69BB"/>
    <w:rsid w:val="009F7535"/>
    <w:rsid w:val="00A014FC"/>
    <w:rsid w:val="00A04EE0"/>
    <w:rsid w:val="00A050AB"/>
    <w:rsid w:val="00A059B3"/>
    <w:rsid w:val="00A06535"/>
    <w:rsid w:val="00A06BAA"/>
    <w:rsid w:val="00A07015"/>
    <w:rsid w:val="00A10143"/>
    <w:rsid w:val="00A108C4"/>
    <w:rsid w:val="00A10FD7"/>
    <w:rsid w:val="00A117F5"/>
    <w:rsid w:val="00A13A1F"/>
    <w:rsid w:val="00A13C8C"/>
    <w:rsid w:val="00A13F5D"/>
    <w:rsid w:val="00A1536E"/>
    <w:rsid w:val="00A17C52"/>
    <w:rsid w:val="00A1E2B4"/>
    <w:rsid w:val="00A21CC0"/>
    <w:rsid w:val="00A24BCC"/>
    <w:rsid w:val="00A2518B"/>
    <w:rsid w:val="00A26B6F"/>
    <w:rsid w:val="00A30DAE"/>
    <w:rsid w:val="00A30DEB"/>
    <w:rsid w:val="00A359A5"/>
    <w:rsid w:val="00A37FEF"/>
    <w:rsid w:val="00A423CC"/>
    <w:rsid w:val="00A43A4A"/>
    <w:rsid w:val="00A44803"/>
    <w:rsid w:val="00A449FF"/>
    <w:rsid w:val="00A45B3E"/>
    <w:rsid w:val="00A502BB"/>
    <w:rsid w:val="00A52BCB"/>
    <w:rsid w:val="00A54C19"/>
    <w:rsid w:val="00A55FAE"/>
    <w:rsid w:val="00A568EF"/>
    <w:rsid w:val="00A668B2"/>
    <w:rsid w:val="00A67774"/>
    <w:rsid w:val="00A67816"/>
    <w:rsid w:val="00A679FB"/>
    <w:rsid w:val="00A67D79"/>
    <w:rsid w:val="00A70D14"/>
    <w:rsid w:val="00A71125"/>
    <w:rsid w:val="00A74D40"/>
    <w:rsid w:val="00A74EFF"/>
    <w:rsid w:val="00A7528C"/>
    <w:rsid w:val="00A767B8"/>
    <w:rsid w:val="00A76855"/>
    <w:rsid w:val="00A8114E"/>
    <w:rsid w:val="00A8317E"/>
    <w:rsid w:val="00A85B78"/>
    <w:rsid w:val="00A86DFA"/>
    <w:rsid w:val="00A875D5"/>
    <w:rsid w:val="00A92D9A"/>
    <w:rsid w:val="00A92EBB"/>
    <w:rsid w:val="00A94021"/>
    <w:rsid w:val="00A968DF"/>
    <w:rsid w:val="00AA07A6"/>
    <w:rsid w:val="00AA0A7C"/>
    <w:rsid w:val="00AA1024"/>
    <w:rsid w:val="00AA11A9"/>
    <w:rsid w:val="00AA3827"/>
    <w:rsid w:val="00AA5119"/>
    <w:rsid w:val="00AA5B3A"/>
    <w:rsid w:val="00AA5C17"/>
    <w:rsid w:val="00AA7BE2"/>
    <w:rsid w:val="00AA7D06"/>
    <w:rsid w:val="00AB262B"/>
    <w:rsid w:val="00AB347C"/>
    <w:rsid w:val="00AB412E"/>
    <w:rsid w:val="00AB53E5"/>
    <w:rsid w:val="00AC10AC"/>
    <w:rsid w:val="00AC1BB7"/>
    <w:rsid w:val="00AC4020"/>
    <w:rsid w:val="00AC53EC"/>
    <w:rsid w:val="00AC69CE"/>
    <w:rsid w:val="00AC6AE1"/>
    <w:rsid w:val="00AC7E57"/>
    <w:rsid w:val="00AD04EE"/>
    <w:rsid w:val="00AD0F2F"/>
    <w:rsid w:val="00AD1977"/>
    <w:rsid w:val="00AD47B5"/>
    <w:rsid w:val="00AD4C27"/>
    <w:rsid w:val="00AD4CF7"/>
    <w:rsid w:val="00AD7CD2"/>
    <w:rsid w:val="00AE1436"/>
    <w:rsid w:val="00AE1FF8"/>
    <w:rsid w:val="00AE3844"/>
    <w:rsid w:val="00AE3D1C"/>
    <w:rsid w:val="00AF33C0"/>
    <w:rsid w:val="00AF4F64"/>
    <w:rsid w:val="00AF7437"/>
    <w:rsid w:val="00AF7CAE"/>
    <w:rsid w:val="00B00F57"/>
    <w:rsid w:val="00B0121B"/>
    <w:rsid w:val="00B01584"/>
    <w:rsid w:val="00B020DC"/>
    <w:rsid w:val="00B02217"/>
    <w:rsid w:val="00B02CF5"/>
    <w:rsid w:val="00B03CE0"/>
    <w:rsid w:val="00B04711"/>
    <w:rsid w:val="00B05AD9"/>
    <w:rsid w:val="00B0670E"/>
    <w:rsid w:val="00B0705C"/>
    <w:rsid w:val="00B07C45"/>
    <w:rsid w:val="00B132C2"/>
    <w:rsid w:val="00B142AC"/>
    <w:rsid w:val="00B14AA4"/>
    <w:rsid w:val="00B15082"/>
    <w:rsid w:val="00B15945"/>
    <w:rsid w:val="00B17F04"/>
    <w:rsid w:val="00B17F5C"/>
    <w:rsid w:val="00B20513"/>
    <w:rsid w:val="00B20B55"/>
    <w:rsid w:val="00B230A8"/>
    <w:rsid w:val="00B24EFF"/>
    <w:rsid w:val="00B25113"/>
    <w:rsid w:val="00B27ADF"/>
    <w:rsid w:val="00B313FD"/>
    <w:rsid w:val="00B31549"/>
    <w:rsid w:val="00B33353"/>
    <w:rsid w:val="00B351FF"/>
    <w:rsid w:val="00B41236"/>
    <w:rsid w:val="00B41FC3"/>
    <w:rsid w:val="00B43AAA"/>
    <w:rsid w:val="00B45257"/>
    <w:rsid w:val="00B45EEC"/>
    <w:rsid w:val="00B51296"/>
    <w:rsid w:val="00B558D9"/>
    <w:rsid w:val="00B55ABE"/>
    <w:rsid w:val="00B55C5D"/>
    <w:rsid w:val="00B6017C"/>
    <w:rsid w:val="00B607BC"/>
    <w:rsid w:val="00B62390"/>
    <w:rsid w:val="00B63624"/>
    <w:rsid w:val="00B649F4"/>
    <w:rsid w:val="00B64C27"/>
    <w:rsid w:val="00B65F26"/>
    <w:rsid w:val="00B6766C"/>
    <w:rsid w:val="00B67776"/>
    <w:rsid w:val="00B72C16"/>
    <w:rsid w:val="00B73769"/>
    <w:rsid w:val="00B7499E"/>
    <w:rsid w:val="00B7514A"/>
    <w:rsid w:val="00B76544"/>
    <w:rsid w:val="00B773E6"/>
    <w:rsid w:val="00B8115B"/>
    <w:rsid w:val="00B8310F"/>
    <w:rsid w:val="00B8625F"/>
    <w:rsid w:val="00B86932"/>
    <w:rsid w:val="00B90159"/>
    <w:rsid w:val="00B919E5"/>
    <w:rsid w:val="00B925B5"/>
    <w:rsid w:val="00B93565"/>
    <w:rsid w:val="00B947AD"/>
    <w:rsid w:val="00B96114"/>
    <w:rsid w:val="00B96DCB"/>
    <w:rsid w:val="00BA16D0"/>
    <w:rsid w:val="00BA1B59"/>
    <w:rsid w:val="00BA2138"/>
    <w:rsid w:val="00BA4BD3"/>
    <w:rsid w:val="00BA56A6"/>
    <w:rsid w:val="00BA57ED"/>
    <w:rsid w:val="00BA5918"/>
    <w:rsid w:val="00BA62F3"/>
    <w:rsid w:val="00BB03E6"/>
    <w:rsid w:val="00BB0961"/>
    <w:rsid w:val="00BB33DA"/>
    <w:rsid w:val="00BB3C7D"/>
    <w:rsid w:val="00BB524A"/>
    <w:rsid w:val="00BC0108"/>
    <w:rsid w:val="00BC0CF6"/>
    <w:rsid w:val="00BC264E"/>
    <w:rsid w:val="00BC5CA5"/>
    <w:rsid w:val="00BD06DD"/>
    <w:rsid w:val="00BD39B9"/>
    <w:rsid w:val="00BD45A8"/>
    <w:rsid w:val="00BD55C7"/>
    <w:rsid w:val="00BD6FB0"/>
    <w:rsid w:val="00BE0461"/>
    <w:rsid w:val="00BE0FE9"/>
    <w:rsid w:val="00BE1828"/>
    <w:rsid w:val="00BE186E"/>
    <w:rsid w:val="00BE2A6D"/>
    <w:rsid w:val="00BE3476"/>
    <w:rsid w:val="00BE65BD"/>
    <w:rsid w:val="00BE7A3C"/>
    <w:rsid w:val="00BE7F68"/>
    <w:rsid w:val="00BF1068"/>
    <w:rsid w:val="00BF2EC6"/>
    <w:rsid w:val="00BF3723"/>
    <w:rsid w:val="00BF6123"/>
    <w:rsid w:val="00BF68CF"/>
    <w:rsid w:val="00BF6E9D"/>
    <w:rsid w:val="00BF7A84"/>
    <w:rsid w:val="00C006C6"/>
    <w:rsid w:val="00C014AB"/>
    <w:rsid w:val="00C0161E"/>
    <w:rsid w:val="00C060C6"/>
    <w:rsid w:val="00C06B69"/>
    <w:rsid w:val="00C1067B"/>
    <w:rsid w:val="00C1199D"/>
    <w:rsid w:val="00C12562"/>
    <w:rsid w:val="00C12B9E"/>
    <w:rsid w:val="00C13CA0"/>
    <w:rsid w:val="00C154BD"/>
    <w:rsid w:val="00C15670"/>
    <w:rsid w:val="00C167AC"/>
    <w:rsid w:val="00C2040F"/>
    <w:rsid w:val="00C2217D"/>
    <w:rsid w:val="00C22389"/>
    <w:rsid w:val="00C2300E"/>
    <w:rsid w:val="00C23F5F"/>
    <w:rsid w:val="00C25003"/>
    <w:rsid w:val="00C272C8"/>
    <w:rsid w:val="00C3245D"/>
    <w:rsid w:val="00C3444D"/>
    <w:rsid w:val="00C347B8"/>
    <w:rsid w:val="00C34F72"/>
    <w:rsid w:val="00C3567F"/>
    <w:rsid w:val="00C365B2"/>
    <w:rsid w:val="00C36C92"/>
    <w:rsid w:val="00C37269"/>
    <w:rsid w:val="00C37892"/>
    <w:rsid w:val="00C40815"/>
    <w:rsid w:val="00C41308"/>
    <w:rsid w:val="00C430CA"/>
    <w:rsid w:val="00C44DE7"/>
    <w:rsid w:val="00C4596D"/>
    <w:rsid w:val="00C47283"/>
    <w:rsid w:val="00C551E1"/>
    <w:rsid w:val="00C557F6"/>
    <w:rsid w:val="00C57010"/>
    <w:rsid w:val="00C6085E"/>
    <w:rsid w:val="00C64AFD"/>
    <w:rsid w:val="00C67B4E"/>
    <w:rsid w:val="00C71694"/>
    <w:rsid w:val="00C72364"/>
    <w:rsid w:val="00C72C3B"/>
    <w:rsid w:val="00C7317F"/>
    <w:rsid w:val="00C742D9"/>
    <w:rsid w:val="00C74B43"/>
    <w:rsid w:val="00C82CBF"/>
    <w:rsid w:val="00C835DF"/>
    <w:rsid w:val="00C836A4"/>
    <w:rsid w:val="00C83AB1"/>
    <w:rsid w:val="00C841E5"/>
    <w:rsid w:val="00C84CF9"/>
    <w:rsid w:val="00C84F70"/>
    <w:rsid w:val="00C853DD"/>
    <w:rsid w:val="00C85BEA"/>
    <w:rsid w:val="00C85F08"/>
    <w:rsid w:val="00C86B3C"/>
    <w:rsid w:val="00C900F9"/>
    <w:rsid w:val="00C927C1"/>
    <w:rsid w:val="00C9293F"/>
    <w:rsid w:val="00C9389B"/>
    <w:rsid w:val="00C93C4F"/>
    <w:rsid w:val="00C94876"/>
    <w:rsid w:val="00C950E4"/>
    <w:rsid w:val="00C96587"/>
    <w:rsid w:val="00C974A6"/>
    <w:rsid w:val="00CA0D20"/>
    <w:rsid w:val="00CA442C"/>
    <w:rsid w:val="00CA546F"/>
    <w:rsid w:val="00CA5CBA"/>
    <w:rsid w:val="00CA60FD"/>
    <w:rsid w:val="00CB173C"/>
    <w:rsid w:val="00CB212D"/>
    <w:rsid w:val="00CB2608"/>
    <w:rsid w:val="00CB4DB4"/>
    <w:rsid w:val="00CB640E"/>
    <w:rsid w:val="00CB64A7"/>
    <w:rsid w:val="00CC37EE"/>
    <w:rsid w:val="00CC3E77"/>
    <w:rsid w:val="00CC570A"/>
    <w:rsid w:val="00CD1675"/>
    <w:rsid w:val="00CD1A29"/>
    <w:rsid w:val="00CD237C"/>
    <w:rsid w:val="00CD2BFE"/>
    <w:rsid w:val="00CD3334"/>
    <w:rsid w:val="00CD4D4F"/>
    <w:rsid w:val="00CD550A"/>
    <w:rsid w:val="00CD6C70"/>
    <w:rsid w:val="00CD7230"/>
    <w:rsid w:val="00CD7D85"/>
    <w:rsid w:val="00CE095F"/>
    <w:rsid w:val="00CE0AB1"/>
    <w:rsid w:val="00CE578A"/>
    <w:rsid w:val="00CE6B23"/>
    <w:rsid w:val="00CF0262"/>
    <w:rsid w:val="00CF033D"/>
    <w:rsid w:val="00CF37FE"/>
    <w:rsid w:val="00CF4579"/>
    <w:rsid w:val="00CF7D3C"/>
    <w:rsid w:val="00D043F0"/>
    <w:rsid w:val="00D077BA"/>
    <w:rsid w:val="00D0C156"/>
    <w:rsid w:val="00D109CD"/>
    <w:rsid w:val="00D11643"/>
    <w:rsid w:val="00D11888"/>
    <w:rsid w:val="00D140BC"/>
    <w:rsid w:val="00D1531C"/>
    <w:rsid w:val="00D156E8"/>
    <w:rsid w:val="00D16EFF"/>
    <w:rsid w:val="00D1757D"/>
    <w:rsid w:val="00D178B4"/>
    <w:rsid w:val="00D27B18"/>
    <w:rsid w:val="00D3055C"/>
    <w:rsid w:val="00D30E34"/>
    <w:rsid w:val="00D33062"/>
    <w:rsid w:val="00D35575"/>
    <w:rsid w:val="00D36152"/>
    <w:rsid w:val="00D4200A"/>
    <w:rsid w:val="00D425A5"/>
    <w:rsid w:val="00D42622"/>
    <w:rsid w:val="00D44CE6"/>
    <w:rsid w:val="00D4684D"/>
    <w:rsid w:val="00D47267"/>
    <w:rsid w:val="00D54A43"/>
    <w:rsid w:val="00D559DB"/>
    <w:rsid w:val="00D57934"/>
    <w:rsid w:val="00D60871"/>
    <w:rsid w:val="00D6173B"/>
    <w:rsid w:val="00D645EC"/>
    <w:rsid w:val="00D64D67"/>
    <w:rsid w:val="00D70BD0"/>
    <w:rsid w:val="00D71A8B"/>
    <w:rsid w:val="00D7214C"/>
    <w:rsid w:val="00D722C8"/>
    <w:rsid w:val="00D74A58"/>
    <w:rsid w:val="00D75B99"/>
    <w:rsid w:val="00D77C78"/>
    <w:rsid w:val="00D80CC2"/>
    <w:rsid w:val="00D81031"/>
    <w:rsid w:val="00D81F36"/>
    <w:rsid w:val="00D835E8"/>
    <w:rsid w:val="00D84A97"/>
    <w:rsid w:val="00D862CD"/>
    <w:rsid w:val="00D879BA"/>
    <w:rsid w:val="00D87CC5"/>
    <w:rsid w:val="00D9289F"/>
    <w:rsid w:val="00D934CA"/>
    <w:rsid w:val="00D961A3"/>
    <w:rsid w:val="00D96B63"/>
    <w:rsid w:val="00DA16F1"/>
    <w:rsid w:val="00DA26D5"/>
    <w:rsid w:val="00DA3529"/>
    <w:rsid w:val="00DA3A2A"/>
    <w:rsid w:val="00DA4463"/>
    <w:rsid w:val="00DA44DE"/>
    <w:rsid w:val="00DA502F"/>
    <w:rsid w:val="00DB3671"/>
    <w:rsid w:val="00DB5C6A"/>
    <w:rsid w:val="00DB6261"/>
    <w:rsid w:val="00DB68B1"/>
    <w:rsid w:val="00DC392D"/>
    <w:rsid w:val="00DC3E35"/>
    <w:rsid w:val="00DC6D6D"/>
    <w:rsid w:val="00DC7CAA"/>
    <w:rsid w:val="00DD4476"/>
    <w:rsid w:val="00DD5E1B"/>
    <w:rsid w:val="00DD5E21"/>
    <w:rsid w:val="00DD69BD"/>
    <w:rsid w:val="00DD74F8"/>
    <w:rsid w:val="00DE1AFE"/>
    <w:rsid w:val="00DE3B3E"/>
    <w:rsid w:val="00DE4155"/>
    <w:rsid w:val="00DE5F82"/>
    <w:rsid w:val="00DF18D8"/>
    <w:rsid w:val="00DF2169"/>
    <w:rsid w:val="00DF2B18"/>
    <w:rsid w:val="00DF40D8"/>
    <w:rsid w:val="00DF4A7D"/>
    <w:rsid w:val="00DF4CAF"/>
    <w:rsid w:val="00DF62F1"/>
    <w:rsid w:val="00DF7255"/>
    <w:rsid w:val="00E00EA4"/>
    <w:rsid w:val="00E0546E"/>
    <w:rsid w:val="00E07FC6"/>
    <w:rsid w:val="00E12233"/>
    <w:rsid w:val="00E13365"/>
    <w:rsid w:val="00E1451A"/>
    <w:rsid w:val="00E14F53"/>
    <w:rsid w:val="00E16968"/>
    <w:rsid w:val="00E16D51"/>
    <w:rsid w:val="00E16F51"/>
    <w:rsid w:val="00E20C6A"/>
    <w:rsid w:val="00E21240"/>
    <w:rsid w:val="00E2274D"/>
    <w:rsid w:val="00E22A9C"/>
    <w:rsid w:val="00E22D5B"/>
    <w:rsid w:val="00E24151"/>
    <w:rsid w:val="00E257D1"/>
    <w:rsid w:val="00E27255"/>
    <w:rsid w:val="00E31862"/>
    <w:rsid w:val="00E33610"/>
    <w:rsid w:val="00E34427"/>
    <w:rsid w:val="00E3601D"/>
    <w:rsid w:val="00E36ADB"/>
    <w:rsid w:val="00E37926"/>
    <w:rsid w:val="00E40A23"/>
    <w:rsid w:val="00E41584"/>
    <w:rsid w:val="00E420C2"/>
    <w:rsid w:val="00E43BA6"/>
    <w:rsid w:val="00E45605"/>
    <w:rsid w:val="00E47970"/>
    <w:rsid w:val="00E501B2"/>
    <w:rsid w:val="00E50F9D"/>
    <w:rsid w:val="00E5166D"/>
    <w:rsid w:val="00E52620"/>
    <w:rsid w:val="00E54537"/>
    <w:rsid w:val="00E55D73"/>
    <w:rsid w:val="00E62179"/>
    <w:rsid w:val="00E648B6"/>
    <w:rsid w:val="00E67F55"/>
    <w:rsid w:val="00E70E93"/>
    <w:rsid w:val="00E711E2"/>
    <w:rsid w:val="00E75D3B"/>
    <w:rsid w:val="00E77240"/>
    <w:rsid w:val="00E80ECB"/>
    <w:rsid w:val="00E81B41"/>
    <w:rsid w:val="00E81CFA"/>
    <w:rsid w:val="00E84D6C"/>
    <w:rsid w:val="00E85094"/>
    <w:rsid w:val="00E8645B"/>
    <w:rsid w:val="00E871ED"/>
    <w:rsid w:val="00E87305"/>
    <w:rsid w:val="00E905DD"/>
    <w:rsid w:val="00E90693"/>
    <w:rsid w:val="00E9089D"/>
    <w:rsid w:val="00E90983"/>
    <w:rsid w:val="00E972B5"/>
    <w:rsid w:val="00EA405B"/>
    <w:rsid w:val="00EA4D19"/>
    <w:rsid w:val="00EA7685"/>
    <w:rsid w:val="00EB06AA"/>
    <w:rsid w:val="00EB0F34"/>
    <w:rsid w:val="00EB1585"/>
    <w:rsid w:val="00EB1AC3"/>
    <w:rsid w:val="00EB3E67"/>
    <w:rsid w:val="00EB43BB"/>
    <w:rsid w:val="00EB5255"/>
    <w:rsid w:val="00EC09E3"/>
    <w:rsid w:val="00EC1516"/>
    <w:rsid w:val="00EC2D02"/>
    <w:rsid w:val="00EC5BF9"/>
    <w:rsid w:val="00EC7636"/>
    <w:rsid w:val="00ED0464"/>
    <w:rsid w:val="00ED1412"/>
    <w:rsid w:val="00ED507D"/>
    <w:rsid w:val="00EE2532"/>
    <w:rsid w:val="00EE29D0"/>
    <w:rsid w:val="00EE587B"/>
    <w:rsid w:val="00EE710D"/>
    <w:rsid w:val="00EE7B23"/>
    <w:rsid w:val="00EF0241"/>
    <w:rsid w:val="00EF300B"/>
    <w:rsid w:val="00EF3A1F"/>
    <w:rsid w:val="00EF3BA5"/>
    <w:rsid w:val="00EF4B2F"/>
    <w:rsid w:val="00EF51F8"/>
    <w:rsid w:val="00EF5D54"/>
    <w:rsid w:val="00EF754A"/>
    <w:rsid w:val="00EF7CCF"/>
    <w:rsid w:val="00F006BD"/>
    <w:rsid w:val="00F011CF"/>
    <w:rsid w:val="00F03E56"/>
    <w:rsid w:val="00F03EA7"/>
    <w:rsid w:val="00F044E9"/>
    <w:rsid w:val="00F06A0A"/>
    <w:rsid w:val="00F12ADB"/>
    <w:rsid w:val="00F159D5"/>
    <w:rsid w:val="00F15DE5"/>
    <w:rsid w:val="00F161E1"/>
    <w:rsid w:val="00F16AE9"/>
    <w:rsid w:val="00F20458"/>
    <w:rsid w:val="00F23436"/>
    <w:rsid w:val="00F256D3"/>
    <w:rsid w:val="00F25945"/>
    <w:rsid w:val="00F32403"/>
    <w:rsid w:val="00F32D0E"/>
    <w:rsid w:val="00F34273"/>
    <w:rsid w:val="00F34AA0"/>
    <w:rsid w:val="00F3557F"/>
    <w:rsid w:val="00F374E0"/>
    <w:rsid w:val="00F3751D"/>
    <w:rsid w:val="00F4746E"/>
    <w:rsid w:val="00F47797"/>
    <w:rsid w:val="00F479D6"/>
    <w:rsid w:val="00F5260D"/>
    <w:rsid w:val="00F52A2F"/>
    <w:rsid w:val="00F52DA8"/>
    <w:rsid w:val="00F5329F"/>
    <w:rsid w:val="00F532F5"/>
    <w:rsid w:val="00F545F1"/>
    <w:rsid w:val="00F55370"/>
    <w:rsid w:val="00F555F3"/>
    <w:rsid w:val="00F55EED"/>
    <w:rsid w:val="00F572CD"/>
    <w:rsid w:val="00F609AB"/>
    <w:rsid w:val="00F60C41"/>
    <w:rsid w:val="00F61801"/>
    <w:rsid w:val="00F66364"/>
    <w:rsid w:val="00F67BC8"/>
    <w:rsid w:val="00F70C8C"/>
    <w:rsid w:val="00F70EBF"/>
    <w:rsid w:val="00F71955"/>
    <w:rsid w:val="00F729C9"/>
    <w:rsid w:val="00F7372E"/>
    <w:rsid w:val="00F73F99"/>
    <w:rsid w:val="00F7476A"/>
    <w:rsid w:val="00F750E3"/>
    <w:rsid w:val="00F75329"/>
    <w:rsid w:val="00F757A0"/>
    <w:rsid w:val="00F76A3B"/>
    <w:rsid w:val="00F80674"/>
    <w:rsid w:val="00F8180C"/>
    <w:rsid w:val="00F82CC1"/>
    <w:rsid w:val="00F83B0C"/>
    <w:rsid w:val="00F84EDC"/>
    <w:rsid w:val="00F85360"/>
    <w:rsid w:val="00F85F22"/>
    <w:rsid w:val="00F86BF4"/>
    <w:rsid w:val="00F87E3C"/>
    <w:rsid w:val="00F8CAC7"/>
    <w:rsid w:val="00F932F3"/>
    <w:rsid w:val="00F938F1"/>
    <w:rsid w:val="00F948BA"/>
    <w:rsid w:val="00F94A96"/>
    <w:rsid w:val="00F9535C"/>
    <w:rsid w:val="00FA2435"/>
    <w:rsid w:val="00FA25FC"/>
    <w:rsid w:val="00FA307F"/>
    <w:rsid w:val="00FA3669"/>
    <w:rsid w:val="00FA70B7"/>
    <w:rsid w:val="00FA74B4"/>
    <w:rsid w:val="00FA7C3F"/>
    <w:rsid w:val="00FB025C"/>
    <w:rsid w:val="00FB0374"/>
    <w:rsid w:val="00FB1FDC"/>
    <w:rsid w:val="00FB2DBE"/>
    <w:rsid w:val="00FB2E90"/>
    <w:rsid w:val="00FC3C48"/>
    <w:rsid w:val="00FC46A2"/>
    <w:rsid w:val="00FC4A9C"/>
    <w:rsid w:val="00FC4D43"/>
    <w:rsid w:val="00FC6A1A"/>
    <w:rsid w:val="00FC71DE"/>
    <w:rsid w:val="00FD1ACC"/>
    <w:rsid w:val="00FD3BCF"/>
    <w:rsid w:val="00FD3F08"/>
    <w:rsid w:val="00FD5066"/>
    <w:rsid w:val="00FD5EBE"/>
    <w:rsid w:val="00FD62F6"/>
    <w:rsid w:val="00FD63DB"/>
    <w:rsid w:val="00FD6CCA"/>
    <w:rsid w:val="00FD7909"/>
    <w:rsid w:val="00FE232F"/>
    <w:rsid w:val="00FE6E67"/>
    <w:rsid w:val="00FF0843"/>
    <w:rsid w:val="00FF1042"/>
    <w:rsid w:val="00FF3417"/>
    <w:rsid w:val="00FF6D59"/>
    <w:rsid w:val="0122A891"/>
    <w:rsid w:val="0141264D"/>
    <w:rsid w:val="014BBC3C"/>
    <w:rsid w:val="0179AF38"/>
    <w:rsid w:val="0186500D"/>
    <w:rsid w:val="01983B0F"/>
    <w:rsid w:val="01C5E50F"/>
    <w:rsid w:val="02022947"/>
    <w:rsid w:val="0204925E"/>
    <w:rsid w:val="020657CB"/>
    <w:rsid w:val="02274D3F"/>
    <w:rsid w:val="024D3DAF"/>
    <w:rsid w:val="029E4692"/>
    <w:rsid w:val="02BC252F"/>
    <w:rsid w:val="02C40122"/>
    <w:rsid w:val="02EDFFAF"/>
    <w:rsid w:val="02F196BB"/>
    <w:rsid w:val="03018AB3"/>
    <w:rsid w:val="0308353E"/>
    <w:rsid w:val="0348EC3A"/>
    <w:rsid w:val="0363E49C"/>
    <w:rsid w:val="0364EBF2"/>
    <w:rsid w:val="038175AD"/>
    <w:rsid w:val="03BBC88D"/>
    <w:rsid w:val="03D2F7B1"/>
    <w:rsid w:val="03E1A884"/>
    <w:rsid w:val="040F04FB"/>
    <w:rsid w:val="0437BD7A"/>
    <w:rsid w:val="043F0E00"/>
    <w:rsid w:val="044B75F9"/>
    <w:rsid w:val="04557C80"/>
    <w:rsid w:val="0483B429"/>
    <w:rsid w:val="0488B421"/>
    <w:rsid w:val="04944C51"/>
    <w:rsid w:val="0498A8EA"/>
    <w:rsid w:val="04A7D128"/>
    <w:rsid w:val="04B010F3"/>
    <w:rsid w:val="04D7BAE0"/>
    <w:rsid w:val="04EC7843"/>
    <w:rsid w:val="04F29D73"/>
    <w:rsid w:val="0509D82A"/>
    <w:rsid w:val="052EA049"/>
    <w:rsid w:val="053EFB83"/>
    <w:rsid w:val="054C0875"/>
    <w:rsid w:val="05AEAA87"/>
    <w:rsid w:val="05B4A402"/>
    <w:rsid w:val="05DD9833"/>
    <w:rsid w:val="05E0120A"/>
    <w:rsid w:val="05ED5C09"/>
    <w:rsid w:val="0606E86E"/>
    <w:rsid w:val="060D425D"/>
    <w:rsid w:val="06249F3A"/>
    <w:rsid w:val="062C3D49"/>
    <w:rsid w:val="0657C896"/>
    <w:rsid w:val="066290B7"/>
    <w:rsid w:val="066A43CC"/>
    <w:rsid w:val="0681D797"/>
    <w:rsid w:val="069E527D"/>
    <w:rsid w:val="06A883C5"/>
    <w:rsid w:val="06DD672D"/>
    <w:rsid w:val="071CF5B4"/>
    <w:rsid w:val="073C161F"/>
    <w:rsid w:val="07523EE8"/>
    <w:rsid w:val="078A24C8"/>
    <w:rsid w:val="07ADACC0"/>
    <w:rsid w:val="07B6F396"/>
    <w:rsid w:val="0814A2A8"/>
    <w:rsid w:val="08348A8E"/>
    <w:rsid w:val="0851299F"/>
    <w:rsid w:val="085A7F8B"/>
    <w:rsid w:val="0867EB48"/>
    <w:rsid w:val="086D45CE"/>
    <w:rsid w:val="0870B290"/>
    <w:rsid w:val="09063D09"/>
    <w:rsid w:val="0928EDA3"/>
    <w:rsid w:val="09292074"/>
    <w:rsid w:val="0969C0E9"/>
    <w:rsid w:val="097B0407"/>
    <w:rsid w:val="09AC4817"/>
    <w:rsid w:val="09C14FB4"/>
    <w:rsid w:val="09EC273F"/>
    <w:rsid w:val="09EC59B4"/>
    <w:rsid w:val="0A35855F"/>
    <w:rsid w:val="0A3A4CAA"/>
    <w:rsid w:val="0A6D2B78"/>
    <w:rsid w:val="0A8F8063"/>
    <w:rsid w:val="0AA4B749"/>
    <w:rsid w:val="0AAE223B"/>
    <w:rsid w:val="0AD4009D"/>
    <w:rsid w:val="0B08EBA5"/>
    <w:rsid w:val="0B221D9F"/>
    <w:rsid w:val="0B37583B"/>
    <w:rsid w:val="0B439829"/>
    <w:rsid w:val="0B47BB76"/>
    <w:rsid w:val="0B838D45"/>
    <w:rsid w:val="0B931690"/>
    <w:rsid w:val="0B9D7F20"/>
    <w:rsid w:val="0BFDDDFA"/>
    <w:rsid w:val="0C046435"/>
    <w:rsid w:val="0C10B632"/>
    <w:rsid w:val="0C1A7C82"/>
    <w:rsid w:val="0C5FAEEC"/>
    <w:rsid w:val="0C5FF2D0"/>
    <w:rsid w:val="0C706459"/>
    <w:rsid w:val="0C869B7B"/>
    <w:rsid w:val="0CBF18D3"/>
    <w:rsid w:val="0CDFCD31"/>
    <w:rsid w:val="0CE42D8B"/>
    <w:rsid w:val="0D0073CD"/>
    <w:rsid w:val="0D1A46E4"/>
    <w:rsid w:val="0D3A458F"/>
    <w:rsid w:val="0D47731A"/>
    <w:rsid w:val="0D4B6396"/>
    <w:rsid w:val="0D8A0191"/>
    <w:rsid w:val="0D8C3B55"/>
    <w:rsid w:val="0DA7BC7A"/>
    <w:rsid w:val="0DAC7B5C"/>
    <w:rsid w:val="0DB60711"/>
    <w:rsid w:val="0DF0B395"/>
    <w:rsid w:val="0E04849D"/>
    <w:rsid w:val="0E20F0F8"/>
    <w:rsid w:val="0E84C444"/>
    <w:rsid w:val="0E8DD06B"/>
    <w:rsid w:val="0EA177D7"/>
    <w:rsid w:val="0EA739F2"/>
    <w:rsid w:val="0EC84E3B"/>
    <w:rsid w:val="0EE181CF"/>
    <w:rsid w:val="0EEA9213"/>
    <w:rsid w:val="0EF04F72"/>
    <w:rsid w:val="0EF6BE91"/>
    <w:rsid w:val="0F174DCD"/>
    <w:rsid w:val="0F4AE706"/>
    <w:rsid w:val="0F531775"/>
    <w:rsid w:val="0F718A99"/>
    <w:rsid w:val="0F73630F"/>
    <w:rsid w:val="0F772D40"/>
    <w:rsid w:val="0F7FCCF6"/>
    <w:rsid w:val="0F850CF2"/>
    <w:rsid w:val="0F8CE89D"/>
    <w:rsid w:val="0F8DDA24"/>
    <w:rsid w:val="0F96E162"/>
    <w:rsid w:val="0FA70E63"/>
    <w:rsid w:val="0FEBBF41"/>
    <w:rsid w:val="100C593F"/>
    <w:rsid w:val="101AA058"/>
    <w:rsid w:val="1020A221"/>
    <w:rsid w:val="103BE716"/>
    <w:rsid w:val="1059AC65"/>
    <w:rsid w:val="1063227D"/>
    <w:rsid w:val="10641A7F"/>
    <w:rsid w:val="1086A397"/>
    <w:rsid w:val="10914457"/>
    <w:rsid w:val="109DAA42"/>
    <w:rsid w:val="10B9D298"/>
    <w:rsid w:val="10C468F7"/>
    <w:rsid w:val="1101E29A"/>
    <w:rsid w:val="114A449B"/>
    <w:rsid w:val="119C11D0"/>
    <w:rsid w:val="11A6724E"/>
    <w:rsid w:val="11A97FCE"/>
    <w:rsid w:val="11AEB604"/>
    <w:rsid w:val="11B70831"/>
    <w:rsid w:val="11BB6C5B"/>
    <w:rsid w:val="11C0BA85"/>
    <w:rsid w:val="1215866D"/>
    <w:rsid w:val="12383404"/>
    <w:rsid w:val="124C21DC"/>
    <w:rsid w:val="1268F5FC"/>
    <w:rsid w:val="126A29B4"/>
    <w:rsid w:val="127AE5C6"/>
    <w:rsid w:val="127E641F"/>
    <w:rsid w:val="129FA194"/>
    <w:rsid w:val="12A24626"/>
    <w:rsid w:val="12B79B01"/>
    <w:rsid w:val="12C88A0F"/>
    <w:rsid w:val="12DCDDCE"/>
    <w:rsid w:val="12F5C3DC"/>
    <w:rsid w:val="130D0C23"/>
    <w:rsid w:val="1310609E"/>
    <w:rsid w:val="1314A615"/>
    <w:rsid w:val="1322A297"/>
    <w:rsid w:val="13249CCC"/>
    <w:rsid w:val="13286A27"/>
    <w:rsid w:val="1343C31B"/>
    <w:rsid w:val="136D93E7"/>
    <w:rsid w:val="138FAF2A"/>
    <w:rsid w:val="13C5C883"/>
    <w:rsid w:val="13C84DA1"/>
    <w:rsid w:val="13D66C81"/>
    <w:rsid w:val="141E2558"/>
    <w:rsid w:val="14241A44"/>
    <w:rsid w:val="14242CA6"/>
    <w:rsid w:val="142DA4FE"/>
    <w:rsid w:val="143ED599"/>
    <w:rsid w:val="149B5CB6"/>
    <w:rsid w:val="14AB40DF"/>
    <w:rsid w:val="14B8C8A3"/>
    <w:rsid w:val="14C68D03"/>
    <w:rsid w:val="14EA14CD"/>
    <w:rsid w:val="14EE117B"/>
    <w:rsid w:val="14F0B393"/>
    <w:rsid w:val="1502410B"/>
    <w:rsid w:val="1505D817"/>
    <w:rsid w:val="1552B05A"/>
    <w:rsid w:val="156F3D4E"/>
    <w:rsid w:val="15A98F67"/>
    <w:rsid w:val="15C535BC"/>
    <w:rsid w:val="16968470"/>
    <w:rsid w:val="16BC1227"/>
    <w:rsid w:val="170E9A77"/>
    <w:rsid w:val="1713CEBF"/>
    <w:rsid w:val="17358C8E"/>
    <w:rsid w:val="174AE437"/>
    <w:rsid w:val="175B35F0"/>
    <w:rsid w:val="176C3D03"/>
    <w:rsid w:val="17745C5F"/>
    <w:rsid w:val="17A7B4C3"/>
    <w:rsid w:val="17B440BD"/>
    <w:rsid w:val="17DC6824"/>
    <w:rsid w:val="180C4CD3"/>
    <w:rsid w:val="18870B19"/>
    <w:rsid w:val="18C2CE74"/>
    <w:rsid w:val="18DCE2B4"/>
    <w:rsid w:val="1940D7D5"/>
    <w:rsid w:val="194DC7C5"/>
    <w:rsid w:val="195268C8"/>
    <w:rsid w:val="195F34CE"/>
    <w:rsid w:val="19638AEC"/>
    <w:rsid w:val="19B70562"/>
    <w:rsid w:val="19CC74F5"/>
    <w:rsid w:val="19CE2A4A"/>
    <w:rsid w:val="19FB6BB0"/>
    <w:rsid w:val="19FC60F8"/>
    <w:rsid w:val="1A0B7797"/>
    <w:rsid w:val="1A1A437B"/>
    <w:rsid w:val="1A28254E"/>
    <w:rsid w:val="1A2B0088"/>
    <w:rsid w:val="1A8938F7"/>
    <w:rsid w:val="1A9840F9"/>
    <w:rsid w:val="1A9CFD51"/>
    <w:rsid w:val="1AA27628"/>
    <w:rsid w:val="1ACB3671"/>
    <w:rsid w:val="1AD0788E"/>
    <w:rsid w:val="1ADA23B7"/>
    <w:rsid w:val="1AF8193B"/>
    <w:rsid w:val="1B0CD568"/>
    <w:rsid w:val="1B1D3F62"/>
    <w:rsid w:val="1B2E6ABB"/>
    <w:rsid w:val="1B82052B"/>
    <w:rsid w:val="1B87791E"/>
    <w:rsid w:val="1B885E1F"/>
    <w:rsid w:val="1B8F068A"/>
    <w:rsid w:val="1B99E86D"/>
    <w:rsid w:val="1BD2645A"/>
    <w:rsid w:val="1BDAD32D"/>
    <w:rsid w:val="1BFED409"/>
    <w:rsid w:val="1BFF16DE"/>
    <w:rsid w:val="1C10A658"/>
    <w:rsid w:val="1C4AE39D"/>
    <w:rsid w:val="1C5BD766"/>
    <w:rsid w:val="1CD5DB13"/>
    <w:rsid w:val="1CF46E77"/>
    <w:rsid w:val="1D268589"/>
    <w:rsid w:val="1D27855B"/>
    <w:rsid w:val="1D4896EC"/>
    <w:rsid w:val="1D7E7DB7"/>
    <w:rsid w:val="1D814E9F"/>
    <w:rsid w:val="1DCFEFFC"/>
    <w:rsid w:val="1DD8AAED"/>
    <w:rsid w:val="1DDAC322"/>
    <w:rsid w:val="1DE125BC"/>
    <w:rsid w:val="1DFBCA21"/>
    <w:rsid w:val="1E1D7A87"/>
    <w:rsid w:val="1E5D69AF"/>
    <w:rsid w:val="1E64D857"/>
    <w:rsid w:val="1E99BFF5"/>
    <w:rsid w:val="1E9B6489"/>
    <w:rsid w:val="1EB3DD9A"/>
    <w:rsid w:val="1EDC1520"/>
    <w:rsid w:val="1F1073F1"/>
    <w:rsid w:val="1F11AC62"/>
    <w:rsid w:val="1F279898"/>
    <w:rsid w:val="1F477DCC"/>
    <w:rsid w:val="1F68D698"/>
    <w:rsid w:val="1F70EF1D"/>
    <w:rsid w:val="1F85517E"/>
    <w:rsid w:val="1F867B56"/>
    <w:rsid w:val="1FAD6209"/>
    <w:rsid w:val="1FB4A7C8"/>
    <w:rsid w:val="2051EC20"/>
    <w:rsid w:val="209F1C6F"/>
    <w:rsid w:val="20AD5C08"/>
    <w:rsid w:val="20DF5CB6"/>
    <w:rsid w:val="210762A9"/>
    <w:rsid w:val="21113B1B"/>
    <w:rsid w:val="2116CCDC"/>
    <w:rsid w:val="21228DDC"/>
    <w:rsid w:val="212E8034"/>
    <w:rsid w:val="214D5613"/>
    <w:rsid w:val="2159C583"/>
    <w:rsid w:val="2169788F"/>
    <w:rsid w:val="2180065C"/>
    <w:rsid w:val="21C56C8A"/>
    <w:rsid w:val="21EE9B46"/>
    <w:rsid w:val="22039E43"/>
    <w:rsid w:val="221913E8"/>
    <w:rsid w:val="22209A9B"/>
    <w:rsid w:val="223F6F00"/>
    <w:rsid w:val="22881946"/>
    <w:rsid w:val="2296E10D"/>
    <w:rsid w:val="22D09533"/>
    <w:rsid w:val="22E6E57A"/>
    <w:rsid w:val="22F98468"/>
    <w:rsid w:val="22FA472D"/>
    <w:rsid w:val="23455F88"/>
    <w:rsid w:val="2345EE3B"/>
    <w:rsid w:val="237F2EC2"/>
    <w:rsid w:val="239F436E"/>
    <w:rsid w:val="23AB956B"/>
    <w:rsid w:val="23C0BCFD"/>
    <w:rsid w:val="23FE94CC"/>
    <w:rsid w:val="245EE9BF"/>
    <w:rsid w:val="24615624"/>
    <w:rsid w:val="246671A3"/>
    <w:rsid w:val="246C46F0"/>
    <w:rsid w:val="247B719B"/>
    <w:rsid w:val="248A1224"/>
    <w:rsid w:val="24B39AEF"/>
    <w:rsid w:val="24D20C25"/>
    <w:rsid w:val="24DB0101"/>
    <w:rsid w:val="24F00CE0"/>
    <w:rsid w:val="24F079B6"/>
    <w:rsid w:val="24F8F497"/>
    <w:rsid w:val="25180A6A"/>
    <w:rsid w:val="251C9359"/>
    <w:rsid w:val="2520F40F"/>
    <w:rsid w:val="252BA321"/>
    <w:rsid w:val="256A0E4B"/>
    <w:rsid w:val="25D57658"/>
    <w:rsid w:val="25F3107E"/>
    <w:rsid w:val="25F80E30"/>
    <w:rsid w:val="26308177"/>
    <w:rsid w:val="263395A4"/>
    <w:rsid w:val="26492D14"/>
    <w:rsid w:val="26499C53"/>
    <w:rsid w:val="26681B0A"/>
    <w:rsid w:val="26850CA5"/>
    <w:rsid w:val="26A66571"/>
    <w:rsid w:val="26A68CAF"/>
    <w:rsid w:val="26C388E2"/>
    <w:rsid w:val="26CC4756"/>
    <w:rsid w:val="26D790D8"/>
    <w:rsid w:val="26DA7005"/>
    <w:rsid w:val="26F507DD"/>
    <w:rsid w:val="272A8A01"/>
    <w:rsid w:val="277D8941"/>
    <w:rsid w:val="2780B27E"/>
    <w:rsid w:val="2788BABC"/>
    <w:rsid w:val="27B37BC0"/>
    <w:rsid w:val="27CCE08B"/>
    <w:rsid w:val="27F4AF4D"/>
    <w:rsid w:val="28109936"/>
    <w:rsid w:val="2840BEE1"/>
    <w:rsid w:val="2864C6B7"/>
    <w:rsid w:val="2868A518"/>
    <w:rsid w:val="287F720C"/>
    <w:rsid w:val="288BAE3A"/>
    <w:rsid w:val="288FA9ED"/>
    <w:rsid w:val="28AD8BD9"/>
    <w:rsid w:val="28C71A67"/>
    <w:rsid w:val="28C793EA"/>
    <w:rsid w:val="28C86BAF"/>
    <w:rsid w:val="28E8442B"/>
    <w:rsid w:val="28F10F34"/>
    <w:rsid w:val="292E6A0A"/>
    <w:rsid w:val="293B559A"/>
    <w:rsid w:val="293C7C61"/>
    <w:rsid w:val="2952E965"/>
    <w:rsid w:val="2958FE75"/>
    <w:rsid w:val="297762E4"/>
    <w:rsid w:val="29921ED8"/>
    <w:rsid w:val="29C0A91A"/>
    <w:rsid w:val="29E7E560"/>
    <w:rsid w:val="2A1092D6"/>
    <w:rsid w:val="2A1D9976"/>
    <w:rsid w:val="2A2EFCDA"/>
    <w:rsid w:val="2A3BB962"/>
    <w:rsid w:val="2A507BF1"/>
    <w:rsid w:val="2A739724"/>
    <w:rsid w:val="2A964C79"/>
    <w:rsid w:val="2AA797C8"/>
    <w:rsid w:val="2AB1120E"/>
    <w:rsid w:val="2AB5B157"/>
    <w:rsid w:val="2AC0A9FA"/>
    <w:rsid w:val="2ACAF882"/>
    <w:rsid w:val="2ADDA051"/>
    <w:rsid w:val="2AFDE1A7"/>
    <w:rsid w:val="2B435219"/>
    <w:rsid w:val="2B53C97E"/>
    <w:rsid w:val="2B6AF1CB"/>
    <w:rsid w:val="2B7E374A"/>
    <w:rsid w:val="2B988816"/>
    <w:rsid w:val="2BC4142D"/>
    <w:rsid w:val="2BCF9C7B"/>
    <w:rsid w:val="2C3395B8"/>
    <w:rsid w:val="2C4BF3CC"/>
    <w:rsid w:val="2C5CE186"/>
    <w:rsid w:val="2C815D99"/>
    <w:rsid w:val="2C9661AE"/>
    <w:rsid w:val="2CBBD74C"/>
    <w:rsid w:val="2CCBB101"/>
    <w:rsid w:val="2CD71221"/>
    <w:rsid w:val="2CFD74DB"/>
    <w:rsid w:val="2D260CEB"/>
    <w:rsid w:val="2D54A221"/>
    <w:rsid w:val="2D54B522"/>
    <w:rsid w:val="2D84C2B4"/>
    <w:rsid w:val="2DC59B12"/>
    <w:rsid w:val="2DD95CC5"/>
    <w:rsid w:val="2E0D309A"/>
    <w:rsid w:val="2E0D84EE"/>
    <w:rsid w:val="2E0FC2DC"/>
    <w:rsid w:val="2E142485"/>
    <w:rsid w:val="2E20F6DC"/>
    <w:rsid w:val="2E2A75C6"/>
    <w:rsid w:val="2E2B41A3"/>
    <w:rsid w:val="2E48DCBC"/>
    <w:rsid w:val="2E91662D"/>
    <w:rsid w:val="2E9E5FEC"/>
    <w:rsid w:val="2EAB4961"/>
    <w:rsid w:val="2EB74072"/>
    <w:rsid w:val="2ED4DE8B"/>
    <w:rsid w:val="2EDBB251"/>
    <w:rsid w:val="2F26D151"/>
    <w:rsid w:val="2F63F0E5"/>
    <w:rsid w:val="2FA50778"/>
    <w:rsid w:val="2FB866E3"/>
    <w:rsid w:val="2FF54F89"/>
    <w:rsid w:val="3000316C"/>
    <w:rsid w:val="3022B952"/>
    <w:rsid w:val="302991AA"/>
    <w:rsid w:val="302A7D2B"/>
    <w:rsid w:val="303DCD3A"/>
    <w:rsid w:val="306C5D8A"/>
    <w:rsid w:val="3087E119"/>
    <w:rsid w:val="30C8B8E6"/>
    <w:rsid w:val="30D4F45B"/>
    <w:rsid w:val="30DE83D1"/>
    <w:rsid w:val="30EDC66A"/>
    <w:rsid w:val="310293ED"/>
    <w:rsid w:val="311D53FE"/>
    <w:rsid w:val="31507842"/>
    <w:rsid w:val="31562B65"/>
    <w:rsid w:val="316C2B99"/>
    <w:rsid w:val="318F4452"/>
    <w:rsid w:val="31D1C958"/>
    <w:rsid w:val="31DAD19E"/>
    <w:rsid w:val="31E252AB"/>
    <w:rsid w:val="31EB8183"/>
    <w:rsid w:val="31F3C0AF"/>
    <w:rsid w:val="32150DE8"/>
    <w:rsid w:val="3220BE31"/>
    <w:rsid w:val="3228EEA0"/>
    <w:rsid w:val="324EDEB1"/>
    <w:rsid w:val="3255C0F1"/>
    <w:rsid w:val="326061EE"/>
    <w:rsid w:val="3265B520"/>
    <w:rsid w:val="3274D5FB"/>
    <w:rsid w:val="328BDA39"/>
    <w:rsid w:val="329CFD0D"/>
    <w:rsid w:val="32CFBC0B"/>
    <w:rsid w:val="32E7C879"/>
    <w:rsid w:val="32EBB6C8"/>
    <w:rsid w:val="334586D4"/>
    <w:rsid w:val="335C959C"/>
    <w:rsid w:val="335DC919"/>
    <w:rsid w:val="3368EC82"/>
    <w:rsid w:val="3378C17B"/>
    <w:rsid w:val="33C65486"/>
    <w:rsid w:val="33CA6F6A"/>
    <w:rsid w:val="340C3493"/>
    <w:rsid w:val="34167EFE"/>
    <w:rsid w:val="342138A8"/>
    <w:rsid w:val="34A3183D"/>
    <w:rsid w:val="34CAD590"/>
    <w:rsid w:val="34D6C342"/>
    <w:rsid w:val="34E5D30A"/>
    <w:rsid w:val="34EE89DE"/>
    <w:rsid w:val="3505CC03"/>
    <w:rsid w:val="350DA58D"/>
    <w:rsid w:val="351D19ED"/>
    <w:rsid w:val="3558B9F5"/>
    <w:rsid w:val="3562D365"/>
    <w:rsid w:val="3586FA83"/>
    <w:rsid w:val="35A601C8"/>
    <w:rsid w:val="35ACB426"/>
    <w:rsid w:val="35BAF6AD"/>
    <w:rsid w:val="35E45046"/>
    <w:rsid w:val="360F0047"/>
    <w:rsid w:val="36163ABF"/>
    <w:rsid w:val="361A7AAF"/>
    <w:rsid w:val="361E2DC5"/>
    <w:rsid w:val="3636B146"/>
    <w:rsid w:val="3645A05D"/>
    <w:rsid w:val="3647D6A4"/>
    <w:rsid w:val="364BCF45"/>
    <w:rsid w:val="367A802E"/>
    <w:rsid w:val="36A0E846"/>
    <w:rsid w:val="36C3AC78"/>
    <w:rsid w:val="36D56CB9"/>
    <w:rsid w:val="36EF0F8C"/>
    <w:rsid w:val="36FE46EE"/>
    <w:rsid w:val="371A63A8"/>
    <w:rsid w:val="3787C04B"/>
    <w:rsid w:val="378B94D0"/>
    <w:rsid w:val="379E958A"/>
    <w:rsid w:val="37AD7799"/>
    <w:rsid w:val="37BD2A10"/>
    <w:rsid w:val="37CABA93"/>
    <w:rsid w:val="37F98DA8"/>
    <w:rsid w:val="3813509F"/>
    <w:rsid w:val="381534A0"/>
    <w:rsid w:val="3857AB11"/>
    <w:rsid w:val="38740955"/>
    <w:rsid w:val="387AD9E2"/>
    <w:rsid w:val="38916BB2"/>
    <w:rsid w:val="38C618B2"/>
    <w:rsid w:val="38D7AF86"/>
    <w:rsid w:val="38E143E5"/>
    <w:rsid w:val="38ECEF16"/>
    <w:rsid w:val="39031DFE"/>
    <w:rsid w:val="3911D873"/>
    <w:rsid w:val="39243703"/>
    <w:rsid w:val="3925CC47"/>
    <w:rsid w:val="393F9507"/>
    <w:rsid w:val="39536ACB"/>
    <w:rsid w:val="396C9289"/>
    <w:rsid w:val="397EDB8D"/>
    <w:rsid w:val="3999C2DC"/>
    <w:rsid w:val="39CB865A"/>
    <w:rsid w:val="3A042F69"/>
    <w:rsid w:val="3A0852B6"/>
    <w:rsid w:val="3A2F3F15"/>
    <w:rsid w:val="3A445BE3"/>
    <w:rsid w:val="3AA2F601"/>
    <w:rsid w:val="3ADBCA0F"/>
    <w:rsid w:val="3AE6B729"/>
    <w:rsid w:val="3AE88791"/>
    <w:rsid w:val="3B01B850"/>
    <w:rsid w:val="3B028750"/>
    <w:rsid w:val="3B46D7E5"/>
    <w:rsid w:val="3B6F7CEE"/>
    <w:rsid w:val="3BA7BA7F"/>
    <w:rsid w:val="3BACE971"/>
    <w:rsid w:val="3BC15896"/>
    <w:rsid w:val="3BFBF8E9"/>
    <w:rsid w:val="3C1B1055"/>
    <w:rsid w:val="3C31A801"/>
    <w:rsid w:val="3C353F69"/>
    <w:rsid w:val="3C391A3E"/>
    <w:rsid w:val="3C7406C2"/>
    <w:rsid w:val="3C799EE0"/>
    <w:rsid w:val="3C837359"/>
    <w:rsid w:val="3D10149A"/>
    <w:rsid w:val="3D23D75D"/>
    <w:rsid w:val="3D35E8C3"/>
    <w:rsid w:val="3D8D8078"/>
    <w:rsid w:val="3D95626B"/>
    <w:rsid w:val="3DA2867B"/>
    <w:rsid w:val="3DA73F52"/>
    <w:rsid w:val="3DFFA0E3"/>
    <w:rsid w:val="3E1945FB"/>
    <w:rsid w:val="3E26A979"/>
    <w:rsid w:val="3E2A9827"/>
    <w:rsid w:val="3E2BACD4"/>
    <w:rsid w:val="3E4EF2B1"/>
    <w:rsid w:val="3E65AC1B"/>
    <w:rsid w:val="3E67E83D"/>
    <w:rsid w:val="3EBC7559"/>
    <w:rsid w:val="3EC0B63F"/>
    <w:rsid w:val="3ED5BA06"/>
    <w:rsid w:val="3EE1EAF7"/>
    <w:rsid w:val="3EF33105"/>
    <w:rsid w:val="3EFBEDB5"/>
    <w:rsid w:val="3F2E9783"/>
    <w:rsid w:val="3F3ADFFA"/>
    <w:rsid w:val="3F476A8D"/>
    <w:rsid w:val="3F4F5679"/>
    <w:rsid w:val="3F92AF39"/>
    <w:rsid w:val="3FA8AB50"/>
    <w:rsid w:val="3FADED6D"/>
    <w:rsid w:val="3FB5C796"/>
    <w:rsid w:val="3FB7EDE9"/>
    <w:rsid w:val="3FCBFAF7"/>
    <w:rsid w:val="3FD31DD8"/>
    <w:rsid w:val="40118902"/>
    <w:rsid w:val="40303B4E"/>
    <w:rsid w:val="40343CE2"/>
    <w:rsid w:val="403ADD4F"/>
    <w:rsid w:val="4040DFA8"/>
    <w:rsid w:val="4041DBC7"/>
    <w:rsid w:val="4058A59E"/>
    <w:rsid w:val="409488C4"/>
    <w:rsid w:val="40B17770"/>
    <w:rsid w:val="40E6747E"/>
    <w:rsid w:val="40E8BF5D"/>
    <w:rsid w:val="40EA1C06"/>
    <w:rsid w:val="40F1170A"/>
    <w:rsid w:val="40FD90A1"/>
    <w:rsid w:val="410F422D"/>
    <w:rsid w:val="413AAC18"/>
    <w:rsid w:val="4143DFAC"/>
    <w:rsid w:val="4157BE76"/>
    <w:rsid w:val="416D2410"/>
    <w:rsid w:val="4179DEB8"/>
    <w:rsid w:val="417B5EF7"/>
    <w:rsid w:val="4187C263"/>
    <w:rsid w:val="4199839F"/>
    <w:rsid w:val="41BD1CAA"/>
    <w:rsid w:val="41CF432C"/>
    <w:rsid w:val="41DC6580"/>
    <w:rsid w:val="41F2C668"/>
    <w:rsid w:val="4207B761"/>
    <w:rsid w:val="420E7705"/>
    <w:rsid w:val="4218F441"/>
    <w:rsid w:val="422978CB"/>
    <w:rsid w:val="4229E441"/>
    <w:rsid w:val="422DF856"/>
    <w:rsid w:val="42301F48"/>
    <w:rsid w:val="42341F74"/>
    <w:rsid w:val="423D3B8E"/>
    <w:rsid w:val="4263F090"/>
    <w:rsid w:val="427B9C74"/>
    <w:rsid w:val="427BCF45"/>
    <w:rsid w:val="42B07151"/>
    <w:rsid w:val="42B67276"/>
    <w:rsid w:val="42C35F8F"/>
    <w:rsid w:val="42C59536"/>
    <w:rsid w:val="4318F93E"/>
    <w:rsid w:val="431AD158"/>
    <w:rsid w:val="431C5E74"/>
    <w:rsid w:val="43343047"/>
    <w:rsid w:val="436FC40E"/>
    <w:rsid w:val="438C4F14"/>
    <w:rsid w:val="43B38C0D"/>
    <w:rsid w:val="43C0C63C"/>
    <w:rsid w:val="43CE30E3"/>
    <w:rsid w:val="43D111E0"/>
    <w:rsid w:val="43E81BB7"/>
    <w:rsid w:val="43EEA77C"/>
    <w:rsid w:val="43FF83B3"/>
    <w:rsid w:val="4408020B"/>
    <w:rsid w:val="44102BA3"/>
    <w:rsid w:val="441CD34F"/>
    <w:rsid w:val="4434FF8D"/>
    <w:rsid w:val="443A8ED7"/>
    <w:rsid w:val="4468E2E3"/>
    <w:rsid w:val="44696523"/>
    <w:rsid w:val="448CB63C"/>
    <w:rsid w:val="449B43B5"/>
    <w:rsid w:val="44B33D22"/>
    <w:rsid w:val="44B841D6"/>
    <w:rsid w:val="44D69249"/>
    <w:rsid w:val="45084415"/>
    <w:rsid w:val="455D8CBD"/>
    <w:rsid w:val="4576D3EF"/>
    <w:rsid w:val="4595C6AE"/>
    <w:rsid w:val="45A0463B"/>
    <w:rsid w:val="45C29514"/>
    <w:rsid w:val="45CBE44C"/>
    <w:rsid w:val="45D81A69"/>
    <w:rsid w:val="461C0001"/>
    <w:rsid w:val="4635F85C"/>
    <w:rsid w:val="465ABCD1"/>
    <w:rsid w:val="46643BAF"/>
    <w:rsid w:val="46A12694"/>
    <w:rsid w:val="46AE400C"/>
    <w:rsid w:val="46B4EAA6"/>
    <w:rsid w:val="4709F8B3"/>
    <w:rsid w:val="4715FE4F"/>
    <w:rsid w:val="47219AF5"/>
    <w:rsid w:val="4738B166"/>
    <w:rsid w:val="4750AAD3"/>
    <w:rsid w:val="476F5DBE"/>
    <w:rsid w:val="47743B34"/>
    <w:rsid w:val="479DC799"/>
    <w:rsid w:val="47BB8282"/>
    <w:rsid w:val="47E2811F"/>
    <w:rsid w:val="47E4CDE4"/>
    <w:rsid w:val="47F5A414"/>
    <w:rsid w:val="4800E2D4"/>
    <w:rsid w:val="4842869B"/>
    <w:rsid w:val="486A2071"/>
    <w:rsid w:val="48905104"/>
    <w:rsid w:val="489B8943"/>
    <w:rsid w:val="48D0C321"/>
    <w:rsid w:val="48E8BC8E"/>
    <w:rsid w:val="491978B6"/>
    <w:rsid w:val="49278C5F"/>
    <w:rsid w:val="49384472"/>
    <w:rsid w:val="4941EA27"/>
    <w:rsid w:val="49682D30"/>
    <w:rsid w:val="498C4883"/>
    <w:rsid w:val="498E23D8"/>
    <w:rsid w:val="4995C2C9"/>
    <w:rsid w:val="499E9C9B"/>
    <w:rsid w:val="4A3F1189"/>
    <w:rsid w:val="4A68C627"/>
    <w:rsid w:val="4A6C1198"/>
    <w:rsid w:val="4A8390D0"/>
    <w:rsid w:val="4A87B41D"/>
    <w:rsid w:val="4A8BF42F"/>
    <w:rsid w:val="4A97D212"/>
    <w:rsid w:val="4AB7C964"/>
    <w:rsid w:val="4AC385EC"/>
    <w:rsid w:val="4AF2667C"/>
    <w:rsid w:val="4B0B7ADD"/>
    <w:rsid w:val="4B3C743A"/>
    <w:rsid w:val="4B43984A"/>
    <w:rsid w:val="4B6E015A"/>
    <w:rsid w:val="4B82635F"/>
    <w:rsid w:val="4B92E43C"/>
    <w:rsid w:val="4BA0F157"/>
    <w:rsid w:val="4BA1AD52"/>
    <w:rsid w:val="4BD7CFF4"/>
    <w:rsid w:val="4C43DA54"/>
    <w:rsid w:val="4C60D2FA"/>
    <w:rsid w:val="4C64434C"/>
    <w:rsid w:val="4C769A4D"/>
    <w:rsid w:val="4C843E18"/>
    <w:rsid w:val="4C9942CC"/>
    <w:rsid w:val="4CB6B423"/>
    <w:rsid w:val="4CD37F72"/>
    <w:rsid w:val="4D012E0D"/>
    <w:rsid w:val="4D31A8FA"/>
    <w:rsid w:val="4D8410E3"/>
    <w:rsid w:val="4D8ACB5C"/>
    <w:rsid w:val="4DD54C69"/>
    <w:rsid w:val="4DF9CF8D"/>
    <w:rsid w:val="4E0E10CF"/>
    <w:rsid w:val="4E32EEF5"/>
    <w:rsid w:val="4E419A16"/>
    <w:rsid w:val="4E55B92A"/>
    <w:rsid w:val="4E6FB47A"/>
    <w:rsid w:val="4EB451F9"/>
    <w:rsid w:val="4EB81000"/>
    <w:rsid w:val="4EC3526D"/>
    <w:rsid w:val="4F3914D8"/>
    <w:rsid w:val="4F406A47"/>
    <w:rsid w:val="4F74B8BF"/>
    <w:rsid w:val="4F8AA62C"/>
    <w:rsid w:val="4FA7507F"/>
    <w:rsid w:val="4FAF1C8E"/>
    <w:rsid w:val="4FBB7A33"/>
    <w:rsid w:val="4FCBCBEC"/>
    <w:rsid w:val="5013AECF"/>
    <w:rsid w:val="50204D75"/>
    <w:rsid w:val="502C0D82"/>
    <w:rsid w:val="50C8A86C"/>
    <w:rsid w:val="50E3C230"/>
    <w:rsid w:val="510C286A"/>
    <w:rsid w:val="517D57AA"/>
    <w:rsid w:val="518415E4"/>
    <w:rsid w:val="5187DF22"/>
    <w:rsid w:val="5191F185"/>
    <w:rsid w:val="51A6CFD2"/>
    <w:rsid w:val="51AD17B3"/>
    <w:rsid w:val="51B13B00"/>
    <w:rsid w:val="5201046E"/>
    <w:rsid w:val="5250CFA2"/>
    <w:rsid w:val="5253918A"/>
    <w:rsid w:val="527B4AEA"/>
    <w:rsid w:val="52C77A1C"/>
    <w:rsid w:val="52E353E5"/>
    <w:rsid w:val="5311D1FD"/>
    <w:rsid w:val="532446FB"/>
    <w:rsid w:val="5329FE3B"/>
    <w:rsid w:val="53396E8D"/>
    <w:rsid w:val="53683277"/>
    <w:rsid w:val="5381AD3B"/>
    <w:rsid w:val="53907534"/>
    <w:rsid w:val="539B9841"/>
    <w:rsid w:val="53AA98B5"/>
    <w:rsid w:val="53BEFF3B"/>
    <w:rsid w:val="53CA1A06"/>
    <w:rsid w:val="53E97EB1"/>
    <w:rsid w:val="53F855CC"/>
    <w:rsid w:val="53FC1472"/>
    <w:rsid w:val="540DC55F"/>
    <w:rsid w:val="54153C30"/>
    <w:rsid w:val="54426C83"/>
    <w:rsid w:val="5452417C"/>
    <w:rsid w:val="545A331F"/>
    <w:rsid w:val="54626B2E"/>
    <w:rsid w:val="54798CD6"/>
    <w:rsid w:val="5486F5A7"/>
    <w:rsid w:val="549379C5"/>
    <w:rsid w:val="5494B40E"/>
    <w:rsid w:val="54B84D53"/>
    <w:rsid w:val="552CE7A5"/>
    <w:rsid w:val="5545D6B6"/>
    <w:rsid w:val="556C7A49"/>
    <w:rsid w:val="5572D438"/>
    <w:rsid w:val="5590B451"/>
    <w:rsid w:val="55B46690"/>
    <w:rsid w:val="55C5B27A"/>
    <w:rsid w:val="55C638DF"/>
    <w:rsid w:val="55F21209"/>
    <w:rsid w:val="561F1701"/>
    <w:rsid w:val="5624693E"/>
    <w:rsid w:val="564951FC"/>
    <w:rsid w:val="566FE47C"/>
    <w:rsid w:val="567AD738"/>
    <w:rsid w:val="56A98B03"/>
    <w:rsid w:val="56E8AA84"/>
    <w:rsid w:val="56EEE0BE"/>
    <w:rsid w:val="57074E8B"/>
    <w:rsid w:val="57117A21"/>
    <w:rsid w:val="571A5909"/>
    <w:rsid w:val="572DD04E"/>
    <w:rsid w:val="5745FF87"/>
    <w:rsid w:val="574D857D"/>
    <w:rsid w:val="57B1FDBD"/>
    <w:rsid w:val="57B8804B"/>
    <w:rsid w:val="57C6E71A"/>
    <w:rsid w:val="57D0FF0A"/>
    <w:rsid w:val="57D8C989"/>
    <w:rsid w:val="57FBE603"/>
    <w:rsid w:val="5837E911"/>
    <w:rsid w:val="584DABDC"/>
    <w:rsid w:val="586396ED"/>
    <w:rsid w:val="588596D4"/>
    <w:rsid w:val="58A4668F"/>
    <w:rsid w:val="58B65977"/>
    <w:rsid w:val="58BE5195"/>
    <w:rsid w:val="58F13C8D"/>
    <w:rsid w:val="59540B67"/>
    <w:rsid w:val="5982B24F"/>
    <w:rsid w:val="599F98B3"/>
    <w:rsid w:val="59A6EDC6"/>
    <w:rsid w:val="59B01B4F"/>
    <w:rsid w:val="59CC9635"/>
    <w:rsid w:val="59D910BA"/>
    <w:rsid w:val="59E5CFA5"/>
    <w:rsid w:val="59F49B89"/>
    <w:rsid w:val="5A0062BB"/>
    <w:rsid w:val="5A1D55D4"/>
    <w:rsid w:val="5A2782C0"/>
    <w:rsid w:val="5A2A27A7"/>
    <w:rsid w:val="5A3EBD77"/>
    <w:rsid w:val="5A6C79AF"/>
    <w:rsid w:val="5A92F8D0"/>
    <w:rsid w:val="5A936EA7"/>
    <w:rsid w:val="5AA2B140"/>
    <w:rsid w:val="5AA7FAB8"/>
    <w:rsid w:val="5AAA6330"/>
    <w:rsid w:val="5AC21E95"/>
    <w:rsid w:val="5AD0D9DE"/>
    <w:rsid w:val="5AD3F0E4"/>
    <w:rsid w:val="5ADBDEC1"/>
    <w:rsid w:val="5AF63B37"/>
    <w:rsid w:val="5AF9D29F"/>
    <w:rsid w:val="5B0067CE"/>
    <w:rsid w:val="5B2ABA22"/>
    <w:rsid w:val="5B4205EC"/>
    <w:rsid w:val="5B7C6E8C"/>
    <w:rsid w:val="5B8E40DB"/>
    <w:rsid w:val="5BA7C9C2"/>
    <w:rsid w:val="5BAFCC78"/>
    <w:rsid w:val="5BCBF4FC"/>
    <w:rsid w:val="5BE228BD"/>
    <w:rsid w:val="5C06C1B0"/>
    <w:rsid w:val="5C37C8BD"/>
    <w:rsid w:val="5C3AE26F"/>
    <w:rsid w:val="5C496196"/>
    <w:rsid w:val="5C4CB5F4"/>
    <w:rsid w:val="5C546F73"/>
    <w:rsid w:val="5C617BC6"/>
    <w:rsid w:val="5C843A14"/>
    <w:rsid w:val="5C95FD0F"/>
    <w:rsid w:val="5CEBD8E3"/>
    <w:rsid w:val="5CFFBC3A"/>
    <w:rsid w:val="5D039F7F"/>
    <w:rsid w:val="5D15A49F"/>
    <w:rsid w:val="5D194E0D"/>
    <w:rsid w:val="5D1E66AA"/>
    <w:rsid w:val="5D21A03A"/>
    <w:rsid w:val="5D23E9BE"/>
    <w:rsid w:val="5D818400"/>
    <w:rsid w:val="5D88D913"/>
    <w:rsid w:val="5DA4FB3F"/>
    <w:rsid w:val="5DAA832B"/>
    <w:rsid w:val="5DB73856"/>
    <w:rsid w:val="5DEF1045"/>
    <w:rsid w:val="5E24666F"/>
    <w:rsid w:val="5E343A05"/>
    <w:rsid w:val="5E40B5FA"/>
    <w:rsid w:val="5E5C852B"/>
    <w:rsid w:val="5E5FF9E2"/>
    <w:rsid w:val="5E81FAC9"/>
    <w:rsid w:val="5E8980BF"/>
    <w:rsid w:val="5EA33501"/>
    <w:rsid w:val="5EB078E1"/>
    <w:rsid w:val="5EB8C5F6"/>
    <w:rsid w:val="5EC28F14"/>
    <w:rsid w:val="5EF50A2E"/>
    <w:rsid w:val="5EF86EC5"/>
    <w:rsid w:val="5F0700C0"/>
    <w:rsid w:val="5F1437EB"/>
    <w:rsid w:val="5F1B2952"/>
    <w:rsid w:val="5F226D52"/>
    <w:rsid w:val="5F8DD79E"/>
    <w:rsid w:val="5FB6E209"/>
    <w:rsid w:val="5FC4C380"/>
    <w:rsid w:val="5FD936F4"/>
    <w:rsid w:val="5FDDEB3E"/>
    <w:rsid w:val="5FE96FD0"/>
    <w:rsid w:val="5FF2B2E5"/>
    <w:rsid w:val="6020C5A3"/>
    <w:rsid w:val="606EFBFD"/>
    <w:rsid w:val="6081147A"/>
    <w:rsid w:val="609E8EE1"/>
    <w:rsid w:val="60A8911A"/>
    <w:rsid w:val="60B0F358"/>
    <w:rsid w:val="60B457EF"/>
    <w:rsid w:val="60C8CC02"/>
    <w:rsid w:val="60DBCC46"/>
    <w:rsid w:val="60E29574"/>
    <w:rsid w:val="60F94EDE"/>
    <w:rsid w:val="610B212D"/>
    <w:rsid w:val="614BC1FE"/>
    <w:rsid w:val="614FE54B"/>
    <w:rsid w:val="615731B4"/>
    <w:rsid w:val="618617F6"/>
    <w:rsid w:val="618A91CF"/>
    <w:rsid w:val="61F4CC2A"/>
    <w:rsid w:val="6206446A"/>
    <w:rsid w:val="62328068"/>
    <w:rsid w:val="62376539"/>
    <w:rsid w:val="62471350"/>
    <w:rsid w:val="625AB88D"/>
    <w:rsid w:val="6279A818"/>
    <w:rsid w:val="6297AAD8"/>
    <w:rsid w:val="62A7D48A"/>
    <w:rsid w:val="62C05DCF"/>
    <w:rsid w:val="62C672DF"/>
    <w:rsid w:val="630413C0"/>
    <w:rsid w:val="6321ADE6"/>
    <w:rsid w:val="63288922"/>
    <w:rsid w:val="632E05D2"/>
    <w:rsid w:val="633E6CB0"/>
    <w:rsid w:val="634C3C75"/>
    <w:rsid w:val="637C6220"/>
    <w:rsid w:val="63A66A4A"/>
    <w:rsid w:val="63B7A104"/>
    <w:rsid w:val="63E47748"/>
    <w:rsid w:val="6436211A"/>
    <w:rsid w:val="6437F30D"/>
    <w:rsid w:val="644FA6A8"/>
    <w:rsid w:val="6463CC71"/>
    <w:rsid w:val="6464DD8E"/>
    <w:rsid w:val="649DE7C6"/>
    <w:rsid w:val="64C28CA0"/>
    <w:rsid w:val="64CA05F9"/>
    <w:rsid w:val="64D2E127"/>
    <w:rsid w:val="64E097F3"/>
    <w:rsid w:val="65034F2D"/>
    <w:rsid w:val="650BBCAB"/>
    <w:rsid w:val="6537B2D7"/>
    <w:rsid w:val="653D6BA9"/>
    <w:rsid w:val="654A2831"/>
    <w:rsid w:val="65530736"/>
    <w:rsid w:val="656F51D4"/>
    <w:rsid w:val="65713166"/>
    <w:rsid w:val="65898A62"/>
    <w:rsid w:val="65A9B956"/>
    <w:rsid w:val="65CD90C5"/>
    <w:rsid w:val="65D90DE1"/>
    <w:rsid w:val="65D9F143"/>
    <w:rsid w:val="66297D8C"/>
    <w:rsid w:val="6630DDD6"/>
    <w:rsid w:val="6631ADFB"/>
    <w:rsid w:val="66380E8F"/>
    <w:rsid w:val="6639CE3F"/>
    <w:rsid w:val="664B2878"/>
    <w:rsid w:val="669BA4CE"/>
    <w:rsid w:val="66ABF499"/>
    <w:rsid w:val="66D16C25"/>
    <w:rsid w:val="66E930D3"/>
    <w:rsid w:val="66EA8701"/>
    <w:rsid w:val="671D3B67"/>
    <w:rsid w:val="67261D39"/>
    <w:rsid w:val="67327709"/>
    <w:rsid w:val="67AFC373"/>
    <w:rsid w:val="67BED33B"/>
    <w:rsid w:val="681825B4"/>
    <w:rsid w:val="68B2FD71"/>
    <w:rsid w:val="68C8E9F6"/>
    <w:rsid w:val="68CEE2F6"/>
    <w:rsid w:val="68D233CF"/>
    <w:rsid w:val="68DAEAF9"/>
    <w:rsid w:val="68E447FA"/>
    <w:rsid w:val="68EEC01E"/>
    <w:rsid w:val="68EF5BF2"/>
    <w:rsid w:val="69095895"/>
    <w:rsid w:val="6922789E"/>
    <w:rsid w:val="695375C7"/>
    <w:rsid w:val="6967E720"/>
    <w:rsid w:val="696A7DAD"/>
    <w:rsid w:val="698ED15C"/>
    <w:rsid w:val="6994231E"/>
    <w:rsid w:val="69B5C7B4"/>
    <w:rsid w:val="69BBA632"/>
    <w:rsid w:val="69CC9231"/>
    <w:rsid w:val="69D87776"/>
    <w:rsid w:val="69D9CC3D"/>
    <w:rsid w:val="69DE3886"/>
    <w:rsid w:val="69E44D96"/>
    <w:rsid w:val="6A08A652"/>
    <w:rsid w:val="6A251D1B"/>
    <w:rsid w:val="6A2CA4FF"/>
    <w:rsid w:val="6A4ECB36"/>
    <w:rsid w:val="6A53E00A"/>
    <w:rsid w:val="6A5A9918"/>
    <w:rsid w:val="6A81EFD6"/>
    <w:rsid w:val="6A92035D"/>
    <w:rsid w:val="6AC0BE71"/>
    <w:rsid w:val="6ACF96C2"/>
    <w:rsid w:val="6AF264E6"/>
    <w:rsid w:val="6B3AE8DD"/>
    <w:rsid w:val="6B4F2EFE"/>
    <w:rsid w:val="6B5588ED"/>
    <w:rsid w:val="6B7EFA3E"/>
    <w:rsid w:val="6BA65DDE"/>
    <w:rsid w:val="6BB49EFA"/>
    <w:rsid w:val="6BD6BDD6"/>
    <w:rsid w:val="6C17E890"/>
    <w:rsid w:val="6C1F7491"/>
    <w:rsid w:val="6C44CB5A"/>
    <w:rsid w:val="6C474E8A"/>
    <w:rsid w:val="6C79A266"/>
    <w:rsid w:val="6C88AE11"/>
    <w:rsid w:val="6C930EA7"/>
    <w:rsid w:val="6CBA4337"/>
    <w:rsid w:val="6CC5CF93"/>
    <w:rsid w:val="6CC7C6DE"/>
    <w:rsid w:val="6CFD97DA"/>
    <w:rsid w:val="6D19EC75"/>
    <w:rsid w:val="6D26435B"/>
    <w:rsid w:val="6D301F7A"/>
    <w:rsid w:val="6D77493A"/>
    <w:rsid w:val="6D9B3E37"/>
    <w:rsid w:val="6DC7A441"/>
    <w:rsid w:val="6DF04CA0"/>
    <w:rsid w:val="6DF76638"/>
    <w:rsid w:val="6E00B650"/>
    <w:rsid w:val="6E01020D"/>
    <w:rsid w:val="6E174466"/>
    <w:rsid w:val="6E74CB3F"/>
    <w:rsid w:val="6E941A1B"/>
    <w:rsid w:val="6EF2D233"/>
    <w:rsid w:val="6F001A3F"/>
    <w:rsid w:val="6F120541"/>
    <w:rsid w:val="6F1813AC"/>
    <w:rsid w:val="6F1E6D3F"/>
    <w:rsid w:val="6F6C8EAA"/>
    <w:rsid w:val="6FA9569D"/>
    <w:rsid w:val="6FD32259"/>
    <w:rsid w:val="6FFD02AE"/>
    <w:rsid w:val="701B7DDF"/>
    <w:rsid w:val="703044DA"/>
    <w:rsid w:val="70487B61"/>
    <w:rsid w:val="705A1ADF"/>
    <w:rsid w:val="706000C9"/>
    <w:rsid w:val="706057B8"/>
    <w:rsid w:val="706AA26D"/>
    <w:rsid w:val="706F1EF4"/>
    <w:rsid w:val="707E2A9F"/>
    <w:rsid w:val="708A1434"/>
    <w:rsid w:val="70949492"/>
    <w:rsid w:val="70C9F742"/>
    <w:rsid w:val="70E9B116"/>
    <w:rsid w:val="70F4E568"/>
    <w:rsid w:val="70FEE2C2"/>
    <w:rsid w:val="710FA3F6"/>
    <w:rsid w:val="71188A06"/>
    <w:rsid w:val="711F909D"/>
    <w:rsid w:val="713AD1FB"/>
    <w:rsid w:val="714BE594"/>
    <w:rsid w:val="71A9D114"/>
    <w:rsid w:val="71D03A27"/>
    <w:rsid w:val="71E83821"/>
    <w:rsid w:val="72016B16"/>
    <w:rsid w:val="723C86D9"/>
    <w:rsid w:val="72580183"/>
    <w:rsid w:val="726F3FFB"/>
    <w:rsid w:val="726FFAF0"/>
    <w:rsid w:val="727F20E3"/>
    <w:rsid w:val="72A8D9A6"/>
    <w:rsid w:val="72CB4C7A"/>
    <w:rsid w:val="72F58CB7"/>
    <w:rsid w:val="731EC6F4"/>
    <w:rsid w:val="734453B0"/>
    <w:rsid w:val="734B8A9E"/>
    <w:rsid w:val="736D5430"/>
    <w:rsid w:val="7391200C"/>
    <w:rsid w:val="73A62421"/>
    <w:rsid w:val="73AB9AB2"/>
    <w:rsid w:val="73C89EE7"/>
    <w:rsid w:val="740B837A"/>
    <w:rsid w:val="743161B2"/>
    <w:rsid w:val="743F9FD0"/>
    <w:rsid w:val="7450D194"/>
    <w:rsid w:val="74663014"/>
    <w:rsid w:val="7484FFCF"/>
    <w:rsid w:val="749199A3"/>
    <w:rsid w:val="74AAB181"/>
    <w:rsid w:val="74D07CD1"/>
    <w:rsid w:val="74DCB711"/>
    <w:rsid w:val="75260001"/>
    <w:rsid w:val="753B4B64"/>
    <w:rsid w:val="753EF58D"/>
    <w:rsid w:val="759B2A55"/>
    <w:rsid w:val="75CCDE7F"/>
    <w:rsid w:val="7616F556"/>
    <w:rsid w:val="764A839A"/>
    <w:rsid w:val="765CA404"/>
    <w:rsid w:val="7668776E"/>
    <w:rsid w:val="7684C5FE"/>
    <w:rsid w:val="769E6DF8"/>
    <w:rsid w:val="76A955A8"/>
    <w:rsid w:val="76C12D47"/>
    <w:rsid w:val="76EE08B3"/>
    <w:rsid w:val="77547FAC"/>
    <w:rsid w:val="7794828A"/>
    <w:rsid w:val="77BFB9A4"/>
    <w:rsid w:val="77C748FE"/>
    <w:rsid w:val="77E6F5AA"/>
    <w:rsid w:val="7808DF17"/>
    <w:rsid w:val="780A3A0D"/>
    <w:rsid w:val="7825C61A"/>
    <w:rsid w:val="785531F0"/>
    <w:rsid w:val="78886DAE"/>
    <w:rsid w:val="78ACBE01"/>
    <w:rsid w:val="78AEE9AF"/>
    <w:rsid w:val="79047F41"/>
    <w:rsid w:val="7908800C"/>
    <w:rsid w:val="790AA0D7"/>
    <w:rsid w:val="790C81F7"/>
    <w:rsid w:val="792B2E67"/>
    <w:rsid w:val="796A09CB"/>
    <w:rsid w:val="798C2758"/>
    <w:rsid w:val="79C58DCE"/>
    <w:rsid w:val="79CE7B34"/>
    <w:rsid w:val="79DD25B6"/>
    <w:rsid w:val="79E76B4E"/>
    <w:rsid w:val="7A0C1C15"/>
    <w:rsid w:val="7A24F22D"/>
    <w:rsid w:val="7A32C0FF"/>
    <w:rsid w:val="7A44934E"/>
    <w:rsid w:val="7A5FC69C"/>
    <w:rsid w:val="7A76C14F"/>
    <w:rsid w:val="7A8694E5"/>
    <w:rsid w:val="7A98C7BE"/>
    <w:rsid w:val="7B0637FC"/>
    <w:rsid w:val="7B15B43D"/>
    <w:rsid w:val="7B197337"/>
    <w:rsid w:val="7B37318D"/>
    <w:rsid w:val="7B38607D"/>
    <w:rsid w:val="7B4053DF"/>
    <w:rsid w:val="7B760FD5"/>
    <w:rsid w:val="7B89FF18"/>
    <w:rsid w:val="7B92E3A5"/>
    <w:rsid w:val="7B9416B2"/>
    <w:rsid w:val="7B987807"/>
    <w:rsid w:val="7C37CEA1"/>
    <w:rsid w:val="7C3C68FF"/>
    <w:rsid w:val="7C435294"/>
    <w:rsid w:val="7C56FDAD"/>
    <w:rsid w:val="7C5CD461"/>
    <w:rsid w:val="7C5ED832"/>
    <w:rsid w:val="7C95E3A9"/>
    <w:rsid w:val="7C963320"/>
    <w:rsid w:val="7CA8C6F3"/>
    <w:rsid w:val="7CC5DB10"/>
    <w:rsid w:val="7CD650B6"/>
    <w:rsid w:val="7CDE9EC6"/>
    <w:rsid w:val="7D0923B0"/>
    <w:rsid w:val="7D2A8621"/>
    <w:rsid w:val="7D493546"/>
    <w:rsid w:val="7D4E3557"/>
    <w:rsid w:val="7D592FD7"/>
    <w:rsid w:val="7D6515FF"/>
    <w:rsid w:val="7D73631E"/>
    <w:rsid w:val="7D7998C7"/>
    <w:rsid w:val="7D7B92F3"/>
    <w:rsid w:val="7D81546F"/>
    <w:rsid w:val="7D88DA12"/>
    <w:rsid w:val="7DB6491C"/>
    <w:rsid w:val="7DC089E2"/>
    <w:rsid w:val="7DC982AC"/>
    <w:rsid w:val="7E248562"/>
    <w:rsid w:val="7E6F6606"/>
    <w:rsid w:val="7E829DD7"/>
    <w:rsid w:val="7E8EEB18"/>
    <w:rsid w:val="7EDC083A"/>
    <w:rsid w:val="7F14DD43"/>
    <w:rsid w:val="7F2516E3"/>
    <w:rsid w:val="7F631B5F"/>
    <w:rsid w:val="7F88765E"/>
    <w:rsid w:val="7F892F38"/>
    <w:rsid w:val="7F8E2843"/>
    <w:rsid w:val="7F978DC6"/>
    <w:rsid w:val="7FAC79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80D9E6"/>
  <w15:docId w15:val="{13EB81F8-D84C-4F31-A944-4C87901B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entury Gothic" w:hAnsiTheme="minorHAnsi" w:cstheme="minorBidi"/>
        <w:lang w:val="en-AU" w:eastAsia="en-US" w:bidi="ar-SA"/>
      </w:rPr>
    </w:rPrDefault>
    <w:pPrDefault>
      <w:pPr>
        <w:spacing w:after="240"/>
      </w:pPr>
    </w:pPrDefault>
  </w:docDefaults>
  <w:latentStyles w:defLockedState="1" w:defUIPriority="99" w:defSemiHidden="0" w:defUnhideWhenUsed="0" w:defQFormat="0" w:count="376">
    <w:lsdException w:name="Normal" w:locked="0" w:uiPriority="1" w:qFormat="1"/>
    <w:lsdException w:name="heading 1" w:locked="0" w:uiPriority="9" w:qFormat="1"/>
    <w:lsdException w:name="heading 2" w:locked="0" w:semiHidden="1" w:uiPriority="2" w:unhideWhenUsed="1" w:qFormat="1"/>
    <w:lsdException w:name="heading 3" w:locked="0" w:semiHidden="1" w:uiPriority="9" w:unhideWhenUsed="1" w:qFormat="1"/>
    <w:lsdException w:name="heading 4" w:locked="0" w:semiHidden="1" w:uiPriority="9"/>
    <w:lsdException w:name="heading 5" w:locked="0" w:semiHidden="1" w:uiPriority="9"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uiPriority="5"/>
    <w:lsdException w:name="footnote text" w:semiHidden="1" w:unhideWhenUsed="1"/>
    <w:lsdException w:name="annotation text" w:locked="0" w:semiHidden="1" w:unhideWhenUsed="1"/>
    <w:lsdException w:name="header" w:locked="0" w:semiHidden="1" w:unhideWhenUsed="1"/>
    <w:lsdException w:name="footer" w:locked="0" w:semiHidden="1" w:uiPriority="10" w:unhideWhenUsed="1"/>
    <w:lsdException w:name="index heading" w:semiHidden="1" w:unhideWhenUsed="1"/>
    <w:lsdException w:name="caption" w:semiHidden="1" w:uiPriority="10"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iPriority="10" w:unhideWhenUsed="1"/>
    <w:lsdException w:name="endnote reference" w:semiHidden="1" w:uiPriority="98" w:unhideWhenUsed="1"/>
    <w:lsdException w:name="endnote text" w:semiHidden="1" w:uiPriority="98" w:unhideWhenUsed="1"/>
    <w:lsdException w:name="table of authorities" w:semiHidden="1" w:unhideWhenUsed="1"/>
    <w:lsdException w:name="macro" w:semiHidden="1" w:unhideWhenUsed="1"/>
    <w:lsdException w:name="toa heading" w:semiHidden="1" w:unhideWhenUsed="1"/>
    <w:lsdException w:name="List" w:locked="0" w:uiPriority="4" w:unhideWhenUsed="1"/>
    <w:lsdException w:name="List Bullet" w:locked="0" w:semiHidden="1" w:uiPriority="3" w:unhideWhenUsed="1" w:qFormat="1"/>
    <w:lsdException w:name="List Number" w:locked="0" w:semiHidden="1" w:qFormat="1"/>
    <w:lsdException w:name="List 2" w:locked="0" w:semiHidden="1" w:uiPriority="4" w:unhideWhenUsed="1"/>
    <w:lsdException w:name="List 3" w:locked="0" w:semiHidden="1" w:uiPriority="4" w:unhideWhenUsed="1"/>
    <w:lsdException w:name="List 4" w:semiHidden="1" w:uiPriority="6" w:unhideWhenUsed="1"/>
    <w:lsdException w:name="List 5" w:semiHidden="1" w:uiPriority="6" w:unhideWhenUsed="1"/>
    <w:lsdException w:name="List Bullet 2" w:locked="0" w:semiHidden="1" w:uiPriority="3" w:unhideWhenUsed="1"/>
    <w:lsdException w:name="List Bullet 3" w:locked="0" w:semiHidden="1" w:uiPriority="3"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semiHidden="1" w:uiPriority="98"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semiHidden="1" w:uiPriority="9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11"/>
    <w:lsdException w:name="Salutation" w:semiHidden="1"/>
    <w:lsdException w:name="Date" w:locked="0" w:semiHidden="1"/>
    <w:lsdException w:name="Body Text First Indent" w:semiHidden="1" w:uiPriority="98"/>
    <w:lsdException w:name="Body Text First Indent 2" w:semiHidden="1" w:uiPriority="98" w:unhideWhenUsed="1"/>
    <w:lsdException w:name="Note Heading" w:semiHidden="1" w:unhideWhenUsed="1"/>
    <w:lsdException w:name="Body Text 2" w:locked="0" w:semiHidden="1" w:unhideWhenUsed="1"/>
    <w:lsdException w:name="Body Text 3" w:locked="0" w:semiHidden="1" w:unhideWhenUsed="1"/>
    <w:lsdException w:name="Body Text Indent 2" w:semiHidden="1" w:uiPriority="98" w:unhideWhenUsed="1"/>
    <w:lsdException w:name="Body Text Indent 3" w:semiHidden="1" w:uiPriority="98" w:unhideWhenUsed="1"/>
    <w:lsdException w:name="Block Text" w:semiHidden="1" w:uiPriority="98" w:unhideWhenUsed="1"/>
    <w:lsdException w:name="Hyperlink" w:locked="0" w:semiHidden="1" w:unhideWhenUsed="1"/>
    <w:lsdException w:name="FollowedHyperlink" w:locked="0" w:semiHidden="1" w:unhideWhenUsed="1"/>
    <w:lsdException w:name="Strong" w:semiHidden="1" w:uiPriority="98"/>
    <w:lsdException w:name="Emphasis" w:locked="0" w:uiPriority="8"/>
    <w:lsdException w:name="Document Map" w:semiHidden="1" w:uiPriority="98" w:unhideWhenUsed="1"/>
    <w:lsdException w:name="Plain Text" w:semiHidden="1" w:unhideWhenUsed="1"/>
    <w:lsdException w:name="E-mail Signature" w:semiHidden="1" w:uiPriority="98"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uiPriority="21"/>
    <w:lsdException w:name="Subtle Reference" w:locked="0" w:uiPriority="31"/>
    <w:lsdException w:name="Intense Reference" w:locked="0" w:uiPriority="32"/>
    <w:lsdException w:name="Book Title" w:semiHidden="1" w:uiPriority="98"/>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5"/>
    <w:qFormat/>
    <w:rsid w:val="00192391"/>
    <w:pPr>
      <w:spacing w:after="120" w:line="360" w:lineRule="auto"/>
    </w:pPr>
    <w:rPr>
      <w:color w:val="000000" w:themeColor="text1"/>
      <w:sz w:val="22"/>
    </w:rPr>
  </w:style>
  <w:style w:type="paragraph" w:styleId="Heading1">
    <w:name w:val="heading 1"/>
    <w:next w:val="Normal"/>
    <w:link w:val="Heading1Char"/>
    <w:uiPriority w:val="1"/>
    <w:qFormat/>
    <w:rsid w:val="008014DD"/>
    <w:pPr>
      <w:keepNext/>
      <w:keepLines/>
      <w:numPr>
        <w:numId w:val="12"/>
      </w:numPr>
      <w:spacing w:before="190" w:after="190" w:line="280" w:lineRule="atLeast"/>
      <w:outlineLvl w:val="0"/>
    </w:pPr>
    <w:rPr>
      <w:rFonts w:asciiTheme="majorHAnsi" w:hAnsiTheme="majorHAnsi" w:cs="Century Gothic"/>
      <w:color w:val="931B2F" w:themeColor="background2"/>
      <w:sz w:val="54"/>
    </w:rPr>
  </w:style>
  <w:style w:type="paragraph" w:styleId="Heading2">
    <w:name w:val="heading 2"/>
    <w:basedOn w:val="Normal"/>
    <w:next w:val="Heading3Normal"/>
    <w:link w:val="Heading2Char"/>
    <w:uiPriority w:val="1"/>
    <w:qFormat/>
    <w:locked/>
    <w:rsid w:val="008014DD"/>
    <w:pPr>
      <w:numPr>
        <w:ilvl w:val="1"/>
        <w:numId w:val="12"/>
      </w:numPr>
      <w:spacing w:before="190" w:after="190"/>
      <w:outlineLvl w:val="1"/>
    </w:pPr>
    <w:rPr>
      <w:rFonts w:asciiTheme="majorHAnsi" w:hAnsiTheme="majorHAnsi"/>
      <w:color w:val="931B2F" w:themeColor="background2"/>
      <w:sz w:val="32"/>
    </w:rPr>
  </w:style>
  <w:style w:type="paragraph" w:styleId="Heading3">
    <w:name w:val="heading 3"/>
    <w:basedOn w:val="Normal"/>
    <w:next w:val="Normal"/>
    <w:link w:val="Heading3Char"/>
    <w:uiPriority w:val="1"/>
    <w:qFormat/>
    <w:locked/>
    <w:rsid w:val="00CD237C"/>
    <w:pPr>
      <w:numPr>
        <w:ilvl w:val="2"/>
        <w:numId w:val="12"/>
      </w:numPr>
      <w:spacing w:before="190" w:after="190"/>
      <w:outlineLvl w:val="2"/>
    </w:pPr>
    <w:rPr>
      <w:rFonts w:asciiTheme="majorHAnsi" w:hAnsiTheme="majorHAnsi"/>
      <w:b/>
      <w:color w:val="8C8686" w:themeColor="accent4"/>
    </w:rPr>
  </w:style>
  <w:style w:type="paragraph" w:styleId="Heading4">
    <w:name w:val="heading 4"/>
    <w:basedOn w:val="Normal"/>
    <w:next w:val="Normal"/>
    <w:link w:val="Heading4Char"/>
    <w:uiPriority w:val="3"/>
    <w:semiHidden/>
    <w:locked/>
    <w:rsid w:val="00656594"/>
    <w:pPr>
      <w:keepNext/>
      <w:keepLines/>
      <w:spacing w:before="200"/>
      <w:outlineLvl w:val="3"/>
    </w:pPr>
    <w:rPr>
      <w:rFonts w:eastAsiaTheme="majorEastAsia" w:cstheme="majorBidi"/>
      <w:b/>
      <w:i/>
      <w:iCs/>
    </w:rPr>
  </w:style>
  <w:style w:type="paragraph" w:styleId="Heading5">
    <w:name w:val="heading 5"/>
    <w:basedOn w:val="Heading4"/>
    <w:next w:val="Normal"/>
    <w:link w:val="Heading5Char"/>
    <w:uiPriority w:val="3"/>
    <w:semiHidden/>
    <w:qFormat/>
    <w:locked/>
    <w:rsid w:val="00656594"/>
    <w:pPr>
      <w:outlineLvl w:val="4"/>
    </w:pPr>
    <w:rPr>
      <w:i w:val="0"/>
    </w:rPr>
  </w:style>
  <w:style w:type="paragraph" w:styleId="Heading6">
    <w:name w:val="heading 6"/>
    <w:basedOn w:val="Heading4"/>
    <w:next w:val="Normal"/>
    <w:link w:val="Heading6Char"/>
    <w:uiPriority w:val="3"/>
    <w:semiHidden/>
    <w:qFormat/>
    <w:locked/>
    <w:rsid w:val="00656594"/>
    <w:pPr>
      <w:outlineLvl w:val="5"/>
    </w:pPr>
    <w:rPr>
      <w:i w:val="0"/>
    </w:rPr>
  </w:style>
  <w:style w:type="paragraph" w:styleId="Heading7">
    <w:name w:val="heading 7"/>
    <w:basedOn w:val="Heading4"/>
    <w:next w:val="Normal"/>
    <w:link w:val="Heading7Char"/>
    <w:uiPriority w:val="3"/>
    <w:semiHidden/>
    <w:qFormat/>
    <w:locked/>
    <w:rsid w:val="00656594"/>
    <w:pPr>
      <w:outlineLvl w:val="6"/>
    </w:pPr>
    <w:rPr>
      <w:i w:val="0"/>
      <w:iCs w:val="0"/>
    </w:rPr>
  </w:style>
  <w:style w:type="paragraph" w:styleId="Heading8">
    <w:name w:val="heading 8"/>
    <w:basedOn w:val="Heading4"/>
    <w:next w:val="Normal"/>
    <w:link w:val="Heading8Char"/>
    <w:uiPriority w:val="3"/>
    <w:semiHidden/>
    <w:qFormat/>
    <w:locked/>
    <w:rsid w:val="00656594"/>
    <w:pPr>
      <w:outlineLvl w:val="7"/>
    </w:pPr>
    <w:rPr>
      <w:i w:val="0"/>
      <w:color w:val="272727" w:themeColor="text1" w:themeTint="D8"/>
      <w:szCs w:val="21"/>
    </w:rPr>
  </w:style>
  <w:style w:type="paragraph" w:styleId="Heading9">
    <w:name w:val="heading 9"/>
    <w:basedOn w:val="Normal"/>
    <w:next w:val="Normal"/>
    <w:link w:val="Heading9Char"/>
    <w:uiPriority w:val="3"/>
    <w:semiHidden/>
    <w:qFormat/>
    <w:locked/>
    <w:rsid w:val="00656594"/>
    <w:pPr>
      <w:keepNext/>
      <w:keepLines/>
      <w:spacing w:before="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locked/>
    <w:rsid w:val="002702DC"/>
    <w:pPr>
      <w:tabs>
        <w:tab w:val="left" w:pos="660"/>
        <w:tab w:val="right" w:leader="dot" w:pos="9638"/>
      </w:tabs>
      <w:spacing w:before="200"/>
      <w:ind w:left="709" w:hanging="709"/>
      <w:contextualSpacing/>
    </w:pPr>
    <w:rPr>
      <w:noProof/>
      <w:color w:val="931B2F" w:themeColor="background2"/>
      <w:sz w:val="24"/>
    </w:rPr>
  </w:style>
  <w:style w:type="paragraph" w:styleId="TOC2">
    <w:name w:val="toc 2"/>
    <w:basedOn w:val="Normal"/>
    <w:next w:val="Normal"/>
    <w:autoRedefine/>
    <w:uiPriority w:val="39"/>
    <w:locked/>
    <w:rsid w:val="002702DC"/>
    <w:pPr>
      <w:tabs>
        <w:tab w:val="left" w:pos="660"/>
        <w:tab w:val="right" w:leader="dot" w:pos="9638"/>
      </w:tabs>
      <w:spacing w:after="100"/>
      <w:ind w:left="709" w:hanging="709"/>
      <w:contextualSpacing/>
    </w:pPr>
    <w:rPr>
      <w:noProof/>
    </w:rPr>
  </w:style>
  <w:style w:type="numbering" w:customStyle="1" w:styleId="Bullets">
    <w:name w:val="_Bullets"/>
    <w:uiPriority w:val="99"/>
    <w:rsid w:val="003D0711"/>
    <w:pPr>
      <w:numPr>
        <w:numId w:val="5"/>
      </w:numPr>
    </w:pPr>
  </w:style>
  <w:style w:type="character" w:styleId="Hyperlink">
    <w:name w:val="Hyperlink"/>
    <w:basedOn w:val="DefaultParagraphFont"/>
    <w:uiPriority w:val="99"/>
    <w:locked/>
    <w:rsid w:val="007160EF"/>
    <w:rPr>
      <w:b w:val="0"/>
      <w:color w:val="931B2F" w:themeColor="background2"/>
      <w:u w:val="single"/>
    </w:rPr>
  </w:style>
  <w:style w:type="paragraph" w:customStyle="1" w:styleId="SignOff">
    <w:name w:val="Sign Off"/>
    <w:basedOn w:val="Normal"/>
    <w:uiPriority w:val="10"/>
    <w:semiHidden/>
    <w:rsid w:val="00BC264E"/>
    <w:pPr>
      <w:spacing w:before="488"/>
      <w:contextualSpacing/>
    </w:pPr>
  </w:style>
  <w:style w:type="paragraph" w:customStyle="1" w:styleId="Address">
    <w:name w:val="Address"/>
    <w:basedOn w:val="Normal"/>
    <w:uiPriority w:val="10"/>
    <w:semiHidden/>
    <w:locked/>
    <w:rsid w:val="00792CB0"/>
    <w:pPr>
      <w:spacing w:before="1360" w:after="1000" w:line="180" w:lineRule="atLeast"/>
      <w:contextualSpacing/>
    </w:pPr>
  </w:style>
  <w:style w:type="character" w:customStyle="1" w:styleId="Heading1Char">
    <w:name w:val="Heading 1 Char"/>
    <w:link w:val="Heading1"/>
    <w:uiPriority w:val="1"/>
    <w:rsid w:val="008014DD"/>
    <w:rPr>
      <w:rFonts w:asciiTheme="majorHAnsi" w:hAnsiTheme="majorHAnsi" w:cs="Century Gothic"/>
      <w:color w:val="931B2F" w:themeColor="background2"/>
      <w:sz w:val="54"/>
    </w:rPr>
  </w:style>
  <w:style w:type="character" w:customStyle="1" w:styleId="Heading2Char">
    <w:name w:val="Heading 2 Char"/>
    <w:basedOn w:val="DefaultParagraphFont"/>
    <w:link w:val="Heading2"/>
    <w:uiPriority w:val="1"/>
    <w:rsid w:val="008014DD"/>
    <w:rPr>
      <w:rFonts w:asciiTheme="majorHAnsi" w:hAnsiTheme="majorHAnsi"/>
      <w:color w:val="931B2F" w:themeColor="background2"/>
      <w:sz w:val="32"/>
    </w:rPr>
  </w:style>
  <w:style w:type="character" w:customStyle="1" w:styleId="Heading3Char">
    <w:name w:val="Heading 3 Char"/>
    <w:basedOn w:val="DefaultParagraphFont"/>
    <w:link w:val="Heading3"/>
    <w:uiPriority w:val="1"/>
    <w:rsid w:val="00CD237C"/>
    <w:rPr>
      <w:rFonts w:asciiTheme="majorHAnsi" w:hAnsiTheme="majorHAnsi"/>
      <w:b/>
      <w:color w:val="8C8686" w:themeColor="accent4"/>
      <w:sz w:val="22"/>
    </w:rPr>
  </w:style>
  <w:style w:type="paragraph" w:styleId="CommentText">
    <w:name w:val="annotation text"/>
    <w:basedOn w:val="Normal"/>
    <w:link w:val="CommentTextChar"/>
    <w:uiPriority w:val="99"/>
    <w:semiHidden/>
    <w:locked/>
    <w:rsid w:val="00C9293F"/>
  </w:style>
  <w:style w:type="character" w:customStyle="1" w:styleId="CommentTextChar">
    <w:name w:val="Comment Text Char"/>
    <w:basedOn w:val="DefaultParagraphFont"/>
    <w:link w:val="CommentText"/>
    <w:uiPriority w:val="99"/>
    <w:semiHidden/>
    <w:rsid w:val="00684A2E"/>
    <w:rPr>
      <w:rFonts w:cs="Century Gothic"/>
      <w:color w:val="000000" w:themeColor="text1"/>
      <w:sz w:val="20"/>
      <w:szCs w:val="20"/>
      <w:lang w:eastAsia="en-AU"/>
    </w:rPr>
  </w:style>
  <w:style w:type="paragraph" w:styleId="Header">
    <w:name w:val="header"/>
    <w:basedOn w:val="Normal"/>
    <w:link w:val="HeaderChar"/>
    <w:uiPriority w:val="99"/>
    <w:semiHidden/>
    <w:locked/>
    <w:rsid w:val="00C9293F"/>
    <w:pPr>
      <w:tabs>
        <w:tab w:val="center" w:pos="4513"/>
        <w:tab w:val="right" w:pos="9026"/>
      </w:tabs>
    </w:pPr>
  </w:style>
  <w:style w:type="character" w:customStyle="1" w:styleId="HeaderChar">
    <w:name w:val="Header Char"/>
    <w:basedOn w:val="DefaultParagraphFont"/>
    <w:link w:val="Header"/>
    <w:uiPriority w:val="99"/>
    <w:semiHidden/>
    <w:rsid w:val="00C9293F"/>
    <w:rPr>
      <w:rFonts w:ascii="Century Gothic" w:eastAsia="Century Gothic" w:hAnsi="Century Gothic" w:cs="Century Gothic"/>
      <w:color w:val="490D17" w:themeColor="background2" w:themeShade="80"/>
      <w:sz w:val="18"/>
      <w:lang w:eastAsia="en-AU"/>
    </w:rPr>
  </w:style>
  <w:style w:type="paragraph" w:styleId="Footer">
    <w:name w:val="footer"/>
    <w:basedOn w:val="Normal"/>
    <w:link w:val="FooterChar"/>
    <w:uiPriority w:val="10"/>
    <w:semiHidden/>
    <w:locked/>
    <w:rsid w:val="0011199F"/>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10"/>
    <w:semiHidden/>
    <w:rsid w:val="0011199F"/>
    <w:rPr>
      <w:rFonts w:asciiTheme="majorHAnsi" w:hAnsiTheme="majorHAnsi"/>
      <w:color w:val="000000" w:themeColor="text1"/>
      <w:sz w:val="18"/>
    </w:rPr>
  </w:style>
  <w:style w:type="character" w:styleId="CommentReference">
    <w:name w:val="annotation reference"/>
    <w:basedOn w:val="DefaultParagraphFont"/>
    <w:uiPriority w:val="99"/>
    <w:semiHidden/>
    <w:locked/>
    <w:rsid w:val="00C9293F"/>
    <w:rPr>
      <w:sz w:val="16"/>
      <w:szCs w:val="16"/>
    </w:rPr>
  </w:style>
  <w:style w:type="paragraph" w:styleId="Title">
    <w:name w:val="Title"/>
    <w:basedOn w:val="Normal"/>
    <w:next w:val="Normal"/>
    <w:link w:val="TitleChar"/>
    <w:uiPriority w:val="10"/>
    <w:semiHidden/>
    <w:locked/>
    <w:rsid w:val="00013DF3"/>
    <w:rPr>
      <w:rFonts w:asciiTheme="majorHAnsi" w:hAnsiTheme="majorHAnsi"/>
      <w:sz w:val="60"/>
    </w:rPr>
  </w:style>
  <w:style w:type="character" w:customStyle="1" w:styleId="TitleChar">
    <w:name w:val="Title Char"/>
    <w:basedOn w:val="DefaultParagraphFont"/>
    <w:link w:val="Title"/>
    <w:uiPriority w:val="10"/>
    <w:semiHidden/>
    <w:rsid w:val="00684A2E"/>
    <w:rPr>
      <w:rFonts w:asciiTheme="majorHAnsi" w:hAnsiTheme="majorHAnsi" w:cs="Century Gothic"/>
      <w:color w:val="000000" w:themeColor="text1"/>
      <w:sz w:val="60"/>
      <w:lang w:eastAsia="en-AU"/>
    </w:rPr>
  </w:style>
  <w:style w:type="paragraph" w:styleId="CommentSubject">
    <w:name w:val="annotation subject"/>
    <w:basedOn w:val="CommentText"/>
    <w:next w:val="CommentText"/>
    <w:link w:val="CommentSubjectChar"/>
    <w:uiPriority w:val="98"/>
    <w:semiHidden/>
    <w:locked/>
    <w:rsid w:val="00C9293F"/>
    <w:rPr>
      <w:b/>
      <w:bCs/>
    </w:rPr>
  </w:style>
  <w:style w:type="character" w:customStyle="1" w:styleId="CommentSubjectChar">
    <w:name w:val="Comment Subject Char"/>
    <w:basedOn w:val="CommentTextChar"/>
    <w:link w:val="CommentSubject"/>
    <w:uiPriority w:val="98"/>
    <w:semiHidden/>
    <w:rsid w:val="00684A2E"/>
    <w:rPr>
      <w:rFonts w:cs="Century Gothic"/>
      <w:b/>
      <w:bCs/>
      <w:color w:val="000000" w:themeColor="text1"/>
      <w:sz w:val="20"/>
      <w:szCs w:val="20"/>
      <w:lang w:eastAsia="en-AU"/>
    </w:rPr>
  </w:style>
  <w:style w:type="paragraph" w:styleId="BalloonText">
    <w:name w:val="Balloon Text"/>
    <w:basedOn w:val="Normal"/>
    <w:link w:val="BalloonTextChar"/>
    <w:uiPriority w:val="98"/>
    <w:semiHidden/>
    <w:locked/>
    <w:rsid w:val="002F546A"/>
    <w:rPr>
      <w:rFonts w:cs="Segoe UI"/>
      <w:szCs w:val="18"/>
    </w:rPr>
  </w:style>
  <w:style w:type="character" w:customStyle="1" w:styleId="BalloonTextChar">
    <w:name w:val="Balloon Text Char"/>
    <w:basedOn w:val="DefaultParagraphFont"/>
    <w:link w:val="BalloonText"/>
    <w:uiPriority w:val="98"/>
    <w:semiHidden/>
    <w:rsid w:val="00684A2E"/>
    <w:rPr>
      <w:rFonts w:cs="Segoe UI"/>
      <w:color w:val="000000" w:themeColor="text1"/>
      <w:sz w:val="20"/>
      <w:szCs w:val="18"/>
      <w:lang w:eastAsia="en-AU"/>
    </w:rPr>
  </w:style>
  <w:style w:type="table" w:styleId="TableGrid">
    <w:name w:val="Table Grid"/>
    <w:basedOn w:val="TableNormal"/>
    <w:uiPriority w:val="39"/>
    <w:locked/>
    <w:rsid w:val="00180E19"/>
    <w:pPr>
      <w:spacing w:after="0"/>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NoSpacing">
    <w:name w:val="No Spacing"/>
    <w:basedOn w:val="Normal"/>
    <w:link w:val="NoSpacingChar"/>
    <w:uiPriority w:val="1"/>
    <w:qFormat/>
    <w:locked/>
    <w:rsid w:val="004C7F80"/>
    <w:rPr>
      <w:rFonts w:eastAsia="Calibri" w:cs="Calibri"/>
    </w:rPr>
  </w:style>
  <w:style w:type="paragraph" w:styleId="ListParagraph">
    <w:name w:val="List Paragraph"/>
    <w:basedOn w:val="Normal"/>
    <w:uiPriority w:val="98"/>
    <w:qFormat/>
    <w:locked/>
    <w:rsid w:val="001F0BE3"/>
    <w:pPr>
      <w:numPr>
        <w:numId w:val="4"/>
      </w:numPr>
      <w:contextualSpacing/>
    </w:pPr>
  </w:style>
  <w:style w:type="paragraph" w:styleId="ListBullet">
    <w:name w:val="List Bullet"/>
    <w:basedOn w:val="Normal"/>
    <w:uiPriority w:val="6"/>
    <w:qFormat/>
    <w:rsid w:val="003D0711"/>
    <w:pPr>
      <w:numPr>
        <w:numId w:val="13"/>
      </w:numPr>
      <w:spacing w:before="100" w:after="100"/>
    </w:pPr>
  </w:style>
  <w:style w:type="paragraph" w:styleId="ListBullet2">
    <w:name w:val="List Bullet 2"/>
    <w:basedOn w:val="Normal"/>
    <w:uiPriority w:val="6"/>
    <w:locked/>
    <w:rsid w:val="003D0711"/>
    <w:pPr>
      <w:numPr>
        <w:ilvl w:val="1"/>
        <w:numId w:val="13"/>
      </w:numPr>
      <w:spacing w:before="100" w:after="100"/>
    </w:pPr>
  </w:style>
  <w:style w:type="paragraph" w:styleId="ListBullet3">
    <w:name w:val="List Bullet 3"/>
    <w:basedOn w:val="Normal"/>
    <w:uiPriority w:val="6"/>
    <w:locked/>
    <w:rsid w:val="003D0711"/>
    <w:pPr>
      <w:numPr>
        <w:ilvl w:val="2"/>
        <w:numId w:val="13"/>
      </w:numPr>
      <w:spacing w:before="100" w:after="100"/>
      <w:contextualSpacing/>
    </w:pPr>
  </w:style>
  <w:style w:type="paragraph" w:styleId="ListBullet4">
    <w:name w:val="List Bullet 4"/>
    <w:basedOn w:val="Normal"/>
    <w:uiPriority w:val="7"/>
    <w:semiHidden/>
    <w:unhideWhenUsed/>
    <w:locked/>
    <w:rsid w:val="00466414"/>
    <w:pPr>
      <w:numPr>
        <w:ilvl w:val="3"/>
        <w:numId w:val="8"/>
      </w:numPr>
      <w:contextualSpacing/>
    </w:pPr>
  </w:style>
  <w:style w:type="paragraph" w:styleId="ListBullet5">
    <w:name w:val="List Bullet 5"/>
    <w:basedOn w:val="Normal"/>
    <w:uiPriority w:val="7"/>
    <w:semiHidden/>
    <w:unhideWhenUsed/>
    <w:locked/>
    <w:rsid w:val="00466414"/>
    <w:pPr>
      <w:numPr>
        <w:ilvl w:val="4"/>
        <w:numId w:val="6"/>
      </w:numPr>
      <w:contextualSpacing/>
    </w:pPr>
  </w:style>
  <w:style w:type="numbering" w:customStyle="1" w:styleId="NumberedList">
    <w:name w:val="_Numbered List"/>
    <w:uiPriority w:val="99"/>
    <w:rsid w:val="003D0711"/>
    <w:pPr>
      <w:numPr>
        <w:numId w:val="7"/>
      </w:numPr>
    </w:pPr>
  </w:style>
  <w:style w:type="paragraph" w:styleId="Quote">
    <w:name w:val="Quote"/>
    <w:basedOn w:val="Normal"/>
    <w:next w:val="Normal"/>
    <w:link w:val="QuoteChar"/>
    <w:uiPriority w:val="10"/>
    <w:semiHidden/>
    <w:locked/>
    <w:rsid w:val="00C25003"/>
    <w:pPr>
      <w:pBdr>
        <w:top w:val="single" w:sz="8" w:space="10" w:color="808080" w:themeColor="background1" w:themeShade="80"/>
        <w:bottom w:val="single" w:sz="8" w:space="10" w:color="808080" w:themeColor="background1" w:themeShade="80"/>
      </w:pBdr>
      <w:spacing w:before="200" w:after="160"/>
    </w:pPr>
    <w:rPr>
      <w:i/>
      <w:iCs/>
      <w:color w:val="808080" w:themeColor="background1" w:themeShade="80"/>
    </w:rPr>
  </w:style>
  <w:style w:type="character" w:customStyle="1" w:styleId="QuoteChar">
    <w:name w:val="Quote Char"/>
    <w:basedOn w:val="DefaultParagraphFont"/>
    <w:link w:val="Quote"/>
    <w:uiPriority w:val="10"/>
    <w:semiHidden/>
    <w:rsid w:val="00082C4D"/>
    <w:rPr>
      <w:i/>
      <w:iCs/>
      <w:color w:val="808080" w:themeColor="background1" w:themeShade="80"/>
    </w:rPr>
  </w:style>
  <w:style w:type="paragraph" w:styleId="IntenseQuote">
    <w:name w:val="Intense Quote"/>
    <w:basedOn w:val="Normal"/>
    <w:next w:val="Normal"/>
    <w:link w:val="IntenseQuoteChar"/>
    <w:uiPriority w:val="98"/>
    <w:semiHidden/>
    <w:locked/>
    <w:rsid w:val="00D16EFF"/>
    <w:pPr>
      <w:pBdr>
        <w:top w:val="single" w:sz="4" w:space="10" w:color="931B2F" w:themeColor="accent1"/>
        <w:bottom w:val="single" w:sz="4" w:space="10" w:color="931B2F" w:themeColor="accent1"/>
      </w:pBdr>
      <w:spacing w:before="200"/>
      <w:jc w:val="center"/>
    </w:pPr>
    <w:rPr>
      <w:i/>
      <w:iCs/>
      <w:color w:val="931B2F" w:themeColor="accent1"/>
    </w:rPr>
  </w:style>
  <w:style w:type="character" w:customStyle="1" w:styleId="IntenseQuoteChar">
    <w:name w:val="Intense Quote Char"/>
    <w:basedOn w:val="DefaultParagraphFont"/>
    <w:link w:val="IntenseQuote"/>
    <w:uiPriority w:val="98"/>
    <w:semiHidden/>
    <w:rsid w:val="00AF7437"/>
    <w:rPr>
      <w:rFonts w:cs="Century Gothic"/>
      <w:i/>
      <w:iCs/>
      <w:color w:val="931B2F" w:themeColor="accent1"/>
      <w:sz w:val="20"/>
      <w:lang w:eastAsia="en-AU"/>
    </w:rPr>
  </w:style>
  <w:style w:type="paragraph" w:styleId="BodyText">
    <w:name w:val="Body Text"/>
    <w:basedOn w:val="Normal"/>
    <w:link w:val="BodyTextChar"/>
    <w:uiPriority w:val="98"/>
    <w:semiHidden/>
    <w:locked/>
    <w:rsid w:val="00656594"/>
  </w:style>
  <w:style w:type="character" w:customStyle="1" w:styleId="BodyTextChar">
    <w:name w:val="Body Text Char"/>
    <w:basedOn w:val="DefaultParagraphFont"/>
    <w:link w:val="BodyText"/>
    <w:uiPriority w:val="98"/>
    <w:semiHidden/>
    <w:rsid w:val="00684A2E"/>
    <w:rPr>
      <w:rFonts w:cs="Century Gothic"/>
      <w:color w:val="000000" w:themeColor="text1"/>
      <w:sz w:val="20"/>
      <w:lang w:eastAsia="en-AU"/>
    </w:rPr>
  </w:style>
  <w:style w:type="paragraph" w:styleId="Date">
    <w:name w:val="Date"/>
    <w:basedOn w:val="Normal"/>
    <w:next w:val="Normal"/>
    <w:link w:val="DateChar"/>
    <w:uiPriority w:val="10"/>
    <w:semiHidden/>
    <w:locked/>
    <w:rsid w:val="00792CB0"/>
    <w:pPr>
      <w:spacing w:line="240" w:lineRule="auto"/>
    </w:pPr>
  </w:style>
  <w:style w:type="character" w:customStyle="1" w:styleId="DateChar">
    <w:name w:val="Date Char"/>
    <w:basedOn w:val="DefaultParagraphFont"/>
    <w:link w:val="Date"/>
    <w:uiPriority w:val="10"/>
    <w:semiHidden/>
    <w:rsid w:val="003B2A57"/>
    <w:rPr>
      <w:color w:val="000000" w:themeColor="text1"/>
      <w:sz w:val="16"/>
    </w:rPr>
  </w:style>
  <w:style w:type="character" w:customStyle="1" w:styleId="Heading4Char">
    <w:name w:val="Heading 4 Char"/>
    <w:basedOn w:val="DefaultParagraphFont"/>
    <w:link w:val="Heading4"/>
    <w:uiPriority w:val="3"/>
    <w:semiHidden/>
    <w:rsid w:val="001D3ADE"/>
    <w:rPr>
      <w:rFonts w:eastAsiaTheme="majorEastAsia" w:cstheme="majorBidi"/>
      <w:b/>
      <w:i/>
      <w:iCs/>
      <w:color w:val="000000" w:themeColor="text1"/>
      <w:sz w:val="19"/>
    </w:rPr>
  </w:style>
  <w:style w:type="character" w:customStyle="1" w:styleId="Heading5Char">
    <w:name w:val="Heading 5 Char"/>
    <w:basedOn w:val="DefaultParagraphFont"/>
    <w:link w:val="Heading5"/>
    <w:uiPriority w:val="3"/>
    <w:semiHidden/>
    <w:rsid w:val="001D3ADE"/>
    <w:rPr>
      <w:rFonts w:eastAsiaTheme="majorEastAsia" w:cstheme="majorBidi"/>
      <w:b/>
      <w:iCs/>
      <w:color w:val="000000" w:themeColor="text1"/>
      <w:sz w:val="19"/>
    </w:rPr>
  </w:style>
  <w:style w:type="character" w:customStyle="1" w:styleId="Heading6Char">
    <w:name w:val="Heading 6 Char"/>
    <w:basedOn w:val="DefaultParagraphFont"/>
    <w:link w:val="Heading6"/>
    <w:uiPriority w:val="3"/>
    <w:semiHidden/>
    <w:rsid w:val="001D3ADE"/>
    <w:rPr>
      <w:rFonts w:eastAsiaTheme="majorEastAsia" w:cstheme="majorBidi"/>
      <w:b/>
      <w:iCs/>
      <w:color w:val="000000" w:themeColor="text1"/>
      <w:sz w:val="19"/>
    </w:rPr>
  </w:style>
  <w:style w:type="character" w:customStyle="1" w:styleId="Heading7Char">
    <w:name w:val="Heading 7 Char"/>
    <w:basedOn w:val="DefaultParagraphFont"/>
    <w:link w:val="Heading7"/>
    <w:uiPriority w:val="3"/>
    <w:semiHidden/>
    <w:rsid w:val="001D3ADE"/>
    <w:rPr>
      <w:rFonts w:eastAsiaTheme="majorEastAsia" w:cstheme="majorBidi"/>
      <w:b/>
      <w:color w:val="000000" w:themeColor="text1"/>
      <w:sz w:val="19"/>
    </w:rPr>
  </w:style>
  <w:style w:type="character" w:customStyle="1" w:styleId="Heading8Char">
    <w:name w:val="Heading 8 Char"/>
    <w:basedOn w:val="DefaultParagraphFont"/>
    <w:link w:val="Heading8"/>
    <w:uiPriority w:val="3"/>
    <w:semiHidden/>
    <w:rsid w:val="001D3ADE"/>
    <w:rPr>
      <w:rFonts w:eastAsiaTheme="majorEastAsia" w:cstheme="majorBidi"/>
      <w:b/>
      <w:iCs/>
      <w:color w:val="272727" w:themeColor="text1" w:themeTint="D8"/>
      <w:sz w:val="19"/>
      <w:szCs w:val="21"/>
    </w:rPr>
  </w:style>
  <w:style w:type="character" w:customStyle="1" w:styleId="Heading9Char">
    <w:name w:val="Heading 9 Char"/>
    <w:basedOn w:val="DefaultParagraphFont"/>
    <w:link w:val="Heading9"/>
    <w:uiPriority w:val="3"/>
    <w:semiHidden/>
    <w:rsid w:val="001D3ADE"/>
    <w:rPr>
      <w:rFonts w:eastAsiaTheme="majorEastAsia" w:cstheme="majorBidi"/>
      <w:b/>
      <w:iCs/>
      <w:color w:val="272727" w:themeColor="text1" w:themeTint="D8"/>
      <w:sz w:val="19"/>
      <w:szCs w:val="21"/>
    </w:rPr>
  </w:style>
  <w:style w:type="paragraph" w:styleId="Subtitle">
    <w:name w:val="Subtitle"/>
    <w:next w:val="Normal"/>
    <w:link w:val="SubtitleChar"/>
    <w:uiPriority w:val="11"/>
    <w:semiHidden/>
    <w:locked/>
    <w:rsid w:val="00656594"/>
    <w:pPr>
      <w:numPr>
        <w:ilvl w:val="1"/>
      </w:numPr>
      <w:spacing w:after="0"/>
    </w:pPr>
    <w:rPr>
      <w:rFonts w:asciiTheme="majorHAnsi" w:eastAsiaTheme="minorEastAsia" w:hAnsiTheme="majorHAnsi"/>
      <w:color w:val="000000" w:themeColor="text1"/>
      <w:sz w:val="40"/>
      <w:lang w:eastAsia="en-AU"/>
    </w:rPr>
  </w:style>
  <w:style w:type="character" w:customStyle="1" w:styleId="SubtitleChar">
    <w:name w:val="Subtitle Char"/>
    <w:basedOn w:val="DefaultParagraphFont"/>
    <w:link w:val="Subtitle"/>
    <w:uiPriority w:val="11"/>
    <w:semiHidden/>
    <w:rsid w:val="00082C4D"/>
    <w:rPr>
      <w:rFonts w:asciiTheme="majorHAnsi" w:eastAsiaTheme="minorEastAsia" w:hAnsiTheme="majorHAnsi"/>
      <w:color w:val="000000" w:themeColor="text1"/>
      <w:sz w:val="40"/>
      <w:lang w:eastAsia="en-AU"/>
    </w:rPr>
  </w:style>
  <w:style w:type="paragraph" w:styleId="BodyText2">
    <w:name w:val="Body Text 2"/>
    <w:basedOn w:val="Normal"/>
    <w:link w:val="BodyText2Char"/>
    <w:uiPriority w:val="98"/>
    <w:semiHidden/>
    <w:locked/>
    <w:rsid w:val="00656594"/>
  </w:style>
  <w:style w:type="character" w:customStyle="1" w:styleId="BodyText2Char">
    <w:name w:val="Body Text 2 Char"/>
    <w:basedOn w:val="DefaultParagraphFont"/>
    <w:link w:val="BodyText2"/>
    <w:uiPriority w:val="98"/>
    <w:semiHidden/>
    <w:rsid w:val="00684A2E"/>
    <w:rPr>
      <w:rFonts w:cs="Century Gothic"/>
      <w:color w:val="000000" w:themeColor="text1"/>
      <w:sz w:val="20"/>
      <w:lang w:eastAsia="en-AU"/>
    </w:rPr>
  </w:style>
  <w:style w:type="paragraph" w:styleId="BodyText3">
    <w:name w:val="Body Text 3"/>
    <w:basedOn w:val="Normal"/>
    <w:link w:val="BodyText3Char"/>
    <w:uiPriority w:val="98"/>
    <w:semiHidden/>
    <w:locked/>
    <w:rsid w:val="00656594"/>
    <w:rPr>
      <w:szCs w:val="16"/>
    </w:rPr>
  </w:style>
  <w:style w:type="character" w:customStyle="1" w:styleId="BodyText3Char">
    <w:name w:val="Body Text 3 Char"/>
    <w:basedOn w:val="DefaultParagraphFont"/>
    <w:link w:val="BodyText3"/>
    <w:uiPriority w:val="98"/>
    <w:semiHidden/>
    <w:rsid w:val="00684A2E"/>
    <w:rPr>
      <w:rFonts w:cs="Century Gothic"/>
      <w:color w:val="000000" w:themeColor="text1"/>
      <w:sz w:val="20"/>
      <w:szCs w:val="16"/>
      <w:lang w:eastAsia="en-AU"/>
    </w:rPr>
  </w:style>
  <w:style w:type="character" w:styleId="Emphasis">
    <w:name w:val="Emphasis"/>
    <w:basedOn w:val="DefaultParagraphFont"/>
    <w:uiPriority w:val="8"/>
    <w:semiHidden/>
    <w:locked/>
    <w:rsid w:val="00656594"/>
    <w:rPr>
      <w:i/>
      <w:iCs/>
    </w:rPr>
  </w:style>
  <w:style w:type="character" w:styleId="IntenseEmphasis">
    <w:name w:val="Intense Emphasis"/>
    <w:basedOn w:val="DefaultParagraphFont"/>
    <w:uiPriority w:val="98"/>
    <w:semiHidden/>
    <w:locked/>
    <w:rsid w:val="00656594"/>
    <w:rPr>
      <w:i/>
      <w:iCs/>
      <w:color w:val="931B2F" w:themeColor="accent1"/>
    </w:rPr>
  </w:style>
  <w:style w:type="paragraph" w:styleId="TOCHeading">
    <w:name w:val="TOC Heading"/>
    <w:basedOn w:val="Heading1"/>
    <w:next w:val="Normal"/>
    <w:uiPriority w:val="19"/>
    <w:semiHidden/>
    <w:locked/>
    <w:rsid w:val="004A34D8"/>
    <w:pPr>
      <w:pageBreakBefore/>
      <w:numPr>
        <w:numId w:val="0"/>
      </w:numPr>
      <w:spacing w:before="400" w:after="1200"/>
      <w:outlineLvl w:val="9"/>
    </w:pPr>
    <w:rPr>
      <w:rFonts w:eastAsiaTheme="majorEastAsia" w:cstheme="majorBidi"/>
      <w:b/>
      <w:szCs w:val="32"/>
      <w:lang w:eastAsia="en-AU"/>
    </w:rPr>
  </w:style>
  <w:style w:type="paragraph" w:styleId="Index1">
    <w:name w:val="index 1"/>
    <w:basedOn w:val="Normal"/>
    <w:next w:val="Normal"/>
    <w:autoRedefine/>
    <w:uiPriority w:val="99"/>
    <w:semiHidden/>
    <w:locked/>
    <w:rsid w:val="002F546A"/>
    <w:pPr>
      <w:ind w:left="200" w:hanging="200"/>
    </w:pPr>
  </w:style>
  <w:style w:type="paragraph" w:styleId="MessageHeader">
    <w:name w:val="Message Header"/>
    <w:basedOn w:val="Normal"/>
    <w:link w:val="MessageHeaderChar"/>
    <w:uiPriority w:val="99"/>
    <w:semiHidden/>
    <w:locked/>
    <w:rsid w:val="0088736F"/>
    <w:pPr>
      <w:pBdr>
        <w:top w:val="single" w:sz="6" w:space="5" w:color="808080" w:themeColor="background1" w:themeShade="80"/>
        <w:left w:val="single" w:sz="6" w:space="5" w:color="808080" w:themeColor="background1" w:themeShade="80"/>
        <w:bottom w:val="single" w:sz="6" w:space="5" w:color="808080" w:themeColor="background1" w:themeShade="80"/>
        <w:right w:val="single" w:sz="6" w:space="5" w:color="808080" w:themeColor="background1" w:themeShade="80"/>
      </w:pBdr>
      <w:shd w:val="pct5" w:color="auto" w:fill="auto"/>
      <w:spacing w:before="40" w:after="40"/>
      <w:ind w:left="100" w:right="10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4A2E"/>
    <w:rPr>
      <w:rFonts w:asciiTheme="majorHAnsi" w:eastAsiaTheme="majorEastAsia" w:hAnsiTheme="majorHAnsi" w:cstheme="majorBidi"/>
      <w:color w:val="000000" w:themeColor="text1"/>
      <w:sz w:val="24"/>
      <w:szCs w:val="24"/>
      <w:shd w:val="pct5" w:color="auto" w:fill="auto"/>
      <w:lang w:eastAsia="en-AU"/>
    </w:rPr>
  </w:style>
  <w:style w:type="paragraph" w:styleId="Signature">
    <w:name w:val="Signature"/>
    <w:basedOn w:val="Normal"/>
    <w:link w:val="SignatureChar"/>
    <w:uiPriority w:val="10"/>
    <w:semiHidden/>
    <w:locked/>
    <w:rsid w:val="004C7F80"/>
    <w:pPr>
      <w:spacing w:before="624" w:after="1531"/>
    </w:pPr>
  </w:style>
  <w:style w:type="character" w:customStyle="1" w:styleId="SignatureChar">
    <w:name w:val="Signature Char"/>
    <w:basedOn w:val="DefaultParagraphFont"/>
    <w:link w:val="Signature"/>
    <w:uiPriority w:val="10"/>
    <w:semiHidden/>
    <w:rsid w:val="0088745D"/>
    <w:rPr>
      <w:color w:val="4D4D4D" w:themeColor="text2"/>
      <w:sz w:val="18"/>
    </w:rPr>
  </w:style>
  <w:style w:type="character" w:styleId="FollowedHyperlink">
    <w:name w:val="FollowedHyperlink"/>
    <w:basedOn w:val="DefaultParagraphFont"/>
    <w:uiPriority w:val="98"/>
    <w:semiHidden/>
    <w:locked/>
    <w:rsid w:val="0088736F"/>
    <w:rPr>
      <w:color w:val="000000" w:themeColor="text1"/>
      <w:u w:val="single"/>
    </w:rPr>
  </w:style>
  <w:style w:type="character" w:styleId="IntenseReference">
    <w:name w:val="Intense Reference"/>
    <w:basedOn w:val="DefaultParagraphFont"/>
    <w:uiPriority w:val="98"/>
    <w:semiHidden/>
    <w:locked/>
    <w:rsid w:val="0088736F"/>
    <w:rPr>
      <w:rFonts w:asciiTheme="minorHAnsi" w:hAnsiTheme="minorHAnsi"/>
      <w:b/>
      <w:bCs/>
      <w:i w:val="0"/>
      <w:caps w:val="0"/>
      <w:smallCaps/>
      <w:color w:val="000000" w:themeColor="text1"/>
      <w:spacing w:val="0"/>
    </w:rPr>
  </w:style>
  <w:style w:type="character" w:styleId="SubtleReference">
    <w:name w:val="Subtle Reference"/>
    <w:basedOn w:val="DefaultParagraphFont"/>
    <w:uiPriority w:val="98"/>
    <w:semiHidden/>
    <w:locked/>
    <w:rsid w:val="0088736F"/>
    <w:rPr>
      <w:smallCaps/>
      <w:color w:val="5A5A5A" w:themeColor="text1" w:themeTint="A5"/>
    </w:rPr>
  </w:style>
  <w:style w:type="paragraph" w:customStyle="1" w:styleId="spacer">
    <w:name w:val="spacer"/>
    <w:basedOn w:val="Footer"/>
    <w:uiPriority w:val="9"/>
    <w:semiHidden/>
    <w:locked/>
    <w:rsid w:val="00986606"/>
    <w:rPr>
      <w:sz w:val="2"/>
    </w:rPr>
  </w:style>
  <w:style w:type="character" w:styleId="FootnoteReference">
    <w:name w:val="footnote reference"/>
    <w:basedOn w:val="DefaultParagraphFont"/>
    <w:uiPriority w:val="99"/>
    <w:semiHidden/>
    <w:locked/>
    <w:rsid w:val="00AF7437"/>
    <w:rPr>
      <w:b/>
      <w:vertAlign w:val="superscript"/>
    </w:rPr>
  </w:style>
  <w:style w:type="paragraph" w:styleId="ListNumber4">
    <w:name w:val="List Number 4"/>
    <w:basedOn w:val="Normal"/>
    <w:uiPriority w:val="7"/>
    <w:semiHidden/>
    <w:locked/>
    <w:rsid w:val="003D0711"/>
    <w:pPr>
      <w:numPr>
        <w:ilvl w:val="3"/>
        <w:numId w:val="14"/>
      </w:numPr>
      <w:tabs>
        <w:tab w:val="clear" w:pos="1429"/>
      </w:tabs>
      <w:ind w:left="2880" w:hanging="360"/>
      <w:contextualSpacing/>
    </w:pPr>
  </w:style>
  <w:style w:type="paragraph" w:styleId="ListNumber5">
    <w:name w:val="List Number 5"/>
    <w:basedOn w:val="Normal"/>
    <w:uiPriority w:val="7"/>
    <w:semiHidden/>
    <w:locked/>
    <w:rsid w:val="003D0711"/>
    <w:pPr>
      <w:numPr>
        <w:ilvl w:val="4"/>
        <w:numId w:val="14"/>
      </w:numPr>
      <w:tabs>
        <w:tab w:val="clear" w:pos="1786"/>
      </w:tabs>
      <w:ind w:left="3600" w:hanging="360"/>
      <w:contextualSpacing/>
    </w:pPr>
  </w:style>
  <w:style w:type="numbering" w:customStyle="1" w:styleId="AlphaList">
    <w:name w:val="_Alpha List"/>
    <w:uiPriority w:val="99"/>
    <w:rsid w:val="003D0711"/>
    <w:pPr>
      <w:numPr>
        <w:numId w:val="9"/>
      </w:numPr>
    </w:pPr>
  </w:style>
  <w:style w:type="paragraph" w:styleId="List">
    <w:name w:val="List"/>
    <w:basedOn w:val="Normal"/>
    <w:uiPriority w:val="7"/>
    <w:rsid w:val="003D0711"/>
    <w:pPr>
      <w:numPr>
        <w:numId w:val="15"/>
      </w:numPr>
      <w:spacing w:before="100" w:after="100"/>
    </w:pPr>
  </w:style>
  <w:style w:type="paragraph" w:styleId="List2">
    <w:name w:val="List 2"/>
    <w:basedOn w:val="Normal"/>
    <w:uiPriority w:val="7"/>
    <w:locked/>
    <w:rsid w:val="003D0711"/>
    <w:pPr>
      <w:numPr>
        <w:ilvl w:val="1"/>
        <w:numId w:val="15"/>
      </w:numPr>
      <w:spacing w:before="100" w:after="100"/>
    </w:pPr>
  </w:style>
  <w:style w:type="paragraph" w:customStyle="1" w:styleId="TableText">
    <w:name w:val="Table Text"/>
    <w:basedOn w:val="NoSpacing"/>
    <w:uiPriority w:val="9"/>
    <w:locked/>
    <w:rsid w:val="000E6877"/>
    <w:pPr>
      <w:spacing w:after="60" w:line="240" w:lineRule="auto"/>
      <w:contextualSpacing/>
    </w:pPr>
  </w:style>
  <w:style w:type="character" w:customStyle="1" w:styleId="NoSpacingChar">
    <w:name w:val="No Spacing Char"/>
    <w:basedOn w:val="DefaultParagraphFont"/>
    <w:link w:val="NoSpacing"/>
    <w:uiPriority w:val="7"/>
    <w:semiHidden/>
    <w:rsid w:val="000424A0"/>
    <w:rPr>
      <w:rFonts w:eastAsia="Calibri" w:cs="Calibri"/>
      <w:color w:val="000000" w:themeColor="text1"/>
    </w:rPr>
  </w:style>
  <w:style w:type="character" w:styleId="PlaceholderText">
    <w:name w:val="Placeholder Text"/>
    <w:basedOn w:val="DefaultParagraphFont"/>
    <w:uiPriority w:val="99"/>
    <w:semiHidden/>
    <w:locked/>
    <w:rsid w:val="003F7F67"/>
    <w:rPr>
      <w:color w:val="FF0000"/>
    </w:rPr>
  </w:style>
  <w:style w:type="paragraph" w:styleId="FootnoteText">
    <w:name w:val="footnote text"/>
    <w:basedOn w:val="Normal"/>
    <w:link w:val="FootnoteTextChar"/>
    <w:uiPriority w:val="99"/>
    <w:locked/>
    <w:rsid w:val="00261151"/>
    <w:pPr>
      <w:spacing w:after="60" w:line="240" w:lineRule="auto"/>
    </w:pPr>
    <w:rPr>
      <w:rFonts w:eastAsiaTheme="minorEastAsia" w:cs="Times New Roman"/>
      <w:sz w:val="16"/>
      <w:lang w:val="en-US"/>
    </w:rPr>
  </w:style>
  <w:style w:type="character" w:customStyle="1" w:styleId="FootnoteTextChar">
    <w:name w:val="Footnote Text Char"/>
    <w:basedOn w:val="DefaultParagraphFont"/>
    <w:link w:val="FootnoteText"/>
    <w:uiPriority w:val="99"/>
    <w:rsid w:val="00261151"/>
    <w:rPr>
      <w:rFonts w:eastAsiaTheme="minorEastAsia" w:cs="Times New Roman"/>
      <w:color w:val="000000" w:themeColor="text1"/>
      <w:sz w:val="16"/>
      <w:lang w:val="en-US"/>
    </w:rPr>
  </w:style>
  <w:style w:type="table" w:customStyle="1" w:styleId="StandardTable">
    <w:name w:val="Standard Table"/>
    <w:basedOn w:val="TableNormal"/>
    <w:uiPriority w:val="99"/>
    <w:semiHidden/>
    <w:rsid w:val="00A449FF"/>
    <w:pPr>
      <w:spacing w:after="0"/>
    </w:pPr>
    <w:rPr>
      <w:sz w:val="18"/>
    </w:rPr>
    <w:tblPr>
      <w:tblStyleRowBandSize w:val="1"/>
      <w:tblStyleColBandSize w:val="1"/>
      <w:tblBorders>
        <w:bottom w:val="single" w:sz="2" w:space="0" w:color="auto"/>
        <w:insideH w:val="single" w:sz="4" w:space="0" w:color="000000" w:themeColor="text1"/>
      </w:tblBorders>
      <w:tblCellMar>
        <w:top w:w="85" w:type="dxa"/>
        <w:left w:w="85" w:type="dxa"/>
        <w:bottom w:w="85" w:type="dxa"/>
        <w:right w:w="85" w:type="dxa"/>
      </w:tblCellMar>
    </w:tblPr>
    <w:tblStylePr w:type="firstRow">
      <w:pPr>
        <w:wordWrap/>
        <w:spacing w:beforeLines="0" w:before="0" w:beforeAutospacing="0" w:afterLines="0" w:after="0" w:afterAutospacing="0" w:line="240" w:lineRule="auto"/>
      </w:pPr>
      <w:rPr>
        <w:rFonts w:asciiTheme="majorHAnsi" w:hAnsiTheme="majorHAnsi"/>
        <w:b/>
        <w:color w:val="4D4D4D" w:themeColor="text2"/>
      </w:rPr>
      <w:tblPr/>
      <w:tcPr>
        <w:tcBorders>
          <w:bottom w:val="nil"/>
        </w:tcBorders>
      </w:tcPr>
    </w:tblStylePr>
    <w:tblStylePr w:type="lastRow">
      <w:tblPr/>
      <w:tcPr>
        <w:tcBorders>
          <w:top w:val="double" w:sz="4" w:space="0" w:color="4D4D4D" w:themeColor="text2"/>
        </w:tcBorders>
      </w:tcPr>
    </w:tblStylePr>
  </w:style>
  <w:style w:type="paragraph" w:customStyle="1" w:styleId="Header1">
    <w:name w:val="Header 1"/>
    <w:uiPriority w:val="9"/>
    <w:semiHidden/>
    <w:locked/>
    <w:rsid w:val="007338F0"/>
    <w:pPr>
      <w:spacing w:after="0"/>
      <w:ind w:right="28"/>
    </w:pPr>
    <w:rPr>
      <w:rFonts w:eastAsiaTheme="minorEastAsia" w:cs="Century Gothic"/>
      <w:caps/>
      <w:noProof/>
      <w:color w:val="000000" w:themeColor="text1"/>
      <w:sz w:val="16"/>
      <w:lang w:eastAsia="en-AU"/>
    </w:rPr>
  </w:style>
  <w:style w:type="paragraph" w:customStyle="1" w:styleId="BasicParagraph">
    <w:name w:val="[Basic Paragraph]"/>
    <w:basedOn w:val="Normal"/>
    <w:uiPriority w:val="99"/>
    <w:rsid w:val="00302D06"/>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1">
    <w:name w:val="Table Grid1"/>
    <w:basedOn w:val="TableNormal"/>
    <w:next w:val="TableGrid"/>
    <w:semiHidden/>
    <w:rsid w:val="00ED0464"/>
    <w:rPr>
      <w:rFonts w:ascii="Times New Roman" w:eastAsia="Times New Roman" w:hAnsi="Times New Roman" w:cs="Times New Roman"/>
      <w:color w:val="848589"/>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uiPriority w:val="10"/>
    <w:qFormat/>
    <w:rsid w:val="003A2D95"/>
    <w:pPr>
      <w:keepNext/>
      <w:spacing w:after="0"/>
    </w:pPr>
    <w:rPr>
      <w:rFonts w:asciiTheme="majorHAnsi" w:hAnsiTheme="majorHAnsi"/>
      <w:b/>
      <w:color w:val="FFFFFF" w:themeColor="background1"/>
    </w:rPr>
  </w:style>
  <w:style w:type="table" w:styleId="ColourfulGrid">
    <w:name w:val="Colorful Grid"/>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F4C6CD" w:themeFill="accent1" w:themeFillTint="33"/>
    </w:tcPr>
    <w:tblStylePr w:type="firstRow">
      <w:rPr>
        <w:b/>
        <w:bCs/>
      </w:rPr>
      <w:tblPr/>
      <w:tcPr>
        <w:shd w:val="clear" w:color="auto" w:fill="EA8D9C" w:themeFill="accent1" w:themeFillTint="66"/>
      </w:tcPr>
    </w:tblStylePr>
    <w:tblStylePr w:type="lastRow">
      <w:rPr>
        <w:b/>
        <w:bCs/>
        <w:color w:val="000000" w:themeColor="text1"/>
      </w:rPr>
      <w:tblPr/>
      <w:tcPr>
        <w:shd w:val="clear" w:color="auto" w:fill="EA8D9C" w:themeFill="accent1" w:themeFillTint="66"/>
      </w:tcPr>
    </w:tblStylePr>
    <w:tblStylePr w:type="firstCol">
      <w:rPr>
        <w:color w:val="FFFFFF" w:themeColor="background1"/>
      </w:rPr>
      <w:tblPr/>
      <w:tcPr>
        <w:shd w:val="clear" w:color="auto" w:fill="6D1423" w:themeFill="accent1" w:themeFillShade="BF"/>
      </w:tcPr>
    </w:tblStylePr>
    <w:tblStylePr w:type="lastCol">
      <w:rPr>
        <w:color w:val="FFFFFF" w:themeColor="background1"/>
      </w:rPr>
      <w:tblPr/>
      <w:tcPr>
        <w:shd w:val="clear" w:color="auto" w:fill="6D1423" w:themeFill="accent1" w:themeFillShade="BF"/>
      </w:tcPr>
    </w:tblStylePr>
    <w:tblStylePr w:type="band1Vert">
      <w:tblPr/>
      <w:tcPr>
        <w:shd w:val="clear" w:color="auto" w:fill="E57184" w:themeFill="accent1" w:themeFillTint="7F"/>
      </w:tcPr>
    </w:tblStylePr>
    <w:tblStylePr w:type="band1Horz">
      <w:tblPr/>
      <w:tcPr>
        <w:shd w:val="clear" w:color="auto" w:fill="E57184" w:themeFill="accent1" w:themeFillTint="7F"/>
      </w:tcPr>
    </w:tblStylePr>
  </w:style>
  <w:style w:type="table" w:styleId="ColourfulGridAccent2">
    <w:name w:val="Colorful Grid Accent 2"/>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EFDEE1" w:themeFill="accent2" w:themeFillTint="33"/>
    </w:tcPr>
    <w:tblStylePr w:type="firstRow">
      <w:rPr>
        <w:b/>
        <w:bCs/>
      </w:rPr>
      <w:tblPr/>
      <w:tcPr>
        <w:shd w:val="clear" w:color="auto" w:fill="E0BEC4" w:themeFill="accent2" w:themeFillTint="66"/>
      </w:tcPr>
    </w:tblStylePr>
    <w:tblStylePr w:type="lastRow">
      <w:rPr>
        <w:b/>
        <w:bCs/>
        <w:color w:val="000000" w:themeColor="text1"/>
      </w:rPr>
      <w:tblPr/>
      <w:tcPr>
        <w:shd w:val="clear" w:color="auto" w:fill="E0BEC4" w:themeFill="accent2" w:themeFillTint="66"/>
      </w:tcPr>
    </w:tblStylePr>
    <w:tblStylePr w:type="firstCol">
      <w:rPr>
        <w:color w:val="FFFFFF" w:themeColor="background1"/>
      </w:rPr>
      <w:tblPr/>
      <w:tcPr>
        <w:shd w:val="clear" w:color="auto" w:fill="8A424E" w:themeFill="accent2" w:themeFillShade="BF"/>
      </w:tcPr>
    </w:tblStylePr>
    <w:tblStylePr w:type="lastCol">
      <w:rPr>
        <w:color w:val="FFFFFF" w:themeColor="background1"/>
      </w:rPr>
      <w:tblPr/>
      <w:tcPr>
        <w:shd w:val="clear" w:color="auto" w:fill="8A424E" w:themeFill="accent2" w:themeFillShade="BF"/>
      </w:tcPr>
    </w:tblStylePr>
    <w:tblStylePr w:type="band1Vert">
      <w:tblPr/>
      <w:tcPr>
        <w:shd w:val="clear" w:color="auto" w:fill="D9AFB6" w:themeFill="accent2" w:themeFillTint="7F"/>
      </w:tcPr>
    </w:tblStylePr>
    <w:tblStylePr w:type="band1Horz">
      <w:tblPr/>
      <w:tcPr>
        <w:shd w:val="clear" w:color="auto" w:fill="D9AFB6" w:themeFill="accent2" w:themeFillTint="7F"/>
      </w:tcPr>
    </w:tblStylePr>
  </w:style>
  <w:style w:type="table" w:styleId="ColourfulGridAccent3">
    <w:name w:val="Colorful Grid Accent 3"/>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FAFAFA" w:themeFill="accent3" w:themeFillTint="33"/>
    </w:tcPr>
    <w:tblStylePr w:type="firstRow">
      <w:rPr>
        <w:b/>
        <w:bCs/>
      </w:rPr>
      <w:tblPr/>
      <w:tcPr>
        <w:shd w:val="clear" w:color="auto" w:fill="F5F5F5" w:themeFill="accent3" w:themeFillTint="66"/>
      </w:tcPr>
    </w:tblStylePr>
    <w:tblStylePr w:type="lastRow">
      <w:rPr>
        <w:b/>
        <w:bCs/>
        <w:color w:val="000000" w:themeColor="text1"/>
      </w:rPr>
      <w:tblPr/>
      <w:tcPr>
        <w:shd w:val="clear" w:color="auto" w:fill="F5F5F5" w:themeFill="accent3" w:themeFillTint="66"/>
      </w:tcPr>
    </w:tblStylePr>
    <w:tblStylePr w:type="firstCol">
      <w:rPr>
        <w:color w:val="FFFFFF" w:themeColor="background1"/>
      </w:rPr>
      <w:tblPr/>
      <w:tcPr>
        <w:shd w:val="clear" w:color="auto" w:fill="AFABAB" w:themeFill="accent3" w:themeFillShade="BF"/>
      </w:tcPr>
    </w:tblStylePr>
    <w:tblStylePr w:type="lastCol">
      <w:rPr>
        <w:color w:val="FFFFFF" w:themeColor="background1"/>
      </w:rPr>
      <w:tblPr/>
      <w:tcPr>
        <w:shd w:val="clear" w:color="auto" w:fill="AFABAB" w:themeFill="accent3" w:themeFillShade="BF"/>
      </w:tcPr>
    </w:tblStylePr>
    <w:tblStylePr w:type="band1Vert">
      <w:tblPr/>
      <w:tcPr>
        <w:shd w:val="clear" w:color="auto" w:fill="F3F2F2" w:themeFill="accent3" w:themeFillTint="7F"/>
      </w:tcPr>
    </w:tblStylePr>
    <w:tblStylePr w:type="band1Horz">
      <w:tblPr/>
      <w:tcPr>
        <w:shd w:val="clear" w:color="auto" w:fill="F3F2F2" w:themeFill="accent3" w:themeFillTint="7F"/>
      </w:tcPr>
    </w:tblStylePr>
  </w:style>
  <w:style w:type="table" w:styleId="ColourfulGridAccent4">
    <w:name w:val="Colorful Grid Accent 4"/>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E8E6E6" w:themeFill="accent4" w:themeFillTint="33"/>
    </w:tcPr>
    <w:tblStylePr w:type="firstRow">
      <w:rPr>
        <w:b/>
        <w:bCs/>
      </w:rPr>
      <w:tblPr/>
      <w:tcPr>
        <w:shd w:val="clear" w:color="auto" w:fill="D1CECE" w:themeFill="accent4" w:themeFillTint="66"/>
      </w:tcPr>
    </w:tblStylePr>
    <w:tblStylePr w:type="lastRow">
      <w:rPr>
        <w:b/>
        <w:bCs/>
        <w:color w:val="000000" w:themeColor="text1"/>
      </w:rPr>
      <w:tblPr/>
      <w:tcPr>
        <w:shd w:val="clear" w:color="auto" w:fill="D1CECE" w:themeFill="accent4" w:themeFillTint="66"/>
      </w:tcPr>
    </w:tblStylePr>
    <w:tblStylePr w:type="firstCol">
      <w:rPr>
        <w:color w:val="FFFFFF" w:themeColor="background1"/>
      </w:rPr>
      <w:tblPr/>
      <w:tcPr>
        <w:shd w:val="clear" w:color="auto" w:fill="696464" w:themeFill="accent4" w:themeFillShade="BF"/>
      </w:tcPr>
    </w:tblStylePr>
    <w:tblStylePr w:type="lastCol">
      <w:rPr>
        <w:color w:val="FFFFFF" w:themeColor="background1"/>
      </w:rPr>
      <w:tblPr/>
      <w:tcPr>
        <w:shd w:val="clear" w:color="auto" w:fill="696464" w:themeFill="accent4" w:themeFillShade="BF"/>
      </w:tcPr>
    </w:tblStylePr>
    <w:tblStylePr w:type="band1Vert">
      <w:tblPr/>
      <w:tcPr>
        <w:shd w:val="clear" w:color="auto" w:fill="C5C2C2" w:themeFill="accent4" w:themeFillTint="7F"/>
      </w:tcPr>
    </w:tblStylePr>
    <w:tblStylePr w:type="band1Horz">
      <w:tblPr/>
      <w:tcPr>
        <w:shd w:val="clear" w:color="auto" w:fill="C5C2C2" w:themeFill="accent4" w:themeFillTint="7F"/>
      </w:tcPr>
    </w:tblStylePr>
  </w:style>
  <w:style w:type="table" w:styleId="ColourfulGridAccent5">
    <w:name w:val="Colorful Grid Accent 5"/>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D5D3D3" w:themeFill="accent5" w:themeFillTint="33"/>
    </w:tcPr>
    <w:tblStylePr w:type="firstRow">
      <w:rPr>
        <w:b/>
        <w:bCs/>
      </w:rPr>
      <w:tblPr/>
      <w:tcPr>
        <w:shd w:val="clear" w:color="auto" w:fill="ACA8A8" w:themeFill="accent5" w:themeFillTint="66"/>
      </w:tcPr>
    </w:tblStylePr>
    <w:tblStylePr w:type="lastRow">
      <w:rPr>
        <w:b/>
        <w:bCs/>
        <w:color w:val="000000" w:themeColor="text1"/>
      </w:rPr>
      <w:tblPr/>
      <w:tcPr>
        <w:shd w:val="clear" w:color="auto" w:fill="ACA8A8" w:themeFill="accent5" w:themeFillTint="66"/>
      </w:tcPr>
    </w:tblStylePr>
    <w:tblStylePr w:type="firstCol">
      <w:rPr>
        <w:color w:val="FFFFFF" w:themeColor="background1"/>
      </w:rPr>
      <w:tblPr/>
      <w:tcPr>
        <w:shd w:val="clear" w:color="auto" w:fill="201F1F" w:themeFill="accent5" w:themeFillShade="BF"/>
      </w:tcPr>
    </w:tblStylePr>
    <w:tblStylePr w:type="lastCol">
      <w:rPr>
        <w:color w:val="FFFFFF" w:themeColor="background1"/>
      </w:rPr>
      <w:tblPr/>
      <w:tcPr>
        <w:shd w:val="clear" w:color="auto" w:fill="201F1F" w:themeFill="accent5" w:themeFillShade="BF"/>
      </w:tcPr>
    </w:tblStylePr>
    <w:tblStylePr w:type="band1Vert">
      <w:tblPr/>
      <w:tcPr>
        <w:shd w:val="clear" w:color="auto" w:fill="979292" w:themeFill="accent5" w:themeFillTint="7F"/>
      </w:tcPr>
    </w:tblStylePr>
    <w:tblStylePr w:type="band1Horz">
      <w:tblPr/>
      <w:tcPr>
        <w:shd w:val="clear" w:color="auto" w:fill="979292" w:themeFill="accent5" w:themeFillTint="7F"/>
      </w:tcPr>
    </w:tblStylePr>
  </w:style>
  <w:style w:type="table" w:styleId="ColourfulGridAccent6">
    <w:name w:val="Colorful Grid Accent 6"/>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F1B7C1" w:themeFill="accent6" w:themeFillTint="33"/>
    </w:tcPr>
    <w:tblStylePr w:type="firstRow">
      <w:rPr>
        <w:b/>
        <w:bCs/>
      </w:rPr>
      <w:tblPr/>
      <w:tcPr>
        <w:shd w:val="clear" w:color="auto" w:fill="E47083" w:themeFill="accent6" w:themeFillTint="66"/>
      </w:tcPr>
    </w:tblStylePr>
    <w:tblStylePr w:type="lastRow">
      <w:rPr>
        <w:b/>
        <w:bCs/>
        <w:color w:val="000000" w:themeColor="text1"/>
      </w:rPr>
      <w:tblPr/>
      <w:tcPr>
        <w:shd w:val="clear" w:color="auto" w:fill="E47083" w:themeFill="accent6" w:themeFillTint="66"/>
      </w:tcPr>
    </w:tblStylePr>
    <w:tblStylePr w:type="firstCol">
      <w:rPr>
        <w:color w:val="FFFFFF" w:themeColor="background1"/>
      </w:rPr>
      <w:tblPr/>
      <w:tcPr>
        <w:shd w:val="clear" w:color="auto" w:fill="370A11" w:themeFill="accent6" w:themeFillShade="BF"/>
      </w:tcPr>
    </w:tblStylePr>
    <w:tblStylePr w:type="lastCol">
      <w:rPr>
        <w:color w:val="FFFFFF" w:themeColor="background1"/>
      </w:rPr>
      <w:tblPr/>
      <w:tcPr>
        <w:shd w:val="clear" w:color="auto" w:fill="370A11" w:themeFill="accent6" w:themeFillShade="BF"/>
      </w:tcPr>
    </w:tblStylePr>
    <w:tblStylePr w:type="band1Vert">
      <w:tblPr/>
      <w:tcPr>
        <w:shd w:val="clear" w:color="auto" w:fill="DD4E65" w:themeFill="accent6" w:themeFillTint="7F"/>
      </w:tcPr>
    </w:tblStylePr>
    <w:tblStylePr w:type="band1Horz">
      <w:tblPr/>
      <w:tcPr>
        <w:shd w:val="clear" w:color="auto" w:fill="DD4E65" w:themeFill="accent6" w:themeFillTint="7F"/>
      </w:tcPr>
    </w:tblStylePr>
  </w:style>
  <w:style w:type="table" w:styleId="ColourfulList">
    <w:name w:val="Colorful List"/>
    <w:basedOn w:val="TableNormal"/>
    <w:uiPriority w:val="72"/>
    <w:semiHidden/>
    <w:unhideWhenUsed/>
    <w:locked/>
    <w:rsid w:val="00C551E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44653" w:themeFill="accent2" w:themeFillShade="CC"/>
      </w:tcPr>
    </w:tblStylePr>
    <w:tblStylePr w:type="lastRow">
      <w:rPr>
        <w:b/>
        <w:bCs/>
        <w:color w:val="94465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locked/>
    <w:rsid w:val="00C551E1"/>
    <w:pPr>
      <w:spacing w:after="0"/>
    </w:pPr>
    <w:rPr>
      <w:color w:val="000000" w:themeColor="text1"/>
    </w:rPr>
    <w:tblPr>
      <w:tblStyleRowBandSize w:val="1"/>
      <w:tblStyleColBandSize w:val="1"/>
    </w:tblPr>
    <w:tcPr>
      <w:shd w:val="clear" w:color="auto" w:fill="FAE3E6" w:themeFill="accent1" w:themeFillTint="19"/>
    </w:tcPr>
    <w:tblStylePr w:type="firstRow">
      <w:rPr>
        <w:b/>
        <w:bCs/>
        <w:color w:val="FFFFFF" w:themeColor="background1"/>
      </w:rPr>
      <w:tblPr/>
      <w:tcPr>
        <w:tcBorders>
          <w:bottom w:val="single" w:sz="12" w:space="0" w:color="FFFFFF" w:themeColor="background1"/>
        </w:tcBorders>
        <w:shd w:val="clear" w:color="auto" w:fill="944653" w:themeFill="accent2" w:themeFillShade="CC"/>
      </w:tcPr>
    </w:tblStylePr>
    <w:tblStylePr w:type="lastRow">
      <w:rPr>
        <w:b/>
        <w:bCs/>
        <w:color w:val="94465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8C1" w:themeFill="accent1" w:themeFillTint="3F"/>
      </w:tcPr>
    </w:tblStylePr>
    <w:tblStylePr w:type="band1Horz">
      <w:tblPr/>
      <w:tcPr>
        <w:shd w:val="clear" w:color="auto" w:fill="F4C6CD" w:themeFill="accent1" w:themeFillTint="33"/>
      </w:tcPr>
    </w:tblStylePr>
  </w:style>
  <w:style w:type="table" w:styleId="ColourfulListAccent2">
    <w:name w:val="Colorful List Accent 2"/>
    <w:basedOn w:val="TableNormal"/>
    <w:uiPriority w:val="72"/>
    <w:semiHidden/>
    <w:unhideWhenUsed/>
    <w:locked/>
    <w:rsid w:val="00C551E1"/>
    <w:pPr>
      <w:spacing w:after="0"/>
    </w:pPr>
    <w:rPr>
      <w:color w:val="000000" w:themeColor="text1"/>
    </w:rPr>
    <w:tblPr>
      <w:tblStyleRowBandSize w:val="1"/>
      <w:tblStyleColBandSize w:val="1"/>
    </w:tblPr>
    <w:tcPr>
      <w:shd w:val="clear" w:color="auto" w:fill="F7EFF0" w:themeFill="accent2" w:themeFillTint="19"/>
    </w:tcPr>
    <w:tblStylePr w:type="firstRow">
      <w:rPr>
        <w:b/>
        <w:bCs/>
        <w:color w:val="FFFFFF" w:themeColor="background1"/>
      </w:rPr>
      <w:tblPr/>
      <w:tcPr>
        <w:tcBorders>
          <w:bottom w:val="single" w:sz="12" w:space="0" w:color="FFFFFF" w:themeColor="background1"/>
        </w:tcBorders>
        <w:shd w:val="clear" w:color="auto" w:fill="944653" w:themeFill="accent2" w:themeFillShade="CC"/>
      </w:tcPr>
    </w:tblStylePr>
    <w:tblStylePr w:type="lastRow">
      <w:rPr>
        <w:b/>
        <w:bCs/>
        <w:color w:val="94465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7DA" w:themeFill="accent2" w:themeFillTint="3F"/>
      </w:tcPr>
    </w:tblStylePr>
    <w:tblStylePr w:type="band1Horz">
      <w:tblPr/>
      <w:tcPr>
        <w:shd w:val="clear" w:color="auto" w:fill="EFDEE1" w:themeFill="accent2" w:themeFillTint="33"/>
      </w:tcPr>
    </w:tblStylePr>
  </w:style>
  <w:style w:type="table" w:styleId="ColourfulListAccent3">
    <w:name w:val="Colorful List Accent 3"/>
    <w:basedOn w:val="TableNormal"/>
    <w:uiPriority w:val="72"/>
    <w:semiHidden/>
    <w:unhideWhenUsed/>
    <w:locked/>
    <w:rsid w:val="00C551E1"/>
    <w:pPr>
      <w:spacing w:after="0"/>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706A6A" w:themeFill="accent4" w:themeFillShade="CC"/>
      </w:tcPr>
    </w:tblStylePr>
    <w:tblStylePr w:type="lastRow">
      <w:rPr>
        <w:b/>
        <w:bCs/>
        <w:color w:val="706A6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9" w:themeFill="accent3" w:themeFillTint="3F"/>
      </w:tcPr>
    </w:tblStylePr>
    <w:tblStylePr w:type="band1Horz">
      <w:tblPr/>
      <w:tcPr>
        <w:shd w:val="clear" w:color="auto" w:fill="FAFAFA" w:themeFill="accent3" w:themeFillTint="33"/>
      </w:tcPr>
    </w:tblStylePr>
  </w:style>
  <w:style w:type="table" w:styleId="ColourfulListAccent4">
    <w:name w:val="Colorful List Accent 4"/>
    <w:basedOn w:val="TableNormal"/>
    <w:uiPriority w:val="72"/>
    <w:semiHidden/>
    <w:unhideWhenUsed/>
    <w:locked/>
    <w:rsid w:val="00C551E1"/>
    <w:pPr>
      <w:spacing w:after="0"/>
    </w:pPr>
    <w:rPr>
      <w:color w:val="000000" w:themeColor="text1"/>
    </w:rPr>
    <w:tblPr>
      <w:tblStyleRowBandSize w:val="1"/>
      <w:tblStyleColBandSize w:val="1"/>
    </w:tblPr>
    <w:tcPr>
      <w:shd w:val="clear" w:color="auto" w:fill="F3F3F3" w:themeFill="accent4" w:themeFillTint="19"/>
    </w:tcPr>
    <w:tblStylePr w:type="firstRow">
      <w:rPr>
        <w:b/>
        <w:bCs/>
        <w:color w:val="FFFFFF" w:themeColor="background1"/>
      </w:rPr>
      <w:tblPr/>
      <w:tcPr>
        <w:tcBorders>
          <w:bottom w:val="single" w:sz="12" w:space="0" w:color="FFFFFF" w:themeColor="background1"/>
        </w:tcBorders>
        <w:shd w:val="clear" w:color="auto" w:fill="BAB7B7" w:themeFill="accent3" w:themeFillShade="CC"/>
      </w:tcPr>
    </w:tblStylePr>
    <w:tblStylePr w:type="lastRow">
      <w:rPr>
        <w:b/>
        <w:bCs/>
        <w:color w:val="BAB7B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1" w:themeFill="accent4" w:themeFillTint="3F"/>
      </w:tcPr>
    </w:tblStylePr>
    <w:tblStylePr w:type="band1Horz">
      <w:tblPr/>
      <w:tcPr>
        <w:shd w:val="clear" w:color="auto" w:fill="E8E6E6" w:themeFill="accent4" w:themeFillTint="33"/>
      </w:tcPr>
    </w:tblStylePr>
  </w:style>
  <w:style w:type="table" w:styleId="ColourfulListAccent5">
    <w:name w:val="Colorful List Accent 5"/>
    <w:basedOn w:val="TableNormal"/>
    <w:uiPriority w:val="72"/>
    <w:semiHidden/>
    <w:unhideWhenUsed/>
    <w:locked/>
    <w:rsid w:val="00C551E1"/>
    <w:pPr>
      <w:spacing w:after="0"/>
    </w:pPr>
    <w:rPr>
      <w:color w:val="000000" w:themeColor="text1"/>
    </w:rPr>
    <w:tblPr>
      <w:tblStyleRowBandSize w:val="1"/>
      <w:tblStyleColBandSize w:val="1"/>
    </w:tblPr>
    <w:tcPr>
      <w:shd w:val="clear" w:color="auto" w:fill="EAE9E9" w:themeFill="accent5" w:themeFillTint="19"/>
    </w:tcPr>
    <w:tblStylePr w:type="firstRow">
      <w:rPr>
        <w:b/>
        <w:bCs/>
        <w:color w:val="FFFFFF" w:themeColor="background1"/>
      </w:rPr>
      <w:tblPr/>
      <w:tcPr>
        <w:tcBorders>
          <w:bottom w:val="single" w:sz="12" w:space="0" w:color="FFFFFF" w:themeColor="background1"/>
        </w:tcBorders>
        <w:shd w:val="clear" w:color="auto" w:fill="3B0B13" w:themeFill="accent6" w:themeFillShade="CC"/>
      </w:tcPr>
    </w:tblStylePr>
    <w:tblStylePr w:type="lastRow">
      <w:rPr>
        <w:b/>
        <w:bCs/>
        <w:color w:val="3B0B1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9C9" w:themeFill="accent5" w:themeFillTint="3F"/>
      </w:tcPr>
    </w:tblStylePr>
    <w:tblStylePr w:type="band1Horz">
      <w:tblPr/>
      <w:tcPr>
        <w:shd w:val="clear" w:color="auto" w:fill="D5D3D3" w:themeFill="accent5" w:themeFillTint="33"/>
      </w:tcPr>
    </w:tblStylePr>
  </w:style>
  <w:style w:type="table" w:styleId="ColourfulListAccent6">
    <w:name w:val="Colorful List Accent 6"/>
    <w:basedOn w:val="TableNormal"/>
    <w:uiPriority w:val="72"/>
    <w:semiHidden/>
    <w:unhideWhenUsed/>
    <w:locked/>
    <w:rsid w:val="00C551E1"/>
    <w:pPr>
      <w:spacing w:after="0"/>
    </w:pPr>
    <w:rPr>
      <w:color w:val="000000" w:themeColor="text1"/>
    </w:rPr>
    <w:tblPr>
      <w:tblStyleRowBandSize w:val="1"/>
      <w:tblStyleColBandSize w:val="1"/>
    </w:tblPr>
    <w:tcPr>
      <w:shd w:val="clear" w:color="auto" w:fill="F8DBE0" w:themeFill="accent6" w:themeFillTint="19"/>
    </w:tcPr>
    <w:tblStylePr w:type="firstRow">
      <w:rPr>
        <w:b/>
        <w:bCs/>
        <w:color w:val="FFFFFF" w:themeColor="background1"/>
      </w:rPr>
      <w:tblPr/>
      <w:tcPr>
        <w:tcBorders>
          <w:bottom w:val="single" w:sz="12" w:space="0" w:color="FFFFFF" w:themeColor="background1"/>
        </w:tcBorders>
        <w:shd w:val="clear" w:color="auto" w:fill="232121" w:themeFill="accent5" w:themeFillShade="CC"/>
      </w:tcPr>
    </w:tblStylePr>
    <w:tblStylePr w:type="lastRow">
      <w:rPr>
        <w:b/>
        <w:bCs/>
        <w:color w:val="2321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A7B2" w:themeFill="accent6" w:themeFillTint="3F"/>
      </w:tcPr>
    </w:tblStylePr>
    <w:tblStylePr w:type="band1Horz">
      <w:tblPr/>
      <w:tcPr>
        <w:shd w:val="clear" w:color="auto" w:fill="F1B7C1" w:themeFill="accent6" w:themeFillTint="33"/>
      </w:tcPr>
    </w:tblStylePr>
  </w:style>
  <w:style w:type="table" w:styleId="ColourfulShading">
    <w:name w:val="Colorful Shading"/>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B35F6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5F6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B35F6D" w:themeColor="accent2"/>
        <w:left w:val="single" w:sz="4" w:space="0" w:color="931B2F" w:themeColor="accent1"/>
        <w:bottom w:val="single" w:sz="4" w:space="0" w:color="931B2F" w:themeColor="accent1"/>
        <w:right w:val="single" w:sz="4" w:space="0" w:color="931B2F" w:themeColor="accent1"/>
        <w:insideH w:val="single" w:sz="4" w:space="0" w:color="FFFFFF" w:themeColor="background1"/>
        <w:insideV w:val="single" w:sz="4" w:space="0" w:color="FFFFFF" w:themeColor="background1"/>
      </w:tblBorders>
    </w:tblPr>
    <w:tcPr>
      <w:shd w:val="clear" w:color="auto" w:fill="FAE3E6" w:themeFill="accent1" w:themeFillTint="19"/>
    </w:tcPr>
    <w:tblStylePr w:type="firstRow">
      <w:rPr>
        <w:b/>
        <w:bCs/>
      </w:rPr>
      <w:tblPr/>
      <w:tcPr>
        <w:tcBorders>
          <w:top w:val="nil"/>
          <w:left w:val="nil"/>
          <w:bottom w:val="single" w:sz="24" w:space="0" w:color="B35F6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101C" w:themeFill="accent1" w:themeFillShade="99"/>
      </w:tcPr>
    </w:tblStylePr>
    <w:tblStylePr w:type="firstCol">
      <w:rPr>
        <w:color w:val="FFFFFF" w:themeColor="background1"/>
      </w:rPr>
      <w:tblPr/>
      <w:tcPr>
        <w:tcBorders>
          <w:top w:val="nil"/>
          <w:left w:val="nil"/>
          <w:bottom w:val="nil"/>
          <w:right w:val="nil"/>
          <w:insideH w:val="single" w:sz="4" w:space="0" w:color="58101C" w:themeColor="accent1" w:themeShade="99"/>
          <w:insideV w:val="nil"/>
        </w:tcBorders>
        <w:shd w:val="clear" w:color="auto" w:fill="5810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8101C" w:themeFill="accent1" w:themeFillShade="99"/>
      </w:tcPr>
    </w:tblStylePr>
    <w:tblStylePr w:type="band1Vert">
      <w:tblPr/>
      <w:tcPr>
        <w:shd w:val="clear" w:color="auto" w:fill="EA8D9C" w:themeFill="accent1" w:themeFillTint="66"/>
      </w:tcPr>
    </w:tblStylePr>
    <w:tblStylePr w:type="band1Horz">
      <w:tblPr/>
      <w:tcPr>
        <w:shd w:val="clear" w:color="auto" w:fill="E57184"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B35F6D" w:themeColor="accent2"/>
        <w:left w:val="single" w:sz="4" w:space="0" w:color="B35F6D" w:themeColor="accent2"/>
        <w:bottom w:val="single" w:sz="4" w:space="0" w:color="B35F6D" w:themeColor="accent2"/>
        <w:right w:val="single" w:sz="4" w:space="0" w:color="B35F6D" w:themeColor="accent2"/>
        <w:insideH w:val="single" w:sz="4" w:space="0" w:color="FFFFFF" w:themeColor="background1"/>
        <w:insideV w:val="single" w:sz="4" w:space="0" w:color="FFFFFF" w:themeColor="background1"/>
      </w:tblBorders>
    </w:tblPr>
    <w:tcPr>
      <w:shd w:val="clear" w:color="auto" w:fill="F7EFF0" w:themeFill="accent2" w:themeFillTint="19"/>
    </w:tcPr>
    <w:tblStylePr w:type="firstRow">
      <w:rPr>
        <w:b/>
        <w:bCs/>
      </w:rPr>
      <w:tblPr/>
      <w:tcPr>
        <w:tcBorders>
          <w:top w:val="nil"/>
          <w:left w:val="nil"/>
          <w:bottom w:val="single" w:sz="24" w:space="0" w:color="B35F6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F353E" w:themeFill="accent2" w:themeFillShade="99"/>
      </w:tcPr>
    </w:tblStylePr>
    <w:tblStylePr w:type="firstCol">
      <w:rPr>
        <w:color w:val="FFFFFF" w:themeColor="background1"/>
      </w:rPr>
      <w:tblPr/>
      <w:tcPr>
        <w:tcBorders>
          <w:top w:val="nil"/>
          <w:left w:val="nil"/>
          <w:bottom w:val="nil"/>
          <w:right w:val="nil"/>
          <w:insideH w:val="single" w:sz="4" w:space="0" w:color="6F353E" w:themeColor="accent2" w:themeShade="99"/>
          <w:insideV w:val="nil"/>
        </w:tcBorders>
        <w:shd w:val="clear" w:color="auto" w:fill="6F353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F353E" w:themeFill="accent2" w:themeFillShade="99"/>
      </w:tcPr>
    </w:tblStylePr>
    <w:tblStylePr w:type="band1Vert">
      <w:tblPr/>
      <w:tcPr>
        <w:shd w:val="clear" w:color="auto" w:fill="E0BEC4" w:themeFill="accent2" w:themeFillTint="66"/>
      </w:tcPr>
    </w:tblStylePr>
    <w:tblStylePr w:type="band1Horz">
      <w:tblPr/>
      <w:tcPr>
        <w:shd w:val="clear" w:color="auto" w:fill="D9AFB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8C8686" w:themeColor="accent4"/>
        <w:left w:val="single" w:sz="4" w:space="0" w:color="E8E7E7" w:themeColor="accent3"/>
        <w:bottom w:val="single" w:sz="4" w:space="0" w:color="E8E7E7" w:themeColor="accent3"/>
        <w:right w:val="single" w:sz="4" w:space="0" w:color="E8E7E7"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8C868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8888" w:themeFill="accent3" w:themeFillShade="99"/>
      </w:tcPr>
    </w:tblStylePr>
    <w:tblStylePr w:type="firstCol">
      <w:rPr>
        <w:color w:val="FFFFFF" w:themeColor="background1"/>
      </w:rPr>
      <w:tblPr/>
      <w:tcPr>
        <w:tcBorders>
          <w:top w:val="nil"/>
          <w:left w:val="nil"/>
          <w:bottom w:val="nil"/>
          <w:right w:val="nil"/>
          <w:insideH w:val="single" w:sz="4" w:space="0" w:color="8D8888" w:themeColor="accent3" w:themeShade="99"/>
          <w:insideV w:val="nil"/>
        </w:tcBorders>
        <w:shd w:val="clear" w:color="auto" w:fill="8D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D8888" w:themeFill="accent3" w:themeFillShade="99"/>
      </w:tcPr>
    </w:tblStylePr>
    <w:tblStylePr w:type="band1Vert">
      <w:tblPr/>
      <w:tcPr>
        <w:shd w:val="clear" w:color="auto" w:fill="F5F5F5" w:themeFill="accent3" w:themeFillTint="66"/>
      </w:tcPr>
    </w:tblStylePr>
    <w:tblStylePr w:type="band1Horz">
      <w:tblPr/>
      <w:tcPr>
        <w:shd w:val="clear" w:color="auto" w:fill="F3F2F2" w:themeFill="accent3" w:themeFillTint="7F"/>
      </w:tcPr>
    </w:tblStylePr>
  </w:style>
  <w:style w:type="table" w:styleId="ColourfulShadingAccent4">
    <w:name w:val="Colorful Shading Accent 4"/>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E8E7E7" w:themeColor="accent3"/>
        <w:left w:val="single" w:sz="4" w:space="0" w:color="8C8686" w:themeColor="accent4"/>
        <w:bottom w:val="single" w:sz="4" w:space="0" w:color="8C8686" w:themeColor="accent4"/>
        <w:right w:val="single" w:sz="4" w:space="0" w:color="8C8686" w:themeColor="accent4"/>
        <w:insideH w:val="single" w:sz="4" w:space="0" w:color="FFFFFF" w:themeColor="background1"/>
        <w:insideV w:val="single" w:sz="4" w:space="0" w:color="FFFFFF" w:themeColor="background1"/>
      </w:tblBorders>
    </w:tblPr>
    <w:tcPr>
      <w:shd w:val="clear" w:color="auto" w:fill="F3F3F3" w:themeFill="accent4" w:themeFillTint="19"/>
    </w:tcPr>
    <w:tblStylePr w:type="firstRow">
      <w:rPr>
        <w:b/>
        <w:bCs/>
      </w:rPr>
      <w:tblPr/>
      <w:tcPr>
        <w:tcBorders>
          <w:top w:val="nil"/>
          <w:left w:val="nil"/>
          <w:bottom w:val="single" w:sz="24" w:space="0" w:color="E8E7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050" w:themeFill="accent4" w:themeFillShade="99"/>
      </w:tcPr>
    </w:tblStylePr>
    <w:tblStylePr w:type="firstCol">
      <w:rPr>
        <w:color w:val="FFFFFF" w:themeColor="background1"/>
      </w:rPr>
      <w:tblPr/>
      <w:tcPr>
        <w:tcBorders>
          <w:top w:val="nil"/>
          <w:left w:val="nil"/>
          <w:bottom w:val="nil"/>
          <w:right w:val="nil"/>
          <w:insideH w:val="single" w:sz="4" w:space="0" w:color="545050" w:themeColor="accent4" w:themeShade="99"/>
          <w:insideV w:val="nil"/>
        </w:tcBorders>
        <w:shd w:val="clear" w:color="auto" w:fill="5450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45050" w:themeFill="accent4" w:themeFillShade="99"/>
      </w:tcPr>
    </w:tblStylePr>
    <w:tblStylePr w:type="band1Vert">
      <w:tblPr/>
      <w:tcPr>
        <w:shd w:val="clear" w:color="auto" w:fill="D1CECE" w:themeFill="accent4" w:themeFillTint="66"/>
      </w:tcPr>
    </w:tblStylePr>
    <w:tblStylePr w:type="band1Horz">
      <w:tblPr/>
      <w:tcPr>
        <w:shd w:val="clear" w:color="auto" w:fill="C5C2C2"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4A0E18" w:themeColor="accent6"/>
        <w:left w:val="single" w:sz="4" w:space="0" w:color="2C2A2A" w:themeColor="accent5"/>
        <w:bottom w:val="single" w:sz="4" w:space="0" w:color="2C2A2A" w:themeColor="accent5"/>
        <w:right w:val="single" w:sz="4" w:space="0" w:color="2C2A2A" w:themeColor="accent5"/>
        <w:insideH w:val="single" w:sz="4" w:space="0" w:color="FFFFFF" w:themeColor="background1"/>
        <w:insideV w:val="single" w:sz="4" w:space="0" w:color="FFFFFF" w:themeColor="background1"/>
      </w:tblBorders>
    </w:tblPr>
    <w:tcPr>
      <w:shd w:val="clear" w:color="auto" w:fill="EAE9E9" w:themeFill="accent5" w:themeFillTint="19"/>
    </w:tcPr>
    <w:tblStylePr w:type="firstRow">
      <w:rPr>
        <w:b/>
        <w:bCs/>
      </w:rPr>
      <w:tblPr/>
      <w:tcPr>
        <w:tcBorders>
          <w:top w:val="nil"/>
          <w:left w:val="nil"/>
          <w:bottom w:val="single" w:sz="24" w:space="0" w:color="4A0E1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1919" w:themeFill="accent5" w:themeFillShade="99"/>
      </w:tcPr>
    </w:tblStylePr>
    <w:tblStylePr w:type="firstCol">
      <w:rPr>
        <w:color w:val="FFFFFF" w:themeColor="background1"/>
      </w:rPr>
      <w:tblPr/>
      <w:tcPr>
        <w:tcBorders>
          <w:top w:val="nil"/>
          <w:left w:val="nil"/>
          <w:bottom w:val="nil"/>
          <w:right w:val="nil"/>
          <w:insideH w:val="single" w:sz="4" w:space="0" w:color="1A1919" w:themeColor="accent5" w:themeShade="99"/>
          <w:insideV w:val="nil"/>
        </w:tcBorders>
        <w:shd w:val="clear" w:color="auto" w:fill="1A19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accent5" w:themeFillShade="99"/>
      </w:tcPr>
    </w:tblStylePr>
    <w:tblStylePr w:type="band1Vert">
      <w:tblPr/>
      <w:tcPr>
        <w:shd w:val="clear" w:color="auto" w:fill="ACA8A8" w:themeFill="accent5" w:themeFillTint="66"/>
      </w:tcPr>
    </w:tblStylePr>
    <w:tblStylePr w:type="band1Horz">
      <w:tblPr/>
      <w:tcPr>
        <w:shd w:val="clear" w:color="auto" w:fill="97929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2C2A2A" w:themeColor="accent5"/>
        <w:left w:val="single" w:sz="4" w:space="0" w:color="4A0E18" w:themeColor="accent6"/>
        <w:bottom w:val="single" w:sz="4" w:space="0" w:color="4A0E18" w:themeColor="accent6"/>
        <w:right w:val="single" w:sz="4" w:space="0" w:color="4A0E18" w:themeColor="accent6"/>
        <w:insideH w:val="single" w:sz="4" w:space="0" w:color="FFFFFF" w:themeColor="background1"/>
        <w:insideV w:val="single" w:sz="4" w:space="0" w:color="FFFFFF" w:themeColor="background1"/>
      </w:tblBorders>
    </w:tblPr>
    <w:tcPr>
      <w:shd w:val="clear" w:color="auto" w:fill="F8DBE0" w:themeFill="accent6" w:themeFillTint="19"/>
    </w:tcPr>
    <w:tblStylePr w:type="firstRow">
      <w:rPr>
        <w:b/>
        <w:bCs/>
      </w:rPr>
      <w:tblPr/>
      <w:tcPr>
        <w:tcBorders>
          <w:top w:val="nil"/>
          <w:left w:val="nil"/>
          <w:bottom w:val="single" w:sz="24" w:space="0" w:color="2C2A2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080E" w:themeFill="accent6" w:themeFillShade="99"/>
      </w:tcPr>
    </w:tblStylePr>
    <w:tblStylePr w:type="firstCol">
      <w:rPr>
        <w:color w:val="FFFFFF" w:themeColor="background1"/>
      </w:rPr>
      <w:tblPr/>
      <w:tcPr>
        <w:tcBorders>
          <w:top w:val="nil"/>
          <w:left w:val="nil"/>
          <w:bottom w:val="nil"/>
          <w:right w:val="nil"/>
          <w:insideH w:val="single" w:sz="4" w:space="0" w:color="2C080E" w:themeColor="accent6" w:themeShade="99"/>
          <w:insideV w:val="nil"/>
        </w:tcBorders>
        <w:shd w:val="clear" w:color="auto" w:fill="2C080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080E" w:themeFill="accent6" w:themeFillShade="99"/>
      </w:tcPr>
    </w:tblStylePr>
    <w:tblStylePr w:type="band1Vert">
      <w:tblPr/>
      <w:tcPr>
        <w:shd w:val="clear" w:color="auto" w:fill="E47083" w:themeFill="accent6" w:themeFillTint="66"/>
      </w:tcPr>
    </w:tblStylePr>
    <w:tblStylePr w:type="band1Horz">
      <w:tblPr/>
      <w:tcPr>
        <w:shd w:val="clear" w:color="auto" w:fill="DD4E6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93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0D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D14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D1423" w:themeFill="accent1" w:themeFillShade="BF"/>
      </w:tcPr>
    </w:tblStylePr>
    <w:tblStylePr w:type="band1Vert">
      <w:tblPr/>
      <w:tcPr>
        <w:tcBorders>
          <w:top w:val="nil"/>
          <w:left w:val="nil"/>
          <w:bottom w:val="nil"/>
          <w:right w:val="nil"/>
          <w:insideH w:val="nil"/>
          <w:insideV w:val="nil"/>
        </w:tcBorders>
        <w:shd w:val="clear" w:color="auto" w:fill="6D1423" w:themeFill="accent1" w:themeFillShade="BF"/>
      </w:tcPr>
    </w:tblStylePr>
    <w:tblStylePr w:type="band1Horz">
      <w:tblPr/>
      <w:tcPr>
        <w:tcBorders>
          <w:top w:val="nil"/>
          <w:left w:val="nil"/>
          <w:bottom w:val="nil"/>
          <w:right w:val="nil"/>
          <w:insideH w:val="nil"/>
          <w:insideV w:val="nil"/>
        </w:tcBorders>
        <w:shd w:val="clear" w:color="auto" w:fill="6D1423" w:themeFill="accent1" w:themeFillShade="BF"/>
      </w:tcPr>
    </w:tblStylePr>
  </w:style>
  <w:style w:type="table" w:styleId="DarkList-Accent2">
    <w:name w:val="Dark List Accent 2"/>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B35F6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C2C3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A424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A424E" w:themeFill="accent2" w:themeFillShade="BF"/>
      </w:tcPr>
    </w:tblStylePr>
    <w:tblStylePr w:type="band1Vert">
      <w:tblPr/>
      <w:tcPr>
        <w:tcBorders>
          <w:top w:val="nil"/>
          <w:left w:val="nil"/>
          <w:bottom w:val="nil"/>
          <w:right w:val="nil"/>
          <w:insideH w:val="nil"/>
          <w:insideV w:val="nil"/>
        </w:tcBorders>
        <w:shd w:val="clear" w:color="auto" w:fill="8A424E" w:themeFill="accent2" w:themeFillShade="BF"/>
      </w:tcPr>
    </w:tblStylePr>
    <w:tblStylePr w:type="band1Horz">
      <w:tblPr/>
      <w:tcPr>
        <w:tcBorders>
          <w:top w:val="nil"/>
          <w:left w:val="nil"/>
          <w:bottom w:val="nil"/>
          <w:right w:val="nil"/>
          <w:insideH w:val="nil"/>
          <w:insideV w:val="nil"/>
        </w:tcBorders>
        <w:shd w:val="clear" w:color="auto" w:fill="8A424E" w:themeFill="accent2" w:themeFillShade="BF"/>
      </w:tcPr>
    </w:tblStylePr>
  </w:style>
  <w:style w:type="table" w:styleId="DarkList-Accent3">
    <w:name w:val="Dark List Accent 3"/>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E8E7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707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FABA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FABAB" w:themeFill="accent3" w:themeFillShade="BF"/>
      </w:tcPr>
    </w:tblStylePr>
    <w:tblStylePr w:type="band1Vert">
      <w:tblPr/>
      <w:tcPr>
        <w:tcBorders>
          <w:top w:val="nil"/>
          <w:left w:val="nil"/>
          <w:bottom w:val="nil"/>
          <w:right w:val="nil"/>
          <w:insideH w:val="nil"/>
          <w:insideV w:val="nil"/>
        </w:tcBorders>
        <w:shd w:val="clear" w:color="auto" w:fill="AFABAB" w:themeFill="accent3" w:themeFillShade="BF"/>
      </w:tcPr>
    </w:tblStylePr>
    <w:tblStylePr w:type="band1Horz">
      <w:tblPr/>
      <w:tcPr>
        <w:tcBorders>
          <w:top w:val="nil"/>
          <w:left w:val="nil"/>
          <w:bottom w:val="nil"/>
          <w:right w:val="nil"/>
          <w:insideH w:val="nil"/>
          <w:insideV w:val="nil"/>
        </w:tcBorders>
        <w:shd w:val="clear" w:color="auto" w:fill="AFABAB" w:themeFill="accent3" w:themeFillShade="BF"/>
      </w:tcPr>
    </w:tblStylePr>
  </w:style>
  <w:style w:type="table" w:styleId="DarkList-Accent4">
    <w:name w:val="Dark List Accent 4"/>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8C868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2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964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96464" w:themeFill="accent4" w:themeFillShade="BF"/>
      </w:tcPr>
    </w:tblStylePr>
    <w:tblStylePr w:type="band1Vert">
      <w:tblPr/>
      <w:tcPr>
        <w:tcBorders>
          <w:top w:val="nil"/>
          <w:left w:val="nil"/>
          <w:bottom w:val="nil"/>
          <w:right w:val="nil"/>
          <w:insideH w:val="nil"/>
          <w:insideV w:val="nil"/>
        </w:tcBorders>
        <w:shd w:val="clear" w:color="auto" w:fill="696464" w:themeFill="accent4" w:themeFillShade="BF"/>
      </w:tcPr>
    </w:tblStylePr>
    <w:tblStylePr w:type="band1Horz">
      <w:tblPr/>
      <w:tcPr>
        <w:tcBorders>
          <w:top w:val="nil"/>
          <w:left w:val="nil"/>
          <w:bottom w:val="nil"/>
          <w:right w:val="nil"/>
          <w:insideH w:val="nil"/>
          <w:insideV w:val="nil"/>
        </w:tcBorders>
        <w:shd w:val="clear" w:color="auto" w:fill="696464" w:themeFill="accent4" w:themeFillShade="BF"/>
      </w:tcPr>
    </w:tblStylePr>
  </w:style>
  <w:style w:type="table" w:styleId="DarkList-Accent5">
    <w:name w:val="Dark List Accent 5"/>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2C2A2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15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1F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1F1F" w:themeFill="accent5" w:themeFillShade="BF"/>
      </w:tcPr>
    </w:tblStylePr>
    <w:tblStylePr w:type="band1Vert">
      <w:tblPr/>
      <w:tcPr>
        <w:tcBorders>
          <w:top w:val="nil"/>
          <w:left w:val="nil"/>
          <w:bottom w:val="nil"/>
          <w:right w:val="nil"/>
          <w:insideH w:val="nil"/>
          <w:insideV w:val="nil"/>
        </w:tcBorders>
        <w:shd w:val="clear" w:color="auto" w:fill="201F1F" w:themeFill="accent5" w:themeFillShade="BF"/>
      </w:tcPr>
    </w:tblStylePr>
    <w:tblStylePr w:type="band1Horz">
      <w:tblPr/>
      <w:tcPr>
        <w:tcBorders>
          <w:top w:val="nil"/>
          <w:left w:val="nil"/>
          <w:bottom w:val="nil"/>
          <w:right w:val="nil"/>
          <w:insideH w:val="nil"/>
          <w:insideV w:val="nil"/>
        </w:tcBorders>
        <w:shd w:val="clear" w:color="auto" w:fill="201F1F" w:themeFill="accent5" w:themeFillShade="BF"/>
      </w:tcPr>
    </w:tblStylePr>
  </w:style>
  <w:style w:type="table" w:styleId="DarkList-Accent6">
    <w:name w:val="Dark List Accent 6"/>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4A0E1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07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0A1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0A11" w:themeFill="accent6" w:themeFillShade="BF"/>
      </w:tcPr>
    </w:tblStylePr>
    <w:tblStylePr w:type="band1Vert">
      <w:tblPr/>
      <w:tcPr>
        <w:tcBorders>
          <w:top w:val="nil"/>
          <w:left w:val="nil"/>
          <w:bottom w:val="nil"/>
          <w:right w:val="nil"/>
          <w:insideH w:val="nil"/>
          <w:insideV w:val="nil"/>
        </w:tcBorders>
        <w:shd w:val="clear" w:color="auto" w:fill="370A11" w:themeFill="accent6" w:themeFillShade="BF"/>
      </w:tcPr>
    </w:tblStylePr>
    <w:tblStylePr w:type="band1Horz">
      <w:tblPr/>
      <w:tcPr>
        <w:tcBorders>
          <w:top w:val="nil"/>
          <w:left w:val="nil"/>
          <w:bottom w:val="nil"/>
          <w:right w:val="nil"/>
          <w:insideH w:val="nil"/>
          <w:insideV w:val="nil"/>
        </w:tcBorders>
        <w:shd w:val="clear" w:color="auto" w:fill="370A11" w:themeFill="accent6" w:themeFillShade="BF"/>
      </w:tcPr>
    </w:tblStylePr>
  </w:style>
  <w:style w:type="table" w:customStyle="1" w:styleId="GridTable1Light1">
    <w:name w:val="Grid Table 1 Light1"/>
    <w:basedOn w:val="TableNormal"/>
    <w:uiPriority w:val="46"/>
    <w:semiHidden/>
    <w:rsid w:val="00C551E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C551E1"/>
    <w:pPr>
      <w:spacing w:after="0"/>
    </w:pPr>
    <w:tblPr>
      <w:tblStyleRowBandSize w:val="1"/>
      <w:tblStyleColBandSize w:val="1"/>
      <w:tblBorders>
        <w:top w:val="single" w:sz="4" w:space="0" w:color="EA8D9C" w:themeColor="accent1" w:themeTint="66"/>
        <w:left w:val="single" w:sz="4" w:space="0" w:color="EA8D9C" w:themeColor="accent1" w:themeTint="66"/>
        <w:bottom w:val="single" w:sz="4" w:space="0" w:color="EA8D9C" w:themeColor="accent1" w:themeTint="66"/>
        <w:right w:val="single" w:sz="4" w:space="0" w:color="EA8D9C" w:themeColor="accent1" w:themeTint="66"/>
        <w:insideH w:val="single" w:sz="4" w:space="0" w:color="EA8D9C" w:themeColor="accent1" w:themeTint="66"/>
        <w:insideV w:val="single" w:sz="4" w:space="0" w:color="EA8D9C" w:themeColor="accent1" w:themeTint="66"/>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2" w:space="0" w:color="DF546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C551E1"/>
    <w:pPr>
      <w:spacing w:after="0"/>
    </w:pPr>
    <w:tblPr>
      <w:tblStyleRowBandSize w:val="1"/>
      <w:tblStyleColBandSize w:val="1"/>
      <w:tblBorders>
        <w:top w:val="single" w:sz="4" w:space="0" w:color="E0BEC4" w:themeColor="accent2" w:themeTint="66"/>
        <w:left w:val="single" w:sz="4" w:space="0" w:color="E0BEC4" w:themeColor="accent2" w:themeTint="66"/>
        <w:bottom w:val="single" w:sz="4" w:space="0" w:color="E0BEC4" w:themeColor="accent2" w:themeTint="66"/>
        <w:right w:val="single" w:sz="4" w:space="0" w:color="E0BEC4" w:themeColor="accent2" w:themeTint="66"/>
        <w:insideH w:val="single" w:sz="4" w:space="0" w:color="E0BEC4" w:themeColor="accent2" w:themeTint="66"/>
        <w:insideV w:val="single" w:sz="4" w:space="0" w:color="E0BEC4" w:themeColor="accent2" w:themeTint="66"/>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2" w:space="0" w:color="D19EA7"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C551E1"/>
    <w:pPr>
      <w:spacing w:after="0"/>
    </w:pPr>
    <w:tblPr>
      <w:tblStyleRowBandSize w:val="1"/>
      <w:tblStyleColBandSize w:val="1"/>
      <w:tblBorders>
        <w:top w:val="single" w:sz="4" w:space="0" w:color="F5F5F5" w:themeColor="accent3" w:themeTint="66"/>
        <w:left w:val="single" w:sz="4" w:space="0" w:color="F5F5F5" w:themeColor="accent3" w:themeTint="66"/>
        <w:bottom w:val="single" w:sz="4" w:space="0" w:color="F5F5F5" w:themeColor="accent3" w:themeTint="66"/>
        <w:right w:val="single" w:sz="4" w:space="0" w:color="F5F5F5" w:themeColor="accent3" w:themeTint="66"/>
        <w:insideH w:val="single" w:sz="4" w:space="0" w:color="F5F5F5" w:themeColor="accent3" w:themeTint="66"/>
        <w:insideV w:val="single" w:sz="4" w:space="0" w:color="F5F5F5" w:themeColor="accent3" w:themeTint="66"/>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2" w:space="0" w:color="F1F0F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C551E1"/>
    <w:pPr>
      <w:spacing w:after="0"/>
    </w:pPr>
    <w:tblPr>
      <w:tblStyleRowBandSize w:val="1"/>
      <w:tblStyleColBandSize w:val="1"/>
      <w:tblBorders>
        <w:top w:val="single" w:sz="4" w:space="0" w:color="D1CECE" w:themeColor="accent4" w:themeTint="66"/>
        <w:left w:val="single" w:sz="4" w:space="0" w:color="D1CECE" w:themeColor="accent4" w:themeTint="66"/>
        <w:bottom w:val="single" w:sz="4" w:space="0" w:color="D1CECE" w:themeColor="accent4" w:themeTint="66"/>
        <w:right w:val="single" w:sz="4" w:space="0" w:color="D1CECE" w:themeColor="accent4" w:themeTint="66"/>
        <w:insideH w:val="single" w:sz="4" w:space="0" w:color="D1CECE" w:themeColor="accent4" w:themeTint="66"/>
        <w:insideV w:val="single" w:sz="4" w:space="0" w:color="D1CECE" w:themeColor="accent4" w:themeTint="66"/>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2" w:space="0" w:color="BAB6B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C551E1"/>
    <w:pPr>
      <w:spacing w:after="0"/>
    </w:pPr>
    <w:tblPr>
      <w:tblStyleRowBandSize w:val="1"/>
      <w:tblStyleColBandSize w:val="1"/>
      <w:tblBorders>
        <w:top w:val="single" w:sz="4" w:space="0" w:color="ACA8A8" w:themeColor="accent5" w:themeTint="66"/>
        <w:left w:val="single" w:sz="4" w:space="0" w:color="ACA8A8" w:themeColor="accent5" w:themeTint="66"/>
        <w:bottom w:val="single" w:sz="4" w:space="0" w:color="ACA8A8" w:themeColor="accent5" w:themeTint="66"/>
        <w:right w:val="single" w:sz="4" w:space="0" w:color="ACA8A8" w:themeColor="accent5" w:themeTint="66"/>
        <w:insideH w:val="single" w:sz="4" w:space="0" w:color="ACA8A8" w:themeColor="accent5" w:themeTint="66"/>
        <w:insideV w:val="single" w:sz="4" w:space="0" w:color="ACA8A8" w:themeColor="accent5" w:themeTint="66"/>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2" w:space="0" w:color="827C7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C551E1"/>
    <w:pPr>
      <w:spacing w:after="0"/>
    </w:pPr>
    <w:tblPr>
      <w:tblStyleRowBandSize w:val="1"/>
      <w:tblStyleColBandSize w:val="1"/>
      <w:tblBorders>
        <w:top w:val="single" w:sz="4" w:space="0" w:color="E47083" w:themeColor="accent6" w:themeTint="66"/>
        <w:left w:val="single" w:sz="4" w:space="0" w:color="E47083" w:themeColor="accent6" w:themeTint="66"/>
        <w:bottom w:val="single" w:sz="4" w:space="0" w:color="E47083" w:themeColor="accent6" w:themeTint="66"/>
        <w:right w:val="single" w:sz="4" w:space="0" w:color="E47083" w:themeColor="accent6" w:themeTint="66"/>
        <w:insideH w:val="single" w:sz="4" w:space="0" w:color="E47083" w:themeColor="accent6" w:themeTint="66"/>
        <w:insideV w:val="single" w:sz="4" w:space="0" w:color="E47083" w:themeColor="accent6" w:themeTint="66"/>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2" w:space="0" w:color="D62946"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C551E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C551E1"/>
    <w:pPr>
      <w:spacing w:after="0"/>
    </w:pPr>
    <w:tblPr>
      <w:tblStyleRowBandSize w:val="1"/>
      <w:tblStyleColBandSize w:val="1"/>
      <w:tblBorders>
        <w:top w:val="single" w:sz="2" w:space="0" w:color="DF546B" w:themeColor="accent1" w:themeTint="99"/>
        <w:bottom w:val="single" w:sz="2" w:space="0" w:color="DF546B" w:themeColor="accent1" w:themeTint="99"/>
        <w:insideH w:val="single" w:sz="2" w:space="0" w:color="DF546B" w:themeColor="accent1" w:themeTint="99"/>
        <w:insideV w:val="single" w:sz="2" w:space="0" w:color="DF546B" w:themeColor="accent1" w:themeTint="99"/>
      </w:tblBorders>
    </w:tblPr>
    <w:tblStylePr w:type="firstRow">
      <w:rPr>
        <w:b/>
        <w:bCs/>
      </w:rPr>
      <w:tblPr/>
      <w:tcPr>
        <w:tcBorders>
          <w:top w:val="nil"/>
          <w:bottom w:val="single" w:sz="12" w:space="0" w:color="DF546B" w:themeColor="accent1" w:themeTint="99"/>
          <w:insideH w:val="nil"/>
          <w:insideV w:val="nil"/>
        </w:tcBorders>
        <w:shd w:val="clear" w:color="auto" w:fill="FFFFFF" w:themeFill="background1"/>
      </w:tcPr>
    </w:tblStylePr>
    <w:tblStylePr w:type="lastRow">
      <w:rPr>
        <w:b/>
        <w:bCs/>
      </w:rPr>
      <w:tblPr/>
      <w:tcPr>
        <w:tcBorders>
          <w:top w:val="double" w:sz="2" w:space="0" w:color="DF5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GridTable2-Accent21">
    <w:name w:val="Grid Table 2 - Accent 21"/>
    <w:basedOn w:val="TableNormal"/>
    <w:uiPriority w:val="47"/>
    <w:semiHidden/>
    <w:rsid w:val="00C551E1"/>
    <w:pPr>
      <w:spacing w:after="0"/>
    </w:pPr>
    <w:tblPr>
      <w:tblStyleRowBandSize w:val="1"/>
      <w:tblStyleColBandSize w:val="1"/>
      <w:tblBorders>
        <w:top w:val="single" w:sz="2" w:space="0" w:color="D19EA7" w:themeColor="accent2" w:themeTint="99"/>
        <w:bottom w:val="single" w:sz="2" w:space="0" w:color="D19EA7" w:themeColor="accent2" w:themeTint="99"/>
        <w:insideH w:val="single" w:sz="2" w:space="0" w:color="D19EA7" w:themeColor="accent2" w:themeTint="99"/>
        <w:insideV w:val="single" w:sz="2" w:space="0" w:color="D19EA7" w:themeColor="accent2" w:themeTint="99"/>
      </w:tblBorders>
    </w:tblPr>
    <w:tblStylePr w:type="firstRow">
      <w:rPr>
        <w:b/>
        <w:bCs/>
      </w:rPr>
      <w:tblPr/>
      <w:tcPr>
        <w:tcBorders>
          <w:top w:val="nil"/>
          <w:bottom w:val="single" w:sz="12" w:space="0" w:color="D19EA7" w:themeColor="accent2" w:themeTint="99"/>
          <w:insideH w:val="nil"/>
          <w:insideV w:val="nil"/>
        </w:tcBorders>
        <w:shd w:val="clear" w:color="auto" w:fill="FFFFFF" w:themeFill="background1"/>
      </w:tcPr>
    </w:tblStylePr>
    <w:tblStylePr w:type="lastRow">
      <w:rPr>
        <w:b/>
        <w:bCs/>
      </w:rPr>
      <w:tblPr/>
      <w:tcPr>
        <w:tcBorders>
          <w:top w:val="double" w:sz="2" w:space="0" w:color="D19E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GridTable2-Accent31">
    <w:name w:val="Grid Table 2 - Accent 31"/>
    <w:basedOn w:val="TableNormal"/>
    <w:uiPriority w:val="47"/>
    <w:semiHidden/>
    <w:rsid w:val="00C551E1"/>
    <w:pPr>
      <w:spacing w:after="0"/>
    </w:pPr>
    <w:tblPr>
      <w:tblStyleRowBandSize w:val="1"/>
      <w:tblStyleColBandSize w:val="1"/>
      <w:tblBorders>
        <w:top w:val="single" w:sz="2" w:space="0" w:color="F1F0F0" w:themeColor="accent3" w:themeTint="99"/>
        <w:bottom w:val="single" w:sz="2" w:space="0" w:color="F1F0F0" w:themeColor="accent3" w:themeTint="99"/>
        <w:insideH w:val="single" w:sz="2" w:space="0" w:color="F1F0F0" w:themeColor="accent3" w:themeTint="99"/>
        <w:insideV w:val="single" w:sz="2" w:space="0" w:color="F1F0F0" w:themeColor="accent3" w:themeTint="99"/>
      </w:tblBorders>
    </w:tblPr>
    <w:tblStylePr w:type="firstRow">
      <w:rPr>
        <w:b/>
        <w:bCs/>
      </w:rPr>
      <w:tblPr/>
      <w:tcPr>
        <w:tcBorders>
          <w:top w:val="nil"/>
          <w:bottom w:val="single" w:sz="12" w:space="0" w:color="F1F0F0" w:themeColor="accent3" w:themeTint="99"/>
          <w:insideH w:val="nil"/>
          <w:insideV w:val="nil"/>
        </w:tcBorders>
        <w:shd w:val="clear" w:color="auto" w:fill="FFFFFF" w:themeFill="background1"/>
      </w:tcPr>
    </w:tblStylePr>
    <w:tblStylePr w:type="lastRow">
      <w:rPr>
        <w:b/>
        <w:bCs/>
      </w:rPr>
      <w:tblPr/>
      <w:tcPr>
        <w:tcBorders>
          <w:top w:val="double" w:sz="2" w:space="0" w:color="F1F0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GridTable2-Accent41">
    <w:name w:val="Grid Table 2 - Accent 41"/>
    <w:basedOn w:val="TableNormal"/>
    <w:uiPriority w:val="47"/>
    <w:semiHidden/>
    <w:rsid w:val="00C551E1"/>
    <w:pPr>
      <w:spacing w:after="0"/>
    </w:pPr>
    <w:tblPr>
      <w:tblStyleRowBandSize w:val="1"/>
      <w:tblStyleColBandSize w:val="1"/>
      <w:tblBorders>
        <w:top w:val="single" w:sz="2" w:space="0" w:color="BAB6B6" w:themeColor="accent4" w:themeTint="99"/>
        <w:bottom w:val="single" w:sz="2" w:space="0" w:color="BAB6B6" w:themeColor="accent4" w:themeTint="99"/>
        <w:insideH w:val="single" w:sz="2" w:space="0" w:color="BAB6B6" w:themeColor="accent4" w:themeTint="99"/>
        <w:insideV w:val="single" w:sz="2" w:space="0" w:color="BAB6B6" w:themeColor="accent4" w:themeTint="99"/>
      </w:tblBorders>
    </w:tblPr>
    <w:tblStylePr w:type="firstRow">
      <w:rPr>
        <w:b/>
        <w:bCs/>
      </w:rPr>
      <w:tblPr/>
      <w:tcPr>
        <w:tcBorders>
          <w:top w:val="nil"/>
          <w:bottom w:val="single" w:sz="12" w:space="0" w:color="BAB6B6" w:themeColor="accent4" w:themeTint="99"/>
          <w:insideH w:val="nil"/>
          <w:insideV w:val="nil"/>
        </w:tcBorders>
        <w:shd w:val="clear" w:color="auto" w:fill="FFFFFF" w:themeFill="background1"/>
      </w:tcPr>
    </w:tblStylePr>
    <w:tblStylePr w:type="lastRow">
      <w:rPr>
        <w:b/>
        <w:bCs/>
      </w:rPr>
      <w:tblPr/>
      <w:tcPr>
        <w:tcBorders>
          <w:top w:val="double" w:sz="2" w:space="0" w:color="BAB6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GridTable2-Accent51">
    <w:name w:val="Grid Table 2 - Accent 51"/>
    <w:basedOn w:val="TableNormal"/>
    <w:uiPriority w:val="47"/>
    <w:semiHidden/>
    <w:rsid w:val="00C551E1"/>
    <w:pPr>
      <w:spacing w:after="0"/>
    </w:pPr>
    <w:tblPr>
      <w:tblStyleRowBandSize w:val="1"/>
      <w:tblStyleColBandSize w:val="1"/>
      <w:tblBorders>
        <w:top w:val="single" w:sz="2" w:space="0" w:color="827C7C" w:themeColor="accent5" w:themeTint="99"/>
        <w:bottom w:val="single" w:sz="2" w:space="0" w:color="827C7C" w:themeColor="accent5" w:themeTint="99"/>
        <w:insideH w:val="single" w:sz="2" w:space="0" w:color="827C7C" w:themeColor="accent5" w:themeTint="99"/>
        <w:insideV w:val="single" w:sz="2" w:space="0" w:color="827C7C" w:themeColor="accent5" w:themeTint="99"/>
      </w:tblBorders>
    </w:tblPr>
    <w:tblStylePr w:type="firstRow">
      <w:rPr>
        <w:b/>
        <w:bCs/>
      </w:rPr>
      <w:tblPr/>
      <w:tcPr>
        <w:tcBorders>
          <w:top w:val="nil"/>
          <w:bottom w:val="single" w:sz="12" w:space="0" w:color="827C7C" w:themeColor="accent5" w:themeTint="99"/>
          <w:insideH w:val="nil"/>
          <w:insideV w:val="nil"/>
        </w:tcBorders>
        <w:shd w:val="clear" w:color="auto" w:fill="FFFFFF" w:themeFill="background1"/>
      </w:tcPr>
    </w:tblStylePr>
    <w:tblStylePr w:type="lastRow">
      <w:rPr>
        <w:b/>
        <w:bCs/>
      </w:rPr>
      <w:tblPr/>
      <w:tcPr>
        <w:tcBorders>
          <w:top w:val="double" w:sz="2" w:space="0" w:color="827C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GridTable2-Accent61">
    <w:name w:val="Grid Table 2 - Accent 61"/>
    <w:basedOn w:val="TableNormal"/>
    <w:uiPriority w:val="47"/>
    <w:semiHidden/>
    <w:rsid w:val="00C551E1"/>
    <w:pPr>
      <w:spacing w:after="0"/>
    </w:pPr>
    <w:tblPr>
      <w:tblStyleRowBandSize w:val="1"/>
      <w:tblStyleColBandSize w:val="1"/>
      <w:tblBorders>
        <w:top w:val="single" w:sz="2" w:space="0" w:color="D62946" w:themeColor="accent6" w:themeTint="99"/>
        <w:bottom w:val="single" w:sz="2" w:space="0" w:color="D62946" w:themeColor="accent6" w:themeTint="99"/>
        <w:insideH w:val="single" w:sz="2" w:space="0" w:color="D62946" w:themeColor="accent6" w:themeTint="99"/>
        <w:insideV w:val="single" w:sz="2" w:space="0" w:color="D62946" w:themeColor="accent6" w:themeTint="99"/>
      </w:tblBorders>
    </w:tblPr>
    <w:tblStylePr w:type="firstRow">
      <w:rPr>
        <w:b/>
        <w:bCs/>
      </w:rPr>
      <w:tblPr/>
      <w:tcPr>
        <w:tcBorders>
          <w:top w:val="nil"/>
          <w:bottom w:val="single" w:sz="12" w:space="0" w:color="D62946" w:themeColor="accent6" w:themeTint="99"/>
          <w:insideH w:val="nil"/>
          <w:insideV w:val="nil"/>
        </w:tcBorders>
        <w:shd w:val="clear" w:color="auto" w:fill="FFFFFF" w:themeFill="background1"/>
      </w:tcPr>
    </w:tblStylePr>
    <w:tblStylePr w:type="lastRow">
      <w:rPr>
        <w:b/>
        <w:bCs/>
      </w:rPr>
      <w:tblPr/>
      <w:tcPr>
        <w:tcBorders>
          <w:top w:val="double" w:sz="2" w:space="0" w:color="D6294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GridTable31">
    <w:name w:val="Grid Table 31"/>
    <w:basedOn w:val="TableNormal"/>
    <w:uiPriority w:val="48"/>
    <w:semiHidden/>
    <w:rsid w:val="00C551E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C551E1"/>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customStyle="1" w:styleId="GridTable3-Accent21">
    <w:name w:val="Grid Table 3 - Accent 21"/>
    <w:basedOn w:val="TableNormal"/>
    <w:uiPriority w:val="48"/>
    <w:semiHidden/>
    <w:rsid w:val="00C551E1"/>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customStyle="1" w:styleId="GridTable3-Accent31">
    <w:name w:val="Grid Table 3 - Accent 31"/>
    <w:basedOn w:val="TableNormal"/>
    <w:uiPriority w:val="48"/>
    <w:semiHidden/>
    <w:rsid w:val="00C551E1"/>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customStyle="1" w:styleId="GridTable3-Accent41">
    <w:name w:val="Grid Table 3 - Accent 41"/>
    <w:basedOn w:val="TableNormal"/>
    <w:uiPriority w:val="48"/>
    <w:semiHidden/>
    <w:rsid w:val="00C551E1"/>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customStyle="1" w:styleId="GridTable3-Accent51">
    <w:name w:val="Grid Table 3 - Accent 51"/>
    <w:basedOn w:val="TableNormal"/>
    <w:uiPriority w:val="48"/>
    <w:semiHidden/>
    <w:rsid w:val="00C551E1"/>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customStyle="1" w:styleId="GridTable3-Accent61">
    <w:name w:val="Grid Table 3 - Accent 61"/>
    <w:basedOn w:val="TableNormal"/>
    <w:uiPriority w:val="48"/>
    <w:semiHidden/>
    <w:rsid w:val="00C551E1"/>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customStyle="1" w:styleId="GridTable41">
    <w:name w:val="Grid Table 41"/>
    <w:basedOn w:val="TableNormal"/>
    <w:uiPriority w:val="49"/>
    <w:semiHidden/>
    <w:rsid w:val="00C551E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C551E1"/>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insideV w:val="nil"/>
        </w:tcBorders>
        <w:shd w:val="clear" w:color="auto" w:fill="931B2F" w:themeFill="accent1"/>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GridTable4-Accent21">
    <w:name w:val="Grid Table 4 - Accent 21"/>
    <w:basedOn w:val="TableNormal"/>
    <w:uiPriority w:val="49"/>
    <w:semiHidden/>
    <w:rsid w:val="00C551E1"/>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insideV w:val="nil"/>
        </w:tcBorders>
        <w:shd w:val="clear" w:color="auto" w:fill="B35F6D" w:themeFill="accent2"/>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GridTable4-Accent31">
    <w:name w:val="Grid Table 4 - Accent 31"/>
    <w:basedOn w:val="TableNormal"/>
    <w:uiPriority w:val="49"/>
    <w:semiHidden/>
    <w:rsid w:val="00C551E1"/>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insideV w:val="nil"/>
        </w:tcBorders>
        <w:shd w:val="clear" w:color="auto" w:fill="E8E7E7" w:themeFill="accent3"/>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GridTable4-Accent41">
    <w:name w:val="Grid Table 4 - Accent 41"/>
    <w:basedOn w:val="TableNormal"/>
    <w:uiPriority w:val="49"/>
    <w:semiHidden/>
    <w:rsid w:val="00C551E1"/>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insideV w:val="nil"/>
        </w:tcBorders>
        <w:shd w:val="clear" w:color="auto" w:fill="8C8686" w:themeFill="accent4"/>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GridTable4-Accent51">
    <w:name w:val="Grid Table 4 - Accent 51"/>
    <w:basedOn w:val="TableNormal"/>
    <w:uiPriority w:val="49"/>
    <w:semiHidden/>
    <w:rsid w:val="00C551E1"/>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insideV w:val="nil"/>
        </w:tcBorders>
        <w:shd w:val="clear" w:color="auto" w:fill="2C2A2A" w:themeFill="accent5"/>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GridTable4-Accent61">
    <w:name w:val="Grid Table 4 - Accent 61"/>
    <w:basedOn w:val="TableNormal"/>
    <w:uiPriority w:val="49"/>
    <w:semiHidden/>
    <w:rsid w:val="00C551E1"/>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insideV w:val="nil"/>
        </w:tcBorders>
        <w:shd w:val="clear" w:color="auto" w:fill="4A0E18" w:themeFill="accent6"/>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GridTable5Dark1">
    <w:name w:val="Grid Table 5 Dark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1B2F" w:themeFill="accent1"/>
      </w:tcPr>
    </w:tblStylePr>
    <w:tblStylePr w:type="band1Vert">
      <w:tblPr/>
      <w:tcPr>
        <w:shd w:val="clear" w:color="auto" w:fill="EA8D9C" w:themeFill="accent1" w:themeFillTint="66"/>
      </w:tcPr>
    </w:tblStylePr>
    <w:tblStylePr w:type="band1Horz">
      <w:tblPr/>
      <w:tcPr>
        <w:shd w:val="clear" w:color="auto" w:fill="EA8D9C" w:themeFill="accent1" w:themeFillTint="66"/>
      </w:tcPr>
    </w:tblStylePr>
  </w:style>
  <w:style w:type="table" w:customStyle="1" w:styleId="GridTable5Dark-Accent21">
    <w:name w:val="Grid Table 5 Dark - Accent 2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E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5F6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5F6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5F6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5F6D" w:themeFill="accent2"/>
      </w:tcPr>
    </w:tblStylePr>
    <w:tblStylePr w:type="band1Vert">
      <w:tblPr/>
      <w:tcPr>
        <w:shd w:val="clear" w:color="auto" w:fill="E0BEC4" w:themeFill="accent2" w:themeFillTint="66"/>
      </w:tcPr>
    </w:tblStylePr>
    <w:tblStylePr w:type="band1Horz">
      <w:tblPr/>
      <w:tcPr>
        <w:shd w:val="clear" w:color="auto" w:fill="E0BEC4" w:themeFill="accent2" w:themeFillTint="66"/>
      </w:tcPr>
    </w:tblStylePr>
  </w:style>
  <w:style w:type="table" w:customStyle="1" w:styleId="GridTable5Dark-Accent31">
    <w:name w:val="Grid Table 5 Dark - Accent 3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E7" w:themeFill="accent3"/>
      </w:tcPr>
    </w:tblStylePr>
    <w:tblStylePr w:type="band1Vert">
      <w:tblPr/>
      <w:tcPr>
        <w:shd w:val="clear" w:color="auto" w:fill="F5F5F5" w:themeFill="accent3" w:themeFillTint="66"/>
      </w:tcPr>
    </w:tblStylePr>
    <w:tblStylePr w:type="band1Horz">
      <w:tblPr/>
      <w:tcPr>
        <w:shd w:val="clear" w:color="auto" w:fill="F5F5F5" w:themeFill="accent3" w:themeFillTint="66"/>
      </w:tcPr>
    </w:tblStylePr>
  </w:style>
  <w:style w:type="table" w:customStyle="1" w:styleId="GridTable5Dark-Accent41">
    <w:name w:val="Grid Table 5 Dark - Accent 4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868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868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868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8686" w:themeFill="accent4"/>
      </w:tcPr>
    </w:tblStylePr>
    <w:tblStylePr w:type="band1Vert">
      <w:tblPr/>
      <w:tcPr>
        <w:shd w:val="clear" w:color="auto" w:fill="D1CECE" w:themeFill="accent4" w:themeFillTint="66"/>
      </w:tcPr>
    </w:tblStylePr>
    <w:tblStylePr w:type="band1Horz">
      <w:tblPr/>
      <w:tcPr>
        <w:shd w:val="clear" w:color="auto" w:fill="D1CECE" w:themeFill="accent4" w:themeFillTint="66"/>
      </w:tcPr>
    </w:tblStylePr>
  </w:style>
  <w:style w:type="table" w:customStyle="1" w:styleId="GridTable5Dark-Accent51">
    <w:name w:val="Grid Table 5 Dark - Accent 5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3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2A2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2A2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2A2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2A2A" w:themeFill="accent5"/>
      </w:tcPr>
    </w:tblStylePr>
    <w:tblStylePr w:type="band1Vert">
      <w:tblPr/>
      <w:tcPr>
        <w:shd w:val="clear" w:color="auto" w:fill="ACA8A8" w:themeFill="accent5" w:themeFillTint="66"/>
      </w:tcPr>
    </w:tblStylePr>
    <w:tblStylePr w:type="band1Horz">
      <w:tblPr/>
      <w:tcPr>
        <w:shd w:val="clear" w:color="auto" w:fill="ACA8A8" w:themeFill="accent5" w:themeFillTint="66"/>
      </w:tcPr>
    </w:tblStylePr>
  </w:style>
  <w:style w:type="table" w:customStyle="1" w:styleId="GridTable5Dark-Accent61">
    <w:name w:val="Grid Table 5 Dark - Accent 6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B7C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0E1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0E1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0E1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0E18" w:themeFill="accent6"/>
      </w:tcPr>
    </w:tblStylePr>
    <w:tblStylePr w:type="band1Vert">
      <w:tblPr/>
      <w:tcPr>
        <w:shd w:val="clear" w:color="auto" w:fill="E47083" w:themeFill="accent6" w:themeFillTint="66"/>
      </w:tcPr>
    </w:tblStylePr>
    <w:tblStylePr w:type="band1Horz">
      <w:tblPr/>
      <w:tcPr>
        <w:shd w:val="clear" w:color="auto" w:fill="E47083" w:themeFill="accent6" w:themeFillTint="66"/>
      </w:tcPr>
    </w:tblStylePr>
  </w:style>
  <w:style w:type="table" w:customStyle="1" w:styleId="GridTable6Colorful1">
    <w:name w:val="Grid Table 6 Colorful1"/>
    <w:basedOn w:val="TableNormal"/>
    <w:uiPriority w:val="51"/>
    <w:semiHidden/>
    <w:rsid w:val="00C551E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C551E1"/>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GridTable6Colorful-Accent21">
    <w:name w:val="Grid Table 6 Colorful - Accent 21"/>
    <w:basedOn w:val="TableNormal"/>
    <w:uiPriority w:val="51"/>
    <w:semiHidden/>
    <w:rsid w:val="00C551E1"/>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GridTable6Colorful-Accent31">
    <w:name w:val="Grid Table 6 Colorful - Accent 31"/>
    <w:basedOn w:val="TableNormal"/>
    <w:uiPriority w:val="51"/>
    <w:semiHidden/>
    <w:rsid w:val="00C551E1"/>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GridTable6Colorful-Accent41">
    <w:name w:val="Grid Table 6 Colorful - Accent 41"/>
    <w:basedOn w:val="TableNormal"/>
    <w:uiPriority w:val="51"/>
    <w:semiHidden/>
    <w:rsid w:val="00C551E1"/>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GridTable6Colorful-Accent51">
    <w:name w:val="Grid Table 6 Colorful - Accent 51"/>
    <w:basedOn w:val="TableNormal"/>
    <w:uiPriority w:val="51"/>
    <w:semiHidden/>
    <w:rsid w:val="00C551E1"/>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GridTable6Colorful-Accent61">
    <w:name w:val="Grid Table 6 Colorful - Accent 61"/>
    <w:basedOn w:val="TableNormal"/>
    <w:uiPriority w:val="51"/>
    <w:semiHidden/>
    <w:rsid w:val="00C551E1"/>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GridTable7Colorful1">
    <w:name w:val="Grid Table 7 Colorful1"/>
    <w:basedOn w:val="TableNormal"/>
    <w:uiPriority w:val="52"/>
    <w:semiHidden/>
    <w:rsid w:val="00C551E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C551E1"/>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customStyle="1" w:styleId="GridTable7Colorful-Accent21">
    <w:name w:val="Grid Table 7 Colorful - Accent 21"/>
    <w:basedOn w:val="TableNormal"/>
    <w:uiPriority w:val="52"/>
    <w:semiHidden/>
    <w:rsid w:val="00C551E1"/>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customStyle="1" w:styleId="GridTable7Colorful-Accent31">
    <w:name w:val="Grid Table 7 Colorful - Accent 31"/>
    <w:basedOn w:val="TableNormal"/>
    <w:uiPriority w:val="52"/>
    <w:semiHidden/>
    <w:rsid w:val="00C551E1"/>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customStyle="1" w:styleId="GridTable7Colorful-Accent41">
    <w:name w:val="Grid Table 7 Colorful - Accent 41"/>
    <w:basedOn w:val="TableNormal"/>
    <w:uiPriority w:val="52"/>
    <w:semiHidden/>
    <w:rsid w:val="00C551E1"/>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customStyle="1" w:styleId="GridTable7Colorful-Accent51">
    <w:name w:val="Grid Table 7 Colorful - Accent 51"/>
    <w:basedOn w:val="TableNormal"/>
    <w:uiPriority w:val="52"/>
    <w:semiHidden/>
    <w:rsid w:val="00C551E1"/>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customStyle="1" w:styleId="GridTable7Colorful-Accent61">
    <w:name w:val="Grid Table 7 Colorful - Accent 61"/>
    <w:basedOn w:val="TableNormal"/>
    <w:uiPriority w:val="52"/>
    <w:semiHidden/>
    <w:rsid w:val="00C551E1"/>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styleId="LightGrid">
    <w:name w:val="Light Grid"/>
    <w:basedOn w:val="TableNormal"/>
    <w:uiPriority w:val="62"/>
    <w:semiHidden/>
    <w:unhideWhenUsed/>
    <w:locked/>
    <w:rsid w:val="00C551E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C551E1"/>
    <w:pPr>
      <w:spacing w:after="0"/>
    </w:pPr>
    <w:tblPr>
      <w:tblStyleRowBandSize w:val="1"/>
      <w:tblStyleColBandSize w:val="1"/>
      <w:tblBorders>
        <w:top w:val="single" w:sz="8" w:space="0" w:color="931B2F" w:themeColor="accent1"/>
        <w:left w:val="single" w:sz="8" w:space="0" w:color="931B2F" w:themeColor="accent1"/>
        <w:bottom w:val="single" w:sz="8" w:space="0" w:color="931B2F" w:themeColor="accent1"/>
        <w:right w:val="single" w:sz="8" w:space="0" w:color="931B2F" w:themeColor="accent1"/>
        <w:insideH w:val="single" w:sz="8" w:space="0" w:color="931B2F" w:themeColor="accent1"/>
        <w:insideV w:val="single" w:sz="8" w:space="0" w:color="93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1B2F" w:themeColor="accent1"/>
          <w:left w:val="single" w:sz="8" w:space="0" w:color="931B2F" w:themeColor="accent1"/>
          <w:bottom w:val="single" w:sz="18" w:space="0" w:color="931B2F" w:themeColor="accent1"/>
          <w:right w:val="single" w:sz="8" w:space="0" w:color="931B2F" w:themeColor="accent1"/>
          <w:insideH w:val="nil"/>
          <w:insideV w:val="single" w:sz="8" w:space="0" w:color="93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1B2F" w:themeColor="accent1"/>
          <w:left w:val="single" w:sz="8" w:space="0" w:color="931B2F" w:themeColor="accent1"/>
          <w:bottom w:val="single" w:sz="8" w:space="0" w:color="931B2F" w:themeColor="accent1"/>
          <w:right w:val="single" w:sz="8" w:space="0" w:color="931B2F" w:themeColor="accent1"/>
          <w:insideH w:val="nil"/>
          <w:insideV w:val="single" w:sz="8" w:space="0" w:color="93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1B2F" w:themeColor="accent1"/>
          <w:left w:val="single" w:sz="8" w:space="0" w:color="931B2F" w:themeColor="accent1"/>
          <w:bottom w:val="single" w:sz="8" w:space="0" w:color="931B2F" w:themeColor="accent1"/>
          <w:right w:val="single" w:sz="8" w:space="0" w:color="931B2F" w:themeColor="accent1"/>
        </w:tcBorders>
      </w:tcPr>
    </w:tblStylePr>
    <w:tblStylePr w:type="band1Vert">
      <w:tblPr/>
      <w:tcPr>
        <w:tcBorders>
          <w:top w:val="single" w:sz="8" w:space="0" w:color="931B2F" w:themeColor="accent1"/>
          <w:left w:val="single" w:sz="8" w:space="0" w:color="931B2F" w:themeColor="accent1"/>
          <w:bottom w:val="single" w:sz="8" w:space="0" w:color="931B2F" w:themeColor="accent1"/>
          <w:right w:val="single" w:sz="8" w:space="0" w:color="931B2F" w:themeColor="accent1"/>
        </w:tcBorders>
        <w:shd w:val="clear" w:color="auto" w:fill="F2B8C1" w:themeFill="accent1" w:themeFillTint="3F"/>
      </w:tcPr>
    </w:tblStylePr>
    <w:tblStylePr w:type="band1Horz">
      <w:tblPr/>
      <w:tcPr>
        <w:tcBorders>
          <w:top w:val="single" w:sz="8" w:space="0" w:color="931B2F" w:themeColor="accent1"/>
          <w:left w:val="single" w:sz="8" w:space="0" w:color="931B2F" w:themeColor="accent1"/>
          <w:bottom w:val="single" w:sz="8" w:space="0" w:color="931B2F" w:themeColor="accent1"/>
          <w:right w:val="single" w:sz="8" w:space="0" w:color="931B2F" w:themeColor="accent1"/>
          <w:insideV w:val="single" w:sz="8" w:space="0" w:color="931B2F" w:themeColor="accent1"/>
        </w:tcBorders>
        <w:shd w:val="clear" w:color="auto" w:fill="F2B8C1" w:themeFill="accent1" w:themeFillTint="3F"/>
      </w:tcPr>
    </w:tblStylePr>
    <w:tblStylePr w:type="band2Horz">
      <w:tblPr/>
      <w:tcPr>
        <w:tcBorders>
          <w:top w:val="single" w:sz="8" w:space="0" w:color="931B2F" w:themeColor="accent1"/>
          <w:left w:val="single" w:sz="8" w:space="0" w:color="931B2F" w:themeColor="accent1"/>
          <w:bottom w:val="single" w:sz="8" w:space="0" w:color="931B2F" w:themeColor="accent1"/>
          <w:right w:val="single" w:sz="8" w:space="0" w:color="931B2F" w:themeColor="accent1"/>
          <w:insideV w:val="single" w:sz="8" w:space="0" w:color="931B2F" w:themeColor="accent1"/>
        </w:tcBorders>
      </w:tcPr>
    </w:tblStylePr>
  </w:style>
  <w:style w:type="table" w:styleId="LightGrid-Accent2">
    <w:name w:val="Light Grid Accent 2"/>
    <w:basedOn w:val="TableNormal"/>
    <w:uiPriority w:val="62"/>
    <w:semiHidden/>
    <w:unhideWhenUsed/>
    <w:locked/>
    <w:rsid w:val="00C551E1"/>
    <w:pPr>
      <w:spacing w:after="0"/>
    </w:pPr>
    <w:tblPr>
      <w:tblStyleRowBandSize w:val="1"/>
      <w:tblStyleColBandSize w:val="1"/>
      <w:tblBorders>
        <w:top w:val="single" w:sz="8" w:space="0" w:color="B35F6D" w:themeColor="accent2"/>
        <w:left w:val="single" w:sz="8" w:space="0" w:color="B35F6D" w:themeColor="accent2"/>
        <w:bottom w:val="single" w:sz="8" w:space="0" w:color="B35F6D" w:themeColor="accent2"/>
        <w:right w:val="single" w:sz="8" w:space="0" w:color="B35F6D" w:themeColor="accent2"/>
        <w:insideH w:val="single" w:sz="8" w:space="0" w:color="B35F6D" w:themeColor="accent2"/>
        <w:insideV w:val="single" w:sz="8" w:space="0" w:color="B35F6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5F6D" w:themeColor="accent2"/>
          <w:left w:val="single" w:sz="8" w:space="0" w:color="B35F6D" w:themeColor="accent2"/>
          <w:bottom w:val="single" w:sz="18" w:space="0" w:color="B35F6D" w:themeColor="accent2"/>
          <w:right w:val="single" w:sz="8" w:space="0" w:color="B35F6D" w:themeColor="accent2"/>
          <w:insideH w:val="nil"/>
          <w:insideV w:val="single" w:sz="8" w:space="0" w:color="B35F6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5F6D" w:themeColor="accent2"/>
          <w:left w:val="single" w:sz="8" w:space="0" w:color="B35F6D" w:themeColor="accent2"/>
          <w:bottom w:val="single" w:sz="8" w:space="0" w:color="B35F6D" w:themeColor="accent2"/>
          <w:right w:val="single" w:sz="8" w:space="0" w:color="B35F6D" w:themeColor="accent2"/>
          <w:insideH w:val="nil"/>
          <w:insideV w:val="single" w:sz="8" w:space="0" w:color="B35F6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5F6D" w:themeColor="accent2"/>
          <w:left w:val="single" w:sz="8" w:space="0" w:color="B35F6D" w:themeColor="accent2"/>
          <w:bottom w:val="single" w:sz="8" w:space="0" w:color="B35F6D" w:themeColor="accent2"/>
          <w:right w:val="single" w:sz="8" w:space="0" w:color="B35F6D" w:themeColor="accent2"/>
        </w:tcBorders>
      </w:tcPr>
    </w:tblStylePr>
    <w:tblStylePr w:type="band1Vert">
      <w:tblPr/>
      <w:tcPr>
        <w:tcBorders>
          <w:top w:val="single" w:sz="8" w:space="0" w:color="B35F6D" w:themeColor="accent2"/>
          <w:left w:val="single" w:sz="8" w:space="0" w:color="B35F6D" w:themeColor="accent2"/>
          <w:bottom w:val="single" w:sz="8" w:space="0" w:color="B35F6D" w:themeColor="accent2"/>
          <w:right w:val="single" w:sz="8" w:space="0" w:color="B35F6D" w:themeColor="accent2"/>
        </w:tcBorders>
        <w:shd w:val="clear" w:color="auto" w:fill="ECD7DA" w:themeFill="accent2" w:themeFillTint="3F"/>
      </w:tcPr>
    </w:tblStylePr>
    <w:tblStylePr w:type="band1Horz">
      <w:tblPr/>
      <w:tcPr>
        <w:tcBorders>
          <w:top w:val="single" w:sz="8" w:space="0" w:color="B35F6D" w:themeColor="accent2"/>
          <w:left w:val="single" w:sz="8" w:space="0" w:color="B35F6D" w:themeColor="accent2"/>
          <w:bottom w:val="single" w:sz="8" w:space="0" w:color="B35F6D" w:themeColor="accent2"/>
          <w:right w:val="single" w:sz="8" w:space="0" w:color="B35F6D" w:themeColor="accent2"/>
          <w:insideV w:val="single" w:sz="8" w:space="0" w:color="B35F6D" w:themeColor="accent2"/>
        </w:tcBorders>
        <w:shd w:val="clear" w:color="auto" w:fill="ECD7DA" w:themeFill="accent2" w:themeFillTint="3F"/>
      </w:tcPr>
    </w:tblStylePr>
    <w:tblStylePr w:type="band2Horz">
      <w:tblPr/>
      <w:tcPr>
        <w:tcBorders>
          <w:top w:val="single" w:sz="8" w:space="0" w:color="B35F6D" w:themeColor="accent2"/>
          <w:left w:val="single" w:sz="8" w:space="0" w:color="B35F6D" w:themeColor="accent2"/>
          <w:bottom w:val="single" w:sz="8" w:space="0" w:color="B35F6D" w:themeColor="accent2"/>
          <w:right w:val="single" w:sz="8" w:space="0" w:color="B35F6D" w:themeColor="accent2"/>
          <w:insideV w:val="single" w:sz="8" w:space="0" w:color="B35F6D" w:themeColor="accent2"/>
        </w:tcBorders>
      </w:tcPr>
    </w:tblStylePr>
  </w:style>
  <w:style w:type="table" w:styleId="LightGrid-Accent3">
    <w:name w:val="Light Grid Accent 3"/>
    <w:basedOn w:val="TableNormal"/>
    <w:uiPriority w:val="62"/>
    <w:semiHidden/>
    <w:unhideWhenUsed/>
    <w:locked/>
    <w:rsid w:val="00C551E1"/>
    <w:pPr>
      <w:spacing w:after="0"/>
    </w:pPr>
    <w:tblPr>
      <w:tblStyleRowBandSize w:val="1"/>
      <w:tblStyleColBandSize w:val="1"/>
      <w:tblBorders>
        <w:top w:val="single" w:sz="8" w:space="0" w:color="E8E7E7" w:themeColor="accent3"/>
        <w:left w:val="single" w:sz="8" w:space="0" w:color="E8E7E7" w:themeColor="accent3"/>
        <w:bottom w:val="single" w:sz="8" w:space="0" w:color="E8E7E7" w:themeColor="accent3"/>
        <w:right w:val="single" w:sz="8" w:space="0" w:color="E8E7E7" w:themeColor="accent3"/>
        <w:insideH w:val="single" w:sz="8" w:space="0" w:color="E8E7E7" w:themeColor="accent3"/>
        <w:insideV w:val="single" w:sz="8" w:space="0" w:color="E8E7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7E7" w:themeColor="accent3"/>
          <w:left w:val="single" w:sz="8" w:space="0" w:color="E8E7E7" w:themeColor="accent3"/>
          <w:bottom w:val="single" w:sz="18" w:space="0" w:color="E8E7E7" w:themeColor="accent3"/>
          <w:right w:val="single" w:sz="8" w:space="0" w:color="E8E7E7" w:themeColor="accent3"/>
          <w:insideH w:val="nil"/>
          <w:insideV w:val="single" w:sz="8" w:space="0" w:color="E8E7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7E7" w:themeColor="accent3"/>
          <w:left w:val="single" w:sz="8" w:space="0" w:color="E8E7E7" w:themeColor="accent3"/>
          <w:bottom w:val="single" w:sz="8" w:space="0" w:color="E8E7E7" w:themeColor="accent3"/>
          <w:right w:val="single" w:sz="8" w:space="0" w:color="E8E7E7" w:themeColor="accent3"/>
          <w:insideH w:val="nil"/>
          <w:insideV w:val="single" w:sz="8" w:space="0" w:color="E8E7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7E7" w:themeColor="accent3"/>
          <w:left w:val="single" w:sz="8" w:space="0" w:color="E8E7E7" w:themeColor="accent3"/>
          <w:bottom w:val="single" w:sz="8" w:space="0" w:color="E8E7E7" w:themeColor="accent3"/>
          <w:right w:val="single" w:sz="8" w:space="0" w:color="E8E7E7" w:themeColor="accent3"/>
        </w:tcBorders>
      </w:tcPr>
    </w:tblStylePr>
    <w:tblStylePr w:type="band1Vert">
      <w:tblPr/>
      <w:tcPr>
        <w:tcBorders>
          <w:top w:val="single" w:sz="8" w:space="0" w:color="E8E7E7" w:themeColor="accent3"/>
          <w:left w:val="single" w:sz="8" w:space="0" w:color="E8E7E7" w:themeColor="accent3"/>
          <w:bottom w:val="single" w:sz="8" w:space="0" w:color="E8E7E7" w:themeColor="accent3"/>
          <w:right w:val="single" w:sz="8" w:space="0" w:color="E8E7E7" w:themeColor="accent3"/>
        </w:tcBorders>
        <w:shd w:val="clear" w:color="auto" w:fill="F9F9F9" w:themeFill="accent3" w:themeFillTint="3F"/>
      </w:tcPr>
    </w:tblStylePr>
    <w:tblStylePr w:type="band1Horz">
      <w:tblPr/>
      <w:tcPr>
        <w:tcBorders>
          <w:top w:val="single" w:sz="8" w:space="0" w:color="E8E7E7" w:themeColor="accent3"/>
          <w:left w:val="single" w:sz="8" w:space="0" w:color="E8E7E7" w:themeColor="accent3"/>
          <w:bottom w:val="single" w:sz="8" w:space="0" w:color="E8E7E7" w:themeColor="accent3"/>
          <w:right w:val="single" w:sz="8" w:space="0" w:color="E8E7E7" w:themeColor="accent3"/>
          <w:insideV w:val="single" w:sz="8" w:space="0" w:color="E8E7E7" w:themeColor="accent3"/>
        </w:tcBorders>
        <w:shd w:val="clear" w:color="auto" w:fill="F9F9F9" w:themeFill="accent3" w:themeFillTint="3F"/>
      </w:tcPr>
    </w:tblStylePr>
    <w:tblStylePr w:type="band2Horz">
      <w:tblPr/>
      <w:tcPr>
        <w:tcBorders>
          <w:top w:val="single" w:sz="8" w:space="0" w:color="E8E7E7" w:themeColor="accent3"/>
          <w:left w:val="single" w:sz="8" w:space="0" w:color="E8E7E7" w:themeColor="accent3"/>
          <w:bottom w:val="single" w:sz="8" w:space="0" w:color="E8E7E7" w:themeColor="accent3"/>
          <w:right w:val="single" w:sz="8" w:space="0" w:color="E8E7E7" w:themeColor="accent3"/>
          <w:insideV w:val="single" w:sz="8" w:space="0" w:color="E8E7E7" w:themeColor="accent3"/>
        </w:tcBorders>
      </w:tcPr>
    </w:tblStylePr>
  </w:style>
  <w:style w:type="table" w:styleId="LightGrid-Accent4">
    <w:name w:val="Light Grid Accent 4"/>
    <w:basedOn w:val="TableNormal"/>
    <w:uiPriority w:val="62"/>
    <w:semiHidden/>
    <w:unhideWhenUsed/>
    <w:locked/>
    <w:rsid w:val="00C551E1"/>
    <w:pPr>
      <w:spacing w:after="0"/>
    </w:pPr>
    <w:tblPr>
      <w:tblStyleRowBandSize w:val="1"/>
      <w:tblStyleColBandSize w:val="1"/>
      <w:tblBorders>
        <w:top w:val="single" w:sz="8" w:space="0" w:color="8C8686" w:themeColor="accent4"/>
        <w:left w:val="single" w:sz="8" w:space="0" w:color="8C8686" w:themeColor="accent4"/>
        <w:bottom w:val="single" w:sz="8" w:space="0" w:color="8C8686" w:themeColor="accent4"/>
        <w:right w:val="single" w:sz="8" w:space="0" w:color="8C8686" w:themeColor="accent4"/>
        <w:insideH w:val="single" w:sz="8" w:space="0" w:color="8C8686" w:themeColor="accent4"/>
        <w:insideV w:val="single" w:sz="8" w:space="0" w:color="8C868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8686" w:themeColor="accent4"/>
          <w:left w:val="single" w:sz="8" w:space="0" w:color="8C8686" w:themeColor="accent4"/>
          <w:bottom w:val="single" w:sz="18" w:space="0" w:color="8C8686" w:themeColor="accent4"/>
          <w:right w:val="single" w:sz="8" w:space="0" w:color="8C8686" w:themeColor="accent4"/>
          <w:insideH w:val="nil"/>
          <w:insideV w:val="single" w:sz="8" w:space="0" w:color="8C868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8686" w:themeColor="accent4"/>
          <w:left w:val="single" w:sz="8" w:space="0" w:color="8C8686" w:themeColor="accent4"/>
          <w:bottom w:val="single" w:sz="8" w:space="0" w:color="8C8686" w:themeColor="accent4"/>
          <w:right w:val="single" w:sz="8" w:space="0" w:color="8C8686" w:themeColor="accent4"/>
          <w:insideH w:val="nil"/>
          <w:insideV w:val="single" w:sz="8" w:space="0" w:color="8C868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8686" w:themeColor="accent4"/>
          <w:left w:val="single" w:sz="8" w:space="0" w:color="8C8686" w:themeColor="accent4"/>
          <w:bottom w:val="single" w:sz="8" w:space="0" w:color="8C8686" w:themeColor="accent4"/>
          <w:right w:val="single" w:sz="8" w:space="0" w:color="8C8686" w:themeColor="accent4"/>
        </w:tcBorders>
      </w:tcPr>
    </w:tblStylePr>
    <w:tblStylePr w:type="band1Vert">
      <w:tblPr/>
      <w:tcPr>
        <w:tcBorders>
          <w:top w:val="single" w:sz="8" w:space="0" w:color="8C8686" w:themeColor="accent4"/>
          <w:left w:val="single" w:sz="8" w:space="0" w:color="8C8686" w:themeColor="accent4"/>
          <w:bottom w:val="single" w:sz="8" w:space="0" w:color="8C8686" w:themeColor="accent4"/>
          <w:right w:val="single" w:sz="8" w:space="0" w:color="8C8686" w:themeColor="accent4"/>
        </w:tcBorders>
        <w:shd w:val="clear" w:color="auto" w:fill="E2E1E1" w:themeFill="accent4" w:themeFillTint="3F"/>
      </w:tcPr>
    </w:tblStylePr>
    <w:tblStylePr w:type="band1Horz">
      <w:tblPr/>
      <w:tcPr>
        <w:tcBorders>
          <w:top w:val="single" w:sz="8" w:space="0" w:color="8C8686" w:themeColor="accent4"/>
          <w:left w:val="single" w:sz="8" w:space="0" w:color="8C8686" w:themeColor="accent4"/>
          <w:bottom w:val="single" w:sz="8" w:space="0" w:color="8C8686" w:themeColor="accent4"/>
          <w:right w:val="single" w:sz="8" w:space="0" w:color="8C8686" w:themeColor="accent4"/>
          <w:insideV w:val="single" w:sz="8" w:space="0" w:color="8C8686" w:themeColor="accent4"/>
        </w:tcBorders>
        <w:shd w:val="clear" w:color="auto" w:fill="E2E1E1" w:themeFill="accent4" w:themeFillTint="3F"/>
      </w:tcPr>
    </w:tblStylePr>
    <w:tblStylePr w:type="band2Horz">
      <w:tblPr/>
      <w:tcPr>
        <w:tcBorders>
          <w:top w:val="single" w:sz="8" w:space="0" w:color="8C8686" w:themeColor="accent4"/>
          <w:left w:val="single" w:sz="8" w:space="0" w:color="8C8686" w:themeColor="accent4"/>
          <w:bottom w:val="single" w:sz="8" w:space="0" w:color="8C8686" w:themeColor="accent4"/>
          <w:right w:val="single" w:sz="8" w:space="0" w:color="8C8686" w:themeColor="accent4"/>
          <w:insideV w:val="single" w:sz="8" w:space="0" w:color="8C8686" w:themeColor="accent4"/>
        </w:tcBorders>
      </w:tcPr>
    </w:tblStylePr>
  </w:style>
  <w:style w:type="table" w:styleId="LightGrid-Accent5">
    <w:name w:val="Light Grid Accent 5"/>
    <w:basedOn w:val="TableNormal"/>
    <w:uiPriority w:val="62"/>
    <w:semiHidden/>
    <w:unhideWhenUsed/>
    <w:locked/>
    <w:rsid w:val="00C551E1"/>
    <w:pPr>
      <w:spacing w:after="0"/>
    </w:pPr>
    <w:tblPr>
      <w:tblStyleRowBandSize w:val="1"/>
      <w:tblStyleColBandSize w:val="1"/>
      <w:tblBorders>
        <w:top w:val="single" w:sz="8" w:space="0" w:color="2C2A2A" w:themeColor="accent5"/>
        <w:left w:val="single" w:sz="8" w:space="0" w:color="2C2A2A" w:themeColor="accent5"/>
        <w:bottom w:val="single" w:sz="8" w:space="0" w:color="2C2A2A" w:themeColor="accent5"/>
        <w:right w:val="single" w:sz="8" w:space="0" w:color="2C2A2A" w:themeColor="accent5"/>
        <w:insideH w:val="single" w:sz="8" w:space="0" w:color="2C2A2A" w:themeColor="accent5"/>
        <w:insideV w:val="single" w:sz="8" w:space="0" w:color="2C2A2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2A2A" w:themeColor="accent5"/>
          <w:left w:val="single" w:sz="8" w:space="0" w:color="2C2A2A" w:themeColor="accent5"/>
          <w:bottom w:val="single" w:sz="18" w:space="0" w:color="2C2A2A" w:themeColor="accent5"/>
          <w:right w:val="single" w:sz="8" w:space="0" w:color="2C2A2A" w:themeColor="accent5"/>
          <w:insideH w:val="nil"/>
          <w:insideV w:val="single" w:sz="8" w:space="0" w:color="2C2A2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2A2A" w:themeColor="accent5"/>
          <w:left w:val="single" w:sz="8" w:space="0" w:color="2C2A2A" w:themeColor="accent5"/>
          <w:bottom w:val="single" w:sz="8" w:space="0" w:color="2C2A2A" w:themeColor="accent5"/>
          <w:right w:val="single" w:sz="8" w:space="0" w:color="2C2A2A" w:themeColor="accent5"/>
          <w:insideH w:val="nil"/>
          <w:insideV w:val="single" w:sz="8" w:space="0" w:color="2C2A2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2A2A" w:themeColor="accent5"/>
          <w:left w:val="single" w:sz="8" w:space="0" w:color="2C2A2A" w:themeColor="accent5"/>
          <w:bottom w:val="single" w:sz="8" w:space="0" w:color="2C2A2A" w:themeColor="accent5"/>
          <w:right w:val="single" w:sz="8" w:space="0" w:color="2C2A2A" w:themeColor="accent5"/>
        </w:tcBorders>
      </w:tcPr>
    </w:tblStylePr>
    <w:tblStylePr w:type="band1Vert">
      <w:tblPr/>
      <w:tcPr>
        <w:tcBorders>
          <w:top w:val="single" w:sz="8" w:space="0" w:color="2C2A2A" w:themeColor="accent5"/>
          <w:left w:val="single" w:sz="8" w:space="0" w:color="2C2A2A" w:themeColor="accent5"/>
          <w:bottom w:val="single" w:sz="8" w:space="0" w:color="2C2A2A" w:themeColor="accent5"/>
          <w:right w:val="single" w:sz="8" w:space="0" w:color="2C2A2A" w:themeColor="accent5"/>
        </w:tcBorders>
        <w:shd w:val="clear" w:color="auto" w:fill="CBC9C9" w:themeFill="accent5" w:themeFillTint="3F"/>
      </w:tcPr>
    </w:tblStylePr>
    <w:tblStylePr w:type="band1Horz">
      <w:tblPr/>
      <w:tcPr>
        <w:tcBorders>
          <w:top w:val="single" w:sz="8" w:space="0" w:color="2C2A2A" w:themeColor="accent5"/>
          <w:left w:val="single" w:sz="8" w:space="0" w:color="2C2A2A" w:themeColor="accent5"/>
          <w:bottom w:val="single" w:sz="8" w:space="0" w:color="2C2A2A" w:themeColor="accent5"/>
          <w:right w:val="single" w:sz="8" w:space="0" w:color="2C2A2A" w:themeColor="accent5"/>
          <w:insideV w:val="single" w:sz="8" w:space="0" w:color="2C2A2A" w:themeColor="accent5"/>
        </w:tcBorders>
        <w:shd w:val="clear" w:color="auto" w:fill="CBC9C9" w:themeFill="accent5" w:themeFillTint="3F"/>
      </w:tcPr>
    </w:tblStylePr>
    <w:tblStylePr w:type="band2Horz">
      <w:tblPr/>
      <w:tcPr>
        <w:tcBorders>
          <w:top w:val="single" w:sz="8" w:space="0" w:color="2C2A2A" w:themeColor="accent5"/>
          <w:left w:val="single" w:sz="8" w:space="0" w:color="2C2A2A" w:themeColor="accent5"/>
          <w:bottom w:val="single" w:sz="8" w:space="0" w:color="2C2A2A" w:themeColor="accent5"/>
          <w:right w:val="single" w:sz="8" w:space="0" w:color="2C2A2A" w:themeColor="accent5"/>
          <w:insideV w:val="single" w:sz="8" w:space="0" w:color="2C2A2A" w:themeColor="accent5"/>
        </w:tcBorders>
      </w:tcPr>
    </w:tblStylePr>
  </w:style>
  <w:style w:type="table" w:styleId="LightGrid-Accent6">
    <w:name w:val="Light Grid Accent 6"/>
    <w:basedOn w:val="TableNormal"/>
    <w:uiPriority w:val="62"/>
    <w:semiHidden/>
    <w:unhideWhenUsed/>
    <w:locked/>
    <w:rsid w:val="00C551E1"/>
    <w:pPr>
      <w:spacing w:after="0"/>
    </w:pPr>
    <w:tblPr>
      <w:tblStyleRowBandSize w:val="1"/>
      <w:tblStyleColBandSize w:val="1"/>
      <w:tblBorders>
        <w:top w:val="single" w:sz="8" w:space="0" w:color="4A0E18" w:themeColor="accent6"/>
        <w:left w:val="single" w:sz="8" w:space="0" w:color="4A0E18" w:themeColor="accent6"/>
        <w:bottom w:val="single" w:sz="8" w:space="0" w:color="4A0E18" w:themeColor="accent6"/>
        <w:right w:val="single" w:sz="8" w:space="0" w:color="4A0E18" w:themeColor="accent6"/>
        <w:insideH w:val="single" w:sz="8" w:space="0" w:color="4A0E18" w:themeColor="accent6"/>
        <w:insideV w:val="single" w:sz="8" w:space="0" w:color="4A0E1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0E18" w:themeColor="accent6"/>
          <w:left w:val="single" w:sz="8" w:space="0" w:color="4A0E18" w:themeColor="accent6"/>
          <w:bottom w:val="single" w:sz="18" w:space="0" w:color="4A0E18" w:themeColor="accent6"/>
          <w:right w:val="single" w:sz="8" w:space="0" w:color="4A0E18" w:themeColor="accent6"/>
          <w:insideH w:val="nil"/>
          <w:insideV w:val="single" w:sz="8" w:space="0" w:color="4A0E1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0E18" w:themeColor="accent6"/>
          <w:left w:val="single" w:sz="8" w:space="0" w:color="4A0E18" w:themeColor="accent6"/>
          <w:bottom w:val="single" w:sz="8" w:space="0" w:color="4A0E18" w:themeColor="accent6"/>
          <w:right w:val="single" w:sz="8" w:space="0" w:color="4A0E18" w:themeColor="accent6"/>
          <w:insideH w:val="nil"/>
          <w:insideV w:val="single" w:sz="8" w:space="0" w:color="4A0E1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0E18" w:themeColor="accent6"/>
          <w:left w:val="single" w:sz="8" w:space="0" w:color="4A0E18" w:themeColor="accent6"/>
          <w:bottom w:val="single" w:sz="8" w:space="0" w:color="4A0E18" w:themeColor="accent6"/>
          <w:right w:val="single" w:sz="8" w:space="0" w:color="4A0E18" w:themeColor="accent6"/>
        </w:tcBorders>
      </w:tcPr>
    </w:tblStylePr>
    <w:tblStylePr w:type="band1Vert">
      <w:tblPr/>
      <w:tcPr>
        <w:tcBorders>
          <w:top w:val="single" w:sz="8" w:space="0" w:color="4A0E18" w:themeColor="accent6"/>
          <w:left w:val="single" w:sz="8" w:space="0" w:color="4A0E18" w:themeColor="accent6"/>
          <w:bottom w:val="single" w:sz="8" w:space="0" w:color="4A0E18" w:themeColor="accent6"/>
          <w:right w:val="single" w:sz="8" w:space="0" w:color="4A0E18" w:themeColor="accent6"/>
        </w:tcBorders>
        <w:shd w:val="clear" w:color="auto" w:fill="EEA7B2" w:themeFill="accent6" w:themeFillTint="3F"/>
      </w:tcPr>
    </w:tblStylePr>
    <w:tblStylePr w:type="band1Horz">
      <w:tblPr/>
      <w:tcPr>
        <w:tcBorders>
          <w:top w:val="single" w:sz="8" w:space="0" w:color="4A0E18" w:themeColor="accent6"/>
          <w:left w:val="single" w:sz="8" w:space="0" w:color="4A0E18" w:themeColor="accent6"/>
          <w:bottom w:val="single" w:sz="8" w:space="0" w:color="4A0E18" w:themeColor="accent6"/>
          <w:right w:val="single" w:sz="8" w:space="0" w:color="4A0E18" w:themeColor="accent6"/>
          <w:insideV w:val="single" w:sz="8" w:space="0" w:color="4A0E18" w:themeColor="accent6"/>
        </w:tcBorders>
        <w:shd w:val="clear" w:color="auto" w:fill="EEA7B2" w:themeFill="accent6" w:themeFillTint="3F"/>
      </w:tcPr>
    </w:tblStylePr>
    <w:tblStylePr w:type="band2Horz">
      <w:tblPr/>
      <w:tcPr>
        <w:tcBorders>
          <w:top w:val="single" w:sz="8" w:space="0" w:color="4A0E18" w:themeColor="accent6"/>
          <w:left w:val="single" w:sz="8" w:space="0" w:color="4A0E18" w:themeColor="accent6"/>
          <w:bottom w:val="single" w:sz="8" w:space="0" w:color="4A0E18" w:themeColor="accent6"/>
          <w:right w:val="single" w:sz="8" w:space="0" w:color="4A0E18" w:themeColor="accent6"/>
          <w:insideV w:val="single" w:sz="8" w:space="0" w:color="4A0E18" w:themeColor="accent6"/>
        </w:tcBorders>
      </w:tcPr>
    </w:tblStylePr>
  </w:style>
  <w:style w:type="table" w:styleId="LightList">
    <w:name w:val="Light List"/>
    <w:basedOn w:val="TableNormal"/>
    <w:uiPriority w:val="61"/>
    <w:semiHidden/>
    <w:unhideWhenUsed/>
    <w:locked/>
    <w:rsid w:val="00C551E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C551E1"/>
    <w:pPr>
      <w:spacing w:after="0"/>
    </w:pPr>
    <w:tblPr>
      <w:tblStyleRowBandSize w:val="1"/>
      <w:tblStyleColBandSize w:val="1"/>
      <w:tblBorders>
        <w:top w:val="single" w:sz="8" w:space="0" w:color="931B2F" w:themeColor="accent1"/>
        <w:left w:val="single" w:sz="8" w:space="0" w:color="931B2F" w:themeColor="accent1"/>
        <w:bottom w:val="single" w:sz="8" w:space="0" w:color="931B2F" w:themeColor="accent1"/>
        <w:right w:val="single" w:sz="8" w:space="0" w:color="931B2F" w:themeColor="accent1"/>
      </w:tblBorders>
    </w:tblPr>
    <w:tblStylePr w:type="firstRow">
      <w:pPr>
        <w:spacing w:before="0" w:after="0" w:line="240" w:lineRule="auto"/>
      </w:pPr>
      <w:rPr>
        <w:b/>
        <w:bCs/>
        <w:color w:val="FFFFFF" w:themeColor="background1"/>
      </w:rPr>
      <w:tblPr/>
      <w:tcPr>
        <w:shd w:val="clear" w:color="auto" w:fill="931B2F" w:themeFill="accent1"/>
      </w:tcPr>
    </w:tblStylePr>
    <w:tblStylePr w:type="lastRow">
      <w:pPr>
        <w:spacing w:before="0" w:after="0" w:line="240" w:lineRule="auto"/>
      </w:pPr>
      <w:rPr>
        <w:b/>
        <w:bCs/>
      </w:rPr>
      <w:tblPr/>
      <w:tcPr>
        <w:tcBorders>
          <w:top w:val="double" w:sz="6" w:space="0" w:color="931B2F" w:themeColor="accent1"/>
          <w:left w:val="single" w:sz="8" w:space="0" w:color="931B2F" w:themeColor="accent1"/>
          <w:bottom w:val="single" w:sz="8" w:space="0" w:color="931B2F" w:themeColor="accent1"/>
          <w:right w:val="single" w:sz="8" w:space="0" w:color="931B2F" w:themeColor="accent1"/>
        </w:tcBorders>
      </w:tcPr>
    </w:tblStylePr>
    <w:tblStylePr w:type="firstCol">
      <w:rPr>
        <w:b/>
        <w:bCs/>
      </w:rPr>
    </w:tblStylePr>
    <w:tblStylePr w:type="lastCol">
      <w:rPr>
        <w:b/>
        <w:bCs/>
      </w:rPr>
    </w:tblStylePr>
    <w:tblStylePr w:type="band1Vert">
      <w:tblPr/>
      <w:tcPr>
        <w:tcBorders>
          <w:top w:val="single" w:sz="8" w:space="0" w:color="931B2F" w:themeColor="accent1"/>
          <w:left w:val="single" w:sz="8" w:space="0" w:color="931B2F" w:themeColor="accent1"/>
          <w:bottom w:val="single" w:sz="8" w:space="0" w:color="931B2F" w:themeColor="accent1"/>
          <w:right w:val="single" w:sz="8" w:space="0" w:color="931B2F" w:themeColor="accent1"/>
        </w:tcBorders>
      </w:tcPr>
    </w:tblStylePr>
    <w:tblStylePr w:type="band1Horz">
      <w:tblPr/>
      <w:tcPr>
        <w:tcBorders>
          <w:top w:val="single" w:sz="8" w:space="0" w:color="931B2F" w:themeColor="accent1"/>
          <w:left w:val="single" w:sz="8" w:space="0" w:color="931B2F" w:themeColor="accent1"/>
          <w:bottom w:val="single" w:sz="8" w:space="0" w:color="931B2F" w:themeColor="accent1"/>
          <w:right w:val="single" w:sz="8" w:space="0" w:color="931B2F" w:themeColor="accent1"/>
        </w:tcBorders>
      </w:tcPr>
    </w:tblStylePr>
  </w:style>
  <w:style w:type="table" w:styleId="LightList-Accent2">
    <w:name w:val="Light List Accent 2"/>
    <w:basedOn w:val="TableNormal"/>
    <w:uiPriority w:val="61"/>
    <w:semiHidden/>
    <w:unhideWhenUsed/>
    <w:locked/>
    <w:rsid w:val="00C551E1"/>
    <w:pPr>
      <w:spacing w:after="0"/>
    </w:pPr>
    <w:tblPr>
      <w:tblStyleRowBandSize w:val="1"/>
      <w:tblStyleColBandSize w:val="1"/>
      <w:tblBorders>
        <w:top w:val="single" w:sz="8" w:space="0" w:color="B35F6D" w:themeColor="accent2"/>
        <w:left w:val="single" w:sz="8" w:space="0" w:color="B35F6D" w:themeColor="accent2"/>
        <w:bottom w:val="single" w:sz="8" w:space="0" w:color="B35F6D" w:themeColor="accent2"/>
        <w:right w:val="single" w:sz="8" w:space="0" w:color="B35F6D" w:themeColor="accent2"/>
      </w:tblBorders>
    </w:tblPr>
    <w:tblStylePr w:type="firstRow">
      <w:pPr>
        <w:spacing w:before="0" w:after="0" w:line="240" w:lineRule="auto"/>
      </w:pPr>
      <w:rPr>
        <w:b/>
        <w:bCs/>
        <w:color w:val="FFFFFF" w:themeColor="background1"/>
      </w:rPr>
      <w:tblPr/>
      <w:tcPr>
        <w:shd w:val="clear" w:color="auto" w:fill="B35F6D" w:themeFill="accent2"/>
      </w:tcPr>
    </w:tblStylePr>
    <w:tblStylePr w:type="lastRow">
      <w:pPr>
        <w:spacing w:before="0" w:after="0" w:line="240" w:lineRule="auto"/>
      </w:pPr>
      <w:rPr>
        <w:b/>
        <w:bCs/>
      </w:rPr>
      <w:tblPr/>
      <w:tcPr>
        <w:tcBorders>
          <w:top w:val="double" w:sz="6" w:space="0" w:color="B35F6D" w:themeColor="accent2"/>
          <w:left w:val="single" w:sz="8" w:space="0" w:color="B35F6D" w:themeColor="accent2"/>
          <w:bottom w:val="single" w:sz="8" w:space="0" w:color="B35F6D" w:themeColor="accent2"/>
          <w:right w:val="single" w:sz="8" w:space="0" w:color="B35F6D" w:themeColor="accent2"/>
        </w:tcBorders>
      </w:tcPr>
    </w:tblStylePr>
    <w:tblStylePr w:type="firstCol">
      <w:rPr>
        <w:b/>
        <w:bCs/>
      </w:rPr>
    </w:tblStylePr>
    <w:tblStylePr w:type="lastCol">
      <w:rPr>
        <w:b/>
        <w:bCs/>
      </w:rPr>
    </w:tblStylePr>
    <w:tblStylePr w:type="band1Vert">
      <w:tblPr/>
      <w:tcPr>
        <w:tcBorders>
          <w:top w:val="single" w:sz="8" w:space="0" w:color="B35F6D" w:themeColor="accent2"/>
          <w:left w:val="single" w:sz="8" w:space="0" w:color="B35F6D" w:themeColor="accent2"/>
          <w:bottom w:val="single" w:sz="8" w:space="0" w:color="B35F6D" w:themeColor="accent2"/>
          <w:right w:val="single" w:sz="8" w:space="0" w:color="B35F6D" w:themeColor="accent2"/>
        </w:tcBorders>
      </w:tcPr>
    </w:tblStylePr>
    <w:tblStylePr w:type="band1Horz">
      <w:tblPr/>
      <w:tcPr>
        <w:tcBorders>
          <w:top w:val="single" w:sz="8" w:space="0" w:color="B35F6D" w:themeColor="accent2"/>
          <w:left w:val="single" w:sz="8" w:space="0" w:color="B35F6D" w:themeColor="accent2"/>
          <w:bottom w:val="single" w:sz="8" w:space="0" w:color="B35F6D" w:themeColor="accent2"/>
          <w:right w:val="single" w:sz="8" w:space="0" w:color="B35F6D" w:themeColor="accent2"/>
        </w:tcBorders>
      </w:tcPr>
    </w:tblStylePr>
  </w:style>
  <w:style w:type="table" w:styleId="LightList-Accent3">
    <w:name w:val="Light List Accent 3"/>
    <w:basedOn w:val="TableNormal"/>
    <w:uiPriority w:val="61"/>
    <w:semiHidden/>
    <w:unhideWhenUsed/>
    <w:locked/>
    <w:rsid w:val="00C551E1"/>
    <w:pPr>
      <w:spacing w:after="0"/>
    </w:pPr>
    <w:tblPr>
      <w:tblStyleRowBandSize w:val="1"/>
      <w:tblStyleColBandSize w:val="1"/>
      <w:tblBorders>
        <w:top w:val="single" w:sz="8" w:space="0" w:color="E8E7E7" w:themeColor="accent3"/>
        <w:left w:val="single" w:sz="8" w:space="0" w:color="E8E7E7" w:themeColor="accent3"/>
        <w:bottom w:val="single" w:sz="8" w:space="0" w:color="E8E7E7" w:themeColor="accent3"/>
        <w:right w:val="single" w:sz="8" w:space="0" w:color="E8E7E7" w:themeColor="accent3"/>
      </w:tblBorders>
    </w:tblPr>
    <w:tblStylePr w:type="firstRow">
      <w:pPr>
        <w:spacing w:before="0" w:after="0" w:line="240" w:lineRule="auto"/>
      </w:pPr>
      <w:rPr>
        <w:b/>
        <w:bCs/>
        <w:color w:val="FFFFFF" w:themeColor="background1"/>
      </w:rPr>
      <w:tblPr/>
      <w:tcPr>
        <w:shd w:val="clear" w:color="auto" w:fill="E8E7E7" w:themeFill="accent3"/>
      </w:tcPr>
    </w:tblStylePr>
    <w:tblStylePr w:type="lastRow">
      <w:pPr>
        <w:spacing w:before="0" w:after="0" w:line="240" w:lineRule="auto"/>
      </w:pPr>
      <w:rPr>
        <w:b/>
        <w:bCs/>
      </w:rPr>
      <w:tblPr/>
      <w:tcPr>
        <w:tcBorders>
          <w:top w:val="double" w:sz="6" w:space="0" w:color="E8E7E7" w:themeColor="accent3"/>
          <w:left w:val="single" w:sz="8" w:space="0" w:color="E8E7E7" w:themeColor="accent3"/>
          <w:bottom w:val="single" w:sz="8" w:space="0" w:color="E8E7E7" w:themeColor="accent3"/>
          <w:right w:val="single" w:sz="8" w:space="0" w:color="E8E7E7" w:themeColor="accent3"/>
        </w:tcBorders>
      </w:tcPr>
    </w:tblStylePr>
    <w:tblStylePr w:type="firstCol">
      <w:rPr>
        <w:b/>
        <w:bCs/>
      </w:rPr>
    </w:tblStylePr>
    <w:tblStylePr w:type="lastCol">
      <w:rPr>
        <w:b/>
        <w:bCs/>
      </w:rPr>
    </w:tblStylePr>
    <w:tblStylePr w:type="band1Vert">
      <w:tblPr/>
      <w:tcPr>
        <w:tcBorders>
          <w:top w:val="single" w:sz="8" w:space="0" w:color="E8E7E7" w:themeColor="accent3"/>
          <w:left w:val="single" w:sz="8" w:space="0" w:color="E8E7E7" w:themeColor="accent3"/>
          <w:bottom w:val="single" w:sz="8" w:space="0" w:color="E8E7E7" w:themeColor="accent3"/>
          <w:right w:val="single" w:sz="8" w:space="0" w:color="E8E7E7" w:themeColor="accent3"/>
        </w:tcBorders>
      </w:tcPr>
    </w:tblStylePr>
    <w:tblStylePr w:type="band1Horz">
      <w:tblPr/>
      <w:tcPr>
        <w:tcBorders>
          <w:top w:val="single" w:sz="8" w:space="0" w:color="E8E7E7" w:themeColor="accent3"/>
          <w:left w:val="single" w:sz="8" w:space="0" w:color="E8E7E7" w:themeColor="accent3"/>
          <w:bottom w:val="single" w:sz="8" w:space="0" w:color="E8E7E7" w:themeColor="accent3"/>
          <w:right w:val="single" w:sz="8" w:space="0" w:color="E8E7E7" w:themeColor="accent3"/>
        </w:tcBorders>
      </w:tcPr>
    </w:tblStylePr>
  </w:style>
  <w:style w:type="table" w:styleId="LightList-Accent4">
    <w:name w:val="Light List Accent 4"/>
    <w:basedOn w:val="TableNormal"/>
    <w:uiPriority w:val="61"/>
    <w:semiHidden/>
    <w:unhideWhenUsed/>
    <w:locked/>
    <w:rsid w:val="00C551E1"/>
    <w:pPr>
      <w:spacing w:after="0"/>
    </w:pPr>
    <w:tblPr>
      <w:tblStyleRowBandSize w:val="1"/>
      <w:tblStyleColBandSize w:val="1"/>
      <w:tblBorders>
        <w:top w:val="single" w:sz="8" w:space="0" w:color="8C8686" w:themeColor="accent4"/>
        <w:left w:val="single" w:sz="8" w:space="0" w:color="8C8686" w:themeColor="accent4"/>
        <w:bottom w:val="single" w:sz="8" w:space="0" w:color="8C8686" w:themeColor="accent4"/>
        <w:right w:val="single" w:sz="8" w:space="0" w:color="8C8686" w:themeColor="accent4"/>
      </w:tblBorders>
    </w:tblPr>
    <w:tblStylePr w:type="firstRow">
      <w:pPr>
        <w:spacing w:before="0" w:after="0" w:line="240" w:lineRule="auto"/>
      </w:pPr>
      <w:rPr>
        <w:b/>
        <w:bCs/>
        <w:color w:val="FFFFFF" w:themeColor="background1"/>
      </w:rPr>
      <w:tblPr/>
      <w:tcPr>
        <w:shd w:val="clear" w:color="auto" w:fill="8C8686" w:themeFill="accent4"/>
      </w:tcPr>
    </w:tblStylePr>
    <w:tblStylePr w:type="lastRow">
      <w:pPr>
        <w:spacing w:before="0" w:after="0" w:line="240" w:lineRule="auto"/>
      </w:pPr>
      <w:rPr>
        <w:b/>
        <w:bCs/>
      </w:rPr>
      <w:tblPr/>
      <w:tcPr>
        <w:tcBorders>
          <w:top w:val="double" w:sz="6" w:space="0" w:color="8C8686" w:themeColor="accent4"/>
          <w:left w:val="single" w:sz="8" w:space="0" w:color="8C8686" w:themeColor="accent4"/>
          <w:bottom w:val="single" w:sz="8" w:space="0" w:color="8C8686" w:themeColor="accent4"/>
          <w:right w:val="single" w:sz="8" w:space="0" w:color="8C8686" w:themeColor="accent4"/>
        </w:tcBorders>
      </w:tcPr>
    </w:tblStylePr>
    <w:tblStylePr w:type="firstCol">
      <w:rPr>
        <w:b/>
        <w:bCs/>
      </w:rPr>
    </w:tblStylePr>
    <w:tblStylePr w:type="lastCol">
      <w:rPr>
        <w:b/>
        <w:bCs/>
      </w:rPr>
    </w:tblStylePr>
    <w:tblStylePr w:type="band1Vert">
      <w:tblPr/>
      <w:tcPr>
        <w:tcBorders>
          <w:top w:val="single" w:sz="8" w:space="0" w:color="8C8686" w:themeColor="accent4"/>
          <w:left w:val="single" w:sz="8" w:space="0" w:color="8C8686" w:themeColor="accent4"/>
          <w:bottom w:val="single" w:sz="8" w:space="0" w:color="8C8686" w:themeColor="accent4"/>
          <w:right w:val="single" w:sz="8" w:space="0" w:color="8C8686" w:themeColor="accent4"/>
        </w:tcBorders>
      </w:tcPr>
    </w:tblStylePr>
    <w:tblStylePr w:type="band1Horz">
      <w:tblPr/>
      <w:tcPr>
        <w:tcBorders>
          <w:top w:val="single" w:sz="8" w:space="0" w:color="8C8686" w:themeColor="accent4"/>
          <w:left w:val="single" w:sz="8" w:space="0" w:color="8C8686" w:themeColor="accent4"/>
          <w:bottom w:val="single" w:sz="8" w:space="0" w:color="8C8686" w:themeColor="accent4"/>
          <w:right w:val="single" w:sz="8" w:space="0" w:color="8C8686" w:themeColor="accent4"/>
        </w:tcBorders>
      </w:tcPr>
    </w:tblStylePr>
  </w:style>
  <w:style w:type="table" w:styleId="LightList-Accent5">
    <w:name w:val="Light List Accent 5"/>
    <w:basedOn w:val="TableNormal"/>
    <w:uiPriority w:val="61"/>
    <w:semiHidden/>
    <w:unhideWhenUsed/>
    <w:locked/>
    <w:rsid w:val="00C551E1"/>
    <w:pPr>
      <w:spacing w:after="0"/>
    </w:pPr>
    <w:tblPr>
      <w:tblStyleRowBandSize w:val="1"/>
      <w:tblStyleColBandSize w:val="1"/>
      <w:tblBorders>
        <w:top w:val="single" w:sz="8" w:space="0" w:color="2C2A2A" w:themeColor="accent5"/>
        <w:left w:val="single" w:sz="8" w:space="0" w:color="2C2A2A" w:themeColor="accent5"/>
        <w:bottom w:val="single" w:sz="8" w:space="0" w:color="2C2A2A" w:themeColor="accent5"/>
        <w:right w:val="single" w:sz="8" w:space="0" w:color="2C2A2A" w:themeColor="accent5"/>
      </w:tblBorders>
    </w:tblPr>
    <w:tblStylePr w:type="firstRow">
      <w:pPr>
        <w:spacing w:before="0" w:after="0" w:line="240" w:lineRule="auto"/>
      </w:pPr>
      <w:rPr>
        <w:b/>
        <w:bCs/>
        <w:color w:val="FFFFFF" w:themeColor="background1"/>
      </w:rPr>
      <w:tblPr/>
      <w:tcPr>
        <w:shd w:val="clear" w:color="auto" w:fill="2C2A2A" w:themeFill="accent5"/>
      </w:tcPr>
    </w:tblStylePr>
    <w:tblStylePr w:type="lastRow">
      <w:pPr>
        <w:spacing w:before="0" w:after="0" w:line="240" w:lineRule="auto"/>
      </w:pPr>
      <w:rPr>
        <w:b/>
        <w:bCs/>
      </w:rPr>
      <w:tblPr/>
      <w:tcPr>
        <w:tcBorders>
          <w:top w:val="double" w:sz="6" w:space="0" w:color="2C2A2A" w:themeColor="accent5"/>
          <w:left w:val="single" w:sz="8" w:space="0" w:color="2C2A2A" w:themeColor="accent5"/>
          <w:bottom w:val="single" w:sz="8" w:space="0" w:color="2C2A2A" w:themeColor="accent5"/>
          <w:right w:val="single" w:sz="8" w:space="0" w:color="2C2A2A" w:themeColor="accent5"/>
        </w:tcBorders>
      </w:tcPr>
    </w:tblStylePr>
    <w:tblStylePr w:type="firstCol">
      <w:rPr>
        <w:b/>
        <w:bCs/>
      </w:rPr>
    </w:tblStylePr>
    <w:tblStylePr w:type="lastCol">
      <w:rPr>
        <w:b/>
        <w:bCs/>
      </w:rPr>
    </w:tblStylePr>
    <w:tblStylePr w:type="band1Vert">
      <w:tblPr/>
      <w:tcPr>
        <w:tcBorders>
          <w:top w:val="single" w:sz="8" w:space="0" w:color="2C2A2A" w:themeColor="accent5"/>
          <w:left w:val="single" w:sz="8" w:space="0" w:color="2C2A2A" w:themeColor="accent5"/>
          <w:bottom w:val="single" w:sz="8" w:space="0" w:color="2C2A2A" w:themeColor="accent5"/>
          <w:right w:val="single" w:sz="8" w:space="0" w:color="2C2A2A" w:themeColor="accent5"/>
        </w:tcBorders>
      </w:tcPr>
    </w:tblStylePr>
    <w:tblStylePr w:type="band1Horz">
      <w:tblPr/>
      <w:tcPr>
        <w:tcBorders>
          <w:top w:val="single" w:sz="8" w:space="0" w:color="2C2A2A" w:themeColor="accent5"/>
          <w:left w:val="single" w:sz="8" w:space="0" w:color="2C2A2A" w:themeColor="accent5"/>
          <w:bottom w:val="single" w:sz="8" w:space="0" w:color="2C2A2A" w:themeColor="accent5"/>
          <w:right w:val="single" w:sz="8" w:space="0" w:color="2C2A2A" w:themeColor="accent5"/>
        </w:tcBorders>
      </w:tcPr>
    </w:tblStylePr>
  </w:style>
  <w:style w:type="table" w:styleId="LightList-Accent6">
    <w:name w:val="Light List Accent 6"/>
    <w:basedOn w:val="TableNormal"/>
    <w:uiPriority w:val="61"/>
    <w:semiHidden/>
    <w:unhideWhenUsed/>
    <w:locked/>
    <w:rsid w:val="00C551E1"/>
    <w:pPr>
      <w:spacing w:after="0"/>
    </w:pPr>
    <w:tblPr>
      <w:tblStyleRowBandSize w:val="1"/>
      <w:tblStyleColBandSize w:val="1"/>
      <w:tblBorders>
        <w:top w:val="single" w:sz="8" w:space="0" w:color="4A0E18" w:themeColor="accent6"/>
        <w:left w:val="single" w:sz="8" w:space="0" w:color="4A0E18" w:themeColor="accent6"/>
        <w:bottom w:val="single" w:sz="8" w:space="0" w:color="4A0E18" w:themeColor="accent6"/>
        <w:right w:val="single" w:sz="8" w:space="0" w:color="4A0E18" w:themeColor="accent6"/>
      </w:tblBorders>
    </w:tblPr>
    <w:tblStylePr w:type="firstRow">
      <w:pPr>
        <w:spacing w:before="0" w:after="0" w:line="240" w:lineRule="auto"/>
      </w:pPr>
      <w:rPr>
        <w:b/>
        <w:bCs/>
        <w:color w:val="FFFFFF" w:themeColor="background1"/>
      </w:rPr>
      <w:tblPr/>
      <w:tcPr>
        <w:shd w:val="clear" w:color="auto" w:fill="4A0E18" w:themeFill="accent6"/>
      </w:tcPr>
    </w:tblStylePr>
    <w:tblStylePr w:type="lastRow">
      <w:pPr>
        <w:spacing w:before="0" w:after="0" w:line="240" w:lineRule="auto"/>
      </w:pPr>
      <w:rPr>
        <w:b/>
        <w:bCs/>
      </w:rPr>
      <w:tblPr/>
      <w:tcPr>
        <w:tcBorders>
          <w:top w:val="double" w:sz="6" w:space="0" w:color="4A0E18" w:themeColor="accent6"/>
          <w:left w:val="single" w:sz="8" w:space="0" w:color="4A0E18" w:themeColor="accent6"/>
          <w:bottom w:val="single" w:sz="8" w:space="0" w:color="4A0E18" w:themeColor="accent6"/>
          <w:right w:val="single" w:sz="8" w:space="0" w:color="4A0E18" w:themeColor="accent6"/>
        </w:tcBorders>
      </w:tcPr>
    </w:tblStylePr>
    <w:tblStylePr w:type="firstCol">
      <w:rPr>
        <w:b/>
        <w:bCs/>
      </w:rPr>
    </w:tblStylePr>
    <w:tblStylePr w:type="lastCol">
      <w:rPr>
        <w:b/>
        <w:bCs/>
      </w:rPr>
    </w:tblStylePr>
    <w:tblStylePr w:type="band1Vert">
      <w:tblPr/>
      <w:tcPr>
        <w:tcBorders>
          <w:top w:val="single" w:sz="8" w:space="0" w:color="4A0E18" w:themeColor="accent6"/>
          <w:left w:val="single" w:sz="8" w:space="0" w:color="4A0E18" w:themeColor="accent6"/>
          <w:bottom w:val="single" w:sz="8" w:space="0" w:color="4A0E18" w:themeColor="accent6"/>
          <w:right w:val="single" w:sz="8" w:space="0" w:color="4A0E18" w:themeColor="accent6"/>
        </w:tcBorders>
      </w:tcPr>
    </w:tblStylePr>
    <w:tblStylePr w:type="band1Horz">
      <w:tblPr/>
      <w:tcPr>
        <w:tcBorders>
          <w:top w:val="single" w:sz="8" w:space="0" w:color="4A0E18" w:themeColor="accent6"/>
          <w:left w:val="single" w:sz="8" w:space="0" w:color="4A0E18" w:themeColor="accent6"/>
          <w:bottom w:val="single" w:sz="8" w:space="0" w:color="4A0E18" w:themeColor="accent6"/>
          <w:right w:val="single" w:sz="8" w:space="0" w:color="4A0E18" w:themeColor="accent6"/>
        </w:tcBorders>
      </w:tcPr>
    </w:tblStylePr>
  </w:style>
  <w:style w:type="table" w:styleId="LightShading">
    <w:name w:val="Light Shading"/>
    <w:basedOn w:val="TableNormal"/>
    <w:uiPriority w:val="60"/>
    <w:semiHidden/>
    <w:unhideWhenUsed/>
    <w:locked/>
    <w:rsid w:val="00C551E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C551E1"/>
    <w:pPr>
      <w:spacing w:after="0"/>
    </w:pPr>
    <w:rPr>
      <w:color w:val="6D1423" w:themeColor="accent1" w:themeShade="BF"/>
    </w:rPr>
    <w:tblPr>
      <w:tblStyleRowBandSize w:val="1"/>
      <w:tblStyleColBandSize w:val="1"/>
      <w:tblBorders>
        <w:top w:val="single" w:sz="8" w:space="0" w:color="931B2F" w:themeColor="accent1"/>
        <w:bottom w:val="single" w:sz="8" w:space="0" w:color="931B2F" w:themeColor="accent1"/>
      </w:tblBorders>
    </w:tblPr>
    <w:tblStylePr w:type="firstRow">
      <w:pPr>
        <w:spacing w:before="0" w:after="0" w:line="240" w:lineRule="auto"/>
      </w:pPr>
      <w:rPr>
        <w:b/>
        <w:bCs/>
      </w:rPr>
      <w:tblPr/>
      <w:tcPr>
        <w:tcBorders>
          <w:top w:val="single" w:sz="8" w:space="0" w:color="931B2F" w:themeColor="accent1"/>
          <w:left w:val="nil"/>
          <w:bottom w:val="single" w:sz="8" w:space="0" w:color="931B2F" w:themeColor="accent1"/>
          <w:right w:val="nil"/>
          <w:insideH w:val="nil"/>
          <w:insideV w:val="nil"/>
        </w:tcBorders>
      </w:tcPr>
    </w:tblStylePr>
    <w:tblStylePr w:type="lastRow">
      <w:pPr>
        <w:spacing w:before="0" w:after="0" w:line="240" w:lineRule="auto"/>
      </w:pPr>
      <w:rPr>
        <w:b/>
        <w:bCs/>
      </w:rPr>
      <w:tblPr/>
      <w:tcPr>
        <w:tcBorders>
          <w:top w:val="single" w:sz="8" w:space="0" w:color="931B2F" w:themeColor="accent1"/>
          <w:left w:val="nil"/>
          <w:bottom w:val="single" w:sz="8" w:space="0" w:color="93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8C1" w:themeFill="accent1" w:themeFillTint="3F"/>
      </w:tcPr>
    </w:tblStylePr>
    <w:tblStylePr w:type="band1Horz">
      <w:tblPr/>
      <w:tcPr>
        <w:tcBorders>
          <w:left w:val="nil"/>
          <w:right w:val="nil"/>
          <w:insideH w:val="nil"/>
          <w:insideV w:val="nil"/>
        </w:tcBorders>
        <w:shd w:val="clear" w:color="auto" w:fill="F2B8C1" w:themeFill="accent1" w:themeFillTint="3F"/>
      </w:tcPr>
    </w:tblStylePr>
  </w:style>
  <w:style w:type="table" w:styleId="LightShading-Accent2">
    <w:name w:val="Light Shading Accent 2"/>
    <w:basedOn w:val="TableNormal"/>
    <w:uiPriority w:val="60"/>
    <w:semiHidden/>
    <w:unhideWhenUsed/>
    <w:locked/>
    <w:rsid w:val="00C551E1"/>
    <w:pPr>
      <w:spacing w:after="0"/>
    </w:pPr>
    <w:rPr>
      <w:color w:val="8A424E" w:themeColor="accent2" w:themeShade="BF"/>
    </w:rPr>
    <w:tblPr>
      <w:tblStyleRowBandSize w:val="1"/>
      <w:tblStyleColBandSize w:val="1"/>
      <w:tblBorders>
        <w:top w:val="single" w:sz="8" w:space="0" w:color="B35F6D" w:themeColor="accent2"/>
        <w:bottom w:val="single" w:sz="8" w:space="0" w:color="B35F6D" w:themeColor="accent2"/>
      </w:tblBorders>
    </w:tblPr>
    <w:tblStylePr w:type="firstRow">
      <w:pPr>
        <w:spacing w:before="0" w:after="0" w:line="240" w:lineRule="auto"/>
      </w:pPr>
      <w:rPr>
        <w:b/>
        <w:bCs/>
      </w:rPr>
      <w:tblPr/>
      <w:tcPr>
        <w:tcBorders>
          <w:top w:val="single" w:sz="8" w:space="0" w:color="B35F6D" w:themeColor="accent2"/>
          <w:left w:val="nil"/>
          <w:bottom w:val="single" w:sz="8" w:space="0" w:color="B35F6D" w:themeColor="accent2"/>
          <w:right w:val="nil"/>
          <w:insideH w:val="nil"/>
          <w:insideV w:val="nil"/>
        </w:tcBorders>
      </w:tcPr>
    </w:tblStylePr>
    <w:tblStylePr w:type="lastRow">
      <w:pPr>
        <w:spacing w:before="0" w:after="0" w:line="240" w:lineRule="auto"/>
      </w:pPr>
      <w:rPr>
        <w:b/>
        <w:bCs/>
      </w:rPr>
      <w:tblPr/>
      <w:tcPr>
        <w:tcBorders>
          <w:top w:val="single" w:sz="8" w:space="0" w:color="B35F6D" w:themeColor="accent2"/>
          <w:left w:val="nil"/>
          <w:bottom w:val="single" w:sz="8" w:space="0" w:color="B35F6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7DA" w:themeFill="accent2" w:themeFillTint="3F"/>
      </w:tcPr>
    </w:tblStylePr>
    <w:tblStylePr w:type="band1Horz">
      <w:tblPr/>
      <w:tcPr>
        <w:tcBorders>
          <w:left w:val="nil"/>
          <w:right w:val="nil"/>
          <w:insideH w:val="nil"/>
          <w:insideV w:val="nil"/>
        </w:tcBorders>
        <w:shd w:val="clear" w:color="auto" w:fill="ECD7DA" w:themeFill="accent2" w:themeFillTint="3F"/>
      </w:tcPr>
    </w:tblStylePr>
  </w:style>
  <w:style w:type="table" w:styleId="LightShading-Accent3">
    <w:name w:val="Light Shading Accent 3"/>
    <w:basedOn w:val="TableNormal"/>
    <w:uiPriority w:val="60"/>
    <w:semiHidden/>
    <w:unhideWhenUsed/>
    <w:locked/>
    <w:rsid w:val="00C551E1"/>
    <w:pPr>
      <w:spacing w:after="0"/>
    </w:pPr>
    <w:rPr>
      <w:color w:val="AFABAB" w:themeColor="accent3" w:themeShade="BF"/>
    </w:rPr>
    <w:tblPr>
      <w:tblStyleRowBandSize w:val="1"/>
      <w:tblStyleColBandSize w:val="1"/>
      <w:tblBorders>
        <w:top w:val="single" w:sz="8" w:space="0" w:color="E8E7E7" w:themeColor="accent3"/>
        <w:bottom w:val="single" w:sz="8" w:space="0" w:color="E8E7E7" w:themeColor="accent3"/>
      </w:tblBorders>
    </w:tblPr>
    <w:tblStylePr w:type="firstRow">
      <w:pPr>
        <w:spacing w:before="0" w:after="0" w:line="240" w:lineRule="auto"/>
      </w:pPr>
      <w:rPr>
        <w:b/>
        <w:bCs/>
      </w:rPr>
      <w:tblPr/>
      <w:tcPr>
        <w:tcBorders>
          <w:top w:val="single" w:sz="8" w:space="0" w:color="E8E7E7" w:themeColor="accent3"/>
          <w:left w:val="nil"/>
          <w:bottom w:val="single" w:sz="8" w:space="0" w:color="E8E7E7" w:themeColor="accent3"/>
          <w:right w:val="nil"/>
          <w:insideH w:val="nil"/>
          <w:insideV w:val="nil"/>
        </w:tcBorders>
      </w:tcPr>
    </w:tblStylePr>
    <w:tblStylePr w:type="lastRow">
      <w:pPr>
        <w:spacing w:before="0" w:after="0" w:line="240" w:lineRule="auto"/>
      </w:pPr>
      <w:rPr>
        <w:b/>
        <w:bCs/>
      </w:rPr>
      <w:tblPr/>
      <w:tcPr>
        <w:tcBorders>
          <w:top w:val="single" w:sz="8" w:space="0" w:color="E8E7E7" w:themeColor="accent3"/>
          <w:left w:val="nil"/>
          <w:bottom w:val="single" w:sz="8" w:space="0" w:color="E8E7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9" w:themeFill="accent3" w:themeFillTint="3F"/>
      </w:tcPr>
    </w:tblStylePr>
    <w:tblStylePr w:type="band1Horz">
      <w:tblPr/>
      <w:tcPr>
        <w:tcBorders>
          <w:left w:val="nil"/>
          <w:right w:val="nil"/>
          <w:insideH w:val="nil"/>
          <w:insideV w:val="nil"/>
        </w:tcBorders>
        <w:shd w:val="clear" w:color="auto" w:fill="F9F9F9" w:themeFill="accent3" w:themeFillTint="3F"/>
      </w:tcPr>
    </w:tblStylePr>
  </w:style>
  <w:style w:type="table" w:styleId="LightShading-Accent4">
    <w:name w:val="Light Shading Accent 4"/>
    <w:basedOn w:val="TableNormal"/>
    <w:uiPriority w:val="60"/>
    <w:semiHidden/>
    <w:unhideWhenUsed/>
    <w:locked/>
    <w:rsid w:val="00C551E1"/>
    <w:pPr>
      <w:spacing w:after="0"/>
    </w:pPr>
    <w:rPr>
      <w:color w:val="696464" w:themeColor="accent4" w:themeShade="BF"/>
    </w:rPr>
    <w:tblPr>
      <w:tblStyleRowBandSize w:val="1"/>
      <w:tblStyleColBandSize w:val="1"/>
      <w:tblBorders>
        <w:top w:val="single" w:sz="8" w:space="0" w:color="8C8686" w:themeColor="accent4"/>
        <w:bottom w:val="single" w:sz="8" w:space="0" w:color="8C8686" w:themeColor="accent4"/>
      </w:tblBorders>
    </w:tblPr>
    <w:tblStylePr w:type="firstRow">
      <w:pPr>
        <w:spacing w:before="0" w:after="0" w:line="240" w:lineRule="auto"/>
      </w:pPr>
      <w:rPr>
        <w:b/>
        <w:bCs/>
      </w:rPr>
      <w:tblPr/>
      <w:tcPr>
        <w:tcBorders>
          <w:top w:val="single" w:sz="8" w:space="0" w:color="8C8686" w:themeColor="accent4"/>
          <w:left w:val="nil"/>
          <w:bottom w:val="single" w:sz="8" w:space="0" w:color="8C8686" w:themeColor="accent4"/>
          <w:right w:val="nil"/>
          <w:insideH w:val="nil"/>
          <w:insideV w:val="nil"/>
        </w:tcBorders>
      </w:tcPr>
    </w:tblStylePr>
    <w:tblStylePr w:type="lastRow">
      <w:pPr>
        <w:spacing w:before="0" w:after="0" w:line="240" w:lineRule="auto"/>
      </w:pPr>
      <w:rPr>
        <w:b/>
        <w:bCs/>
      </w:rPr>
      <w:tblPr/>
      <w:tcPr>
        <w:tcBorders>
          <w:top w:val="single" w:sz="8" w:space="0" w:color="8C8686" w:themeColor="accent4"/>
          <w:left w:val="nil"/>
          <w:bottom w:val="single" w:sz="8" w:space="0" w:color="8C868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1" w:themeFill="accent4" w:themeFillTint="3F"/>
      </w:tcPr>
    </w:tblStylePr>
    <w:tblStylePr w:type="band1Horz">
      <w:tblPr/>
      <w:tcPr>
        <w:tcBorders>
          <w:left w:val="nil"/>
          <w:right w:val="nil"/>
          <w:insideH w:val="nil"/>
          <w:insideV w:val="nil"/>
        </w:tcBorders>
        <w:shd w:val="clear" w:color="auto" w:fill="E2E1E1" w:themeFill="accent4" w:themeFillTint="3F"/>
      </w:tcPr>
    </w:tblStylePr>
  </w:style>
  <w:style w:type="table" w:styleId="LightShading-Accent5">
    <w:name w:val="Light Shading Accent 5"/>
    <w:basedOn w:val="TableNormal"/>
    <w:uiPriority w:val="60"/>
    <w:semiHidden/>
    <w:unhideWhenUsed/>
    <w:locked/>
    <w:rsid w:val="00C551E1"/>
    <w:pPr>
      <w:spacing w:after="0"/>
    </w:pPr>
    <w:rPr>
      <w:color w:val="201F1F" w:themeColor="accent5" w:themeShade="BF"/>
    </w:rPr>
    <w:tblPr>
      <w:tblStyleRowBandSize w:val="1"/>
      <w:tblStyleColBandSize w:val="1"/>
      <w:tblBorders>
        <w:top w:val="single" w:sz="8" w:space="0" w:color="2C2A2A" w:themeColor="accent5"/>
        <w:bottom w:val="single" w:sz="8" w:space="0" w:color="2C2A2A" w:themeColor="accent5"/>
      </w:tblBorders>
    </w:tblPr>
    <w:tblStylePr w:type="firstRow">
      <w:pPr>
        <w:spacing w:before="0" w:after="0" w:line="240" w:lineRule="auto"/>
      </w:pPr>
      <w:rPr>
        <w:b/>
        <w:bCs/>
      </w:rPr>
      <w:tblPr/>
      <w:tcPr>
        <w:tcBorders>
          <w:top w:val="single" w:sz="8" w:space="0" w:color="2C2A2A" w:themeColor="accent5"/>
          <w:left w:val="nil"/>
          <w:bottom w:val="single" w:sz="8" w:space="0" w:color="2C2A2A" w:themeColor="accent5"/>
          <w:right w:val="nil"/>
          <w:insideH w:val="nil"/>
          <w:insideV w:val="nil"/>
        </w:tcBorders>
      </w:tcPr>
    </w:tblStylePr>
    <w:tblStylePr w:type="lastRow">
      <w:pPr>
        <w:spacing w:before="0" w:after="0" w:line="240" w:lineRule="auto"/>
      </w:pPr>
      <w:rPr>
        <w:b/>
        <w:bCs/>
      </w:rPr>
      <w:tblPr/>
      <w:tcPr>
        <w:tcBorders>
          <w:top w:val="single" w:sz="8" w:space="0" w:color="2C2A2A" w:themeColor="accent5"/>
          <w:left w:val="nil"/>
          <w:bottom w:val="single" w:sz="8" w:space="0" w:color="2C2A2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9C9" w:themeFill="accent5" w:themeFillTint="3F"/>
      </w:tcPr>
    </w:tblStylePr>
    <w:tblStylePr w:type="band1Horz">
      <w:tblPr/>
      <w:tcPr>
        <w:tcBorders>
          <w:left w:val="nil"/>
          <w:right w:val="nil"/>
          <w:insideH w:val="nil"/>
          <w:insideV w:val="nil"/>
        </w:tcBorders>
        <w:shd w:val="clear" w:color="auto" w:fill="CBC9C9" w:themeFill="accent5" w:themeFillTint="3F"/>
      </w:tcPr>
    </w:tblStylePr>
  </w:style>
  <w:style w:type="table" w:styleId="LightShading-Accent6">
    <w:name w:val="Light Shading Accent 6"/>
    <w:basedOn w:val="TableNormal"/>
    <w:uiPriority w:val="60"/>
    <w:semiHidden/>
    <w:unhideWhenUsed/>
    <w:locked/>
    <w:rsid w:val="00C551E1"/>
    <w:pPr>
      <w:spacing w:after="0"/>
    </w:pPr>
    <w:rPr>
      <w:color w:val="370A11" w:themeColor="accent6" w:themeShade="BF"/>
    </w:rPr>
    <w:tblPr>
      <w:tblStyleRowBandSize w:val="1"/>
      <w:tblStyleColBandSize w:val="1"/>
      <w:tblBorders>
        <w:top w:val="single" w:sz="8" w:space="0" w:color="4A0E18" w:themeColor="accent6"/>
        <w:bottom w:val="single" w:sz="8" w:space="0" w:color="4A0E18" w:themeColor="accent6"/>
      </w:tblBorders>
    </w:tblPr>
    <w:tblStylePr w:type="firstRow">
      <w:pPr>
        <w:spacing w:before="0" w:after="0" w:line="240" w:lineRule="auto"/>
      </w:pPr>
      <w:rPr>
        <w:b/>
        <w:bCs/>
      </w:rPr>
      <w:tblPr/>
      <w:tcPr>
        <w:tcBorders>
          <w:top w:val="single" w:sz="8" w:space="0" w:color="4A0E18" w:themeColor="accent6"/>
          <w:left w:val="nil"/>
          <w:bottom w:val="single" w:sz="8" w:space="0" w:color="4A0E18" w:themeColor="accent6"/>
          <w:right w:val="nil"/>
          <w:insideH w:val="nil"/>
          <w:insideV w:val="nil"/>
        </w:tcBorders>
      </w:tcPr>
    </w:tblStylePr>
    <w:tblStylePr w:type="lastRow">
      <w:pPr>
        <w:spacing w:before="0" w:after="0" w:line="240" w:lineRule="auto"/>
      </w:pPr>
      <w:rPr>
        <w:b/>
        <w:bCs/>
      </w:rPr>
      <w:tblPr/>
      <w:tcPr>
        <w:tcBorders>
          <w:top w:val="single" w:sz="8" w:space="0" w:color="4A0E18" w:themeColor="accent6"/>
          <w:left w:val="nil"/>
          <w:bottom w:val="single" w:sz="8" w:space="0" w:color="4A0E1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A7B2" w:themeFill="accent6" w:themeFillTint="3F"/>
      </w:tcPr>
    </w:tblStylePr>
    <w:tblStylePr w:type="band1Horz">
      <w:tblPr/>
      <w:tcPr>
        <w:tcBorders>
          <w:left w:val="nil"/>
          <w:right w:val="nil"/>
          <w:insideH w:val="nil"/>
          <w:insideV w:val="nil"/>
        </w:tcBorders>
        <w:shd w:val="clear" w:color="auto" w:fill="EEA7B2" w:themeFill="accent6" w:themeFillTint="3F"/>
      </w:tcPr>
    </w:tblStylePr>
  </w:style>
  <w:style w:type="table" w:customStyle="1" w:styleId="ListTable1Light1">
    <w:name w:val="List Table 1 Light1"/>
    <w:basedOn w:val="TableNormal"/>
    <w:uiPriority w:val="46"/>
    <w:semiHidden/>
    <w:rsid w:val="00C551E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C551E1"/>
    <w:pPr>
      <w:spacing w:after="0"/>
    </w:pPr>
    <w:tblPr>
      <w:tblStyleRowBandSize w:val="1"/>
      <w:tblStyleColBandSize w:val="1"/>
    </w:tblPr>
    <w:tblStylePr w:type="firstRow">
      <w:rPr>
        <w:b/>
        <w:bCs/>
      </w:rPr>
      <w:tblPr/>
      <w:tcPr>
        <w:tcBorders>
          <w:bottom w:val="single" w:sz="4" w:space="0" w:color="DF546B" w:themeColor="accent1" w:themeTint="99"/>
        </w:tcBorders>
      </w:tcPr>
    </w:tblStylePr>
    <w:tblStylePr w:type="lastRow">
      <w:rPr>
        <w:b/>
        <w:bCs/>
      </w:rPr>
      <w:tblPr/>
      <w:tcPr>
        <w:tcBorders>
          <w:top w:val="sing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1Light-Accent21">
    <w:name w:val="List Table 1 Light - Accent 21"/>
    <w:basedOn w:val="TableNormal"/>
    <w:uiPriority w:val="46"/>
    <w:semiHidden/>
    <w:rsid w:val="00C551E1"/>
    <w:pPr>
      <w:spacing w:after="0"/>
    </w:pPr>
    <w:tblPr>
      <w:tblStyleRowBandSize w:val="1"/>
      <w:tblStyleColBandSize w:val="1"/>
    </w:tblPr>
    <w:tblStylePr w:type="firstRow">
      <w:rPr>
        <w:b/>
        <w:bCs/>
      </w:rPr>
      <w:tblPr/>
      <w:tcPr>
        <w:tcBorders>
          <w:bottom w:val="single" w:sz="4" w:space="0" w:color="D19EA7" w:themeColor="accent2" w:themeTint="99"/>
        </w:tcBorders>
      </w:tcPr>
    </w:tblStylePr>
    <w:tblStylePr w:type="lastRow">
      <w:rPr>
        <w:b/>
        <w:bCs/>
      </w:rPr>
      <w:tblPr/>
      <w:tcPr>
        <w:tcBorders>
          <w:top w:val="sing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1Light-Accent31">
    <w:name w:val="List Table 1 Light - Accent 31"/>
    <w:basedOn w:val="TableNormal"/>
    <w:uiPriority w:val="46"/>
    <w:semiHidden/>
    <w:rsid w:val="00C551E1"/>
    <w:pPr>
      <w:spacing w:after="0"/>
    </w:pPr>
    <w:tblPr>
      <w:tblStyleRowBandSize w:val="1"/>
      <w:tblStyleColBandSize w:val="1"/>
    </w:tblPr>
    <w:tblStylePr w:type="firstRow">
      <w:rPr>
        <w:b/>
        <w:bCs/>
      </w:rPr>
      <w:tblPr/>
      <w:tcPr>
        <w:tcBorders>
          <w:bottom w:val="single" w:sz="4" w:space="0" w:color="F1F0F0" w:themeColor="accent3" w:themeTint="99"/>
        </w:tcBorders>
      </w:tcPr>
    </w:tblStylePr>
    <w:tblStylePr w:type="lastRow">
      <w:rPr>
        <w:b/>
        <w:bCs/>
      </w:rPr>
      <w:tblPr/>
      <w:tcPr>
        <w:tcBorders>
          <w:top w:val="sing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1Light-Accent41">
    <w:name w:val="List Table 1 Light - Accent 41"/>
    <w:basedOn w:val="TableNormal"/>
    <w:uiPriority w:val="46"/>
    <w:semiHidden/>
    <w:rsid w:val="00C551E1"/>
    <w:pPr>
      <w:spacing w:after="0"/>
    </w:pPr>
    <w:tblPr>
      <w:tblStyleRowBandSize w:val="1"/>
      <w:tblStyleColBandSize w:val="1"/>
    </w:tblPr>
    <w:tblStylePr w:type="firstRow">
      <w:rPr>
        <w:b/>
        <w:bCs/>
      </w:rPr>
      <w:tblPr/>
      <w:tcPr>
        <w:tcBorders>
          <w:bottom w:val="single" w:sz="4" w:space="0" w:color="BAB6B6" w:themeColor="accent4" w:themeTint="99"/>
        </w:tcBorders>
      </w:tcPr>
    </w:tblStylePr>
    <w:tblStylePr w:type="lastRow">
      <w:rPr>
        <w:b/>
        <w:bCs/>
      </w:rPr>
      <w:tblPr/>
      <w:tcPr>
        <w:tcBorders>
          <w:top w:val="sing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1Light-Accent51">
    <w:name w:val="List Table 1 Light - Accent 51"/>
    <w:basedOn w:val="TableNormal"/>
    <w:uiPriority w:val="46"/>
    <w:semiHidden/>
    <w:rsid w:val="00C551E1"/>
    <w:pPr>
      <w:spacing w:after="0"/>
    </w:pPr>
    <w:tblPr>
      <w:tblStyleRowBandSize w:val="1"/>
      <w:tblStyleColBandSize w:val="1"/>
    </w:tblPr>
    <w:tblStylePr w:type="firstRow">
      <w:rPr>
        <w:b/>
        <w:bCs/>
      </w:rPr>
      <w:tblPr/>
      <w:tcPr>
        <w:tcBorders>
          <w:bottom w:val="single" w:sz="4" w:space="0" w:color="827C7C" w:themeColor="accent5" w:themeTint="99"/>
        </w:tcBorders>
      </w:tcPr>
    </w:tblStylePr>
    <w:tblStylePr w:type="lastRow">
      <w:rPr>
        <w:b/>
        <w:bCs/>
      </w:rPr>
      <w:tblPr/>
      <w:tcPr>
        <w:tcBorders>
          <w:top w:val="sing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1Light-Accent61">
    <w:name w:val="List Table 1 Light - Accent 61"/>
    <w:basedOn w:val="TableNormal"/>
    <w:uiPriority w:val="46"/>
    <w:semiHidden/>
    <w:rsid w:val="00C551E1"/>
    <w:pPr>
      <w:spacing w:after="0"/>
    </w:pPr>
    <w:tblPr>
      <w:tblStyleRowBandSize w:val="1"/>
      <w:tblStyleColBandSize w:val="1"/>
    </w:tblPr>
    <w:tblStylePr w:type="firstRow">
      <w:rPr>
        <w:b/>
        <w:bCs/>
      </w:rPr>
      <w:tblPr/>
      <w:tcPr>
        <w:tcBorders>
          <w:bottom w:val="single" w:sz="4" w:space="0" w:color="D62946" w:themeColor="accent6" w:themeTint="99"/>
        </w:tcBorders>
      </w:tcPr>
    </w:tblStylePr>
    <w:tblStylePr w:type="lastRow">
      <w:rPr>
        <w:b/>
        <w:bCs/>
      </w:rPr>
      <w:tblPr/>
      <w:tcPr>
        <w:tcBorders>
          <w:top w:val="sing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21">
    <w:name w:val="List Table 21"/>
    <w:basedOn w:val="TableNormal"/>
    <w:uiPriority w:val="47"/>
    <w:semiHidden/>
    <w:rsid w:val="00C551E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C551E1"/>
    <w:pPr>
      <w:spacing w:after="0"/>
    </w:pPr>
    <w:tblPr>
      <w:tblStyleRowBandSize w:val="1"/>
      <w:tblStyleColBandSize w:val="1"/>
      <w:tblBorders>
        <w:top w:val="single" w:sz="4" w:space="0" w:color="DF546B" w:themeColor="accent1" w:themeTint="99"/>
        <w:bottom w:val="single" w:sz="4" w:space="0" w:color="DF546B" w:themeColor="accent1" w:themeTint="99"/>
        <w:insideH w:val="single" w:sz="4" w:space="0" w:color="DF54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2-Accent21">
    <w:name w:val="List Table 2 - Accent 21"/>
    <w:basedOn w:val="TableNormal"/>
    <w:uiPriority w:val="47"/>
    <w:semiHidden/>
    <w:rsid w:val="00C551E1"/>
    <w:pPr>
      <w:spacing w:after="0"/>
    </w:pPr>
    <w:tblPr>
      <w:tblStyleRowBandSize w:val="1"/>
      <w:tblStyleColBandSize w:val="1"/>
      <w:tblBorders>
        <w:top w:val="single" w:sz="4" w:space="0" w:color="D19EA7" w:themeColor="accent2" w:themeTint="99"/>
        <w:bottom w:val="single" w:sz="4" w:space="0" w:color="D19EA7" w:themeColor="accent2" w:themeTint="99"/>
        <w:insideH w:val="single" w:sz="4" w:space="0" w:color="D19EA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2-Accent31">
    <w:name w:val="List Table 2 - Accent 31"/>
    <w:basedOn w:val="TableNormal"/>
    <w:uiPriority w:val="47"/>
    <w:semiHidden/>
    <w:rsid w:val="00C551E1"/>
    <w:pPr>
      <w:spacing w:after="0"/>
    </w:pPr>
    <w:tblPr>
      <w:tblStyleRowBandSize w:val="1"/>
      <w:tblStyleColBandSize w:val="1"/>
      <w:tblBorders>
        <w:top w:val="single" w:sz="4" w:space="0" w:color="F1F0F0" w:themeColor="accent3" w:themeTint="99"/>
        <w:bottom w:val="single" w:sz="4" w:space="0" w:color="F1F0F0" w:themeColor="accent3" w:themeTint="99"/>
        <w:insideH w:val="single" w:sz="4" w:space="0" w:color="F1F0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2-Accent41">
    <w:name w:val="List Table 2 - Accent 41"/>
    <w:basedOn w:val="TableNormal"/>
    <w:uiPriority w:val="47"/>
    <w:semiHidden/>
    <w:rsid w:val="00C551E1"/>
    <w:pPr>
      <w:spacing w:after="0"/>
    </w:pPr>
    <w:tblPr>
      <w:tblStyleRowBandSize w:val="1"/>
      <w:tblStyleColBandSize w:val="1"/>
      <w:tblBorders>
        <w:top w:val="single" w:sz="4" w:space="0" w:color="BAB6B6" w:themeColor="accent4" w:themeTint="99"/>
        <w:bottom w:val="single" w:sz="4" w:space="0" w:color="BAB6B6" w:themeColor="accent4" w:themeTint="99"/>
        <w:insideH w:val="single" w:sz="4" w:space="0" w:color="BAB6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2-Accent51">
    <w:name w:val="List Table 2 - Accent 51"/>
    <w:basedOn w:val="TableNormal"/>
    <w:uiPriority w:val="47"/>
    <w:semiHidden/>
    <w:rsid w:val="00C551E1"/>
    <w:pPr>
      <w:spacing w:after="0"/>
    </w:pPr>
    <w:tblPr>
      <w:tblStyleRowBandSize w:val="1"/>
      <w:tblStyleColBandSize w:val="1"/>
      <w:tblBorders>
        <w:top w:val="single" w:sz="4" w:space="0" w:color="827C7C" w:themeColor="accent5" w:themeTint="99"/>
        <w:bottom w:val="single" w:sz="4" w:space="0" w:color="827C7C" w:themeColor="accent5" w:themeTint="99"/>
        <w:insideH w:val="single" w:sz="4" w:space="0" w:color="827C7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2-Accent61">
    <w:name w:val="List Table 2 - Accent 61"/>
    <w:basedOn w:val="TableNormal"/>
    <w:uiPriority w:val="47"/>
    <w:semiHidden/>
    <w:rsid w:val="00C551E1"/>
    <w:pPr>
      <w:spacing w:after="0"/>
    </w:pPr>
    <w:tblPr>
      <w:tblStyleRowBandSize w:val="1"/>
      <w:tblStyleColBandSize w:val="1"/>
      <w:tblBorders>
        <w:top w:val="single" w:sz="4" w:space="0" w:color="D62946" w:themeColor="accent6" w:themeTint="99"/>
        <w:bottom w:val="single" w:sz="4" w:space="0" w:color="D62946" w:themeColor="accent6" w:themeTint="99"/>
        <w:insideH w:val="single" w:sz="4" w:space="0" w:color="D6294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31">
    <w:name w:val="List Table 31"/>
    <w:basedOn w:val="TableNormal"/>
    <w:uiPriority w:val="48"/>
    <w:semiHidden/>
    <w:rsid w:val="00C551E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C551E1"/>
    <w:pPr>
      <w:spacing w:after="0"/>
    </w:pPr>
    <w:tblPr>
      <w:tblStyleRowBandSize w:val="1"/>
      <w:tblStyleColBandSize w:val="1"/>
      <w:tblBorders>
        <w:top w:val="single" w:sz="4" w:space="0" w:color="931B2F" w:themeColor="accent1"/>
        <w:left w:val="single" w:sz="4" w:space="0" w:color="931B2F" w:themeColor="accent1"/>
        <w:bottom w:val="single" w:sz="4" w:space="0" w:color="931B2F" w:themeColor="accent1"/>
        <w:right w:val="single" w:sz="4" w:space="0" w:color="931B2F" w:themeColor="accent1"/>
      </w:tblBorders>
    </w:tblPr>
    <w:tblStylePr w:type="firstRow">
      <w:rPr>
        <w:b/>
        <w:bCs/>
        <w:color w:val="FFFFFF" w:themeColor="background1"/>
      </w:rPr>
      <w:tblPr/>
      <w:tcPr>
        <w:shd w:val="clear" w:color="auto" w:fill="931B2F" w:themeFill="accent1"/>
      </w:tcPr>
    </w:tblStylePr>
    <w:tblStylePr w:type="lastRow">
      <w:rPr>
        <w:b/>
        <w:bCs/>
      </w:rPr>
      <w:tblPr/>
      <w:tcPr>
        <w:tcBorders>
          <w:top w:val="double" w:sz="4" w:space="0" w:color="93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1B2F" w:themeColor="accent1"/>
          <w:right w:val="single" w:sz="4" w:space="0" w:color="931B2F" w:themeColor="accent1"/>
        </w:tcBorders>
      </w:tcPr>
    </w:tblStylePr>
    <w:tblStylePr w:type="band1Horz">
      <w:tblPr/>
      <w:tcPr>
        <w:tcBorders>
          <w:top w:val="single" w:sz="4" w:space="0" w:color="931B2F" w:themeColor="accent1"/>
          <w:bottom w:val="single" w:sz="4" w:space="0" w:color="93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1B2F" w:themeColor="accent1"/>
          <w:left w:val="nil"/>
        </w:tcBorders>
      </w:tcPr>
    </w:tblStylePr>
    <w:tblStylePr w:type="swCell">
      <w:tblPr/>
      <w:tcPr>
        <w:tcBorders>
          <w:top w:val="double" w:sz="4" w:space="0" w:color="931B2F" w:themeColor="accent1"/>
          <w:right w:val="nil"/>
        </w:tcBorders>
      </w:tcPr>
    </w:tblStylePr>
  </w:style>
  <w:style w:type="table" w:customStyle="1" w:styleId="ListTable3-Accent21">
    <w:name w:val="List Table 3 - Accent 21"/>
    <w:basedOn w:val="TableNormal"/>
    <w:uiPriority w:val="48"/>
    <w:semiHidden/>
    <w:rsid w:val="00C551E1"/>
    <w:pPr>
      <w:spacing w:after="0"/>
    </w:pPr>
    <w:tblPr>
      <w:tblStyleRowBandSize w:val="1"/>
      <w:tblStyleColBandSize w:val="1"/>
      <w:tblBorders>
        <w:top w:val="single" w:sz="4" w:space="0" w:color="B35F6D" w:themeColor="accent2"/>
        <w:left w:val="single" w:sz="4" w:space="0" w:color="B35F6D" w:themeColor="accent2"/>
        <w:bottom w:val="single" w:sz="4" w:space="0" w:color="B35F6D" w:themeColor="accent2"/>
        <w:right w:val="single" w:sz="4" w:space="0" w:color="B35F6D" w:themeColor="accent2"/>
      </w:tblBorders>
    </w:tblPr>
    <w:tblStylePr w:type="firstRow">
      <w:rPr>
        <w:b/>
        <w:bCs/>
        <w:color w:val="FFFFFF" w:themeColor="background1"/>
      </w:rPr>
      <w:tblPr/>
      <w:tcPr>
        <w:shd w:val="clear" w:color="auto" w:fill="B35F6D" w:themeFill="accent2"/>
      </w:tcPr>
    </w:tblStylePr>
    <w:tblStylePr w:type="lastRow">
      <w:rPr>
        <w:b/>
        <w:bCs/>
      </w:rPr>
      <w:tblPr/>
      <w:tcPr>
        <w:tcBorders>
          <w:top w:val="double" w:sz="4" w:space="0" w:color="B35F6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5F6D" w:themeColor="accent2"/>
          <w:right w:val="single" w:sz="4" w:space="0" w:color="B35F6D" w:themeColor="accent2"/>
        </w:tcBorders>
      </w:tcPr>
    </w:tblStylePr>
    <w:tblStylePr w:type="band1Horz">
      <w:tblPr/>
      <w:tcPr>
        <w:tcBorders>
          <w:top w:val="single" w:sz="4" w:space="0" w:color="B35F6D" w:themeColor="accent2"/>
          <w:bottom w:val="single" w:sz="4" w:space="0" w:color="B35F6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5F6D" w:themeColor="accent2"/>
          <w:left w:val="nil"/>
        </w:tcBorders>
      </w:tcPr>
    </w:tblStylePr>
    <w:tblStylePr w:type="swCell">
      <w:tblPr/>
      <w:tcPr>
        <w:tcBorders>
          <w:top w:val="double" w:sz="4" w:space="0" w:color="B35F6D" w:themeColor="accent2"/>
          <w:right w:val="nil"/>
        </w:tcBorders>
      </w:tcPr>
    </w:tblStylePr>
  </w:style>
  <w:style w:type="table" w:customStyle="1" w:styleId="ListTable3-Accent31">
    <w:name w:val="List Table 3 - Accent 31"/>
    <w:basedOn w:val="TableNormal"/>
    <w:uiPriority w:val="48"/>
    <w:semiHidden/>
    <w:rsid w:val="00C551E1"/>
    <w:pPr>
      <w:spacing w:after="0"/>
    </w:pPr>
    <w:tblPr>
      <w:tblStyleRowBandSize w:val="1"/>
      <w:tblStyleColBandSize w:val="1"/>
      <w:tblBorders>
        <w:top w:val="single" w:sz="4" w:space="0" w:color="E8E7E7" w:themeColor="accent3"/>
        <w:left w:val="single" w:sz="4" w:space="0" w:color="E8E7E7" w:themeColor="accent3"/>
        <w:bottom w:val="single" w:sz="4" w:space="0" w:color="E8E7E7" w:themeColor="accent3"/>
        <w:right w:val="single" w:sz="4" w:space="0" w:color="E8E7E7" w:themeColor="accent3"/>
      </w:tblBorders>
    </w:tblPr>
    <w:tblStylePr w:type="firstRow">
      <w:rPr>
        <w:b/>
        <w:bCs/>
        <w:color w:val="FFFFFF" w:themeColor="background1"/>
      </w:rPr>
      <w:tblPr/>
      <w:tcPr>
        <w:shd w:val="clear" w:color="auto" w:fill="E8E7E7" w:themeFill="accent3"/>
      </w:tcPr>
    </w:tblStylePr>
    <w:tblStylePr w:type="lastRow">
      <w:rPr>
        <w:b/>
        <w:bCs/>
      </w:rPr>
      <w:tblPr/>
      <w:tcPr>
        <w:tcBorders>
          <w:top w:val="double" w:sz="4" w:space="0" w:color="E8E7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E7" w:themeColor="accent3"/>
          <w:right w:val="single" w:sz="4" w:space="0" w:color="E8E7E7" w:themeColor="accent3"/>
        </w:tcBorders>
      </w:tcPr>
    </w:tblStylePr>
    <w:tblStylePr w:type="band1Horz">
      <w:tblPr/>
      <w:tcPr>
        <w:tcBorders>
          <w:top w:val="single" w:sz="4" w:space="0" w:color="E8E7E7" w:themeColor="accent3"/>
          <w:bottom w:val="single" w:sz="4" w:space="0" w:color="E8E7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E7" w:themeColor="accent3"/>
          <w:left w:val="nil"/>
        </w:tcBorders>
      </w:tcPr>
    </w:tblStylePr>
    <w:tblStylePr w:type="swCell">
      <w:tblPr/>
      <w:tcPr>
        <w:tcBorders>
          <w:top w:val="double" w:sz="4" w:space="0" w:color="E8E7E7" w:themeColor="accent3"/>
          <w:right w:val="nil"/>
        </w:tcBorders>
      </w:tcPr>
    </w:tblStylePr>
  </w:style>
  <w:style w:type="table" w:customStyle="1" w:styleId="ListTable3-Accent41">
    <w:name w:val="List Table 3 - Accent 41"/>
    <w:basedOn w:val="TableNormal"/>
    <w:uiPriority w:val="48"/>
    <w:semiHidden/>
    <w:rsid w:val="00C551E1"/>
    <w:pPr>
      <w:spacing w:after="0"/>
    </w:pPr>
    <w:tblPr>
      <w:tblStyleRowBandSize w:val="1"/>
      <w:tblStyleColBandSize w:val="1"/>
      <w:tblBorders>
        <w:top w:val="single" w:sz="4" w:space="0" w:color="8C8686" w:themeColor="accent4"/>
        <w:left w:val="single" w:sz="4" w:space="0" w:color="8C8686" w:themeColor="accent4"/>
        <w:bottom w:val="single" w:sz="4" w:space="0" w:color="8C8686" w:themeColor="accent4"/>
        <w:right w:val="single" w:sz="4" w:space="0" w:color="8C8686" w:themeColor="accent4"/>
      </w:tblBorders>
    </w:tblPr>
    <w:tblStylePr w:type="firstRow">
      <w:rPr>
        <w:b/>
        <w:bCs/>
        <w:color w:val="FFFFFF" w:themeColor="background1"/>
      </w:rPr>
      <w:tblPr/>
      <w:tcPr>
        <w:shd w:val="clear" w:color="auto" w:fill="8C8686" w:themeFill="accent4"/>
      </w:tcPr>
    </w:tblStylePr>
    <w:tblStylePr w:type="lastRow">
      <w:rPr>
        <w:b/>
        <w:bCs/>
      </w:rPr>
      <w:tblPr/>
      <w:tcPr>
        <w:tcBorders>
          <w:top w:val="double" w:sz="4" w:space="0" w:color="8C868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8686" w:themeColor="accent4"/>
          <w:right w:val="single" w:sz="4" w:space="0" w:color="8C8686" w:themeColor="accent4"/>
        </w:tcBorders>
      </w:tcPr>
    </w:tblStylePr>
    <w:tblStylePr w:type="band1Horz">
      <w:tblPr/>
      <w:tcPr>
        <w:tcBorders>
          <w:top w:val="single" w:sz="4" w:space="0" w:color="8C8686" w:themeColor="accent4"/>
          <w:bottom w:val="single" w:sz="4" w:space="0" w:color="8C868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8686" w:themeColor="accent4"/>
          <w:left w:val="nil"/>
        </w:tcBorders>
      </w:tcPr>
    </w:tblStylePr>
    <w:tblStylePr w:type="swCell">
      <w:tblPr/>
      <w:tcPr>
        <w:tcBorders>
          <w:top w:val="double" w:sz="4" w:space="0" w:color="8C8686" w:themeColor="accent4"/>
          <w:right w:val="nil"/>
        </w:tcBorders>
      </w:tcPr>
    </w:tblStylePr>
  </w:style>
  <w:style w:type="table" w:customStyle="1" w:styleId="ListTable3-Accent51">
    <w:name w:val="List Table 3 - Accent 51"/>
    <w:basedOn w:val="TableNormal"/>
    <w:uiPriority w:val="48"/>
    <w:semiHidden/>
    <w:rsid w:val="00C551E1"/>
    <w:pPr>
      <w:spacing w:after="0"/>
    </w:pPr>
    <w:tblPr>
      <w:tblStyleRowBandSize w:val="1"/>
      <w:tblStyleColBandSize w:val="1"/>
      <w:tblBorders>
        <w:top w:val="single" w:sz="4" w:space="0" w:color="2C2A2A" w:themeColor="accent5"/>
        <w:left w:val="single" w:sz="4" w:space="0" w:color="2C2A2A" w:themeColor="accent5"/>
        <w:bottom w:val="single" w:sz="4" w:space="0" w:color="2C2A2A" w:themeColor="accent5"/>
        <w:right w:val="single" w:sz="4" w:space="0" w:color="2C2A2A" w:themeColor="accent5"/>
      </w:tblBorders>
    </w:tblPr>
    <w:tblStylePr w:type="firstRow">
      <w:rPr>
        <w:b/>
        <w:bCs/>
        <w:color w:val="FFFFFF" w:themeColor="background1"/>
      </w:rPr>
      <w:tblPr/>
      <w:tcPr>
        <w:shd w:val="clear" w:color="auto" w:fill="2C2A2A" w:themeFill="accent5"/>
      </w:tcPr>
    </w:tblStylePr>
    <w:tblStylePr w:type="lastRow">
      <w:rPr>
        <w:b/>
        <w:bCs/>
      </w:rPr>
      <w:tblPr/>
      <w:tcPr>
        <w:tcBorders>
          <w:top w:val="double" w:sz="4" w:space="0" w:color="2C2A2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2A2A" w:themeColor="accent5"/>
          <w:right w:val="single" w:sz="4" w:space="0" w:color="2C2A2A" w:themeColor="accent5"/>
        </w:tcBorders>
      </w:tcPr>
    </w:tblStylePr>
    <w:tblStylePr w:type="band1Horz">
      <w:tblPr/>
      <w:tcPr>
        <w:tcBorders>
          <w:top w:val="single" w:sz="4" w:space="0" w:color="2C2A2A" w:themeColor="accent5"/>
          <w:bottom w:val="single" w:sz="4" w:space="0" w:color="2C2A2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2A2A" w:themeColor="accent5"/>
          <w:left w:val="nil"/>
        </w:tcBorders>
      </w:tcPr>
    </w:tblStylePr>
    <w:tblStylePr w:type="swCell">
      <w:tblPr/>
      <w:tcPr>
        <w:tcBorders>
          <w:top w:val="double" w:sz="4" w:space="0" w:color="2C2A2A" w:themeColor="accent5"/>
          <w:right w:val="nil"/>
        </w:tcBorders>
      </w:tcPr>
    </w:tblStylePr>
  </w:style>
  <w:style w:type="table" w:customStyle="1" w:styleId="ListTable3-Accent61">
    <w:name w:val="List Table 3 - Accent 61"/>
    <w:basedOn w:val="TableNormal"/>
    <w:uiPriority w:val="48"/>
    <w:semiHidden/>
    <w:rsid w:val="00C551E1"/>
    <w:pPr>
      <w:spacing w:after="0"/>
    </w:pPr>
    <w:tblPr>
      <w:tblStyleRowBandSize w:val="1"/>
      <w:tblStyleColBandSize w:val="1"/>
      <w:tblBorders>
        <w:top w:val="single" w:sz="4" w:space="0" w:color="4A0E18" w:themeColor="accent6"/>
        <w:left w:val="single" w:sz="4" w:space="0" w:color="4A0E18" w:themeColor="accent6"/>
        <w:bottom w:val="single" w:sz="4" w:space="0" w:color="4A0E18" w:themeColor="accent6"/>
        <w:right w:val="single" w:sz="4" w:space="0" w:color="4A0E18" w:themeColor="accent6"/>
      </w:tblBorders>
    </w:tblPr>
    <w:tblStylePr w:type="firstRow">
      <w:rPr>
        <w:b/>
        <w:bCs/>
        <w:color w:val="FFFFFF" w:themeColor="background1"/>
      </w:rPr>
      <w:tblPr/>
      <w:tcPr>
        <w:shd w:val="clear" w:color="auto" w:fill="4A0E18" w:themeFill="accent6"/>
      </w:tcPr>
    </w:tblStylePr>
    <w:tblStylePr w:type="lastRow">
      <w:rPr>
        <w:b/>
        <w:bCs/>
      </w:rPr>
      <w:tblPr/>
      <w:tcPr>
        <w:tcBorders>
          <w:top w:val="double" w:sz="4" w:space="0" w:color="4A0E1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0E18" w:themeColor="accent6"/>
          <w:right w:val="single" w:sz="4" w:space="0" w:color="4A0E18" w:themeColor="accent6"/>
        </w:tcBorders>
      </w:tcPr>
    </w:tblStylePr>
    <w:tblStylePr w:type="band1Horz">
      <w:tblPr/>
      <w:tcPr>
        <w:tcBorders>
          <w:top w:val="single" w:sz="4" w:space="0" w:color="4A0E18" w:themeColor="accent6"/>
          <w:bottom w:val="single" w:sz="4" w:space="0" w:color="4A0E1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0E18" w:themeColor="accent6"/>
          <w:left w:val="nil"/>
        </w:tcBorders>
      </w:tcPr>
    </w:tblStylePr>
    <w:tblStylePr w:type="swCell">
      <w:tblPr/>
      <w:tcPr>
        <w:tcBorders>
          <w:top w:val="double" w:sz="4" w:space="0" w:color="4A0E18" w:themeColor="accent6"/>
          <w:right w:val="nil"/>
        </w:tcBorders>
      </w:tcPr>
    </w:tblStylePr>
  </w:style>
  <w:style w:type="table" w:customStyle="1" w:styleId="ListTable41">
    <w:name w:val="List Table 41"/>
    <w:basedOn w:val="TableNormal"/>
    <w:uiPriority w:val="49"/>
    <w:semiHidden/>
    <w:rsid w:val="00C551E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C551E1"/>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tcBorders>
        <w:shd w:val="clear" w:color="auto" w:fill="931B2F" w:themeFill="accent1"/>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4-Accent21">
    <w:name w:val="List Table 4 - Accent 21"/>
    <w:basedOn w:val="TableNormal"/>
    <w:uiPriority w:val="49"/>
    <w:semiHidden/>
    <w:rsid w:val="00C551E1"/>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tcBorders>
        <w:shd w:val="clear" w:color="auto" w:fill="B35F6D" w:themeFill="accent2"/>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4-Accent31">
    <w:name w:val="List Table 4 - Accent 31"/>
    <w:basedOn w:val="TableNormal"/>
    <w:uiPriority w:val="49"/>
    <w:semiHidden/>
    <w:rsid w:val="00C551E1"/>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tcBorders>
        <w:shd w:val="clear" w:color="auto" w:fill="E8E7E7" w:themeFill="accent3"/>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4-Accent41">
    <w:name w:val="List Table 4 - Accent 41"/>
    <w:basedOn w:val="TableNormal"/>
    <w:uiPriority w:val="49"/>
    <w:semiHidden/>
    <w:rsid w:val="00C551E1"/>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tcBorders>
        <w:shd w:val="clear" w:color="auto" w:fill="8C8686" w:themeFill="accent4"/>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4-Accent51">
    <w:name w:val="List Table 4 - Accent 51"/>
    <w:basedOn w:val="TableNormal"/>
    <w:uiPriority w:val="49"/>
    <w:semiHidden/>
    <w:rsid w:val="00C551E1"/>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tcBorders>
        <w:shd w:val="clear" w:color="auto" w:fill="2C2A2A" w:themeFill="accent5"/>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4-Accent61">
    <w:name w:val="List Table 4 - Accent 61"/>
    <w:basedOn w:val="TableNormal"/>
    <w:uiPriority w:val="49"/>
    <w:semiHidden/>
    <w:rsid w:val="00C551E1"/>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tcBorders>
        <w:shd w:val="clear" w:color="auto" w:fill="4A0E18" w:themeFill="accent6"/>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5Dark1">
    <w:name w:val="List Table 5 Dark1"/>
    <w:basedOn w:val="TableNormal"/>
    <w:uiPriority w:val="50"/>
    <w:semiHidden/>
    <w:rsid w:val="00C551E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C551E1"/>
    <w:pPr>
      <w:spacing w:after="0"/>
    </w:pPr>
    <w:rPr>
      <w:color w:val="FFFFFF" w:themeColor="background1"/>
    </w:rPr>
    <w:tblPr>
      <w:tblStyleRowBandSize w:val="1"/>
      <w:tblStyleColBandSize w:val="1"/>
      <w:tblBorders>
        <w:top w:val="single" w:sz="24" w:space="0" w:color="931B2F" w:themeColor="accent1"/>
        <w:left w:val="single" w:sz="24" w:space="0" w:color="931B2F" w:themeColor="accent1"/>
        <w:bottom w:val="single" w:sz="24" w:space="0" w:color="931B2F" w:themeColor="accent1"/>
        <w:right w:val="single" w:sz="24" w:space="0" w:color="931B2F" w:themeColor="accent1"/>
      </w:tblBorders>
    </w:tblPr>
    <w:tcPr>
      <w:shd w:val="clear" w:color="auto" w:fill="93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C551E1"/>
    <w:pPr>
      <w:spacing w:after="0"/>
    </w:pPr>
    <w:rPr>
      <w:color w:val="FFFFFF" w:themeColor="background1"/>
    </w:rPr>
    <w:tblPr>
      <w:tblStyleRowBandSize w:val="1"/>
      <w:tblStyleColBandSize w:val="1"/>
      <w:tblBorders>
        <w:top w:val="single" w:sz="24" w:space="0" w:color="B35F6D" w:themeColor="accent2"/>
        <w:left w:val="single" w:sz="24" w:space="0" w:color="B35F6D" w:themeColor="accent2"/>
        <w:bottom w:val="single" w:sz="24" w:space="0" w:color="B35F6D" w:themeColor="accent2"/>
        <w:right w:val="single" w:sz="24" w:space="0" w:color="B35F6D" w:themeColor="accent2"/>
      </w:tblBorders>
    </w:tblPr>
    <w:tcPr>
      <w:shd w:val="clear" w:color="auto" w:fill="B35F6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C551E1"/>
    <w:pPr>
      <w:spacing w:after="0"/>
    </w:pPr>
    <w:rPr>
      <w:color w:val="FFFFFF" w:themeColor="background1"/>
    </w:rPr>
    <w:tblPr>
      <w:tblStyleRowBandSize w:val="1"/>
      <w:tblStyleColBandSize w:val="1"/>
      <w:tblBorders>
        <w:top w:val="single" w:sz="24" w:space="0" w:color="E8E7E7" w:themeColor="accent3"/>
        <w:left w:val="single" w:sz="24" w:space="0" w:color="E8E7E7" w:themeColor="accent3"/>
        <w:bottom w:val="single" w:sz="24" w:space="0" w:color="E8E7E7" w:themeColor="accent3"/>
        <w:right w:val="single" w:sz="24" w:space="0" w:color="E8E7E7" w:themeColor="accent3"/>
      </w:tblBorders>
    </w:tblPr>
    <w:tcPr>
      <w:shd w:val="clear" w:color="auto" w:fill="E8E7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C551E1"/>
    <w:pPr>
      <w:spacing w:after="0"/>
    </w:pPr>
    <w:rPr>
      <w:color w:val="FFFFFF" w:themeColor="background1"/>
    </w:rPr>
    <w:tblPr>
      <w:tblStyleRowBandSize w:val="1"/>
      <w:tblStyleColBandSize w:val="1"/>
      <w:tblBorders>
        <w:top w:val="single" w:sz="24" w:space="0" w:color="8C8686" w:themeColor="accent4"/>
        <w:left w:val="single" w:sz="24" w:space="0" w:color="8C8686" w:themeColor="accent4"/>
        <w:bottom w:val="single" w:sz="24" w:space="0" w:color="8C8686" w:themeColor="accent4"/>
        <w:right w:val="single" w:sz="24" w:space="0" w:color="8C8686" w:themeColor="accent4"/>
      </w:tblBorders>
    </w:tblPr>
    <w:tcPr>
      <w:shd w:val="clear" w:color="auto" w:fill="8C868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C551E1"/>
    <w:pPr>
      <w:spacing w:after="0"/>
    </w:pPr>
    <w:rPr>
      <w:color w:val="FFFFFF" w:themeColor="background1"/>
    </w:rPr>
    <w:tblPr>
      <w:tblStyleRowBandSize w:val="1"/>
      <w:tblStyleColBandSize w:val="1"/>
      <w:tblBorders>
        <w:top w:val="single" w:sz="24" w:space="0" w:color="2C2A2A" w:themeColor="accent5"/>
        <w:left w:val="single" w:sz="24" w:space="0" w:color="2C2A2A" w:themeColor="accent5"/>
        <w:bottom w:val="single" w:sz="24" w:space="0" w:color="2C2A2A" w:themeColor="accent5"/>
        <w:right w:val="single" w:sz="24" w:space="0" w:color="2C2A2A" w:themeColor="accent5"/>
      </w:tblBorders>
    </w:tblPr>
    <w:tcPr>
      <w:shd w:val="clear" w:color="auto" w:fill="2C2A2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C551E1"/>
    <w:pPr>
      <w:spacing w:after="0"/>
    </w:pPr>
    <w:rPr>
      <w:color w:val="FFFFFF" w:themeColor="background1"/>
    </w:rPr>
    <w:tblPr>
      <w:tblStyleRowBandSize w:val="1"/>
      <w:tblStyleColBandSize w:val="1"/>
      <w:tblBorders>
        <w:top w:val="single" w:sz="24" w:space="0" w:color="4A0E18" w:themeColor="accent6"/>
        <w:left w:val="single" w:sz="24" w:space="0" w:color="4A0E18" w:themeColor="accent6"/>
        <w:bottom w:val="single" w:sz="24" w:space="0" w:color="4A0E18" w:themeColor="accent6"/>
        <w:right w:val="single" w:sz="24" w:space="0" w:color="4A0E18" w:themeColor="accent6"/>
      </w:tblBorders>
    </w:tblPr>
    <w:tcPr>
      <w:shd w:val="clear" w:color="auto" w:fill="4A0E1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C551E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C551E1"/>
    <w:pPr>
      <w:spacing w:after="0"/>
    </w:pPr>
    <w:rPr>
      <w:color w:val="6D1423" w:themeColor="accent1" w:themeShade="BF"/>
    </w:rPr>
    <w:tblPr>
      <w:tblStyleRowBandSize w:val="1"/>
      <w:tblStyleColBandSize w:val="1"/>
      <w:tblBorders>
        <w:top w:val="single" w:sz="4" w:space="0" w:color="931B2F" w:themeColor="accent1"/>
        <w:bottom w:val="single" w:sz="4" w:space="0" w:color="931B2F" w:themeColor="accent1"/>
      </w:tblBorders>
    </w:tblPr>
    <w:tblStylePr w:type="firstRow">
      <w:rPr>
        <w:b/>
        <w:bCs/>
      </w:rPr>
      <w:tblPr/>
      <w:tcPr>
        <w:tcBorders>
          <w:bottom w:val="single" w:sz="4" w:space="0" w:color="931B2F" w:themeColor="accent1"/>
        </w:tcBorders>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6Colorful-Accent21">
    <w:name w:val="List Table 6 Colorful - Accent 21"/>
    <w:basedOn w:val="TableNormal"/>
    <w:uiPriority w:val="51"/>
    <w:semiHidden/>
    <w:rsid w:val="00C551E1"/>
    <w:pPr>
      <w:spacing w:after="0"/>
    </w:pPr>
    <w:rPr>
      <w:color w:val="8A424E" w:themeColor="accent2" w:themeShade="BF"/>
    </w:rPr>
    <w:tblPr>
      <w:tblStyleRowBandSize w:val="1"/>
      <w:tblStyleColBandSize w:val="1"/>
      <w:tblBorders>
        <w:top w:val="single" w:sz="4" w:space="0" w:color="B35F6D" w:themeColor="accent2"/>
        <w:bottom w:val="single" w:sz="4" w:space="0" w:color="B35F6D" w:themeColor="accent2"/>
      </w:tblBorders>
    </w:tblPr>
    <w:tblStylePr w:type="firstRow">
      <w:rPr>
        <w:b/>
        <w:bCs/>
      </w:rPr>
      <w:tblPr/>
      <w:tcPr>
        <w:tcBorders>
          <w:bottom w:val="single" w:sz="4" w:space="0" w:color="B35F6D" w:themeColor="accent2"/>
        </w:tcBorders>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6Colorful-Accent31">
    <w:name w:val="List Table 6 Colorful - Accent 31"/>
    <w:basedOn w:val="TableNormal"/>
    <w:uiPriority w:val="51"/>
    <w:semiHidden/>
    <w:rsid w:val="00C551E1"/>
    <w:pPr>
      <w:spacing w:after="0"/>
    </w:pPr>
    <w:rPr>
      <w:color w:val="AFABAB" w:themeColor="accent3" w:themeShade="BF"/>
    </w:rPr>
    <w:tblPr>
      <w:tblStyleRowBandSize w:val="1"/>
      <w:tblStyleColBandSize w:val="1"/>
      <w:tblBorders>
        <w:top w:val="single" w:sz="4" w:space="0" w:color="E8E7E7" w:themeColor="accent3"/>
        <w:bottom w:val="single" w:sz="4" w:space="0" w:color="E8E7E7" w:themeColor="accent3"/>
      </w:tblBorders>
    </w:tblPr>
    <w:tblStylePr w:type="firstRow">
      <w:rPr>
        <w:b/>
        <w:bCs/>
      </w:rPr>
      <w:tblPr/>
      <w:tcPr>
        <w:tcBorders>
          <w:bottom w:val="single" w:sz="4" w:space="0" w:color="E8E7E7" w:themeColor="accent3"/>
        </w:tcBorders>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6Colorful-Accent41">
    <w:name w:val="List Table 6 Colorful - Accent 41"/>
    <w:basedOn w:val="TableNormal"/>
    <w:uiPriority w:val="51"/>
    <w:semiHidden/>
    <w:rsid w:val="00C551E1"/>
    <w:pPr>
      <w:spacing w:after="0"/>
    </w:pPr>
    <w:rPr>
      <w:color w:val="696464" w:themeColor="accent4" w:themeShade="BF"/>
    </w:rPr>
    <w:tblPr>
      <w:tblStyleRowBandSize w:val="1"/>
      <w:tblStyleColBandSize w:val="1"/>
      <w:tblBorders>
        <w:top w:val="single" w:sz="4" w:space="0" w:color="8C8686" w:themeColor="accent4"/>
        <w:bottom w:val="single" w:sz="4" w:space="0" w:color="8C8686" w:themeColor="accent4"/>
      </w:tblBorders>
    </w:tblPr>
    <w:tblStylePr w:type="firstRow">
      <w:rPr>
        <w:b/>
        <w:bCs/>
      </w:rPr>
      <w:tblPr/>
      <w:tcPr>
        <w:tcBorders>
          <w:bottom w:val="single" w:sz="4" w:space="0" w:color="8C8686" w:themeColor="accent4"/>
        </w:tcBorders>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6Colorful-Accent51">
    <w:name w:val="List Table 6 Colorful - Accent 51"/>
    <w:basedOn w:val="TableNormal"/>
    <w:uiPriority w:val="51"/>
    <w:semiHidden/>
    <w:rsid w:val="00C551E1"/>
    <w:pPr>
      <w:spacing w:after="0"/>
    </w:pPr>
    <w:rPr>
      <w:color w:val="201F1F" w:themeColor="accent5" w:themeShade="BF"/>
    </w:rPr>
    <w:tblPr>
      <w:tblStyleRowBandSize w:val="1"/>
      <w:tblStyleColBandSize w:val="1"/>
      <w:tblBorders>
        <w:top w:val="single" w:sz="4" w:space="0" w:color="2C2A2A" w:themeColor="accent5"/>
        <w:bottom w:val="single" w:sz="4" w:space="0" w:color="2C2A2A" w:themeColor="accent5"/>
      </w:tblBorders>
    </w:tblPr>
    <w:tblStylePr w:type="firstRow">
      <w:rPr>
        <w:b/>
        <w:bCs/>
      </w:rPr>
      <w:tblPr/>
      <w:tcPr>
        <w:tcBorders>
          <w:bottom w:val="single" w:sz="4" w:space="0" w:color="2C2A2A" w:themeColor="accent5"/>
        </w:tcBorders>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6Colorful-Accent61">
    <w:name w:val="List Table 6 Colorful - Accent 61"/>
    <w:basedOn w:val="TableNormal"/>
    <w:uiPriority w:val="51"/>
    <w:semiHidden/>
    <w:rsid w:val="00C551E1"/>
    <w:pPr>
      <w:spacing w:after="0"/>
    </w:pPr>
    <w:rPr>
      <w:color w:val="370A11" w:themeColor="accent6" w:themeShade="BF"/>
    </w:rPr>
    <w:tblPr>
      <w:tblStyleRowBandSize w:val="1"/>
      <w:tblStyleColBandSize w:val="1"/>
      <w:tblBorders>
        <w:top w:val="single" w:sz="4" w:space="0" w:color="4A0E18" w:themeColor="accent6"/>
        <w:bottom w:val="single" w:sz="4" w:space="0" w:color="4A0E18" w:themeColor="accent6"/>
      </w:tblBorders>
    </w:tblPr>
    <w:tblStylePr w:type="firstRow">
      <w:rPr>
        <w:b/>
        <w:bCs/>
      </w:rPr>
      <w:tblPr/>
      <w:tcPr>
        <w:tcBorders>
          <w:bottom w:val="single" w:sz="4" w:space="0" w:color="4A0E18" w:themeColor="accent6"/>
        </w:tcBorders>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7Colorful1">
    <w:name w:val="List Table 7 Colorful1"/>
    <w:basedOn w:val="TableNormal"/>
    <w:uiPriority w:val="52"/>
    <w:semiHidden/>
    <w:rsid w:val="00C551E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C551E1"/>
    <w:pPr>
      <w:spacing w:after="0"/>
    </w:pPr>
    <w:rPr>
      <w:color w:val="6D14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1B2F" w:themeColor="accent1"/>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C551E1"/>
    <w:pPr>
      <w:spacing w:after="0"/>
    </w:pPr>
    <w:rPr>
      <w:color w:val="8A424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5F6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5F6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5F6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5F6D" w:themeColor="accent2"/>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C551E1"/>
    <w:pPr>
      <w:spacing w:after="0"/>
    </w:pPr>
    <w:rPr>
      <w:color w:val="AFABA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E7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E7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E7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E7E7" w:themeColor="accent3"/>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C551E1"/>
    <w:pPr>
      <w:spacing w:after="0"/>
    </w:pPr>
    <w:rPr>
      <w:color w:val="6964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868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868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868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8686" w:themeColor="accent4"/>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C551E1"/>
    <w:pPr>
      <w:spacing w:after="0"/>
    </w:pPr>
    <w:rPr>
      <w:color w:val="201F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2A2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2A2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2A2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2A2A" w:themeColor="accent5"/>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C551E1"/>
    <w:pPr>
      <w:spacing w:after="0"/>
    </w:pPr>
    <w:rPr>
      <w:color w:val="370A1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0E1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0E1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0E1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0E18" w:themeColor="accent6"/>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locked/>
    <w:rsid w:val="00C551E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C551E1"/>
    <w:pPr>
      <w:spacing w:after="0"/>
    </w:pPr>
    <w:tblPr>
      <w:tblStyleRowBandSize w:val="1"/>
      <w:tblStyleColBandSize w:val="1"/>
      <w:tblBorders>
        <w:top w:val="single" w:sz="8" w:space="0" w:color="D82A46" w:themeColor="accent1" w:themeTint="BF"/>
        <w:left w:val="single" w:sz="8" w:space="0" w:color="D82A46" w:themeColor="accent1" w:themeTint="BF"/>
        <w:bottom w:val="single" w:sz="8" w:space="0" w:color="D82A46" w:themeColor="accent1" w:themeTint="BF"/>
        <w:right w:val="single" w:sz="8" w:space="0" w:color="D82A46" w:themeColor="accent1" w:themeTint="BF"/>
        <w:insideH w:val="single" w:sz="8" w:space="0" w:color="D82A46" w:themeColor="accent1" w:themeTint="BF"/>
        <w:insideV w:val="single" w:sz="8" w:space="0" w:color="D82A46" w:themeColor="accent1" w:themeTint="BF"/>
      </w:tblBorders>
    </w:tblPr>
    <w:tcPr>
      <w:shd w:val="clear" w:color="auto" w:fill="F2B8C1" w:themeFill="accent1" w:themeFillTint="3F"/>
    </w:tcPr>
    <w:tblStylePr w:type="firstRow">
      <w:rPr>
        <w:b/>
        <w:bCs/>
      </w:rPr>
    </w:tblStylePr>
    <w:tblStylePr w:type="lastRow">
      <w:rPr>
        <w:b/>
        <w:bCs/>
      </w:rPr>
      <w:tblPr/>
      <w:tcPr>
        <w:tcBorders>
          <w:top w:val="single" w:sz="18" w:space="0" w:color="D82A46" w:themeColor="accent1" w:themeTint="BF"/>
        </w:tcBorders>
      </w:tcPr>
    </w:tblStylePr>
    <w:tblStylePr w:type="firstCol">
      <w:rPr>
        <w:b/>
        <w:bCs/>
      </w:rPr>
    </w:tblStylePr>
    <w:tblStylePr w:type="lastCol">
      <w:rPr>
        <w:b/>
        <w:bCs/>
      </w:rPr>
    </w:tblStylePr>
    <w:tblStylePr w:type="band1Vert">
      <w:tblPr/>
      <w:tcPr>
        <w:shd w:val="clear" w:color="auto" w:fill="E57184" w:themeFill="accent1" w:themeFillTint="7F"/>
      </w:tcPr>
    </w:tblStylePr>
    <w:tblStylePr w:type="band1Horz">
      <w:tblPr/>
      <w:tcPr>
        <w:shd w:val="clear" w:color="auto" w:fill="E57184" w:themeFill="accent1" w:themeFillTint="7F"/>
      </w:tcPr>
    </w:tblStylePr>
  </w:style>
  <w:style w:type="table" w:styleId="MediumGrid1-Accent2">
    <w:name w:val="Medium Grid 1 Accent 2"/>
    <w:basedOn w:val="TableNormal"/>
    <w:uiPriority w:val="67"/>
    <w:semiHidden/>
    <w:unhideWhenUsed/>
    <w:locked/>
    <w:rsid w:val="00C551E1"/>
    <w:pPr>
      <w:spacing w:after="0"/>
    </w:pPr>
    <w:tblPr>
      <w:tblStyleRowBandSize w:val="1"/>
      <w:tblStyleColBandSize w:val="1"/>
      <w:tblBorders>
        <w:top w:val="single" w:sz="8" w:space="0" w:color="C68791" w:themeColor="accent2" w:themeTint="BF"/>
        <w:left w:val="single" w:sz="8" w:space="0" w:color="C68791" w:themeColor="accent2" w:themeTint="BF"/>
        <w:bottom w:val="single" w:sz="8" w:space="0" w:color="C68791" w:themeColor="accent2" w:themeTint="BF"/>
        <w:right w:val="single" w:sz="8" w:space="0" w:color="C68791" w:themeColor="accent2" w:themeTint="BF"/>
        <w:insideH w:val="single" w:sz="8" w:space="0" w:color="C68791" w:themeColor="accent2" w:themeTint="BF"/>
        <w:insideV w:val="single" w:sz="8" w:space="0" w:color="C68791" w:themeColor="accent2" w:themeTint="BF"/>
      </w:tblBorders>
    </w:tblPr>
    <w:tcPr>
      <w:shd w:val="clear" w:color="auto" w:fill="ECD7DA" w:themeFill="accent2" w:themeFillTint="3F"/>
    </w:tcPr>
    <w:tblStylePr w:type="firstRow">
      <w:rPr>
        <w:b/>
        <w:bCs/>
      </w:rPr>
    </w:tblStylePr>
    <w:tblStylePr w:type="lastRow">
      <w:rPr>
        <w:b/>
        <w:bCs/>
      </w:rPr>
      <w:tblPr/>
      <w:tcPr>
        <w:tcBorders>
          <w:top w:val="single" w:sz="18" w:space="0" w:color="C68791" w:themeColor="accent2" w:themeTint="BF"/>
        </w:tcBorders>
      </w:tcPr>
    </w:tblStylePr>
    <w:tblStylePr w:type="firstCol">
      <w:rPr>
        <w:b/>
        <w:bCs/>
      </w:rPr>
    </w:tblStylePr>
    <w:tblStylePr w:type="lastCol">
      <w:rPr>
        <w:b/>
        <w:bCs/>
      </w:rPr>
    </w:tblStylePr>
    <w:tblStylePr w:type="band1Vert">
      <w:tblPr/>
      <w:tcPr>
        <w:shd w:val="clear" w:color="auto" w:fill="D9AFB6" w:themeFill="accent2" w:themeFillTint="7F"/>
      </w:tcPr>
    </w:tblStylePr>
    <w:tblStylePr w:type="band1Horz">
      <w:tblPr/>
      <w:tcPr>
        <w:shd w:val="clear" w:color="auto" w:fill="D9AFB6" w:themeFill="accent2" w:themeFillTint="7F"/>
      </w:tcPr>
    </w:tblStylePr>
  </w:style>
  <w:style w:type="table" w:styleId="MediumGrid1-Accent3">
    <w:name w:val="Medium Grid 1 Accent 3"/>
    <w:basedOn w:val="TableNormal"/>
    <w:uiPriority w:val="67"/>
    <w:semiHidden/>
    <w:unhideWhenUsed/>
    <w:locked/>
    <w:rsid w:val="00C551E1"/>
    <w:pPr>
      <w:spacing w:after="0"/>
    </w:pPr>
    <w:tblPr>
      <w:tblStyleRowBandSize w:val="1"/>
      <w:tblStyleColBandSize w:val="1"/>
      <w:tblBorders>
        <w:top w:val="single" w:sz="8" w:space="0" w:color="EDECEC" w:themeColor="accent3" w:themeTint="BF"/>
        <w:left w:val="single" w:sz="8" w:space="0" w:color="EDECEC" w:themeColor="accent3" w:themeTint="BF"/>
        <w:bottom w:val="single" w:sz="8" w:space="0" w:color="EDECEC" w:themeColor="accent3" w:themeTint="BF"/>
        <w:right w:val="single" w:sz="8" w:space="0" w:color="EDECEC" w:themeColor="accent3" w:themeTint="BF"/>
        <w:insideH w:val="single" w:sz="8" w:space="0" w:color="EDECEC" w:themeColor="accent3" w:themeTint="BF"/>
        <w:insideV w:val="single" w:sz="8" w:space="0" w:color="EDECEC" w:themeColor="accent3" w:themeTint="BF"/>
      </w:tblBorders>
    </w:tblPr>
    <w:tcPr>
      <w:shd w:val="clear" w:color="auto" w:fill="F9F9F9" w:themeFill="accent3" w:themeFillTint="3F"/>
    </w:tcPr>
    <w:tblStylePr w:type="firstRow">
      <w:rPr>
        <w:b/>
        <w:bCs/>
      </w:rPr>
    </w:tblStylePr>
    <w:tblStylePr w:type="lastRow">
      <w:rPr>
        <w:b/>
        <w:bCs/>
      </w:rPr>
      <w:tblPr/>
      <w:tcPr>
        <w:tcBorders>
          <w:top w:val="single" w:sz="18" w:space="0" w:color="EDECEC" w:themeColor="accent3" w:themeTint="BF"/>
        </w:tcBorders>
      </w:tcPr>
    </w:tblStylePr>
    <w:tblStylePr w:type="firstCol">
      <w:rPr>
        <w:b/>
        <w:bCs/>
      </w:rPr>
    </w:tblStylePr>
    <w:tblStylePr w:type="lastCol">
      <w:rPr>
        <w:b/>
        <w:bCs/>
      </w:rPr>
    </w:tblStylePr>
    <w:tblStylePr w:type="band1Vert">
      <w:tblPr/>
      <w:tcPr>
        <w:shd w:val="clear" w:color="auto" w:fill="F3F2F2" w:themeFill="accent3" w:themeFillTint="7F"/>
      </w:tcPr>
    </w:tblStylePr>
    <w:tblStylePr w:type="band1Horz">
      <w:tblPr/>
      <w:tcPr>
        <w:shd w:val="clear" w:color="auto" w:fill="F3F2F2" w:themeFill="accent3" w:themeFillTint="7F"/>
      </w:tcPr>
    </w:tblStylePr>
  </w:style>
  <w:style w:type="table" w:styleId="MediumGrid1-Accent4">
    <w:name w:val="Medium Grid 1 Accent 4"/>
    <w:basedOn w:val="TableNormal"/>
    <w:uiPriority w:val="67"/>
    <w:semiHidden/>
    <w:unhideWhenUsed/>
    <w:locked/>
    <w:rsid w:val="00C551E1"/>
    <w:pPr>
      <w:spacing w:after="0"/>
    </w:pPr>
    <w:tblPr>
      <w:tblStyleRowBandSize w:val="1"/>
      <w:tblStyleColBandSize w:val="1"/>
      <w:tblBorders>
        <w:top w:val="single" w:sz="8" w:space="0" w:color="A8A4A4" w:themeColor="accent4" w:themeTint="BF"/>
        <w:left w:val="single" w:sz="8" w:space="0" w:color="A8A4A4" w:themeColor="accent4" w:themeTint="BF"/>
        <w:bottom w:val="single" w:sz="8" w:space="0" w:color="A8A4A4" w:themeColor="accent4" w:themeTint="BF"/>
        <w:right w:val="single" w:sz="8" w:space="0" w:color="A8A4A4" w:themeColor="accent4" w:themeTint="BF"/>
        <w:insideH w:val="single" w:sz="8" w:space="0" w:color="A8A4A4" w:themeColor="accent4" w:themeTint="BF"/>
        <w:insideV w:val="single" w:sz="8" w:space="0" w:color="A8A4A4" w:themeColor="accent4" w:themeTint="BF"/>
      </w:tblBorders>
    </w:tblPr>
    <w:tcPr>
      <w:shd w:val="clear" w:color="auto" w:fill="E2E1E1" w:themeFill="accent4" w:themeFillTint="3F"/>
    </w:tcPr>
    <w:tblStylePr w:type="firstRow">
      <w:rPr>
        <w:b/>
        <w:bCs/>
      </w:rPr>
    </w:tblStylePr>
    <w:tblStylePr w:type="lastRow">
      <w:rPr>
        <w:b/>
        <w:bCs/>
      </w:rPr>
      <w:tblPr/>
      <w:tcPr>
        <w:tcBorders>
          <w:top w:val="single" w:sz="18" w:space="0" w:color="A8A4A4" w:themeColor="accent4" w:themeTint="BF"/>
        </w:tcBorders>
      </w:tcPr>
    </w:tblStylePr>
    <w:tblStylePr w:type="firstCol">
      <w:rPr>
        <w:b/>
        <w:bCs/>
      </w:rPr>
    </w:tblStylePr>
    <w:tblStylePr w:type="lastCol">
      <w:rPr>
        <w:b/>
        <w:bCs/>
      </w:rPr>
    </w:tblStylePr>
    <w:tblStylePr w:type="band1Vert">
      <w:tblPr/>
      <w:tcPr>
        <w:shd w:val="clear" w:color="auto" w:fill="C5C2C2" w:themeFill="accent4" w:themeFillTint="7F"/>
      </w:tcPr>
    </w:tblStylePr>
    <w:tblStylePr w:type="band1Horz">
      <w:tblPr/>
      <w:tcPr>
        <w:shd w:val="clear" w:color="auto" w:fill="C5C2C2" w:themeFill="accent4" w:themeFillTint="7F"/>
      </w:tcPr>
    </w:tblStylePr>
  </w:style>
  <w:style w:type="table" w:styleId="MediumGrid1-Accent5">
    <w:name w:val="Medium Grid 1 Accent 5"/>
    <w:basedOn w:val="TableNormal"/>
    <w:uiPriority w:val="67"/>
    <w:semiHidden/>
    <w:unhideWhenUsed/>
    <w:locked/>
    <w:rsid w:val="00C551E1"/>
    <w:pPr>
      <w:spacing w:after="0"/>
    </w:pPr>
    <w:tblPr>
      <w:tblStyleRowBandSize w:val="1"/>
      <w:tblStyleColBandSize w:val="1"/>
      <w:tblBorders>
        <w:top w:val="single" w:sz="8" w:space="0" w:color="625E5E" w:themeColor="accent5" w:themeTint="BF"/>
        <w:left w:val="single" w:sz="8" w:space="0" w:color="625E5E" w:themeColor="accent5" w:themeTint="BF"/>
        <w:bottom w:val="single" w:sz="8" w:space="0" w:color="625E5E" w:themeColor="accent5" w:themeTint="BF"/>
        <w:right w:val="single" w:sz="8" w:space="0" w:color="625E5E" w:themeColor="accent5" w:themeTint="BF"/>
        <w:insideH w:val="single" w:sz="8" w:space="0" w:color="625E5E" w:themeColor="accent5" w:themeTint="BF"/>
        <w:insideV w:val="single" w:sz="8" w:space="0" w:color="625E5E" w:themeColor="accent5" w:themeTint="BF"/>
      </w:tblBorders>
    </w:tblPr>
    <w:tcPr>
      <w:shd w:val="clear" w:color="auto" w:fill="CBC9C9" w:themeFill="accent5" w:themeFillTint="3F"/>
    </w:tcPr>
    <w:tblStylePr w:type="firstRow">
      <w:rPr>
        <w:b/>
        <w:bCs/>
      </w:rPr>
    </w:tblStylePr>
    <w:tblStylePr w:type="lastRow">
      <w:rPr>
        <w:b/>
        <w:bCs/>
      </w:rPr>
      <w:tblPr/>
      <w:tcPr>
        <w:tcBorders>
          <w:top w:val="single" w:sz="18" w:space="0" w:color="625E5E" w:themeColor="accent5" w:themeTint="BF"/>
        </w:tcBorders>
      </w:tcPr>
    </w:tblStylePr>
    <w:tblStylePr w:type="firstCol">
      <w:rPr>
        <w:b/>
        <w:bCs/>
      </w:rPr>
    </w:tblStylePr>
    <w:tblStylePr w:type="lastCol">
      <w:rPr>
        <w:b/>
        <w:bCs/>
      </w:rPr>
    </w:tblStylePr>
    <w:tblStylePr w:type="band1Vert">
      <w:tblPr/>
      <w:tcPr>
        <w:shd w:val="clear" w:color="auto" w:fill="979292" w:themeFill="accent5" w:themeFillTint="7F"/>
      </w:tcPr>
    </w:tblStylePr>
    <w:tblStylePr w:type="band1Horz">
      <w:tblPr/>
      <w:tcPr>
        <w:shd w:val="clear" w:color="auto" w:fill="979292" w:themeFill="accent5" w:themeFillTint="7F"/>
      </w:tcPr>
    </w:tblStylePr>
  </w:style>
  <w:style w:type="table" w:styleId="MediumGrid1-Accent6">
    <w:name w:val="Medium Grid 1 Accent 6"/>
    <w:basedOn w:val="TableNormal"/>
    <w:uiPriority w:val="67"/>
    <w:semiHidden/>
    <w:unhideWhenUsed/>
    <w:locked/>
    <w:rsid w:val="00C551E1"/>
    <w:pPr>
      <w:spacing w:after="0"/>
    </w:pPr>
    <w:tblPr>
      <w:tblStyleRowBandSize w:val="1"/>
      <w:tblStyleColBandSize w:val="1"/>
      <w:tblBorders>
        <w:top w:val="single" w:sz="8" w:space="0" w:color="A21E34" w:themeColor="accent6" w:themeTint="BF"/>
        <w:left w:val="single" w:sz="8" w:space="0" w:color="A21E34" w:themeColor="accent6" w:themeTint="BF"/>
        <w:bottom w:val="single" w:sz="8" w:space="0" w:color="A21E34" w:themeColor="accent6" w:themeTint="BF"/>
        <w:right w:val="single" w:sz="8" w:space="0" w:color="A21E34" w:themeColor="accent6" w:themeTint="BF"/>
        <w:insideH w:val="single" w:sz="8" w:space="0" w:color="A21E34" w:themeColor="accent6" w:themeTint="BF"/>
        <w:insideV w:val="single" w:sz="8" w:space="0" w:color="A21E34" w:themeColor="accent6" w:themeTint="BF"/>
      </w:tblBorders>
    </w:tblPr>
    <w:tcPr>
      <w:shd w:val="clear" w:color="auto" w:fill="EEA7B2" w:themeFill="accent6" w:themeFillTint="3F"/>
    </w:tcPr>
    <w:tblStylePr w:type="firstRow">
      <w:rPr>
        <w:b/>
        <w:bCs/>
      </w:rPr>
    </w:tblStylePr>
    <w:tblStylePr w:type="lastRow">
      <w:rPr>
        <w:b/>
        <w:bCs/>
      </w:rPr>
      <w:tblPr/>
      <w:tcPr>
        <w:tcBorders>
          <w:top w:val="single" w:sz="18" w:space="0" w:color="A21E34" w:themeColor="accent6" w:themeTint="BF"/>
        </w:tcBorders>
      </w:tcPr>
    </w:tblStylePr>
    <w:tblStylePr w:type="firstCol">
      <w:rPr>
        <w:b/>
        <w:bCs/>
      </w:rPr>
    </w:tblStylePr>
    <w:tblStylePr w:type="lastCol">
      <w:rPr>
        <w:b/>
        <w:bCs/>
      </w:rPr>
    </w:tblStylePr>
    <w:tblStylePr w:type="band1Vert">
      <w:tblPr/>
      <w:tcPr>
        <w:shd w:val="clear" w:color="auto" w:fill="DD4E65" w:themeFill="accent6" w:themeFillTint="7F"/>
      </w:tcPr>
    </w:tblStylePr>
    <w:tblStylePr w:type="band1Horz">
      <w:tblPr/>
      <w:tcPr>
        <w:shd w:val="clear" w:color="auto" w:fill="DD4E65" w:themeFill="accent6" w:themeFillTint="7F"/>
      </w:tcPr>
    </w:tblStylePr>
  </w:style>
  <w:style w:type="table" w:styleId="MediumGrid2">
    <w:name w:val="Medium Grid 2"/>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31B2F" w:themeColor="accent1"/>
        <w:left w:val="single" w:sz="8" w:space="0" w:color="931B2F" w:themeColor="accent1"/>
        <w:bottom w:val="single" w:sz="8" w:space="0" w:color="931B2F" w:themeColor="accent1"/>
        <w:right w:val="single" w:sz="8" w:space="0" w:color="931B2F" w:themeColor="accent1"/>
        <w:insideH w:val="single" w:sz="8" w:space="0" w:color="931B2F" w:themeColor="accent1"/>
        <w:insideV w:val="single" w:sz="8" w:space="0" w:color="931B2F" w:themeColor="accent1"/>
      </w:tblBorders>
    </w:tblPr>
    <w:tcPr>
      <w:shd w:val="clear" w:color="auto" w:fill="F2B8C1" w:themeFill="accent1" w:themeFillTint="3F"/>
    </w:tcPr>
    <w:tblStylePr w:type="firstRow">
      <w:rPr>
        <w:b/>
        <w:bCs/>
        <w:color w:val="000000" w:themeColor="text1"/>
      </w:rPr>
      <w:tblPr/>
      <w:tcPr>
        <w:shd w:val="clear" w:color="auto" w:fill="FAE3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6CD" w:themeFill="accent1" w:themeFillTint="33"/>
      </w:tcPr>
    </w:tblStylePr>
    <w:tblStylePr w:type="band1Vert">
      <w:tblPr/>
      <w:tcPr>
        <w:shd w:val="clear" w:color="auto" w:fill="E57184" w:themeFill="accent1" w:themeFillTint="7F"/>
      </w:tcPr>
    </w:tblStylePr>
    <w:tblStylePr w:type="band1Horz">
      <w:tblPr/>
      <w:tcPr>
        <w:tcBorders>
          <w:insideH w:val="single" w:sz="6" w:space="0" w:color="931B2F" w:themeColor="accent1"/>
          <w:insideV w:val="single" w:sz="6" w:space="0" w:color="931B2F" w:themeColor="accent1"/>
        </w:tcBorders>
        <w:shd w:val="clear" w:color="auto" w:fill="E5718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35F6D" w:themeColor="accent2"/>
        <w:left w:val="single" w:sz="8" w:space="0" w:color="B35F6D" w:themeColor="accent2"/>
        <w:bottom w:val="single" w:sz="8" w:space="0" w:color="B35F6D" w:themeColor="accent2"/>
        <w:right w:val="single" w:sz="8" w:space="0" w:color="B35F6D" w:themeColor="accent2"/>
        <w:insideH w:val="single" w:sz="8" w:space="0" w:color="B35F6D" w:themeColor="accent2"/>
        <w:insideV w:val="single" w:sz="8" w:space="0" w:color="B35F6D" w:themeColor="accent2"/>
      </w:tblBorders>
    </w:tblPr>
    <w:tcPr>
      <w:shd w:val="clear" w:color="auto" w:fill="ECD7DA" w:themeFill="accent2" w:themeFillTint="3F"/>
    </w:tcPr>
    <w:tblStylePr w:type="firstRow">
      <w:rPr>
        <w:b/>
        <w:bCs/>
        <w:color w:val="000000" w:themeColor="text1"/>
      </w:rPr>
      <w:tblPr/>
      <w:tcPr>
        <w:shd w:val="clear" w:color="auto" w:fill="F7EF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EE1" w:themeFill="accent2" w:themeFillTint="33"/>
      </w:tcPr>
    </w:tblStylePr>
    <w:tblStylePr w:type="band1Vert">
      <w:tblPr/>
      <w:tcPr>
        <w:shd w:val="clear" w:color="auto" w:fill="D9AFB6" w:themeFill="accent2" w:themeFillTint="7F"/>
      </w:tcPr>
    </w:tblStylePr>
    <w:tblStylePr w:type="band1Horz">
      <w:tblPr/>
      <w:tcPr>
        <w:tcBorders>
          <w:insideH w:val="single" w:sz="6" w:space="0" w:color="B35F6D" w:themeColor="accent2"/>
          <w:insideV w:val="single" w:sz="6" w:space="0" w:color="B35F6D" w:themeColor="accent2"/>
        </w:tcBorders>
        <w:shd w:val="clear" w:color="auto" w:fill="D9AFB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E7E7" w:themeColor="accent3"/>
        <w:left w:val="single" w:sz="8" w:space="0" w:color="E8E7E7" w:themeColor="accent3"/>
        <w:bottom w:val="single" w:sz="8" w:space="0" w:color="E8E7E7" w:themeColor="accent3"/>
        <w:right w:val="single" w:sz="8" w:space="0" w:color="E8E7E7" w:themeColor="accent3"/>
        <w:insideH w:val="single" w:sz="8" w:space="0" w:color="E8E7E7" w:themeColor="accent3"/>
        <w:insideV w:val="single" w:sz="8" w:space="0" w:color="E8E7E7" w:themeColor="accent3"/>
      </w:tblBorders>
    </w:tblPr>
    <w:tcPr>
      <w:shd w:val="clear" w:color="auto" w:fill="F9F9F9"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A" w:themeFill="accent3" w:themeFillTint="33"/>
      </w:tcPr>
    </w:tblStylePr>
    <w:tblStylePr w:type="band1Vert">
      <w:tblPr/>
      <w:tcPr>
        <w:shd w:val="clear" w:color="auto" w:fill="F3F2F2" w:themeFill="accent3" w:themeFillTint="7F"/>
      </w:tcPr>
    </w:tblStylePr>
    <w:tblStylePr w:type="band1Horz">
      <w:tblPr/>
      <w:tcPr>
        <w:tcBorders>
          <w:insideH w:val="single" w:sz="6" w:space="0" w:color="E8E7E7" w:themeColor="accent3"/>
          <w:insideV w:val="single" w:sz="6" w:space="0" w:color="E8E7E7" w:themeColor="accent3"/>
        </w:tcBorders>
        <w:shd w:val="clear" w:color="auto" w:fill="F3F2F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C8686" w:themeColor="accent4"/>
        <w:left w:val="single" w:sz="8" w:space="0" w:color="8C8686" w:themeColor="accent4"/>
        <w:bottom w:val="single" w:sz="8" w:space="0" w:color="8C8686" w:themeColor="accent4"/>
        <w:right w:val="single" w:sz="8" w:space="0" w:color="8C8686" w:themeColor="accent4"/>
        <w:insideH w:val="single" w:sz="8" w:space="0" w:color="8C8686" w:themeColor="accent4"/>
        <w:insideV w:val="single" w:sz="8" w:space="0" w:color="8C8686" w:themeColor="accent4"/>
      </w:tblBorders>
    </w:tblPr>
    <w:tcPr>
      <w:shd w:val="clear" w:color="auto" w:fill="E2E1E1" w:themeFill="accent4" w:themeFillTint="3F"/>
    </w:tcPr>
    <w:tblStylePr w:type="firstRow">
      <w:rPr>
        <w:b/>
        <w:bCs/>
        <w:color w:val="000000" w:themeColor="text1"/>
      </w:rPr>
      <w:tblPr/>
      <w:tcPr>
        <w:shd w:val="clear" w:color="auto" w:fill="F3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6E6" w:themeFill="accent4" w:themeFillTint="33"/>
      </w:tcPr>
    </w:tblStylePr>
    <w:tblStylePr w:type="band1Vert">
      <w:tblPr/>
      <w:tcPr>
        <w:shd w:val="clear" w:color="auto" w:fill="C5C2C2" w:themeFill="accent4" w:themeFillTint="7F"/>
      </w:tcPr>
    </w:tblStylePr>
    <w:tblStylePr w:type="band1Horz">
      <w:tblPr/>
      <w:tcPr>
        <w:tcBorders>
          <w:insideH w:val="single" w:sz="6" w:space="0" w:color="8C8686" w:themeColor="accent4"/>
          <w:insideV w:val="single" w:sz="6" w:space="0" w:color="8C8686" w:themeColor="accent4"/>
        </w:tcBorders>
        <w:shd w:val="clear" w:color="auto" w:fill="C5C2C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C2A2A" w:themeColor="accent5"/>
        <w:left w:val="single" w:sz="8" w:space="0" w:color="2C2A2A" w:themeColor="accent5"/>
        <w:bottom w:val="single" w:sz="8" w:space="0" w:color="2C2A2A" w:themeColor="accent5"/>
        <w:right w:val="single" w:sz="8" w:space="0" w:color="2C2A2A" w:themeColor="accent5"/>
        <w:insideH w:val="single" w:sz="8" w:space="0" w:color="2C2A2A" w:themeColor="accent5"/>
        <w:insideV w:val="single" w:sz="8" w:space="0" w:color="2C2A2A" w:themeColor="accent5"/>
      </w:tblBorders>
    </w:tblPr>
    <w:tcPr>
      <w:shd w:val="clear" w:color="auto" w:fill="CBC9C9" w:themeFill="accent5" w:themeFillTint="3F"/>
    </w:tcPr>
    <w:tblStylePr w:type="firstRow">
      <w:rPr>
        <w:b/>
        <w:bCs/>
        <w:color w:val="000000" w:themeColor="text1"/>
      </w:rPr>
      <w:tblPr/>
      <w:tcPr>
        <w:shd w:val="clear" w:color="auto" w:fill="EAE9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3D3" w:themeFill="accent5" w:themeFillTint="33"/>
      </w:tcPr>
    </w:tblStylePr>
    <w:tblStylePr w:type="band1Vert">
      <w:tblPr/>
      <w:tcPr>
        <w:shd w:val="clear" w:color="auto" w:fill="979292" w:themeFill="accent5" w:themeFillTint="7F"/>
      </w:tcPr>
    </w:tblStylePr>
    <w:tblStylePr w:type="band1Horz">
      <w:tblPr/>
      <w:tcPr>
        <w:tcBorders>
          <w:insideH w:val="single" w:sz="6" w:space="0" w:color="2C2A2A" w:themeColor="accent5"/>
          <w:insideV w:val="single" w:sz="6" w:space="0" w:color="2C2A2A" w:themeColor="accent5"/>
        </w:tcBorders>
        <w:shd w:val="clear" w:color="auto" w:fill="97929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0E18" w:themeColor="accent6"/>
        <w:left w:val="single" w:sz="8" w:space="0" w:color="4A0E18" w:themeColor="accent6"/>
        <w:bottom w:val="single" w:sz="8" w:space="0" w:color="4A0E18" w:themeColor="accent6"/>
        <w:right w:val="single" w:sz="8" w:space="0" w:color="4A0E18" w:themeColor="accent6"/>
        <w:insideH w:val="single" w:sz="8" w:space="0" w:color="4A0E18" w:themeColor="accent6"/>
        <w:insideV w:val="single" w:sz="8" w:space="0" w:color="4A0E18" w:themeColor="accent6"/>
      </w:tblBorders>
    </w:tblPr>
    <w:tcPr>
      <w:shd w:val="clear" w:color="auto" w:fill="EEA7B2" w:themeFill="accent6" w:themeFillTint="3F"/>
    </w:tcPr>
    <w:tblStylePr w:type="firstRow">
      <w:rPr>
        <w:b/>
        <w:bCs/>
        <w:color w:val="000000" w:themeColor="text1"/>
      </w:rPr>
      <w:tblPr/>
      <w:tcPr>
        <w:shd w:val="clear" w:color="auto" w:fill="F8DBE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B7C1" w:themeFill="accent6" w:themeFillTint="33"/>
      </w:tcPr>
    </w:tblStylePr>
    <w:tblStylePr w:type="band1Vert">
      <w:tblPr/>
      <w:tcPr>
        <w:shd w:val="clear" w:color="auto" w:fill="DD4E65" w:themeFill="accent6" w:themeFillTint="7F"/>
      </w:tcPr>
    </w:tblStylePr>
    <w:tblStylePr w:type="band1Horz">
      <w:tblPr/>
      <w:tcPr>
        <w:tcBorders>
          <w:insideH w:val="single" w:sz="6" w:space="0" w:color="4A0E18" w:themeColor="accent6"/>
          <w:insideV w:val="single" w:sz="6" w:space="0" w:color="4A0E18" w:themeColor="accent6"/>
        </w:tcBorders>
        <w:shd w:val="clear" w:color="auto" w:fill="DD4E6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8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71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7184" w:themeFill="accent1" w:themeFillTint="7F"/>
      </w:tcPr>
    </w:tblStylePr>
  </w:style>
  <w:style w:type="table" w:styleId="MediumGrid3-Accent2">
    <w:name w:val="Medium Grid 3 Accent 2"/>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7D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5F6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5F6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5F6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5F6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AFB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AFB6" w:themeFill="accent2" w:themeFillTint="7F"/>
      </w:tcPr>
    </w:tblStylePr>
  </w:style>
  <w:style w:type="table" w:styleId="MediumGrid3-Accent3">
    <w:name w:val="Medium Grid 3 Accent 3"/>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7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7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7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7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2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2F2" w:themeFill="accent3" w:themeFillTint="7F"/>
      </w:tcPr>
    </w:tblStylePr>
  </w:style>
  <w:style w:type="table" w:styleId="MediumGrid3-Accent4">
    <w:name w:val="Medium Grid 3 Accent 4"/>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868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868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868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868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2C2" w:themeFill="accent4" w:themeFillTint="7F"/>
      </w:tcPr>
    </w:tblStylePr>
  </w:style>
  <w:style w:type="table" w:styleId="MediumGrid3-Accent5">
    <w:name w:val="Medium Grid 3 Accent 5"/>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9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2A2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2A2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2A2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2A2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929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9292" w:themeFill="accent5" w:themeFillTint="7F"/>
      </w:tcPr>
    </w:tblStylePr>
  </w:style>
  <w:style w:type="table" w:styleId="MediumGrid3-Accent6">
    <w:name w:val="Medium Grid 3 Accent 6"/>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A7B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0E1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0E1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0E1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0E1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4E6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4E65" w:themeFill="accent6" w:themeFillTint="7F"/>
      </w:tcPr>
    </w:tblStylePr>
  </w:style>
  <w:style w:type="table" w:styleId="MediumList1">
    <w:name w:val="Medium List 1"/>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931B2F" w:themeColor="accent1"/>
        <w:bottom w:val="single" w:sz="8" w:space="0" w:color="931B2F" w:themeColor="accent1"/>
      </w:tblBorders>
    </w:tblPr>
    <w:tblStylePr w:type="firstRow">
      <w:rPr>
        <w:rFonts w:asciiTheme="majorHAnsi" w:eastAsiaTheme="majorEastAsia" w:hAnsiTheme="majorHAnsi" w:cstheme="majorBidi"/>
      </w:rPr>
      <w:tblPr/>
      <w:tcPr>
        <w:tcBorders>
          <w:top w:val="nil"/>
          <w:bottom w:val="single" w:sz="8" w:space="0" w:color="931B2F" w:themeColor="accent1"/>
        </w:tcBorders>
      </w:tcPr>
    </w:tblStylePr>
    <w:tblStylePr w:type="lastRow">
      <w:rPr>
        <w:b/>
        <w:bCs/>
        <w:color w:val="4D4D4D" w:themeColor="text2"/>
      </w:rPr>
      <w:tblPr/>
      <w:tcPr>
        <w:tcBorders>
          <w:top w:val="single" w:sz="8" w:space="0" w:color="931B2F" w:themeColor="accent1"/>
          <w:bottom w:val="single" w:sz="8" w:space="0" w:color="931B2F" w:themeColor="accent1"/>
        </w:tcBorders>
      </w:tcPr>
    </w:tblStylePr>
    <w:tblStylePr w:type="firstCol">
      <w:rPr>
        <w:b/>
        <w:bCs/>
      </w:rPr>
    </w:tblStylePr>
    <w:tblStylePr w:type="lastCol">
      <w:rPr>
        <w:b/>
        <w:bCs/>
      </w:rPr>
      <w:tblPr/>
      <w:tcPr>
        <w:tcBorders>
          <w:top w:val="single" w:sz="8" w:space="0" w:color="931B2F" w:themeColor="accent1"/>
          <w:bottom w:val="single" w:sz="8" w:space="0" w:color="931B2F" w:themeColor="accent1"/>
        </w:tcBorders>
      </w:tcPr>
    </w:tblStylePr>
    <w:tblStylePr w:type="band1Vert">
      <w:tblPr/>
      <w:tcPr>
        <w:shd w:val="clear" w:color="auto" w:fill="F2B8C1" w:themeFill="accent1" w:themeFillTint="3F"/>
      </w:tcPr>
    </w:tblStylePr>
    <w:tblStylePr w:type="band1Horz">
      <w:tblPr/>
      <w:tcPr>
        <w:shd w:val="clear" w:color="auto" w:fill="F2B8C1" w:themeFill="accent1" w:themeFillTint="3F"/>
      </w:tcPr>
    </w:tblStylePr>
  </w:style>
  <w:style w:type="table" w:styleId="MediumList1-Accent2">
    <w:name w:val="Medium List 1 Accent 2"/>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B35F6D" w:themeColor="accent2"/>
        <w:bottom w:val="single" w:sz="8" w:space="0" w:color="B35F6D" w:themeColor="accent2"/>
      </w:tblBorders>
    </w:tblPr>
    <w:tblStylePr w:type="firstRow">
      <w:rPr>
        <w:rFonts w:asciiTheme="majorHAnsi" w:eastAsiaTheme="majorEastAsia" w:hAnsiTheme="majorHAnsi" w:cstheme="majorBidi"/>
      </w:rPr>
      <w:tblPr/>
      <w:tcPr>
        <w:tcBorders>
          <w:top w:val="nil"/>
          <w:bottom w:val="single" w:sz="8" w:space="0" w:color="B35F6D" w:themeColor="accent2"/>
        </w:tcBorders>
      </w:tcPr>
    </w:tblStylePr>
    <w:tblStylePr w:type="lastRow">
      <w:rPr>
        <w:b/>
        <w:bCs/>
        <w:color w:val="4D4D4D" w:themeColor="text2"/>
      </w:rPr>
      <w:tblPr/>
      <w:tcPr>
        <w:tcBorders>
          <w:top w:val="single" w:sz="8" w:space="0" w:color="B35F6D" w:themeColor="accent2"/>
          <w:bottom w:val="single" w:sz="8" w:space="0" w:color="B35F6D" w:themeColor="accent2"/>
        </w:tcBorders>
      </w:tcPr>
    </w:tblStylePr>
    <w:tblStylePr w:type="firstCol">
      <w:rPr>
        <w:b/>
        <w:bCs/>
      </w:rPr>
    </w:tblStylePr>
    <w:tblStylePr w:type="lastCol">
      <w:rPr>
        <w:b/>
        <w:bCs/>
      </w:rPr>
      <w:tblPr/>
      <w:tcPr>
        <w:tcBorders>
          <w:top w:val="single" w:sz="8" w:space="0" w:color="B35F6D" w:themeColor="accent2"/>
          <w:bottom w:val="single" w:sz="8" w:space="0" w:color="B35F6D" w:themeColor="accent2"/>
        </w:tcBorders>
      </w:tcPr>
    </w:tblStylePr>
    <w:tblStylePr w:type="band1Vert">
      <w:tblPr/>
      <w:tcPr>
        <w:shd w:val="clear" w:color="auto" w:fill="ECD7DA" w:themeFill="accent2" w:themeFillTint="3F"/>
      </w:tcPr>
    </w:tblStylePr>
    <w:tblStylePr w:type="band1Horz">
      <w:tblPr/>
      <w:tcPr>
        <w:shd w:val="clear" w:color="auto" w:fill="ECD7DA" w:themeFill="accent2" w:themeFillTint="3F"/>
      </w:tcPr>
    </w:tblStylePr>
  </w:style>
  <w:style w:type="table" w:styleId="MediumList1-Accent3">
    <w:name w:val="Medium List 1 Accent 3"/>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E8E7E7" w:themeColor="accent3"/>
        <w:bottom w:val="single" w:sz="8" w:space="0" w:color="E8E7E7" w:themeColor="accent3"/>
      </w:tblBorders>
    </w:tblPr>
    <w:tblStylePr w:type="firstRow">
      <w:rPr>
        <w:rFonts w:asciiTheme="majorHAnsi" w:eastAsiaTheme="majorEastAsia" w:hAnsiTheme="majorHAnsi" w:cstheme="majorBidi"/>
      </w:rPr>
      <w:tblPr/>
      <w:tcPr>
        <w:tcBorders>
          <w:top w:val="nil"/>
          <w:bottom w:val="single" w:sz="8" w:space="0" w:color="E8E7E7" w:themeColor="accent3"/>
        </w:tcBorders>
      </w:tcPr>
    </w:tblStylePr>
    <w:tblStylePr w:type="lastRow">
      <w:rPr>
        <w:b/>
        <w:bCs/>
        <w:color w:val="4D4D4D" w:themeColor="text2"/>
      </w:rPr>
      <w:tblPr/>
      <w:tcPr>
        <w:tcBorders>
          <w:top w:val="single" w:sz="8" w:space="0" w:color="E8E7E7" w:themeColor="accent3"/>
          <w:bottom w:val="single" w:sz="8" w:space="0" w:color="E8E7E7" w:themeColor="accent3"/>
        </w:tcBorders>
      </w:tcPr>
    </w:tblStylePr>
    <w:tblStylePr w:type="firstCol">
      <w:rPr>
        <w:b/>
        <w:bCs/>
      </w:rPr>
    </w:tblStylePr>
    <w:tblStylePr w:type="lastCol">
      <w:rPr>
        <w:b/>
        <w:bCs/>
      </w:rPr>
      <w:tblPr/>
      <w:tcPr>
        <w:tcBorders>
          <w:top w:val="single" w:sz="8" w:space="0" w:color="E8E7E7" w:themeColor="accent3"/>
          <w:bottom w:val="single" w:sz="8" w:space="0" w:color="E8E7E7" w:themeColor="accent3"/>
        </w:tcBorders>
      </w:tcPr>
    </w:tblStylePr>
    <w:tblStylePr w:type="band1Vert">
      <w:tblPr/>
      <w:tcPr>
        <w:shd w:val="clear" w:color="auto" w:fill="F9F9F9" w:themeFill="accent3" w:themeFillTint="3F"/>
      </w:tcPr>
    </w:tblStylePr>
    <w:tblStylePr w:type="band1Horz">
      <w:tblPr/>
      <w:tcPr>
        <w:shd w:val="clear" w:color="auto" w:fill="F9F9F9" w:themeFill="accent3" w:themeFillTint="3F"/>
      </w:tcPr>
    </w:tblStylePr>
  </w:style>
  <w:style w:type="table" w:styleId="MediumList1-Accent4">
    <w:name w:val="Medium List 1 Accent 4"/>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8C8686" w:themeColor="accent4"/>
        <w:bottom w:val="single" w:sz="8" w:space="0" w:color="8C8686" w:themeColor="accent4"/>
      </w:tblBorders>
    </w:tblPr>
    <w:tblStylePr w:type="firstRow">
      <w:rPr>
        <w:rFonts w:asciiTheme="majorHAnsi" w:eastAsiaTheme="majorEastAsia" w:hAnsiTheme="majorHAnsi" w:cstheme="majorBidi"/>
      </w:rPr>
      <w:tblPr/>
      <w:tcPr>
        <w:tcBorders>
          <w:top w:val="nil"/>
          <w:bottom w:val="single" w:sz="8" w:space="0" w:color="8C8686" w:themeColor="accent4"/>
        </w:tcBorders>
      </w:tcPr>
    </w:tblStylePr>
    <w:tblStylePr w:type="lastRow">
      <w:rPr>
        <w:b/>
        <w:bCs/>
        <w:color w:val="4D4D4D" w:themeColor="text2"/>
      </w:rPr>
      <w:tblPr/>
      <w:tcPr>
        <w:tcBorders>
          <w:top w:val="single" w:sz="8" w:space="0" w:color="8C8686" w:themeColor="accent4"/>
          <w:bottom w:val="single" w:sz="8" w:space="0" w:color="8C8686" w:themeColor="accent4"/>
        </w:tcBorders>
      </w:tcPr>
    </w:tblStylePr>
    <w:tblStylePr w:type="firstCol">
      <w:rPr>
        <w:b/>
        <w:bCs/>
      </w:rPr>
    </w:tblStylePr>
    <w:tblStylePr w:type="lastCol">
      <w:rPr>
        <w:b/>
        <w:bCs/>
      </w:rPr>
      <w:tblPr/>
      <w:tcPr>
        <w:tcBorders>
          <w:top w:val="single" w:sz="8" w:space="0" w:color="8C8686" w:themeColor="accent4"/>
          <w:bottom w:val="single" w:sz="8" w:space="0" w:color="8C8686" w:themeColor="accent4"/>
        </w:tcBorders>
      </w:tcPr>
    </w:tblStylePr>
    <w:tblStylePr w:type="band1Vert">
      <w:tblPr/>
      <w:tcPr>
        <w:shd w:val="clear" w:color="auto" w:fill="E2E1E1" w:themeFill="accent4" w:themeFillTint="3F"/>
      </w:tcPr>
    </w:tblStylePr>
    <w:tblStylePr w:type="band1Horz">
      <w:tblPr/>
      <w:tcPr>
        <w:shd w:val="clear" w:color="auto" w:fill="E2E1E1" w:themeFill="accent4" w:themeFillTint="3F"/>
      </w:tcPr>
    </w:tblStylePr>
  </w:style>
  <w:style w:type="table" w:styleId="MediumList1-Accent5">
    <w:name w:val="Medium List 1 Accent 5"/>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2C2A2A" w:themeColor="accent5"/>
        <w:bottom w:val="single" w:sz="8" w:space="0" w:color="2C2A2A" w:themeColor="accent5"/>
      </w:tblBorders>
    </w:tblPr>
    <w:tblStylePr w:type="firstRow">
      <w:rPr>
        <w:rFonts w:asciiTheme="majorHAnsi" w:eastAsiaTheme="majorEastAsia" w:hAnsiTheme="majorHAnsi" w:cstheme="majorBidi"/>
      </w:rPr>
      <w:tblPr/>
      <w:tcPr>
        <w:tcBorders>
          <w:top w:val="nil"/>
          <w:bottom w:val="single" w:sz="8" w:space="0" w:color="2C2A2A" w:themeColor="accent5"/>
        </w:tcBorders>
      </w:tcPr>
    </w:tblStylePr>
    <w:tblStylePr w:type="lastRow">
      <w:rPr>
        <w:b/>
        <w:bCs/>
        <w:color w:val="4D4D4D" w:themeColor="text2"/>
      </w:rPr>
      <w:tblPr/>
      <w:tcPr>
        <w:tcBorders>
          <w:top w:val="single" w:sz="8" w:space="0" w:color="2C2A2A" w:themeColor="accent5"/>
          <w:bottom w:val="single" w:sz="8" w:space="0" w:color="2C2A2A" w:themeColor="accent5"/>
        </w:tcBorders>
      </w:tcPr>
    </w:tblStylePr>
    <w:tblStylePr w:type="firstCol">
      <w:rPr>
        <w:b/>
        <w:bCs/>
      </w:rPr>
    </w:tblStylePr>
    <w:tblStylePr w:type="lastCol">
      <w:rPr>
        <w:b/>
        <w:bCs/>
      </w:rPr>
      <w:tblPr/>
      <w:tcPr>
        <w:tcBorders>
          <w:top w:val="single" w:sz="8" w:space="0" w:color="2C2A2A" w:themeColor="accent5"/>
          <w:bottom w:val="single" w:sz="8" w:space="0" w:color="2C2A2A" w:themeColor="accent5"/>
        </w:tcBorders>
      </w:tcPr>
    </w:tblStylePr>
    <w:tblStylePr w:type="band1Vert">
      <w:tblPr/>
      <w:tcPr>
        <w:shd w:val="clear" w:color="auto" w:fill="CBC9C9" w:themeFill="accent5" w:themeFillTint="3F"/>
      </w:tcPr>
    </w:tblStylePr>
    <w:tblStylePr w:type="band1Horz">
      <w:tblPr/>
      <w:tcPr>
        <w:shd w:val="clear" w:color="auto" w:fill="CBC9C9" w:themeFill="accent5" w:themeFillTint="3F"/>
      </w:tcPr>
    </w:tblStylePr>
  </w:style>
  <w:style w:type="table" w:styleId="MediumList1-Accent6">
    <w:name w:val="Medium List 1 Accent 6"/>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4A0E18" w:themeColor="accent6"/>
        <w:bottom w:val="single" w:sz="8" w:space="0" w:color="4A0E18" w:themeColor="accent6"/>
      </w:tblBorders>
    </w:tblPr>
    <w:tblStylePr w:type="firstRow">
      <w:rPr>
        <w:rFonts w:asciiTheme="majorHAnsi" w:eastAsiaTheme="majorEastAsia" w:hAnsiTheme="majorHAnsi" w:cstheme="majorBidi"/>
      </w:rPr>
      <w:tblPr/>
      <w:tcPr>
        <w:tcBorders>
          <w:top w:val="nil"/>
          <w:bottom w:val="single" w:sz="8" w:space="0" w:color="4A0E18" w:themeColor="accent6"/>
        </w:tcBorders>
      </w:tcPr>
    </w:tblStylePr>
    <w:tblStylePr w:type="lastRow">
      <w:rPr>
        <w:b/>
        <w:bCs/>
        <w:color w:val="4D4D4D" w:themeColor="text2"/>
      </w:rPr>
      <w:tblPr/>
      <w:tcPr>
        <w:tcBorders>
          <w:top w:val="single" w:sz="8" w:space="0" w:color="4A0E18" w:themeColor="accent6"/>
          <w:bottom w:val="single" w:sz="8" w:space="0" w:color="4A0E18" w:themeColor="accent6"/>
        </w:tcBorders>
      </w:tcPr>
    </w:tblStylePr>
    <w:tblStylePr w:type="firstCol">
      <w:rPr>
        <w:b/>
        <w:bCs/>
      </w:rPr>
    </w:tblStylePr>
    <w:tblStylePr w:type="lastCol">
      <w:rPr>
        <w:b/>
        <w:bCs/>
      </w:rPr>
      <w:tblPr/>
      <w:tcPr>
        <w:tcBorders>
          <w:top w:val="single" w:sz="8" w:space="0" w:color="4A0E18" w:themeColor="accent6"/>
          <w:bottom w:val="single" w:sz="8" w:space="0" w:color="4A0E18" w:themeColor="accent6"/>
        </w:tcBorders>
      </w:tcPr>
    </w:tblStylePr>
    <w:tblStylePr w:type="band1Vert">
      <w:tblPr/>
      <w:tcPr>
        <w:shd w:val="clear" w:color="auto" w:fill="EEA7B2" w:themeFill="accent6" w:themeFillTint="3F"/>
      </w:tcPr>
    </w:tblStylePr>
    <w:tblStylePr w:type="band1Horz">
      <w:tblPr/>
      <w:tcPr>
        <w:shd w:val="clear" w:color="auto" w:fill="EEA7B2" w:themeFill="accent6" w:themeFillTint="3F"/>
      </w:tcPr>
    </w:tblStylePr>
  </w:style>
  <w:style w:type="table" w:styleId="MediumList2">
    <w:name w:val="Medium List 2"/>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31B2F" w:themeColor="accent1"/>
        <w:left w:val="single" w:sz="8" w:space="0" w:color="931B2F" w:themeColor="accent1"/>
        <w:bottom w:val="single" w:sz="8" w:space="0" w:color="931B2F" w:themeColor="accent1"/>
        <w:right w:val="single" w:sz="8" w:space="0" w:color="931B2F" w:themeColor="accent1"/>
      </w:tblBorders>
    </w:tblPr>
    <w:tblStylePr w:type="firstRow">
      <w:rPr>
        <w:sz w:val="24"/>
        <w:szCs w:val="24"/>
      </w:rPr>
      <w:tblPr/>
      <w:tcPr>
        <w:tcBorders>
          <w:top w:val="nil"/>
          <w:left w:val="nil"/>
          <w:bottom w:val="single" w:sz="24" w:space="0" w:color="93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1B2F" w:themeColor="accent1"/>
          <w:insideH w:val="nil"/>
          <w:insideV w:val="nil"/>
        </w:tcBorders>
        <w:shd w:val="clear" w:color="auto" w:fill="FFFFFF" w:themeFill="background1"/>
      </w:tcPr>
    </w:tblStylePr>
    <w:tblStylePr w:type="lastCol">
      <w:tblPr/>
      <w:tcPr>
        <w:tcBorders>
          <w:top w:val="nil"/>
          <w:left w:val="single" w:sz="8" w:space="0" w:color="93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8C1" w:themeFill="accent1" w:themeFillTint="3F"/>
      </w:tcPr>
    </w:tblStylePr>
    <w:tblStylePr w:type="band1Horz">
      <w:tblPr/>
      <w:tcPr>
        <w:tcBorders>
          <w:top w:val="nil"/>
          <w:bottom w:val="nil"/>
          <w:insideH w:val="nil"/>
          <w:insideV w:val="nil"/>
        </w:tcBorders>
        <w:shd w:val="clear" w:color="auto" w:fill="F2B8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35F6D" w:themeColor="accent2"/>
        <w:left w:val="single" w:sz="8" w:space="0" w:color="B35F6D" w:themeColor="accent2"/>
        <w:bottom w:val="single" w:sz="8" w:space="0" w:color="B35F6D" w:themeColor="accent2"/>
        <w:right w:val="single" w:sz="8" w:space="0" w:color="B35F6D" w:themeColor="accent2"/>
      </w:tblBorders>
    </w:tblPr>
    <w:tblStylePr w:type="firstRow">
      <w:rPr>
        <w:sz w:val="24"/>
        <w:szCs w:val="24"/>
      </w:rPr>
      <w:tblPr/>
      <w:tcPr>
        <w:tcBorders>
          <w:top w:val="nil"/>
          <w:left w:val="nil"/>
          <w:bottom w:val="single" w:sz="24" w:space="0" w:color="B35F6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5F6D" w:themeColor="accent2"/>
          <w:insideH w:val="nil"/>
          <w:insideV w:val="nil"/>
        </w:tcBorders>
        <w:shd w:val="clear" w:color="auto" w:fill="FFFFFF" w:themeFill="background1"/>
      </w:tcPr>
    </w:tblStylePr>
    <w:tblStylePr w:type="lastCol">
      <w:tblPr/>
      <w:tcPr>
        <w:tcBorders>
          <w:top w:val="nil"/>
          <w:left w:val="single" w:sz="8" w:space="0" w:color="B35F6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7DA" w:themeFill="accent2" w:themeFillTint="3F"/>
      </w:tcPr>
    </w:tblStylePr>
    <w:tblStylePr w:type="band1Horz">
      <w:tblPr/>
      <w:tcPr>
        <w:tcBorders>
          <w:top w:val="nil"/>
          <w:bottom w:val="nil"/>
          <w:insideH w:val="nil"/>
          <w:insideV w:val="nil"/>
        </w:tcBorders>
        <w:shd w:val="clear" w:color="auto" w:fill="ECD7D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E7E7" w:themeColor="accent3"/>
        <w:left w:val="single" w:sz="8" w:space="0" w:color="E8E7E7" w:themeColor="accent3"/>
        <w:bottom w:val="single" w:sz="8" w:space="0" w:color="E8E7E7" w:themeColor="accent3"/>
        <w:right w:val="single" w:sz="8" w:space="0" w:color="E8E7E7" w:themeColor="accent3"/>
      </w:tblBorders>
    </w:tblPr>
    <w:tblStylePr w:type="firstRow">
      <w:rPr>
        <w:sz w:val="24"/>
        <w:szCs w:val="24"/>
      </w:rPr>
      <w:tblPr/>
      <w:tcPr>
        <w:tcBorders>
          <w:top w:val="nil"/>
          <w:left w:val="nil"/>
          <w:bottom w:val="single" w:sz="24" w:space="0" w:color="E8E7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E7E7" w:themeColor="accent3"/>
          <w:insideH w:val="nil"/>
          <w:insideV w:val="nil"/>
        </w:tcBorders>
        <w:shd w:val="clear" w:color="auto" w:fill="FFFFFF" w:themeFill="background1"/>
      </w:tcPr>
    </w:tblStylePr>
    <w:tblStylePr w:type="lastCol">
      <w:tblPr/>
      <w:tcPr>
        <w:tcBorders>
          <w:top w:val="nil"/>
          <w:left w:val="single" w:sz="8" w:space="0" w:color="E8E7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9" w:themeFill="accent3" w:themeFillTint="3F"/>
      </w:tcPr>
    </w:tblStylePr>
    <w:tblStylePr w:type="band1Horz">
      <w:tblPr/>
      <w:tcPr>
        <w:tcBorders>
          <w:top w:val="nil"/>
          <w:bottom w:val="nil"/>
          <w:insideH w:val="nil"/>
          <w:insideV w:val="nil"/>
        </w:tcBorders>
        <w:shd w:val="clear" w:color="auto" w:fill="F9F9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C8686" w:themeColor="accent4"/>
        <w:left w:val="single" w:sz="8" w:space="0" w:color="8C8686" w:themeColor="accent4"/>
        <w:bottom w:val="single" w:sz="8" w:space="0" w:color="8C8686" w:themeColor="accent4"/>
        <w:right w:val="single" w:sz="8" w:space="0" w:color="8C8686" w:themeColor="accent4"/>
      </w:tblBorders>
    </w:tblPr>
    <w:tblStylePr w:type="firstRow">
      <w:rPr>
        <w:sz w:val="24"/>
        <w:szCs w:val="24"/>
      </w:rPr>
      <w:tblPr/>
      <w:tcPr>
        <w:tcBorders>
          <w:top w:val="nil"/>
          <w:left w:val="nil"/>
          <w:bottom w:val="single" w:sz="24" w:space="0" w:color="8C868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8686" w:themeColor="accent4"/>
          <w:insideH w:val="nil"/>
          <w:insideV w:val="nil"/>
        </w:tcBorders>
        <w:shd w:val="clear" w:color="auto" w:fill="FFFFFF" w:themeFill="background1"/>
      </w:tcPr>
    </w:tblStylePr>
    <w:tblStylePr w:type="lastCol">
      <w:tblPr/>
      <w:tcPr>
        <w:tcBorders>
          <w:top w:val="nil"/>
          <w:left w:val="single" w:sz="8" w:space="0" w:color="8C868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1" w:themeFill="accent4" w:themeFillTint="3F"/>
      </w:tcPr>
    </w:tblStylePr>
    <w:tblStylePr w:type="band1Horz">
      <w:tblPr/>
      <w:tcPr>
        <w:tcBorders>
          <w:top w:val="nil"/>
          <w:bottom w:val="nil"/>
          <w:insideH w:val="nil"/>
          <w:insideV w:val="nil"/>
        </w:tcBorders>
        <w:shd w:val="clear" w:color="auto" w:fill="E2E1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C2A2A" w:themeColor="accent5"/>
        <w:left w:val="single" w:sz="8" w:space="0" w:color="2C2A2A" w:themeColor="accent5"/>
        <w:bottom w:val="single" w:sz="8" w:space="0" w:color="2C2A2A" w:themeColor="accent5"/>
        <w:right w:val="single" w:sz="8" w:space="0" w:color="2C2A2A" w:themeColor="accent5"/>
      </w:tblBorders>
    </w:tblPr>
    <w:tblStylePr w:type="firstRow">
      <w:rPr>
        <w:sz w:val="24"/>
        <w:szCs w:val="24"/>
      </w:rPr>
      <w:tblPr/>
      <w:tcPr>
        <w:tcBorders>
          <w:top w:val="nil"/>
          <w:left w:val="nil"/>
          <w:bottom w:val="single" w:sz="24" w:space="0" w:color="2C2A2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2A2A" w:themeColor="accent5"/>
          <w:insideH w:val="nil"/>
          <w:insideV w:val="nil"/>
        </w:tcBorders>
        <w:shd w:val="clear" w:color="auto" w:fill="FFFFFF" w:themeFill="background1"/>
      </w:tcPr>
    </w:tblStylePr>
    <w:tblStylePr w:type="lastCol">
      <w:tblPr/>
      <w:tcPr>
        <w:tcBorders>
          <w:top w:val="nil"/>
          <w:left w:val="single" w:sz="8" w:space="0" w:color="2C2A2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9C9" w:themeFill="accent5" w:themeFillTint="3F"/>
      </w:tcPr>
    </w:tblStylePr>
    <w:tblStylePr w:type="band1Horz">
      <w:tblPr/>
      <w:tcPr>
        <w:tcBorders>
          <w:top w:val="nil"/>
          <w:bottom w:val="nil"/>
          <w:insideH w:val="nil"/>
          <w:insideV w:val="nil"/>
        </w:tcBorders>
        <w:shd w:val="clear" w:color="auto" w:fill="CBC9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0E18" w:themeColor="accent6"/>
        <w:left w:val="single" w:sz="8" w:space="0" w:color="4A0E18" w:themeColor="accent6"/>
        <w:bottom w:val="single" w:sz="8" w:space="0" w:color="4A0E18" w:themeColor="accent6"/>
        <w:right w:val="single" w:sz="8" w:space="0" w:color="4A0E18" w:themeColor="accent6"/>
      </w:tblBorders>
    </w:tblPr>
    <w:tblStylePr w:type="firstRow">
      <w:rPr>
        <w:sz w:val="24"/>
        <w:szCs w:val="24"/>
      </w:rPr>
      <w:tblPr/>
      <w:tcPr>
        <w:tcBorders>
          <w:top w:val="nil"/>
          <w:left w:val="nil"/>
          <w:bottom w:val="single" w:sz="24" w:space="0" w:color="4A0E1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0E18" w:themeColor="accent6"/>
          <w:insideH w:val="nil"/>
          <w:insideV w:val="nil"/>
        </w:tcBorders>
        <w:shd w:val="clear" w:color="auto" w:fill="FFFFFF" w:themeFill="background1"/>
      </w:tcPr>
    </w:tblStylePr>
    <w:tblStylePr w:type="lastCol">
      <w:tblPr/>
      <w:tcPr>
        <w:tcBorders>
          <w:top w:val="nil"/>
          <w:left w:val="single" w:sz="8" w:space="0" w:color="4A0E1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A7B2" w:themeFill="accent6" w:themeFillTint="3F"/>
      </w:tcPr>
    </w:tblStylePr>
    <w:tblStylePr w:type="band1Horz">
      <w:tblPr/>
      <w:tcPr>
        <w:tcBorders>
          <w:top w:val="nil"/>
          <w:bottom w:val="nil"/>
          <w:insideH w:val="nil"/>
          <w:insideV w:val="nil"/>
        </w:tcBorders>
        <w:shd w:val="clear" w:color="auto" w:fill="EEA7B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C551E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C551E1"/>
    <w:pPr>
      <w:spacing w:after="0"/>
    </w:pPr>
    <w:tblPr>
      <w:tblStyleRowBandSize w:val="1"/>
      <w:tblStyleColBandSize w:val="1"/>
      <w:tblBorders>
        <w:top w:val="single" w:sz="8" w:space="0" w:color="D82A46" w:themeColor="accent1" w:themeTint="BF"/>
        <w:left w:val="single" w:sz="8" w:space="0" w:color="D82A46" w:themeColor="accent1" w:themeTint="BF"/>
        <w:bottom w:val="single" w:sz="8" w:space="0" w:color="D82A46" w:themeColor="accent1" w:themeTint="BF"/>
        <w:right w:val="single" w:sz="8" w:space="0" w:color="D82A46" w:themeColor="accent1" w:themeTint="BF"/>
        <w:insideH w:val="single" w:sz="8" w:space="0" w:color="D82A46" w:themeColor="accent1" w:themeTint="BF"/>
      </w:tblBorders>
    </w:tblPr>
    <w:tblStylePr w:type="firstRow">
      <w:pPr>
        <w:spacing w:before="0" w:after="0" w:line="240" w:lineRule="auto"/>
      </w:pPr>
      <w:rPr>
        <w:b/>
        <w:bCs/>
        <w:color w:val="FFFFFF" w:themeColor="background1"/>
      </w:rPr>
      <w:tblPr/>
      <w:tcPr>
        <w:tcBorders>
          <w:top w:val="single" w:sz="8" w:space="0" w:color="D82A46" w:themeColor="accent1" w:themeTint="BF"/>
          <w:left w:val="single" w:sz="8" w:space="0" w:color="D82A46" w:themeColor="accent1" w:themeTint="BF"/>
          <w:bottom w:val="single" w:sz="8" w:space="0" w:color="D82A46" w:themeColor="accent1" w:themeTint="BF"/>
          <w:right w:val="single" w:sz="8" w:space="0" w:color="D82A46" w:themeColor="accent1" w:themeTint="BF"/>
          <w:insideH w:val="nil"/>
          <w:insideV w:val="nil"/>
        </w:tcBorders>
        <w:shd w:val="clear" w:color="auto" w:fill="931B2F" w:themeFill="accent1"/>
      </w:tcPr>
    </w:tblStylePr>
    <w:tblStylePr w:type="lastRow">
      <w:pPr>
        <w:spacing w:before="0" w:after="0" w:line="240" w:lineRule="auto"/>
      </w:pPr>
      <w:rPr>
        <w:b/>
        <w:bCs/>
      </w:rPr>
      <w:tblPr/>
      <w:tcPr>
        <w:tcBorders>
          <w:top w:val="double" w:sz="6" w:space="0" w:color="D82A46" w:themeColor="accent1" w:themeTint="BF"/>
          <w:left w:val="single" w:sz="8" w:space="0" w:color="D82A46" w:themeColor="accent1" w:themeTint="BF"/>
          <w:bottom w:val="single" w:sz="8" w:space="0" w:color="D82A46" w:themeColor="accent1" w:themeTint="BF"/>
          <w:right w:val="single" w:sz="8" w:space="0" w:color="D82A4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8C1" w:themeFill="accent1" w:themeFillTint="3F"/>
      </w:tcPr>
    </w:tblStylePr>
    <w:tblStylePr w:type="band1Horz">
      <w:tblPr/>
      <w:tcPr>
        <w:tcBorders>
          <w:insideH w:val="nil"/>
          <w:insideV w:val="nil"/>
        </w:tcBorders>
        <w:shd w:val="clear" w:color="auto" w:fill="F2B8C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C551E1"/>
    <w:pPr>
      <w:spacing w:after="0"/>
    </w:pPr>
    <w:tblPr>
      <w:tblStyleRowBandSize w:val="1"/>
      <w:tblStyleColBandSize w:val="1"/>
      <w:tblBorders>
        <w:top w:val="single" w:sz="8" w:space="0" w:color="C68791" w:themeColor="accent2" w:themeTint="BF"/>
        <w:left w:val="single" w:sz="8" w:space="0" w:color="C68791" w:themeColor="accent2" w:themeTint="BF"/>
        <w:bottom w:val="single" w:sz="8" w:space="0" w:color="C68791" w:themeColor="accent2" w:themeTint="BF"/>
        <w:right w:val="single" w:sz="8" w:space="0" w:color="C68791" w:themeColor="accent2" w:themeTint="BF"/>
        <w:insideH w:val="single" w:sz="8" w:space="0" w:color="C68791" w:themeColor="accent2" w:themeTint="BF"/>
      </w:tblBorders>
    </w:tblPr>
    <w:tblStylePr w:type="firstRow">
      <w:pPr>
        <w:spacing w:before="0" w:after="0" w:line="240" w:lineRule="auto"/>
      </w:pPr>
      <w:rPr>
        <w:b/>
        <w:bCs/>
        <w:color w:val="FFFFFF" w:themeColor="background1"/>
      </w:rPr>
      <w:tblPr/>
      <w:tcPr>
        <w:tcBorders>
          <w:top w:val="single" w:sz="8" w:space="0" w:color="C68791" w:themeColor="accent2" w:themeTint="BF"/>
          <w:left w:val="single" w:sz="8" w:space="0" w:color="C68791" w:themeColor="accent2" w:themeTint="BF"/>
          <w:bottom w:val="single" w:sz="8" w:space="0" w:color="C68791" w:themeColor="accent2" w:themeTint="BF"/>
          <w:right w:val="single" w:sz="8" w:space="0" w:color="C68791" w:themeColor="accent2" w:themeTint="BF"/>
          <w:insideH w:val="nil"/>
          <w:insideV w:val="nil"/>
        </w:tcBorders>
        <w:shd w:val="clear" w:color="auto" w:fill="B35F6D" w:themeFill="accent2"/>
      </w:tcPr>
    </w:tblStylePr>
    <w:tblStylePr w:type="lastRow">
      <w:pPr>
        <w:spacing w:before="0" w:after="0" w:line="240" w:lineRule="auto"/>
      </w:pPr>
      <w:rPr>
        <w:b/>
        <w:bCs/>
      </w:rPr>
      <w:tblPr/>
      <w:tcPr>
        <w:tcBorders>
          <w:top w:val="double" w:sz="6" w:space="0" w:color="C68791" w:themeColor="accent2" w:themeTint="BF"/>
          <w:left w:val="single" w:sz="8" w:space="0" w:color="C68791" w:themeColor="accent2" w:themeTint="BF"/>
          <w:bottom w:val="single" w:sz="8" w:space="0" w:color="C68791" w:themeColor="accent2" w:themeTint="BF"/>
          <w:right w:val="single" w:sz="8" w:space="0" w:color="C6879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D7DA" w:themeFill="accent2" w:themeFillTint="3F"/>
      </w:tcPr>
    </w:tblStylePr>
    <w:tblStylePr w:type="band1Horz">
      <w:tblPr/>
      <w:tcPr>
        <w:tcBorders>
          <w:insideH w:val="nil"/>
          <w:insideV w:val="nil"/>
        </w:tcBorders>
        <w:shd w:val="clear" w:color="auto" w:fill="ECD7D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C551E1"/>
    <w:pPr>
      <w:spacing w:after="0"/>
    </w:pPr>
    <w:tblPr>
      <w:tblStyleRowBandSize w:val="1"/>
      <w:tblStyleColBandSize w:val="1"/>
      <w:tblBorders>
        <w:top w:val="single" w:sz="8" w:space="0" w:color="EDECEC" w:themeColor="accent3" w:themeTint="BF"/>
        <w:left w:val="single" w:sz="8" w:space="0" w:color="EDECEC" w:themeColor="accent3" w:themeTint="BF"/>
        <w:bottom w:val="single" w:sz="8" w:space="0" w:color="EDECEC" w:themeColor="accent3" w:themeTint="BF"/>
        <w:right w:val="single" w:sz="8" w:space="0" w:color="EDECEC" w:themeColor="accent3" w:themeTint="BF"/>
        <w:insideH w:val="single" w:sz="8" w:space="0" w:color="EDECEC" w:themeColor="accent3" w:themeTint="BF"/>
      </w:tblBorders>
    </w:tblPr>
    <w:tblStylePr w:type="firstRow">
      <w:pPr>
        <w:spacing w:before="0" w:after="0" w:line="240" w:lineRule="auto"/>
      </w:pPr>
      <w:rPr>
        <w:b/>
        <w:bCs/>
        <w:color w:val="FFFFFF" w:themeColor="background1"/>
      </w:rPr>
      <w:tblPr/>
      <w:tcPr>
        <w:tcBorders>
          <w:top w:val="single" w:sz="8" w:space="0" w:color="EDECEC" w:themeColor="accent3" w:themeTint="BF"/>
          <w:left w:val="single" w:sz="8" w:space="0" w:color="EDECEC" w:themeColor="accent3" w:themeTint="BF"/>
          <w:bottom w:val="single" w:sz="8" w:space="0" w:color="EDECEC" w:themeColor="accent3" w:themeTint="BF"/>
          <w:right w:val="single" w:sz="8" w:space="0" w:color="EDECEC" w:themeColor="accent3" w:themeTint="BF"/>
          <w:insideH w:val="nil"/>
          <w:insideV w:val="nil"/>
        </w:tcBorders>
        <w:shd w:val="clear" w:color="auto" w:fill="E8E7E7" w:themeFill="accent3"/>
      </w:tcPr>
    </w:tblStylePr>
    <w:tblStylePr w:type="lastRow">
      <w:pPr>
        <w:spacing w:before="0" w:after="0" w:line="240" w:lineRule="auto"/>
      </w:pPr>
      <w:rPr>
        <w:b/>
        <w:bCs/>
      </w:rPr>
      <w:tblPr/>
      <w:tcPr>
        <w:tcBorders>
          <w:top w:val="double" w:sz="6" w:space="0" w:color="EDECEC" w:themeColor="accent3" w:themeTint="BF"/>
          <w:left w:val="single" w:sz="8" w:space="0" w:color="EDECEC" w:themeColor="accent3" w:themeTint="BF"/>
          <w:bottom w:val="single" w:sz="8" w:space="0" w:color="EDECEC" w:themeColor="accent3" w:themeTint="BF"/>
          <w:right w:val="single" w:sz="8" w:space="0" w:color="EDEC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9F9" w:themeFill="accent3" w:themeFillTint="3F"/>
      </w:tcPr>
    </w:tblStylePr>
    <w:tblStylePr w:type="band1Horz">
      <w:tblPr/>
      <w:tcPr>
        <w:tcBorders>
          <w:insideH w:val="nil"/>
          <w:insideV w:val="nil"/>
        </w:tcBorders>
        <w:shd w:val="clear" w:color="auto" w:fill="F9F9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C551E1"/>
    <w:pPr>
      <w:spacing w:after="0"/>
    </w:pPr>
    <w:tblPr>
      <w:tblStyleRowBandSize w:val="1"/>
      <w:tblStyleColBandSize w:val="1"/>
      <w:tblBorders>
        <w:top w:val="single" w:sz="8" w:space="0" w:color="A8A4A4" w:themeColor="accent4" w:themeTint="BF"/>
        <w:left w:val="single" w:sz="8" w:space="0" w:color="A8A4A4" w:themeColor="accent4" w:themeTint="BF"/>
        <w:bottom w:val="single" w:sz="8" w:space="0" w:color="A8A4A4" w:themeColor="accent4" w:themeTint="BF"/>
        <w:right w:val="single" w:sz="8" w:space="0" w:color="A8A4A4" w:themeColor="accent4" w:themeTint="BF"/>
        <w:insideH w:val="single" w:sz="8" w:space="0" w:color="A8A4A4" w:themeColor="accent4" w:themeTint="BF"/>
      </w:tblBorders>
    </w:tblPr>
    <w:tblStylePr w:type="firstRow">
      <w:pPr>
        <w:spacing w:before="0" w:after="0" w:line="240" w:lineRule="auto"/>
      </w:pPr>
      <w:rPr>
        <w:b/>
        <w:bCs/>
        <w:color w:val="FFFFFF" w:themeColor="background1"/>
      </w:rPr>
      <w:tblPr/>
      <w:tcPr>
        <w:tcBorders>
          <w:top w:val="single" w:sz="8" w:space="0" w:color="A8A4A4" w:themeColor="accent4" w:themeTint="BF"/>
          <w:left w:val="single" w:sz="8" w:space="0" w:color="A8A4A4" w:themeColor="accent4" w:themeTint="BF"/>
          <w:bottom w:val="single" w:sz="8" w:space="0" w:color="A8A4A4" w:themeColor="accent4" w:themeTint="BF"/>
          <w:right w:val="single" w:sz="8" w:space="0" w:color="A8A4A4" w:themeColor="accent4" w:themeTint="BF"/>
          <w:insideH w:val="nil"/>
          <w:insideV w:val="nil"/>
        </w:tcBorders>
        <w:shd w:val="clear" w:color="auto" w:fill="8C8686" w:themeFill="accent4"/>
      </w:tcPr>
    </w:tblStylePr>
    <w:tblStylePr w:type="lastRow">
      <w:pPr>
        <w:spacing w:before="0" w:after="0" w:line="240" w:lineRule="auto"/>
      </w:pPr>
      <w:rPr>
        <w:b/>
        <w:bCs/>
      </w:rPr>
      <w:tblPr/>
      <w:tcPr>
        <w:tcBorders>
          <w:top w:val="double" w:sz="6" w:space="0" w:color="A8A4A4" w:themeColor="accent4" w:themeTint="BF"/>
          <w:left w:val="single" w:sz="8" w:space="0" w:color="A8A4A4" w:themeColor="accent4" w:themeTint="BF"/>
          <w:bottom w:val="single" w:sz="8" w:space="0" w:color="A8A4A4" w:themeColor="accent4" w:themeTint="BF"/>
          <w:right w:val="single" w:sz="8" w:space="0" w:color="A8A4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1E1" w:themeFill="accent4" w:themeFillTint="3F"/>
      </w:tcPr>
    </w:tblStylePr>
    <w:tblStylePr w:type="band1Horz">
      <w:tblPr/>
      <w:tcPr>
        <w:tcBorders>
          <w:insideH w:val="nil"/>
          <w:insideV w:val="nil"/>
        </w:tcBorders>
        <w:shd w:val="clear" w:color="auto" w:fill="E2E1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C551E1"/>
    <w:pPr>
      <w:spacing w:after="0"/>
    </w:pPr>
    <w:tblPr>
      <w:tblStyleRowBandSize w:val="1"/>
      <w:tblStyleColBandSize w:val="1"/>
      <w:tblBorders>
        <w:top w:val="single" w:sz="8" w:space="0" w:color="625E5E" w:themeColor="accent5" w:themeTint="BF"/>
        <w:left w:val="single" w:sz="8" w:space="0" w:color="625E5E" w:themeColor="accent5" w:themeTint="BF"/>
        <w:bottom w:val="single" w:sz="8" w:space="0" w:color="625E5E" w:themeColor="accent5" w:themeTint="BF"/>
        <w:right w:val="single" w:sz="8" w:space="0" w:color="625E5E" w:themeColor="accent5" w:themeTint="BF"/>
        <w:insideH w:val="single" w:sz="8" w:space="0" w:color="625E5E" w:themeColor="accent5" w:themeTint="BF"/>
      </w:tblBorders>
    </w:tblPr>
    <w:tblStylePr w:type="firstRow">
      <w:pPr>
        <w:spacing w:before="0" w:after="0" w:line="240" w:lineRule="auto"/>
      </w:pPr>
      <w:rPr>
        <w:b/>
        <w:bCs/>
        <w:color w:val="FFFFFF" w:themeColor="background1"/>
      </w:rPr>
      <w:tblPr/>
      <w:tcPr>
        <w:tcBorders>
          <w:top w:val="single" w:sz="8" w:space="0" w:color="625E5E" w:themeColor="accent5" w:themeTint="BF"/>
          <w:left w:val="single" w:sz="8" w:space="0" w:color="625E5E" w:themeColor="accent5" w:themeTint="BF"/>
          <w:bottom w:val="single" w:sz="8" w:space="0" w:color="625E5E" w:themeColor="accent5" w:themeTint="BF"/>
          <w:right w:val="single" w:sz="8" w:space="0" w:color="625E5E" w:themeColor="accent5" w:themeTint="BF"/>
          <w:insideH w:val="nil"/>
          <w:insideV w:val="nil"/>
        </w:tcBorders>
        <w:shd w:val="clear" w:color="auto" w:fill="2C2A2A" w:themeFill="accent5"/>
      </w:tcPr>
    </w:tblStylePr>
    <w:tblStylePr w:type="lastRow">
      <w:pPr>
        <w:spacing w:before="0" w:after="0" w:line="240" w:lineRule="auto"/>
      </w:pPr>
      <w:rPr>
        <w:b/>
        <w:bCs/>
      </w:rPr>
      <w:tblPr/>
      <w:tcPr>
        <w:tcBorders>
          <w:top w:val="double" w:sz="6" w:space="0" w:color="625E5E" w:themeColor="accent5" w:themeTint="BF"/>
          <w:left w:val="single" w:sz="8" w:space="0" w:color="625E5E" w:themeColor="accent5" w:themeTint="BF"/>
          <w:bottom w:val="single" w:sz="8" w:space="0" w:color="625E5E" w:themeColor="accent5" w:themeTint="BF"/>
          <w:right w:val="single" w:sz="8" w:space="0" w:color="625E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C9C9" w:themeFill="accent5" w:themeFillTint="3F"/>
      </w:tcPr>
    </w:tblStylePr>
    <w:tblStylePr w:type="band1Horz">
      <w:tblPr/>
      <w:tcPr>
        <w:tcBorders>
          <w:insideH w:val="nil"/>
          <w:insideV w:val="nil"/>
        </w:tcBorders>
        <w:shd w:val="clear" w:color="auto" w:fill="CBC9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C551E1"/>
    <w:pPr>
      <w:spacing w:after="0"/>
    </w:pPr>
    <w:tblPr>
      <w:tblStyleRowBandSize w:val="1"/>
      <w:tblStyleColBandSize w:val="1"/>
      <w:tblBorders>
        <w:top w:val="single" w:sz="8" w:space="0" w:color="A21E34" w:themeColor="accent6" w:themeTint="BF"/>
        <w:left w:val="single" w:sz="8" w:space="0" w:color="A21E34" w:themeColor="accent6" w:themeTint="BF"/>
        <w:bottom w:val="single" w:sz="8" w:space="0" w:color="A21E34" w:themeColor="accent6" w:themeTint="BF"/>
        <w:right w:val="single" w:sz="8" w:space="0" w:color="A21E34" w:themeColor="accent6" w:themeTint="BF"/>
        <w:insideH w:val="single" w:sz="8" w:space="0" w:color="A21E34" w:themeColor="accent6" w:themeTint="BF"/>
      </w:tblBorders>
    </w:tblPr>
    <w:tblStylePr w:type="firstRow">
      <w:pPr>
        <w:spacing w:before="0" w:after="0" w:line="240" w:lineRule="auto"/>
      </w:pPr>
      <w:rPr>
        <w:b/>
        <w:bCs/>
        <w:color w:val="FFFFFF" w:themeColor="background1"/>
      </w:rPr>
      <w:tblPr/>
      <w:tcPr>
        <w:tcBorders>
          <w:top w:val="single" w:sz="8" w:space="0" w:color="A21E34" w:themeColor="accent6" w:themeTint="BF"/>
          <w:left w:val="single" w:sz="8" w:space="0" w:color="A21E34" w:themeColor="accent6" w:themeTint="BF"/>
          <w:bottom w:val="single" w:sz="8" w:space="0" w:color="A21E34" w:themeColor="accent6" w:themeTint="BF"/>
          <w:right w:val="single" w:sz="8" w:space="0" w:color="A21E34" w:themeColor="accent6" w:themeTint="BF"/>
          <w:insideH w:val="nil"/>
          <w:insideV w:val="nil"/>
        </w:tcBorders>
        <w:shd w:val="clear" w:color="auto" w:fill="4A0E18" w:themeFill="accent6"/>
      </w:tcPr>
    </w:tblStylePr>
    <w:tblStylePr w:type="lastRow">
      <w:pPr>
        <w:spacing w:before="0" w:after="0" w:line="240" w:lineRule="auto"/>
      </w:pPr>
      <w:rPr>
        <w:b/>
        <w:bCs/>
      </w:rPr>
      <w:tblPr/>
      <w:tcPr>
        <w:tcBorders>
          <w:top w:val="double" w:sz="6" w:space="0" w:color="A21E34" w:themeColor="accent6" w:themeTint="BF"/>
          <w:left w:val="single" w:sz="8" w:space="0" w:color="A21E34" w:themeColor="accent6" w:themeTint="BF"/>
          <w:bottom w:val="single" w:sz="8" w:space="0" w:color="A21E34" w:themeColor="accent6" w:themeTint="BF"/>
          <w:right w:val="single" w:sz="8" w:space="0" w:color="A21E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A7B2" w:themeFill="accent6" w:themeFillTint="3F"/>
      </w:tcPr>
    </w:tblStylePr>
    <w:tblStylePr w:type="band1Horz">
      <w:tblPr/>
      <w:tcPr>
        <w:tcBorders>
          <w:insideH w:val="nil"/>
          <w:insideV w:val="nil"/>
        </w:tcBorders>
        <w:shd w:val="clear" w:color="auto" w:fill="EEA7B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1B2F" w:themeFill="accent1"/>
      </w:tcPr>
    </w:tblStylePr>
    <w:tblStylePr w:type="lastCol">
      <w:rPr>
        <w:b/>
        <w:bCs/>
        <w:color w:val="FFFFFF" w:themeColor="background1"/>
      </w:rPr>
      <w:tblPr/>
      <w:tcPr>
        <w:tcBorders>
          <w:left w:val="nil"/>
          <w:right w:val="nil"/>
          <w:insideH w:val="nil"/>
          <w:insideV w:val="nil"/>
        </w:tcBorders>
        <w:shd w:val="clear" w:color="auto" w:fill="93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5F6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5F6D" w:themeFill="accent2"/>
      </w:tcPr>
    </w:tblStylePr>
    <w:tblStylePr w:type="lastCol">
      <w:rPr>
        <w:b/>
        <w:bCs/>
        <w:color w:val="FFFFFF" w:themeColor="background1"/>
      </w:rPr>
      <w:tblPr/>
      <w:tcPr>
        <w:tcBorders>
          <w:left w:val="nil"/>
          <w:right w:val="nil"/>
          <w:insideH w:val="nil"/>
          <w:insideV w:val="nil"/>
        </w:tcBorders>
        <w:shd w:val="clear" w:color="auto" w:fill="B35F6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E7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E7E7" w:themeFill="accent3"/>
      </w:tcPr>
    </w:tblStylePr>
    <w:tblStylePr w:type="lastCol">
      <w:rPr>
        <w:b/>
        <w:bCs/>
        <w:color w:val="FFFFFF" w:themeColor="background1"/>
      </w:rPr>
      <w:tblPr/>
      <w:tcPr>
        <w:tcBorders>
          <w:left w:val="nil"/>
          <w:right w:val="nil"/>
          <w:insideH w:val="nil"/>
          <w:insideV w:val="nil"/>
        </w:tcBorders>
        <w:shd w:val="clear" w:color="auto" w:fill="E8E7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868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8686" w:themeFill="accent4"/>
      </w:tcPr>
    </w:tblStylePr>
    <w:tblStylePr w:type="lastCol">
      <w:rPr>
        <w:b/>
        <w:bCs/>
        <w:color w:val="FFFFFF" w:themeColor="background1"/>
      </w:rPr>
      <w:tblPr/>
      <w:tcPr>
        <w:tcBorders>
          <w:left w:val="nil"/>
          <w:right w:val="nil"/>
          <w:insideH w:val="nil"/>
          <w:insideV w:val="nil"/>
        </w:tcBorders>
        <w:shd w:val="clear" w:color="auto" w:fill="8C868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2A2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2A2A" w:themeFill="accent5"/>
      </w:tcPr>
    </w:tblStylePr>
    <w:tblStylePr w:type="lastCol">
      <w:rPr>
        <w:b/>
        <w:bCs/>
        <w:color w:val="FFFFFF" w:themeColor="background1"/>
      </w:rPr>
      <w:tblPr/>
      <w:tcPr>
        <w:tcBorders>
          <w:left w:val="nil"/>
          <w:right w:val="nil"/>
          <w:insideH w:val="nil"/>
          <w:insideV w:val="nil"/>
        </w:tcBorders>
        <w:shd w:val="clear" w:color="auto" w:fill="2C2A2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0E1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0E18" w:themeFill="accent6"/>
      </w:tcPr>
    </w:tblStylePr>
    <w:tblStylePr w:type="lastCol">
      <w:rPr>
        <w:b/>
        <w:bCs/>
        <w:color w:val="FFFFFF" w:themeColor="background1"/>
      </w:rPr>
      <w:tblPr/>
      <w:tcPr>
        <w:tcBorders>
          <w:left w:val="nil"/>
          <w:right w:val="nil"/>
          <w:insideH w:val="nil"/>
          <w:insideV w:val="nil"/>
        </w:tcBorders>
        <w:shd w:val="clear" w:color="auto" w:fill="4A0E1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uiPriority w:val="41"/>
    <w:semiHidden/>
    <w:rsid w:val="00C551E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C551E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C551E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C551E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C551E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locked/>
    <w:rsid w:val="00C551E1"/>
    <w:pPr>
      <w:spacing w:after="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C551E1"/>
    <w:pPr>
      <w:spacing w:after="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C551E1"/>
    <w:pPr>
      <w:spacing w:after="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C551E1"/>
    <w:pPr>
      <w:spacing w:after="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C551E1"/>
    <w:pPr>
      <w:spacing w:after="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C551E1"/>
    <w:pPr>
      <w:spacing w:after="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C551E1"/>
    <w:pPr>
      <w:spacing w:after="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C551E1"/>
    <w:pPr>
      <w:spacing w:after="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C551E1"/>
    <w:pPr>
      <w:spacing w:after="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C551E1"/>
    <w:pPr>
      <w:spacing w:after="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C551E1"/>
    <w:pPr>
      <w:spacing w:after="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C551E1"/>
    <w:pPr>
      <w:spacing w:after="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C551E1"/>
    <w:pPr>
      <w:spacing w:after="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C551E1"/>
    <w:pPr>
      <w:spacing w:after="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C551E1"/>
    <w:pPr>
      <w:spacing w:after="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C551E1"/>
    <w:pPr>
      <w:spacing w:after="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C551E1"/>
    <w:pPr>
      <w:spacing w:after="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locked/>
    <w:rsid w:val="00C551E1"/>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C551E1"/>
    <w:pPr>
      <w:spacing w:after="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C551E1"/>
    <w:pPr>
      <w:spacing w:after="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C551E1"/>
    <w:pPr>
      <w:spacing w:after="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C551E1"/>
    <w:pPr>
      <w:spacing w:after="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C551E1"/>
    <w:pPr>
      <w:spacing w:after="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C551E1"/>
    <w:pPr>
      <w:spacing w:after="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C551E1"/>
    <w:pPr>
      <w:spacing w:after="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semiHidden/>
    <w:rsid w:val="00C551E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C551E1"/>
    <w:pPr>
      <w:spacing w:after="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C551E1"/>
    <w:pPr>
      <w:spacing w:after="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C551E1"/>
    <w:pPr>
      <w:spacing w:after="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C551E1"/>
    <w:pPr>
      <w:spacing w:after="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C551E1"/>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C551E1"/>
    <w:pPr>
      <w:spacing w:after="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C551E1"/>
    <w:pPr>
      <w:spacing w:after="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C551E1"/>
    <w:pPr>
      <w:spacing w:after="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locked/>
    <w:rsid w:val="00C551E1"/>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C551E1"/>
    <w:pPr>
      <w:spacing w:after="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C551E1"/>
    <w:pPr>
      <w:spacing w:after="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C551E1"/>
    <w:pPr>
      <w:spacing w:after="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C551E1"/>
    <w:pPr>
      <w:spacing w:after="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C551E1"/>
    <w:pPr>
      <w:spacing w:after="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C551E1"/>
    <w:pPr>
      <w:spacing w:after="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C551E1"/>
    <w:pPr>
      <w:spacing w:after="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C551E1"/>
    <w:pPr>
      <w:spacing w:after="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C551E1"/>
    <w:pPr>
      <w:spacing w:after="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10"/>
    <w:semiHidden/>
    <w:qFormat/>
    <w:locked/>
    <w:rsid w:val="005B5952"/>
    <w:pPr>
      <w:spacing w:before="240" w:after="60" w:line="240" w:lineRule="auto"/>
      <w:contextualSpacing/>
    </w:pPr>
    <w:rPr>
      <w:b/>
      <w:iCs/>
      <w:szCs w:val="18"/>
    </w:rPr>
  </w:style>
  <w:style w:type="paragraph" w:customStyle="1" w:styleId="Source">
    <w:name w:val="Source"/>
    <w:basedOn w:val="Normal"/>
    <w:uiPriority w:val="8"/>
    <w:semiHidden/>
    <w:qFormat/>
    <w:rsid w:val="008177F4"/>
    <w:pPr>
      <w:spacing w:before="60" w:line="200" w:lineRule="atLeast"/>
    </w:pPr>
    <w:rPr>
      <w:i/>
      <w:color w:val="595959" w:themeColor="text1" w:themeTint="A6"/>
    </w:rPr>
  </w:style>
  <w:style w:type="paragraph" w:customStyle="1" w:styleId="SignOffSender">
    <w:name w:val="Sign Off Sender"/>
    <w:basedOn w:val="SignOff"/>
    <w:uiPriority w:val="9"/>
    <w:semiHidden/>
    <w:qFormat/>
    <w:rsid w:val="009C2F02"/>
    <w:pPr>
      <w:spacing w:before="0" w:line="200" w:lineRule="atLeast"/>
    </w:pPr>
    <w:rPr>
      <w:rFonts w:asciiTheme="majorHAnsi" w:hAnsiTheme="majorHAnsi"/>
      <w:caps/>
    </w:rPr>
  </w:style>
  <w:style w:type="character" w:customStyle="1" w:styleId="boldtextCHR">
    <w:name w:val="bold text CHR"/>
    <w:basedOn w:val="DefaultParagraphFont"/>
    <w:uiPriority w:val="9"/>
    <w:semiHidden/>
    <w:qFormat/>
    <w:rsid w:val="00917E72"/>
    <w:rPr>
      <w:rFonts w:asciiTheme="majorHAnsi" w:hAnsiTheme="majorHAnsi"/>
      <w:b w:val="0"/>
    </w:rPr>
  </w:style>
  <w:style w:type="paragraph" w:customStyle="1" w:styleId="chrHyperlink">
    <w:name w:val="chr_Hyperlink"/>
    <w:basedOn w:val="Footer"/>
    <w:link w:val="chrHyperlinkChar"/>
    <w:uiPriority w:val="9"/>
    <w:semiHidden/>
    <w:qFormat/>
    <w:rsid w:val="008D5B4F"/>
  </w:style>
  <w:style w:type="character" w:customStyle="1" w:styleId="chrHyperlinkChar">
    <w:name w:val="chr_Hyperlink Char"/>
    <w:basedOn w:val="FooterChar"/>
    <w:link w:val="chrHyperlink"/>
    <w:uiPriority w:val="9"/>
    <w:semiHidden/>
    <w:rsid w:val="00FB1FDC"/>
    <w:rPr>
      <w:rFonts w:asciiTheme="majorHAnsi" w:hAnsiTheme="majorHAnsi"/>
      <w:color w:val="000000" w:themeColor="text1"/>
      <w:sz w:val="18"/>
    </w:rPr>
  </w:style>
  <w:style w:type="paragraph" w:customStyle="1" w:styleId="DocumentTitle">
    <w:name w:val="Document Title"/>
    <w:uiPriority w:val="3"/>
    <w:semiHidden/>
    <w:qFormat/>
    <w:rsid w:val="0078267A"/>
    <w:pPr>
      <w:spacing w:line="280" w:lineRule="atLeast"/>
      <w:ind w:right="1021"/>
      <w:jc w:val="center"/>
    </w:pPr>
    <w:rPr>
      <w:rFonts w:eastAsiaTheme="minorEastAsia" w:cs="Century Gothic"/>
      <w:caps/>
      <w:noProof/>
      <w:color w:val="931B2F" w:themeColor="accent1"/>
      <w:sz w:val="22"/>
      <w:lang w:eastAsia="en-AU"/>
    </w:rPr>
  </w:style>
  <w:style w:type="paragraph" w:customStyle="1" w:styleId="FooterHeading">
    <w:name w:val="Footer Heading"/>
    <w:basedOn w:val="Footer"/>
    <w:uiPriority w:val="9"/>
    <w:semiHidden/>
    <w:rsid w:val="0011199F"/>
    <w:pPr>
      <w:spacing w:after="57" w:line="200" w:lineRule="atLeast"/>
    </w:pPr>
  </w:style>
  <w:style w:type="paragraph" w:customStyle="1" w:styleId="AddressBlock">
    <w:name w:val="Address Block"/>
    <w:basedOn w:val="Normal"/>
    <w:uiPriority w:val="21"/>
    <w:semiHidden/>
    <w:rsid w:val="00A449FF"/>
    <w:pPr>
      <w:spacing w:line="230" w:lineRule="atLeast"/>
    </w:pPr>
    <w:rPr>
      <w:rFonts w:asciiTheme="majorHAnsi" w:hAnsiTheme="majorHAnsi"/>
      <w:sz w:val="18"/>
    </w:rPr>
  </w:style>
  <w:style w:type="paragraph" w:customStyle="1" w:styleId="HeaderTitle">
    <w:name w:val="Header Title"/>
    <w:basedOn w:val="Header"/>
    <w:uiPriority w:val="3"/>
    <w:semiHidden/>
    <w:rsid w:val="00934B90"/>
    <w:pPr>
      <w:jc w:val="right"/>
    </w:pPr>
    <w:rPr>
      <w:rFonts w:asciiTheme="majorHAnsi" w:hAnsiTheme="majorHAnsi"/>
      <w:b/>
      <w:sz w:val="32"/>
    </w:rPr>
  </w:style>
  <w:style w:type="character" w:styleId="UnresolvedMention">
    <w:name w:val="Unresolved Mention"/>
    <w:basedOn w:val="DefaultParagraphFont"/>
    <w:uiPriority w:val="99"/>
    <w:semiHidden/>
    <w:unhideWhenUsed/>
    <w:rsid w:val="00B02CF5"/>
    <w:rPr>
      <w:color w:val="808080"/>
      <w:shd w:val="clear" w:color="auto" w:fill="E6E6E6"/>
    </w:rPr>
  </w:style>
  <w:style w:type="table" w:styleId="GridTable1LightAccent2">
    <w:name w:val="Grid Table 1 Light Accent 2"/>
    <w:basedOn w:val="TableNormal"/>
    <w:uiPriority w:val="46"/>
    <w:semiHidden/>
    <w:rsid w:val="00A449FF"/>
    <w:pPr>
      <w:spacing w:after="0"/>
    </w:pPr>
    <w:tblPr>
      <w:tblStyleRowBandSize w:val="1"/>
      <w:tblStyleColBandSize w:val="1"/>
      <w:tblBorders>
        <w:top w:val="single" w:sz="4" w:space="0" w:color="E0BEC4" w:themeColor="accent2" w:themeTint="66"/>
        <w:left w:val="single" w:sz="4" w:space="0" w:color="E0BEC4" w:themeColor="accent2" w:themeTint="66"/>
        <w:bottom w:val="single" w:sz="4" w:space="0" w:color="E0BEC4" w:themeColor="accent2" w:themeTint="66"/>
        <w:right w:val="single" w:sz="4" w:space="0" w:color="E0BEC4" w:themeColor="accent2" w:themeTint="66"/>
        <w:insideH w:val="single" w:sz="4" w:space="0" w:color="E0BEC4" w:themeColor="accent2" w:themeTint="66"/>
        <w:insideV w:val="single" w:sz="4" w:space="0" w:color="E0BEC4" w:themeColor="accent2" w:themeTint="66"/>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2" w:space="0" w:color="D19EA7" w:themeColor="accent2" w:themeTint="99"/>
        </w:tcBorders>
      </w:tcPr>
    </w:tblStylePr>
    <w:tblStylePr w:type="firstCol">
      <w:rPr>
        <w:b/>
        <w:bCs/>
      </w:rPr>
    </w:tblStylePr>
    <w:tblStylePr w:type="lastCol">
      <w:rPr>
        <w:b/>
        <w:bCs/>
      </w:rPr>
    </w:tblStylePr>
  </w:style>
  <w:style w:type="paragraph" w:customStyle="1" w:styleId="FooterDetails">
    <w:name w:val="Footer Details"/>
    <w:basedOn w:val="Footer"/>
    <w:link w:val="FooterDetailsChar"/>
    <w:uiPriority w:val="29"/>
    <w:semiHidden/>
    <w:rsid w:val="00436135"/>
    <w:pPr>
      <w:spacing w:before="60"/>
    </w:pPr>
    <w:rPr>
      <w:b/>
      <w:sz w:val="15"/>
    </w:rPr>
  </w:style>
  <w:style w:type="table" w:customStyle="1" w:styleId="ColouredTable">
    <w:name w:val="Coloured Table"/>
    <w:basedOn w:val="TableNormal"/>
    <w:uiPriority w:val="99"/>
    <w:rsid w:val="00C82CBF"/>
    <w:pPr>
      <w:spacing w:after="0"/>
    </w:pPr>
    <w:rPr>
      <w:color w:val="000000" w:themeColor="text1"/>
    </w:rPr>
    <w:tblPr>
      <w:tblStyleRowBandSize w:val="1"/>
      <w:tblBorders>
        <w:top w:val="single" w:sz="4" w:space="0" w:color="931B2F" w:themeColor="background2"/>
        <w:left w:val="single" w:sz="4" w:space="0" w:color="931B2F" w:themeColor="background2"/>
        <w:bottom w:val="single" w:sz="4" w:space="0" w:color="931B2F" w:themeColor="background2"/>
        <w:right w:val="single" w:sz="4" w:space="0" w:color="931B2F" w:themeColor="background2"/>
        <w:insideH w:val="single" w:sz="4" w:space="0" w:color="931B2F" w:themeColor="background2"/>
        <w:insideV w:val="single" w:sz="4" w:space="0" w:color="931B2F" w:themeColor="background2"/>
      </w:tblBorders>
      <w:tblCellMar>
        <w:top w:w="85" w:type="dxa"/>
        <w:left w:w="85" w:type="dxa"/>
        <w:bottom w:w="85" w:type="dxa"/>
        <w:right w:w="85" w:type="dxa"/>
      </w:tblCellMar>
    </w:tblPr>
    <w:tblStylePr w:type="firstRow">
      <w:pPr>
        <w:wordWrap/>
        <w:spacing w:beforeLines="0" w:before="0" w:beforeAutospacing="0" w:afterLines="0" w:after="0" w:afterAutospacing="0" w:line="240" w:lineRule="auto"/>
      </w:pPr>
      <w:rPr>
        <w:color w:val="FFFFFF" w:themeColor="background1"/>
      </w:rPr>
      <w:tblPr/>
      <w:tcPr>
        <w:tcBorders>
          <w:top w:val="nil"/>
          <w:left w:val="nil"/>
          <w:bottom w:val="nil"/>
          <w:right w:val="nil"/>
          <w:insideH w:val="nil"/>
          <w:insideV w:val="nil"/>
          <w:tl2br w:val="nil"/>
          <w:tr2bl w:val="nil"/>
        </w:tcBorders>
        <w:shd w:val="clear" w:color="auto" w:fill="931B2F" w:themeFill="background2"/>
      </w:tcPr>
    </w:tblStylePr>
    <w:tblStylePr w:type="firstCol">
      <w:rPr>
        <w:color w:val="FFFFFF" w:themeColor="background1"/>
      </w:rPr>
      <w:tblPr/>
      <w:tcPr>
        <w:shd w:val="clear" w:color="auto" w:fill="931B2F" w:themeFill="background2"/>
      </w:tcPr>
    </w:tblStylePr>
    <w:tblStylePr w:type="band2Horz">
      <w:rPr>
        <w:color w:val="auto"/>
      </w:rPr>
      <w:tblPr/>
      <w:tcPr>
        <w:shd w:val="clear" w:color="auto" w:fill="F2F2F2" w:themeFill="background1" w:themeFillShade="F2"/>
      </w:tcPr>
    </w:tblStylePr>
  </w:style>
  <w:style w:type="numbering" w:customStyle="1" w:styleId="HeadingsNumbered0">
    <w:name w:val="_Headings Numbered"/>
    <w:uiPriority w:val="99"/>
    <w:rsid w:val="008014DD"/>
    <w:pPr>
      <w:numPr>
        <w:numId w:val="12"/>
      </w:numPr>
    </w:pPr>
  </w:style>
  <w:style w:type="paragraph" w:customStyle="1" w:styleId="blue">
    <w:name w:val="blue"/>
    <w:basedOn w:val="FooterDetails"/>
    <w:link w:val="blueChar"/>
    <w:uiPriority w:val="3"/>
    <w:semiHidden/>
    <w:rsid w:val="00436135"/>
    <w:rPr>
      <w:b w:val="0"/>
      <w:color w:val="931B2F" w:themeColor="background2"/>
    </w:rPr>
  </w:style>
  <w:style w:type="paragraph" w:customStyle="1" w:styleId="Heading1Normal">
    <w:name w:val="Heading 1 Normal"/>
    <w:basedOn w:val="Heading1"/>
    <w:uiPriority w:val="2"/>
    <w:qFormat/>
    <w:rsid w:val="008014DD"/>
    <w:pPr>
      <w:numPr>
        <w:numId w:val="0"/>
      </w:numPr>
    </w:pPr>
  </w:style>
  <w:style w:type="character" w:customStyle="1" w:styleId="FooterDetailsChar">
    <w:name w:val="Footer Details Char"/>
    <w:basedOn w:val="FooterChar"/>
    <w:link w:val="FooterDetails"/>
    <w:uiPriority w:val="29"/>
    <w:semiHidden/>
    <w:rsid w:val="00094390"/>
    <w:rPr>
      <w:rFonts w:asciiTheme="majorHAnsi" w:hAnsiTheme="majorHAnsi"/>
      <w:b/>
      <w:color w:val="000000" w:themeColor="text1"/>
      <w:sz w:val="15"/>
    </w:rPr>
  </w:style>
  <w:style w:type="character" w:customStyle="1" w:styleId="blueChar">
    <w:name w:val="blue Char"/>
    <w:basedOn w:val="FooterDetailsChar"/>
    <w:link w:val="blue"/>
    <w:uiPriority w:val="3"/>
    <w:semiHidden/>
    <w:rsid w:val="00E24151"/>
    <w:rPr>
      <w:rFonts w:asciiTheme="majorHAnsi" w:hAnsiTheme="majorHAnsi"/>
      <w:b w:val="0"/>
      <w:color w:val="931B2F" w:themeColor="background2"/>
      <w:sz w:val="15"/>
    </w:rPr>
  </w:style>
  <w:style w:type="paragraph" w:customStyle="1" w:styleId="Heading2Normal">
    <w:name w:val="Heading 2 Normal"/>
    <w:basedOn w:val="Heading2"/>
    <w:uiPriority w:val="2"/>
    <w:qFormat/>
    <w:rsid w:val="008014DD"/>
    <w:pPr>
      <w:numPr>
        <w:ilvl w:val="0"/>
        <w:numId w:val="0"/>
      </w:numPr>
    </w:pPr>
  </w:style>
  <w:style w:type="paragraph" w:customStyle="1" w:styleId="Heading3Normal">
    <w:name w:val="Heading 3 Normal"/>
    <w:basedOn w:val="Heading3"/>
    <w:uiPriority w:val="2"/>
    <w:qFormat/>
    <w:rsid w:val="00E43BA6"/>
    <w:pPr>
      <w:numPr>
        <w:ilvl w:val="0"/>
        <w:numId w:val="0"/>
      </w:numPr>
      <w:spacing w:before="240"/>
    </w:pPr>
  </w:style>
  <w:style w:type="paragraph" w:styleId="TOC3">
    <w:name w:val="toc 3"/>
    <w:basedOn w:val="Normal"/>
    <w:next w:val="Normal"/>
    <w:autoRedefine/>
    <w:uiPriority w:val="39"/>
    <w:locked/>
    <w:rsid w:val="006409A3"/>
    <w:pPr>
      <w:tabs>
        <w:tab w:val="right" w:pos="9638"/>
      </w:tabs>
      <w:spacing w:after="100"/>
    </w:pPr>
    <w:rPr>
      <w:i/>
      <w:sz w:val="16"/>
    </w:rPr>
  </w:style>
  <w:style w:type="paragraph" w:customStyle="1" w:styleId="SourceNotes">
    <w:name w:val="Source Notes"/>
    <w:basedOn w:val="Normal"/>
    <w:uiPriority w:val="8"/>
    <w:qFormat/>
    <w:rsid w:val="0027179E"/>
    <w:rPr>
      <w:sz w:val="16"/>
    </w:rPr>
  </w:style>
  <w:style w:type="table" w:styleId="GridTable1Light">
    <w:name w:val="Grid Table 1 Light"/>
    <w:basedOn w:val="TableNormal"/>
    <w:uiPriority w:val="46"/>
    <w:semiHidden/>
    <w:rsid w:val="00776AC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776AC3"/>
    <w:pPr>
      <w:spacing w:after="0"/>
    </w:pPr>
    <w:tblPr>
      <w:tblStyleRowBandSize w:val="1"/>
      <w:tblStyleColBandSize w:val="1"/>
      <w:tblBorders>
        <w:top w:val="single" w:sz="4" w:space="0" w:color="EA8D9C" w:themeColor="accent1" w:themeTint="66"/>
        <w:left w:val="single" w:sz="4" w:space="0" w:color="EA8D9C" w:themeColor="accent1" w:themeTint="66"/>
        <w:bottom w:val="single" w:sz="4" w:space="0" w:color="EA8D9C" w:themeColor="accent1" w:themeTint="66"/>
        <w:right w:val="single" w:sz="4" w:space="0" w:color="EA8D9C" w:themeColor="accent1" w:themeTint="66"/>
        <w:insideH w:val="single" w:sz="4" w:space="0" w:color="EA8D9C" w:themeColor="accent1" w:themeTint="66"/>
        <w:insideV w:val="single" w:sz="4" w:space="0" w:color="EA8D9C" w:themeColor="accent1" w:themeTint="66"/>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2" w:space="0" w:color="DF546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76AC3"/>
    <w:pPr>
      <w:spacing w:after="0"/>
    </w:pPr>
    <w:tblPr>
      <w:tblStyleRowBandSize w:val="1"/>
      <w:tblStyleColBandSize w:val="1"/>
      <w:tblBorders>
        <w:top w:val="single" w:sz="4" w:space="0" w:color="F5F5F5" w:themeColor="accent3" w:themeTint="66"/>
        <w:left w:val="single" w:sz="4" w:space="0" w:color="F5F5F5" w:themeColor="accent3" w:themeTint="66"/>
        <w:bottom w:val="single" w:sz="4" w:space="0" w:color="F5F5F5" w:themeColor="accent3" w:themeTint="66"/>
        <w:right w:val="single" w:sz="4" w:space="0" w:color="F5F5F5" w:themeColor="accent3" w:themeTint="66"/>
        <w:insideH w:val="single" w:sz="4" w:space="0" w:color="F5F5F5" w:themeColor="accent3" w:themeTint="66"/>
        <w:insideV w:val="single" w:sz="4" w:space="0" w:color="F5F5F5" w:themeColor="accent3" w:themeTint="66"/>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2" w:space="0" w:color="F1F0F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76AC3"/>
    <w:pPr>
      <w:spacing w:after="0"/>
    </w:pPr>
    <w:tblPr>
      <w:tblStyleRowBandSize w:val="1"/>
      <w:tblStyleColBandSize w:val="1"/>
      <w:tblBorders>
        <w:top w:val="single" w:sz="4" w:space="0" w:color="D1CECE" w:themeColor="accent4" w:themeTint="66"/>
        <w:left w:val="single" w:sz="4" w:space="0" w:color="D1CECE" w:themeColor="accent4" w:themeTint="66"/>
        <w:bottom w:val="single" w:sz="4" w:space="0" w:color="D1CECE" w:themeColor="accent4" w:themeTint="66"/>
        <w:right w:val="single" w:sz="4" w:space="0" w:color="D1CECE" w:themeColor="accent4" w:themeTint="66"/>
        <w:insideH w:val="single" w:sz="4" w:space="0" w:color="D1CECE" w:themeColor="accent4" w:themeTint="66"/>
        <w:insideV w:val="single" w:sz="4" w:space="0" w:color="D1CECE" w:themeColor="accent4" w:themeTint="66"/>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2" w:space="0" w:color="BAB6B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776AC3"/>
    <w:pPr>
      <w:spacing w:after="0"/>
    </w:pPr>
    <w:tblPr>
      <w:tblStyleRowBandSize w:val="1"/>
      <w:tblStyleColBandSize w:val="1"/>
      <w:tblBorders>
        <w:top w:val="single" w:sz="4" w:space="0" w:color="ACA8A8" w:themeColor="accent5" w:themeTint="66"/>
        <w:left w:val="single" w:sz="4" w:space="0" w:color="ACA8A8" w:themeColor="accent5" w:themeTint="66"/>
        <w:bottom w:val="single" w:sz="4" w:space="0" w:color="ACA8A8" w:themeColor="accent5" w:themeTint="66"/>
        <w:right w:val="single" w:sz="4" w:space="0" w:color="ACA8A8" w:themeColor="accent5" w:themeTint="66"/>
        <w:insideH w:val="single" w:sz="4" w:space="0" w:color="ACA8A8" w:themeColor="accent5" w:themeTint="66"/>
        <w:insideV w:val="single" w:sz="4" w:space="0" w:color="ACA8A8" w:themeColor="accent5" w:themeTint="66"/>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2" w:space="0" w:color="827C7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76AC3"/>
    <w:pPr>
      <w:spacing w:after="0"/>
    </w:pPr>
    <w:tblPr>
      <w:tblStyleRowBandSize w:val="1"/>
      <w:tblStyleColBandSize w:val="1"/>
      <w:tblBorders>
        <w:top w:val="single" w:sz="4" w:space="0" w:color="E47083" w:themeColor="accent6" w:themeTint="66"/>
        <w:left w:val="single" w:sz="4" w:space="0" w:color="E47083" w:themeColor="accent6" w:themeTint="66"/>
        <w:bottom w:val="single" w:sz="4" w:space="0" w:color="E47083" w:themeColor="accent6" w:themeTint="66"/>
        <w:right w:val="single" w:sz="4" w:space="0" w:color="E47083" w:themeColor="accent6" w:themeTint="66"/>
        <w:insideH w:val="single" w:sz="4" w:space="0" w:color="E47083" w:themeColor="accent6" w:themeTint="66"/>
        <w:insideV w:val="single" w:sz="4" w:space="0" w:color="E47083" w:themeColor="accent6" w:themeTint="66"/>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2" w:space="0" w:color="D6294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776AC3"/>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776AC3"/>
    <w:pPr>
      <w:spacing w:after="0"/>
    </w:pPr>
    <w:tblPr>
      <w:tblStyleRowBandSize w:val="1"/>
      <w:tblStyleColBandSize w:val="1"/>
      <w:tblBorders>
        <w:top w:val="single" w:sz="2" w:space="0" w:color="DF546B" w:themeColor="accent1" w:themeTint="99"/>
        <w:bottom w:val="single" w:sz="2" w:space="0" w:color="DF546B" w:themeColor="accent1" w:themeTint="99"/>
        <w:insideH w:val="single" w:sz="2" w:space="0" w:color="DF546B" w:themeColor="accent1" w:themeTint="99"/>
        <w:insideV w:val="single" w:sz="2" w:space="0" w:color="DF546B" w:themeColor="accent1" w:themeTint="99"/>
      </w:tblBorders>
    </w:tblPr>
    <w:tblStylePr w:type="firstRow">
      <w:rPr>
        <w:b/>
        <w:bCs/>
      </w:rPr>
      <w:tblPr/>
      <w:tcPr>
        <w:tcBorders>
          <w:top w:val="nil"/>
          <w:bottom w:val="single" w:sz="12" w:space="0" w:color="DF546B" w:themeColor="accent1" w:themeTint="99"/>
          <w:insideH w:val="nil"/>
          <w:insideV w:val="nil"/>
        </w:tcBorders>
        <w:shd w:val="clear" w:color="auto" w:fill="FFFFFF" w:themeFill="background1"/>
      </w:tcPr>
    </w:tblStylePr>
    <w:tblStylePr w:type="lastRow">
      <w:rPr>
        <w:b/>
        <w:bCs/>
      </w:rPr>
      <w:tblPr/>
      <w:tcPr>
        <w:tcBorders>
          <w:top w:val="double" w:sz="2" w:space="0" w:color="DF5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GridTable2-Accent2">
    <w:name w:val="Grid Table 2 Accent 2"/>
    <w:basedOn w:val="TableNormal"/>
    <w:uiPriority w:val="47"/>
    <w:semiHidden/>
    <w:rsid w:val="00776AC3"/>
    <w:pPr>
      <w:spacing w:after="0"/>
    </w:pPr>
    <w:tblPr>
      <w:tblStyleRowBandSize w:val="1"/>
      <w:tblStyleColBandSize w:val="1"/>
      <w:tblBorders>
        <w:top w:val="single" w:sz="2" w:space="0" w:color="D19EA7" w:themeColor="accent2" w:themeTint="99"/>
        <w:bottom w:val="single" w:sz="2" w:space="0" w:color="D19EA7" w:themeColor="accent2" w:themeTint="99"/>
        <w:insideH w:val="single" w:sz="2" w:space="0" w:color="D19EA7" w:themeColor="accent2" w:themeTint="99"/>
        <w:insideV w:val="single" w:sz="2" w:space="0" w:color="D19EA7" w:themeColor="accent2" w:themeTint="99"/>
      </w:tblBorders>
    </w:tblPr>
    <w:tblStylePr w:type="firstRow">
      <w:rPr>
        <w:b/>
        <w:bCs/>
      </w:rPr>
      <w:tblPr/>
      <w:tcPr>
        <w:tcBorders>
          <w:top w:val="nil"/>
          <w:bottom w:val="single" w:sz="12" w:space="0" w:color="D19EA7" w:themeColor="accent2" w:themeTint="99"/>
          <w:insideH w:val="nil"/>
          <w:insideV w:val="nil"/>
        </w:tcBorders>
        <w:shd w:val="clear" w:color="auto" w:fill="FFFFFF" w:themeFill="background1"/>
      </w:tcPr>
    </w:tblStylePr>
    <w:tblStylePr w:type="lastRow">
      <w:rPr>
        <w:b/>
        <w:bCs/>
      </w:rPr>
      <w:tblPr/>
      <w:tcPr>
        <w:tcBorders>
          <w:top w:val="double" w:sz="2" w:space="0" w:color="D19E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GridTable2-Accent3">
    <w:name w:val="Grid Table 2 Accent 3"/>
    <w:basedOn w:val="TableNormal"/>
    <w:uiPriority w:val="47"/>
    <w:semiHidden/>
    <w:rsid w:val="00776AC3"/>
    <w:pPr>
      <w:spacing w:after="0"/>
    </w:pPr>
    <w:tblPr>
      <w:tblStyleRowBandSize w:val="1"/>
      <w:tblStyleColBandSize w:val="1"/>
      <w:tblBorders>
        <w:top w:val="single" w:sz="2" w:space="0" w:color="F1F0F0" w:themeColor="accent3" w:themeTint="99"/>
        <w:bottom w:val="single" w:sz="2" w:space="0" w:color="F1F0F0" w:themeColor="accent3" w:themeTint="99"/>
        <w:insideH w:val="single" w:sz="2" w:space="0" w:color="F1F0F0" w:themeColor="accent3" w:themeTint="99"/>
        <w:insideV w:val="single" w:sz="2" w:space="0" w:color="F1F0F0" w:themeColor="accent3" w:themeTint="99"/>
      </w:tblBorders>
    </w:tblPr>
    <w:tblStylePr w:type="firstRow">
      <w:rPr>
        <w:b/>
        <w:bCs/>
      </w:rPr>
      <w:tblPr/>
      <w:tcPr>
        <w:tcBorders>
          <w:top w:val="nil"/>
          <w:bottom w:val="single" w:sz="12" w:space="0" w:color="F1F0F0" w:themeColor="accent3" w:themeTint="99"/>
          <w:insideH w:val="nil"/>
          <w:insideV w:val="nil"/>
        </w:tcBorders>
        <w:shd w:val="clear" w:color="auto" w:fill="FFFFFF" w:themeFill="background1"/>
      </w:tcPr>
    </w:tblStylePr>
    <w:tblStylePr w:type="lastRow">
      <w:rPr>
        <w:b/>
        <w:bCs/>
      </w:rPr>
      <w:tblPr/>
      <w:tcPr>
        <w:tcBorders>
          <w:top w:val="double" w:sz="2" w:space="0" w:color="F1F0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GridTable2-Accent4">
    <w:name w:val="Grid Table 2 Accent 4"/>
    <w:basedOn w:val="TableNormal"/>
    <w:uiPriority w:val="47"/>
    <w:semiHidden/>
    <w:rsid w:val="00776AC3"/>
    <w:pPr>
      <w:spacing w:after="0"/>
    </w:pPr>
    <w:tblPr>
      <w:tblStyleRowBandSize w:val="1"/>
      <w:tblStyleColBandSize w:val="1"/>
      <w:tblBorders>
        <w:top w:val="single" w:sz="2" w:space="0" w:color="BAB6B6" w:themeColor="accent4" w:themeTint="99"/>
        <w:bottom w:val="single" w:sz="2" w:space="0" w:color="BAB6B6" w:themeColor="accent4" w:themeTint="99"/>
        <w:insideH w:val="single" w:sz="2" w:space="0" w:color="BAB6B6" w:themeColor="accent4" w:themeTint="99"/>
        <w:insideV w:val="single" w:sz="2" w:space="0" w:color="BAB6B6" w:themeColor="accent4" w:themeTint="99"/>
      </w:tblBorders>
    </w:tblPr>
    <w:tblStylePr w:type="firstRow">
      <w:rPr>
        <w:b/>
        <w:bCs/>
      </w:rPr>
      <w:tblPr/>
      <w:tcPr>
        <w:tcBorders>
          <w:top w:val="nil"/>
          <w:bottom w:val="single" w:sz="12" w:space="0" w:color="BAB6B6" w:themeColor="accent4" w:themeTint="99"/>
          <w:insideH w:val="nil"/>
          <w:insideV w:val="nil"/>
        </w:tcBorders>
        <w:shd w:val="clear" w:color="auto" w:fill="FFFFFF" w:themeFill="background1"/>
      </w:tcPr>
    </w:tblStylePr>
    <w:tblStylePr w:type="lastRow">
      <w:rPr>
        <w:b/>
        <w:bCs/>
      </w:rPr>
      <w:tblPr/>
      <w:tcPr>
        <w:tcBorders>
          <w:top w:val="double" w:sz="2" w:space="0" w:color="BAB6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GridTable2-Accent5">
    <w:name w:val="Grid Table 2 Accent 5"/>
    <w:basedOn w:val="TableNormal"/>
    <w:uiPriority w:val="47"/>
    <w:semiHidden/>
    <w:rsid w:val="00776AC3"/>
    <w:pPr>
      <w:spacing w:after="0"/>
    </w:pPr>
    <w:tblPr>
      <w:tblStyleRowBandSize w:val="1"/>
      <w:tblStyleColBandSize w:val="1"/>
      <w:tblBorders>
        <w:top w:val="single" w:sz="2" w:space="0" w:color="827C7C" w:themeColor="accent5" w:themeTint="99"/>
        <w:bottom w:val="single" w:sz="2" w:space="0" w:color="827C7C" w:themeColor="accent5" w:themeTint="99"/>
        <w:insideH w:val="single" w:sz="2" w:space="0" w:color="827C7C" w:themeColor="accent5" w:themeTint="99"/>
        <w:insideV w:val="single" w:sz="2" w:space="0" w:color="827C7C" w:themeColor="accent5" w:themeTint="99"/>
      </w:tblBorders>
    </w:tblPr>
    <w:tblStylePr w:type="firstRow">
      <w:rPr>
        <w:b/>
        <w:bCs/>
      </w:rPr>
      <w:tblPr/>
      <w:tcPr>
        <w:tcBorders>
          <w:top w:val="nil"/>
          <w:bottom w:val="single" w:sz="12" w:space="0" w:color="827C7C" w:themeColor="accent5" w:themeTint="99"/>
          <w:insideH w:val="nil"/>
          <w:insideV w:val="nil"/>
        </w:tcBorders>
        <w:shd w:val="clear" w:color="auto" w:fill="FFFFFF" w:themeFill="background1"/>
      </w:tcPr>
    </w:tblStylePr>
    <w:tblStylePr w:type="lastRow">
      <w:rPr>
        <w:b/>
        <w:bCs/>
      </w:rPr>
      <w:tblPr/>
      <w:tcPr>
        <w:tcBorders>
          <w:top w:val="double" w:sz="2" w:space="0" w:color="827C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GridTable2-Accent6">
    <w:name w:val="Grid Table 2 Accent 6"/>
    <w:basedOn w:val="TableNormal"/>
    <w:uiPriority w:val="47"/>
    <w:semiHidden/>
    <w:rsid w:val="00776AC3"/>
    <w:pPr>
      <w:spacing w:after="0"/>
    </w:pPr>
    <w:tblPr>
      <w:tblStyleRowBandSize w:val="1"/>
      <w:tblStyleColBandSize w:val="1"/>
      <w:tblBorders>
        <w:top w:val="single" w:sz="2" w:space="0" w:color="D62946" w:themeColor="accent6" w:themeTint="99"/>
        <w:bottom w:val="single" w:sz="2" w:space="0" w:color="D62946" w:themeColor="accent6" w:themeTint="99"/>
        <w:insideH w:val="single" w:sz="2" w:space="0" w:color="D62946" w:themeColor="accent6" w:themeTint="99"/>
        <w:insideV w:val="single" w:sz="2" w:space="0" w:color="D62946" w:themeColor="accent6" w:themeTint="99"/>
      </w:tblBorders>
    </w:tblPr>
    <w:tblStylePr w:type="firstRow">
      <w:rPr>
        <w:b/>
        <w:bCs/>
      </w:rPr>
      <w:tblPr/>
      <w:tcPr>
        <w:tcBorders>
          <w:top w:val="nil"/>
          <w:bottom w:val="single" w:sz="12" w:space="0" w:color="D62946" w:themeColor="accent6" w:themeTint="99"/>
          <w:insideH w:val="nil"/>
          <w:insideV w:val="nil"/>
        </w:tcBorders>
        <w:shd w:val="clear" w:color="auto" w:fill="FFFFFF" w:themeFill="background1"/>
      </w:tcPr>
    </w:tblStylePr>
    <w:tblStylePr w:type="lastRow">
      <w:rPr>
        <w:b/>
        <w:bCs/>
      </w:rPr>
      <w:tblPr/>
      <w:tcPr>
        <w:tcBorders>
          <w:top w:val="double" w:sz="2" w:space="0" w:color="D6294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GridTable3">
    <w:name w:val="Grid Table 3"/>
    <w:basedOn w:val="TableNormal"/>
    <w:uiPriority w:val="48"/>
    <w:semiHidden/>
    <w:rsid w:val="00776AC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776AC3"/>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styleId="GridTable3-Accent2">
    <w:name w:val="Grid Table 3 Accent 2"/>
    <w:basedOn w:val="TableNormal"/>
    <w:uiPriority w:val="48"/>
    <w:semiHidden/>
    <w:rsid w:val="00776AC3"/>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styleId="GridTable3-Accent3">
    <w:name w:val="Grid Table 3 Accent 3"/>
    <w:basedOn w:val="TableNormal"/>
    <w:uiPriority w:val="48"/>
    <w:semiHidden/>
    <w:rsid w:val="00776AC3"/>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styleId="GridTable3-Accent4">
    <w:name w:val="Grid Table 3 Accent 4"/>
    <w:basedOn w:val="TableNormal"/>
    <w:uiPriority w:val="48"/>
    <w:semiHidden/>
    <w:rsid w:val="00776AC3"/>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styleId="GridTable3-Accent5">
    <w:name w:val="Grid Table 3 Accent 5"/>
    <w:basedOn w:val="TableNormal"/>
    <w:uiPriority w:val="48"/>
    <w:semiHidden/>
    <w:rsid w:val="00776AC3"/>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styleId="GridTable3-Accent6">
    <w:name w:val="Grid Table 3 Accent 6"/>
    <w:basedOn w:val="TableNormal"/>
    <w:uiPriority w:val="48"/>
    <w:semiHidden/>
    <w:rsid w:val="00776AC3"/>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styleId="GridTable4">
    <w:name w:val="Grid Table 4"/>
    <w:basedOn w:val="TableNormal"/>
    <w:uiPriority w:val="49"/>
    <w:semiHidden/>
    <w:rsid w:val="00776AC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776AC3"/>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insideV w:val="nil"/>
        </w:tcBorders>
        <w:shd w:val="clear" w:color="auto" w:fill="931B2F" w:themeFill="accent1"/>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GridTable4-Accent2">
    <w:name w:val="Grid Table 4 Accent 2"/>
    <w:basedOn w:val="TableNormal"/>
    <w:uiPriority w:val="49"/>
    <w:semiHidden/>
    <w:rsid w:val="00776AC3"/>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insideV w:val="nil"/>
        </w:tcBorders>
        <w:shd w:val="clear" w:color="auto" w:fill="B35F6D" w:themeFill="accent2"/>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GridTable4-Accent3">
    <w:name w:val="Grid Table 4 Accent 3"/>
    <w:basedOn w:val="TableNormal"/>
    <w:uiPriority w:val="49"/>
    <w:semiHidden/>
    <w:rsid w:val="00776AC3"/>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insideV w:val="nil"/>
        </w:tcBorders>
        <w:shd w:val="clear" w:color="auto" w:fill="E8E7E7" w:themeFill="accent3"/>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GridTable4-Accent4">
    <w:name w:val="Grid Table 4 Accent 4"/>
    <w:basedOn w:val="TableNormal"/>
    <w:uiPriority w:val="49"/>
    <w:semiHidden/>
    <w:rsid w:val="00776AC3"/>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insideV w:val="nil"/>
        </w:tcBorders>
        <w:shd w:val="clear" w:color="auto" w:fill="8C8686" w:themeFill="accent4"/>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GridTable4-Accent5">
    <w:name w:val="Grid Table 4 Accent 5"/>
    <w:basedOn w:val="TableNormal"/>
    <w:uiPriority w:val="49"/>
    <w:semiHidden/>
    <w:rsid w:val="00776AC3"/>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insideV w:val="nil"/>
        </w:tcBorders>
        <w:shd w:val="clear" w:color="auto" w:fill="2C2A2A" w:themeFill="accent5"/>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GridTable4-Accent6">
    <w:name w:val="Grid Table 4 Accent 6"/>
    <w:basedOn w:val="TableNormal"/>
    <w:uiPriority w:val="49"/>
    <w:semiHidden/>
    <w:rsid w:val="00776AC3"/>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insideV w:val="nil"/>
        </w:tcBorders>
        <w:shd w:val="clear" w:color="auto" w:fill="4A0E18" w:themeFill="accent6"/>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GridTable5Dark">
    <w:name w:val="Grid Table 5 Dark"/>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1B2F" w:themeFill="accent1"/>
      </w:tcPr>
    </w:tblStylePr>
    <w:tblStylePr w:type="band1Vert">
      <w:tblPr/>
      <w:tcPr>
        <w:shd w:val="clear" w:color="auto" w:fill="EA8D9C" w:themeFill="accent1" w:themeFillTint="66"/>
      </w:tcPr>
    </w:tblStylePr>
    <w:tblStylePr w:type="band1Horz">
      <w:tblPr/>
      <w:tcPr>
        <w:shd w:val="clear" w:color="auto" w:fill="EA8D9C" w:themeFill="accent1" w:themeFillTint="66"/>
      </w:tcPr>
    </w:tblStylePr>
  </w:style>
  <w:style w:type="table" w:styleId="GridTable5Dark-Accent2">
    <w:name w:val="Grid Table 5 Dark Accent 2"/>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E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5F6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5F6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5F6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5F6D" w:themeFill="accent2"/>
      </w:tcPr>
    </w:tblStylePr>
    <w:tblStylePr w:type="band1Vert">
      <w:tblPr/>
      <w:tcPr>
        <w:shd w:val="clear" w:color="auto" w:fill="E0BEC4" w:themeFill="accent2" w:themeFillTint="66"/>
      </w:tcPr>
    </w:tblStylePr>
    <w:tblStylePr w:type="band1Horz">
      <w:tblPr/>
      <w:tcPr>
        <w:shd w:val="clear" w:color="auto" w:fill="E0BEC4" w:themeFill="accent2" w:themeFillTint="66"/>
      </w:tcPr>
    </w:tblStylePr>
  </w:style>
  <w:style w:type="table" w:styleId="GridTable5Dark-Accent3">
    <w:name w:val="Grid Table 5 Dark Accent 3"/>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E7" w:themeFill="accent3"/>
      </w:tcPr>
    </w:tblStylePr>
    <w:tblStylePr w:type="band1Vert">
      <w:tblPr/>
      <w:tcPr>
        <w:shd w:val="clear" w:color="auto" w:fill="F5F5F5" w:themeFill="accent3" w:themeFillTint="66"/>
      </w:tcPr>
    </w:tblStylePr>
    <w:tblStylePr w:type="band1Horz">
      <w:tblPr/>
      <w:tcPr>
        <w:shd w:val="clear" w:color="auto" w:fill="F5F5F5" w:themeFill="accent3" w:themeFillTint="66"/>
      </w:tcPr>
    </w:tblStylePr>
  </w:style>
  <w:style w:type="table" w:styleId="GridTable5Dark-Accent4">
    <w:name w:val="Grid Table 5 Dark Accent 4"/>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868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868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868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8686" w:themeFill="accent4"/>
      </w:tcPr>
    </w:tblStylePr>
    <w:tblStylePr w:type="band1Vert">
      <w:tblPr/>
      <w:tcPr>
        <w:shd w:val="clear" w:color="auto" w:fill="D1CECE" w:themeFill="accent4" w:themeFillTint="66"/>
      </w:tcPr>
    </w:tblStylePr>
    <w:tblStylePr w:type="band1Horz">
      <w:tblPr/>
      <w:tcPr>
        <w:shd w:val="clear" w:color="auto" w:fill="D1CECE" w:themeFill="accent4" w:themeFillTint="66"/>
      </w:tcPr>
    </w:tblStylePr>
  </w:style>
  <w:style w:type="table" w:styleId="GridTable5Dark-Accent5">
    <w:name w:val="Grid Table 5 Dark Accent 5"/>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3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2A2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2A2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2A2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2A2A" w:themeFill="accent5"/>
      </w:tcPr>
    </w:tblStylePr>
    <w:tblStylePr w:type="band1Vert">
      <w:tblPr/>
      <w:tcPr>
        <w:shd w:val="clear" w:color="auto" w:fill="ACA8A8" w:themeFill="accent5" w:themeFillTint="66"/>
      </w:tcPr>
    </w:tblStylePr>
    <w:tblStylePr w:type="band1Horz">
      <w:tblPr/>
      <w:tcPr>
        <w:shd w:val="clear" w:color="auto" w:fill="ACA8A8" w:themeFill="accent5" w:themeFillTint="66"/>
      </w:tcPr>
    </w:tblStylePr>
  </w:style>
  <w:style w:type="table" w:styleId="GridTable5Dark-Accent6">
    <w:name w:val="Grid Table 5 Dark Accent 6"/>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B7C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0E1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0E1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0E1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0E18" w:themeFill="accent6"/>
      </w:tcPr>
    </w:tblStylePr>
    <w:tblStylePr w:type="band1Vert">
      <w:tblPr/>
      <w:tcPr>
        <w:shd w:val="clear" w:color="auto" w:fill="E47083" w:themeFill="accent6" w:themeFillTint="66"/>
      </w:tcPr>
    </w:tblStylePr>
    <w:tblStylePr w:type="band1Horz">
      <w:tblPr/>
      <w:tcPr>
        <w:shd w:val="clear" w:color="auto" w:fill="E47083" w:themeFill="accent6" w:themeFillTint="66"/>
      </w:tcPr>
    </w:tblStylePr>
  </w:style>
  <w:style w:type="table" w:styleId="GridTable6Colourful">
    <w:name w:val="Grid Table 6 Colorful"/>
    <w:basedOn w:val="TableNormal"/>
    <w:uiPriority w:val="51"/>
    <w:semiHidden/>
    <w:rsid w:val="00776AC3"/>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776AC3"/>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GridTable6ColourfulAccent2">
    <w:name w:val="Grid Table 6 Colorful Accent 2"/>
    <w:basedOn w:val="TableNormal"/>
    <w:uiPriority w:val="51"/>
    <w:semiHidden/>
    <w:rsid w:val="00776AC3"/>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GridTable6ColourfulAccent3">
    <w:name w:val="Grid Table 6 Colorful Accent 3"/>
    <w:basedOn w:val="TableNormal"/>
    <w:uiPriority w:val="51"/>
    <w:semiHidden/>
    <w:rsid w:val="00776AC3"/>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GridTable6ColourfulAccent4">
    <w:name w:val="Grid Table 6 Colorful Accent 4"/>
    <w:basedOn w:val="TableNormal"/>
    <w:uiPriority w:val="51"/>
    <w:semiHidden/>
    <w:rsid w:val="00776AC3"/>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GridTable6ColourfulAccent5">
    <w:name w:val="Grid Table 6 Colorful Accent 5"/>
    <w:basedOn w:val="TableNormal"/>
    <w:uiPriority w:val="51"/>
    <w:semiHidden/>
    <w:rsid w:val="00776AC3"/>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GridTable6ColourfulAccent6">
    <w:name w:val="Grid Table 6 Colorful Accent 6"/>
    <w:basedOn w:val="TableNormal"/>
    <w:uiPriority w:val="51"/>
    <w:semiHidden/>
    <w:rsid w:val="00776AC3"/>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GridTable7Colourful">
    <w:name w:val="Grid Table 7 Colorful"/>
    <w:basedOn w:val="TableNormal"/>
    <w:uiPriority w:val="52"/>
    <w:semiHidden/>
    <w:rsid w:val="00776AC3"/>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776AC3"/>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styleId="GridTable7ColourfulAccent2">
    <w:name w:val="Grid Table 7 Colorful Accent 2"/>
    <w:basedOn w:val="TableNormal"/>
    <w:uiPriority w:val="52"/>
    <w:semiHidden/>
    <w:rsid w:val="00776AC3"/>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styleId="GridTable7ColourfulAccent3">
    <w:name w:val="Grid Table 7 Colorful Accent 3"/>
    <w:basedOn w:val="TableNormal"/>
    <w:uiPriority w:val="52"/>
    <w:semiHidden/>
    <w:rsid w:val="00776AC3"/>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styleId="GridTable7ColourfulAccent4">
    <w:name w:val="Grid Table 7 Colorful Accent 4"/>
    <w:basedOn w:val="TableNormal"/>
    <w:uiPriority w:val="52"/>
    <w:semiHidden/>
    <w:rsid w:val="00776AC3"/>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styleId="GridTable7ColourfulAccent5">
    <w:name w:val="Grid Table 7 Colorful Accent 5"/>
    <w:basedOn w:val="TableNormal"/>
    <w:uiPriority w:val="52"/>
    <w:semiHidden/>
    <w:rsid w:val="00776AC3"/>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styleId="GridTable7ColourfulAccent6">
    <w:name w:val="Grid Table 7 Colorful Accent 6"/>
    <w:basedOn w:val="TableNormal"/>
    <w:uiPriority w:val="52"/>
    <w:semiHidden/>
    <w:rsid w:val="00776AC3"/>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styleId="ListTable1Light">
    <w:name w:val="List Table 1 Light"/>
    <w:basedOn w:val="TableNormal"/>
    <w:uiPriority w:val="46"/>
    <w:semiHidden/>
    <w:rsid w:val="00776AC3"/>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776AC3"/>
    <w:pPr>
      <w:spacing w:after="0"/>
    </w:pPr>
    <w:tblPr>
      <w:tblStyleRowBandSize w:val="1"/>
      <w:tblStyleColBandSize w:val="1"/>
    </w:tblPr>
    <w:tblStylePr w:type="firstRow">
      <w:rPr>
        <w:b/>
        <w:bCs/>
      </w:rPr>
      <w:tblPr/>
      <w:tcPr>
        <w:tcBorders>
          <w:bottom w:val="single" w:sz="4" w:space="0" w:color="DF546B" w:themeColor="accent1" w:themeTint="99"/>
        </w:tcBorders>
      </w:tcPr>
    </w:tblStylePr>
    <w:tblStylePr w:type="lastRow">
      <w:rPr>
        <w:b/>
        <w:bCs/>
      </w:rPr>
      <w:tblPr/>
      <w:tcPr>
        <w:tcBorders>
          <w:top w:val="sing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ListTable1Light-Accent2">
    <w:name w:val="List Table 1 Light Accent 2"/>
    <w:basedOn w:val="TableNormal"/>
    <w:uiPriority w:val="46"/>
    <w:semiHidden/>
    <w:rsid w:val="00776AC3"/>
    <w:pPr>
      <w:spacing w:after="0"/>
    </w:pPr>
    <w:tblPr>
      <w:tblStyleRowBandSize w:val="1"/>
      <w:tblStyleColBandSize w:val="1"/>
    </w:tblPr>
    <w:tblStylePr w:type="firstRow">
      <w:rPr>
        <w:b/>
        <w:bCs/>
      </w:rPr>
      <w:tblPr/>
      <w:tcPr>
        <w:tcBorders>
          <w:bottom w:val="single" w:sz="4" w:space="0" w:color="D19EA7" w:themeColor="accent2" w:themeTint="99"/>
        </w:tcBorders>
      </w:tcPr>
    </w:tblStylePr>
    <w:tblStylePr w:type="lastRow">
      <w:rPr>
        <w:b/>
        <w:bCs/>
      </w:rPr>
      <w:tblPr/>
      <w:tcPr>
        <w:tcBorders>
          <w:top w:val="sing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ListTable1Light-Accent3">
    <w:name w:val="List Table 1 Light Accent 3"/>
    <w:basedOn w:val="TableNormal"/>
    <w:uiPriority w:val="46"/>
    <w:semiHidden/>
    <w:rsid w:val="00776AC3"/>
    <w:pPr>
      <w:spacing w:after="0"/>
    </w:pPr>
    <w:tblPr>
      <w:tblStyleRowBandSize w:val="1"/>
      <w:tblStyleColBandSize w:val="1"/>
    </w:tblPr>
    <w:tblStylePr w:type="firstRow">
      <w:rPr>
        <w:b/>
        <w:bCs/>
      </w:rPr>
      <w:tblPr/>
      <w:tcPr>
        <w:tcBorders>
          <w:bottom w:val="single" w:sz="4" w:space="0" w:color="F1F0F0" w:themeColor="accent3" w:themeTint="99"/>
        </w:tcBorders>
      </w:tcPr>
    </w:tblStylePr>
    <w:tblStylePr w:type="lastRow">
      <w:rPr>
        <w:b/>
        <w:bCs/>
      </w:rPr>
      <w:tblPr/>
      <w:tcPr>
        <w:tcBorders>
          <w:top w:val="sing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1Light-Accent4">
    <w:name w:val="List Table 1 Light Accent 4"/>
    <w:basedOn w:val="TableNormal"/>
    <w:uiPriority w:val="46"/>
    <w:semiHidden/>
    <w:rsid w:val="00776AC3"/>
    <w:pPr>
      <w:spacing w:after="0"/>
    </w:pPr>
    <w:tblPr>
      <w:tblStyleRowBandSize w:val="1"/>
      <w:tblStyleColBandSize w:val="1"/>
    </w:tblPr>
    <w:tblStylePr w:type="firstRow">
      <w:rPr>
        <w:b/>
        <w:bCs/>
      </w:rPr>
      <w:tblPr/>
      <w:tcPr>
        <w:tcBorders>
          <w:bottom w:val="single" w:sz="4" w:space="0" w:color="BAB6B6" w:themeColor="accent4" w:themeTint="99"/>
        </w:tcBorders>
      </w:tcPr>
    </w:tblStylePr>
    <w:tblStylePr w:type="lastRow">
      <w:rPr>
        <w:b/>
        <w:bCs/>
      </w:rPr>
      <w:tblPr/>
      <w:tcPr>
        <w:tcBorders>
          <w:top w:val="sing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ListTable1Light-Accent5">
    <w:name w:val="List Table 1 Light Accent 5"/>
    <w:basedOn w:val="TableNormal"/>
    <w:uiPriority w:val="46"/>
    <w:semiHidden/>
    <w:rsid w:val="00776AC3"/>
    <w:pPr>
      <w:spacing w:after="0"/>
    </w:pPr>
    <w:tblPr>
      <w:tblStyleRowBandSize w:val="1"/>
      <w:tblStyleColBandSize w:val="1"/>
    </w:tblPr>
    <w:tblStylePr w:type="firstRow">
      <w:rPr>
        <w:b/>
        <w:bCs/>
      </w:rPr>
      <w:tblPr/>
      <w:tcPr>
        <w:tcBorders>
          <w:bottom w:val="single" w:sz="4" w:space="0" w:color="827C7C" w:themeColor="accent5" w:themeTint="99"/>
        </w:tcBorders>
      </w:tcPr>
    </w:tblStylePr>
    <w:tblStylePr w:type="lastRow">
      <w:rPr>
        <w:b/>
        <w:bCs/>
      </w:rPr>
      <w:tblPr/>
      <w:tcPr>
        <w:tcBorders>
          <w:top w:val="sing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ListTable1Light-Accent6">
    <w:name w:val="List Table 1 Light Accent 6"/>
    <w:basedOn w:val="TableNormal"/>
    <w:uiPriority w:val="46"/>
    <w:semiHidden/>
    <w:rsid w:val="00776AC3"/>
    <w:pPr>
      <w:spacing w:after="0"/>
    </w:pPr>
    <w:tblPr>
      <w:tblStyleRowBandSize w:val="1"/>
      <w:tblStyleColBandSize w:val="1"/>
    </w:tblPr>
    <w:tblStylePr w:type="firstRow">
      <w:rPr>
        <w:b/>
        <w:bCs/>
      </w:rPr>
      <w:tblPr/>
      <w:tcPr>
        <w:tcBorders>
          <w:bottom w:val="single" w:sz="4" w:space="0" w:color="D62946" w:themeColor="accent6" w:themeTint="99"/>
        </w:tcBorders>
      </w:tcPr>
    </w:tblStylePr>
    <w:tblStylePr w:type="lastRow">
      <w:rPr>
        <w:b/>
        <w:bCs/>
      </w:rPr>
      <w:tblPr/>
      <w:tcPr>
        <w:tcBorders>
          <w:top w:val="sing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ListTable2">
    <w:name w:val="List Table 2"/>
    <w:basedOn w:val="TableNormal"/>
    <w:uiPriority w:val="47"/>
    <w:semiHidden/>
    <w:rsid w:val="00776AC3"/>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776AC3"/>
    <w:pPr>
      <w:spacing w:after="0"/>
    </w:pPr>
    <w:tblPr>
      <w:tblStyleRowBandSize w:val="1"/>
      <w:tblStyleColBandSize w:val="1"/>
      <w:tblBorders>
        <w:top w:val="single" w:sz="4" w:space="0" w:color="DF546B" w:themeColor="accent1" w:themeTint="99"/>
        <w:bottom w:val="single" w:sz="4" w:space="0" w:color="DF546B" w:themeColor="accent1" w:themeTint="99"/>
        <w:insideH w:val="single" w:sz="4" w:space="0" w:color="DF54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ListTable2-Accent2">
    <w:name w:val="List Table 2 Accent 2"/>
    <w:basedOn w:val="TableNormal"/>
    <w:uiPriority w:val="47"/>
    <w:semiHidden/>
    <w:rsid w:val="00776AC3"/>
    <w:pPr>
      <w:spacing w:after="0"/>
    </w:pPr>
    <w:tblPr>
      <w:tblStyleRowBandSize w:val="1"/>
      <w:tblStyleColBandSize w:val="1"/>
      <w:tblBorders>
        <w:top w:val="single" w:sz="4" w:space="0" w:color="D19EA7" w:themeColor="accent2" w:themeTint="99"/>
        <w:bottom w:val="single" w:sz="4" w:space="0" w:color="D19EA7" w:themeColor="accent2" w:themeTint="99"/>
        <w:insideH w:val="single" w:sz="4" w:space="0" w:color="D19EA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ListTable2-Accent3">
    <w:name w:val="List Table 2 Accent 3"/>
    <w:basedOn w:val="TableNormal"/>
    <w:uiPriority w:val="47"/>
    <w:semiHidden/>
    <w:rsid w:val="00776AC3"/>
    <w:pPr>
      <w:spacing w:after="0"/>
    </w:pPr>
    <w:tblPr>
      <w:tblStyleRowBandSize w:val="1"/>
      <w:tblStyleColBandSize w:val="1"/>
      <w:tblBorders>
        <w:top w:val="single" w:sz="4" w:space="0" w:color="F1F0F0" w:themeColor="accent3" w:themeTint="99"/>
        <w:bottom w:val="single" w:sz="4" w:space="0" w:color="F1F0F0" w:themeColor="accent3" w:themeTint="99"/>
        <w:insideH w:val="single" w:sz="4" w:space="0" w:color="F1F0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2-Accent4">
    <w:name w:val="List Table 2 Accent 4"/>
    <w:basedOn w:val="TableNormal"/>
    <w:uiPriority w:val="47"/>
    <w:semiHidden/>
    <w:rsid w:val="00776AC3"/>
    <w:pPr>
      <w:spacing w:after="0"/>
    </w:pPr>
    <w:tblPr>
      <w:tblStyleRowBandSize w:val="1"/>
      <w:tblStyleColBandSize w:val="1"/>
      <w:tblBorders>
        <w:top w:val="single" w:sz="4" w:space="0" w:color="BAB6B6" w:themeColor="accent4" w:themeTint="99"/>
        <w:bottom w:val="single" w:sz="4" w:space="0" w:color="BAB6B6" w:themeColor="accent4" w:themeTint="99"/>
        <w:insideH w:val="single" w:sz="4" w:space="0" w:color="BAB6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ListTable2-Accent5">
    <w:name w:val="List Table 2 Accent 5"/>
    <w:basedOn w:val="TableNormal"/>
    <w:uiPriority w:val="47"/>
    <w:semiHidden/>
    <w:rsid w:val="00776AC3"/>
    <w:pPr>
      <w:spacing w:after="0"/>
    </w:pPr>
    <w:tblPr>
      <w:tblStyleRowBandSize w:val="1"/>
      <w:tblStyleColBandSize w:val="1"/>
      <w:tblBorders>
        <w:top w:val="single" w:sz="4" w:space="0" w:color="827C7C" w:themeColor="accent5" w:themeTint="99"/>
        <w:bottom w:val="single" w:sz="4" w:space="0" w:color="827C7C" w:themeColor="accent5" w:themeTint="99"/>
        <w:insideH w:val="single" w:sz="4" w:space="0" w:color="827C7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ListTable2-Accent6">
    <w:name w:val="List Table 2 Accent 6"/>
    <w:basedOn w:val="TableNormal"/>
    <w:uiPriority w:val="47"/>
    <w:semiHidden/>
    <w:rsid w:val="00776AC3"/>
    <w:pPr>
      <w:spacing w:after="0"/>
    </w:pPr>
    <w:tblPr>
      <w:tblStyleRowBandSize w:val="1"/>
      <w:tblStyleColBandSize w:val="1"/>
      <w:tblBorders>
        <w:top w:val="single" w:sz="4" w:space="0" w:color="D62946" w:themeColor="accent6" w:themeTint="99"/>
        <w:bottom w:val="single" w:sz="4" w:space="0" w:color="D62946" w:themeColor="accent6" w:themeTint="99"/>
        <w:insideH w:val="single" w:sz="4" w:space="0" w:color="D6294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ListTable3">
    <w:name w:val="List Table 3"/>
    <w:basedOn w:val="TableNormal"/>
    <w:uiPriority w:val="48"/>
    <w:semiHidden/>
    <w:rsid w:val="00776AC3"/>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776AC3"/>
    <w:pPr>
      <w:spacing w:after="0"/>
    </w:pPr>
    <w:tblPr>
      <w:tblStyleRowBandSize w:val="1"/>
      <w:tblStyleColBandSize w:val="1"/>
      <w:tblBorders>
        <w:top w:val="single" w:sz="4" w:space="0" w:color="931B2F" w:themeColor="accent1"/>
        <w:left w:val="single" w:sz="4" w:space="0" w:color="931B2F" w:themeColor="accent1"/>
        <w:bottom w:val="single" w:sz="4" w:space="0" w:color="931B2F" w:themeColor="accent1"/>
        <w:right w:val="single" w:sz="4" w:space="0" w:color="931B2F" w:themeColor="accent1"/>
      </w:tblBorders>
    </w:tblPr>
    <w:tblStylePr w:type="firstRow">
      <w:rPr>
        <w:b/>
        <w:bCs/>
        <w:color w:val="FFFFFF" w:themeColor="background1"/>
      </w:rPr>
      <w:tblPr/>
      <w:tcPr>
        <w:shd w:val="clear" w:color="auto" w:fill="931B2F" w:themeFill="accent1"/>
      </w:tcPr>
    </w:tblStylePr>
    <w:tblStylePr w:type="lastRow">
      <w:rPr>
        <w:b/>
        <w:bCs/>
      </w:rPr>
      <w:tblPr/>
      <w:tcPr>
        <w:tcBorders>
          <w:top w:val="double" w:sz="4" w:space="0" w:color="93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1B2F" w:themeColor="accent1"/>
          <w:right w:val="single" w:sz="4" w:space="0" w:color="931B2F" w:themeColor="accent1"/>
        </w:tcBorders>
      </w:tcPr>
    </w:tblStylePr>
    <w:tblStylePr w:type="band1Horz">
      <w:tblPr/>
      <w:tcPr>
        <w:tcBorders>
          <w:top w:val="single" w:sz="4" w:space="0" w:color="931B2F" w:themeColor="accent1"/>
          <w:bottom w:val="single" w:sz="4" w:space="0" w:color="93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1B2F" w:themeColor="accent1"/>
          <w:left w:val="nil"/>
        </w:tcBorders>
      </w:tcPr>
    </w:tblStylePr>
    <w:tblStylePr w:type="swCell">
      <w:tblPr/>
      <w:tcPr>
        <w:tcBorders>
          <w:top w:val="double" w:sz="4" w:space="0" w:color="931B2F" w:themeColor="accent1"/>
          <w:right w:val="nil"/>
        </w:tcBorders>
      </w:tcPr>
    </w:tblStylePr>
  </w:style>
  <w:style w:type="table" w:styleId="ListTable3-Accent2">
    <w:name w:val="List Table 3 Accent 2"/>
    <w:basedOn w:val="TableNormal"/>
    <w:uiPriority w:val="48"/>
    <w:semiHidden/>
    <w:rsid w:val="00776AC3"/>
    <w:pPr>
      <w:spacing w:after="0"/>
    </w:pPr>
    <w:tblPr>
      <w:tblStyleRowBandSize w:val="1"/>
      <w:tblStyleColBandSize w:val="1"/>
      <w:tblBorders>
        <w:top w:val="single" w:sz="4" w:space="0" w:color="B35F6D" w:themeColor="accent2"/>
        <w:left w:val="single" w:sz="4" w:space="0" w:color="B35F6D" w:themeColor="accent2"/>
        <w:bottom w:val="single" w:sz="4" w:space="0" w:color="B35F6D" w:themeColor="accent2"/>
        <w:right w:val="single" w:sz="4" w:space="0" w:color="B35F6D" w:themeColor="accent2"/>
      </w:tblBorders>
    </w:tblPr>
    <w:tblStylePr w:type="firstRow">
      <w:rPr>
        <w:b/>
        <w:bCs/>
        <w:color w:val="FFFFFF" w:themeColor="background1"/>
      </w:rPr>
      <w:tblPr/>
      <w:tcPr>
        <w:shd w:val="clear" w:color="auto" w:fill="B35F6D" w:themeFill="accent2"/>
      </w:tcPr>
    </w:tblStylePr>
    <w:tblStylePr w:type="lastRow">
      <w:rPr>
        <w:b/>
        <w:bCs/>
      </w:rPr>
      <w:tblPr/>
      <w:tcPr>
        <w:tcBorders>
          <w:top w:val="double" w:sz="4" w:space="0" w:color="B35F6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5F6D" w:themeColor="accent2"/>
          <w:right w:val="single" w:sz="4" w:space="0" w:color="B35F6D" w:themeColor="accent2"/>
        </w:tcBorders>
      </w:tcPr>
    </w:tblStylePr>
    <w:tblStylePr w:type="band1Horz">
      <w:tblPr/>
      <w:tcPr>
        <w:tcBorders>
          <w:top w:val="single" w:sz="4" w:space="0" w:color="B35F6D" w:themeColor="accent2"/>
          <w:bottom w:val="single" w:sz="4" w:space="0" w:color="B35F6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5F6D" w:themeColor="accent2"/>
          <w:left w:val="nil"/>
        </w:tcBorders>
      </w:tcPr>
    </w:tblStylePr>
    <w:tblStylePr w:type="swCell">
      <w:tblPr/>
      <w:tcPr>
        <w:tcBorders>
          <w:top w:val="double" w:sz="4" w:space="0" w:color="B35F6D" w:themeColor="accent2"/>
          <w:right w:val="nil"/>
        </w:tcBorders>
      </w:tcPr>
    </w:tblStylePr>
  </w:style>
  <w:style w:type="table" w:styleId="ListTable3-Accent3">
    <w:name w:val="List Table 3 Accent 3"/>
    <w:basedOn w:val="TableNormal"/>
    <w:uiPriority w:val="48"/>
    <w:semiHidden/>
    <w:rsid w:val="00776AC3"/>
    <w:pPr>
      <w:spacing w:after="0"/>
    </w:pPr>
    <w:tblPr>
      <w:tblStyleRowBandSize w:val="1"/>
      <w:tblStyleColBandSize w:val="1"/>
      <w:tblBorders>
        <w:top w:val="single" w:sz="4" w:space="0" w:color="E8E7E7" w:themeColor="accent3"/>
        <w:left w:val="single" w:sz="4" w:space="0" w:color="E8E7E7" w:themeColor="accent3"/>
        <w:bottom w:val="single" w:sz="4" w:space="0" w:color="E8E7E7" w:themeColor="accent3"/>
        <w:right w:val="single" w:sz="4" w:space="0" w:color="E8E7E7" w:themeColor="accent3"/>
      </w:tblBorders>
    </w:tblPr>
    <w:tblStylePr w:type="firstRow">
      <w:rPr>
        <w:b/>
        <w:bCs/>
        <w:color w:val="FFFFFF" w:themeColor="background1"/>
      </w:rPr>
      <w:tblPr/>
      <w:tcPr>
        <w:shd w:val="clear" w:color="auto" w:fill="E8E7E7" w:themeFill="accent3"/>
      </w:tcPr>
    </w:tblStylePr>
    <w:tblStylePr w:type="lastRow">
      <w:rPr>
        <w:b/>
        <w:bCs/>
      </w:rPr>
      <w:tblPr/>
      <w:tcPr>
        <w:tcBorders>
          <w:top w:val="double" w:sz="4" w:space="0" w:color="E8E7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E7" w:themeColor="accent3"/>
          <w:right w:val="single" w:sz="4" w:space="0" w:color="E8E7E7" w:themeColor="accent3"/>
        </w:tcBorders>
      </w:tcPr>
    </w:tblStylePr>
    <w:tblStylePr w:type="band1Horz">
      <w:tblPr/>
      <w:tcPr>
        <w:tcBorders>
          <w:top w:val="single" w:sz="4" w:space="0" w:color="E8E7E7" w:themeColor="accent3"/>
          <w:bottom w:val="single" w:sz="4" w:space="0" w:color="E8E7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E7" w:themeColor="accent3"/>
          <w:left w:val="nil"/>
        </w:tcBorders>
      </w:tcPr>
    </w:tblStylePr>
    <w:tblStylePr w:type="swCell">
      <w:tblPr/>
      <w:tcPr>
        <w:tcBorders>
          <w:top w:val="double" w:sz="4" w:space="0" w:color="E8E7E7" w:themeColor="accent3"/>
          <w:right w:val="nil"/>
        </w:tcBorders>
      </w:tcPr>
    </w:tblStylePr>
  </w:style>
  <w:style w:type="table" w:styleId="ListTable3-Accent4">
    <w:name w:val="List Table 3 Accent 4"/>
    <w:basedOn w:val="TableNormal"/>
    <w:uiPriority w:val="48"/>
    <w:semiHidden/>
    <w:rsid w:val="00776AC3"/>
    <w:pPr>
      <w:spacing w:after="0"/>
    </w:pPr>
    <w:tblPr>
      <w:tblStyleRowBandSize w:val="1"/>
      <w:tblStyleColBandSize w:val="1"/>
      <w:tblBorders>
        <w:top w:val="single" w:sz="4" w:space="0" w:color="8C8686" w:themeColor="accent4"/>
        <w:left w:val="single" w:sz="4" w:space="0" w:color="8C8686" w:themeColor="accent4"/>
        <w:bottom w:val="single" w:sz="4" w:space="0" w:color="8C8686" w:themeColor="accent4"/>
        <w:right w:val="single" w:sz="4" w:space="0" w:color="8C8686" w:themeColor="accent4"/>
      </w:tblBorders>
    </w:tblPr>
    <w:tblStylePr w:type="firstRow">
      <w:rPr>
        <w:b/>
        <w:bCs/>
        <w:color w:val="FFFFFF" w:themeColor="background1"/>
      </w:rPr>
      <w:tblPr/>
      <w:tcPr>
        <w:shd w:val="clear" w:color="auto" w:fill="8C8686" w:themeFill="accent4"/>
      </w:tcPr>
    </w:tblStylePr>
    <w:tblStylePr w:type="lastRow">
      <w:rPr>
        <w:b/>
        <w:bCs/>
      </w:rPr>
      <w:tblPr/>
      <w:tcPr>
        <w:tcBorders>
          <w:top w:val="double" w:sz="4" w:space="0" w:color="8C868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8686" w:themeColor="accent4"/>
          <w:right w:val="single" w:sz="4" w:space="0" w:color="8C8686" w:themeColor="accent4"/>
        </w:tcBorders>
      </w:tcPr>
    </w:tblStylePr>
    <w:tblStylePr w:type="band1Horz">
      <w:tblPr/>
      <w:tcPr>
        <w:tcBorders>
          <w:top w:val="single" w:sz="4" w:space="0" w:color="8C8686" w:themeColor="accent4"/>
          <w:bottom w:val="single" w:sz="4" w:space="0" w:color="8C868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8686" w:themeColor="accent4"/>
          <w:left w:val="nil"/>
        </w:tcBorders>
      </w:tcPr>
    </w:tblStylePr>
    <w:tblStylePr w:type="swCell">
      <w:tblPr/>
      <w:tcPr>
        <w:tcBorders>
          <w:top w:val="double" w:sz="4" w:space="0" w:color="8C8686" w:themeColor="accent4"/>
          <w:right w:val="nil"/>
        </w:tcBorders>
      </w:tcPr>
    </w:tblStylePr>
  </w:style>
  <w:style w:type="table" w:styleId="ListTable3-Accent5">
    <w:name w:val="List Table 3 Accent 5"/>
    <w:basedOn w:val="TableNormal"/>
    <w:uiPriority w:val="48"/>
    <w:semiHidden/>
    <w:rsid w:val="00776AC3"/>
    <w:pPr>
      <w:spacing w:after="0"/>
    </w:pPr>
    <w:tblPr>
      <w:tblStyleRowBandSize w:val="1"/>
      <w:tblStyleColBandSize w:val="1"/>
      <w:tblBorders>
        <w:top w:val="single" w:sz="4" w:space="0" w:color="2C2A2A" w:themeColor="accent5"/>
        <w:left w:val="single" w:sz="4" w:space="0" w:color="2C2A2A" w:themeColor="accent5"/>
        <w:bottom w:val="single" w:sz="4" w:space="0" w:color="2C2A2A" w:themeColor="accent5"/>
        <w:right w:val="single" w:sz="4" w:space="0" w:color="2C2A2A" w:themeColor="accent5"/>
      </w:tblBorders>
    </w:tblPr>
    <w:tblStylePr w:type="firstRow">
      <w:rPr>
        <w:b/>
        <w:bCs/>
        <w:color w:val="FFFFFF" w:themeColor="background1"/>
      </w:rPr>
      <w:tblPr/>
      <w:tcPr>
        <w:shd w:val="clear" w:color="auto" w:fill="2C2A2A" w:themeFill="accent5"/>
      </w:tcPr>
    </w:tblStylePr>
    <w:tblStylePr w:type="lastRow">
      <w:rPr>
        <w:b/>
        <w:bCs/>
      </w:rPr>
      <w:tblPr/>
      <w:tcPr>
        <w:tcBorders>
          <w:top w:val="double" w:sz="4" w:space="0" w:color="2C2A2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2A2A" w:themeColor="accent5"/>
          <w:right w:val="single" w:sz="4" w:space="0" w:color="2C2A2A" w:themeColor="accent5"/>
        </w:tcBorders>
      </w:tcPr>
    </w:tblStylePr>
    <w:tblStylePr w:type="band1Horz">
      <w:tblPr/>
      <w:tcPr>
        <w:tcBorders>
          <w:top w:val="single" w:sz="4" w:space="0" w:color="2C2A2A" w:themeColor="accent5"/>
          <w:bottom w:val="single" w:sz="4" w:space="0" w:color="2C2A2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2A2A" w:themeColor="accent5"/>
          <w:left w:val="nil"/>
        </w:tcBorders>
      </w:tcPr>
    </w:tblStylePr>
    <w:tblStylePr w:type="swCell">
      <w:tblPr/>
      <w:tcPr>
        <w:tcBorders>
          <w:top w:val="double" w:sz="4" w:space="0" w:color="2C2A2A" w:themeColor="accent5"/>
          <w:right w:val="nil"/>
        </w:tcBorders>
      </w:tcPr>
    </w:tblStylePr>
  </w:style>
  <w:style w:type="table" w:styleId="ListTable3-Accent6">
    <w:name w:val="List Table 3 Accent 6"/>
    <w:basedOn w:val="TableNormal"/>
    <w:uiPriority w:val="48"/>
    <w:semiHidden/>
    <w:rsid w:val="00776AC3"/>
    <w:pPr>
      <w:spacing w:after="0"/>
    </w:pPr>
    <w:tblPr>
      <w:tblStyleRowBandSize w:val="1"/>
      <w:tblStyleColBandSize w:val="1"/>
      <w:tblBorders>
        <w:top w:val="single" w:sz="4" w:space="0" w:color="4A0E18" w:themeColor="accent6"/>
        <w:left w:val="single" w:sz="4" w:space="0" w:color="4A0E18" w:themeColor="accent6"/>
        <w:bottom w:val="single" w:sz="4" w:space="0" w:color="4A0E18" w:themeColor="accent6"/>
        <w:right w:val="single" w:sz="4" w:space="0" w:color="4A0E18" w:themeColor="accent6"/>
      </w:tblBorders>
    </w:tblPr>
    <w:tblStylePr w:type="firstRow">
      <w:rPr>
        <w:b/>
        <w:bCs/>
        <w:color w:val="FFFFFF" w:themeColor="background1"/>
      </w:rPr>
      <w:tblPr/>
      <w:tcPr>
        <w:shd w:val="clear" w:color="auto" w:fill="4A0E18" w:themeFill="accent6"/>
      </w:tcPr>
    </w:tblStylePr>
    <w:tblStylePr w:type="lastRow">
      <w:rPr>
        <w:b/>
        <w:bCs/>
      </w:rPr>
      <w:tblPr/>
      <w:tcPr>
        <w:tcBorders>
          <w:top w:val="double" w:sz="4" w:space="0" w:color="4A0E1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0E18" w:themeColor="accent6"/>
          <w:right w:val="single" w:sz="4" w:space="0" w:color="4A0E18" w:themeColor="accent6"/>
        </w:tcBorders>
      </w:tcPr>
    </w:tblStylePr>
    <w:tblStylePr w:type="band1Horz">
      <w:tblPr/>
      <w:tcPr>
        <w:tcBorders>
          <w:top w:val="single" w:sz="4" w:space="0" w:color="4A0E18" w:themeColor="accent6"/>
          <w:bottom w:val="single" w:sz="4" w:space="0" w:color="4A0E1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0E18" w:themeColor="accent6"/>
          <w:left w:val="nil"/>
        </w:tcBorders>
      </w:tcPr>
    </w:tblStylePr>
    <w:tblStylePr w:type="swCell">
      <w:tblPr/>
      <w:tcPr>
        <w:tcBorders>
          <w:top w:val="double" w:sz="4" w:space="0" w:color="4A0E18" w:themeColor="accent6"/>
          <w:right w:val="nil"/>
        </w:tcBorders>
      </w:tcPr>
    </w:tblStylePr>
  </w:style>
  <w:style w:type="table" w:styleId="ListTable4">
    <w:name w:val="List Table 4"/>
    <w:basedOn w:val="TableNormal"/>
    <w:uiPriority w:val="49"/>
    <w:semiHidden/>
    <w:rsid w:val="00776AC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776AC3"/>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tcBorders>
        <w:shd w:val="clear" w:color="auto" w:fill="931B2F" w:themeFill="accent1"/>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ListTable4-Accent2">
    <w:name w:val="List Table 4 Accent 2"/>
    <w:basedOn w:val="TableNormal"/>
    <w:uiPriority w:val="49"/>
    <w:semiHidden/>
    <w:rsid w:val="00776AC3"/>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tcBorders>
        <w:shd w:val="clear" w:color="auto" w:fill="B35F6D" w:themeFill="accent2"/>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ListTable4-Accent3">
    <w:name w:val="List Table 4 Accent 3"/>
    <w:basedOn w:val="TableNormal"/>
    <w:uiPriority w:val="49"/>
    <w:semiHidden/>
    <w:rsid w:val="00776AC3"/>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tcBorders>
        <w:shd w:val="clear" w:color="auto" w:fill="E8E7E7" w:themeFill="accent3"/>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4-Accent4">
    <w:name w:val="List Table 4 Accent 4"/>
    <w:basedOn w:val="TableNormal"/>
    <w:uiPriority w:val="49"/>
    <w:semiHidden/>
    <w:rsid w:val="00776AC3"/>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tcBorders>
        <w:shd w:val="clear" w:color="auto" w:fill="8C8686" w:themeFill="accent4"/>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ListTable4-Accent5">
    <w:name w:val="List Table 4 Accent 5"/>
    <w:basedOn w:val="TableNormal"/>
    <w:uiPriority w:val="49"/>
    <w:semiHidden/>
    <w:rsid w:val="00776AC3"/>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tcBorders>
        <w:shd w:val="clear" w:color="auto" w:fill="2C2A2A" w:themeFill="accent5"/>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ListTable4-Accent6">
    <w:name w:val="List Table 4 Accent 6"/>
    <w:basedOn w:val="TableNormal"/>
    <w:uiPriority w:val="49"/>
    <w:semiHidden/>
    <w:rsid w:val="00776AC3"/>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tcBorders>
        <w:shd w:val="clear" w:color="auto" w:fill="4A0E18" w:themeFill="accent6"/>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ListTable5Dark">
    <w:name w:val="List Table 5 Dark"/>
    <w:basedOn w:val="TableNormal"/>
    <w:uiPriority w:val="50"/>
    <w:semiHidden/>
    <w:rsid w:val="00776AC3"/>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76AC3"/>
    <w:pPr>
      <w:spacing w:after="0"/>
    </w:pPr>
    <w:rPr>
      <w:color w:val="FFFFFF" w:themeColor="background1"/>
    </w:rPr>
    <w:tblPr>
      <w:tblStyleRowBandSize w:val="1"/>
      <w:tblStyleColBandSize w:val="1"/>
      <w:tblBorders>
        <w:top w:val="single" w:sz="24" w:space="0" w:color="931B2F" w:themeColor="accent1"/>
        <w:left w:val="single" w:sz="24" w:space="0" w:color="931B2F" w:themeColor="accent1"/>
        <w:bottom w:val="single" w:sz="24" w:space="0" w:color="931B2F" w:themeColor="accent1"/>
        <w:right w:val="single" w:sz="24" w:space="0" w:color="931B2F" w:themeColor="accent1"/>
      </w:tblBorders>
    </w:tblPr>
    <w:tcPr>
      <w:shd w:val="clear" w:color="auto" w:fill="93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76AC3"/>
    <w:pPr>
      <w:spacing w:after="0"/>
    </w:pPr>
    <w:rPr>
      <w:color w:val="FFFFFF" w:themeColor="background1"/>
    </w:rPr>
    <w:tblPr>
      <w:tblStyleRowBandSize w:val="1"/>
      <w:tblStyleColBandSize w:val="1"/>
      <w:tblBorders>
        <w:top w:val="single" w:sz="24" w:space="0" w:color="B35F6D" w:themeColor="accent2"/>
        <w:left w:val="single" w:sz="24" w:space="0" w:color="B35F6D" w:themeColor="accent2"/>
        <w:bottom w:val="single" w:sz="24" w:space="0" w:color="B35F6D" w:themeColor="accent2"/>
        <w:right w:val="single" w:sz="24" w:space="0" w:color="B35F6D" w:themeColor="accent2"/>
      </w:tblBorders>
    </w:tblPr>
    <w:tcPr>
      <w:shd w:val="clear" w:color="auto" w:fill="B35F6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76AC3"/>
    <w:pPr>
      <w:spacing w:after="0"/>
    </w:pPr>
    <w:rPr>
      <w:color w:val="FFFFFF" w:themeColor="background1"/>
    </w:rPr>
    <w:tblPr>
      <w:tblStyleRowBandSize w:val="1"/>
      <w:tblStyleColBandSize w:val="1"/>
      <w:tblBorders>
        <w:top w:val="single" w:sz="24" w:space="0" w:color="E8E7E7" w:themeColor="accent3"/>
        <w:left w:val="single" w:sz="24" w:space="0" w:color="E8E7E7" w:themeColor="accent3"/>
        <w:bottom w:val="single" w:sz="24" w:space="0" w:color="E8E7E7" w:themeColor="accent3"/>
        <w:right w:val="single" w:sz="24" w:space="0" w:color="E8E7E7" w:themeColor="accent3"/>
      </w:tblBorders>
    </w:tblPr>
    <w:tcPr>
      <w:shd w:val="clear" w:color="auto" w:fill="E8E7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76AC3"/>
    <w:pPr>
      <w:spacing w:after="0"/>
    </w:pPr>
    <w:rPr>
      <w:color w:val="FFFFFF" w:themeColor="background1"/>
    </w:rPr>
    <w:tblPr>
      <w:tblStyleRowBandSize w:val="1"/>
      <w:tblStyleColBandSize w:val="1"/>
      <w:tblBorders>
        <w:top w:val="single" w:sz="24" w:space="0" w:color="8C8686" w:themeColor="accent4"/>
        <w:left w:val="single" w:sz="24" w:space="0" w:color="8C8686" w:themeColor="accent4"/>
        <w:bottom w:val="single" w:sz="24" w:space="0" w:color="8C8686" w:themeColor="accent4"/>
        <w:right w:val="single" w:sz="24" w:space="0" w:color="8C8686" w:themeColor="accent4"/>
      </w:tblBorders>
    </w:tblPr>
    <w:tcPr>
      <w:shd w:val="clear" w:color="auto" w:fill="8C868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76AC3"/>
    <w:pPr>
      <w:spacing w:after="0"/>
    </w:pPr>
    <w:rPr>
      <w:color w:val="FFFFFF" w:themeColor="background1"/>
    </w:rPr>
    <w:tblPr>
      <w:tblStyleRowBandSize w:val="1"/>
      <w:tblStyleColBandSize w:val="1"/>
      <w:tblBorders>
        <w:top w:val="single" w:sz="24" w:space="0" w:color="2C2A2A" w:themeColor="accent5"/>
        <w:left w:val="single" w:sz="24" w:space="0" w:color="2C2A2A" w:themeColor="accent5"/>
        <w:bottom w:val="single" w:sz="24" w:space="0" w:color="2C2A2A" w:themeColor="accent5"/>
        <w:right w:val="single" w:sz="24" w:space="0" w:color="2C2A2A" w:themeColor="accent5"/>
      </w:tblBorders>
    </w:tblPr>
    <w:tcPr>
      <w:shd w:val="clear" w:color="auto" w:fill="2C2A2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76AC3"/>
    <w:pPr>
      <w:spacing w:after="0"/>
    </w:pPr>
    <w:rPr>
      <w:color w:val="FFFFFF" w:themeColor="background1"/>
    </w:rPr>
    <w:tblPr>
      <w:tblStyleRowBandSize w:val="1"/>
      <w:tblStyleColBandSize w:val="1"/>
      <w:tblBorders>
        <w:top w:val="single" w:sz="24" w:space="0" w:color="4A0E18" w:themeColor="accent6"/>
        <w:left w:val="single" w:sz="24" w:space="0" w:color="4A0E18" w:themeColor="accent6"/>
        <w:bottom w:val="single" w:sz="24" w:space="0" w:color="4A0E18" w:themeColor="accent6"/>
        <w:right w:val="single" w:sz="24" w:space="0" w:color="4A0E18" w:themeColor="accent6"/>
      </w:tblBorders>
    </w:tblPr>
    <w:tcPr>
      <w:shd w:val="clear" w:color="auto" w:fill="4A0E1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776AC3"/>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776AC3"/>
    <w:pPr>
      <w:spacing w:after="0"/>
    </w:pPr>
    <w:rPr>
      <w:color w:val="6D1423" w:themeColor="accent1" w:themeShade="BF"/>
    </w:rPr>
    <w:tblPr>
      <w:tblStyleRowBandSize w:val="1"/>
      <w:tblStyleColBandSize w:val="1"/>
      <w:tblBorders>
        <w:top w:val="single" w:sz="4" w:space="0" w:color="931B2F" w:themeColor="accent1"/>
        <w:bottom w:val="single" w:sz="4" w:space="0" w:color="931B2F" w:themeColor="accent1"/>
      </w:tblBorders>
    </w:tblPr>
    <w:tblStylePr w:type="firstRow">
      <w:rPr>
        <w:b/>
        <w:bCs/>
      </w:rPr>
      <w:tblPr/>
      <w:tcPr>
        <w:tcBorders>
          <w:bottom w:val="single" w:sz="4" w:space="0" w:color="931B2F" w:themeColor="accent1"/>
        </w:tcBorders>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ListTable6ColourfulAccent2">
    <w:name w:val="List Table 6 Colorful Accent 2"/>
    <w:basedOn w:val="TableNormal"/>
    <w:uiPriority w:val="51"/>
    <w:semiHidden/>
    <w:rsid w:val="00776AC3"/>
    <w:pPr>
      <w:spacing w:after="0"/>
    </w:pPr>
    <w:rPr>
      <w:color w:val="8A424E" w:themeColor="accent2" w:themeShade="BF"/>
    </w:rPr>
    <w:tblPr>
      <w:tblStyleRowBandSize w:val="1"/>
      <w:tblStyleColBandSize w:val="1"/>
      <w:tblBorders>
        <w:top w:val="single" w:sz="4" w:space="0" w:color="B35F6D" w:themeColor="accent2"/>
        <w:bottom w:val="single" w:sz="4" w:space="0" w:color="B35F6D" w:themeColor="accent2"/>
      </w:tblBorders>
    </w:tblPr>
    <w:tblStylePr w:type="firstRow">
      <w:rPr>
        <w:b/>
        <w:bCs/>
      </w:rPr>
      <w:tblPr/>
      <w:tcPr>
        <w:tcBorders>
          <w:bottom w:val="single" w:sz="4" w:space="0" w:color="B35F6D" w:themeColor="accent2"/>
        </w:tcBorders>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ListTable6ColourfulAccent3">
    <w:name w:val="List Table 6 Colorful Accent 3"/>
    <w:basedOn w:val="TableNormal"/>
    <w:uiPriority w:val="51"/>
    <w:semiHidden/>
    <w:rsid w:val="00776AC3"/>
    <w:pPr>
      <w:spacing w:after="0"/>
    </w:pPr>
    <w:rPr>
      <w:color w:val="AFABAB" w:themeColor="accent3" w:themeShade="BF"/>
    </w:rPr>
    <w:tblPr>
      <w:tblStyleRowBandSize w:val="1"/>
      <w:tblStyleColBandSize w:val="1"/>
      <w:tblBorders>
        <w:top w:val="single" w:sz="4" w:space="0" w:color="E8E7E7" w:themeColor="accent3"/>
        <w:bottom w:val="single" w:sz="4" w:space="0" w:color="E8E7E7" w:themeColor="accent3"/>
      </w:tblBorders>
    </w:tblPr>
    <w:tblStylePr w:type="firstRow">
      <w:rPr>
        <w:b/>
        <w:bCs/>
      </w:rPr>
      <w:tblPr/>
      <w:tcPr>
        <w:tcBorders>
          <w:bottom w:val="single" w:sz="4" w:space="0" w:color="E8E7E7" w:themeColor="accent3"/>
        </w:tcBorders>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6ColourfulAccent4">
    <w:name w:val="List Table 6 Colorful Accent 4"/>
    <w:basedOn w:val="TableNormal"/>
    <w:uiPriority w:val="51"/>
    <w:semiHidden/>
    <w:rsid w:val="00776AC3"/>
    <w:pPr>
      <w:spacing w:after="0"/>
    </w:pPr>
    <w:rPr>
      <w:color w:val="696464" w:themeColor="accent4" w:themeShade="BF"/>
    </w:rPr>
    <w:tblPr>
      <w:tblStyleRowBandSize w:val="1"/>
      <w:tblStyleColBandSize w:val="1"/>
      <w:tblBorders>
        <w:top w:val="single" w:sz="4" w:space="0" w:color="8C8686" w:themeColor="accent4"/>
        <w:bottom w:val="single" w:sz="4" w:space="0" w:color="8C8686" w:themeColor="accent4"/>
      </w:tblBorders>
    </w:tblPr>
    <w:tblStylePr w:type="firstRow">
      <w:rPr>
        <w:b/>
        <w:bCs/>
      </w:rPr>
      <w:tblPr/>
      <w:tcPr>
        <w:tcBorders>
          <w:bottom w:val="single" w:sz="4" w:space="0" w:color="8C8686" w:themeColor="accent4"/>
        </w:tcBorders>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ListTable6ColourfulAccent5">
    <w:name w:val="List Table 6 Colorful Accent 5"/>
    <w:basedOn w:val="TableNormal"/>
    <w:uiPriority w:val="51"/>
    <w:semiHidden/>
    <w:rsid w:val="00776AC3"/>
    <w:pPr>
      <w:spacing w:after="0"/>
    </w:pPr>
    <w:rPr>
      <w:color w:val="201F1F" w:themeColor="accent5" w:themeShade="BF"/>
    </w:rPr>
    <w:tblPr>
      <w:tblStyleRowBandSize w:val="1"/>
      <w:tblStyleColBandSize w:val="1"/>
      <w:tblBorders>
        <w:top w:val="single" w:sz="4" w:space="0" w:color="2C2A2A" w:themeColor="accent5"/>
        <w:bottom w:val="single" w:sz="4" w:space="0" w:color="2C2A2A" w:themeColor="accent5"/>
      </w:tblBorders>
    </w:tblPr>
    <w:tblStylePr w:type="firstRow">
      <w:rPr>
        <w:b/>
        <w:bCs/>
      </w:rPr>
      <w:tblPr/>
      <w:tcPr>
        <w:tcBorders>
          <w:bottom w:val="single" w:sz="4" w:space="0" w:color="2C2A2A" w:themeColor="accent5"/>
        </w:tcBorders>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ListTable6ColourfulAccent6">
    <w:name w:val="List Table 6 Colorful Accent 6"/>
    <w:basedOn w:val="TableNormal"/>
    <w:uiPriority w:val="51"/>
    <w:semiHidden/>
    <w:rsid w:val="00776AC3"/>
    <w:pPr>
      <w:spacing w:after="0"/>
    </w:pPr>
    <w:rPr>
      <w:color w:val="370A11" w:themeColor="accent6" w:themeShade="BF"/>
    </w:rPr>
    <w:tblPr>
      <w:tblStyleRowBandSize w:val="1"/>
      <w:tblStyleColBandSize w:val="1"/>
      <w:tblBorders>
        <w:top w:val="single" w:sz="4" w:space="0" w:color="4A0E18" w:themeColor="accent6"/>
        <w:bottom w:val="single" w:sz="4" w:space="0" w:color="4A0E18" w:themeColor="accent6"/>
      </w:tblBorders>
    </w:tblPr>
    <w:tblStylePr w:type="firstRow">
      <w:rPr>
        <w:b/>
        <w:bCs/>
      </w:rPr>
      <w:tblPr/>
      <w:tcPr>
        <w:tcBorders>
          <w:bottom w:val="single" w:sz="4" w:space="0" w:color="4A0E18" w:themeColor="accent6"/>
        </w:tcBorders>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ListTable7Colourful">
    <w:name w:val="List Table 7 Colorful"/>
    <w:basedOn w:val="TableNormal"/>
    <w:uiPriority w:val="52"/>
    <w:semiHidden/>
    <w:rsid w:val="00776AC3"/>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776AC3"/>
    <w:pPr>
      <w:spacing w:after="0"/>
    </w:pPr>
    <w:rPr>
      <w:color w:val="6D14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1B2F" w:themeColor="accent1"/>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776AC3"/>
    <w:pPr>
      <w:spacing w:after="0"/>
    </w:pPr>
    <w:rPr>
      <w:color w:val="8A424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5F6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5F6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5F6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5F6D" w:themeColor="accent2"/>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776AC3"/>
    <w:pPr>
      <w:spacing w:after="0"/>
    </w:pPr>
    <w:rPr>
      <w:color w:val="AFABA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E7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E7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E7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E7E7" w:themeColor="accent3"/>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776AC3"/>
    <w:pPr>
      <w:spacing w:after="0"/>
    </w:pPr>
    <w:rPr>
      <w:color w:val="6964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868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868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868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8686" w:themeColor="accent4"/>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776AC3"/>
    <w:pPr>
      <w:spacing w:after="0"/>
    </w:pPr>
    <w:rPr>
      <w:color w:val="201F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2A2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2A2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2A2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2A2A" w:themeColor="accent5"/>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776AC3"/>
    <w:pPr>
      <w:spacing w:after="0"/>
    </w:pPr>
    <w:rPr>
      <w:color w:val="370A1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0E1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0E1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0E1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0E18" w:themeColor="accent6"/>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776A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776AC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776A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76A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776AC3"/>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776A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
    <w:name w:val="Plain Table"/>
    <w:basedOn w:val="TableNormal"/>
    <w:uiPriority w:val="99"/>
    <w:rsid w:val="007E171F"/>
    <w:pPr>
      <w:spacing w:after="0"/>
    </w:pPr>
    <w:tblPr>
      <w:tblStyleRowBandSize w:val="1"/>
      <w:tblBorders>
        <w:top w:val="single" w:sz="4" w:space="0" w:color="931B2F" w:themeColor="background2"/>
        <w:bottom w:val="single" w:sz="4" w:space="0" w:color="931B2F" w:themeColor="background2"/>
        <w:insideH w:val="single" w:sz="4" w:space="0" w:color="931B2F" w:themeColor="background2"/>
      </w:tblBorders>
      <w:tblCellMar>
        <w:top w:w="85" w:type="dxa"/>
        <w:left w:w="85" w:type="dxa"/>
        <w:bottom w:w="85" w:type="dxa"/>
        <w:right w:w="85" w:type="dxa"/>
      </w:tblCellMar>
    </w:tblPr>
    <w:tcPr>
      <w:shd w:val="clear" w:color="auto" w:fill="auto"/>
    </w:tcPr>
    <w:tblStylePr w:type="firstRow">
      <w:pPr>
        <w:wordWrap/>
        <w:spacing w:beforeLines="0" w:before="0" w:beforeAutospacing="0" w:afterLines="0" w:after="0" w:afterAutospacing="0"/>
      </w:pPr>
      <w:rPr>
        <w:color w:val="000000" w:themeColor="text1"/>
      </w:rPr>
    </w:tblStylePr>
    <w:tblStylePr w:type="firstCol">
      <w:tblPr/>
      <w:tcPr>
        <w:shd w:val="clear" w:color="auto" w:fill="F2F2F2" w:themeFill="background1" w:themeFillShade="F2"/>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customStyle="1" w:styleId="BoxGrid-Black">
    <w:name w:val="Box Grid - Black"/>
    <w:basedOn w:val="TableNormal"/>
    <w:uiPriority w:val="99"/>
    <w:rsid w:val="00776AC3"/>
    <w:pPr>
      <w:spacing w:after="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table" w:customStyle="1" w:styleId="BoxGrid-Coloured">
    <w:name w:val="Box Grid - Coloured"/>
    <w:basedOn w:val="TableNormal"/>
    <w:uiPriority w:val="99"/>
    <w:rsid w:val="00776AC3"/>
    <w:pPr>
      <w:spacing w:after="0"/>
    </w:pPr>
    <w:tblPr>
      <w:tblBorders>
        <w:top w:val="single" w:sz="8" w:space="0" w:color="931B2F" w:themeColor="background2"/>
        <w:left w:val="single" w:sz="8" w:space="0" w:color="931B2F" w:themeColor="background2"/>
        <w:bottom w:val="single" w:sz="8" w:space="0" w:color="931B2F" w:themeColor="background2"/>
        <w:right w:val="single" w:sz="8" w:space="0" w:color="931B2F" w:themeColor="background2"/>
        <w:insideH w:val="single" w:sz="8" w:space="0" w:color="931B2F" w:themeColor="background2"/>
        <w:insideV w:val="single" w:sz="8" w:space="0" w:color="931B2F" w:themeColor="background2"/>
      </w:tblBorders>
      <w:tblCellMar>
        <w:top w:w="85" w:type="dxa"/>
        <w:left w:w="85" w:type="dxa"/>
        <w:bottom w:w="85" w:type="dxa"/>
        <w:right w:w="85" w:type="dxa"/>
      </w:tblCellMar>
    </w:tblPr>
  </w:style>
  <w:style w:type="paragraph" w:customStyle="1" w:styleId="CoverAddress">
    <w:name w:val="Cover Address"/>
    <w:uiPriority w:val="5"/>
    <w:semiHidden/>
    <w:qFormat/>
    <w:rsid w:val="00E501B2"/>
    <w:pPr>
      <w:spacing w:after="0"/>
      <w:jc w:val="center"/>
    </w:pPr>
    <w:rPr>
      <w:rFonts w:asciiTheme="majorHAnsi" w:hAnsiTheme="majorHAnsi"/>
      <w:color w:val="000000" w:themeColor="text1"/>
      <w:sz w:val="16"/>
    </w:rPr>
  </w:style>
  <w:style w:type="paragraph" w:customStyle="1" w:styleId="CoverTitle">
    <w:name w:val="Cover Title"/>
    <w:basedOn w:val="CoverAddress"/>
    <w:uiPriority w:val="5"/>
    <w:semiHidden/>
    <w:qFormat/>
    <w:rsid w:val="008359C2"/>
    <w:pPr>
      <w:jc w:val="left"/>
    </w:pPr>
    <w:rPr>
      <w:caps/>
      <w:color w:val="931B2F" w:themeColor="background2"/>
      <w:sz w:val="72"/>
    </w:rPr>
  </w:style>
  <w:style w:type="paragraph" w:customStyle="1" w:styleId="TableHeadingBlack">
    <w:name w:val="Table Heading Black"/>
    <w:basedOn w:val="TableHeading"/>
    <w:uiPriority w:val="10"/>
    <w:qFormat/>
    <w:rsid w:val="00BE3476"/>
    <w:rPr>
      <w:color w:val="000000" w:themeColor="text1"/>
    </w:rPr>
  </w:style>
  <w:style w:type="paragraph" w:customStyle="1" w:styleId="TOCSubheading">
    <w:name w:val="TOC Subheading"/>
    <w:basedOn w:val="TOCHeading"/>
    <w:uiPriority w:val="5"/>
    <w:semiHidden/>
    <w:qFormat/>
    <w:rsid w:val="001A73D7"/>
    <w:pPr>
      <w:pageBreakBefore w:val="0"/>
      <w:spacing w:after="200"/>
    </w:pPr>
    <w:rPr>
      <w:b w:val="0"/>
      <w:sz w:val="28"/>
    </w:rPr>
  </w:style>
  <w:style w:type="paragraph" w:customStyle="1" w:styleId="SectionTitle">
    <w:name w:val="Section Title"/>
    <w:basedOn w:val="Normal"/>
    <w:next w:val="Normal"/>
    <w:semiHidden/>
    <w:qFormat/>
    <w:rsid w:val="00FD1ACC"/>
    <w:pPr>
      <w:spacing w:before="200" w:after="400" w:line="240" w:lineRule="auto"/>
      <w:outlineLvl w:val="0"/>
    </w:pPr>
    <w:rPr>
      <w:color w:val="931B2F" w:themeColor="background2"/>
      <w:sz w:val="54"/>
    </w:rPr>
  </w:style>
  <w:style w:type="paragraph" w:styleId="ListNumber">
    <w:name w:val="List Number"/>
    <w:basedOn w:val="Normal"/>
    <w:uiPriority w:val="7"/>
    <w:qFormat/>
    <w:rsid w:val="003D0711"/>
    <w:pPr>
      <w:numPr>
        <w:numId w:val="14"/>
      </w:numPr>
      <w:spacing w:before="100" w:after="100"/>
    </w:pPr>
  </w:style>
  <w:style w:type="paragraph" w:customStyle="1" w:styleId="CoverSubtitle">
    <w:name w:val="Cover Subtitle"/>
    <w:basedOn w:val="CoverTitle"/>
    <w:uiPriority w:val="5"/>
    <w:semiHidden/>
    <w:qFormat/>
    <w:rsid w:val="008359C2"/>
    <w:pPr>
      <w:spacing w:before="120" w:after="120"/>
    </w:pPr>
    <w:rPr>
      <w:color w:val="4D4D4D" w:themeColor="text2"/>
      <w:sz w:val="32"/>
    </w:rPr>
  </w:style>
  <w:style w:type="paragraph" w:styleId="ListNumber2">
    <w:name w:val="List Number 2"/>
    <w:basedOn w:val="Normal"/>
    <w:uiPriority w:val="7"/>
    <w:rsid w:val="003D0711"/>
    <w:pPr>
      <w:numPr>
        <w:ilvl w:val="1"/>
        <w:numId w:val="14"/>
      </w:numPr>
      <w:spacing w:before="100" w:after="100"/>
    </w:pPr>
  </w:style>
  <w:style w:type="paragraph" w:customStyle="1" w:styleId="CoverDate">
    <w:name w:val="Cover Date"/>
    <w:basedOn w:val="CoverAddress"/>
    <w:uiPriority w:val="5"/>
    <w:semiHidden/>
    <w:qFormat/>
    <w:rsid w:val="009933E1"/>
    <w:pPr>
      <w:jc w:val="left"/>
    </w:pPr>
    <w:rPr>
      <w:caps/>
      <w:sz w:val="28"/>
    </w:rPr>
  </w:style>
  <w:style w:type="numbering" w:customStyle="1" w:styleId="HeadingsNumbered">
    <w:name w:val="Headings Numbered"/>
    <w:uiPriority w:val="99"/>
    <w:rsid w:val="00087A56"/>
    <w:pPr>
      <w:numPr>
        <w:numId w:val="10"/>
      </w:numPr>
    </w:pPr>
  </w:style>
  <w:style w:type="paragraph" w:styleId="List3">
    <w:name w:val="List 3"/>
    <w:basedOn w:val="Normal"/>
    <w:uiPriority w:val="7"/>
    <w:rsid w:val="003D0711"/>
    <w:pPr>
      <w:numPr>
        <w:ilvl w:val="2"/>
        <w:numId w:val="15"/>
      </w:numPr>
      <w:spacing w:before="100" w:after="100"/>
    </w:pPr>
  </w:style>
  <w:style w:type="paragraph" w:styleId="List4">
    <w:name w:val="List 4"/>
    <w:basedOn w:val="Normal"/>
    <w:uiPriority w:val="7"/>
    <w:semiHidden/>
    <w:locked/>
    <w:rsid w:val="00666E93"/>
    <w:pPr>
      <w:numPr>
        <w:ilvl w:val="7"/>
        <w:numId w:val="11"/>
      </w:numPr>
      <w:spacing w:before="180" w:after="180"/>
      <w:ind w:left="2382" w:hanging="397"/>
    </w:pPr>
  </w:style>
  <w:style w:type="paragraph" w:styleId="ListNumber3">
    <w:name w:val="List Number 3"/>
    <w:basedOn w:val="Normal"/>
    <w:uiPriority w:val="7"/>
    <w:rsid w:val="003D0711"/>
    <w:pPr>
      <w:numPr>
        <w:ilvl w:val="2"/>
        <w:numId w:val="14"/>
      </w:numPr>
      <w:spacing w:before="100" w:after="100"/>
    </w:pPr>
  </w:style>
  <w:style w:type="paragraph" w:customStyle="1" w:styleId="1ptspacer">
    <w:name w:val="1pt spacer"/>
    <w:basedOn w:val="Normal"/>
    <w:uiPriority w:val="2"/>
    <w:semiHidden/>
    <w:rsid w:val="00F25945"/>
    <w:pPr>
      <w:spacing w:after="190" w:line="240" w:lineRule="auto"/>
      <w:contextualSpacing/>
    </w:pPr>
    <w:rPr>
      <w:rFonts w:eastAsia="Calibri" w:cs="Calibri"/>
      <w:color w:val="E8E7E7" w:themeColor="accent3"/>
      <w:sz w:val="2"/>
    </w:rPr>
  </w:style>
  <w:style w:type="paragraph" w:customStyle="1" w:styleId="CaptionTable">
    <w:name w:val="Caption Table"/>
    <w:basedOn w:val="Caption"/>
    <w:uiPriority w:val="8"/>
    <w:qFormat/>
    <w:rsid w:val="006D794C"/>
    <w:pPr>
      <w:keepNext/>
      <w:keepLines/>
    </w:pPr>
    <w:rPr>
      <w:sz w:val="20"/>
    </w:rPr>
  </w:style>
  <w:style w:type="paragraph" w:customStyle="1" w:styleId="CaptionFigure">
    <w:name w:val="Caption Figure"/>
    <w:basedOn w:val="CaptionTable"/>
    <w:uiPriority w:val="8"/>
    <w:qFormat/>
    <w:rsid w:val="006D794C"/>
  </w:style>
  <w:style w:type="paragraph" w:styleId="TableofFigures">
    <w:name w:val="table of figures"/>
    <w:basedOn w:val="Normal"/>
    <w:next w:val="Normal"/>
    <w:uiPriority w:val="99"/>
    <w:unhideWhenUsed/>
    <w:locked/>
    <w:rsid w:val="001A73D7"/>
    <w:pPr>
      <w:tabs>
        <w:tab w:val="left" w:pos="993"/>
        <w:tab w:val="right" w:leader="dot" w:pos="9628"/>
      </w:tabs>
      <w:ind w:left="992" w:hanging="992"/>
      <w:contextualSpacing/>
    </w:pPr>
    <w:rPr>
      <w:rFonts w:eastAsiaTheme="minorEastAsia"/>
      <w:color w:val="auto"/>
      <w:szCs w:val="22"/>
      <w:lang w:eastAsia="en-AU"/>
    </w:rPr>
  </w:style>
  <w:style w:type="paragraph" w:customStyle="1" w:styleId="TableTitle">
    <w:name w:val="Table Title"/>
    <w:basedOn w:val="Caption"/>
    <w:uiPriority w:val="8"/>
    <w:qFormat/>
    <w:rsid w:val="00C41308"/>
    <w:rPr>
      <w:color w:val="931B2F" w:themeColor="background2"/>
    </w:rPr>
  </w:style>
  <w:style w:type="paragraph" w:customStyle="1" w:styleId="NormalSingleSpacing">
    <w:name w:val="Normal Single Spacing"/>
    <w:basedOn w:val="Normal"/>
    <w:uiPriority w:val="5"/>
    <w:qFormat/>
    <w:rsid w:val="008404DE"/>
    <w:pPr>
      <w:spacing w:after="0" w:line="240" w:lineRule="auto"/>
    </w:pPr>
  </w:style>
  <w:style w:type="paragraph" w:styleId="Revision">
    <w:name w:val="Revision"/>
    <w:hidden/>
    <w:uiPriority w:val="99"/>
    <w:semiHidden/>
    <w:rsid w:val="00434873"/>
    <w:pPr>
      <w:spacing w:after="0"/>
    </w:pPr>
    <w:rPr>
      <w:color w:val="000000" w:themeColor="text1"/>
      <w:sz w:val="22"/>
    </w:rPr>
  </w:style>
  <w:style w:type="character" w:styleId="Mention">
    <w:name w:val="Mention"/>
    <w:basedOn w:val="DefaultParagraphFont"/>
    <w:uiPriority w:val="99"/>
    <w:unhideWhenUsed/>
    <w:rsid w:val="00434873"/>
    <w:rPr>
      <w:color w:val="2B579A"/>
      <w:shd w:val="clear" w:color="auto" w:fill="E1DFDD"/>
    </w:rPr>
  </w:style>
  <w:style w:type="paragraph" w:styleId="NormalWeb">
    <w:name w:val="Normal (Web)"/>
    <w:basedOn w:val="Normal"/>
    <w:uiPriority w:val="99"/>
    <w:unhideWhenUsed/>
    <w:locked/>
    <w:rsid w:val="0043487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dandolo.com.au" TargetMode="External"/><Relationship Id="rId2" Type="http://schemas.openxmlformats.org/officeDocument/2006/relationships/hyperlink" Target="mailto:enquiries@dandolo.com.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Library/CloudStorage/OneDrive-DandoloPartners/Documents/General/Templates%2520and%2520Guides/Microsoft%2520Office%2520Templates/Blank%2520dandolo%2520template.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4D4D4D"/>
      </a:dk2>
      <a:lt2>
        <a:srgbClr val="931B2F"/>
      </a:lt2>
      <a:accent1>
        <a:srgbClr val="931B2F"/>
      </a:accent1>
      <a:accent2>
        <a:srgbClr val="B35F6D"/>
      </a:accent2>
      <a:accent3>
        <a:srgbClr val="E8E7E7"/>
      </a:accent3>
      <a:accent4>
        <a:srgbClr val="8C8686"/>
      </a:accent4>
      <a:accent5>
        <a:srgbClr val="2C2A2A"/>
      </a:accent5>
      <a:accent6>
        <a:srgbClr val="4A0E18"/>
      </a:accent6>
      <a:hlink>
        <a:srgbClr val="4D4D4D"/>
      </a:hlink>
      <a:folHlink>
        <a:srgbClr val="4D4D4D"/>
      </a:folHlink>
    </a:clrScheme>
    <a:fontScheme name="Custom 2">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lIns="72000" tIns="72000" rIns="72000" bIns="72000" rtlCol="0" anchor="t"/>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bg2"/>
          </a:solidFill>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3AB5294A4ED4B89C8B4AC44AA6993" ma:contentTypeVersion="15" ma:contentTypeDescription="Create a new document." ma:contentTypeScope="" ma:versionID="01c8c5fa4958bf8589294d9a8bfea1bc">
  <xsd:schema xmlns:xsd="http://www.w3.org/2001/XMLSchema" xmlns:xs="http://www.w3.org/2001/XMLSchema" xmlns:p="http://schemas.microsoft.com/office/2006/metadata/properties" xmlns:ns2="abb160d0-1a36-4968-a08d-a55e29b600c8" xmlns:ns3="4dd4594f-ca0f-431e-a7f2-f172611ed348" targetNamespace="http://schemas.microsoft.com/office/2006/metadata/properties" ma:root="true" ma:fieldsID="f6d4a3e671333af5125ba5a3608c3441" ns2:_="" ns3:_="">
    <xsd:import namespace="abb160d0-1a36-4968-a08d-a55e29b600c8"/>
    <xsd:import namespace="4dd4594f-ca0f-431e-a7f2-f172611ed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160d0-1a36-4968-a08d-a55e29b6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09a306-d64c-4941-b091-ffdf9c9a5d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d4594f-ca0f-431e-a7f2-f172611ed3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9cd73c-ff22-4060-8ac3-eee995122fcd}" ma:internalName="TaxCatchAll" ma:showField="CatchAllData" ma:web="4dd4594f-ca0f-431e-a7f2-f172611ed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160d0-1a36-4968-a08d-a55e29b600c8">
      <Terms xmlns="http://schemas.microsoft.com/office/infopath/2007/PartnerControls"/>
    </lcf76f155ced4ddcb4097134ff3c332f>
    <TaxCatchAll xmlns="4dd4594f-ca0f-431e-a7f2-f172611ed3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81155-F21E-49B5-B971-A503E8E5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160d0-1a36-4968-a08d-a55e29b600c8"/>
    <ds:schemaRef ds:uri="4dd4594f-ca0f-431e-a7f2-f172611ed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33939-B456-40C0-B3A2-BF3DB308C5D2}">
  <ds:schemaRefs>
    <ds:schemaRef ds:uri="http://schemas.microsoft.com/office/2006/metadata/properties"/>
    <ds:schemaRef ds:uri="http://schemas.microsoft.com/office/infopath/2007/PartnerControls"/>
    <ds:schemaRef ds:uri="abb160d0-1a36-4968-a08d-a55e29b600c8"/>
    <ds:schemaRef ds:uri="4dd4594f-ca0f-431e-a7f2-f172611ed348"/>
  </ds:schemaRefs>
</ds:datastoreItem>
</file>

<file path=customXml/itemProps3.xml><?xml version="1.0" encoding="utf-8"?>
<ds:datastoreItem xmlns:ds="http://schemas.openxmlformats.org/officeDocument/2006/customXml" ds:itemID="{A9EFAE01-0B8D-4CC4-8C3F-61C28027F446}">
  <ds:schemaRefs>
    <ds:schemaRef ds:uri="http://schemas.microsoft.com/sharepoint/v3/contenttype/forms"/>
  </ds:schemaRefs>
</ds:datastoreItem>
</file>

<file path=customXml/itemProps4.xml><?xml version="1.0" encoding="utf-8"?>
<ds:datastoreItem xmlns:ds="http://schemas.openxmlformats.org/officeDocument/2006/customXml" ds:itemID="{9A003CEA-04C5-4024-8C7A-05CEAD0D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Blank%20dandolo%20template.dotx</Template>
  <TotalTime>28</TotalTime>
  <Pages>17</Pages>
  <Words>6373</Words>
  <Characters>36331</Characters>
  <Application>Microsoft Office Word</Application>
  <DocSecurity>0</DocSecurity>
  <Lines>302</Lines>
  <Paragraphs>85</Paragraphs>
  <ScaleCrop>false</ScaleCrop>
  <Manager/>
  <Company/>
  <LinksUpToDate>false</LinksUpToDate>
  <CharactersWithSpaces>42619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Delivering high-quality practicum placements</dc:title>
  <dc:subject>document subtitle</dc:subject>
  <dc:creator>Tom Antoniazzi</dc:creator>
  <cp:keywords/>
  <cp:lastModifiedBy>Tom Antoniazzi</cp:lastModifiedBy>
  <cp:revision>4</cp:revision>
  <dcterms:created xsi:type="dcterms:W3CDTF">2023-02-10T05:10:00Z</dcterms:created>
  <dcterms:modified xsi:type="dcterms:W3CDTF">2023-02-10T06:08:00Z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0x0101003CC3AB5294A4ED4B89C8B4AC44AA6993</vt:lpwstr>
  </property>
  <property fmtid="{D5CDD505-2E9C-101B-9397-08002B2CF9AE}" pid="3" name="MediaServiceImageTags">
    <vt:lpwstr/>
  </property>
</Properties>
</file>