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A630" w14:textId="26A9876B" w:rsidR="002B485F" w:rsidRPr="002B485F" w:rsidRDefault="00615C5C" w:rsidP="00C62FA7">
      <w:pPr>
        <w:pStyle w:val="NormalTextNumbered"/>
        <w:rPr>
          <w:color w:val="FFFFFF"/>
          <w:sz w:val="24"/>
          <w:szCs w:val="28"/>
          <w:lang w:val="en-US"/>
        </w:rPr>
        <w:sectPr w:rsidR="002B485F" w:rsidRPr="002B485F" w:rsidSect="002B485F">
          <w:headerReference w:type="even" r:id="rId11"/>
          <w:headerReference w:type="default" r:id="rId12"/>
          <w:footerReference w:type="even" r:id="rId13"/>
          <w:footerReference w:type="default" r:id="rId14"/>
          <w:headerReference w:type="first" r:id="rId15"/>
          <w:footerReference w:type="first" r:id="rId16"/>
          <w:pgSz w:w="11906" w:h="16838"/>
          <w:pgMar w:top="1134" w:right="964" w:bottom="1134" w:left="964" w:header="709" w:footer="709" w:gutter="0"/>
          <w:pgNumType w:fmt="lowerRoman" w:start="1"/>
          <w:cols w:space="708"/>
          <w:titlePg/>
          <w:docGrid w:linePitch="360"/>
        </w:sectPr>
      </w:pPr>
      <w:r w:rsidRPr="002B485F">
        <w:rPr>
          <w:noProof/>
          <w:lang w:val="en-GB" w:eastAsia="en-GB"/>
        </w:rPr>
        <w:drawing>
          <wp:anchor distT="0" distB="0" distL="114300" distR="114300" simplePos="0" relativeHeight="251655168" behindDoc="0" locked="0" layoutInCell="1" allowOverlap="1" wp14:anchorId="7785E405" wp14:editId="24BDFF87">
            <wp:simplePos x="0" y="0"/>
            <wp:positionH relativeFrom="margin">
              <wp:posOffset>-612140</wp:posOffset>
            </wp:positionH>
            <wp:positionV relativeFrom="margin">
              <wp:posOffset>-242077</wp:posOffset>
            </wp:positionV>
            <wp:extent cx="7542530" cy="9610464"/>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44044" cy="9612393"/>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002B485F" w:rsidRPr="002B485F">
        <w:rPr>
          <w:noProof/>
          <w:lang w:val="en-GB" w:eastAsia="en-GB"/>
        </w:rPr>
        <mc:AlternateContent>
          <mc:Choice Requires="wps">
            <w:drawing>
              <wp:anchor distT="0" distB="0" distL="114300" distR="114300" simplePos="0" relativeHeight="251664384" behindDoc="0" locked="0" layoutInCell="1" allowOverlap="1" wp14:anchorId="21A1EFEF" wp14:editId="167440DC">
                <wp:simplePos x="0" y="0"/>
                <wp:positionH relativeFrom="column">
                  <wp:posOffset>397968</wp:posOffset>
                </wp:positionH>
                <wp:positionV relativeFrom="paragraph">
                  <wp:posOffset>300694</wp:posOffset>
                </wp:positionV>
                <wp:extent cx="5029200" cy="3429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29200" cy="3429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4AAD5B" w14:textId="7DF48735" w:rsidR="0093273E" w:rsidRPr="002B485F" w:rsidRDefault="009924D4" w:rsidP="002B485F">
                            <w:pPr>
                              <w:pStyle w:val="ACUMajorHeading"/>
                              <w:rPr>
                                <w:color w:val="FFFFFF"/>
                                <w:sz w:val="56"/>
                                <w:szCs w:val="14"/>
                              </w:rPr>
                            </w:pPr>
                            <w:r w:rsidRPr="009924D4">
                              <w:rPr>
                                <w:color w:val="FFFFFF"/>
                                <w:sz w:val="56"/>
                                <w:szCs w:val="14"/>
                              </w:rPr>
                              <w:t>Developing an Australian Framework for Measuring Quality in Initial Teacher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EFEF" id="_x0000_t202" coordsize="21600,21600" o:spt="202" path="m,l,21600r21600,l21600,xe">
                <v:stroke joinstyle="miter"/>
                <v:path gradientshapeok="t" o:connecttype="rect"/>
              </v:shapetype>
              <v:shape id="Text Box 1" o:spid="_x0000_s1026" type="#_x0000_t202" style="position:absolute;left:0;text-align:left;margin-left:31.35pt;margin-top:23.7pt;width:396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" filled="f" stroked="f">
                <v:textbox>
                  <w:txbxContent>
                    <w:p w14:paraId="314AAD5B" w14:textId="7DF48735" w:rsidR="0093273E" w:rsidRPr="002B485F" w:rsidRDefault="009924D4" w:rsidP="002B485F">
                      <w:pPr>
                        <w:pStyle w:val="ACUMajorHeading"/>
                        <w:rPr>
                          <w:color w:val="FFFFFF"/>
                          <w:sz w:val="56"/>
                          <w:szCs w:val="14"/>
                        </w:rPr>
                      </w:pPr>
                      <w:r w:rsidRPr="009924D4">
                        <w:rPr>
                          <w:color w:val="FFFFFF"/>
                          <w:sz w:val="56"/>
                          <w:szCs w:val="14"/>
                        </w:rPr>
                        <w:t>Developing an Australian Framework for Measuring Quality in Initial Teacher Education</w:t>
                      </w:r>
                    </w:p>
                  </w:txbxContent>
                </v:textbox>
              </v:shape>
            </w:pict>
          </mc:Fallback>
        </mc:AlternateContent>
      </w:r>
    </w:p>
    <w:bookmarkStart w:id="0" w:name="_Hlk116908353"/>
    <w:bookmarkEnd w:id="0"/>
    <w:p w14:paraId="41C14F03" w14:textId="02749546" w:rsidR="002B485F" w:rsidRPr="002B485F" w:rsidRDefault="00A80E6B" w:rsidP="002B485F">
      <w:pPr>
        <w:rPr>
          <w:rFonts w:ascii="Open Sans SemiBold" w:hAnsi="Open Sans SemiBold" w:cs="Open Sans SemiBold"/>
          <w:color w:val="FFFFFF"/>
          <w:szCs w:val="14"/>
          <w:lang w:val="en-US"/>
        </w:rPr>
      </w:pPr>
      <w:r w:rsidRPr="002B485F">
        <w:rPr>
          <w:noProof/>
          <w:lang w:val="en-GB" w:eastAsia="en-GB"/>
        </w:rPr>
        <mc:AlternateContent>
          <mc:Choice Requires="wps">
            <w:drawing>
              <wp:anchor distT="0" distB="0" distL="114300" distR="114300" simplePos="0" relativeHeight="251674624" behindDoc="0" locked="0" layoutInCell="1" allowOverlap="1" wp14:anchorId="16C86809" wp14:editId="1F26683C">
                <wp:simplePos x="0" y="0"/>
                <wp:positionH relativeFrom="margin">
                  <wp:posOffset>454660</wp:posOffset>
                </wp:positionH>
                <wp:positionV relativeFrom="paragraph">
                  <wp:posOffset>2592070</wp:posOffset>
                </wp:positionV>
                <wp:extent cx="2404110" cy="13303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2404110" cy="1330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851982" w14:textId="75FDF0E0" w:rsidR="00A80E6B" w:rsidRPr="000A6547" w:rsidRDefault="00A80E6B" w:rsidP="00A80E6B">
                            <w:pPr>
                              <w:pStyle w:val="ACUMajorHeading"/>
                              <w:spacing w:after="120"/>
                              <w:rPr>
                                <w:color w:val="E7E6E6" w:themeColor="background2"/>
                                <w:sz w:val="24"/>
                                <w:szCs w:val="24"/>
                              </w:rPr>
                            </w:pPr>
                            <w:r w:rsidRPr="000A6547">
                              <w:rPr>
                                <w:color w:val="E7E6E6" w:themeColor="background2"/>
                                <w:sz w:val="24"/>
                                <w:szCs w:val="24"/>
                              </w:rPr>
                              <w:t>Research Team:</w:t>
                            </w:r>
                          </w:p>
                          <w:p w14:paraId="1A10536D" w14:textId="586DF707" w:rsidR="00A80E6B" w:rsidRPr="000A6547" w:rsidRDefault="00A80E6B" w:rsidP="00A80E6B">
                            <w:pPr>
                              <w:pStyle w:val="ACUMajorHeading"/>
                              <w:spacing w:after="120"/>
                              <w:rPr>
                                <w:b w:val="0"/>
                                <w:bCs/>
                                <w:color w:val="E7E6E6" w:themeColor="background2"/>
                                <w:sz w:val="22"/>
                                <w:szCs w:val="22"/>
                              </w:rPr>
                            </w:pPr>
                            <w:r w:rsidRPr="000A6547">
                              <w:rPr>
                                <w:b w:val="0"/>
                                <w:bCs/>
                                <w:color w:val="E7E6E6" w:themeColor="background2"/>
                                <w:sz w:val="22"/>
                                <w:szCs w:val="22"/>
                              </w:rPr>
                              <w:t>Professor Claire Wyatt-Smith</w:t>
                            </w:r>
                          </w:p>
                          <w:p w14:paraId="5E2AC804" w14:textId="7E57C2F7" w:rsidR="00A80E6B" w:rsidRPr="000A6547" w:rsidRDefault="00A80E6B" w:rsidP="00A80E6B">
                            <w:pPr>
                              <w:pStyle w:val="ACUMajorHeading"/>
                              <w:spacing w:after="120"/>
                              <w:rPr>
                                <w:b w:val="0"/>
                                <w:bCs/>
                                <w:color w:val="E7E6E6" w:themeColor="background2"/>
                                <w:sz w:val="22"/>
                                <w:szCs w:val="22"/>
                              </w:rPr>
                            </w:pPr>
                            <w:r w:rsidRPr="000A6547">
                              <w:rPr>
                                <w:b w:val="0"/>
                                <w:bCs/>
                                <w:color w:val="E7E6E6" w:themeColor="background2"/>
                                <w:sz w:val="22"/>
                                <w:szCs w:val="22"/>
                              </w:rPr>
                              <w:t xml:space="preserve">Dr Melanie </w:t>
                            </w:r>
                            <w:proofErr w:type="spellStart"/>
                            <w:r w:rsidRPr="000A6547">
                              <w:rPr>
                                <w:b w:val="0"/>
                                <w:bCs/>
                                <w:color w:val="E7E6E6" w:themeColor="background2"/>
                                <w:sz w:val="22"/>
                                <w:szCs w:val="22"/>
                              </w:rPr>
                              <w:t>Spallek</w:t>
                            </w:r>
                            <w:proofErr w:type="spellEnd"/>
                          </w:p>
                          <w:p w14:paraId="711176D4" w14:textId="77777777" w:rsidR="00F40EA1" w:rsidRPr="000A6547" w:rsidRDefault="00A80E6B" w:rsidP="00F40EA1">
                            <w:pPr>
                              <w:pStyle w:val="ACUMajorHeading"/>
                              <w:spacing w:after="120"/>
                              <w:rPr>
                                <w:b w:val="0"/>
                                <w:bCs/>
                                <w:color w:val="E7E6E6" w:themeColor="background2"/>
                                <w:sz w:val="22"/>
                                <w:szCs w:val="22"/>
                              </w:rPr>
                            </w:pPr>
                            <w:r w:rsidRPr="000A6547">
                              <w:rPr>
                                <w:b w:val="0"/>
                                <w:bCs/>
                                <w:color w:val="E7E6E6" w:themeColor="background2"/>
                                <w:sz w:val="22"/>
                                <w:szCs w:val="22"/>
                              </w:rPr>
                              <w:t>Dr Chantelle Day</w:t>
                            </w:r>
                            <w:r w:rsidR="00F40EA1" w:rsidRPr="000A6547">
                              <w:rPr>
                                <w:b w:val="0"/>
                                <w:bCs/>
                                <w:color w:val="E7E6E6" w:themeColor="background2"/>
                                <w:sz w:val="22"/>
                                <w:szCs w:val="22"/>
                              </w:rPr>
                              <w:t xml:space="preserve"> </w:t>
                            </w:r>
                          </w:p>
                          <w:p w14:paraId="07DF83B5" w14:textId="7881B42E" w:rsidR="00A80E6B" w:rsidRPr="000A6547" w:rsidRDefault="00F40EA1" w:rsidP="00A80E6B">
                            <w:pPr>
                              <w:pStyle w:val="ACUMajorHeading"/>
                              <w:spacing w:after="120"/>
                              <w:rPr>
                                <w:b w:val="0"/>
                                <w:bCs/>
                                <w:color w:val="E7E6E6" w:themeColor="background2"/>
                                <w:sz w:val="22"/>
                                <w:szCs w:val="22"/>
                              </w:rPr>
                            </w:pPr>
                            <w:r w:rsidRPr="000A6547">
                              <w:rPr>
                                <w:b w:val="0"/>
                                <w:bCs/>
                                <w:color w:val="E7E6E6" w:themeColor="background2"/>
                                <w:sz w:val="22"/>
                                <w:szCs w:val="22"/>
                              </w:rPr>
                              <w:t>John Ryan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86809" id="Text Box 7" o:spid="_x0000_s1027" type="#_x0000_t202" style="position:absolute;margin-left:35.8pt;margin-top:204.1pt;width:189.3pt;height:10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" filled="f" stroked="f">
                <v:textbox>
                  <w:txbxContent>
                    <w:p w14:paraId="78851982" w14:textId="75FDF0E0" w:rsidR="00A80E6B" w:rsidRPr="000A6547" w:rsidRDefault="00A80E6B" w:rsidP="00A80E6B">
                      <w:pPr>
                        <w:pStyle w:val="ACUMajorHeading"/>
                        <w:spacing w:after="120"/>
                        <w:rPr>
                          <w:color w:val="E7E6E6" w:themeColor="background2"/>
                          <w:sz w:val="24"/>
                          <w:szCs w:val="24"/>
                        </w:rPr>
                      </w:pPr>
                      <w:r w:rsidRPr="000A6547">
                        <w:rPr>
                          <w:color w:val="E7E6E6" w:themeColor="background2"/>
                          <w:sz w:val="24"/>
                          <w:szCs w:val="24"/>
                        </w:rPr>
                        <w:t>Research Team:</w:t>
                      </w:r>
                    </w:p>
                    <w:p w14:paraId="1A10536D" w14:textId="586DF707" w:rsidR="00A80E6B" w:rsidRPr="000A6547" w:rsidRDefault="00A80E6B" w:rsidP="00A80E6B">
                      <w:pPr>
                        <w:pStyle w:val="ACUMajorHeading"/>
                        <w:spacing w:after="120"/>
                        <w:rPr>
                          <w:b w:val="0"/>
                          <w:bCs/>
                          <w:color w:val="E7E6E6" w:themeColor="background2"/>
                          <w:sz w:val="22"/>
                          <w:szCs w:val="22"/>
                        </w:rPr>
                      </w:pPr>
                      <w:r w:rsidRPr="000A6547">
                        <w:rPr>
                          <w:b w:val="0"/>
                          <w:bCs/>
                          <w:color w:val="E7E6E6" w:themeColor="background2"/>
                          <w:sz w:val="22"/>
                          <w:szCs w:val="22"/>
                        </w:rPr>
                        <w:t>Professor Claire Wyatt-Smith</w:t>
                      </w:r>
                    </w:p>
                    <w:p w14:paraId="5E2AC804" w14:textId="7E57C2F7" w:rsidR="00A80E6B" w:rsidRPr="000A6547" w:rsidRDefault="00A80E6B" w:rsidP="00A80E6B">
                      <w:pPr>
                        <w:pStyle w:val="ACUMajorHeading"/>
                        <w:spacing w:after="120"/>
                        <w:rPr>
                          <w:b w:val="0"/>
                          <w:bCs/>
                          <w:color w:val="E7E6E6" w:themeColor="background2"/>
                          <w:sz w:val="22"/>
                          <w:szCs w:val="22"/>
                        </w:rPr>
                      </w:pPr>
                      <w:r w:rsidRPr="000A6547">
                        <w:rPr>
                          <w:b w:val="0"/>
                          <w:bCs/>
                          <w:color w:val="E7E6E6" w:themeColor="background2"/>
                          <w:sz w:val="22"/>
                          <w:szCs w:val="22"/>
                        </w:rPr>
                        <w:t xml:space="preserve">Dr Melanie </w:t>
                      </w:r>
                      <w:proofErr w:type="spellStart"/>
                      <w:r w:rsidRPr="000A6547">
                        <w:rPr>
                          <w:b w:val="0"/>
                          <w:bCs/>
                          <w:color w:val="E7E6E6" w:themeColor="background2"/>
                          <w:sz w:val="22"/>
                          <w:szCs w:val="22"/>
                        </w:rPr>
                        <w:t>Spallek</w:t>
                      </w:r>
                      <w:proofErr w:type="spellEnd"/>
                    </w:p>
                    <w:p w14:paraId="711176D4" w14:textId="77777777" w:rsidR="00F40EA1" w:rsidRPr="000A6547" w:rsidRDefault="00A80E6B" w:rsidP="00F40EA1">
                      <w:pPr>
                        <w:pStyle w:val="ACUMajorHeading"/>
                        <w:spacing w:after="120"/>
                        <w:rPr>
                          <w:b w:val="0"/>
                          <w:bCs/>
                          <w:color w:val="E7E6E6" w:themeColor="background2"/>
                          <w:sz w:val="22"/>
                          <w:szCs w:val="22"/>
                        </w:rPr>
                      </w:pPr>
                      <w:r w:rsidRPr="000A6547">
                        <w:rPr>
                          <w:b w:val="0"/>
                          <w:bCs/>
                          <w:color w:val="E7E6E6" w:themeColor="background2"/>
                          <w:sz w:val="22"/>
                          <w:szCs w:val="22"/>
                        </w:rPr>
                        <w:t>Dr Chantelle Day</w:t>
                      </w:r>
                      <w:r w:rsidR="00F40EA1" w:rsidRPr="000A6547">
                        <w:rPr>
                          <w:b w:val="0"/>
                          <w:bCs/>
                          <w:color w:val="E7E6E6" w:themeColor="background2"/>
                          <w:sz w:val="22"/>
                          <w:szCs w:val="22"/>
                        </w:rPr>
                        <w:t xml:space="preserve"> </w:t>
                      </w:r>
                    </w:p>
                    <w:p w14:paraId="07DF83B5" w14:textId="7881B42E" w:rsidR="00A80E6B" w:rsidRPr="000A6547" w:rsidRDefault="00F40EA1" w:rsidP="00A80E6B">
                      <w:pPr>
                        <w:pStyle w:val="ACUMajorHeading"/>
                        <w:spacing w:after="120"/>
                        <w:rPr>
                          <w:b w:val="0"/>
                          <w:bCs/>
                          <w:color w:val="E7E6E6" w:themeColor="background2"/>
                          <w:sz w:val="22"/>
                          <w:szCs w:val="22"/>
                        </w:rPr>
                      </w:pPr>
                      <w:r w:rsidRPr="000A6547">
                        <w:rPr>
                          <w:b w:val="0"/>
                          <w:bCs/>
                          <w:color w:val="E7E6E6" w:themeColor="background2"/>
                          <w:sz w:val="22"/>
                          <w:szCs w:val="22"/>
                        </w:rPr>
                        <w:t>John Ryan</w:t>
                      </w:r>
                    </w:p>
                  </w:txbxContent>
                </v:textbox>
                <w10:wrap type="square" anchorx="margin"/>
              </v:shape>
            </w:pict>
          </mc:Fallback>
        </mc:AlternateContent>
      </w:r>
      <w:r w:rsidR="009924D4" w:rsidRPr="002B485F">
        <w:rPr>
          <w:noProof/>
          <w:lang w:val="en-GB" w:eastAsia="en-GB"/>
        </w:rPr>
        <mc:AlternateContent>
          <mc:Choice Requires="wps">
            <w:drawing>
              <wp:anchor distT="0" distB="0" distL="114300" distR="114300" simplePos="0" relativeHeight="251645952" behindDoc="0" locked="0" layoutInCell="1" allowOverlap="1" wp14:anchorId="51915FB5" wp14:editId="4D8F537A">
                <wp:simplePos x="0" y="0"/>
                <wp:positionH relativeFrom="column">
                  <wp:posOffset>435610</wp:posOffset>
                </wp:positionH>
                <wp:positionV relativeFrom="paragraph">
                  <wp:posOffset>3018155</wp:posOffset>
                </wp:positionV>
                <wp:extent cx="5018405" cy="3333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018405" cy="333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D84ED4" w14:textId="7EC7F7BA" w:rsidR="0093273E" w:rsidRPr="002B485F" w:rsidRDefault="00306972" w:rsidP="002B485F">
                            <w:pPr>
                              <w:pStyle w:val="ACUMajorHeading"/>
                              <w:rPr>
                                <w:color w:val="AEAAAA"/>
                                <w:sz w:val="24"/>
                                <w:szCs w:val="24"/>
                              </w:rPr>
                            </w:pPr>
                            <w:r>
                              <w:rPr>
                                <w:color w:val="AEAAAA"/>
                                <w:sz w:val="24"/>
                                <w:szCs w:val="24"/>
                              </w:rPr>
                              <w:t>02 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5FB5" id="Text Box 8" o:spid="_x0000_s1028" type="#_x0000_t202" style="position:absolute;margin-left:34.3pt;margin-top:237.65pt;width:395.1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" filled="f" stroked="f">
                <v:textbox>
                  <w:txbxContent>
                    <w:p w14:paraId="5FD84ED4" w14:textId="7EC7F7BA" w:rsidR="0093273E" w:rsidRPr="002B485F" w:rsidRDefault="00306972" w:rsidP="002B485F">
                      <w:pPr>
                        <w:pStyle w:val="ACUMajorHeading"/>
                        <w:rPr>
                          <w:color w:val="AEAAAA"/>
                          <w:sz w:val="24"/>
                          <w:szCs w:val="24"/>
                        </w:rPr>
                      </w:pPr>
                      <w:r>
                        <w:rPr>
                          <w:color w:val="AEAAAA"/>
                          <w:sz w:val="24"/>
                          <w:szCs w:val="24"/>
                        </w:rPr>
                        <w:t>02 February 2023</w:t>
                      </w:r>
                    </w:p>
                  </w:txbxContent>
                </v:textbox>
                <w10:wrap type="square"/>
              </v:shape>
            </w:pict>
          </mc:Fallback>
        </mc:AlternateContent>
      </w:r>
      <w:r w:rsidR="002B485F" w:rsidRPr="002B485F">
        <w:rPr>
          <w:rFonts w:ascii="Open Sans SemiBold" w:hAnsi="Open Sans SemiBold" w:cs="Open Sans SemiBold"/>
          <w:color w:val="FFFFFF"/>
          <w:szCs w:val="14"/>
          <w:lang w:val="en-US"/>
        </w:rPr>
        <w:br w:type="page"/>
      </w:r>
    </w:p>
    <w:sdt>
      <w:sdtPr>
        <w:rPr>
          <w:rFonts w:ascii="Arial" w:eastAsia="Calibri" w:hAnsi="Arial" w:cs="Open Sans"/>
          <w:color w:val="auto"/>
          <w:sz w:val="20"/>
          <w:szCs w:val="22"/>
          <w:lang w:val="en-AU"/>
        </w:rPr>
        <w:id w:val="1396248270"/>
        <w:docPartObj>
          <w:docPartGallery w:val="Table of Contents"/>
          <w:docPartUnique/>
        </w:docPartObj>
      </w:sdtPr>
      <w:sdtEndPr>
        <w:rPr>
          <w:b/>
          <w:bCs/>
          <w:noProof/>
        </w:rPr>
      </w:sdtEndPr>
      <w:sdtContent>
        <w:p w14:paraId="28E4EEEE" w14:textId="77777777" w:rsidR="00AE4F9F" w:rsidRPr="005E13E8" w:rsidRDefault="00AE4F9F" w:rsidP="00AE4F9F">
          <w:pPr>
            <w:pStyle w:val="TOCHeading"/>
          </w:pPr>
          <w:r w:rsidRPr="005E13E8">
            <w:t>Table of Contents</w:t>
          </w:r>
          <w:r w:rsidRPr="005E13E8">
            <w:tab/>
          </w:r>
        </w:p>
        <w:p w14:paraId="45CB7B1C" w14:textId="0ECE1CC3" w:rsidR="000507EF" w:rsidRDefault="00AE4F9F">
          <w:pPr>
            <w:pStyle w:val="TOC2"/>
            <w:rPr>
              <w:rFonts w:asciiTheme="minorHAnsi" w:eastAsiaTheme="minorEastAsia" w:hAnsiTheme="minorHAnsi" w:cstheme="minorBidi"/>
              <w:b w:val="0"/>
              <w:bCs w:val="0"/>
              <w:sz w:val="22"/>
              <w:lang w:eastAsia="en-AU"/>
            </w:rPr>
          </w:pPr>
          <w:r w:rsidRPr="002B485F">
            <w:rPr>
              <w:noProof w:val="0"/>
              <w:lang w:val="en-US"/>
            </w:rPr>
            <w:fldChar w:fldCharType="begin"/>
          </w:r>
          <w:r w:rsidRPr="002B485F">
            <w:rPr>
              <w:lang w:val="en-US"/>
            </w:rPr>
            <w:instrText xml:space="preserve"> TOC \o "1-3" \h \z \u </w:instrText>
          </w:r>
          <w:r w:rsidRPr="002B485F">
            <w:rPr>
              <w:noProof w:val="0"/>
              <w:lang w:val="en-US"/>
            </w:rPr>
            <w:fldChar w:fldCharType="separate"/>
          </w:r>
          <w:hyperlink w:anchor="_Toc126942683" w:history="1">
            <w:r w:rsidR="000507EF" w:rsidRPr="00DE6BF8">
              <w:rPr>
                <w:rStyle w:val="Hyperlink"/>
              </w:rPr>
              <w:t>Developing an Australian Framework for Measuring Quality in Initial Teacher Education</w:t>
            </w:r>
            <w:r w:rsidR="000507EF">
              <w:rPr>
                <w:webHidden/>
              </w:rPr>
              <w:tab/>
            </w:r>
            <w:r w:rsidR="000507EF">
              <w:rPr>
                <w:webHidden/>
              </w:rPr>
              <w:fldChar w:fldCharType="begin"/>
            </w:r>
            <w:r w:rsidR="000507EF">
              <w:rPr>
                <w:webHidden/>
              </w:rPr>
              <w:instrText xml:space="preserve"> PAGEREF _Toc126942683 \h </w:instrText>
            </w:r>
            <w:r w:rsidR="000507EF">
              <w:rPr>
                <w:webHidden/>
              </w:rPr>
            </w:r>
            <w:r w:rsidR="000507EF">
              <w:rPr>
                <w:webHidden/>
              </w:rPr>
              <w:fldChar w:fldCharType="separate"/>
            </w:r>
            <w:r w:rsidR="00E77CD3">
              <w:rPr>
                <w:webHidden/>
              </w:rPr>
              <w:t>1</w:t>
            </w:r>
            <w:r w:rsidR="000507EF">
              <w:rPr>
                <w:webHidden/>
              </w:rPr>
              <w:fldChar w:fldCharType="end"/>
            </w:r>
          </w:hyperlink>
        </w:p>
        <w:p w14:paraId="2A3EC488" w14:textId="03714A25" w:rsidR="000507EF" w:rsidRDefault="00E77CD3">
          <w:pPr>
            <w:pStyle w:val="TOC3"/>
            <w:rPr>
              <w:rFonts w:asciiTheme="minorHAnsi" w:eastAsiaTheme="minorEastAsia" w:hAnsiTheme="minorHAnsi" w:cstheme="minorBidi"/>
              <w:noProof/>
              <w:sz w:val="22"/>
              <w:lang w:eastAsia="en-AU"/>
            </w:rPr>
          </w:pPr>
          <w:hyperlink w:anchor="_Toc126942684" w:history="1">
            <w:r w:rsidR="000507EF" w:rsidRPr="00DE6BF8">
              <w:rPr>
                <w:rStyle w:val="Hyperlink"/>
                <w:noProof/>
              </w:rPr>
              <w:t>What is the purpose of a quality measure?</w:t>
            </w:r>
            <w:r w:rsidR="000507EF">
              <w:rPr>
                <w:noProof/>
                <w:webHidden/>
              </w:rPr>
              <w:tab/>
            </w:r>
            <w:r w:rsidR="000507EF">
              <w:rPr>
                <w:noProof/>
                <w:webHidden/>
              </w:rPr>
              <w:fldChar w:fldCharType="begin"/>
            </w:r>
            <w:r w:rsidR="000507EF">
              <w:rPr>
                <w:noProof/>
                <w:webHidden/>
              </w:rPr>
              <w:instrText xml:space="preserve"> PAGEREF _Toc126942684 \h </w:instrText>
            </w:r>
            <w:r w:rsidR="000507EF">
              <w:rPr>
                <w:noProof/>
                <w:webHidden/>
              </w:rPr>
            </w:r>
            <w:r w:rsidR="000507EF">
              <w:rPr>
                <w:noProof/>
                <w:webHidden/>
              </w:rPr>
              <w:fldChar w:fldCharType="separate"/>
            </w:r>
            <w:r>
              <w:rPr>
                <w:noProof/>
                <w:webHidden/>
              </w:rPr>
              <w:t>1</w:t>
            </w:r>
            <w:r w:rsidR="000507EF">
              <w:rPr>
                <w:noProof/>
                <w:webHidden/>
              </w:rPr>
              <w:fldChar w:fldCharType="end"/>
            </w:r>
          </w:hyperlink>
        </w:p>
        <w:p w14:paraId="45064ECD" w14:textId="33AAE845" w:rsidR="000507EF" w:rsidRDefault="00E77CD3">
          <w:pPr>
            <w:pStyle w:val="TOC3"/>
            <w:rPr>
              <w:rFonts w:asciiTheme="minorHAnsi" w:eastAsiaTheme="minorEastAsia" w:hAnsiTheme="minorHAnsi" w:cstheme="minorBidi"/>
              <w:noProof/>
              <w:sz w:val="22"/>
              <w:lang w:eastAsia="en-AU"/>
            </w:rPr>
          </w:pPr>
          <w:hyperlink w:anchor="_Toc126942685" w:history="1">
            <w:r w:rsidR="000507EF" w:rsidRPr="00DE6BF8">
              <w:rPr>
                <w:rStyle w:val="Hyperlink"/>
                <w:noProof/>
              </w:rPr>
              <w:t>Defining the quality measure</w:t>
            </w:r>
            <w:r w:rsidR="000507EF">
              <w:rPr>
                <w:noProof/>
                <w:webHidden/>
              </w:rPr>
              <w:tab/>
            </w:r>
            <w:r w:rsidR="000507EF">
              <w:rPr>
                <w:noProof/>
                <w:webHidden/>
              </w:rPr>
              <w:fldChar w:fldCharType="begin"/>
            </w:r>
            <w:r w:rsidR="000507EF">
              <w:rPr>
                <w:noProof/>
                <w:webHidden/>
              </w:rPr>
              <w:instrText xml:space="preserve"> PAGEREF _Toc126942685 \h </w:instrText>
            </w:r>
            <w:r w:rsidR="000507EF">
              <w:rPr>
                <w:noProof/>
                <w:webHidden/>
              </w:rPr>
            </w:r>
            <w:r w:rsidR="000507EF">
              <w:rPr>
                <w:noProof/>
                <w:webHidden/>
              </w:rPr>
              <w:fldChar w:fldCharType="separate"/>
            </w:r>
            <w:r>
              <w:rPr>
                <w:noProof/>
                <w:webHidden/>
              </w:rPr>
              <w:t>2</w:t>
            </w:r>
            <w:r w:rsidR="000507EF">
              <w:rPr>
                <w:noProof/>
                <w:webHidden/>
              </w:rPr>
              <w:fldChar w:fldCharType="end"/>
            </w:r>
          </w:hyperlink>
        </w:p>
        <w:p w14:paraId="1E09ED8F" w14:textId="366E5968" w:rsidR="000507EF" w:rsidRDefault="00E77CD3">
          <w:pPr>
            <w:pStyle w:val="TOC3"/>
            <w:rPr>
              <w:rFonts w:asciiTheme="minorHAnsi" w:eastAsiaTheme="minorEastAsia" w:hAnsiTheme="minorHAnsi" w:cstheme="minorBidi"/>
              <w:noProof/>
              <w:sz w:val="22"/>
              <w:lang w:eastAsia="en-AU"/>
            </w:rPr>
          </w:pPr>
          <w:hyperlink w:anchor="_Toc126942686" w:history="1">
            <w:r w:rsidR="000507EF" w:rsidRPr="00DE6BF8">
              <w:rPr>
                <w:rStyle w:val="Hyperlink"/>
                <w:noProof/>
              </w:rPr>
              <w:t>Principles</w:t>
            </w:r>
            <w:r w:rsidR="000507EF">
              <w:rPr>
                <w:noProof/>
                <w:webHidden/>
              </w:rPr>
              <w:tab/>
            </w:r>
            <w:r w:rsidR="000507EF">
              <w:rPr>
                <w:noProof/>
                <w:webHidden/>
              </w:rPr>
              <w:fldChar w:fldCharType="begin"/>
            </w:r>
            <w:r w:rsidR="000507EF">
              <w:rPr>
                <w:noProof/>
                <w:webHidden/>
              </w:rPr>
              <w:instrText xml:space="preserve"> PAGEREF _Toc126942686 \h </w:instrText>
            </w:r>
            <w:r w:rsidR="000507EF">
              <w:rPr>
                <w:noProof/>
                <w:webHidden/>
              </w:rPr>
            </w:r>
            <w:r w:rsidR="000507EF">
              <w:rPr>
                <w:noProof/>
                <w:webHidden/>
              </w:rPr>
              <w:fldChar w:fldCharType="separate"/>
            </w:r>
            <w:r>
              <w:rPr>
                <w:noProof/>
                <w:webHidden/>
              </w:rPr>
              <w:t>2</w:t>
            </w:r>
            <w:r w:rsidR="000507EF">
              <w:rPr>
                <w:noProof/>
                <w:webHidden/>
              </w:rPr>
              <w:fldChar w:fldCharType="end"/>
            </w:r>
          </w:hyperlink>
        </w:p>
        <w:p w14:paraId="7DEB4DAE" w14:textId="48C49400" w:rsidR="000507EF" w:rsidRDefault="00E77CD3">
          <w:pPr>
            <w:pStyle w:val="TOC3"/>
            <w:rPr>
              <w:rFonts w:asciiTheme="minorHAnsi" w:eastAsiaTheme="minorEastAsia" w:hAnsiTheme="minorHAnsi" w:cstheme="minorBidi"/>
              <w:noProof/>
              <w:sz w:val="22"/>
              <w:lang w:eastAsia="en-AU"/>
            </w:rPr>
          </w:pPr>
          <w:hyperlink w:anchor="_Toc126942687" w:history="1">
            <w:r w:rsidR="000507EF" w:rsidRPr="00DE6BF8">
              <w:rPr>
                <w:rStyle w:val="Hyperlink"/>
                <w:noProof/>
              </w:rPr>
              <w:t>Quality measure and performance indicators</w:t>
            </w:r>
            <w:r w:rsidR="000507EF">
              <w:rPr>
                <w:noProof/>
                <w:webHidden/>
              </w:rPr>
              <w:tab/>
            </w:r>
            <w:r w:rsidR="000507EF">
              <w:rPr>
                <w:noProof/>
                <w:webHidden/>
              </w:rPr>
              <w:fldChar w:fldCharType="begin"/>
            </w:r>
            <w:r w:rsidR="000507EF">
              <w:rPr>
                <w:noProof/>
                <w:webHidden/>
              </w:rPr>
              <w:instrText xml:space="preserve"> PAGEREF _Toc126942687 \h </w:instrText>
            </w:r>
            <w:r w:rsidR="000507EF">
              <w:rPr>
                <w:noProof/>
                <w:webHidden/>
              </w:rPr>
            </w:r>
            <w:r w:rsidR="000507EF">
              <w:rPr>
                <w:noProof/>
                <w:webHidden/>
              </w:rPr>
              <w:fldChar w:fldCharType="separate"/>
            </w:r>
            <w:r>
              <w:rPr>
                <w:noProof/>
                <w:webHidden/>
              </w:rPr>
              <w:t>2</w:t>
            </w:r>
            <w:r w:rsidR="000507EF">
              <w:rPr>
                <w:noProof/>
                <w:webHidden/>
              </w:rPr>
              <w:fldChar w:fldCharType="end"/>
            </w:r>
          </w:hyperlink>
        </w:p>
        <w:p w14:paraId="470FF808" w14:textId="0967733A" w:rsidR="000507EF" w:rsidRDefault="00E77CD3">
          <w:pPr>
            <w:pStyle w:val="TOC3"/>
            <w:rPr>
              <w:rFonts w:asciiTheme="minorHAnsi" w:eastAsiaTheme="minorEastAsia" w:hAnsiTheme="minorHAnsi" w:cstheme="minorBidi"/>
              <w:noProof/>
              <w:sz w:val="22"/>
              <w:lang w:eastAsia="en-AU"/>
            </w:rPr>
          </w:pPr>
          <w:hyperlink w:anchor="_Toc126942688" w:history="1">
            <w:r w:rsidR="000507EF" w:rsidRPr="00DE6BF8">
              <w:rPr>
                <w:rStyle w:val="Hyperlink"/>
                <w:noProof/>
              </w:rPr>
              <w:t>Reporting</w:t>
            </w:r>
            <w:r w:rsidR="000507EF">
              <w:rPr>
                <w:noProof/>
                <w:webHidden/>
              </w:rPr>
              <w:tab/>
            </w:r>
            <w:r w:rsidR="000507EF">
              <w:rPr>
                <w:noProof/>
                <w:webHidden/>
              </w:rPr>
              <w:fldChar w:fldCharType="begin"/>
            </w:r>
            <w:r w:rsidR="000507EF">
              <w:rPr>
                <w:noProof/>
                <w:webHidden/>
              </w:rPr>
              <w:instrText xml:space="preserve"> PAGEREF _Toc126942688 \h </w:instrText>
            </w:r>
            <w:r w:rsidR="000507EF">
              <w:rPr>
                <w:noProof/>
                <w:webHidden/>
              </w:rPr>
            </w:r>
            <w:r w:rsidR="000507EF">
              <w:rPr>
                <w:noProof/>
                <w:webHidden/>
              </w:rPr>
              <w:fldChar w:fldCharType="separate"/>
            </w:r>
            <w:r>
              <w:rPr>
                <w:noProof/>
                <w:webHidden/>
              </w:rPr>
              <w:t>6</w:t>
            </w:r>
            <w:r w:rsidR="000507EF">
              <w:rPr>
                <w:noProof/>
                <w:webHidden/>
              </w:rPr>
              <w:fldChar w:fldCharType="end"/>
            </w:r>
          </w:hyperlink>
        </w:p>
        <w:p w14:paraId="4AAB336E" w14:textId="2C97BA47" w:rsidR="000507EF" w:rsidRDefault="00E77CD3">
          <w:pPr>
            <w:pStyle w:val="TOC3"/>
            <w:rPr>
              <w:rFonts w:asciiTheme="minorHAnsi" w:eastAsiaTheme="minorEastAsia" w:hAnsiTheme="minorHAnsi" w:cstheme="minorBidi"/>
              <w:noProof/>
              <w:sz w:val="22"/>
              <w:lang w:eastAsia="en-AU"/>
            </w:rPr>
          </w:pPr>
          <w:hyperlink w:anchor="_Toc126942689" w:history="1">
            <w:r w:rsidR="000507EF" w:rsidRPr="00DE6BF8">
              <w:rPr>
                <w:rStyle w:val="Hyperlink"/>
                <w:noProof/>
              </w:rPr>
              <w:t>References</w:t>
            </w:r>
            <w:r w:rsidR="000507EF">
              <w:rPr>
                <w:noProof/>
                <w:webHidden/>
              </w:rPr>
              <w:tab/>
            </w:r>
            <w:r w:rsidR="000507EF">
              <w:rPr>
                <w:noProof/>
                <w:webHidden/>
              </w:rPr>
              <w:fldChar w:fldCharType="begin"/>
            </w:r>
            <w:r w:rsidR="000507EF">
              <w:rPr>
                <w:noProof/>
                <w:webHidden/>
              </w:rPr>
              <w:instrText xml:space="preserve"> PAGEREF _Toc126942689 \h </w:instrText>
            </w:r>
            <w:r w:rsidR="000507EF">
              <w:rPr>
                <w:noProof/>
                <w:webHidden/>
              </w:rPr>
            </w:r>
            <w:r w:rsidR="000507EF">
              <w:rPr>
                <w:noProof/>
                <w:webHidden/>
              </w:rPr>
              <w:fldChar w:fldCharType="separate"/>
            </w:r>
            <w:r>
              <w:rPr>
                <w:noProof/>
                <w:webHidden/>
              </w:rPr>
              <w:t>16</w:t>
            </w:r>
            <w:r w:rsidR="000507EF">
              <w:rPr>
                <w:noProof/>
                <w:webHidden/>
              </w:rPr>
              <w:fldChar w:fldCharType="end"/>
            </w:r>
          </w:hyperlink>
        </w:p>
        <w:p w14:paraId="4FE4C686" w14:textId="24E0EBB6" w:rsidR="00AE4F9F" w:rsidRPr="002B485F" w:rsidRDefault="00AE4F9F" w:rsidP="00132DB0">
          <w:pPr>
            <w:tabs>
              <w:tab w:val="right" w:leader="dot" w:pos="9962"/>
            </w:tabs>
            <w:spacing w:after="100"/>
            <w:rPr>
              <w:lang w:val="en-US"/>
            </w:rPr>
          </w:pPr>
          <w:r w:rsidRPr="002B485F">
            <w:rPr>
              <w:b/>
              <w:bCs/>
              <w:noProof/>
              <w:lang w:val="en-US"/>
            </w:rPr>
            <w:fldChar w:fldCharType="end"/>
          </w:r>
        </w:p>
      </w:sdtContent>
    </w:sdt>
    <w:p w14:paraId="3D7BB816" w14:textId="77777777" w:rsidR="002F6643" w:rsidRDefault="002F6643" w:rsidP="002F6643">
      <w:pPr>
        <w:tabs>
          <w:tab w:val="center" w:pos="4989"/>
        </w:tabs>
        <w:rPr>
          <w:lang w:val="en-US"/>
        </w:rPr>
      </w:pPr>
    </w:p>
    <w:p w14:paraId="1F5511F0" w14:textId="1320B62A" w:rsidR="00AE4F9F" w:rsidRDefault="00AE4F9F">
      <w:pPr>
        <w:spacing w:after="0" w:line="240" w:lineRule="auto"/>
        <w:rPr>
          <w:rFonts w:ascii="Georgia" w:hAnsi="Georgia" w:cs="Arial"/>
          <w:color w:val="3C1053"/>
          <w:sz w:val="32"/>
          <w:szCs w:val="24"/>
        </w:rPr>
      </w:pPr>
      <w:bookmarkStart w:id="1" w:name="_Toc115858236"/>
      <w:r>
        <w:br w:type="page"/>
      </w:r>
    </w:p>
    <w:bookmarkEnd w:id="1"/>
    <w:p w14:paraId="1916F2B7" w14:textId="6CCDB46C" w:rsidR="002F6643" w:rsidRPr="002F6643" w:rsidRDefault="002F6643" w:rsidP="002F6643">
      <w:pPr>
        <w:tabs>
          <w:tab w:val="center" w:pos="4989"/>
        </w:tabs>
        <w:rPr>
          <w:lang w:val="en-US"/>
        </w:rPr>
        <w:sectPr w:rsidR="002F6643" w:rsidRPr="002F6643" w:rsidSect="00664A0A">
          <w:footerReference w:type="default" r:id="rId18"/>
          <w:type w:val="continuous"/>
          <w:pgSz w:w="11906" w:h="16838"/>
          <w:pgMar w:top="1134" w:right="964" w:bottom="1134" w:left="964" w:header="709" w:footer="709" w:gutter="0"/>
          <w:pgNumType w:fmt="lowerRoman" w:start="1"/>
          <w:cols w:space="708"/>
          <w:titlePg/>
          <w:docGrid w:linePitch="360"/>
        </w:sectPr>
      </w:pPr>
    </w:p>
    <w:p w14:paraId="608874DB" w14:textId="0E3901A7" w:rsidR="009924D4" w:rsidRDefault="009924D4" w:rsidP="00F7759D">
      <w:pPr>
        <w:pStyle w:val="Heading2"/>
        <w:rPr>
          <w:rFonts w:ascii="Arial" w:hAnsi="Arial" w:cs="Open Sans"/>
          <w:b/>
          <w:sz w:val="48"/>
          <w:szCs w:val="28"/>
        </w:rPr>
      </w:pPr>
      <w:bookmarkStart w:id="2" w:name="_Toc126942683"/>
      <w:r w:rsidRPr="009924D4">
        <w:rPr>
          <w:rFonts w:ascii="Arial" w:hAnsi="Arial" w:cs="Open Sans"/>
          <w:b/>
          <w:sz w:val="48"/>
          <w:szCs w:val="28"/>
        </w:rPr>
        <w:lastRenderedPageBreak/>
        <w:t xml:space="preserve">Developing an Australian Framework for Measuring Quality in Initial Teacher </w:t>
      </w:r>
      <w:r w:rsidRPr="00020B60">
        <w:rPr>
          <w:rFonts w:ascii="Arial" w:hAnsi="Arial" w:cs="Open Sans"/>
          <w:b/>
          <w:sz w:val="48"/>
          <w:szCs w:val="28"/>
        </w:rPr>
        <w:t>Education</w:t>
      </w:r>
      <w:bookmarkEnd w:id="2"/>
      <w:r w:rsidRPr="009924D4">
        <w:rPr>
          <w:rFonts w:ascii="Arial" w:hAnsi="Arial" w:cs="Open Sans"/>
          <w:b/>
          <w:sz w:val="48"/>
          <w:szCs w:val="28"/>
        </w:rPr>
        <w:t xml:space="preserve"> </w:t>
      </w:r>
    </w:p>
    <w:p w14:paraId="6199BD6F" w14:textId="6233A7E4" w:rsidR="00020B60" w:rsidRDefault="00020B60" w:rsidP="00AF40DB">
      <w:r>
        <w:rPr>
          <w:b/>
          <w:noProof/>
          <w:sz w:val="48"/>
          <w:szCs w:val="28"/>
        </w:rPr>
        <mc:AlternateContent>
          <mc:Choice Requires="wps">
            <w:drawing>
              <wp:inline distT="0" distB="0" distL="0" distR="0" wp14:anchorId="72BCBAD4" wp14:editId="2FF65F9E">
                <wp:extent cx="6296891" cy="921328"/>
                <wp:effectExtent l="0" t="0" r="27940" b="12700"/>
                <wp:docPr id="13" name="Text Box 13"/>
                <wp:cNvGraphicFramePr/>
                <a:graphic xmlns:a="http://schemas.openxmlformats.org/drawingml/2006/main">
                  <a:graphicData uri="http://schemas.microsoft.com/office/word/2010/wordprocessingShape">
                    <wps:wsp>
                      <wps:cNvSpPr txBox="1"/>
                      <wps:spPr>
                        <a:xfrm>
                          <a:off x="0" y="0"/>
                          <a:ext cx="6296891" cy="921328"/>
                        </a:xfrm>
                        <a:prstGeom prst="rect">
                          <a:avLst/>
                        </a:prstGeom>
                        <a:solidFill>
                          <a:schemeClr val="bg2"/>
                        </a:solidFill>
                        <a:ln w="6350">
                          <a:solidFill>
                            <a:srgbClr val="3C1053"/>
                          </a:solidFill>
                        </a:ln>
                      </wps:spPr>
                      <wps:txbx>
                        <w:txbxContent>
                          <w:p w14:paraId="462452EE" w14:textId="60FEB5FE" w:rsidR="00020B60" w:rsidRDefault="00020B60" w:rsidP="00020B60">
                            <w:r>
                              <w:t xml:space="preserve">This paper </w:t>
                            </w:r>
                            <w:r w:rsidR="00C80BDA">
                              <w:t>presents</w:t>
                            </w:r>
                            <w:r>
                              <w:t xml:space="preserve"> an Australian framework developed for measuring quality in initial teacher education (ITE). The purpose of the </w:t>
                            </w:r>
                            <w:r w:rsidR="000A6547">
                              <w:t>proposed quality measure</w:t>
                            </w:r>
                            <w:r>
                              <w:t xml:space="preserve"> is </w:t>
                            </w:r>
                            <w:r w:rsidR="00C80BDA">
                              <w:t>discussed</w:t>
                            </w:r>
                            <w:r>
                              <w:t xml:space="preserve"> first. This is followed by the definition of the quality measure; the principles that informed the design; and a rationale for the quality measure and identified performance indicators. The paper concludes with an overview of the applied function of the framework and the proposed reporting method.</w:t>
                            </w:r>
                          </w:p>
                          <w:p w14:paraId="58B63C49" w14:textId="77777777" w:rsidR="00020B60" w:rsidRDefault="00020B60" w:rsidP="00020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CBAD4" id="Text Box 13" o:spid="_x0000_s1029" type="#_x0000_t202" style="width:495.8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" fillcolor="#e7e6e6 [3214]" strokecolor="#3c1053" strokeweight=".5pt">
                <v:textbox>
                  <w:txbxContent>
                    <w:p w14:paraId="462452EE" w14:textId="60FEB5FE" w:rsidR="00020B60" w:rsidRDefault="00020B60" w:rsidP="00020B60">
                      <w:r>
                        <w:t xml:space="preserve">This paper </w:t>
                      </w:r>
                      <w:r w:rsidR="00C80BDA">
                        <w:t>presents</w:t>
                      </w:r>
                      <w:r>
                        <w:t xml:space="preserve"> an Australian framework developed for measuring quality in initial teacher education (ITE). The purpose of the </w:t>
                      </w:r>
                      <w:r w:rsidR="000A6547">
                        <w:t>proposed quality measure</w:t>
                      </w:r>
                      <w:r>
                        <w:t xml:space="preserve"> is </w:t>
                      </w:r>
                      <w:r w:rsidR="00C80BDA">
                        <w:t>discussed</w:t>
                      </w:r>
                      <w:r>
                        <w:t xml:space="preserve"> first. This is followed by the definition of the quality measure; the principles that informed the design; and a rationale for the quality measure and identified performance indicators. The paper concludes with an overview of the applied function of the framework and the proposed reporting method.</w:t>
                      </w:r>
                    </w:p>
                    <w:p w14:paraId="58B63C49" w14:textId="77777777" w:rsidR="00020B60" w:rsidRDefault="00020B60" w:rsidP="00020B60"/>
                  </w:txbxContent>
                </v:textbox>
                <w10:anchorlock/>
              </v:shape>
            </w:pict>
          </mc:Fallback>
        </mc:AlternateContent>
      </w:r>
    </w:p>
    <w:p w14:paraId="51441B02" w14:textId="269F6AE2" w:rsidR="009E116F" w:rsidRDefault="00614C0C" w:rsidP="0071281F">
      <w:r>
        <w:t xml:space="preserve">Entry to a profession </w:t>
      </w:r>
      <w:r w:rsidR="008A5A52">
        <w:t xml:space="preserve">typically </w:t>
      </w:r>
      <w:r>
        <w:t xml:space="preserve">requires </w:t>
      </w:r>
      <w:r w:rsidR="00714D34">
        <w:t>successful completion of a professionally accredited program assessed against defined standards and stated evidence requirements</w:t>
      </w:r>
      <w:r w:rsidR="00CE70D8">
        <w:t xml:space="preserve">. </w:t>
      </w:r>
      <w:r w:rsidR="00B46161">
        <w:t>In ITE</w:t>
      </w:r>
      <w:r w:rsidR="007D442F">
        <w:t xml:space="preserve"> in Australia</w:t>
      </w:r>
      <w:r w:rsidR="00BF1245">
        <w:t>,</w:t>
      </w:r>
      <w:r w:rsidR="007D442F">
        <w:t xml:space="preserve"> programs are reviewed against the requirements of </w:t>
      </w:r>
      <w:r w:rsidR="004C7B1E">
        <w:t>‘</w:t>
      </w:r>
      <w:r w:rsidR="005B1E2D" w:rsidRPr="001A5496">
        <w:rPr>
          <w:i/>
          <w:iCs/>
        </w:rPr>
        <w:t>Accreditation</w:t>
      </w:r>
      <w:r w:rsidR="00725B08" w:rsidRPr="001A5496">
        <w:rPr>
          <w:i/>
          <w:iCs/>
        </w:rPr>
        <w:t xml:space="preserve"> of</w:t>
      </w:r>
      <w:r w:rsidR="005B1E2D" w:rsidRPr="001A5496">
        <w:rPr>
          <w:i/>
          <w:iCs/>
        </w:rPr>
        <w:t xml:space="preserve"> </w:t>
      </w:r>
      <w:r w:rsidR="00C33231" w:rsidRPr="001A5496">
        <w:rPr>
          <w:i/>
          <w:iCs/>
        </w:rPr>
        <w:t>I</w:t>
      </w:r>
      <w:r w:rsidR="00725B08" w:rsidRPr="001A5496">
        <w:rPr>
          <w:i/>
          <w:iCs/>
        </w:rPr>
        <w:t xml:space="preserve">nitial </w:t>
      </w:r>
      <w:r w:rsidR="00C33231" w:rsidRPr="001A5496">
        <w:rPr>
          <w:i/>
          <w:iCs/>
        </w:rPr>
        <w:t>T</w:t>
      </w:r>
      <w:r w:rsidR="00725B08" w:rsidRPr="001A5496">
        <w:rPr>
          <w:i/>
          <w:iCs/>
        </w:rPr>
        <w:t xml:space="preserve">eacher </w:t>
      </w:r>
      <w:r w:rsidR="00C33231" w:rsidRPr="001A5496">
        <w:rPr>
          <w:i/>
          <w:iCs/>
        </w:rPr>
        <w:t>E</w:t>
      </w:r>
      <w:r w:rsidR="00725B08" w:rsidRPr="001A5496">
        <w:rPr>
          <w:i/>
          <w:iCs/>
        </w:rPr>
        <w:t xml:space="preserve">ducation </w:t>
      </w:r>
      <w:r w:rsidR="00C33231" w:rsidRPr="001A5496">
        <w:rPr>
          <w:i/>
          <w:iCs/>
        </w:rPr>
        <w:t>P</w:t>
      </w:r>
      <w:r w:rsidR="00725B08" w:rsidRPr="001A5496">
        <w:rPr>
          <w:i/>
          <w:iCs/>
        </w:rPr>
        <w:t>rograms in Australia</w:t>
      </w:r>
      <w:r w:rsidR="00836D44" w:rsidRPr="001A5496">
        <w:rPr>
          <w:i/>
          <w:iCs/>
        </w:rPr>
        <w:t>: Standards</w:t>
      </w:r>
      <w:r w:rsidR="005B1E2D" w:rsidRPr="001A5496">
        <w:rPr>
          <w:i/>
          <w:iCs/>
        </w:rPr>
        <w:t xml:space="preserve"> and Procedures</w:t>
      </w:r>
      <w:r w:rsidR="004C7B1E">
        <w:rPr>
          <w:i/>
          <w:iCs/>
        </w:rPr>
        <w:t>’</w:t>
      </w:r>
      <w:r w:rsidR="00836D44">
        <w:t xml:space="preserve"> (‘Standards and Procedures’; AITSL, 2022)</w:t>
      </w:r>
      <w:r w:rsidR="00725B08">
        <w:t>,</w:t>
      </w:r>
      <w:r w:rsidR="00D51CEB">
        <w:t xml:space="preserve"> and </w:t>
      </w:r>
      <w:r w:rsidR="005B1E2D" w:rsidRPr="00DF307E">
        <w:t xml:space="preserve">the </w:t>
      </w:r>
      <w:r w:rsidR="005B1E2D" w:rsidRPr="001A5496">
        <w:rPr>
          <w:i/>
          <w:iCs/>
        </w:rPr>
        <w:t>Australian Professional Standards for Teachers</w:t>
      </w:r>
      <w:r w:rsidR="005B1E2D" w:rsidRPr="00DF307E">
        <w:t xml:space="preserve"> (APST</w:t>
      </w:r>
      <w:r w:rsidR="007840E8">
        <w:t>s</w:t>
      </w:r>
      <w:r w:rsidR="005B1E2D">
        <w:t>; AITSL, 2011; revised 2018</w:t>
      </w:r>
      <w:r w:rsidR="005B1E2D" w:rsidRPr="00DF307E">
        <w:t>).</w:t>
      </w:r>
      <w:r w:rsidR="005B1E2D">
        <w:t xml:space="preserve"> </w:t>
      </w:r>
      <w:r w:rsidR="00D17C21">
        <w:t>T</w:t>
      </w:r>
      <w:r w:rsidR="002553C2">
        <w:t xml:space="preserve">hese </w:t>
      </w:r>
      <w:r w:rsidR="0010001E">
        <w:t xml:space="preserve">official requirements </w:t>
      </w:r>
      <w:r w:rsidR="002553C2">
        <w:t xml:space="preserve">provide the foundation </w:t>
      </w:r>
      <w:r w:rsidR="00E80E89">
        <w:t>for</w:t>
      </w:r>
      <w:r w:rsidR="002553C2">
        <w:t xml:space="preserve"> the accreditation process</w:t>
      </w:r>
      <w:r w:rsidR="00C5514D">
        <w:t xml:space="preserve"> and for determining that </w:t>
      </w:r>
      <w:r w:rsidR="007840E8">
        <w:t xml:space="preserve">ITE students </w:t>
      </w:r>
      <w:r w:rsidR="0088569F">
        <w:t>meet the APST</w:t>
      </w:r>
      <w:r w:rsidR="007840E8">
        <w:t>s</w:t>
      </w:r>
      <w:r w:rsidR="0088569F">
        <w:t xml:space="preserve"> at the </w:t>
      </w:r>
      <w:r w:rsidR="0088569F" w:rsidRPr="00551BD9">
        <w:t>graduate career stage</w:t>
      </w:r>
      <w:r w:rsidR="00B04628" w:rsidRPr="00551BD9">
        <w:t xml:space="preserve">. </w:t>
      </w:r>
      <w:r w:rsidR="00650B19" w:rsidRPr="00551BD9">
        <w:t>Accreditation is</w:t>
      </w:r>
      <w:r w:rsidR="00650B19" w:rsidRPr="00551BD9">
        <w:rPr>
          <w:rFonts w:cs="Times New Roman"/>
        </w:rPr>
        <w:t xml:space="preserve"> conducted by state-based regulatory authorities to provide formal recognition that an ITE program </w:t>
      </w:r>
      <w:r w:rsidR="00787521" w:rsidRPr="00551BD9">
        <w:rPr>
          <w:rFonts w:cs="Times New Roman"/>
        </w:rPr>
        <w:t xml:space="preserve">has met </w:t>
      </w:r>
      <w:r w:rsidR="00346228" w:rsidRPr="00551BD9">
        <w:rPr>
          <w:rFonts w:cs="Times New Roman"/>
        </w:rPr>
        <w:t>the Standards and Procedures</w:t>
      </w:r>
      <w:r w:rsidR="00EF3ECD">
        <w:t>.</w:t>
      </w:r>
    </w:p>
    <w:p w14:paraId="4BEBBA86" w14:textId="76C06014" w:rsidR="006721C4" w:rsidRDefault="00895F0E" w:rsidP="004520FA">
      <w:r>
        <w:t xml:space="preserve">Currently there </w:t>
      </w:r>
      <w:r w:rsidR="00161340">
        <w:t xml:space="preserve">is no consistent or transparent public reporting of </w:t>
      </w:r>
      <w:r w:rsidR="00B20A7C">
        <w:t xml:space="preserve">evidence from </w:t>
      </w:r>
      <w:r w:rsidR="00161340">
        <w:t xml:space="preserve">accreditation outcomes </w:t>
      </w:r>
      <w:r w:rsidR="00751EE8">
        <w:t>to</w:t>
      </w:r>
      <w:r w:rsidR="00161340">
        <w:t xml:space="preserve"> improve public confidence in the quality of teacher preparation. </w:t>
      </w:r>
      <w:r w:rsidR="00726AAE">
        <w:t>While accreditation prov</w:t>
      </w:r>
      <w:r w:rsidR="006721C4">
        <w:t>ides a regulatory framework for assessing ITE programs</w:t>
      </w:r>
      <w:r w:rsidR="00F653E2">
        <w:t xml:space="preserve"> against stated standards</w:t>
      </w:r>
      <w:r w:rsidR="00B4636D">
        <w:t>, it</w:t>
      </w:r>
      <w:r w:rsidR="00457246">
        <w:t xml:space="preserve"> </w:t>
      </w:r>
      <w:r w:rsidR="00A37A1F">
        <w:t>does not include</w:t>
      </w:r>
      <w:r w:rsidR="00B4636D">
        <w:t xml:space="preserve"> the following</w:t>
      </w:r>
      <w:r w:rsidR="004E7695">
        <w:t>:</w:t>
      </w:r>
    </w:p>
    <w:p w14:paraId="171D86E9" w14:textId="10BF17B5" w:rsidR="004E7695" w:rsidRDefault="00927BF7" w:rsidP="004520FA">
      <w:pPr>
        <w:pStyle w:val="NormalTextBulleted"/>
      </w:pPr>
      <w:r>
        <w:t>A</w:t>
      </w:r>
      <w:r w:rsidR="00895F0E">
        <w:t xml:space="preserve">n </w:t>
      </w:r>
      <w:r w:rsidR="00143674">
        <w:t xml:space="preserve">externally </w:t>
      </w:r>
      <w:r w:rsidR="004E7695">
        <w:t xml:space="preserve">defined threshold </w:t>
      </w:r>
      <w:r w:rsidR="003D042B">
        <w:t xml:space="preserve">(benchmark) </w:t>
      </w:r>
      <w:r w:rsidR="004E7695">
        <w:t xml:space="preserve">for </w:t>
      </w:r>
      <w:r w:rsidR="00990E31">
        <w:t xml:space="preserve">assessing course quality </w:t>
      </w:r>
      <w:r w:rsidR="00F471E1">
        <w:t xml:space="preserve">across ITE </w:t>
      </w:r>
      <w:r w:rsidR="00B00929">
        <w:t>higher education providers (</w:t>
      </w:r>
      <w:r w:rsidR="002C0EAE">
        <w:t>HEPs</w:t>
      </w:r>
      <w:r w:rsidR="00B00929">
        <w:t>)</w:t>
      </w:r>
      <w:r w:rsidR="002C0EAE">
        <w:t xml:space="preserve"> </w:t>
      </w:r>
    </w:p>
    <w:p w14:paraId="76D0C5D1" w14:textId="1D497D2D" w:rsidR="004E7695" w:rsidRDefault="00927BF7" w:rsidP="004520FA">
      <w:pPr>
        <w:pStyle w:val="NormalTextBulleted"/>
      </w:pPr>
      <w:r>
        <w:t>A</w:t>
      </w:r>
      <w:r w:rsidR="00587D06">
        <w:t xml:space="preserve"> </w:t>
      </w:r>
      <w:r w:rsidR="004E7695">
        <w:t xml:space="preserve">national </w:t>
      </w:r>
      <w:r w:rsidR="005F4F79">
        <w:t>approach</w:t>
      </w:r>
      <w:r w:rsidR="004E7695">
        <w:t xml:space="preserve"> to recognise HEPs </w:t>
      </w:r>
      <w:r w:rsidR="00895F0E">
        <w:t xml:space="preserve">that </w:t>
      </w:r>
      <w:r w:rsidR="004E7695">
        <w:t>consistently demonstrate excellent performance in ITE</w:t>
      </w:r>
    </w:p>
    <w:p w14:paraId="1A419202" w14:textId="59884518" w:rsidR="002E4328" w:rsidRDefault="00927BF7" w:rsidP="004520FA">
      <w:pPr>
        <w:pStyle w:val="NormalTextBulleted"/>
      </w:pPr>
      <w:r>
        <w:t>A</w:t>
      </w:r>
      <w:r w:rsidR="00895F0E">
        <w:t xml:space="preserve">n </w:t>
      </w:r>
      <w:r w:rsidR="00587D06">
        <w:t xml:space="preserve">established </w:t>
      </w:r>
      <w:r w:rsidR="004E7695">
        <w:t xml:space="preserve">external reference point </w:t>
      </w:r>
      <w:r w:rsidR="00672C69">
        <w:t>(</w:t>
      </w:r>
      <w:r w:rsidR="00543AB7">
        <w:t xml:space="preserve">performance indicators) </w:t>
      </w:r>
      <w:r w:rsidR="004E7695">
        <w:t xml:space="preserve">for HEPs to track </w:t>
      </w:r>
      <w:r w:rsidR="00543AB7">
        <w:t>progress</w:t>
      </w:r>
      <w:r w:rsidR="004E7695">
        <w:t xml:space="preserve"> and demonstrate improvement in course quality</w:t>
      </w:r>
    </w:p>
    <w:p w14:paraId="5F7C9076" w14:textId="470D278C" w:rsidR="00787AC7" w:rsidRDefault="00927BF7" w:rsidP="004520FA">
      <w:pPr>
        <w:pStyle w:val="NormalTextBulleted"/>
      </w:pPr>
      <w:r>
        <w:t>N</w:t>
      </w:r>
      <w:r w:rsidR="00A942A9">
        <w:t>ationally consistent data</w:t>
      </w:r>
      <w:r w:rsidR="00ED3E5A">
        <w:t xml:space="preserve"> </w:t>
      </w:r>
      <w:r w:rsidR="00044A72">
        <w:t xml:space="preserve">on course quality </w:t>
      </w:r>
      <w:r w:rsidR="00ED3E5A">
        <w:t>to inform the public</w:t>
      </w:r>
      <w:r w:rsidR="00D46C2D">
        <w:t xml:space="preserve"> and students about </w:t>
      </w:r>
      <w:r w:rsidR="00657EFA">
        <w:t>HEP performance</w:t>
      </w:r>
      <w:r w:rsidR="00851263">
        <w:t>.</w:t>
      </w:r>
      <w:r w:rsidR="00D46C2D">
        <w:t xml:space="preserve"> </w:t>
      </w:r>
    </w:p>
    <w:p w14:paraId="634CA116" w14:textId="4FEC5726" w:rsidR="00590338" w:rsidRDefault="009A263F" w:rsidP="00CD3218">
      <w:r>
        <w:t>T</w:t>
      </w:r>
      <w:r w:rsidR="00CD3218">
        <w:t xml:space="preserve">he only nationally consistent data in use in ITE is that associated with national data collections through Quality Indicators of Learning and Teaching (QILT) and the </w:t>
      </w:r>
      <w:r w:rsidR="00CD3218" w:rsidRPr="00344720">
        <w:t xml:space="preserve">Australian Teacher Workforce Data </w:t>
      </w:r>
      <w:r w:rsidR="00CD3218">
        <w:t xml:space="preserve">(ATWD). </w:t>
      </w:r>
      <w:r w:rsidR="00113C98">
        <w:t>The Quality Initial Teacher Education (QITE)</w:t>
      </w:r>
      <w:r w:rsidR="00A07962">
        <w:t xml:space="preserve"> </w:t>
      </w:r>
      <w:r w:rsidR="00634DD0">
        <w:t>Review</w:t>
      </w:r>
      <w:r w:rsidR="00A07962">
        <w:t xml:space="preserve"> (</w:t>
      </w:r>
      <w:r w:rsidR="00CD3218">
        <w:t>Australian Government, 2022</w:t>
      </w:r>
      <w:r w:rsidR="00E42200">
        <w:t>a</w:t>
      </w:r>
      <w:r w:rsidR="00CD3218">
        <w:t xml:space="preserve">) identified limitations in the effectiveness of the Performance-Based Funding scheme </w:t>
      </w:r>
      <w:r w:rsidR="00587D06">
        <w:t>and established a warrant for</w:t>
      </w:r>
      <w:r w:rsidR="00CD3218">
        <w:t xml:space="preserve"> assessing </w:t>
      </w:r>
      <w:r w:rsidR="00587D06">
        <w:t xml:space="preserve">the </w:t>
      </w:r>
      <w:r w:rsidR="00CD3218">
        <w:t xml:space="preserve">quality </w:t>
      </w:r>
      <w:r w:rsidR="00587D06">
        <w:t xml:space="preserve">of </w:t>
      </w:r>
      <w:r w:rsidR="00CD3218">
        <w:t>ITE</w:t>
      </w:r>
      <w:r w:rsidR="00587D06">
        <w:t xml:space="preserve"> </w:t>
      </w:r>
      <w:r>
        <w:t>courses</w:t>
      </w:r>
      <w:r w:rsidR="00B82816">
        <w:t xml:space="preserve"> (see Recommendation 15, p.</w:t>
      </w:r>
      <w:r w:rsidR="00B315CA">
        <w:t xml:space="preserve"> </w:t>
      </w:r>
      <w:r w:rsidR="00B82816">
        <w:t>x)</w:t>
      </w:r>
      <w:r w:rsidR="001D092B">
        <w:t xml:space="preserve">. </w:t>
      </w:r>
    </w:p>
    <w:p w14:paraId="1D245D57" w14:textId="41A44F17" w:rsidR="004E7695" w:rsidRPr="00B82816" w:rsidRDefault="00E7402C" w:rsidP="00D20E87">
      <w:pPr>
        <w:pStyle w:val="Heading3"/>
      </w:pPr>
      <w:bookmarkStart w:id="3" w:name="_Toc126942684"/>
      <w:r>
        <w:t xml:space="preserve">What </w:t>
      </w:r>
      <w:r w:rsidR="00D60679">
        <w:t>is the purpose of</w:t>
      </w:r>
      <w:r>
        <w:t xml:space="preserve"> a </w:t>
      </w:r>
      <w:r w:rsidR="00B82816" w:rsidRPr="00B82816">
        <w:t>quality measure</w:t>
      </w:r>
      <w:r>
        <w:t>?</w:t>
      </w:r>
      <w:bookmarkEnd w:id="3"/>
    </w:p>
    <w:p w14:paraId="3FED20B7" w14:textId="4AAF8974" w:rsidR="00896DAE" w:rsidRDefault="00AF5598" w:rsidP="00896DAE">
      <w:r>
        <w:t>The purpose of the quality measure is to recognise high quality courses and identify areas for targeted improvement.</w:t>
      </w:r>
      <w:r w:rsidR="00B72C0D">
        <w:t xml:space="preserve"> It seeks t</w:t>
      </w:r>
      <w:r w:rsidR="00896DAE" w:rsidRPr="006D6DF9">
        <w:t>o define</w:t>
      </w:r>
      <w:r w:rsidR="00896DAE" w:rsidRPr="00DF307E">
        <w:t xml:space="preserve"> </w:t>
      </w:r>
      <w:r w:rsidR="00896DAE">
        <w:t>and measure the</w:t>
      </w:r>
      <w:r w:rsidR="00896DAE" w:rsidRPr="00DF307E">
        <w:t xml:space="preserve"> quality of ITE </w:t>
      </w:r>
      <w:r w:rsidR="00D96B53">
        <w:t>and</w:t>
      </w:r>
      <w:r w:rsidR="00896DAE" w:rsidRPr="00DF307E">
        <w:t xml:space="preserve"> promote transparency and national consistency in reporting. It achieves this </w:t>
      </w:r>
      <w:r w:rsidR="00D96B53">
        <w:t>by</w:t>
      </w:r>
      <w:r w:rsidR="00896DAE" w:rsidRPr="00DF307E">
        <w:t xml:space="preserve"> providing </w:t>
      </w:r>
      <w:r w:rsidR="00D93AA7">
        <w:t>an</w:t>
      </w:r>
      <w:r w:rsidR="00896DAE" w:rsidRPr="00DF307E">
        <w:t xml:space="preserve"> </w:t>
      </w:r>
      <w:r w:rsidR="00D96B53">
        <w:t>explicitly stated</w:t>
      </w:r>
      <w:r w:rsidR="00896DAE" w:rsidRPr="00DF307E">
        <w:t xml:space="preserve"> reference that specifies evidence expectations </w:t>
      </w:r>
      <w:r w:rsidR="00D93AA7">
        <w:t>and</w:t>
      </w:r>
      <w:r w:rsidR="00896DAE" w:rsidRPr="00DF307E">
        <w:t xml:space="preserve"> appl</w:t>
      </w:r>
      <w:r w:rsidR="00D93AA7">
        <w:t>ies</w:t>
      </w:r>
      <w:r w:rsidR="00896DAE" w:rsidRPr="00DF307E">
        <w:t xml:space="preserve"> across </w:t>
      </w:r>
      <w:r w:rsidR="00D93AA7">
        <w:t>HEPs</w:t>
      </w:r>
      <w:r w:rsidR="00896DAE" w:rsidRPr="00DF307E">
        <w:t xml:space="preserve">. </w:t>
      </w:r>
    </w:p>
    <w:p w14:paraId="34847ADA" w14:textId="7013D771" w:rsidR="003D67FA" w:rsidRPr="00C8078F" w:rsidRDefault="00707F16" w:rsidP="00C8078F">
      <w:pPr>
        <w:rPr>
          <w:b/>
          <w:bCs/>
        </w:rPr>
      </w:pPr>
      <w:r>
        <w:t>The quality measure will</w:t>
      </w:r>
      <w:r w:rsidR="003D67FA">
        <w:t xml:space="preserve">: </w:t>
      </w:r>
    </w:p>
    <w:p w14:paraId="5FC8BEFB" w14:textId="7083AED3" w:rsidR="00B82816" w:rsidRPr="0071281F" w:rsidRDefault="00006DB0" w:rsidP="00855E27">
      <w:pPr>
        <w:pStyle w:val="NormalTextBulleted"/>
      </w:pPr>
      <w:r>
        <w:t>Offer</w:t>
      </w:r>
      <w:r w:rsidR="006721C4" w:rsidRPr="0071281F">
        <w:t xml:space="preserve"> a national</w:t>
      </w:r>
      <w:r w:rsidR="00A91D0D">
        <w:t>ly</w:t>
      </w:r>
      <w:r w:rsidR="006721C4" w:rsidRPr="0071281F">
        <w:t xml:space="preserve"> </w:t>
      </w:r>
      <w:r w:rsidR="00A91D0D" w:rsidRPr="0071281F">
        <w:t>consistent</w:t>
      </w:r>
      <w:r w:rsidR="006721C4" w:rsidRPr="0071281F">
        <w:t xml:space="preserve"> and transparent measure of </w:t>
      </w:r>
      <w:r w:rsidR="00767F8E" w:rsidRPr="0071281F">
        <w:t>outputs and</w:t>
      </w:r>
      <w:r w:rsidR="006721C4" w:rsidRPr="0071281F">
        <w:t xml:space="preserve"> </w:t>
      </w:r>
      <w:r w:rsidR="0071281F" w:rsidRPr="0071281F">
        <w:t>longer-term</w:t>
      </w:r>
      <w:r w:rsidR="005A2C02" w:rsidRPr="0071281F">
        <w:t xml:space="preserve"> </w:t>
      </w:r>
      <w:r w:rsidR="006721C4" w:rsidRPr="0071281F">
        <w:t xml:space="preserve">outcomes </w:t>
      </w:r>
      <w:r w:rsidR="00C90320">
        <w:t xml:space="preserve">applied </w:t>
      </w:r>
      <w:r w:rsidR="006721C4" w:rsidRPr="0071281F">
        <w:t xml:space="preserve">across </w:t>
      </w:r>
      <w:r>
        <w:t>HEPs</w:t>
      </w:r>
    </w:p>
    <w:p w14:paraId="65E2BB36" w14:textId="0D1942C6" w:rsidR="006721C4" w:rsidRDefault="006721C4" w:rsidP="00855E27">
      <w:pPr>
        <w:pStyle w:val="NormalTextBulleted"/>
      </w:pPr>
      <w:r w:rsidRPr="00B82816">
        <w:t xml:space="preserve">Inform where ITE </w:t>
      </w:r>
      <w:r w:rsidR="00231FE7">
        <w:t>courses</w:t>
      </w:r>
      <w:r w:rsidRPr="00B82816">
        <w:t xml:space="preserve"> can improve and where they are performing well on </w:t>
      </w:r>
      <w:r w:rsidR="00AA4F60">
        <w:t>stated</w:t>
      </w:r>
      <w:r w:rsidRPr="00B82816">
        <w:t xml:space="preserve"> outcomes</w:t>
      </w:r>
      <w:r w:rsidR="004766A7">
        <w:t>,</w:t>
      </w:r>
      <w:r w:rsidRPr="00B82816">
        <w:t xml:space="preserve"> to drive continuous improvement in </w:t>
      </w:r>
      <w:r w:rsidR="008C5252">
        <w:t>course quality</w:t>
      </w:r>
    </w:p>
    <w:p w14:paraId="5934A38E" w14:textId="6A146B4E" w:rsidR="00F652D2" w:rsidRDefault="00731044" w:rsidP="00855E27">
      <w:pPr>
        <w:pStyle w:val="NormalTextBulleted"/>
      </w:pPr>
      <w:r>
        <w:t>Develop a</w:t>
      </w:r>
      <w:r w:rsidR="00E004DC">
        <w:t xml:space="preserve"> </w:t>
      </w:r>
      <w:r w:rsidR="0048440C">
        <w:t xml:space="preserve">quality measure </w:t>
      </w:r>
      <w:r>
        <w:t xml:space="preserve">that enables performance-based assessments of ITE </w:t>
      </w:r>
      <w:r w:rsidR="008E3FD2">
        <w:t>courses</w:t>
      </w:r>
      <w:r w:rsidR="002760ED">
        <w:t xml:space="preserve"> </w:t>
      </w:r>
      <w:r w:rsidR="00115B39">
        <w:t>and assists in student choice</w:t>
      </w:r>
    </w:p>
    <w:p w14:paraId="7FEF2A88" w14:textId="6E7FFAA8" w:rsidR="00E004DC" w:rsidRDefault="00F652D2" w:rsidP="00855E27">
      <w:pPr>
        <w:pStyle w:val="NormalTextBulleted"/>
      </w:pPr>
      <w:r>
        <w:lastRenderedPageBreak/>
        <w:t>R</w:t>
      </w:r>
      <w:r w:rsidR="0021651A">
        <w:t xml:space="preserve">eward HEPs </w:t>
      </w:r>
      <w:r w:rsidR="00605EE8">
        <w:t>that</w:t>
      </w:r>
      <w:r w:rsidR="0021651A">
        <w:t xml:space="preserve"> score highly on the measure</w:t>
      </w:r>
      <w:r w:rsidR="00692BB3">
        <w:t xml:space="preserve"> </w:t>
      </w:r>
    </w:p>
    <w:p w14:paraId="1A1E42A8" w14:textId="5C3CCF17" w:rsidR="009C1377" w:rsidRDefault="00692BB3" w:rsidP="009A263F">
      <w:pPr>
        <w:pStyle w:val="NormalTextBulleted"/>
      </w:pPr>
      <w:r>
        <w:t>Increas</w:t>
      </w:r>
      <w:r w:rsidR="00807471">
        <w:t>e</w:t>
      </w:r>
      <w:r w:rsidR="00814F7E">
        <w:t xml:space="preserve"> transparency by making publicly </w:t>
      </w:r>
      <w:r>
        <w:t>available</w:t>
      </w:r>
      <w:r w:rsidR="00814F7E">
        <w:t xml:space="preserve"> information </w:t>
      </w:r>
      <w:r w:rsidR="00376549">
        <w:t>on</w:t>
      </w:r>
      <w:r w:rsidR="00814F7E">
        <w:t xml:space="preserve"> how each </w:t>
      </w:r>
      <w:r w:rsidR="00605EE8">
        <w:t>HEP</w:t>
      </w:r>
      <w:r>
        <w:t xml:space="preserve"> scores on the quality measure (see</w:t>
      </w:r>
      <w:r w:rsidR="00DA3C0E">
        <w:t xml:space="preserve"> </w:t>
      </w:r>
      <w:r>
        <w:t>Recommendation 15</w:t>
      </w:r>
      <w:r w:rsidR="00DA3C0E">
        <w:t xml:space="preserve"> of the QITE </w:t>
      </w:r>
      <w:r w:rsidR="001A6623">
        <w:t>Review</w:t>
      </w:r>
      <w:r w:rsidR="00DA3C0E">
        <w:t>: Australian Government, 2022</w:t>
      </w:r>
      <w:r w:rsidR="00E42200">
        <w:t>a</w:t>
      </w:r>
      <w:r w:rsidR="00DA3C0E">
        <w:t>,</w:t>
      </w:r>
      <w:r>
        <w:t xml:space="preserve"> p. x).</w:t>
      </w:r>
    </w:p>
    <w:p w14:paraId="7CE5285A" w14:textId="5232045E" w:rsidR="00DF307E" w:rsidRPr="002054CF" w:rsidRDefault="007741AA" w:rsidP="00D20E87">
      <w:pPr>
        <w:pStyle w:val="Heading3"/>
      </w:pPr>
      <w:bookmarkStart w:id="4" w:name="_Toc126942685"/>
      <w:bookmarkStart w:id="5" w:name="_Toc67061716"/>
      <w:bookmarkStart w:id="6" w:name="_Toc115858266"/>
      <w:bookmarkStart w:id="7" w:name="_Hlk109632499"/>
      <w:bookmarkStart w:id="8" w:name="_Hlk105672402"/>
      <w:bookmarkStart w:id="9" w:name="_Toc109631577"/>
      <w:r w:rsidRPr="002054CF">
        <w:t xml:space="preserve">Defining </w:t>
      </w:r>
      <w:r w:rsidR="00DF307E" w:rsidRPr="002054CF">
        <w:t xml:space="preserve">the </w:t>
      </w:r>
      <w:r w:rsidR="00DE32D1" w:rsidRPr="002054CF">
        <w:t>q</w:t>
      </w:r>
      <w:r w:rsidR="00DF307E" w:rsidRPr="002054CF">
        <w:t xml:space="preserve">uality </w:t>
      </w:r>
      <w:r w:rsidR="00DE32D1" w:rsidRPr="002054CF">
        <w:t>m</w:t>
      </w:r>
      <w:r w:rsidR="00DF307E" w:rsidRPr="002054CF">
        <w:t>easure</w:t>
      </w:r>
      <w:bookmarkEnd w:id="4"/>
    </w:p>
    <w:p w14:paraId="6059D519" w14:textId="37F0CAAE" w:rsidR="00915014" w:rsidRDefault="00B75CF6" w:rsidP="00246687">
      <w:pPr>
        <w:rPr>
          <w:rFonts w:cs="Times New Roman"/>
        </w:rPr>
      </w:pPr>
      <w:r>
        <w:rPr>
          <w:rFonts w:cs="Times New Roman"/>
        </w:rPr>
        <w:t xml:space="preserve">The </w:t>
      </w:r>
      <w:r w:rsidR="00915014">
        <w:rPr>
          <w:rFonts w:cs="Times New Roman"/>
        </w:rPr>
        <w:t xml:space="preserve">quality measure </w:t>
      </w:r>
      <w:r>
        <w:rPr>
          <w:rFonts w:cs="Times New Roman"/>
        </w:rPr>
        <w:t>includes</w:t>
      </w:r>
      <w:r w:rsidR="00915014">
        <w:rPr>
          <w:rFonts w:cs="Times New Roman"/>
        </w:rPr>
        <w:t xml:space="preserve"> </w:t>
      </w:r>
      <w:r w:rsidR="00FE1B8E">
        <w:rPr>
          <w:rFonts w:cs="Times New Roman"/>
        </w:rPr>
        <w:t xml:space="preserve">two components: </w:t>
      </w:r>
      <w:r w:rsidR="00D5092C">
        <w:rPr>
          <w:rFonts w:cs="Times New Roman"/>
        </w:rPr>
        <w:t xml:space="preserve">(1) </w:t>
      </w:r>
      <w:r w:rsidR="00FE1B8E">
        <w:rPr>
          <w:rFonts w:cs="Times New Roman"/>
        </w:rPr>
        <w:t>categories for assessing quality</w:t>
      </w:r>
      <w:r w:rsidR="00A93E3E">
        <w:rPr>
          <w:rFonts w:cs="Times New Roman"/>
        </w:rPr>
        <w:t>,</w:t>
      </w:r>
      <w:r w:rsidR="00FE1B8E">
        <w:rPr>
          <w:rFonts w:cs="Times New Roman"/>
        </w:rPr>
        <w:t xml:space="preserve"> and </w:t>
      </w:r>
      <w:r w:rsidR="00D5092C">
        <w:rPr>
          <w:rFonts w:cs="Times New Roman"/>
        </w:rPr>
        <w:t xml:space="preserve">(2) </w:t>
      </w:r>
      <w:r w:rsidR="00FE1B8E">
        <w:rPr>
          <w:rFonts w:cs="Times New Roman"/>
        </w:rPr>
        <w:t xml:space="preserve">performance indicators </w:t>
      </w:r>
      <w:r w:rsidR="00A93E3E">
        <w:rPr>
          <w:rFonts w:cs="Times New Roman"/>
        </w:rPr>
        <w:t>for each category</w:t>
      </w:r>
      <w:r w:rsidR="0019657D">
        <w:rPr>
          <w:rFonts w:cs="Times New Roman"/>
        </w:rPr>
        <w:t>. The indicators will</w:t>
      </w:r>
      <w:r w:rsidR="00FE1B8E">
        <w:rPr>
          <w:rFonts w:cs="Times New Roman"/>
        </w:rPr>
        <w:t xml:space="preserve"> measure the performance of </w:t>
      </w:r>
      <w:r w:rsidR="0019657D">
        <w:rPr>
          <w:rFonts w:cs="Times New Roman"/>
        </w:rPr>
        <w:t>HEPs</w:t>
      </w:r>
      <w:r w:rsidR="00FE1B8E">
        <w:rPr>
          <w:rFonts w:cs="Times New Roman"/>
        </w:rPr>
        <w:t xml:space="preserve"> within </w:t>
      </w:r>
      <w:r w:rsidR="0019657D">
        <w:rPr>
          <w:rFonts w:cs="Times New Roman"/>
        </w:rPr>
        <w:t>the</w:t>
      </w:r>
      <w:r w:rsidR="00FE1B8E">
        <w:rPr>
          <w:rFonts w:cs="Times New Roman"/>
        </w:rPr>
        <w:t xml:space="preserve"> categories. </w:t>
      </w:r>
    </w:p>
    <w:p w14:paraId="289038C4" w14:textId="77777777" w:rsidR="0019657D" w:rsidRDefault="0019657D" w:rsidP="00246687">
      <w:pPr>
        <w:rPr>
          <w:rFonts w:cs="Times New Roman"/>
        </w:rPr>
      </w:pPr>
      <w:r>
        <w:rPr>
          <w:rFonts w:cs="Times New Roman"/>
        </w:rPr>
        <w:t>The</w:t>
      </w:r>
      <w:r w:rsidR="00FE1B8E">
        <w:rPr>
          <w:rFonts w:cs="Times New Roman"/>
        </w:rPr>
        <w:t xml:space="preserve"> four </w:t>
      </w:r>
      <w:r>
        <w:rPr>
          <w:rFonts w:cs="Times New Roman"/>
        </w:rPr>
        <w:t>categories are:</w:t>
      </w:r>
      <w:r w:rsidR="00B46D42">
        <w:rPr>
          <w:rFonts w:cs="Times New Roman"/>
        </w:rPr>
        <w:t xml:space="preserve"> </w:t>
      </w:r>
    </w:p>
    <w:p w14:paraId="23AC7C27" w14:textId="192EB78E" w:rsidR="0019657D" w:rsidRPr="0019657D" w:rsidRDefault="0019657D" w:rsidP="0093075C">
      <w:pPr>
        <w:pStyle w:val="NormalTextNumbered"/>
        <w:numPr>
          <w:ilvl w:val="0"/>
          <w:numId w:val="8"/>
        </w:numPr>
      </w:pPr>
      <w:r w:rsidRPr="0019657D">
        <w:t>S</w:t>
      </w:r>
      <w:r w:rsidR="00B46D42" w:rsidRPr="0019657D">
        <w:t>election</w:t>
      </w:r>
      <w:r w:rsidR="00441A96">
        <w:t xml:space="preserve">: </w:t>
      </w:r>
      <w:r w:rsidR="00EC5CED">
        <w:t xml:space="preserve">This category </w:t>
      </w:r>
      <w:r w:rsidR="00261C3D">
        <w:t>focuses on</w:t>
      </w:r>
      <w:r w:rsidR="00E65A2F">
        <w:t xml:space="preserve"> </w:t>
      </w:r>
      <w:r w:rsidR="00210BAF">
        <w:t xml:space="preserve">entry and </w:t>
      </w:r>
      <w:r w:rsidR="00B06162">
        <w:t xml:space="preserve">participation of </w:t>
      </w:r>
      <w:r w:rsidR="00E628F1">
        <w:t xml:space="preserve">diverse groups </w:t>
      </w:r>
      <w:r w:rsidR="00210BAF">
        <w:t xml:space="preserve">in ITE </w:t>
      </w:r>
      <w:r w:rsidR="00875F2F">
        <w:t>(e.g.,</w:t>
      </w:r>
      <w:r w:rsidR="00E628F1">
        <w:t xml:space="preserve"> </w:t>
      </w:r>
      <w:r w:rsidR="00B06162">
        <w:t>First Nations, regional and remote</w:t>
      </w:r>
      <w:r w:rsidR="00875F2F">
        <w:t xml:space="preserve"> locations</w:t>
      </w:r>
      <w:r w:rsidR="00B06162">
        <w:t xml:space="preserve">, and </w:t>
      </w:r>
      <w:r w:rsidR="00E628F1" w:rsidRPr="00E628F1">
        <w:t xml:space="preserve">low socio-economic </w:t>
      </w:r>
      <w:r w:rsidR="00C82BAA">
        <w:t>backgrounds</w:t>
      </w:r>
      <w:r w:rsidR="00875F2F">
        <w:t>)</w:t>
      </w:r>
      <w:r w:rsidR="00E628F1">
        <w:t xml:space="preserve">. </w:t>
      </w:r>
    </w:p>
    <w:p w14:paraId="7742A9C8" w14:textId="451305AA" w:rsidR="0019657D" w:rsidRPr="0019657D" w:rsidRDefault="0019657D" w:rsidP="0093075C">
      <w:pPr>
        <w:pStyle w:val="NormalTextNumbered"/>
        <w:numPr>
          <w:ilvl w:val="0"/>
          <w:numId w:val="8"/>
        </w:numPr>
      </w:pPr>
      <w:r w:rsidRPr="0019657D">
        <w:t>R</w:t>
      </w:r>
      <w:r w:rsidR="00B46D42" w:rsidRPr="0019657D">
        <w:t>etention</w:t>
      </w:r>
      <w:r w:rsidR="00057F35">
        <w:t xml:space="preserve">: </w:t>
      </w:r>
      <w:bookmarkStart w:id="10" w:name="_Hlk126932490"/>
      <w:r w:rsidR="00057F35">
        <w:t xml:space="preserve">This category </w:t>
      </w:r>
      <w:r w:rsidR="00261C3D">
        <w:t>focuses on</w:t>
      </w:r>
      <w:r w:rsidR="00656F16">
        <w:t xml:space="preserve"> </w:t>
      </w:r>
      <w:bookmarkEnd w:id="10"/>
      <w:r w:rsidR="009929AD">
        <w:t xml:space="preserve">the proportion of </w:t>
      </w:r>
      <w:r w:rsidR="00D925E1">
        <w:t xml:space="preserve">students who </w:t>
      </w:r>
      <w:r w:rsidR="00B150C6">
        <w:t>leave their course</w:t>
      </w:r>
      <w:r w:rsidR="00261C3D">
        <w:t xml:space="preserve"> </w:t>
      </w:r>
      <w:r w:rsidR="00D925E1">
        <w:t xml:space="preserve">in the </w:t>
      </w:r>
      <w:r w:rsidR="008617A4">
        <w:t>f</w:t>
      </w:r>
      <w:r w:rsidR="00057F35" w:rsidRPr="00057F35">
        <w:t xml:space="preserve">irst </w:t>
      </w:r>
      <w:r w:rsidR="00D925E1">
        <w:t>year</w:t>
      </w:r>
      <w:r w:rsidR="00D00E06">
        <w:t xml:space="preserve"> and</w:t>
      </w:r>
      <w:r w:rsidR="008617A4">
        <w:t xml:space="preserve"> </w:t>
      </w:r>
      <w:r w:rsidR="00B150C6">
        <w:t xml:space="preserve">those who separate within </w:t>
      </w:r>
      <w:r w:rsidR="00D00E06" w:rsidRPr="00057F35">
        <w:t>six</w:t>
      </w:r>
      <w:r w:rsidR="00D00E06">
        <w:t xml:space="preserve"> year</w:t>
      </w:r>
      <w:r w:rsidR="00B150C6">
        <w:t>s</w:t>
      </w:r>
      <w:r w:rsidR="00D00E06">
        <w:t>.</w:t>
      </w:r>
    </w:p>
    <w:p w14:paraId="1D1F115A" w14:textId="02464F39" w:rsidR="0019657D" w:rsidRPr="0019657D" w:rsidRDefault="0019657D" w:rsidP="0093075C">
      <w:pPr>
        <w:pStyle w:val="NormalTextNumbered"/>
        <w:numPr>
          <w:ilvl w:val="0"/>
          <w:numId w:val="8"/>
        </w:numPr>
      </w:pPr>
      <w:r>
        <w:t>C</w:t>
      </w:r>
      <w:r w:rsidR="00B46D42" w:rsidRPr="0019657D">
        <w:t>lassroom readiness</w:t>
      </w:r>
      <w:r w:rsidR="00D00E06">
        <w:t>:</w:t>
      </w:r>
      <w:r w:rsidR="00B46D42" w:rsidRPr="0019657D">
        <w:t xml:space="preserve"> </w:t>
      </w:r>
      <w:r w:rsidR="005118AB" w:rsidRPr="005118AB">
        <w:t xml:space="preserve">This category </w:t>
      </w:r>
      <w:r w:rsidR="00261C3D">
        <w:t>focuses on</w:t>
      </w:r>
      <w:r w:rsidR="0077796E">
        <w:t xml:space="preserve"> </w:t>
      </w:r>
      <w:r w:rsidR="0077796E" w:rsidRPr="0077796E">
        <w:t>student</w:t>
      </w:r>
      <w:r w:rsidR="00B150C6">
        <w:t xml:space="preserve">s’ </w:t>
      </w:r>
      <w:r w:rsidR="0077796E" w:rsidRPr="0077796E">
        <w:t>perceived preparedness for entering the teaching profession</w:t>
      </w:r>
      <w:r w:rsidR="00B150C6">
        <w:t xml:space="preserve"> and their </w:t>
      </w:r>
      <w:r w:rsidR="00B150C6" w:rsidRPr="0077796E">
        <w:t xml:space="preserve">satisfaction with the </w:t>
      </w:r>
      <w:r w:rsidR="00EC2FAA">
        <w:t xml:space="preserve">quality of their </w:t>
      </w:r>
      <w:r w:rsidR="00B150C6" w:rsidRPr="0077796E">
        <w:t>course</w:t>
      </w:r>
      <w:r w:rsidR="0077796E">
        <w:t>.</w:t>
      </w:r>
    </w:p>
    <w:p w14:paraId="75FAC9FC" w14:textId="1C3B27B8" w:rsidR="0019657D" w:rsidRPr="0019657D" w:rsidRDefault="0019657D" w:rsidP="0093075C">
      <w:pPr>
        <w:pStyle w:val="NormalTextNumbered"/>
        <w:numPr>
          <w:ilvl w:val="0"/>
          <w:numId w:val="8"/>
        </w:numPr>
      </w:pPr>
      <w:r>
        <w:t>T</w:t>
      </w:r>
      <w:r w:rsidR="00B46D42" w:rsidRPr="0019657D">
        <w:t>ransition</w:t>
      </w:r>
      <w:r w:rsidR="00D00E06">
        <w:t>:</w:t>
      </w:r>
      <w:r w:rsidR="005118AB" w:rsidRPr="005118AB">
        <w:t xml:space="preserve"> This category </w:t>
      </w:r>
      <w:r w:rsidR="00B150C6">
        <w:t xml:space="preserve">focuses on </w:t>
      </w:r>
      <w:r w:rsidR="007874E9">
        <w:t>the</w:t>
      </w:r>
      <w:r w:rsidR="005118AB">
        <w:t xml:space="preserve"> </w:t>
      </w:r>
      <w:r w:rsidR="007874E9" w:rsidRPr="007874E9">
        <w:t>employment outcomes of recent graduates and early career teachers</w:t>
      </w:r>
      <w:r w:rsidR="00AE5C0D">
        <w:t>.</w:t>
      </w:r>
    </w:p>
    <w:p w14:paraId="0C36B498" w14:textId="05A9BEE5" w:rsidR="00D35508" w:rsidRPr="00D35508" w:rsidRDefault="00707F16" w:rsidP="00D35508">
      <w:pPr>
        <w:rPr>
          <w:rFonts w:cs="Times New Roman"/>
        </w:rPr>
      </w:pPr>
      <w:r>
        <w:t>T</w:t>
      </w:r>
      <w:r w:rsidRPr="007C7334">
        <w:t>he</w:t>
      </w:r>
      <w:r>
        <w:t xml:space="preserve"> selection of</w:t>
      </w:r>
      <w:r w:rsidRPr="007C7334">
        <w:t xml:space="preserve"> </w:t>
      </w:r>
      <w:r>
        <w:t xml:space="preserve">categories and indicators used in the measure </w:t>
      </w:r>
      <w:r w:rsidR="002954D8">
        <w:t xml:space="preserve">was </w:t>
      </w:r>
      <w:r>
        <w:t xml:space="preserve">informed by a review of international literature. </w:t>
      </w:r>
      <w:r w:rsidR="002954D8">
        <w:rPr>
          <w:rFonts w:cs="Times New Roman"/>
        </w:rPr>
        <w:t xml:space="preserve">They </w:t>
      </w:r>
      <w:r w:rsidR="00357D2A">
        <w:rPr>
          <w:rFonts w:cs="Times New Roman"/>
        </w:rPr>
        <w:t>provide a framework fo</w:t>
      </w:r>
      <w:r w:rsidR="00B46D42">
        <w:rPr>
          <w:rFonts w:cs="Times New Roman"/>
        </w:rPr>
        <w:t>r assessing how well ITE programs perform across</w:t>
      </w:r>
      <w:r w:rsidR="00B0748B">
        <w:rPr>
          <w:rFonts w:cs="Times New Roman"/>
        </w:rPr>
        <w:t xml:space="preserve"> four</w:t>
      </w:r>
      <w:r w:rsidR="00B46D42">
        <w:rPr>
          <w:rFonts w:cs="Times New Roman"/>
        </w:rPr>
        <w:t xml:space="preserve"> key </w:t>
      </w:r>
      <w:r w:rsidR="00B0748B">
        <w:rPr>
          <w:rFonts w:cs="Times New Roman"/>
        </w:rPr>
        <w:t>elements of preparation</w:t>
      </w:r>
      <w:r w:rsidR="00B46D42">
        <w:rPr>
          <w:rFonts w:cs="Times New Roman"/>
        </w:rPr>
        <w:t xml:space="preserve"> </w:t>
      </w:r>
      <w:r w:rsidR="00BC5844">
        <w:rPr>
          <w:rFonts w:cs="Times New Roman"/>
        </w:rPr>
        <w:t>from selection</w:t>
      </w:r>
      <w:r w:rsidR="002954D8">
        <w:rPr>
          <w:rFonts w:cs="Times New Roman"/>
        </w:rPr>
        <w:t xml:space="preserve"> into an ITE </w:t>
      </w:r>
      <w:r w:rsidR="00671B0D">
        <w:rPr>
          <w:rFonts w:cs="Times New Roman"/>
        </w:rPr>
        <w:t>course</w:t>
      </w:r>
      <w:r w:rsidR="00D5092C">
        <w:rPr>
          <w:rFonts w:cs="Times New Roman"/>
        </w:rPr>
        <w:t>,</w:t>
      </w:r>
      <w:r w:rsidR="00BC5844">
        <w:rPr>
          <w:rFonts w:cs="Times New Roman"/>
        </w:rPr>
        <w:t xml:space="preserve"> </w:t>
      </w:r>
      <w:r w:rsidR="002954D8">
        <w:rPr>
          <w:rFonts w:cs="Times New Roman"/>
        </w:rPr>
        <w:t>through preparation</w:t>
      </w:r>
      <w:r w:rsidR="00D5092C">
        <w:rPr>
          <w:rFonts w:cs="Times New Roman"/>
        </w:rPr>
        <w:t>,</w:t>
      </w:r>
      <w:r w:rsidR="002954D8">
        <w:rPr>
          <w:rFonts w:cs="Times New Roman"/>
        </w:rPr>
        <w:t xml:space="preserve"> and </w:t>
      </w:r>
      <w:r w:rsidR="00BC5844">
        <w:rPr>
          <w:rFonts w:cs="Times New Roman"/>
        </w:rPr>
        <w:t>transition</w:t>
      </w:r>
      <w:r w:rsidR="002954D8">
        <w:rPr>
          <w:rFonts w:cs="Times New Roman"/>
        </w:rPr>
        <w:t xml:space="preserve"> </w:t>
      </w:r>
      <w:r w:rsidR="00DE41E5">
        <w:rPr>
          <w:rFonts w:cs="Times New Roman"/>
        </w:rPr>
        <w:t>in</w:t>
      </w:r>
      <w:r w:rsidR="002954D8">
        <w:rPr>
          <w:rFonts w:cs="Times New Roman"/>
        </w:rPr>
        <w:t>to the teaching workforce</w:t>
      </w:r>
      <w:r w:rsidR="00ED776B">
        <w:rPr>
          <w:rFonts w:cs="Times New Roman"/>
        </w:rPr>
        <w:t>.</w:t>
      </w:r>
      <w:r w:rsidR="0074367D">
        <w:rPr>
          <w:rFonts w:cs="Times New Roman"/>
        </w:rPr>
        <w:t xml:space="preserve"> </w:t>
      </w:r>
      <w:r w:rsidR="002954D8">
        <w:rPr>
          <w:rFonts w:cs="Times New Roman"/>
        </w:rPr>
        <w:t xml:space="preserve">The categories </w:t>
      </w:r>
      <w:r w:rsidR="00B46D42">
        <w:rPr>
          <w:rFonts w:cs="Times New Roman"/>
        </w:rPr>
        <w:t xml:space="preserve">align to the structure of ITE accreditation and </w:t>
      </w:r>
      <w:r w:rsidR="006D0C4E">
        <w:rPr>
          <w:rFonts w:cs="Times New Roman"/>
        </w:rPr>
        <w:t>related</w:t>
      </w:r>
      <w:r w:rsidR="007A53FD" w:rsidRPr="00774C60">
        <w:rPr>
          <w:rFonts w:cs="Times New Roman"/>
        </w:rPr>
        <w:t xml:space="preserve"> frameworks</w:t>
      </w:r>
      <w:r w:rsidR="007A53FD">
        <w:rPr>
          <w:rFonts w:cs="Times New Roman"/>
        </w:rPr>
        <w:t xml:space="preserve"> for assessing quality. </w:t>
      </w:r>
      <w:r w:rsidR="002954D8">
        <w:rPr>
          <w:rFonts w:cs="Times New Roman"/>
        </w:rPr>
        <w:t>T</w:t>
      </w:r>
      <w:r w:rsidR="007A53FD">
        <w:rPr>
          <w:rFonts w:cs="Times New Roman"/>
        </w:rPr>
        <w:t xml:space="preserve">he QITE </w:t>
      </w:r>
      <w:r w:rsidR="00D35508">
        <w:rPr>
          <w:rFonts w:cs="Times New Roman"/>
        </w:rPr>
        <w:t>Review</w:t>
      </w:r>
      <w:r w:rsidR="00A440B5">
        <w:rPr>
          <w:rFonts w:cs="Times New Roman"/>
        </w:rPr>
        <w:t xml:space="preserve"> (Australian Government, 2022</w:t>
      </w:r>
      <w:r w:rsidR="00E42200">
        <w:rPr>
          <w:rFonts w:cs="Times New Roman"/>
        </w:rPr>
        <w:t>a</w:t>
      </w:r>
      <w:r w:rsidR="00A440B5">
        <w:rPr>
          <w:rFonts w:cs="Times New Roman"/>
        </w:rPr>
        <w:t>)</w:t>
      </w:r>
      <w:r w:rsidR="007A53FD">
        <w:rPr>
          <w:rFonts w:cs="Times New Roman"/>
        </w:rPr>
        <w:t xml:space="preserve"> assessed ITE programs across similar domains. </w:t>
      </w:r>
      <w:r w:rsidR="00D35508">
        <w:t>D</w:t>
      </w:r>
      <w:r w:rsidR="00D35508" w:rsidRPr="00285FD6">
        <w:t xml:space="preserve">ata </w:t>
      </w:r>
      <w:r w:rsidR="00C446FA">
        <w:t>for</w:t>
      </w:r>
      <w:r w:rsidR="00D35508" w:rsidRPr="00285FD6">
        <w:t xml:space="preserve"> the quality measure will be available in the ATWD to </w:t>
      </w:r>
      <w:r w:rsidR="00C446FA">
        <w:t>assess</w:t>
      </w:r>
      <w:r w:rsidR="00D35508" w:rsidRPr="00285FD6">
        <w:t xml:space="preserve"> HEP</w:t>
      </w:r>
      <w:r w:rsidR="00C446FA">
        <w:t xml:space="preserve"> performance</w:t>
      </w:r>
      <w:r w:rsidR="00D35508" w:rsidRPr="00285FD6">
        <w:t>.</w:t>
      </w:r>
      <w:r w:rsidR="00D35508">
        <w:t xml:space="preserve"> </w:t>
      </w:r>
    </w:p>
    <w:p w14:paraId="307B8874" w14:textId="7D4DC3A2" w:rsidR="002054CF" w:rsidRDefault="002054CF" w:rsidP="00590E09">
      <w:pPr>
        <w:pStyle w:val="Heading3"/>
      </w:pPr>
      <w:bookmarkStart w:id="11" w:name="_Toc126942686"/>
      <w:r w:rsidRPr="002054CF">
        <w:t>Principles</w:t>
      </w:r>
      <w:bookmarkEnd w:id="11"/>
    </w:p>
    <w:p w14:paraId="5ECE881D" w14:textId="77777777" w:rsidR="003C7468" w:rsidRPr="00DF307E" w:rsidRDefault="003C7468" w:rsidP="003C7468">
      <w:r w:rsidRPr="00DF307E">
        <w:t>The quality measure and indicators should:</w:t>
      </w:r>
    </w:p>
    <w:p w14:paraId="310C4AE9" w14:textId="7E034813" w:rsidR="00246687" w:rsidRPr="00590E09" w:rsidRDefault="00590E09" w:rsidP="00590E09">
      <w:pPr>
        <w:pStyle w:val="NormalTextBulleted"/>
      </w:pPr>
      <w:r>
        <w:t>B</w:t>
      </w:r>
      <w:r w:rsidR="00246687" w:rsidRPr="00590E09">
        <w:t>e relevant to the Australian context</w:t>
      </w:r>
    </w:p>
    <w:p w14:paraId="5D249CDD" w14:textId="5D938843" w:rsidR="00246687" w:rsidRPr="00590E09" w:rsidRDefault="00590E09" w:rsidP="00590E09">
      <w:pPr>
        <w:pStyle w:val="NormalTextBulleted"/>
      </w:pPr>
      <w:r>
        <w:t>B</w:t>
      </w:r>
      <w:r w:rsidR="00D74091" w:rsidRPr="00590E09">
        <w:t>e cost</w:t>
      </w:r>
      <w:r w:rsidR="00FC24C7" w:rsidRPr="00590E09">
        <w:t xml:space="preserve"> </w:t>
      </w:r>
      <w:r w:rsidR="00D74091" w:rsidRPr="00590E09">
        <w:t>effective, drawing on available</w:t>
      </w:r>
      <w:r w:rsidR="00BD32B2" w:rsidRPr="00590E09">
        <w:t>, relevant and accurate</w:t>
      </w:r>
      <w:r w:rsidR="00D74091" w:rsidRPr="00590E09">
        <w:t xml:space="preserve"> </w:t>
      </w:r>
      <w:proofErr w:type="gramStart"/>
      <w:r w:rsidR="00D74091" w:rsidRPr="00590E09">
        <w:t>data</w:t>
      </w:r>
      <w:proofErr w:type="gramEnd"/>
    </w:p>
    <w:p w14:paraId="1EEDA51B" w14:textId="37AD8D87" w:rsidR="007741AA" w:rsidRPr="00590E09" w:rsidRDefault="00590E09" w:rsidP="00590E09">
      <w:pPr>
        <w:pStyle w:val="NormalTextBulleted"/>
      </w:pPr>
      <w:r>
        <w:t>P</w:t>
      </w:r>
      <w:r w:rsidR="00246687" w:rsidRPr="00590E09">
        <w:t>rovide a common set of indicators for reporting course quality</w:t>
      </w:r>
    </w:p>
    <w:p w14:paraId="1DE3AC9E" w14:textId="66EFD228" w:rsidR="007741AA" w:rsidRPr="00590E09" w:rsidRDefault="00590E09" w:rsidP="00590E09">
      <w:pPr>
        <w:pStyle w:val="NormalTextBulleted"/>
      </w:pPr>
      <w:r>
        <w:t>B</w:t>
      </w:r>
      <w:r w:rsidR="007741AA" w:rsidRPr="00590E09">
        <w:t xml:space="preserve">e applicable across courses, contexts and </w:t>
      </w:r>
      <w:proofErr w:type="gramStart"/>
      <w:r w:rsidR="007741AA" w:rsidRPr="00590E09">
        <w:t>cohorts</w:t>
      </w:r>
      <w:proofErr w:type="gramEnd"/>
    </w:p>
    <w:p w14:paraId="674D06F2" w14:textId="504D214B" w:rsidR="00692A93" w:rsidRDefault="00590E09" w:rsidP="00A61C74">
      <w:pPr>
        <w:pStyle w:val="NormalTextBulleted"/>
      </w:pPr>
      <w:r>
        <w:t>E</w:t>
      </w:r>
      <w:r w:rsidR="009000FD" w:rsidRPr="00590E09">
        <w:t>xclude requirements that would be more appropriate in accreditation</w:t>
      </w:r>
      <w:r w:rsidR="002C0EAE" w:rsidRPr="00590E09">
        <w:t>.</w:t>
      </w:r>
    </w:p>
    <w:p w14:paraId="2946E8D6" w14:textId="356792A6" w:rsidR="00DF307E" w:rsidRDefault="00DF307E" w:rsidP="00E52431">
      <w:pPr>
        <w:pStyle w:val="Heading3"/>
      </w:pPr>
      <w:bookmarkStart w:id="12" w:name="_Toc126942687"/>
      <w:r w:rsidRPr="0045325E">
        <w:t xml:space="preserve">Quality </w:t>
      </w:r>
      <w:r w:rsidR="00DE32D1" w:rsidRPr="0045325E">
        <w:t>m</w:t>
      </w:r>
      <w:r w:rsidRPr="0045325E">
        <w:t xml:space="preserve">easure and </w:t>
      </w:r>
      <w:r w:rsidR="00DE32D1" w:rsidRPr="0045325E">
        <w:t>p</w:t>
      </w:r>
      <w:r w:rsidRPr="0045325E">
        <w:t xml:space="preserve">erformance </w:t>
      </w:r>
      <w:r w:rsidR="00DE32D1" w:rsidRPr="0045325E">
        <w:t>i</w:t>
      </w:r>
      <w:r w:rsidRPr="0045325E">
        <w:t>ndicators</w:t>
      </w:r>
      <w:bookmarkEnd w:id="12"/>
    </w:p>
    <w:p w14:paraId="4015CF0F" w14:textId="77777777" w:rsidR="00B63604" w:rsidRDefault="00B63604" w:rsidP="00B63604">
      <w:pPr>
        <w:pStyle w:val="Heading4"/>
      </w:pPr>
      <w:bookmarkStart w:id="13" w:name="_Hlk126757328"/>
      <w:r>
        <w:t xml:space="preserve">Category 1: </w:t>
      </w:r>
      <w:r w:rsidRPr="00E14420">
        <w:t>Selection</w:t>
      </w:r>
    </w:p>
    <w:p w14:paraId="1FB55A61" w14:textId="5CEA563A" w:rsidR="00B63604" w:rsidRDefault="00B63604" w:rsidP="0065214D">
      <w:r>
        <w:t>S</w:t>
      </w:r>
      <w:r w:rsidRPr="00E14420">
        <w:t xml:space="preserve">election refers to the </w:t>
      </w:r>
      <w:r>
        <w:t xml:space="preserve">basis of admission for selecting who is given entry to teacher education. This category measures the participation of diverse cohorts in ITE. Both in </w:t>
      </w:r>
      <w:r w:rsidRPr="00D44F2B">
        <w:t xml:space="preserve">Australia and internationally, a key focus of selection has been to increase participation of students from diverse backgrounds that have been historically disadvantaged and underrepresented in </w:t>
      </w:r>
      <w:r>
        <w:t>ITE</w:t>
      </w:r>
      <w:r w:rsidRPr="00D44F2B">
        <w:t xml:space="preserve"> and higher education more broadly. For example, the importance of ensuring </w:t>
      </w:r>
      <w:r w:rsidRPr="0098165C">
        <w:t>equity of participation in selection is outlined in the Australian Higher Education Standards Framework (‘HES Framework’, 2021), which</w:t>
      </w:r>
      <w:r w:rsidRPr="00E14420">
        <w:t xml:space="preserve"> stipulates that HEPs are required to give “specific consideration… to the recruitment and admission” of recognised equity cohorts </w:t>
      </w:r>
      <w:r w:rsidRPr="00B63604">
        <w:t>(HES Framework, 2021, Part A, S.2.2).</w:t>
      </w:r>
    </w:p>
    <w:p w14:paraId="6D6BD86B" w14:textId="77777777" w:rsidR="00B63604" w:rsidRPr="00D64833" w:rsidRDefault="00B63604" w:rsidP="00B63604">
      <w:pPr>
        <w:pStyle w:val="Heading5"/>
      </w:pPr>
      <w:r w:rsidRPr="00D64833">
        <w:t>Performance Indicators</w:t>
      </w:r>
    </w:p>
    <w:p w14:paraId="5D5A6F2A" w14:textId="77777777" w:rsidR="00B63604" w:rsidRDefault="00B63604" w:rsidP="0065214D">
      <w:r>
        <w:t>The proposed performance indicators for this category are:</w:t>
      </w:r>
    </w:p>
    <w:p w14:paraId="7167867B" w14:textId="77777777" w:rsidR="00B63604" w:rsidRDefault="00B63604" w:rsidP="0065214D">
      <w:pPr>
        <w:pStyle w:val="NormalTextBulleted"/>
      </w:pPr>
      <w:r w:rsidRPr="00D44F2B">
        <w:t>Participation of First Nations Students: The proportion of First Nation</w:t>
      </w:r>
      <w:r>
        <w:t>s</w:t>
      </w:r>
      <w:r w:rsidRPr="00D44F2B">
        <w:t xml:space="preserve"> students enrolled in initial teacher education</w:t>
      </w:r>
    </w:p>
    <w:p w14:paraId="2B9F0FED" w14:textId="77777777" w:rsidR="00B63604" w:rsidRPr="00EB15AF" w:rsidRDefault="00B63604" w:rsidP="0065214D">
      <w:pPr>
        <w:pStyle w:val="NormalTextBulleted"/>
      </w:pPr>
      <w:r w:rsidRPr="00293CA5">
        <w:t xml:space="preserve">Participation of </w:t>
      </w:r>
      <w:r>
        <w:t>regional and remote s</w:t>
      </w:r>
      <w:r w:rsidRPr="00293CA5">
        <w:t xml:space="preserve">tudents: The proportion of </w:t>
      </w:r>
      <w:r>
        <w:t>regional and remote</w:t>
      </w:r>
      <w:r w:rsidRPr="00293CA5">
        <w:t xml:space="preserve"> students enrolled in initial teacher education</w:t>
      </w:r>
    </w:p>
    <w:p w14:paraId="1032B8AA" w14:textId="77777777" w:rsidR="00B63604" w:rsidRPr="00EB15AF" w:rsidRDefault="00B63604" w:rsidP="0065214D">
      <w:pPr>
        <w:pStyle w:val="NormalTextBulleted"/>
      </w:pPr>
      <w:r w:rsidRPr="00293CA5">
        <w:lastRenderedPageBreak/>
        <w:t xml:space="preserve">Participation of </w:t>
      </w:r>
      <w:r>
        <w:t>low socio-economic status students</w:t>
      </w:r>
      <w:r w:rsidRPr="00293CA5">
        <w:t xml:space="preserve">: The proportion of </w:t>
      </w:r>
      <w:r>
        <w:t>low socio-economic status stu</w:t>
      </w:r>
      <w:r w:rsidRPr="00293CA5">
        <w:t>dents enrolled in initial teacher education</w:t>
      </w:r>
    </w:p>
    <w:p w14:paraId="13EDC4BD" w14:textId="538D3BCE" w:rsidR="00B63604" w:rsidRDefault="00B63604" w:rsidP="0065214D">
      <w:pPr>
        <w:rPr>
          <w:b/>
          <w:bCs/>
          <w:i/>
          <w:iCs/>
        </w:rPr>
      </w:pPr>
      <w:r>
        <w:t xml:space="preserve">These performance indicators measure the extent to which higher education providers are enrolling diverse cohorts, including First Nations, low socio-economic </w:t>
      </w:r>
      <w:proofErr w:type="gramStart"/>
      <w:r>
        <w:t>status</w:t>
      </w:r>
      <w:proofErr w:type="gramEnd"/>
      <w:r>
        <w:t xml:space="preserve"> and regional and remote students. This aligns with the focus of selection criteria and strategies in Australian and other countries to </w:t>
      </w:r>
      <w:r w:rsidRPr="00E14420">
        <w:t>improv</w:t>
      </w:r>
      <w:r>
        <w:t>e</w:t>
      </w:r>
      <w:r w:rsidRPr="00E14420">
        <w:t xml:space="preserve"> equity of participation </w:t>
      </w:r>
      <w:r>
        <w:t xml:space="preserve">for these cohorts. </w:t>
      </w:r>
    </w:p>
    <w:p w14:paraId="23A14E98" w14:textId="77777777" w:rsidR="00B63604" w:rsidRPr="00E14420" w:rsidRDefault="00B63604" w:rsidP="00B63604">
      <w:pPr>
        <w:pStyle w:val="Heading5"/>
      </w:pPr>
      <w:r w:rsidRPr="00E14420">
        <w:t xml:space="preserve">Why is this important? </w:t>
      </w:r>
    </w:p>
    <w:p w14:paraId="7E50DF14" w14:textId="398A3999" w:rsidR="00B63604" w:rsidRDefault="00B63604" w:rsidP="0065214D">
      <w:r>
        <w:t>Measuring the participation of diverse groups in ITE recognises that these students have been underrepresented in ITE and the teacher workforce. The QITE Review reported s</w:t>
      </w:r>
      <w:r w:rsidRPr="00D44F2B">
        <w:t>takeholders emphasised the importance of attracting diverse cohorts to the profession to better reflect</w:t>
      </w:r>
      <w:r>
        <w:t xml:space="preserve"> school</w:t>
      </w:r>
      <w:r w:rsidRPr="00D44F2B">
        <w:t xml:space="preserve"> student populations</w:t>
      </w:r>
      <w:r>
        <w:t xml:space="preserve">. </w:t>
      </w:r>
      <w:r w:rsidRPr="00E14420">
        <w:t xml:space="preserve">For example, Aboriginal and Torres Strait Islander students make up </w:t>
      </w:r>
      <w:r>
        <w:t>six per cent</w:t>
      </w:r>
      <w:r w:rsidRPr="00E14420">
        <w:t xml:space="preserve"> of the </w:t>
      </w:r>
      <w:r>
        <w:t xml:space="preserve">school </w:t>
      </w:r>
      <w:r w:rsidRPr="00E14420">
        <w:t>student</w:t>
      </w:r>
      <w:r>
        <w:t xml:space="preserve"> </w:t>
      </w:r>
      <w:r w:rsidRPr="00E14420">
        <w:t>population</w:t>
      </w:r>
      <w:r>
        <w:t xml:space="preserve"> but only one per cent of graduate teachers </w:t>
      </w:r>
      <w:r w:rsidRPr="00BE3D5B">
        <w:t xml:space="preserve">(QITE </w:t>
      </w:r>
      <w:r w:rsidR="001A6623">
        <w:t>Review</w:t>
      </w:r>
      <w:r w:rsidRPr="00BE3D5B">
        <w:t>: Australian Government, 2022</w:t>
      </w:r>
      <w:r>
        <w:t>a</w:t>
      </w:r>
      <w:r w:rsidRPr="00BE3D5B">
        <w:t>).</w:t>
      </w:r>
      <w:r w:rsidRPr="00E14420">
        <w:t xml:space="preserve"> </w:t>
      </w:r>
    </w:p>
    <w:p w14:paraId="10F93DCB" w14:textId="10855811" w:rsidR="00B63604" w:rsidRDefault="00B63604" w:rsidP="0065214D">
      <w:r w:rsidRPr="00D44F2B">
        <w:t>Research highlights the importance of a diverse workforce, where a diverse teaching workforce facilitate</w:t>
      </w:r>
      <w:r>
        <w:t>s</w:t>
      </w:r>
      <w:r w:rsidRPr="00D44F2B">
        <w:t xml:space="preserve"> positive outcomes for all students and especially diverse students</w:t>
      </w:r>
      <w:r>
        <w:t xml:space="preserve"> (Gershenson et al., 2022)</w:t>
      </w:r>
      <w:r w:rsidRPr="00D44F2B">
        <w:t>. This is because a diverse workforce can better support and engage a diverse student population</w:t>
      </w:r>
      <w:r>
        <w:t xml:space="preserve">, ensuring that learning includes local, </w:t>
      </w:r>
      <w:proofErr w:type="gramStart"/>
      <w:r>
        <w:t>regional</w:t>
      </w:r>
      <w:proofErr w:type="gramEnd"/>
      <w:r>
        <w:t xml:space="preserve"> and cultural knowledge, and experience of Aboriginal and Torres Strait Islander people</w:t>
      </w:r>
      <w:r w:rsidRPr="00D44F2B">
        <w:t xml:space="preserve">. </w:t>
      </w:r>
      <w:r>
        <w:t xml:space="preserve">Broadly speaking, teachers from diverse backgrounds, including </w:t>
      </w:r>
      <w:r w:rsidRPr="00D44F2B">
        <w:t>rural, regional, and remote areas</w:t>
      </w:r>
      <w:r>
        <w:t xml:space="preserve">, provide valuable role models for post-school transition and pathways, and work in partnership with local </w:t>
      </w:r>
      <w:r w:rsidRPr="00840272">
        <w:t>communities (Gershenson et al., 2022</w:t>
      </w:r>
      <w:r>
        <w:t>;</w:t>
      </w:r>
      <w:r w:rsidRPr="005507ED">
        <w:t xml:space="preserve"> </w:t>
      </w:r>
      <w:r w:rsidRPr="00840272">
        <w:t>Ingersoll et al., 2019). For</w:t>
      </w:r>
      <w:r w:rsidRPr="00D44F2B">
        <w:t xml:space="preserve"> example,</w:t>
      </w:r>
      <w:r>
        <w:t xml:space="preserve"> Aboriginal and Torres Strait Islander teachers and paraprofessionals can help </w:t>
      </w:r>
      <w:r w:rsidRPr="004B552E">
        <w:t xml:space="preserve">meet student and community </w:t>
      </w:r>
      <w:r w:rsidR="00CF44F9" w:rsidRPr="004B552E">
        <w:t>needs</w:t>
      </w:r>
      <w:r w:rsidR="00CF44F9">
        <w:t xml:space="preserve"> and</w:t>
      </w:r>
      <w:r>
        <w:t xml:space="preserve"> provide culturally responsive educational experiences that “authentically connect schools with local indigenous communities to promote educational opportunity and respect for cultural ways of knowing, being and doing” (</w:t>
      </w:r>
      <w:proofErr w:type="spellStart"/>
      <w:r>
        <w:t>Gruppetta</w:t>
      </w:r>
      <w:proofErr w:type="spellEnd"/>
      <w:r>
        <w:t xml:space="preserve"> et al., 2018, p. 3).  </w:t>
      </w:r>
    </w:p>
    <w:p w14:paraId="38B78885" w14:textId="77777777" w:rsidR="00B63604" w:rsidRPr="00E14420" w:rsidRDefault="00B63604" w:rsidP="0065214D">
      <w:r w:rsidRPr="00D44F2B">
        <w:t xml:space="preserve">These performance indicators recognise </w:t>
      </w:r>
      <w:r>
        <w:t xml:space="preserve">the success of policies and </w:t>
      </w:r>
      <w:r w:rsidRPr="00D44F2B">
        <w:t xml:space="preserve">efforts of higher education providers to improve participation </w:t>
      </w:r>
      <w:r>
        <w:t>of diverse cohorts. This could include policies to:</w:t>
      </w:r>
    </w:p>
    <w:p w14:paraId="73FD1A20" w14:textId="77777777" w:rsidR="00B63604" w:rsidRPr="00E14420" w:rsidRDefault="00B63604" w:rsidP="00CF44F9">
      <w:pPr>
        <w:pStyle w:val="NormalTextBulleted"/>
      </w:pPr>
      <w:r w:rsidRPr="00E14420">
        <w:t>increas</w:t>
      </w:r>
      <w:r>
        <w:t>e</w:t>
      </w:r>
      <w:r w:rsidRPr="00E14420">
        <w:t xml:space="preserve"> representation through access opportunities (e.g., foundation and short courses) and a range of pathways into ITE to diversify the future teaching workforce (O’Sullivan et al., 2019; QITE Recommendation 11: Australian Government, 2022</w:t>
      </w:r>
      <w:r>
        <w:t>a</w:t>
      </w:r>
      <w:r w:rsidRPr="00E14420">
        <w:t>).</w:t>
      </w:r>
    </w:p>
    <w:p w14:paraId="10338EC4" w14:textId="045A1C0D" w:rsidR="00D20E87" w:rsidRPr="00CF44F9" w:rsidRDefault="00B63604" w:rsidP="002E6347">
      <w:pPr>
        <w:pStyle w:val="NormalTextBulleted"/>
        <w:rPr>
          <w:b/>
          <w:bCs/>
          <w:sz w:val="22"/>
        </w:rPr>
      </w:pPr>
      <w:r>
        <w:t>use</w:t>
      </w:r>
      <w:r w:rsidRPr="00E14420">
        <w:t xml:space="preserve"> “transparent selection for entry to teaching” to increase equity of participation (</w:t>
      </w:r>
      <w:r>
        <w:t xml:space="preserve">QITE </w:t>
      </w:r>
      <w:r w:rsidRPr="00E14420">
        <w:t xml:space="preserve">Recommendation 2: </w:t>
      </w:r>
      <w:r w:rsidR="00CF44F9" w:rsidRPr="00CF44F9">
        <w:t>Australian Government, 2022a, p. xii)</w:t>
      </w:r>
      <w:bookmarkEnd w:id="13"/>
    </w:p>
    <w:p w14:paraId="5A0D0F1C" w14:textId="77777777" w:rsidR="00453962" w:rsidRDefault="00453962" w:rsidP="00453962">
      <w:pPr>
        <w:pStyle w:val="Heading4"/>
      </w:pPr>
      <w:bookmarkStart w:id="14" w:name="_Hlk126766018"/>
      <w:r>
        <w:t xml:space="preserve">Category 2: </w:t>
      </w:r>
      <w:r w:rsidRPr="00FD2D95">
        <w:t>Retention</w:t>
      </w:r>
    </w:p>
    <w:p w14:paraId="05BB7554" w14:textId="772FFDB2" w:rsidR="00453962" w:rsidRPr="00FD2D95" w:rsidRDefault="00453962" w:rsidP="00453962">
      <w:r>
        <w:t>Re</w:t>
      </w:r>
      <w:r w:rsidRPr="00FD2D95">
        <w:t xml:space="preserve">tention refers to retaining students over the duration of </w:t>
      </w:r>
      <w:r>
        <w:t>the course</w:t>
      </w:r>
      <w:r w:rsidRPr="00FD2D95">
        <w:t xml:space="preserve"> from entry to </w:t>
      </w:r>
      <w:r>
        <w:t>graduation. This indicator focuses on retention at</w:t>
      </w:r>
      <w:r w:rsidRPr="00FD2D95">
        <w:t xml:space="preserve"> the first and </w:t>
      </w:r>
      <w:r w:rsidR="00EB0BB1" w:rsidRPr="00FD2D95">
        <w:t>six</w:t>
      </w:r>
      <w:r w:rsidR="00BA16ED">
        <w:t>th</w:t>
      </w:r>
      <w:r w:rsidR="00B8757A">
        <w:t xml:space="preserve"> </w:t>
      </w:r>
      <w:r w:rsidR="00EB0BB1" w:rsidRPr="00FD2D95">
        <w:t>year</w:t>
      </w:r>
      <w:r>
        <w:t xml:space="preserve"> and </w:t>
      </w:r>
      <w:r w:rsidRPr="00FD2D95">
        <w:t>includes all students</w:t>
      </w:r>
      <w:r>
        <w:t xml:space="preserve">. This category measures the extent to which enrolled ITE students graduate from their course. </w:t>
      </w:r>
      <w:r w:rsidRPr="00FD2D95">
        <w:t>In the Australian higher education policy landscape, the HES Framework (20</w:t>
      </w:r>
      <w:r>
        <w:t>21</w:t>
      </w:r>
      <w:r w:rsidRPr="00FD2D95">
        <w:t xml:space="preserve">) stipulates that HEPs are required to regularly review “analyses of progression rates, attrition rates, completion times” of ITE candidates </w:t>
      </w:r>
      <w:r w:rsidRPr="00453962">
        <w:t>(HES Framework, 2021, Part A, 5.3.4).</w:t>
      </w:r>
    </w:p>
    <w:p w14:paraId="65523DBC" w14:textId="3827FA52" w:rsidR="00453962" w:rsidRDefault="00453962" w:rsidP="00453962">
      <w:pPr>
        <w:pStyle w:val="Heading5"/>
      </w:pPr>
      <w:r w:rsidRPr="00FD2D95">
        <w:t>Performance indicators</w:t>
      </w:r>
    </w:p>
    <w:p w14:paraId="1F174F0F" w14:textId="77777777" w:rsidR="00453962" w:rsidRDefault="00453962" w:rsidP="00453962">
      <w:r w:rsidRPr="00AC2C8F">
        <w:t>The proposed performance indicators for this category are:</w:t>
      </w:r>
    </w:p>
    <w:p w14:paraId="5C40AC4B" w14:textId="77777777" w:rsidR="00453962" w:rsidRDefault="00453962" w:rsidP="00453962">
      <w:pPr>
        <w:pStyle w:val="NormalTextBulleted"/>
      </w:pPr>
      <w:r>
        <w:t>First-year attrition</w:t>
      </w:r>
      <w:r w:rsidRPr="00677881">
        <w:t xml:space="preserve"> rate</w:t>
      </w:r>
      <w:r>
        <w:t>:</w:t>
      </w:r>
      <w:r w:rsidRPr="00677881">
        <w:t xml:space="preserve"> </w:t>
      </w:r>
      <w:r w:rsidRPr="00FD085D">
        <w:t xml:space="preserve">the proportion of students leaving </w:t>
      </w:r>
      <w:r>
        <w:t>initial teacher education</w:t>
      </w:r>
      <w:r w:rsidRPr="00FD085D">
        <w:t xml:space="preserve"> </w:t>
      </w:r>
      <w:r>
        <w:t>in</w:t>
      </w:r>
      <w:r w:rsidRPr="00FD085D">
        <w:t xml:space="preserve"> their first year</w:t>
      </w:r>
    </w:p>
    <w:p w14:paraId="381E9BC7" w14:textId="77777777" w:rsidR="00453962" w:rsidRPr="00677881" w:rsidRDefault="00453962" w:rsidP="00453962">
      <w:pPr>
        <w:pStyle w:val="NormalTextBulleted"/>
      </w:pPr>
      <w:r>
        <w:t>Six-year dropout rate: the proportion of commencing students leaving within six years</w:t>
      </w:r>
    </w:p>
    <w:p w14:paraId="1BBF4277" w14:textId="77777777" w:rsidR="00453962" w:rsidRDefault="00453962" w:rsidP="00453962">
      <w:r>
        <w:t xml:space="preserve">These performance indicators measure the extent to which students leave their ITE course shortly after commencement and the proportion of students who </w:t>
      </w:r>
      <w:r w:rsidRPr="00FD2D95">
        <w:t>dropout</w:t>
      </w:r>
      <w:r>
        <w:t xml:space="preserve"> from ITE. First-year attrition reflects the initial outcome of a student’s transition into their ITE course. </w:t>
      </w:r>
      <w:r w:rsidRPr="00FD2D95">
        <w:t>The six</w:t>
      </w:r>
      <w:r>
        <w:t>-</w:t>
      </w:r>
      <w:r w:rsidRPr="00FD2D95">
        <w:t xml:space="preserve">year dropout rate captures the proportion of </w:t>
      </w:r>
      <w:r>
        <w:t xml:space="preserve">commencing </w:t>
      </w:r>
      <w:r w:rsidRPr="00FD2D95">
        <w:t>students who have separated from the</w:t>
      </w:r>
      <w:r>
        <w:t>ir</w:t>
      </w:r>
      <w:r w:rsidRPr="00FD2D95">
        <w:t xml:space="preserve"> </w:t>
      </w:r>
      <w:r>
        <w:t>course within six years, while also accounting for part-time students who may still be enrolled in their course after six years. These</w:t>
      </w:r>
      <w:r w:rsidRPr="009B47BE">
        <w:t xml:space="preserve"> reflect</w:t>
      </w:r>
      <w:r>
        <w:t xml:space="preserve"> </w:t>
      </w:r>
      <w:r w:rsidRPr="009B47BE">
        <w:t xml:space="preserve">the outcome of </w:t>
      </w:r>
      <w:r>
        <w:t xml:space="preserve">a </w:t>
      </w:r>
      <w:r w:rsidRPr="009B47BE">
        <w:t>student</w:t>
      </w:r>
      <w:r>
        <w:t>’s</w:t>
      </w:r>
      <w:r w:rsidRPr="009B47BE">
        <w:t xml:space="preserve"> pathway through their course.</w:t>
      </w:r>
    </w:p>
    <w:p w14:paraId="3D19D476" w14:textId="77777777" w:rsidR="00453962" w:rsidRDefault="00453962" w:rsidP="00453962">
      <w:pPr>
        <w:pStyle w:val="Heading5"/>
      </w:pPr>
      <w:r w:rsidRPr="00FD2D95">
        <w:lastRenderedPageBreak/>
        <w:t xml:space="preserve">Why is this important? </w:t>
      </w:r>
    </w:p>
    <w:p w14:paraId="22F89985" w14:textId="4B73E769" w:rsidR="00453962" w:rsidRDefault="00453962" w:rsidP="00453962">
      <w:r>
        <w:t xml:space="preserve">Measuring the proportion of retained students recognises the high proportion of students who commence but do not graduate as a teacher. </w:t>
      </w:r>
      <w:r w:rsidRPr="009B47BE">
        <w:t>Six</w:t>
      </w:r>
      <w:r>
        <w:t>-year</w:t>
      </w:r>
      <w:r w:rsidRPr="009B47BE">
        <w:t xml:space="preserve"> ITE completion rates of students commencing an undergraduate ITE course declined by eight percentage points between 2010 and 2015 (from 56 per cent to 48 per cent respectively, rounded estimates). Similarly, six</w:t>
      </w:r>
      <w:r>
        <w:t>-year</w:t>
      </w:r>
      <w:r w:rsidRPr="009B47BE">
        <w:t xml:space="preserve"> ITE completion rates of students commencing a postgraduate ITE course declined by five percentage points over the same period (from 79 per cent to 74 per cent, rounded estimates</w:t>
      </w:r>
      <w:r>
        <w:t>; see Australian Government, 2022b)</w:t>
      </w:r>
      <w:r w:rsidRPr="009B47BE">
        <w:t>.</w:t>
      </w:r>
      <w:r w:rsidDel="00724AB9">
        <w:t xml:space="preserve"> </w:t>
      </w:r>
    </w:p>
    <w:p w14:paraId="77F0634A" w14:textId="05A385A3" w:rsidR="00453962" w:rsidRDefault="00453962" w:rsidP="00453962">
      <w:r>
        <w:t>The</w:t>
      </w:r>
      <w:r w:rsidRPr="00CC7C5F">
        <w:t xml:space="preserve"> first year </w:t>
      </w:r>
      <w:r>
        <w:t xml:space="preserve">of preparation </w:t>
      </w:r>
      <w:r w:rsidRPr="00CC7C5F">
        <w:t>is widely recognised to be a time when candidates assess their suitability for teaching (AITSL, 2019, 2022</w:t>
      </w:r>
      <w:r>
        <w:t>b</w:t>
      </w:r>
      <w:r w:rsidRPr="00CC7C5F">
        <w:t>)</w:t>
      </w:r>
      <w:r>
        <w:t xml:space="preserve"> and is the “</w:t>
      </w:r>
      <w:r w:rsidRPr="00B15234">
        <w:t>the most common indicator of high risk to students” (</w:t>
      </w:r>
      <w:r>
        <w:t xml:space="preserve">TEQSA, 2017, </w:t>
      </w:r>
      <w:r w:rsidRPr="00B15234">
        <w:t>p.</w:t>
      </w:r>
      <w:r>
        <w:t xml:space="preserve"> </w:t>
      </w:r>
      <w:r w:rsidRPr="00B15234">
        <w:t>7)</w:t>
      </w:r>
      <w:r w:rsidRPr="00CC7C5F">
        <w:t xml:space="preserve">. </w:t>
      </w:r>
      <w:r>
        <w:t xml:space="preserve">A focus on six-year dropout rates provides for an extended period of candidature and indicates the extent to which students are being supported throughout their course </w:t>
      </w:r>
      <w:r w:rsidRPr="00A307E9">
        <w:t>(AITSL, 2019).</w:t>
      </w:r>
      <w:r>
        <w:t xml:space="preserve"> Higher education providers play an important role in the retention of students through the design and quality of their courses and supports available to students</w:t>
      </w:r>
      <w:r w:rsidR="005B1A5E">
        <w:t xml:space="preserve"> (</w:t>
      </w:r>
      <w:r w:rsidR="00B47FD7">
        <w:t>Darling-Hammon</w:t>
      </w:r>
      <w:r w:rsidR="00980D26">
        <w:t xml:space="preserve">d, 2006; </w:t>
      </w:r>
      <w:r w:rsidR="006603D9">
        <w:t>Darling-Hammond et al., 2019)</w:t>
      </w:r>
      <w:r>
        <w:t>. For example, an analysis of student progression through ITE shows the timing of performance assessments affects the likelihood of graduating (Wyatt-Smith et al., 2021). Similarly, other higher education c</w:t>
      </w:r>
      <w:r w:rsidRPr="00FD2D95">
        <w:t>haracteristics</w:t>
      </w:r>
      <w:r>
        <w:t xml:space="preserve"> </w:t>
      </w:r>
      <w:r w:rsidRPr="00FD2D95">
        <w:t>increase the likelihood of dropout includ</w:t>
      </w:r>
      <w:r>
        <w:t>ing</w:t>
      </w:r>
      <w:r w:rsidRPr="00FD2D95">
        <w:t xml:space="preserve"> external enrolments, </w:t>
      </w:r>
      <w:r>
        <w:t xml:space="preserve">a </w:t>
      </w:r>
      <w:r w:rsidRPr="00FD2D95">
        <w:t>lower proportion of senior academic staff employed, and lower percentage of full-time employed staff</w:t>
      </w:r>
      <w:r>
        <w:t xml:space="preserve"> </w:t>
      </w:r>
      <w:r w:rsidRPr="00453962">
        <w:t>(TEQSA, 2017).</w:t>
      </w:r>
    </w:p>
    <w:p w14:paraId="046BDDA5" w14:textId="77777777" w:rsidR="00453962" w:rsidRPr="002345A2" w:rsidRDefault="00453962" w:rsidP="00453962">
      <w:r w:rsidRPr="002345A2">
        <w:t xml:space="preserve">These performance indicators recognise the success of policies and efforts of higher education providers to </w:t>
      </w:r>
      <w:r>
        <w:t>retain students from course entry to course completion</w:t>
      </w:r>
      <w:r w:rsidRPr="002345A2">
        <w:t>. This could include policies to:</w:t>
      </w:r>
    </w:p>
    <w:p w14:paraId="3922B572" w14:textId="1E63EC58" w:rsidR="00453962" w:rsidRPr="00FD2D95" w:rsidRDefault="00453962" w:rsidP="00453962">
      <w:pPr>
        <w:pStyle w:val="NormalTextBulleted"/>
      </w:pPr>
      <w:r w:rsidRPr="00FD2D95">
        <w:t>identify barriers to success</w:t>
      </w:r>
      <w:r>
        <w:t xml:space="preserve"> and design targeted improvements for diverse student groups (</w:t>
      </w:r>
      <w:r w:rsidR="009D428E">
        <w:t xml:space="preserve">Dunst, 2019; </w:t>
      </w:r>
      <w:r>
        <w:t>Wyatt-Smith et al., 2022)</w:t>
      </w:r>
    </w:p>
    <w:p w14:paraId="03979A3A" w14:textId="7498D944" w:rsidR="00453962" w:rsidRPr="00FD2D95" w:rsidRDefault="00453962" w:rsidP="00453962">
      <w:pPr>
        <w:pStyle w:val="NormalTextBulleted"/>
      </w:pPr>
      <w:r w:rsidRPr="00FD2D95">
        <w:t xml:space="preserve">make evidence-informed decisions about known risks of separation </w:t>
      </w:r>
      <w:r w:rsidRPr="00453962">
        <w:t>(Ng et al., 2018).</w:t>
      </w:r>
    </w:p>
    <w:p w14:paraId="6A04654E" w14:textId="73492ED3" w:rsidR="00453962" w:rsidRPr="00FD2D95" w:rsidRDefault="00453962" w:rsidP="00453962">
      <w:pPr>
        <w:pStyle w:val="NormalTextBulleted"/>
      </w:pPr>
      <w:r w:rsidRPr="00FD2D95">
        <w:t>monitor progression through key assessment milestones, especially at the first and sixth year timepoints and including practicum placements</w:t>
      </w:r>
      <w:r>
        <w:t xml:space="preserve"> </w:t>
      </w:r>
      <w:r w:rsidRPr="00453962">
        <w:t>(Hobson et al., 2009)</w:t>
      </w:r>
      <w:r w:rsidR="007C542C">
        <w:t>.</w:t>
      </w:r>
    </w:p>
    <w:p w14:paraId="5EA4F050" w14:textId="69EA671E" w:rsidR="00453962" w:rsidRDefault="00453962" w:rsidP="00453962">
      <w:pPr>
        <w:pStyle w:val="Heading4"/>
      </w:pPr>
      <w:r>
        <w:t>Category 3: Classroom readiness</w:t>
      </w:r>
    </w:p>
    <w:p w14:paraId="591563AF" w14:textId="2F5D0BE2" w:rsidR="003E7B2F" w:rsidRPr="003E7B2F" w:rsidRDefault="003E7B2F" w:rsidP="003E7B2F">
      <w:r w:rsidRPr="003E7B2F">
        <w:t xml:space="preserve">Classroom readiness refers to the preparedness of teachers to begin employment in a school or learning centre on completion of the ITE course. This includes the academic and professional practice (school-based) components. This category measures </w:t>
      </w:r>
      <w:bookmarkStart w:id="15" w:name="_Hlk126933085"/>
      <w:r w:rsidRPr="003E7B2F">
        <w:t>student satisfaction with the ITE course and their perceived preparedness for entering the teaching profession</w:t>
      </w:r>
      <w:bookmarkEnd w:id="15"/>
      <w:r w:rsidRPr="003E7B2F">
        <w:t xml:space="preserve">. In Australia, a key focus of classroom readiness has been for higher education providers to prepare confident, effective graduates assessed against the Australian Professional Standards for Teaching (Program Standard 1.4: AITSL, 2022). </w:t>
      </w:r>
    </w:p>
    <w:p w14:paraId="624F501C" w14:textId="77777777" w:rsidR="003E7B2F" w:rsidRPr="003E7B2F" w:rsidRDefault="003E7B2F" w:rsidP="003E7B2F">
      <w:pPr>
        <w:pStyle w:val="Heading5"/>
      </w:pPr>
      <w:r w:rsidRPr="003E7B2F">
        <w:t xml:space="preserve">Performance indicators </w:t>
      </w:r>
    </w:p>
    <w:p w14:paraId="17C13471" w14:textId="77777777" w:rsidR="003E7B2F" w:rsidRPr="003E7B2F" w:rsidRDefault="003E7B2F" w:rsidP="003E7B2F">
      <w:r w:rsidRPr="003E7B2F">
        <w:t xml:space="preserve">The proposed performance indicators for this category are:  </w:t>
      </w:r>
    </w:p>
    <w:p w14:paraId="6A058699" w14:textId="77777777" w:rsidR="003E7B2F" w:rsidRPr="003E7B2F" w:rsidRDefault="003E7B2F" w:rsidP="003E7B2F">
      <w:pPr>
        <w:pStyle w:val="NormalTextBulleted"/>
        <w:rPr>
          <w:rFonts w:eastAsiaTheme="minorHAnsi"/>
          <w:lang w:val="en-US"/>
        </w:rPr>
      </w:pPr>
      <w:r w:rsidRPr="003E7B2F">
        <w:rPr>
          <w:rFonts w:eastAsiaTheme="minorHAnsi"/>
          <w:lang w:val="en-US"/>
        </w:rPr>
        <w:t xml:space="preserve">Student satisfaction with the quality of their course (evidence from Student Satisfaction question – QILT survey data) </w:t>
      </w:r>
    </w:p>
    <w:p w14:paraId="71099A95" w14:textId="77777777" w:rsidR="003E7B2F" w:rsidRPr="003E7B2F" w:rsidRDefault="003E7B2F" w:rsidP="003E7B2F">
      <w:pPr>
        <w:pStyle w:val="NormalTextBulleted"/>
        <w:rPr>
          <w:rFonts w:eastAsiaTheme="minorHAnsi"/>
          <w:lang w:val="en-US"/>
        </w:rPr>
      </w:pPr>
      <w:r w:rsidRPr="003E7B2F">
        <w:rPr>
          <w:rFonts w:eastAsiaTheme="minorHAnsi"/>
          <w:lang w:val="en-US"/>
        </w:rPr>
        <w:t xml:space="preserve">Graduate preparedness for employment (Graduate Outcomes Survey: Preparedness to teach question). </w:t>
      </w:r>
    </w:p>
    <w:p w14:paraId="71F3A496" w14:textId="77777777" w:rsidR="003E7B2F" w:rsidRPr="003E7B2F" w:rsidRDefault="003E7B2F" w:rsidP="003E7B2F">
      <w:r w:rsidRPr="003E7B2F">
        <w:t xml:space="preserve">These performance indicators align with an international focus on the assessment of graduate perceptions of program quality, through graduate or exit surveys (Bastian et al., 2017), and assessment of graduate competence in leading classroom learning. This survey </w:t>
      </w:r>
      <w:proofErr w:type="gramStart"/>
      <w:r w:rsidRPr="003E7B2F">
        <w:t>data  captures</w:t>
      </w:r>
      <w:proofErr w:type="gramEnd"/>
      <w:r w:rsidRPr="003E7B2F">
        <w:t xml:space="preserve"> direct ratings of course quality.</w:t>
      </w:r>
    </w:p>
    <w:p w14:paraId="6EF9BAD2" w14:textId="77777777" w:rsidR="003E7B2F" w:rsidRPr="003E7B2F" w:rsidRDefault="003E7B2F" w:rsidP="003E7B2F">
      <w:pPr>
        <w:pStyle w:val="Heading5"/>
      </w:pPr>
      <w:r w:rsidRPr="003E7B2F">
        <w:t>Why is this important?</w:t>
      </w:r>
    </w:p>
    <w:p w14:paraId="7D80FBBA" w14:textId="77777777" w:rsidR="003E7B2F" w:rsidRPr="003E7B2F" w:rsidRDefault="003E7B2F" w:rsidP="003E7B2F">
      <w:r w:rsidRPr="003E7B2F">
        <w:t xml:space="preserve">Classroom readiness reflects international research findings that teachers are the biggest in-school influence on student learning (Burroughs et al., 2019; Hattie, 2008, 2012). The knowledge and skills taught in initial teacher education are vital to ensuring all school students have a well-prepared teacher from a teacher’s first day in the classroom. </w:t>
      </w:r>
      <w:r w:rsidRPr="003E7B2F" w:rsidDel="00DF553E">
        <w:t>Teachers who are well prepared for the classroom are more confident and effective in their teaching</w:t>
      </w:r>
      <w:r w:rsidRPr="003E7B2F">
        <w:t xml:space="preserve"> </w:t>
      </w:r>
      <w:r w:rsidRPr="003E7B2F" w:rsidDel="00DF553E">
        <w:t>(</w:t>
      </w:r>
      <w:r w:rsidRPr="003E7B2F">
        <w:t xml:space="preserve">Cochran-Smith et al., 2021; </w:t>
      </w:r>
      <w:r w:rsidRPr="003E7B2F" w:rsidDel="00DF553E">
        <w:t xml:space="preserve">Mayer et al. 2017). </w:t>
      </w:r>
    </w:p>
    <w:p w14:paraId="524C20A8" w14:textId="32A9AB1D" w:rsidR="003806FE" w:rsidRDefault="003806FE" w:rsidP="003E7B2F">
      <w:r w:rsidRPr="003806FE">
        <w:lastRenderedPageBreak/>
        <w:t xml:space="preserve">The design and quality of ITE programs has an important influence on graduates’ preparedness to teach. Equipping students with the required skills and knowledge for effective teaching supports classroom readiness, including supporting students to use evidence-based practices. The QITE Review </w:t>
      </w:r>
      <w:r>
        <w:t>(Australian Government, 2022</w:t>
      </w:r>
      <w:r w:rsidR="00841FCF">
        <w:t xml:space="preserve">a) </w:t>
      </w:r>
      <w:r w:rsidRPr="003806FE">
        <w:t xml:space="preserve">noted that many stakeholders, including employers, higher education providers, professional associations and ITE graduates themselves have reported that graduate teachers are considered under prepared in </w:t>
      </w:r>
      <w:proofErr w:type="gramStart"/>
      <w:r w:rsidRPr="003806FE">
        <w:t>a number of</w:t>
      </w:r>
      <w:proofErr w:type="gramEnd"/>
      <w:r w:rsidRPr="003806FE">
        <w:t xml:space="preserve"> key areas. These areas included the teaching of reading, cultural competency, supporting diverse learners and students with disability, classroom management, family/carer engagement and rural and remote educational contexts. </w:t>
      </w:r>
    </w:p>
    <w:p w14:paraId="21BFEE43" w14:textId="5D098BFC" w:rsidR="003E7B2F" w:rsidRPr="003E7B2F" w:rsidRDefault="003E7B2F" w:rsidP="003E7B2F">
      <w:r w:rsidRPr="003E7B2F">
        <w:t>These performance indicators recognise the success of policies and efforts of higher education providers to develop classroom ready teachers. This could include policies to:</w:t>
      </w:r>
    </w:p>
    <w:p w14:paraId="5B243922" w14:textId="77777777" w:rsidR="003E7B2F" w:rsidRPr="003E7B2F" w:rsidRDefault="003E7B2F" w:rsidP="003E7B2F">
      <w:pPr>
        <w:pStyle w:val="NormalTextBulleted"/>
        <w:rPr>
          <w:rFonts w:eastAsia="Arial"/>
          <w:lang w:val="en-GB" w:eastAsia="en-AU"/>
        </w:rPr>
      </w:pPr>
      <w:r w:rsidRPr="003E7B2F">
        <w:rPr>
          <w:rFonts w:eastAsia="Arial"/>
          <w:lang w:val="en-GB" w:eastAsia="en-AU"/>
        </w:rPr>
        <w:t>Co-design ITE courses with school-based teacher educators (Hudson &amp; Hudson, 2013; Young, 2020)</w:t>
      </w:r>
    </w:p>
    <w:p w14:paraId="17B0C16B" w14:textId="77777777" w:rsidR="003E7B2F" w:rsidRPr="003E7B2F" w:rsidRDefault="003E7B2F" w:rsidP="003E7B2F">
      <w:pPr>
        <w:pStyle w:val="NormalTextBulleted"/>
        <w:rPr>
          <w:rFonts w:eastAsia="Arial"/>
          <w:lang w:val="en-GB" w:eastAsia="en-AU"/>
        </w:rPr>
      </w:pPr>
      <w:r w:rsidRPr="003E7B2F">
        <w:rPr>
          <w:rFonts w:eastAsia="Arial"/>
          <w:lang w:val="en-GB" w:eastAsia="en-AU"/>
        </w:rPr>
        <w:t xml:space="preserve">Promote co-teaching by school-based teacher educators and HEP-based teacher educators in the interpretation and use of classroom evidence of learning (Burn &amp; Mutton, 2015; </w:t>
      </w:r>
      <w:r w:rsidRPr="003E7B2F">
        <w:rPr>
          <w:rFonts w:eastAsia="Arial"/>
          <w:color w:val="000000"/>
          <w:lang w:val="en-GB" w:eastAsia="en-AU"/>
        </w:rPr>
        <w:t>FTTS, n.d.; Sahlberg, 2012</w:t>
      </w:r>
      <w:r w:rsidRPr="003E7B2F">
        <w:rPr>
          <w:rFonts w:eastAsia="Arial"/>
          <w:lang w:val="en-GB" w:eastAsia="en-AU"/>
        </w:rPr>
        <w:t>)</w:t>
      </w:r>
    </w:p>
    <w:p w14:paraId="17A25177" w14:textId="6680525C" w:rsidR="00453962" w:rsidRPr="00192226" w:rsidRDefault="003E7B2F" w:rsidP="00192226">
      <w:pPr>
        <w:pStyle w:val="NormalTextBulleted"/>
        <w:rPr>
          <w:rFonts w:eastAsia="Arial"/>
          <w:lang w:val="en-GB" w:eastAsia="en-AU"/>
        </w:rPr>
      </w:pPr>
      <w:r w:rsidRPr="003E7B2F">
        <w:rPr>
          <w:rFonts w:eastAsia="Arial"/>
          <w:lang w:val="en-GB" w:eastAsia="en-AU"/>
        </w:rPr>
        <w:t>Strengthen mentoring approaches that are shown to be effective in promoting classroom readiness (Hudson &amp; Hudson, 2013; Young, 2020)</w:t>
      </w:r>
    </w:p>
    <w:p w14:paraId="078EB72C" w14:textId="4304613B" w:rsidR="00453962" w:rsidRDefault="00453962" w:rsidP="00453962">
      <w:pPr>
        <w:pStyle w:val="Heading4"/>
      </w:pPr>
      <w:r>
        <w:t>Category 4: Transition</w:t>
      </w:r>
    </w:p>
    <w:bookmarkEnd w:id="14"/>
    <w:p w14:paraId="785C5AA8" w14:textId="77777777" w:rsidR="000827EE" w:rsidRDefault="000827EE" w:rsidP="000827EE">
      <w:r>
        <w:t>Transition</w:t>
      </w:r>
      <w:r w:rsidRPr="006F528B">
        <w:t xml:space="preserve"> refers </w:t>
      </w:r>
      <w:r>
        <w:t xml:space="preserve">to entry into teaching employment, at the graduate level and in a school context. </w:t>
      </w:r>
      <w:r>
        <w:rPr>
          <w:rFonts w:eastAsia="Times New Roman"/>
        </w:rPr>
        <w:t xml:space="preserve">It </w:t>
      </w:r>
      <w:proofErr w:type="gramStart"/>
      <w:r>
        <w:rPr>
          <w:rFonts w:eastAsia="Times New Roman"/>
        </w:rPr>
        <w:t>includes:</w:t>
      </w:r>
      <w:proofErr w:type="gramEnd"/>
      <w:r w:rsidRPr="006F528B">
        <w:rPr>
          <w:rFonts w:eastAsia="Times New Roman"/>
        </w:rPr>
        <w:t xml:space="preserve"> casual</w:t>
      </w:r>
      <w:r>
        <w:rPr>
          <w:rFonts w:eastAsia="Times New Roman"/>
        </w:rPr>
        <w:t xml:space="preserve">/relief teachers, </w:t>
      </w:r>
      <w:r w:rsidRPr="006F528B">
        <w:rPr>
          <w:rFonts w:eastAsia="Times New Roman"/>
        </w:rPr>
        <w:t xml:space="preserve">part-time, full-time, </w:t>
      </w:r>
      <w:r>
        <w:rPr>
          <w:rFonts w:eastAsia="Times New Roman"/>
        </w:rPr>
        <w:t>and</w:t>
      </w:r>
      <w:r w:rsidRPr="008F61FF">
        <w:rPr>
          <w:rFonts w:eastAsia="Times New Roman"/>
        </w:rPr>
        <w:t xml:space="preserve"> </w:t>
      </w:r>
      <w:r>
        <w:rPr>
          <w:rFonts w:eastAsia="Times New Roman"/>
        </w:rPr>
        <w:t>ongoing/</w:t>
      </w:r>
      <w:r w:rsidRPr="006F528B">
        <w:rPr>
          <w:rFonts w:eastAsia="Times New Roman"/>
        </w:rPr>
        <w:t>permanent</w:t>
      </w:r>
      <w:r>
        <w:rPr>
          <w:rFonts w:eastAsia="Times New Roman"/>
        </w:rPr>
        <w:t xml:space="preserve"> arrangements. </w:t>
      </w:r>
      <w:r w:rsidRPr="006F528B">
        <w:t>Th</w:t>
      </w:r>
      <w:r>
        <w:t>e</w:t>
      </w:r>
      <w:r w:rsidRPr="006F528B">
        <w:t xml:space="preserve"> </w:t>
      </w:r>
      <w:r>
        <w:t>category measures employment outcomes of recent graduates and early career teachers. I</w:t>
      </w:r>
      <w:r w:rsidRPr="00643E3B">
        <w:t xml:space="preserve">n Australia and internationally, a key focus of </w:t>
      </w:r>
      <w:r>
        <w:t xml:space="preserve">transition has been to assess the proportion of beginning teachers who are retained in the teaching workforce. </w:t>
      </w:r>
    </w:p>
    <w:p w14:paraId="73E7FCF6" w14:textId="77777777" w:rsidR="000827EE" w:rsidRDefault="000827EE" w:rsidP="000827EE">
      <w:pPr>
        <w:pStyle w:val="Heading5"/>
      </w:pPr>
      <w:r w:rsidRPr="006F528B">
        <w:t xml:space="preserve">Performance indicators </w:t>
      </w:r>
    </w:p>
    <w:p w14:paraId="25E052B8" w14:textId="77777777" w:rsidR="000827EE" w:rsidRDefault="000827EE" w:rsidP="000827EE">
      <w:r>
        <w:t>The</w:t>
      </w:r>
      <w:r w:rsidRPr="006F528B">
        <w:t xml:space="preserve"> proposed </w:t>
      </w:r>
      <w:r>
        <w:t xml:space="preserve">performance </w:t>
      </w:r>
      <w:r w:rsidRPr="006F528B">
        <w:t xml:space="preserve">indicators for this </w:t>
      </w:r>
      <w:r>
        <w:t>category</w:t>
      </w:r>
      <w:r w:rsidRPr="006F528B">
        <w:t xml:space="preserve"> are: </w:t>
      </w:r>
    </w:p>
    <w:p w14:paraId="29D21F4F" w14:textId="77777777" w:rsidR="000827EE" w:rsidRPr="001C308F" w:rsidRDefault="000827EE" w:rsidP="000827EE">
      <w:pPr>
        <w:pStyle w:val="NormalTextBulleted"/>
      </w:pPr>
      <w:r>
        <w:t>G</w:t>
      </w:r>
      <w:r w:rsidRPr="001C308F">
        <w:t>raduate employment outcomes</w:t>
      </w:r>
      <w:r>
        <w:t>: Proportion of teaching graduates employed upon graduation</w:t>
      </w:r>
    </w:p>
    <w:p w14:paraId="7D07D198" w14:textId="77777777" w:rsidR="000827EE" w:rsidRPr="001C308F" w:rsidRDefault="000827EE" w:rsidP="000827EE">
      <w:pPr>
        <w:pStyle w:val="NormalTextBulleted"/>
      </w:pPr>
      <w:r>
        <w:t>L</w:t>
      </w:r>
      <w:r w:rsidRPr="001C308F">
        <w:t>onger-term employment outcomes</w:t>
      </w:r>
      <w:r>
        <w:t xml:space="preserve">: Proportion of graduates registered and employed at the end of the </w:t>
      </w:r>
      <w:proofErr w:type="gramStart"/>
      <w:r>
        <w:t>second year</w:t>
      </w:r>
      <w:proofErr w:type="gramEnd"/>
      <w:r>
        <w:t xml:space="preserve"> post graduation</w:t>
      </w:r>
    </w:p>
    <w:p w14:paraId="3000A164" w14:textId="77777777" w:rsidR="000827EE" w:rsidRDefault="000827EE" w:rsidP="000827EE">
      <w:pPr>
        <w:pStyle w:val="NormalTextBulleted"/>
      </w:pPr>
      <w:r>
        <w:t>Employment in areas of workforce need: P</w:t>
      </w:r>
      <w:r w:rsidRPr="001C308F">
        <w:t>roportion of graduates</w:t>
      </w:r>
      <w:r>
        <w:t xml:space="preserve"> employed</w:t>
      </w:r>
      <w:r w:rsidRPr="001C308F">
        <w:t xml:space="preserve"> in areas of workforce need, such as science and maths teachers </w:t>
      </w:r>
    </w:p>
    <w:p w14:paraId="5A4FC150" w14:textId="77777777" w:rsidR="000827EE" w:rsidRDefault="000827EE" w:rsidP="000827EE">
      <w:r w:rsidRPr="00282660">
        <w:t xml:space="preserve">These performance indicators measure the proportion of ITE graduates who transition successfully </w:t>
      </w:r>
      <w:r>
        <w:t>into classroom teaching and are in</w:t>
      </w:r>
      <w:r w:rsidRPr="00282660">
        <w:t xml:space="preserve"> areas of workforce nee</w:t>
      </w:r>
      <w:r>
        <w:t>d</w:t>
      </w:r>
      <w:r w:rsidRPr="00282660">
        <w:t xml:space="preserve">. </w:t>
      </w:r>
      <w:r>
        <w:t xml:space="preserve">Data long-term employment outcomes will become available as the Australian Teacher Workforce Data collection matures and could be made more robust with the inclusion of administrative employment data. Data on areas of workforce need will be available from 2024 under the National Teacher Workforce Action Plan. </w:t>
      </w:r>
      <w:r w:rsidRPr="00B9014D">
        <w:t xml:space="preserve">These performance indicators </w:t>
      </w:r>
      <w:r>
        <w:t xml:space="preserve">align with international approaches </w:t>
      </w:r>
      <w:r w:rsidRPr="001168CB">
        <w:t>to support beginning teachers in the classroom (</w:t>
      </w:r>
      <w:r w:rsidRPr="00293CA5">
        <w:t xml:space="preserve">Carroll et al., 2018; </w:t>
      </w:r>
      <w:r w:rsidRPr="001168CB">
        <w:t>McLennan et al., 2017)</w:t>
      </w:r>
      <w:r>
        <w:t xml:space="preserve">.by assessing and monitoring transitions into the workforce. For example, the </w:t>
      </w:r>
      <w:r w:rsidRPr="00ED7FEC">
        <w:rPr>
          <w:szCs w:val="24"/>
        </w:rPr>
        <w:t>United Kingdom</w:t>
      </w:r>
      <w:r>
        <w:rPr>
          <w:szCs w:val="24"/>
        </w:rPr>
        <w:t xml:space="preserve"> tracks</w:t>
      </w:r>
      <w:r w:rsidRPr="00ED7FEC">
        <w:rPr>
          <w:szCs w:val="24"/>
        </w:rPr>
        <w:t xml:space="preserve"> graduate employment outcomes </w:t>
      </w:r>
      <w:r>
        <w:rPr>
          <w:szCs w:val="24"/>
        </w:rPr>
        <w:t>t</w:t>
      </w:r>
      <w:r w:rsidRPr="00ED7FEC">
        <w:rPr>
          <w:szCs w:val="24"/>
        </w:rPr>
        <w:t>hrough a Graduate Outcomes Survey 15 months after graduation</w:t>
      </w:r>
      <w:r>
        <w:rPr>
          <w:szCs w:val="24"/>
        </w:rPr>
        <w:t xml:space="preserve"> </w:t>
      </w:r>
      <w:r w:rsidRPr="00ED7FEC">
        <w:rPr>
          <w:szCs w:val="24"/>
        </w:rPr>
        <w:t>(</w:t>
      </w:r>
      <w:r w:rsidRPr="009240CA">
        <w:rPr>
          <w:szCs w:val="24"/>
        </w:rPr>
        <w:t>Higher Education Statistics Agency</w:t>
      </w:r>
      <w:r w:rsidRPr="00ED7FEC">
        <w:rPr>
          <w:szCs w:val="24"/>
        </w:rPr>
        <w:t xml:space="preserve">, </w:t>
      </w:r>
      <w:proofErr w:type="spellStart"/>
      <w:r w:rsidRPr="00ED7FEC">
        <w:rPr>
          <w:szCs w:val="24"/>
        </w:rPr>
        <w:t>n.d.a</w:t>
      </w:r>
      <w:proofErr w:type="spellEnd"/>
      <w:r w:rsidRPr="00ED7FEC">
        <w:rPr>
          <w:szCs w:val="24"/>
        </w:rPr>
        <w:t xml:space="preserve">, </w:t>
      </w:r>
      <w:proofErr w:type="spellStart"/>
      <w:r w:rsidRPr="00ED7FEC">
        <w:rPr>
          <w:szCs w:val="24"/>
        </w:rPr>
        <w:t>n.d.b</w:t>
      </w:r>
      <w:proofErr w:type="spellEnd"/>
      <w:r w:rsidRPr="00ED7FEC">
        <w:rPr>
          <w:szCs w:val="24"/>
        </w:rPr>
        <w:t>).</w:t>
      </w:r>
    </w:p>
    <w:p w14:paraId="6CB5AF58" w14:textId="77777777" w:rsidR="000827EE" w:rsidRPr="009240CA" w:rsidRDefault="000827EE" w:rsidP="000827EE">
      <w:pPr>
        <w:pStyle w:val="Heading5"/>
      </w:pPr>
      <w:r w:rsidRPr="006F528B">
        <w:t>Why is this important?</w:t>
      </w:r>
    </w:p>
    <w:p w14:paraId="1114C220" w14:textId="77777777" w:rsidR="000827EE" w:rsidRDefault="000827EE" w:rsidP="000827EE">
      <w:r>
        <w:t xml:space="preserve">Transition is an important indicator of course quality in that it reflects the success of preparation provided by HEPs. It represents a critical juncture in the move from being a student to being a teacher responsible for leading classroom learning. The QITE Review (Australian Government, 2022a) reported that </w:t>
      </w:r>
      <w:r w:rsidRPr="00942CE9">
        <w:t>stakeholders would welcome greater involvement by higher education providers in providing supportive transitions from ITE to employment</w:t>
      </w:r>
      <w:r>
        <w:t>.</w:t>
      </w:r>
      <w:r w:rsidRPr="00942CE9">
        <w:t xml:space="preserve"> </w:t>
      </w:r>
      <w:r>
        <w:t xml:space="preserve"> It also recognised that </w:t>
      </w:r>
      <w:r w:rsidRPr="00942CE9">
        <w:t>ITE plays a critical role in meeting the demand requirements of Australia’s schooling systems, through supplying teachers across geographical locations and subject specialisation</w:t>
      </w:r>
      <w:r>
        <w:t xml:space="preserve">s. </w:t>
      </w:r>
      <w:proofErr w:type="gramStart"/>
      <w:r>
        <w:t>It</w:t>
      </w:r>
      <w:r w:rsidRPr="00942CE9">
        <w:t xml:space="preserve"> </w:t>
      </w:r>
      <w:r>
        <w:t xml:space="preserve"> repor</w:t>
      </w:r>
      <w:r w:rsidRPr="00942CE9">
        <w:t>ted</w:t>
      </w:r>
      <w:proofErr w:type="gramEnd"/>
      <w:r w:rsidRPr="00942CE9">
        <w:t xml:space="preserve"> a sense among some employers that the current system encourages higher education providers to ensure they are able to meet their obligations to students (to maximise their potential enrolment), more than ensuring an appropriate and adequate supply of graduates with the right specialisations</w:t>
      </w:r>
      <w:r>
        <w:t xml:space="preserve">. </w:t>
      </w:r>
    </w:p>
    <w:p w14:paraId="05365BD3" w14:textId="77777777" w:rsidR="000827EE" w:rsidRPr="00942CE9" w:rsidRDefault="000827EE" w:rsidP="00612ABA">
      <w:r w:rsidRPr="00942CE9">
        <w:lastRenderedPageBreak/>
        <w:t xml:space="preserve">A focus on ITE as a long-term partnership with employers is well-recognised in several countries (e.g., United Kingdom, New Zealand, and the United States). A critical feature of the partnerships between universities, employers, schools, and communities, is that it extends beyond ITE to support early career teachers in schools (Allen, 2013; Gordon, 2020; Ronfeldt &amp; McQueen, 2017). ITE providers that gather and use data to evaluate their own courses and develop partnerships to sustain early career learning can ease transition and improve teacher retention (White et al., 2020).  </w:t>
      </w:r>
    </w:p>
    <w:p w14:paraId="116D7284" w14:textId="77777777" w:rsidR="000827EE" w:rsidRPr="00B71CC6" w:rsidRDefault="000827EE" w:rsidP="00612ABA">
      <w:r w:rsidRPr="00B71CC6">
        <w:t xml:space="preserve">These performance indicators recognise the success of policies and efforts of higher education providers to support the successful transition of </w:t>
      </w:r>
      <w:r>
        <w:t xml:space="preserve">ITE </w:t>
      </w:r>
      <w:r w:rsidRPr="00B71CC6">
        <w:t>students into the workforce. This could include policies to:</w:t>
      </w:r>
    </w:p>
    <w:p w14:paraId="2ECEE2A8" w14:textId="77777777" w:rsidR="000827EE" w:rsidRPr="00BA12B5" w:rsidRDefault="000827EE" w:rsidP="00612ABA">
      <w:pPr>
        <w:pStyle w:val="NormalTextBulleted"/>
      </w:pPr>
      <w:r w:rsidRPr="00BA12B5">
        <w:t xml:space="preserve">enable governments, universities, </w:t>
      </w:r>
      <w:proofErr w:type="gramStart"/>
      <w:r w:rsidRPr="00BA12B5">
        <w:t>schools</w:t>
      </w:r>
      <w:proofErr w:type="gramEnd"/>
      <w:r w:rsidRPr="00BA12B5">
        <w:t xml:space="preserve"> and other employing authorities to work collaboratively to enhance supports </w:t>
      </w:r>
      <w:r>
        <w:t>for successful transition of beginning teachers into the classroom and through the early years of practice (e.g.,</w:t>
      </w:r>
      <w:r w:rsidRPr="00BA12B5">
        <w:t xml:space="preserve"> induction and mentoring</w:t>
      </w:r>
      <w:r>
        <w:t xml:space="preserve">; </w:t>
      </w:r>
      <w:r w:rsidRPr="00BA12B5">
        <w:t xml:space="preserve">Australian Government, 2022b). </w:t>
      </w:r>
    </w:p>
    <w:p w14:paraId="51DA236B" w14:textId="77777777" w:rsidR="000827EE" w:rsidRPr="00FC2487" w:rsidRDefault="000827EE" w:rsidP="00612ABA">
      <w:pPr>
        <w:pStyle w:val="NormalTextBulleted"/>
      </w:pPr>
      <w:r>
        <w:t>increase</w:t>
      </w:r>
      <w:r w:rsidRPr="006F528B">
        <w:t xml:space="preserve"> partnerships between HE</w:t>
      </w:r>
      <w:r>
        <w:t>P</w:t>
      </w:r>
      <w:r w:rsidRPr="006F528B">
        <w:t xml:space="preserve">s and employers </w:t>
      </w:r>
      <w:r>
        <w:t xml:space="preserve">to </w:t>
      </w:r>
      <w:r w:rsidRPr="006F528B">
        <w:t xml:space="preserve">enhance </w:t>
      </w:r>
      <w:r>
        <w:t xml:space="preserve">graduate readiness through explicit connections between the theory and practice </w:t>
      </w:r>
      <w:r w:rsidRPr="00E54FC7">
        <w:t>(Ovenden-Hope</w:t>
      </w:r>
      <w:r w:rsidRPr="00E54FC7" w:rsidDel="00BD473D">
        <w:t xml:space="preserve"> </w:t>
      </w:r>
      <w:r w:rsidRPr="00E54FC7">
        <w:t>et al., 2018)</w:t>
      </w:r>
      <w:r>
        <w:t>.</w:t>
      </w:r>
    </w:p>
    <w:p w14:paraId="2F98A8C3" w14:textId="46AF092D" w:rsidR="00881F96" w:rsidRPr="00612ABA" w:rsidRDefault="00881F96" w:rsidP="00612ABA">
      <w:pPr>
        <w:pStyle w:val="Heading3"/>
      </w:pPr>
      <w:bookmarkStart w:id="16" w:name="_Toc126942688"/>
      <w:r w:rsidRPr="00612ABA">
        <w:t>Reporting</w:t>
      </w:r>
      <w:bookmarkEnd w:id="16"/>
      <w:r w:rsidRPr="00612ABA">
        <w:t xml:space="preserve"> </w:t>
      </w:r>
    </w:p>
    <w:p w14:paraId="0E8F149D" w14:textId="77777777" w:rsidR="00881F96" w:rsidRDefault="00881F96" w:rsidP="00881F96">
      <w:r>
        <w:t>R</w:t>
      </w:r>
      <w:r w:rsidRPr="0052532C">
        <w:t>eporting</w:t>
      </w:r>
      <w:r>
        <w:t xml:space="preserve"> and assessing higher education performance using the quality measure should identify: </w:t>
      </w:r>
    </w:p>
    <w:p w14:paraId="2216815C" w14:textId="77777777" w:rsidR="00881F96" w:rsidRDefault="00881F96" w:rsidP="00881F96">
      <w:pPr>
        <w:pStyle w:val="NormalTextNumbered"/>
        <w:numPr>
          <w:ilvl w:val="0"/>
          <w:numId w:val="6"/>
        </w:numPr>
      </w:pPr>
      <w:r>
        <w:t xml:space="preserve">Improvement of HEPs’ performance on the quality indicators over time </w:t>
      </w:r>
    </w:p>
    <w:p w14:paraId="546D7459" w14:textId="77777777" w:rsidR="00881F96" w:rsidRDefault="00881F96" w:rsidP="00881F96">
      <w:pPr>
        <w:pStyle w:val="NormalTextNumbered"/>
        <w:numPr>
          <w:ilvl w:val="0"/>
          <w:numId w:val="6"/>
        </w:numPr>
      </w:pPr>
      <w:r>
        <w:t>Consistent high performance (where further improvement is unlikely to occur)</w:t>
      </w:r>
    </w:p>
    <w:p w14:paraId="06155094" w14:textId="77777777" w:rsidR="00881F96" w:rsidRDefault="00881F96" w:rsidP="00881F96">
      <w:r>
        <w:t>Consideration needs to be given to accommodate the different contexts of HEPs such as the characteristics of student cohorts and course delivery. Alternative options should be available to report on the performance of HEPs with small student cohorts where quantitative measures should not be reported.</w:t>
      </w:r>
    </w:p>
    <w:p w14:paraId="7AC0F3DC" w14:textId="77777777" w:rsidR="00881F96" w:rsidRDefault="00881F96" w:rsidP="00881F96">
      <w:pPr>
        <w:pStyle w:val="Heading4"/>
      </w:pPr>
      <w:r>
        <w:t>Methodology consideration for threshold setting</w:t>
      </w:r>
    </w:p>
    <w:p w14:paraId="575844AB" w14:textId="77777777" w:rsidR="00881F96" w:rsidRPr="00E54F36" w:rsidRDefault="00881F96" w:rsidP="00881F96">
      <w:pPr>
        <w:rPr>
          <w:lang w:val="en-US"/>
        </w:rPr>
      </w:pPr>
      <w:r>
        <w:rPr>
          <w:lang w:val="en-US"/>
        </w:rPr>
        <w:t xml:space="preserve">Two approaches for reporting and analysis of the quality performance indicators were considered: (1) relative performance approach, and (2) improvement approach. </w:t>
      </w:r>
    </w:p>
    <w:p w14:paraId="704F36CD" w14:textId="77777777" w:rsidR="00881F96" w:rsidRPr="00AA1A53" w:rsidRDefault="00881F96" w:rsidP="00881F96">
      <w:pPr>
        <w:pStyle w:val="NormalTextNumbered"/>
        <w:numPr>
          <w:ilvl w:val="0"/>
          <w:numId w:val="20"/>
        </w:numPr>
        <w:spacing w:after="120"/>
        <w:contextualSpacing w:val="0"/>
      </w:pPr>
      <w:r w:rsidRPr="00881F96">
        <w:rPr>
          <w:i/>
          <w:iCs/>
          <w:color w:val="361461"/>
        </w:rPr>
        <w:t xml:space="preserve">Relative performance approach </w:t>
      </w:r>
    </w:p>
    <w:p w14:paraId="29F638C8" w14:textId="36B05EA8" w:rsidR="00881F96" w:rsidRDefault="00881F96" w:rsidP="00881F96">
      <w:pPr>
        <w:pStyle w:val="NormalTextNumbered"/>
        <w:numPr>
          <w:ilvl w:val="0"/>
          <w:numId w:val="0"/>
        </w:numPr>
        <w:spacing w:after="120"/>
        <w:ind w:left="357"/>
        <w:contextualSpacing w:val="0"/>
      </w:pPr>
      <w:r>
        <w:t>This</w:t>
      </w:r>
      <w:r w:rsidRPr="00A566BE">
        <w:t xml:space="preserve"> approach compares </w:t>
      </w:r>
      <w:r>
        <w:t xml:space="preserve">HEP </w:t>
      </w:r>
      <w:r w:rsidRPr="00A566BE">
        <w:t>performance</w:t>
      </w:r>
      <w:r>
        <w:t xml:space="preserve"> against predicted HEP performance,</w:t>
      </w:r>
      <w:r w:rsidRPr="00A566BE">
        <w:t xml:space="preserve"> </w:t>
      </w:r>
      <w:r>
        <w:t>factoring in</w:t>
      </w:r>
      <w:r w:rsidRPr="00A566BE">
        <w:t xml:space="preserve"> student and course characteristics known to influence performance on these </w:t>
      </w:r>
      <w:r>
        <w:t xml:space="preserve">quality </w:t>
      </w:r>
      <w:r w:rsidRPr="00A566BE">
        <w:t>indicators</w:t>
      </w:r>
      <w:r>
        <w:t xml:space="preserve"> using regression techniques. </w:t>
      </w:r>
      <w:r w:rsidRPr="005C5A13">
        <w:t xml:space="preserve">Variables may include age, gender, basis of admission, mode of delivery, type of enrolment (full-time, part-time), and degree type. </w:t>
      </w:r>
      <w:r>
        <w:t xml:space="preserve">This approach is recognised to be statistically robust, though its use in higher education performance frameworks </w:t>
      </w:r>
      <w:r w:rsidRPr="0069003E">
        <w:t xml:space="preserve">has </w:t>
      </w:r>
      <w:r>
        <w:t xml:space="preserve">been criticised </w:t>
      </w:r>
      <w:r w:rsidRPr="0069003E">
        <w:t>due to its complexity and opaque nature (</w:t>
      </w:r>
      <w:proofErr w:type="spellStart"/>
      <w:r w:rsidRPr="0069003E">
        <w:t>Wheelahan</w:t>
      </w:r>
      <w:proofErr w:type="spellEnd"/>
      <w:r w:rsidRPr="0069003E">
        <w:t xml:space="preserve">, </w:t>
      </w:r>
      <w:r w:rsidRPr="00942F95">
        <w:t>2007)</w:t>
      </w:r>
      <w:r>
        <w:t xml:space="preserve">. For example, the </w:t>
      </w:r>
      <w:r w:rsidRPr="005B1C31">
        <w:t xml:space="preserve">Australian Learning </w:t>
      </w:r>
      <w:r w:rsidR="00FD68A4" w:rsidRPr="005B1C31">
        <w:t xml:space="preserve">and Teaching Performance </w:t>
      </w:r>
      <w:r w:rsidRPr="005B1C31">
        <w:t>Fund (</w:t>
      </w:r>
      <w:r w:rsidR="00FD68A4" w:rsidRPr="005B1C31">
        <w:t xml:space="preserve">LTPF; </w:t>
      </w:r>
      <w:r w:rsidRPr="005B1C31">
        <w:t>2005 to 2009) sought</w:t>
      </w:r>
      <w:r>
        <w:t xml:space="preserve"> to reward institutions </w:t>
      </w:r>
      <w:r w:rsidR="00DF2D06">
        <w:t>“</w:t>
      </w:r>
      <w:r>
        <w:t>that best demonstrate excellence in learning and teaching</w:t>
      </w:r>
      <w:r w:rsidR="00DF2D06">
        <w:t>”</w:t>
      </w:r>
      <w:r>
        <w:t xml:space="preserve"> </w:t>
      </w:r>
      <w:r w:rsidR="005B1C31">
        <w:t>(Nelson, 2003, p. 29</w:t>
      </w:r>
      <w:r w:rsidR="00227311">
        <w:t xml:space="preserve">) </w:t>
      </w:r>
      <w:r>
        <w:t xml:space="preserve">and initially used regression analysis of quantitative measures to measure university performance. However, in the final year of the </w:t>
      </w:r>
      <w:r w:rsidRPr="008F5E65">
        <w:t>LTPF,</w:t>
      </w:r>
      <w:r>
        <w:t xml:space="preserve"> funding was allocated based on whether institutions had improved on their metrics from the previous year (</w:t>
      </w:r>
      <w:proofErr w:type="spellStart"/>
      <w:r>
        <w:t>Coaldrake</w:t>
      </w:r>
      <w:proofErr w:type="spellEnd"/>
      <w:r>
        <w:t xml:space="preserve"> &amp; Stedman, 2016). The</w:t>
      </w:r>
      <w:r w:rsidRPr="0069003E">
        <w:t xml:space="preserve"> </w:t>
      </w:r>
      <w:r>
        <w:t>‘</w:t>
      </w:r>
      <w:r w:rsidRPr="0069003E">
        <w:t>relative performance approach</w:t>
      </w:r>
      <w:r>
        <w:t>’</w:t>
      </w:r>
      <w:r w:rsidRPr="0069003E">
        <w:t xml:space="preserve"> is not recommended for the reporting and analysis of the quality </w:t>
      </w:r>
      <w:r>
        <w:t>measure</w:t>
      </w:r>
      <w:r w:rsidRPr="0069003E">
        <w:t xml:space="preserve">. </w:t>
      </w:r>
    </w:p>
    <w:p w14:paraId="65ED101E" w14:textId="77777777" w:rsidR="00881F96" w:rsidRPr="00CF7ACB" w:rsidRDefault="00881F96" w:rsidP="00881F96">
      <w:pPr>
        <w:pStyle w:val="NormalTextNumbered"/>
        <w:spacing w:before="120" w:after="120"/>
        <w:ind w:left="357" w:hanging="357"/>
        <w:contextualSpacing w:val="0"/>
      </w:pPr>
      <w:r w:rsidRPr="00CF7ACB">
        <w:rPr>
          <w:i/>
          <w:iCs/>
          <w:color w:val="361461"/>
        </w:rPr>
        <w:t>Improvement approach</w:t>
      </w:r>
    </w:p>
    <w:p w14:paraId="52904955" w14:textId="77777777" w:rsidR="00881F96" w:rsidRDefault="00881F96" w:rsidP="00881F96">
      <w:pPr>
        <w:pStyle w:val="NormalTextNumbered"/>
        <w:numPr>
          <w:ilvl w:val="0"/>
          <w:numId w:val="0"/>
        </w:numPr>
        <w:spacing w:before="120" w:after="120"/>
        <w:ind w:left="357"/>
        <w:contextualSpacing w:val="0"/>
      </w:pPr>
      <w:r w:rsidRPr="00A566BE">
        <w:t xml:space="preserve">This approach </w:t>
      </w:r>
      <w:r>
        <w:t>includes</w:t>
      </w:r>
      <w:r w:rsidRPr="00A566BE">
        <w:t xml:space="preserve"> benchmarking HEP performance against </w:t>
      </w:r>
      <w:r>
        <w:t xml:space="preserve">previous </w:t>
      </w:r>
      <w:r w:rsidRPr="00A566BE">
        <w:t>long-term performance</w:t>
      </w:r>
      <w:r>
        <w:rPr>
          <w:rStyle w:val="FootnoteReference"/>
        </w:rPr>
        <w:footnoteReference w:id="2"/>
      </w:r>
      <w:r w:rsidRPr="00A566BE">
        <w:t xml:space="preserve"> at the individual institution level</w:t>
      </w:r>
      <w:r>
        <w:t xml:space="preserve">, to examine improvement over time, taking account of individual HEP’s context. For example, HEPs offering postgraduate courses only, may perform more strongly on certain indicators compared to those offering a mixture of under- and post-graduate ITE courses. With this approach, the </w:t>
      </w:r>
      <w:r>
        <w:lastRenderedPageBreak/>
        <w:t xml:space="preserve">individual HEP’s contextual information is directly accounted for, as the HEP performance is compared only to itself, resulting in an accurate and unbiased evidence base for improvement. </w:t>
      </w:r>
    </w:p>
    <w:p w14:paraId="045A1414" w14:textId="77777777" w:rsidR="00881F96" w:rsidRDefault="00881F96" w:rsidP="00881F96">
      <w:pPr>
        <w:pStyle w:val="NormalTextNumbered"/>
        <w:numPr>
          <w:ilvl w:val="0"/>
          <w:numId w:val="0"/>
        </w:numPr>
        <w:spacing w:before="120" w:after="120"/>
        <w:ind w:left="357"/>
        <w:contextualSpacing w:val="0"/>
      </w:pPr>
      <w:r>
        <w:t xml:space="preserve">Small improvements in performance should be considered appropriate with the acknowledgment that the quality measure is an annual assessment of performance, where small incremental annual improvements lead to significant long-term change. </w:t>
      </w:r>
    </w:p>
    <w:p w14:paraId="0EC100B6" w14:textId="77777777" w:rsidR="00881F96" w:rsidRPr="00955C73" w:rsidRDefault="00881F96" w:rsidP="00881F96">
      <w:pPr>
        <w:ind w:left="357"/>
        <w:rPr>
          <w:i/>
          <w:iCs/>
        </w:rPr>
      </w:pPr>
      <w:r w:rsidRPr="00955C73">
        <w:rPr>
          <w:i/>
          <w:iCs/>
        </w:rPr>
        <w:t>Limitations of this approach relate to:</w:t>
      </w:r>
    </w:p>
    <w:p w14:paraId="1D44F77F" w14:textId="77777777" w:rsidR="00881F96" w:rsidRDefault="00881F96" w:rsidP="00881F96">
      <w:pPr>
        <w:pStyle w:val="NormalTextBulleted"/>
        <w:ind w:left="757"/>
      </w:pPr>
      <w:r>
        <w:t xml:space="preserve">Showing further improvement of already high-performing HEPs </w:t>
      </w:r>
    </w:p>
    <w:p w14:paraId="79D79182" w14:textId="77777777" w:rsidR="00881F96" w:rsidRDefault="00881F96" w:rsidP="00881F96">
      <w:pPr>
        <w:pStyle w:val="NormalTextBulleted"/>
        <w:ind w:left="757"/>
      </w:pPr>
      <w:r>
        <w:t xml:space="preserve">Demonstrating improvement for HEPs with a small sample size. </w:t>
      </w:r>
    </w:p>
    <w:p w14:paraId="5DF62847" w14:textId="77777777" w:rsidR="00881F96" w:rsidRPr="00955C73" w:rsidRDefault="00881F96" w:rsidP="00881F96">
      <w:pPr>
        <w:ind w:left="357"/>
        <w:rPr>
          <w:i/>
          <w:iCs/>
        </w:rPr>
      </w:pPr>
      <w:r w:rsidRPr="00955C73">
        <w:rPr>
          <w:i/>
          <w:iCs/>
        </w:rPr>
        <w:t>To overcome these limitations:</w:t>
      </w:r>
    </w:p>
    <w:p w14:paraId="477415F7" w14:textId="5780AE16" w:rsidR="00881F96" w:rsidRPr="00355609" w:rsidRDefault="00881F96" w:rsidP="00881F96">
      <w:pPr>
        <w:pStyle w:val="NormalTextBulleted"/>
        <w:ind w:left="757"/>
      </w:pPr>
      <w:r w:rsidRPr="00355609">
        <w:t>A threshold</w:t>
      </w:r>
      <w:r>
        <w:t xml:space="preserve"> at or above the national average </w:t>
      </w:r>
      <w:r w:rsidRPr="00355609">
        <w:t>should be set for each indicator to recognise HEPs with consistently high performance, and hence, little room for further improvements</w:t>
      </w:r>
      <w:r>
        <w:t>. Setting the threshold to the national average would encourage continuous improvement</w:t>
      </w:r>
      <w:r w:rsidR="00790177">
        <w:t>,</w:t>
      </w:r>
      <w:r>
        <w:t xml:space="preserve"> as improved performance of individual providers would also </w:t>
      </w:r>
      <w:r w:rsidR="00790177">
        <w:t>lift</w:t>
      </w:r>
      <w:r>
        <w:t xml:space="preserve"> the national average.  </w:t>
      </w:r>
    </w:p>
    <w:p w14:paraId="4B7B8D54" w14:textId="54A22C2B" w:rsidR="00881F96" w:rsidRPr="00CE63A2" w:rsidRDefault="00881F96" w:rsidP="00CE63A2">
      <w:pPr>
        <w:pStyle w:val="NormalTextBulleted"/>
        <w:ind w:left="757"/>
      </w:pPr>
      <w:r w:rsidRPr="00CE63A2">
        <w:t xml:space="preserve">Providers should have the option to provide a qualitative submission, as seen in the performance funding models in other countries (e.g., United Kingdom: UK Department for Education, 2019a; United States: State of Louisiana Board of Regents, 2019a) and in previous Australian funding schemes (e.g., the Commonwealth Government’s </w:t>
      </w:r>
      <w:r w:rsidR="008B5C62">
        <w:t>LTPF</w:t>
      </w:r>
      <w:r w:rsidRPr="00CE63A2">
        <w:t xml:space="preserve">). The submission allows HEPs to include relevant contextual details, </w:t>
      </w:r>
      <w:r w:rsidR="005C4C50">
        <w:t xml:space="preserve">including student characteristics, </w:t>
      </w:r>
      <w:r w:rsidRPr="00CE63A2">
        <w:t xml:space="preserve">strategies, and efforts to improve performance on quality indicators and comments on sample size (specifically for HEPs with small cohorts). </w:t>
      </w:r>
    </w:p>
    <w:p w14:paraId="5DE9BF3B" w14:textId="77777777" w:rsidR="00881F96" w:rsidRDefault="00881F96" w:rsidP="00881F96">
      <w:r>
        <w:t>The following section describes performance for each indicator on the preferred reporting method. Results presented are indicative only and based on data available at the time. In the case of the proportion of Indigenous students enrolled in ITE, half a percentage point is considered an improvement given the small proportion of Indigenous students enrolled in ITE. For the other non-survey-based performance indicators, one percentage point is considered an improvement. For the survey-based measures, a statistically significant increase is considered an improvement.</w:t>
      </w:r>
    </w:p>
    <w:p w14:paraId="02444893" w14:textId="77777777" w:rsidR="00F15FEA" w:rsidRDefault="00F15FEA">
      <w:pPr>
        <w:spacing w:after="0" w:line="240" w:lineRule="auto"/>
        <w:rPr>
          <w:b/>
          <w:bCs/>
          <w:i/>
          <w:color w:val="361461"/>
          <w:lang w:val="en-US"/>
        </w:rPr>
      </w:pPr>
      <w:r>
        <w:br w:type="page"/>
      </w:r>
    </w:p>
    <w:p w14:paraId="6B5A33F7" w14:textId="53A529E0" w:rsidR="00881F96" w:rsidRPr="00BD5522" w:rsidRDefault="00881F96" w:rsidP="00881F96">
      <w:pPr>
        <w:pStyle w:val="Heading4"/>
      </w:pPr>
      <w:r>
        <w:lastRenderedPageBreak/>
        <w:t xml:space="preserve">Category 1: </w:t>
      </w:r>
      <w:r w:rsidRPr="00BD5522">
        <w:t>Selection</w:t>
      </w:r>
    </w:p>
    <w:p w14:paraId="7E887C65" w14:textId="77777777" w:rsidR="00881F96" w:rsidRPr="00516211" w:rsidRDefault="00881F96" w:rsidP="00881F96">
      <w:pPr>
        <w:pStyle w:val="Heading5"/>
      </w:pPr>
      <w:r w:rsidRPr="00516211">
        <w:t xml:space="preserve">Performance </w:t>
      </w:r>
      <w:r>
        <w:t>i</w:t>
      </w:r>
      <w:r w:rsidRPr="00516211">
        <w:t>ndicator: Proportion of Indigenous students enrolled in ITE</w:t>
      </w:r>
    </w:p>
    <w:p w14:paraId="55191DA9" w14:textId="77777777" w:rsidR="00881F96" w:rsidRDefault="00881F96" w:rsidP="00881F96">
      <w:r>
        <w:t xml:space="preserve">The proportion of Indigenous students enrolled in ITE courses was two per cent in 2020. This proportion varies between a low of zero and a high of nine per cent across higher education providers. </w:t>
      </w:r>
    </w:p>
    <w:p w14:paraId="3F93B6AF" w14:textId="77777777" w:rsidR="00881F96" w:rsidRDefault="00881F96" w:rsidP="00881F96">
      <w:pPr>
        <w:pStyle w:val="NormalTextBulleted"/>
      </w:pPr>
      <w:r>
        <w:t>30 higher education providers had Indigenous student enrolments below the average. Of these, however, four improved their proportion of Indigenous enrolments relative to their long-term average by at least half a percentage point.</w:t>
      </w:r>
    </w:p>
    <w:p w14:paraId="20D42CB2" w14:textId="77777777" w:rsidR="00881F96" w:rsidRPr="00985D44" w:rsidRDefault="00881F96" w:rsidP="00881F96">
      <w:pPr>
        <w:pStyle w:val="Caption"/>
      </w:pPr>
      <w:r w:rsidRPr="00985D44">
        <w:t>Figure 1</w:t>
      </w:r>
      <w:r>
        <w:t>.</w:t>
      </w:r>
      <w:r w:rsidRPr="00985D44">
        <w:t xml:space="preserve"> Proportion of Indigenous enrolments in ITE in 2020 relative to their pooled prior (2016 to 2019) proportion of Indigenous enrolments (2016-2019), by higher education provider (HEP).</w:t>
      </w:r>
    </w:p>
    <w:p w14:paraId="06C36955" w14:textId="77777777" w:rsidR="00881F96" w:rsidRDefault="00881F96" w:rsidP="00881F96">
      <w:pPr>
        <w:spacing w:after="0"/>
        <w:rPr>
          <w:b/>
          <w:bCs/>
        </w:rPr>
      </w:pPr>
      <w:r>
        <w:rPr>
          <w:noProof/>
        </w:rPr>
        <w:drawing>
          <wp:inline distT="0" distB="0" distL="0" distR="0" wp14:anchorId="582FEDCC" wp14:editId="41C2A338">
            <wp:extent cx="6149540" cy="29413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4727" cy="2943801"/>
                    </a:xfrm>
                    <a:prstGeom prst="rect">
                      <a:avLst/>
                    </a:prstGeom>
                    <a:noFill/>
                  </pic:spPr>
                </pic:pic>
              </a:graphicData>
            </a:graphic>
          </wp:inline>
        </w:drawing>
      </w:r>
    </w:p>
    <w:p w14:paraId="11AC8BFE" w14:textId="77777777" w:rsidR="00881F96" w:rsidRPr="00FF19FF" w:rsidRDefault="00881F96" w:rsidP="00881F96">
      <w:pPr>
        <w:pStyle w:val="Footnote"/>
      </w:pPr>
      <w:r w:rsidRPr="00985D44">
        <w:rPr>
          <w:i/>
          <w:iCs/>
        </w:rPr>
        <w:t>Source:</w:t>
      </w:r>
      <w:r w:rsidRPr="00FF19FF">
        <w:t xml:space="preserve"> Higher Education Statistics Collection, Department of Education, 2016 to 2020, </w:t>
      </w:r>
      <w:hyperlink r:id="rId20" w:history="1">
        <w:r w:rsidRPr="00893DE6">
          <w:rPr>
            <w:rStyle w:val="Hyperlink"/>
          </w:rPr>
          <w:t>www.education.gov.au</w:t>
        </w:r>
      </w:hyperlink>
      <w:r>
        <w:t xml:space="preserve"> </w:t>
      </w:r>
    </w:p>
    <w:p w14:paraId="238345E6" w14:textId="77777777" w:rsidR="00881F96" w:rsidRPr="00985D44" w:rsidRDefault="00881F96" w:rsidP="00881F96">
      <w:pPr>
        <w:pStyle w:val="Footnote"/>
        <w:rPr>
          <w:i/>
          <w:iCs/>
        </w:rPr>
      </w:pPr>
      <w:r w:rsidRPr="00985D44">
        <w:rPr>
          <w:i/>
          <w:iCs/>
        </w:rPr>
        <w:t>Notes:</w:t>
      </w:r>
    </w:p>
    <w:p w14:paraId="7E1D4BFD" w14:textId="77777777" w:rsidR="00881F96" w:rsidRPr="00F67BD9" w:rsidRDefault="00881F96" w:rsidP="00881F96">
      <w:pPr>
        <w:pStyle w:val="Footnote"/>
        <w:numPr>
          <w:ilvl w:val="0"/>
          <w:numId w:val="9"/>
        </w:numPr>
      </w:pPr>
      <w:r w:rsidRPr="00F67BD9">
        <w:t xml:space="preserve">Dark grey shaded bars indicate higher education providers with one of these data limitations: had less than 26 domestic ITE students enrolled and/or had insufficient data to construct a long-term average across four years (between 2016 to 2019). </w:t>
      </w:r>
    </w:p>
    <w:p w14:paraId="44F91508" w14:textId="77777777" w:rsidR="00881F96" w:rsidRPr="00F27D0E" w:rsidRDefault="00881F96" w:rsidP="00881F96">
      <w:pPr>
        <w:pStyle w:val="Footnote"/>
        <w:numPr>
          <w:ilvl w:val="0"/>
          <w:numId w:val="9"/>
        </w:numPr>
      </w:pPr>
      <w:r w:rsidRPr="00F27D0E">
        <w:t>Blue bars represent at least half a percentage point improvement against the long-term average. Yellow bars represent at least half a percentage point deterioration against the long-term average.</w:t>
      </w:r>
    </w:p>
    <w:p w14:paraId="22A8B1F2" w14:textId="77777777" w:rsidR="00881F96" w:rsidRDefault="00881F96" w:rsidP="00881F96">
      <w:pPr>
        <w:spacing w:after="0" w:line="240" w:lineRule="auto"/>
      </w:pPr>
      <w:r>
        <w:br w:type="page"/>
      </w:r>
    </w:p>
    <w:p w14:paraId="3CBF42D1" w14:textId="77777777" w:rsidR="00881F96" w:rsidRDefault="00881F96" w:rsidP="00881F96">
      <w:pPr>
        <w:pStyle w:val="Heading5"/>
      </w:pPr>
      <w:r>
        <w:lastRenderedPageBreak/>
        <w:t>P</w:t>
      </w:r>
      <w:r w:rsidRPr="00516211">
        <w:t xml:space="preserve">erformance </w:t>
      </w:r>
      <w:r>
        <w:t>i</w:t>
      </w:r>
      <w:r w:rsidRPr="00516211">
        <w:t xml:space="preserve">ndicator: Proportion of </w:t>
      </w:r>
      <w:r>
        <w:t>regional and remote</w:t>
      </w:r>
      <w:r w:rsidRPr="00516211">
        <w:t xml:space="preserve"> students enrolled in ITE</w:t>
      </w:r>
    </w:p>
    <w:p w14:paraId="107324B8" w14:textId="77777777" w:rsidR="00881F96" w:rsidRDefault="00881F96" w:rsidP="00881F96">
      <w:r>
        <w:t xml:space="preserve">The proportion of </w:t>
      </w:r>
      <w:r w:rsidRPr="00225E39">
        <w:t xml:space="preserve">regional and remote students </w:t>
      </w:r>
      <w:r>
        <w:t xml:space="preserve">enrolled in ITE courses was 25 per cent in 2020. This proportion varies between a low of one per cent and a high of 98 per cent across higher education providers. </w:t>
      </w:r>
    </w:p>
    <w:p w14:paraId="2C5463B0" w14:textId="77777777" w:rsidR="00881F96" w:rsidRDefault="00881F96" w:rsidP="00881F96">
      <w:pPr>
        <w:pStyle w:val="NormalTextBulleted"/>
      </w:pPr>
      <w:r>
        <w:t xml:space="preserve">33 higher education providers had regional and remote student enrolments below the average. Of these, however, one improved their proportion of </w:t>
      </w:r>
      <w:r w:rsidRPr="00225E39">
        <w:t xml:space="preserve">regional and remote </w:t>
      </w:r>
      <w:r>
        <w:t xml:space="preserve">enrolments relative to their long-term average by at least one percentage point. </w:t>
      </w:r>
    </w:p>
    <w:p w14:paraId="3C811D4C" w14:textId="77777777" w:rsidR="00881F96" w:rsidRPr="00C41F15" w:rsidRDefault="00881F96" w:rsidP="00881F96">
      <w:pPr>
        <w:pStyle w:val="Caption"/>
      </w:pPr>
      <w:r w:rsidRPr="00C41F15">
        <w:t>Figure 2. Proportion of regional and remote enrolments in ITE in 2020 relative to their pooled prior (2016 to 2019) proportion of regional and remote enrolments (2016-2019), by higher education provider (HEP).</w:t>
      </w:r>
    </w:p>
    <w:p w14:paraId="404DB597" w14:textId="77777777" w:rsidR="00881F96" w:rsidRDefault="00881F96" w:rsidP="00881F96">
      <w:pPr>
        <w:spacing w:after="0"/>
        <w:rPr>
          <w:u w:val="single"/>
        </w:rPr>
      </w:pPr>
      <w:r>
        <w:rPr>
          <w:noProof/>
        </w:rPr>
        <w:drawing>
          <wp:inline distT="0" distB="0" distL="0" distR="0" wp14:anchorId="62FC7BB3" wp14:editId="0B227280">
            <wp:extent cx="6133229" cy="28651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6751" cy="2880780"/>
                    </a:xfrm>
                    <a:prstGeom prst="rect">
                      <a:avLst/>
                    </a:prstGeom>
                    <a:noFill/>
                  </pic:spPr>
                </pic:pic>
              </a:graphicData>
            </a:graphic>
          </wp:inline>
        </w:drawing>
      </w:r>
    </w:p>
    <w:p w14:paraId="003C388D" w14:textId="77777777" w:rsidR="00881F96" w:rsidRPr="00FF19FF" w:rsidRDefault="00881F96" w:rsidP="00881F96">
      <w:pPr>
        <w:pStyle w:val="Footnote"/>
      </w:pPr>
      <w:r w:rsidRPr="00963652">
        <w:rPr>
          <w:i/>
          <w:iCs/>
        </w:rPr>
        <w:t>Source:</w:t>
      </w:r>
      <w:r w:rsidRPr="00FF19FF">
        <w:t xml:space="preserve"> Higher Education Statistics Collection, Department of Education, 2016 to 2020, </w:t>
      </w:r>
      <w:hyperlink r:id="rId22" w:history="1">
        <w:r w:rsidRPr="00893DE6">
          <w:rPr>
            <w:rStyle w:val="Hyperlink"/>
          </w:rPr>
          <w:t>www.education.gov.au</w:t>
        </w:r>
      </w:hyperlink>
      <w:r>
        <w:t xml:space="preserve"> </w:t>
      </w:r>
    </w:p>
    <w:p w14:paraId="215232C5" w14:textId="77777777" w:rsidR="00881F96" w:rsidRPr="00963652" w:rsidRDefault="00881F96" w:rsidP="00881F96">
      <w:pPr>
        <w:pStyle w:val="Footnote"/>
        <w:rPr>
          <w:i/>
          <w:iCs/>
        </w:rPr>
      </w:pPr>
      <w:r w:rsidRPr="00963652">
        <w:rPr>
          <w:i/>
          <w:iCs/>
        </w:rPr>
        <w:t>Notes:</w:t>
      </w:r>
    </w:p>
    <w:p w14:paraId="69727639" w14:textId="77777777" w:rsidR="00881F96" w:rsidRDefault="00881F96" w:rsidP="00881F96">
      <w:pPr>
        <w:pStyle w:val="Footnote"/>
        <w:numPr>
          <w:ilvl w:val="0"/>
          <w:numId w:val="10"/>
        </w:numPr>
      </w:pPr>
      <w:r w:rsidRPr="00F67BD9">
        <w:t xml:space="preserve">Dark grey shaded bars indicate higher education providers with one of these data limitations: had less than 26 domestic ITE students enrolled and/or had insufficient data to construct a </w:t>
      </w:r>
      <w:r w:rsidRPr="005335C6">
        <w:t>long-term</w:t>
      </w:r>
      <w:r w:rsidRPr="00F67BD9">
        <w:t xml:space="preserve"> average across four years (between 2016 to 2019).</w:t>
      </w:r>
    </w:p>
    <w:p w14:paraId="672E5BF2" w14:textId="77777777" w:rsidR="00881F96" w:rsidRPr="003A2BE3" w:rsidRDefault="00881F96" w:rsidP="00881F96">
      <w:pPr>
        <w:pStyle w:val="Footnote"/>
        <w:numPr>
          <w:ilvl w:val="0"/>
          <w:numId w:val="10"/>
        </w:numPr>
      </w:pPr>
      <w:r w:rsidRPr="008822B1">
        <w:t>Regional and remote classification is based on the location of the student’s first home address in the Higher Education Statistics Collection, which is a student’s address before commencing study. A student's first home postcode is mapped to a Remoteness Area classification under the Australian Bureau of Statistics' 2016 Australian Statistical Geography Standard (ASGS) classification of regions.</w:t>
      </w:r>
      <w:r w:rsidRPr="003A2BE3">
        <w:t xml:space="preserve"> </w:t>
      </w:r>
    </w:p>
    <w:p w14:paraId="788A3AB0" w14:textId="77777777" w:rsidR="00881F96" w:rsidRDefault="00881F96" w:rsidP="00881F96">
      <w:pPr>
        <w:pStyle w:val="Footnote"/>
        <w:numPr>
          <w:ilvl w:val="0"/>
          <w:numId w:val="10"/>
        </w:numPr>
      </w:pPr>
      <w:r w:rsidRPr="00FF19FF">
        <w:t>Blue bars represent</w:t>
      </w:r>
      <w:r>
        <w:t xml:space="preserve"> at</w:t>
      </w:r>
      <w:r w:rsidRPr="00FF19FF">
        <w:t xml:space="preserve"> </w:t>
      </w:r>
      <w:r>
        <w:t>least</w:t>
      </w:r>
      <w:r w:rsidRPr="00FF19FF">
        <w:t xml:space="preserve"> a one percentage point improvement against the long-term average. Yellow bars represent</w:t>
      </w:r>
      <w:r>
        <w:t xml:space="preserve"> at least</w:t>
      </w:r>
      <w:r w:rsidRPr="00FF19FF">
        <w:t xml:space="preserve"> a one percentage point deterioration against the long-term average</w:t>
      </w:r>
      <w:r>
        <w:t>.</w:t>
      </w:r>
    </w:p>
    <w:p w14:paraId="69FA61BA" w14:textId="77777777" w:rsidR="00881F96" w:rsidRDefault="00881F96" w:rsidP="00881F96">
      <w:pPr>
        <w:spacing w:after="0" w:line="240" w:lineRule="auto"/>
        <w:rPr>
          <w:i/>
          <w:iCs/>
        </w:rPr>
      </w:pPr>
      <w:r>
        <w:rPr>
          <w:i/>
          <w:iCs/>
        </w:rPr>
        <w:br w:type="page"/>
      </w:r>
    </w:p>
    <w:p w14:paraId="45841D13" w14:textId="77777777" w:rsidR="00881F96" w:rsidRDefault="00881F96" w:rsidP="00881F96">
      <w:pPr>
        <w:pStyle w:val="Heading5"/>
      </w:pPr>
      <w:r w:rsidRPr="00516211">
        <w:lastRenderedPageBreak/>
        <w:t xml:space="preserve">Performance </w:t>
      </w:r>
      <w:r>
        <w:t>i</w:t>
      </w:r>
      <w:r w:rsidRPr="00516211">
        <w:t xml:space="preserve">ndicator: Proportion of </w:t>
      </w:r>
      <w:r>
        <w:t>low socio-economic status students enr</w:t>
      </w:r>
      <w:r w:rsidRPr="00516211">
        <w:t>olled in ITE</w:t>
      </w:r>
    </w:p>
    <w:p w14:paraId="785C2915" w14:textId="77777777" w:rsidR="00881F96" w:rsidRDefault="00881F96" w:rsidP="00881F96">
      <w:r>
        <w:t xml:space="preserve">The proportion of </w:t>
      </w:r>
      <w:r w:rsidRPr="009012A5">
        <w:t xml:space="preserve">low socio-economic status </w:t>
      </w:r>
      <w:r w:rsidRPr="00225E39">
        <w:t xml:space="preserve">students </w:t>
      </w:r>
      <w:r>
        <w:t xml:space="preserve">enrolled in an ITE course was 20 per cent in 2020. This proportion varies between a low of six per cent and a high of 42 per cent across higher education providers. </w:t>
      </w:r>
    </w:p>
    <w:p w14:paraId="02A0F9E7" w14:textId="77777777" w:rsidR="00881F96" w:rsidRDefault="00881F96" w:rsidP="00881F96">
      <w:pPr>
        <w:pStyle w:val="NormalTextBulleted"/>
      </w:pPr>
      <w:r>
        <w:t xml:space="preserve">24 higher education providers had low </w:t>
      </w:r>
      <w:r w:rsidRPr="009012A5">
        <w:t xml:space="preserve">socio-economic status </w:t>
      </w:r>
      <w:r w:rsidRPr="00225E39">
        <w:t xml:space="preserve">student </w:t>
      </w:r>
      <w:r>
        <w:t xml:space="preserve">enrolments below the average. Of these, however, one improved their proportion of </w:t>
      </w:r>
      <w:r w:rsidRPr="009012A5">
        <w:t xml:space="preserve">low socio-economic status </w:t>
      </w:r>
      <w:r>
        <w:t xml:space="preserve">enrolments relative to their long-term average by at least one percentage point. </w:t>
      </w:r>
    </w:p>
    <w:p w14:paraId="749FBC5A" w14:textId="77777777" w:rsidR="00881F96" w:rsidRDefault="00881F96" w:rsidP="00881F96">
      <w:pPr>
        <w:pStyle w:val="Caption"/>
      </w:pPr>
      <w:r w:rsidRPr="00516211">
        <w:t xml:space="preserve">Figure </w:t>
      </w:r>
      <w:r>
        <w:t>3.</w:t>
      </w:r>
      <w:r w:rsidRPr="00516211">
        <w:t xml:space="preserve"> </w:t>
      </w:r>
      <w:r w:rsidRPr="00FF19FF">
        <w:t xml:space="preserve">Proportion of </w:t>
      </w:r>
      <w:r w:rsidRPr="001B0939">
        <w:t>low socio-economic status</w:t>
      </w:r>
      <w:r>
        <w:t xml:space="preserve"> (SES)</w:t>
      </w:r>
      <w:r w:rsidRPr="001B0939">
        <w:t xml:space="preserve"> student</w:t>
      </w:r>
      <w:r w:rsidRPr="00FF19FF">
        <w:t xml:space="preserve"> enrolments</w:t>
      </w:r>
      <w:r>
        <w:t xml:space="preserve"> in ITE</w:t>
      </w:r>
      <w:r w:rsidRPr="00FF19FF">
        <w:t xml:space="preserve"> </w:t>
      </w:r>
      <w:r w:rsidRPr="00516211">
        <w:t xml:space="preserve">in 2020 relative to their pooled prior (2016 to 2019) proportion of </w:t>
      </w:r>
      <w:r w:rsidRPr="001B0939">
        <w:t xml:space="preserve">low socio-economic status </w:t>
      </w:r>
      <w:proofErr w:type="gramStart"/>
      <w:r w:rsidRPr="001B0939">
        <w:t>students</w:t>
      </w:r>
      <w:proofErr w:type="gramEnd"/>
      <w:r w:rsidRPr="001B0939">
        <w:t xml:space="preserve"> </w:t>
      </w:r>
      <w:r w:rsidRPr="00516211">
        <w:t>enrolments (2016-2019), by higher education provider</w:t>
      </w:r>
      <w:r>
        <w:t xml:space="preserve"> (HEP)</w:t>
      </w:r>
      <w:r w:rsidRPr="00516211">
        <w:t>.</w:t>
      </w:r>
    </w:p>
    <w:p w14:paraId="2F09B3B2" w14:textId="77777777" w:rsidR="00881F96" w:rsidRDefault="00881F96" w:rsidP="00881F96">
      <w:pPr>
        <w:spacing w:after="0"/>
        <w:rPr>
          <w:u w:val="single"/>
        </w:rPr>
      </w:pPr>
      <w:r>
        <w:rPr>
          <w:noProof/>
        </w:rPr>
        <w:drawing>
          <wp:inline distT="0" distB="0" distL="0" distR="0" wp14:anchorId="438F3E44" wp14:editId="69547F28">
            <wp:extent cx="6337994" cy="307086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60493" cy="3081761"/>
                    </a:xfrm>
                    <a:prstGeom prst="rect">
                      <a:avLst/>
                    </a:prstGeom>
                    <a:noFill/>
                  </pic:spPr>
                </pic:pic>
              </a:graphicData>
            </a:graphic>
          </wp:inline>
        </w:drawing>
      </w:r>
    </w:p>
    <w:p w14:paraId="223F8CE8" w14:textId="77777777" w:rsidR="00881F96" w:rsidRPr="00FF19FF" w:rsidRDefault="00881F96" w:rsidP="00881F96">
      <w:pPr>
        <w:pStyle w:val="Footnote"/>
      </w:pPr>
      <w:r w:rsidRPr="00A3332C">
        <w:rPr>
          <w:i/>
          <w:iCs/>
        </w:rPr>
        <w:t>Source:</w:t>
      </w:r>
      <w:r w:rsidRPr="00FF19FF">
        <w:t xml:space="preserve"> Higher Education Statistics Collection, Department of Education, 2016 to 2020, </w:t>
      </w:r>
      <w:hyperlink r:id="rId24" w:history="1">
        <w:r w:rsidRPr="00893DE6">
          <w:rPr>
            <w:rStyle w:val="Hyperlink"/>
          </w:rPr>
          <w:t>www.education.gov.au</w:t>
        </w:r>
      </w:hyperlink>
      <w:r>
        <w:t xml:space="preserve"> </w:t>
      </w:r>
    </w:p>
    <w:p w14:paraId="7B0D6091" w14:textId="77777777" w:rsidR="00881F96" w:rsidRPr="00A3332C" w:rsidRDefault="00881F96" w:rsidP="00881F96">
      <w:pPr>
        <w:pStyle w:val="Footnote"/>
        <w:rPr>
          <w:i/>
          <w:iCs/>
        </w:rPr>
      </w:pPr>
      <w:r w:rsidRPr="00A3332C">
        <w:rPr>
          <w:i/>
          <w:iCs/>
        </w:rPr>
        <w:t>Notes:</w:t>
      </w:r>
    </w:p>
    <w:p w14:paraId="4B3E9509" w14:textId="77777777" w:rsidR="00881F96" w:rsidRPr="00F67BD9" w:rsidRDefault="00881F96" w:rsidP="00881F96">
      <w:pPr>
        <w:pStyle w:val="Footnote"/>
        <w:numPr>
          <w:ilvl w:val="0"/>
          <w:numId w:val="11"/>
        </w:numPr>
      </w:pPr>
      <w:r w:rsidRPr="00F67BD9">
        <w:t xml:space="preserve">Dark grey shaded bars indicate higher education providers with one of these data limitations: had less than 26 domestic ITE students enrolled and/or had insufficient data to construct a </w:t>
      </w:r>
      <w:r w:rsidRPr="005335C6">
        <w:t>long-term</w:t>
      </w:r>
      <w:r w:rsidRPr="00F67BD9">
        <w:t xml:space="preserve"> average across four years (between 2016 to 2019).</w:t>
      </w:r>
    </w:p>
    <w:p w14:paraId="3AE84593" w14:textId="77777777" w:rsidR="00881F96" w:rsidRPr="00C97810" w:rsidRDefault="00881F96" w:rsidP="00881F96">
      <w:pPr>
        <w:pStyle w:val="Footnote"/>
        <w:numPr>
          <w:ilvl w:val="0"/>
          <w:numId w:val="11"/>
        </w:numPr>
      </w:pPr>
      <w:r w:rsidRPr="004E5214">
        <w:t>The SES classification is based on the location of a student’s first home address in the Higher Education Statistics Collection, which is a student’s address before commencing study. SES status was determined using the Australian Bureau of Statistics’ Socio-Economic Indexes for Areas (SEIFA) 2016 – The Index of Education and Occupation; students are considered low SES if they live in a SA1 (Statistical Area) in the bottom 25 per cent of the SEIFA for 15–64-year-olds</w:t>
      </w:r>
      <w:r w:rsidRPr="00C97810">
        <w:t>.</w:t>
      </w:r>
    </w:p>
    <w:p w14:paraId="7BC1E0EE" w14:textId="77777777" w:rsidR="00881F96" w:rsidRDefault="00881F96" w:rsidP="00881F96">
      <w:pPr>
        <w:pStyle w:val="Footnote"/>
        <w:numPr>
          <w:ilvl w:val="0"/>
          <w:numId w:val="11"/>
        </w:numPr>
      </w:pPr>
      <w:r w:rsidRPr="00FF19FF">
        <w:t>Blue bars represent</w:t>
      </w:r>
      <w:r>
        <w:t xml:space="preserve"> at least</w:t>
      </w:r>
      <w:r w:rsidRPr="00FF19FF">
        <w:t xml:space="preserve"> a one percentage point improvement against the long-term average. Yellow bars represent</w:t>
      </w:r>
      <w:r>
        <w:t xml:space="preserve"> at least</w:t>
      </w:r>
      <w:r w:rsidRPr="00FF19FF">
        <w:t xml:space="preserve"> a one percentage point deterioration against the long-term average</w:t>
      </w:r>
      <w:r>
        <w:t>.</w:t>
      </w:r>
    </w:p>
    <w:p w14:paraId="57DF0412" w14:textId="77777777" w:rsidR="00881F96" w:rsidRDefault="00881F96" w:rsidP="00881F96">
      <w:pPr>
        <w:spacing w:after="0" w:line="240" w:lineRule="auto"/>
        <w:rPr>
          <w:b/>
          <w:bCs/>
        </w:rPr>
      </w:pPr>
      <w:r>
        <w:rPr>
          <w:b/>
          <w:bCs/>
        </w:rPr>
        <w:br w:type="page"/>
      </w:r>
    </w:p>
    <w:p w14:paraId="21ABF8E3" w14:textId="77777777" w:rsidR="00881F96" w:rsidRDefault="00881F96" w:rsidP="00881F96">
      <w:pPr>
        <w:pStyle w:val="Heading4"/>
      </w:pPr>
      <w:r>
        <w:lastRenderedPageBreak/>
        <w:t>Category 2: Retention</w:t>
      </w:r>
    </w:p>
    <w:p w14:paraId="5D77E7D7" w14:textId="77777777" w:rsidR="00881F96" w:rsidRDefault="00881F96" w:rsidP="00881F96">
      <w:pPr>
        <w:pStyle w:val="Heading5"/>
      </w:pPr>
      <w:r w:rsidRPr="00516211">
        <w:t xml:space="preserve">Performance Indicator: </w:t>
      </w:r>
      <w:r>
        <w:t>First-year attrition</w:t>
      </w:r>
    </w:p>
    <w:p w14:paraId="5C0618F7" w14:textId="77777777" w:rsidR="00881F96" w:rsidRDefault="00881F96" w:rsidP="00881F96">
      <w:r>
        <w:t>The average first-year attrition rate of</w:t>
      </w:r>
      <w:r w:rsidRPr="009012A5">
        <w:t xml:space="preserve"> </w:t>
      </w:r>
      <w:r>
        <w:t>ITE</w:t>
      </w:r>
      <w:r w:rsidRPr="00225E39">
        <w:t xml:space="preserve"> students </w:t>
      </w:r>
      <w:r>
        <w:t xml:space="preserve">commencing in 2019 was 22 per cent. This varies between a low of ten per cent and a high of 59 per cent across higher education providers (excluding one higher education provider with a small number of observations). </w:t>
      </w:r>
    </w:p>
    <w:p w14:paraId="70F8B137" w14:textId="77777777" w:rsidR="00881F96" w:rsidRDefault="00881F96" w:rsidP="00881F96">
      <w:pPr>
        <w:pStyle w:val="NormalTextBulleted"/>
      </w:pPr>
      <w:r>
        <w:t xml:space="preserve">21 higher education providers had an attrition rate above the average. Of these, however, two improved their attrition rate relative to their long-term average by at least one percentage point. </w:t>
      </w:r>
    </w:p>
    <w:p w14:paraId="0FB383FE" w14:textId="77777777" w:rsidR="00881F96" w:rsidRDefault="00881F96" w:rsidP="00881F96">
      <w:pPr>
        <w:pStyle w:val="Caption"/>
      </w:pPr>
      <w:r w:rsidRPr="00516211">
        <w:t>Figure</w:t>
      </w:r>
      <w:r>
        <w:t xml:space="preserve"> 4.</w:t>
      </w:r>
      <w:r w:rsidRPr="00516211">
        <w:t xml:space="preserve"> </w:t>
      </w:r>
      <w:r>
        <w:t>First-year a</w:t>
      </w:r>
      <w:r w:rsidRPr="0024195B">
        <w:t xml:space="preserve">ttrition rate </w:t>
      </w:r>
      <w:r>
        <w:t>of ITE students commencing in 2019 compared with their</w:t>
      </w:r>
      <w:r w:rsidRPr="00516211">
        <w:t xml:space="preserve"> pooled prior</w:t>
      </w:r>
      <w:r>
        <w:t xml:space="preserve"> attrition rate</w:t>
      </w:r>
      <w:r w:rsidRPr="00516211">
        <w:t xml:space="preserve"> (201</w:t>
      </w:r>
      <w:r>
        <w:t>5</w:t>
      </w:r>
      <w:r w:rsidRPr="00516211">
        <w:t xml:space="preserve"> to 201</w:t>
      </w:r>
      <w:r>
        <w:t>8</w:t>
      </w:r>
      <w:r w:rsidRPr="00516211">
        <w:t>)</w:t>
      </w:r>
      <w:r>
        <w:t>, by higher education provider (HEP)</w:t>
      </w:r>
      <w:r w:rsidRPr="00516211">
        <w:t>.</w:t>
      </w:r>
    </w:p>
    <w:p w14:paraId="74DB683C" w14:textId="77777777" w:rsidR="00881F96" w:rsidRDefault="00881F96" w:rsidP="00881F96">
      <w:pPr>
        <w:spacing w:after="0"/>
        <w:rPr>
          <w:u w:val="single"/>
        </w:rPr>
      </w:pPr>
      <w:r>
        <w:rPr>
          <w:noProof/>
        </w:rPr>
        <w:drawing>
          <wp:inline distT="0" distB="0" distL="0" distR="0" wp14:anchorId="699F142B" wp14:editId="16D5B261">
            <wp:extent cx="6265855" cy="30327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0996" cy="3035248"/>
                    </a:xfrm>
                    <a:prstGeom prst="rect">
                      <a:avLst/>
                    </a:prstGeom>
                    <a:noFill/>
                  </pic:spPr>
                </pic:pic>
              </a:graphicData>
            </a:graphic>
          </wp:inline>
        </w:drawing>
      </w:r>
    </w:p>
    <w:p w14:paraId="203AB225" w14:textId="77777777" w:rsidR="00881F96" w:rsidRPr="0024195B" w:rsidRDefault="00881F96" w:rsidP="00881F96">
      <w:pPr>
        <w:pStyle w:val="Footnote"/>
      </w:pPr>
      <w:r w:rsidRPr="006724B7">
        <w:rPr>
          <w:i/>
          <w:iCs/>
        </w:rPr>
        <w:t>Source:</w:t>
      </w:r>
      <w:r w:rsidRPr="0024195B">
        <w:t xml:space="preserve"> Higher Education Statistics Collection, Department of Education, </w:t>
      </w:r>
      <w:r>
        <w:t xml:space="preserve">2015 to </w:t>
      </w:r>
      <w:r w:rsidRPr="0024195B">
        <w:t xml:space="preserve">2019, </w:t>
      </w:r>
      <w:hyperlink r:id="rId26" w:history="1">
        <w:r w:rsidRPr="00893DE6">
          <w:rPr>
            <w:rStyle w:val="Hyperlink"/>
          </w:rPr>
          <w:t>www.education.gov.au</w:t>
        </w:r>
      </w:hyperlink>
      <w:r>
        <w:t xml:space="preserve"> </w:t>
      </w:r>
    </w:p>
    <w:p w14:paraId="06D10219" w14:textId="77777777" w:rsidR="00881F96" w:rsidRPr="003C3009" w:rsidRDefault="00881F96" w:rsidP="00881F96">
      <w:pPr>
        <w:pStyle w:val="Footnote"/>
        <w:rPr>
          <w:i/>
          <w:iCs/>
        </w:rPr>
      </w:pPr>
      <w:r w:rsidRPr="003C3009">
        <w:rPr>
          <w:i/>
          <w:iCs/>
        </w:rPr>
        <w:t>Notes:</w:t>
      </w:r>
    </w:p>
    <w:p w14:paraId="1B4A2598" w14:textId="77777777" w:rsidR="00881F96" w:rsidRPr="00F67BD9" w:rsidRDefault="00881F96" w:rsidP="00881F96">
      <w:pPr>
        <w:pStyle w:val="Footnote"/>
        <w:numPr>
          <w:ilvl w:val="0"/>
          <w:numId w:val="16"/>
        </w:numPr>
      </w:pPr>
      <w:r w:rsidRPr="00F67BD9">
        <w:t>The attrition rate for 2019 is the proportion of students who commenced an ITE course in 2019 who neither complete an ITE course in 2019 or 2020 nor return to an ITE course 2020.</w:t>
      </w:r>
    </w:p>
    <w:p w14:paraId="0690E7A7" w14:textId="77777777" w:rsidR="00881F96" w:rsidRDefault="00881F96" w:rsidP="00881F96">
      <w:pPr>
        <w:pStyle w:val="Footnote"/>
        <w:numPr>
          <w:ilvl w:val="0"/>
          <w:numId w:val="16"/>
        </w:numPr>
      </w:pPr>
      <w:r w:rsidRPr="00D807EA">
        <w:t xml:space="preserve">Dark grey shaded bars indicate higher education providers with one of these data limitations: had less than 26 domestic </w:t>
      </w:r>
      <w:r>
        <w:t xml:space="preserve">ITE </w:t>
      </w:r>
      <w:r w:rsidRPr="00D807EA">
        <w:t>students enrolled and/or had insufficient data to construct a long-term average across four years (between 201</w:t>
      </w:r>
      <w:r>
        <w:t>5</w:t>
      </w:r>
      <w:r w:rsidRPr="00D807EA">
        <w:t xml:space="preserve"> to 201</w:t>
      </w:r>
      <w:r>
        <w:t>8</w:t>
      </w:r>
      <w:r w:rsidRPr="00D807EA">
        <w:t>).</w:t>
      </w:r>
    </w:p>
    <w:p w14:paraId="0013A453" w14:textId="77777777" w:rsidR="00881F96" w:rsidRPr="00F67BD9" w:rsidRDefault="00881F96" w:rsidP="00881F96">
      <w:pPr>
        <w:pStyle w:val="Footnote"/>
        <w:numPr>
          <w:ilvl w:val="0"/>
          <w:numId w:val="16"/>
        </w:numPr>
      </w:pPr>
      <w:r w:rsidRPr="00F67BD9">
        <w:t>Blue bars represent at least a one percentage point improvement against the long-term average. Yellow bars represent at least a one percentage point deterioration against the long-term average.</w:t>
      </w:r>
    </w:p>
    <w:p w14:paraId="0C93AF8A" w14:textId="77777777" w:rsidR="00881F96" w:rsidRDefault="00881F96" w:rsidP="00881F96">
      <w:pPr>
        <w:spacing w:after="0" w:line="240" w:lineRule="auto"/>
        <w:rPr>
          <w:b/>
          <w:bCs/>
        </w:rPr>
      </w:pPr>
      <w:r>
        <w:rPr>
          <w:b/>
          <w:bCs/>
        </w:rPr>
        <w:br w:type="page"/>
      </w:r>
    </w:p>
    <w:p w14:paraId="18C1FB22" w14:textId="77777777" w:rsidR="00881F96" w:rsidRDefault="00881F96" w:rsidP="00881F96">
      <w:pPr>
        <w:pStyle w:val="Heading5"/>
      </w:pPr>
      <w:r w:rsidRPr="00516211">
        <w:lastRenderedPageBreak/>
        <w:t xml:space="preserve">Performance </w:t>
      </w:r>
      <w:r>
        <w:t>i</w:t>
      </w:r>
      <w:r w:rsidRPr="00516211">
        <w:t xml:space="preserve">ndicator: </w:t>
      </w:r>
      <w:r>
        <w:t>Six-year dropout rates</w:t>
      </w:r>
    </w:p>
    <w:p w14:paraId="64CBF8BF" w14:textId="77777777" w:rsidR="00881F96" w:rsidRDefault="00881F96" w:rsidP="00881F96">
      <w:r>
        <w:t>The average six-year dropout</w:t>
      </w:r>
      <w:r w:rsidRPr="00D93EC9">
        <w:t xml:space="preserve"> </w:t>
      </w:r>
      <w:r>
        <w:t>rate of</w:t>
      </w:r>
      <w:r w:rsidRPr="009012A5">
        <w:t xml:space="preserve"> </w:t>
      </w:r>
      <w:r>
        <w:t>ITE</w:t>
      </w:r>
      <w:r w:rsidRPr="00225E39">
        <w:t xml:space="preserve"> students </w:t>
      </w:r>
      <w:r>
        <w:t xml:space="preserve">commencing in 2015 was 38 per cent. This varies between a low of 14 per cent and a high of 51 per cent across higher education providers. </w:t>
      </w:r>
    </w:p>
    <w:p w14:paraId="0012A448" w14:textId="77777777" w:rsidR="00881F96" w:rsidRDefault="00881F96" w:rsidP="00881F96">
      <w:pPr>
        <w:pStyle w:val="NormalTextBulleted"/>
      </w:pPr>
      <w:r>
        <w:t>21 higher education providers had a dropout</w:t>
      </w:r>
      <w:r w:rsidRPr="00D93EC9">
        <w:t xml:space="preserve"> </w:t>
      </w:r>
      <w:r>
        <w:t>rate above the average. Of these, however, four improved their dropout</w:t>
      </w:r>
      <w:r w:rsidRPr="00D93EC9">
        <w:t xml:space="preserve"> </w:t>
      </w:r>
      <w:r>
        <w:t xml:space="preserve">rate relative to their long-term average by at least one percentage point. </w:t>
      </w:r>
    </w:p>
    <w:p w14:paraId="663506D7" w14:textId="77777777" w:rsidR="00881F96" w:rsidRDefault="00881F96" w:rsidP="00881F96">
      <w:pPr>
        <w:pStyle w:val="Caption"/>
      </w:pPr>
      <w:r w:rsidRPr="00516211">
        <w:t>Figure</w:t>
      </w:r>
      <w:r>
        <w:t xml:space="preserve"> 5.</w:t>
      </w:r>
      <w:r w:rsidRPr="00516211">
        <w:t xml:space="preserve"> </w:t>
      </w:r>
      <w:r>
        <w:t>Six-year dropout</w:t>
      </w:r>
      <w:r w:rsidRPr="0024195B">
        <w:t xml:space="preserve"> rate</w:t>
      </w:r>
      <w:r>
        <w:t>s</w:t>
      </w:r>
      <w:r w:rsidRPr="0024195B">
        <w:t xml:space="preserve"> </w:t>
      </w:r>
      <w:r>
        <w:t>of ITE students commencing in 2015 compared with their</w:t>
      </w:r>
      <w:r w:rsidRPr="00516211">
        <w:t xml:space="preserve"> pooled prior</w:t>
      </w:r>
      <w:r>
        <w:t xml:space="preserve"> six-year dropout</w:t>
      </w:r>
      <w:r w:rsidRPr="0024195B">
        <w:t xml:space="preserve"> rate</w:t>
      </w:r>
      <w:r>
        <w:t>s</w:t>
      </w:r>
      <w:r w:rsidRPr="00516211">
        <w:t xml:space="preserve"> (201</w:t>
      </w:r>
      <w:r>
        <w:t>1</w:t>
      </w:r>
      <w:r w:rsidRPr="00516211">
        <w:t xml:space="preserve"> to 201</w:t>
      </w:r>
      <w:r>
        <w:t>4</w:t>
      </w:r>
      <w:r w:rsidRPr="00516211">
        <w:t>)</w:t>
      </w:r>
      <w:r>
        <w:t>, by higher education provider (HEP)</w:t>
      </w:r>
      <w:r w:rsidRPr="00516211">
        <w:t>.</w:t>
      </w:r>
    </w:p>
    <w:p w14:paraId="1B545826" w14:textId="77777777" w:rsidR="00881F96" w:rsidRDefault="00881F96" w:rsidP="00881F96">
      <w:pPr>
        <w:spacing w:after="0"/>
        <w:rPr>
          <w:noProof/>
        </w:rPr>
      </w:pPr>
      <w:r>
        <w:rPr>
          <w:noProof/>
        </w:rPr>
        <w:drawing>
          <wp:inline distT="0" distB="0" distL="0" distR="0" wp14:anchorId="1F28F747" wp14:editId="01A30F93">
            <wp:extent cx="6336030" cy="305244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6030" cy="3052445"/>
                    </a:xfrm>
                    <a:prstGeom prst="rect">
                      <a:avLst/>
                    </a:prstGeom>
                  </pic:spPr>
                </pic:pic>
              </a:graphicData>
            </a:graphic>
          </wp:inline>
        </w:drawing>
      </w:r>
    </w:p>
    <w:p w14:paraId="0DC67C74" w14:textId="77777777" w:rsidR="00881F96" w:rsidRPr="00F1605D" w:rsidRDefault="00881F96" w:rsidP="00881F96">
      <w:pPr>
        <w:pStyle w:val="Footnote"/>
      </w:pPr>
      <w:r w:rsidRPr="00ED3BAB">
        <w:rPr>
          <w:i/>
          <w:iCs/>
        </w:rPr>
        <w:t>Source:</w:t>
      </w:r>
      <w:r w:rsidRPr="00F1605D">
        <w:t xml:space="preserve"> Student Data (2011 - 2020), Higher Education Statistics Collection,</w:t>
      </w:r>
      <w:r>
        <w:t xml:space="preserve"> </w:t>
      </w:r>
      <w:r w:rsidRPr="00F1605D">
        <w:t>www.education.gov.au</w:t>
      </w:r>
    </w:p>
    <w:p w14:paraId="12A12F08" w14:textId="77777777" w:rsidR="00881F96" w:rsidRPr="00ED3BAB" w:rsidRDefault="00881F96" w:rsidP="00881F96">
      <w:pPr>
        <w:pStyle w:val="Footnote"/>
        <w:rPr>
          <w:i/>
          <w:iCs/>
        </w:rPr>
      </w:pPr>
      <w:r w:rsidRPr="00ED3BAB">
        <w:rPr>
          <w:i/>
          <w:iCs/>
        </w:rPr>
        <w:t xml:space="preserve">Notes: </w:t>
      </w:r>
    </w:p>
    <w:p w14:paraId="4C9604EC" w14:textId="77777777" w:rsidR="00881F96" w:rsidRPr="00F67BD9" w:rsidRDefault="00881F96" w:rsidP="00881F96">
      <w:pPr>
        <w:pStyle w:val="Footnote"/>
        <w:numPr>
          <w:ilvl w:val="0"/>
          <w:numId w:val="12"/>
        </w:numPr>
      </w:pPr>
      <w:r w:rsidRPr="00F67BD9">
        <w:t xml:space="preserve">The </w:t>
      </w:r>
      <w:r w:rsidRPr="00F27D0E">
        <w:t>six</w:t>
      </w:r>
      <w:r>
        <w:t>-year</w:t>
      </w:r>
      <w:r w:rsidRPr="00F67BD9">
        <w:t xml:space="preserve"> </w:t>
      </w:r>
      <w:r>
        <w:t>dropout</w:t>
      </w:r>
      <w:r w:rsidRPr="00F67BD9">
        <w:t xml:space="preserve"> rate indicates the proportion of students who had dropped out of their ITE course one to six years after commencement. This measure is an indication of the proportion of students who are not expected to complete their course.  </w:t>
      </w:r>
    </w:p>
    <w:p w14:paraId="3247A25C" w14:textId="77777777" w:rsidR="00881F96" w:rsidRPr="00F27D0E" w:rsidRDefault="00881F96" w:rsidP="00881F96">
      <w:pPr>
        <w:pStyle w:val="Footnote"/>
        <w:numPr>
          <w:ilvl w:val="0"/>
          <w:numId w:val="12"/>
        </w:numPr>
      </w:pPr>
      <w:r w:rsidRPr="00F27D0E">
        <w:t>Dark grey shaded bars indicate higher education providers with one of these data limitations: had less than 26 domestic ITE students enrolled and/or had insufficient data to construct a long-term average across four years (between 2011 to 2014).</w:t>
      </w:r>
    </w:p>
    <w:p w14:paraId="012C67FC" w14:textId="77777777" w:rsidR="00881F96" w:rsidRDefault="00881F96" w:rsidP="00881F96">
      <w:pPr>
        <w:pStyle w:val="Footnote"/>
        <w:numPr>
          <w:ilvl w:val="0"/>
          <w:numId w:val="12"/>
        </w:numPr>
      </w:pPr>
      <w:r w:rsidRPr="00F1605D">
        <w:t>Blue bars represent</w:t>
      </w:r>
      <w:r>
        <w:t xml:space="preserve"> at least</w:t>
      </w:r>
      <w:r w:rsidRPr="00F1605D">
        <w:t xml:space="preserve"> a one percentage point improvement against the long-term average. Yellow bars represent</w:t>
      </w:r>
      <w:r>
        <w:t xml:space="preserve"> at least</w:t>
      </w:r>
      <w:r w:rsidRPr="00F1605D">
        <w:t xml:space="preserve"> a one percentage point deterioration against the long-term average</w:t>
      </w:r>
      <w:r>
        <w:t>.</w:t>
      </w:r>
    </w:p>
    <w:p w14:paraId="1F9DE9BE" w14:textId="77777777" w:rsidR="00881F96" w:rsidRPr="00F67BD9" w:rsidRDefault="00881F96" w:rsidP="00881F96">
      <w:pPr>
        <w:pStyle w:val="Footnote"/>
        <w:numPr>
          <w:ilvl w:val="0"/>
          <w:numId w:val="12"/>
        </w:numPr>
      </w:pPr>
      <w:r w:rsidRPr="00830386">
        <w:t>HEP3 only had ITE courses from 2015 onwards and therefore a pooled drop</w:t>
      </w:r>
      <w:r>
        <w:t>o</w:t>
      </w:r>
      <w:r w:rsidRPr="00830386">
        <w:t>ut rate for 2011 to 2014 commencing students cannot be calculated.</w:t>
      </w:r>
    </w:p>
    <w:p w14:paraId="081CE489" w14:textId="77777777" w:rsidR="00881F96" w:rsidRDefault="00881F96" w:rsidP="00881F96">
      <w:pPr>
        <w:rPr>
          <w:b/>
          <w:bCs/>
        </w:rPr>
      </w:pPr>
      <w:r>
        <w:rPr>
          <w:b/>
          <w:bCs/>
        </w:rPr>
        <w:br w:type="page"/>
      </w:r>
    </w:p>
    <w:p w14:paraId="577817D3" w14:textId="77777777" w:rsidR="00881F96" w:rsidRDefault="00881F96" w:rsidP="00881F96">
      <w:pPr>
        <w:pStyle w:val="Heading4"/>
      </w:pPr>
      <w:r>
        <w:lastRenderedPageBreak/>
        <w:t>Category 3: Classroom readiness</w:t>
      </w:r>
    </w:p>
    <w:p w14:paraId="3536D6C0" w14:textId="77777777" w:rsidR="00881F96" w:rsidRDefault="00881F96" w:rsidP="00881F96">
      <w:pPr>
        <w:pStyle w:val="Heading5"/>
      </w:pPr>
      <w:r w:rsidRPr="00516211">
        <w:t xml:space="preserve">Performance </w:t>
      </w:r>
      <w:r>
        <w:t>i</w:t>
      </w:r>
      <w:r w:rsidRPr="00516211">
        <w:t>ndicator: Student satisfaction with the quality of teaching</w:t>
      </w:r>
    </w:p>
    <w:p w14:paraId="13D964DC" w14:textId="77777777" w:rsidR="00881F96" w:rsidRDefault="00881F96" w:rsidP="00881F96">
      <w:r>
        <w:t xml:space="preserve">On average, 78 per cent of ITE students in 2021 were satisfied with </w:t>
      </w:r>
      <w:r w:rsidRPr="00752752">
        <w:t xml:space="preserve">the quality of teaching </w:t>
      </w:r>
      <w:r>
        <w:t xml:space="preserve">in their course. This rating varies between a low of 57 per cent and a high of 95 per cent across higher education providers (excluding one higher education provider with a small number of observations). </w:t>
      </w:r>
    </w:p>
    <w:p w14:paraId="15FF0EFC" w14:textId="77777777" w:rsidR="00881F96" w:rsidRDefault="00881F96" w:rsidP="00881F96">
      <w:pPr>
        <w:pStyle w:val="NormalTextBulleted"/>
      </w:pPr>
      <w:r>
        <w:t xml:space="preserve">17 higher education providers had a </w:t>
      </w:r>
      <w:r w:rsidRPr="00752752">
        <w:t>quality of teaching</w:t>
      </w:r>
      <w:r>
        <w:t xml:space="preserve"> satisfaction</w:t>
      </w:r>
      <w:r w:rsidRPr="00752752">
        <w:t xml:space="preserve"> </w:t>
      </w:r>
      <w:r>
        <w:t xml:space="preserve">rating significantly below the average. Of these, however, one statistically significantly improved their </w:t>
      </w:r>
      <w:r w:rsidRPr="00752752">
        <w:t xml:space="preserve">quality of teaching </w:t>
      </w:r>
      <w:r>
        <w:t xml:space="preserve">rating relative to their long-term average. </w:t>
      </w:r>
    </w:p>
    <w:p w14:paraId="74EEA2D3" w14:textId="77777777" w:rsidR="00881F96" w:rsidRDefault="00881F96" w:rsidP="00881F96">
      <w:pPr>
        <w:pStyle w:val="Caption"/>
      </w:pPr>
      <w:r w:rsidRPr="00516211">
        <w:t>Figure</w:t>
      </w:r>
      <w:r>
        <w:t xml:space="preserve"> 6.</w:t>
      </w:r>
      <w:r w:rsidRPr="00516211">
        <w:t xml:space="preserve"> </w:t>
      </w:r>
      <w:r>
        <w:t>The proportion of s</w:t>
      </w:r>
      <w:r w:rsidRPr="00033A8C">
        <w:t>tudent</w:t>
      </w:r>
      <w:r>
        <w:t>s</w:t>
      </w:r>
      <w:r w:rsidRPr="00033A8C">
        <w:t xml:space="preserve"> satis</w:t>
      </w:r>
      <w:r>
        <w:t>fied</w:t>
      </w:r>
      <w:r w:rsidRPr="00033A8C">
        <w:t xml:space="preserve"> with the quality of teaching </w:t>
      </w:r>
      <w:r>
        <w:t>in 2021 compared with their</w:t>
      </w:r>
      <w:r w:rsidRPr="00516211">
        <w:t xml:space="preserve"> pooled prior</w:t>
      </w:r>
      <w:r>
        <w:t xml:space="preserve"> satisfaction rating for the </w:t>
      </w:r>
      <w:r w:rsidRPr="00033A8C">
        <w:t xml:space="preserve">quality of teaching </w:t>
      </w:r>
      <w:r w:rsidRPr="00516211">
        <w:t>(20</w:t>
      </w:r>
      <w:r>
        <w:t>17</w:t>
      </w:r>
      <w:r w:rsidRPr="00516211">
        <w:t xml:space="preserve"> to 20</w:t>
      </w:r>
      <w:r>
        <w:t>20</w:t>
      </w:r>
      <w:r w:rsidRPr="00516211">
        <w:t>)</w:t>
      </w:r>
      <w:r>
        <w:t>, by higher education provider (HEP)</w:t>
      </w:r>
      <w:r w:rsidRPr="00516211">
        <w:t>.</w:t>
      </w:r>
    </w:p>
    <w:p w14:paraId="01E96B39" w14:textId="77777777" w:rsidR="00881F96" w:rsidRDefault="00881F96" w:rsidP="00881F96">
      <w:pPr>
        <w:spacing w:after="0"/>
        <w:jc w:val="center"/>
        <w:rPr>
          <w:u w:val="single"/>
        </w:rPr>
      </w:pPr>
      <w:r>
        <w:rPr>
          <w:noProof/>
        </w:rPr>
        <w:drawing>
          <wp:inline distT="0" distB="0" distL="0" distR="0" wp14:anchorId="67993764" wp14:editId="7BEEF1FC">
            <wp:extent cx="6062223" cy="2948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4365" cy="2964575"/>
                    </a:xfrm>
                    <a:prstGeom prst="rect">
                      <a:avLst/>
                    </a:prstGeom>
                    <a:noFill/>
                  </pic:spPr>
                </pic:pic>
              </a:graphicData>
            </a:graphic>
          </wp:inline>
        </w:drawing>
      </w:r>
    </w:p>
    <w:p w14:paraId="72C312D7" w14:textId="77777777" w:rsidR="00881F96" w:rsidRPr="00033A8C" w:rsidRDefault="00881F96" w:rsidP="00881F96">
      <w:pPr>
        <w:pStyle w:val="Footnote"/>
      </w:pPr>
      <w:r w:rsidRPr="00CD04B3">
        <w:rPr>
          <w:i/>
          <w:iCs/>
        </w:rPr>
        <w:t>Source:</w:t>
      </w:r>
      <w:r w:rsidRPr="00033A8C">
        <w:t xml:space="preserve"> Student Experience Survey (qilt.edu.au), Department of Education, 2017 – 2021</w:t>
      </w:r>
    </w:p>
    <w:p w14:paraId="40B6B798" w14:textId="77777777" w:rsidR="00881F96" w:rsidRPr="00CD04B3" w:rsidRDefault="00881F96" w:rsidP="00881F96">
      <w:pPr>
        <w:pStyle w:val="Footnote"/>
        <w:rPr>
          <w:i/>
          <w:iCs/>
        </w:rPr>
      </w:pPr>
      <w:r w:rsidRPr="00CD04B3">
        <w:rPr>
          <w:i/>
          <w:iCs/>
        </w:rPr>
        <w:t xml:space="preserve">Note: </w:t>
      </w:r>
    </w:p>
    <w:p w14:paraId="3CAE2BF1" w14:textId="77777777" w:rsidR="00881F96" w:rsidRPr="00F67BD9" w:rsidRDefault="00881F96" w:rsidP="00881F96">
      <w:pPr>
        <w:pStyle w:val="Footnote"/>
        <w:numPr>
          <w:ilvl w:val="0"/>
          <w:numId w:val="13"/>
        </w:numPr>
      </w:pPr>
      <w:r w:rsidRPr="00F67BD9">
        <w:t xml:space="preserve">Dark grey shaded bars indicate higher education providers with one of these data limitations: had less than 26 domestic ITE students enrolled and/or had insufficient data to construct a </w:t>
      </w:r>
      <w:r w:rsidRPr="00F27D0E">
        <w:t>long-term</w:t>
      </w:r>
      <w:r w:rsidRPr="00F67BD9">
        <w:t xml:space="preserve"> average across four years (between 2017 to 2020).</w:t>
      </w:r>
    </w:p>
    <w:p w14:paraId="00D8A1B5" w14:textId="77777777" w:rsidR="00881F96" w:rsidRDefault="00881F96" w:rsidP="00881F96">
      <w:pPr>
        <w:pStyle w:val="Footnote"/>
        <w:numPr>
          <w:ilvl w:val="0"/>
          <w:numId w:val="13"/>
        </w:numPr>
      </w:pPr>
      <w:r w:rsidRPr="00F27D0E">
        <w:t>Confidence intervals are calculated using the Agresti-Coull method with finite population corrections.</w:t>
      </w:r>
    </w:p>
    <w:p w14:paraId="11C0587A" w14:textId="77777777" w:rsidR="00881F96" w:rsidRDefault="00881F96" w:rsidP="00881F96">
      <w:pPr>
        <w:pStyle w:val="Footnote"/>
        <w:numPr>
          <w:ilvl w:val="0"/>
          <w:numId w:val="13"/>
        </w:numPr>
      </w:pPr>
      <w:r w:rsidRPr="00D53A38">
        <w:t>HEP28 has not been included as not enough data was available to calculate a result for 2021.</w:t>
      </w:r>
    </w:p>
    <w:p w14:paraId="1B0EEAE2" w14:textId="77777777" w:rsidR="00881F96" w:rsidRPr="00F27D0E" w:rsidRDefault="00881F96" w:rsidP="00881F96">
      <w:pPr>
        <w:pStyle w:val="Footnote"/>
        <w:numPr>
          <w:ilvl w:val="0"/>
          <w:numId w:val="13"/>
        </w:numPr>
      </w:pPr>
      <w:r w:rsidRPr="00F27D0E">
        <w:t>Blue bars represent a statistically significant improvement against the long-term average. Yellow bars represent a statistically significant deterioration against the long-term average</w:t>
      </w:r>
      <w:r>
        <w:t>.</w:t>
      </w:r>
    </w:p>
    <w:p w14:paraId="2655A5AD" w14:textId="77777777" w:rsidR="00881F96" w:rsidRPr="00033A8C" w:rsidRDefault="00881F96" w:rsidP="00881F96">
      <w:pPr>
        <w:spacing w:after="0"/>
        <w:ind w:left="284" w:hanging="142"/>
        <w:jc w:val="center"/>
        <w:rPr>
          <w:sz w:val="16"/>
          <w:szCs w:val="16"/>
        </w:rPr>
      </w:pPr>
    </w:p>
    <w:p w14:paraId="3EC19735" w14:textId="77777777" w:rsidR="00881F96" w:rsidRDefault="00881F96" w:rsidP="00881F96">
      <w:pPr>
        <w:rPr>
          <w:u w:val="single"/>
        </w:rPr>
      </w:pPr>
      <w:r>
        <w:rPr>
          <w:u w:val="single"/>
        </w:rPr>
        <w:br w:type="page"/>
      </w:r>
    </w:p>
    <w:p w14:paraId="23D294AD" w14:textId="77777777" w:rsidR="00881F96" w:rsidRDefault="00881F96" w:rsidP="00881F96">
      <w:pPr>
        <w:pStyle w:val="Heading5"/>
      </w:pPr>
      <w:r w:rsidRPr="00516211">
        <w:lastRenderedPageBreak/>
        <w:t>Performanc</w:t>
      </w:r>
      <w:r>
        <w:t>e i</w:t>
      </w:r>
      <w:r w:rsidRPr="00516211">
        <w:t xml:space="preserve">ndicator: </w:t>
      </w:r>
      <w:bookmarkStart w:id="17" w:name="_Hlk126329640"/>
      <w:r w:rsidRPr="00516211">
        <w:t>Graduate preparedness for employment</w:t>
      </w:r>
      <w:bookmarkEnd w:id="17"/>
    </w:p>
    <w:p w14:paraId="609E667F" w14:textId="77777777" w:rsidR="00881F96" w:rsidRDefault="00881F96" w:rsidP="00881F96">
      <w:r>
        <w:t xml:space="preserve">This measure assesses the proportion of graduates who felt that their qualification prepared them well for their teaching role. The </w:t>
      </w:r>
      <w:r w:rsidRPr="00F00A9A">
        <w:t>proportion of</w:t>
      </w:r>
      <w:r>
        <w:t xml:space="preserve"> Education</w:t>
      </w:r>
      <w:r w:rsidRPr="00F00A9A">
        <w:t xml:space="preserve"> students answering that they were prepared well</w:t>
      </w:r>
      <w:r>
        <w:t xml:space="preserve"> </w:t>
      </w:r>
      <w:r w:rsidRPr="00E81419">
        <w:t>for employment</w:t>
      </w:r>
      <w:r>
        <w:t xml:space="preserve"> in 2021 was 81 per cent. This varies between a low of 61 per cent and a high of 93 per cent across higher education providers (excluding four higher education </w:t>
      </w:r>
      <w:proofErr w:type="gramStart"/>
      <w:r>
        <w:t>provider</w:t>
      </w:r>
      <w:proofErr w:type="gramEnd"/>
      <w:r>
        <w:t xml:space="preserve"> with small observation numbers). </w:t>
      </w:r>
    </w:p>
    <w:p w14:paraId="37CEF213" w14:textId="77777777" w:rsidR="00881F96" w:rsidRDefault="00881F96" w:rsidP="00881F96">
      <w:pPr>
        <w:pStyle w:val="NormalTextBulleted"/>
      </w:pPr>
      <w:r>
        <w:t>Six higher education providers had a g</w:t>
      </w:r>
      <w:r w:rsidRPr="00E81419">
        <w:t>raduate preparedness for employment</w:t>
      </w:r>
      <w:r>
        <w:t xml:space="preserve"> rating significantly below the average. Of these, however, one statistically significantly improved their g</w:t>
      </w:r>
      <w:r w:rsidRPr="00E81419">
        <w:t>raduate preparedness for employment</w:t>
      </w:r>
      <w:r>
        <w:t xml:space="preserve"> rating relative to their long-term average. </w:t>
      </w:r>
    </w:p>
    <w:p w14:paraId="192997E0" w14:textId="77777777" w:rsidR="00881F96" w:rsidRDefault="00881F96" w:rsidP="00881F96">
      <w:pPr>
        <w:pStyle w:val="Caption"/>
      </w:pPr>
      <w:r w:rsidRPr="00516211">
        <w:t>Figure</w:t>
      </w:r>
      <w:r>
        <w:t xml:space="preserve"> 7.</w:t>
      </w:r>
      <w:r w:rsidRPr="00516211">
        <w:t xml:space="preserve"> </w:t>
      </w:r>
      <w:r>
        <w:t>The p</w:t>
      </w:r>
      <w:r w:rsidRPr="00975FD2">
        <w:t>roportion of Education students who perceive</w:t>
      </w:r>
      <w:r>
        <w:t>d</w:t>
      </w:r>
      <w:r w:rsidRPr="00975FD2">
        <w:t xml:space="preserve"> that their university qualification prepared them for teaching</w:t>
      </w:r>
      <w:r>
        <w:t xml:space="preserve"> in 2021 compared with their</w:t>
      </w:r>
      <w:r w:rsidRPr="00516211">
        <w:t xml:space="preserve"> pooled prior</w:t>
      </w:r>
      <w:r>
        <w:t xml:space="preserve"> results</w:t>
      </w:r>
      <w:r w:rsidRPr="00516211">
        <w:t xml:space="preserve"> (20</w:t>
      </w:r>
      <w:r>
        <w:t>17</w:t>
      </w:r>
      <w:r w:rsidRPr="00516211">
        <w:t xml:space="preserve"> to 20</w:t>
      </w:r>
      <w:r>
        <w:t>20</w:t>
      </w:r>
      <w:r w:rsidRPr="00516211">
        <w:t>)</w:t>
      </w:r>
      <w:r>
        <w:t>, by higher education provider (HEP)</w:t>
      </w:r>
      <w:r w:rsidRPr="00516211">
        <w:t>.</w:t>
      </w:r>
    </w:p>
    <w:p w14:paraId="6BB41F19" w14:textId="77777777" w:rsidR="00881F96" w:rsidRDefault="00881F96" w:rsidP="00881F96">
      <w:pPr>
        <w:spacing w:after="0"/>
        <w:rPr>
          <w:u w:val="single"/>
        </w:rPr>
      </w:pPr>
      <w:r>
        <w:rPr>
          <w:noProof/>
        </w:rPr>
        <w:drawing>
          <wp:inline distT="0" distB="0" distL="0" distR="0" wp14:anchorId="18C6431D" wp14:editId="09097F0A">
            <wp:extent cx="6155331" cy="29641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099" cy="2981404"/>
                    </a:xfrm>
                    <a:prstGeom prst="rect">
                      <a:avLst/>
                    </a:prstGeom>
                    <a:noFill/>
                  </pic:spPr>
                </pic:pic>
              </a:graphicData>
            </a:graphic>
          </wp:inline>
        </w:drawing>
      </w:r>
    </w:p>
    <w:p w14:paraId="781A0128" w14:textId="77777777" w:rsidR="00881F96" w:rsidRPr="00033A8C" w:rsidRDefault="00881F96" w:rsidP="00881F96">
      <w:pPr>
        <w:pStyle w:val="Footnote"/>
      </w:pPr>
      <w:r w:rsidRPr="00607F36">
        <w:rPr>
          <w:i/>
          <w:iCs/>
        </w:rPr>
        <w:t>Source:</w:t>
      </w:r>
      <w:r w:rsidRPr="00033A8C">
        <w:t xml:space="preserve"> Graduate Outcomes Survey (qilt.edu.au),</w:t>
      </w:r>
      <w:r>
        <w:t xml:space="preserve"> </w:t>
      </w:r>
      <w:r w:rsidRPr="00033A8C">
        <w:t>Department of Education,</w:t>
      </w:r>
      <w:r>
        <w:t xml:space="preserve"> </w:t>
      </w:r>
      <w:r w:rsidRPr="00033A8C">
        <w:t>2017 - 2021</w:t>
      </w:r>
    </w:p>
    <w:p w14:paraId="18AB5E22" w14:textId="77777777" w:rsidR="00881F96" w:rsidRPr="00CD04B3" w:rsidRDefault="00881F96" w:rsidP="00881F96">
      <w:pPr>
        <w:pStyle w:val="Footnote"/>
        <w:rPr>
          <w:i/>
          <w:iCs/>
        </w:rPr>
      </w:pPr>
      <w:r w:rsidRPr="00CD04B3">
        <w:rPr>
          <w:i/>
          <w:iCs/>
        </w:rPr>
        <w:t xml:space="preserve">Note: </w:t>
      </w:r>
    </w:p>
    <w:p w14:paraId="014708E9" w14:textId="77777777" w:rsidR="00881F96" w:rsidRPr="00F67BD9" w:rsidRDefault="00881F96" w:rsidP="00881F96">
      <w:pPr>
        <w:pStyle w:val="Footnote"/>
        <w:numPr>
          <w:ilvl w:val="0"/>
          <w:numId w:val="14"/>
        </w:numPr>
      </w:pPr>
      <w:r w:rsidRPr="00F67BD9">
        <w:t xml:space="preserve">Dark grey shaded bars indicate higher education providers with one of these data limitations: had less than 26 domestic Education students enrolled and/or had insufficient data to construct a </w:t>
      </w:r>
      <w:r w:rsidRPr="00F27D0E">
        <w:t>long-term</w:t>
      </w:r>
      <w:r w:rsidRPr="00F67BD9">
        <w:t xml:space="preserve"> average across four years (between 2017 to 2020).</w:t>
      </w:r>
    </w:p>
    <w:p w14:paraId="1D2D7BDC" w14:textId="77777777" w:rsidR="00881F96" w:rsidRDefault="00881F96" w:rsidP="00881F96">
      <w:pPr>
        <w:pStyle w:val="Footnote"/>
        <w:numPr>
          <w:ilvl w:val="0"/>
          <w:numId w:val="14"/>
        </w:numPr>
      </w:pPr>
      <w:r>
        <w:t xml:space="preserve">Confidence intervals are calculated using the </w:t>
      </w:r>
      <w:r w:rsidRPr="00033A8C">
        <w:t>Agresti-Coull method</w:t>
      </w:r>
      <w:r>
        <w:t xml:space="preserve"> with finite population corrections.</w:t>
      </w:r>
    </w:p>
    <w:p w14:paraId="74F556A6" w14:textId="77777777" w:rsidR="00881F96" w:rsidRPr="00F27D0E" w:rsidRDefault="00881F96" w:rsidP="00881F96">
      <w:pPr>
        <w:pStyle w:val="Footnote"/>
        <w:numPr>
          <w:ilvl w:val="0"/>
          <w:numId w:val="14"/>
        </w:numPr>
      </w:pPr>
      <w:r w:rsidRPr="00F27D0E">
        <w:t>Blue bars represent a statistically significant improvement against the long-term average. Yellow bars represent a statistically significant deterioration against the long-term average</w:t>
      </w:r>
      <w:r>
        <w:t>.</w:t>
      </w:r>
    </w:p>
    <w:p w14:paraId="030A1EB3" w14:textId="77777777" w:rsidR="00881F96" w:rsidRPr="00033A8C" w:rsidRDefault="00881F96" w:rsidP="00881F96">
      <w:pPr>
        <w:spacing w:after="0"/>
        <w:ind w:left="142"/>
        <w:rPr>
          <w:sz w:val="16"/>
          <w:szCs w:val="16"/>
        </w:rPr>
      </w:pPr>
    </w:p>
    <w:p w14:paraId="3648629D" w14:textId="77777777" w:rsidR="00881F96" w:rsidRPr="00033A8C" w:rsidRDefault="00881F96" w:rsidP="00881F96">
      <w:pPr>
        <w:spacing w:after="0"/>
        <w:ind w:left="284" w:hanging="142"/>
        <w:rPr>
          <w:sz w:val="16"/>
          <w:szCs w:val="16"/>
        </w:rPr>
      </w:pPr>
    </w:p>
    <w:p w14:paraId="11FBF39D" w14:textId="77777777" w:rsidR="00881F96" w:rsidRDefault="00881F96" w:rsidP="00881F96">
      <w:pPr>
        <w:rPr>
          <w:b/>
          <w:bCs/>
        </w:rPr>
      </w:pPr>
      <w:r>
        <w:rPr>
          <w:b/>
          <w:bCs/>
        </w:rPr>
        <w:br w:type="page"/>
      </w:r>
    </w:p>
    <w:p w14:paraId="09BD7899" w14:textId="77777777" w:rsidR="00881F96" w:rsidRPr="00516211" w:rsidRDefault="00881F96" w:rsidP="00881F96">
      <w:pPr>
        <w:pStyle w:val="Heading4"/>
      </w:pPr>
      <w:r>
        <w:lastRenderedPageBreak/>
        <w:t>Category 4: Transition</w:t>
      </w:r>
    </w:p>
    <w:p w14:paraId="44C83FA7" w14:textId="77777777" w:rsidR="00881F96" w:rsidRDefault="00881F96" w:rsidP="00881F96">
      <w:pPr>
        <w:pStyle w:val="Heading5"/>
      </w:pPr>
      <w:r w:rsidRPr="00516211">
        <w:t>Performance indicator: Graduate employment outcomes</w:t>
      </w:r>
    </w:p>
    <w:p w14:paraId="513EBABD" w14:textId="77777777" w:rsidR="00881F96" w:rsidRDefault="00881F96" w:rsidP="00881F96">
      <w:r>
        <w:t xml:space="preserve">The </w:t>
      </w:r>
      <w:r w:rsidRPr="00F00A9A">
        <w:t>proportion of Education students employed as teachers four months after graduation</w:t>
      </w:r>
      <w:r>
        <w:t xml:space="preserve"> in 2020 was 92 per cent. This varies between a low of 83 per cent and a high of 100 per cent across higher education providers. </w:t>
      </w:r>
    </w:p>
    <w:p w14:paraId="6E8ED307" w14:textId="77777777" w:rsidR="00881F96" w:rsidRDefault="00881F96" w:rsidP="00881F96">
      <w:pPr>
        <w:pStyle w:val="NormalTextBulleted"/>
      </w:pPr>
      <w:r>
        <w:t>Nine higher education providers had a g</w:t>
      </w:r>
      <w:r w:rsidRPr="00E81419">
        <w:t xml:space="preserve">raduate </w:t>
      </w:r>
      <w:r w:rsidRPr="00253B03">
        <w:t>employment outcome</w:t>
      </w:r>
      <w:r>
        <w:t xml:space="preserve"> proportion</w:t>
      </w:r>
      <w:r w:rsidRPr="00253B03">
        <w:t xml:space="preserve"> </w:t>
      </w:r>
      <w:r>
        <w:t>significantly below the average. Of these providers, none statistically significantly improved their g</w:t>
      </w:r>
      <w:r w:rsidRPr="00E81419">
        <w:t xml:space="preserve">raduate </w:t>
      </w:r>
      <w:r w:rsidRPr="00253B03">
        <w:t xml:space="preserve">employment outcome </w:t>
      </w:r>
      <w:r>
        <w:t xml:space="preserve">relative to their long-term average. </w:t>
      </w:r>
    </w:p>
    <w:p w14:paraId="7842A2BC" w14:textId="77777777" w:rsidR="00881F96" w:rsidRDefault="00881F96" w:rsidP="00881F96">
      <w:pPr>
        <w:pStyle w:val="Caption"/>
      </w:pPr>
      <w:r w:rsidRPr="00516211">
        <w:t>Figure</w:t>
      </w:r>
      <w:r>
        <w:t xml:space="preserve"> 8.</w:t>
      </w:r>
      <w:r w:rsidRPr="00516211">
        <w:t xml:space="preserve"> </w:t>
      </w:r>
      <w:r w:rsidRPr="00FC67B0">
        <w:t xml:space="preserve">Graduate employment </w:t>
      </w:r>
      <w:r w:rsidRPr="009C7D32">
        <w:t>outcomes</w:t>
      </w:r>
      <w:r w:rsidRPr="00FE45A8">
        <w:t xml:space="preserve"> (</w:t>
      </w:r>
      <w:r w:rsidRPr="00F371A3">
        <w:t>proportion of Education students employed as teachers four months after graduation)</w:t>
      </w:r>
      <w:r w:rsidRPr="009C7D32">
        <w:t xml:space="preserve"> </w:t>
      </w:r>
      <w:r w:rsidRPr="00FE45A8">
        <w:t>in</w:t>
      </w:r>
      <w:r>
        <w:t xml:space="preserve"> 2020 compared to their</w:t>
      </w:r>
      <w:r w:rsidRPr="00516211">
        <w:t xml:space="preserve"> pooled prior</w:t>
      </w:r>
      <w:r>
        <w:t xml:space="preserve"> g</w:t>
      </w:r>
      <w:r w:rsidRPr="00FC67B0">
        <w:t>raduate employment outcomes</w:t>
      </w:r>
      <w:r w:rsidRPr="00516211">
        <w:t xml:space="preserve"> (20</w:t>
      </w:r>
      <w:r>
        <w:t>16</w:t>
      </w:r>
      <w:r w:rsidRPr="00516211">
        <w:t xml:space="preserve"> to 20</w:t>
      </w:r>
      <w:r>
        <w:t>19</w:t>
      </w:r>
      <w:r w:rsidRPr="00516211">
        <w:t>)</w:t>
      </w:r>
      <w:r>
        <w:t>, by higher education provider (HEP)</w:t>
      </w:r>
      <w:r w:rsidRPr="00516211">
        <w:t>.</w:t>
      </w:r>
    </w:p>
    <w:p w14:paraId="2F69F56B" w14:textId="77777777" w:rsidR="00881F96" w:rsidRDefault="00881F96" w:rsidP="00881F96">
      <w:pPr>
        <w:spacing w:after="0"/>
      </w:pPr>
      <w:r>
        <w:rPr>
          <w:noProof/>
        </w:rPr>
        <w:drawing>
          <wp:inline distT="0" distB="0" distL="0" distR="0" wp14:anchorId="4C5B4B65" wp14:editId="65683456">
            <wp:extent cx="6264390" cy="303276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09039" cy="3054376"/>
                    </a:xfrm>
                    <a:prstGeom prst="rect">
                      <a:avLst/>
                    </a:prstGeom>
                    <a:noFill/>
                  </pic:spPr>
                </pic:pic>
              </a:graphicData>
            </a:graphic>
          </wp:inline>
        </w:drawing>
      </w:r>
    </w:p>
    <w:p w14:paraId="0EF8CBBD" w14:textId="77777777" w:rsidR="00881F96" w:rsidRPr="004B73FC" w:rsidRDefault="00881F96" w:rsidP="00881F96">
      <w:pPr>
        <w:pStyle w:val="Footnote"/>
      </w:pPr>
      <w:r w:rsidRPr="008C0F3A">
        <w:rPr>
          <w:i/>
          <w:iCs/>
        </w:rPr>
        <w:t>Source:</w:t>
      </w:r>
      <w:r w:rsidRPr="004B73FC">
        <w:t xml:space="preserve"> Graduate Outcomes Survey (qilt.edu.au),</w:t>
      </w:r>
      <w:r>
        <w:t xml:space="preserve"> </w:t>
      </w:r>
      <w:r w:rsidRPr="004B73FC">
        <w:t>Department</w:t>
      </w:r>
      <w:r>
        <w:t xml:space="preserve"> </w:t>
      </w:r>
      <w:r w:rsidRPr="004B73FC">
        <w:t>of</w:t>
      </w:r>
      <w:r>
        <w:t xml:space="preserve"> </w:t>
      </w:r>
      <w:r w:rsidRPr="004B73FC">
        <w:t>Education,</w:t>
      </w:r>
      <w:r>
        <w:t xml:space="preserve"> </w:t>
      </w:r>
      <w:r w:rsidRPr="004B73FC">
        <w:t>2016</w:t>
      </w:r>
      <w:r>
        <w:t xml:space="preserve"> </w:t>
      </w:r>
      <w:r w:rsidRPr="004B73FC">
        <w:t>-</w:t>
      </w:r>
      <w:r>
        <w:t xml:space="preserve"> </w:t>
      </w:r>
      <w:r w:rsidRPr="004B73FC">
        <w:t>2020</w:t>
      </w:r>
    </w:p>
    <w:p w14:paraId="79ACB82C" w14:textId="77777777" w:rsidR="00881F96" w:rsidRPr="008C0F3A" w:rsidRDefault="00881F96" w:rsidP="00881F96">
      <w:pPr>
        <w:pStyle w:val="Footnote"/>
        <w:rPr>
          <w:i/>
          <w:iCs/>
        </w:rPr>
      </w:pPr>
      <w:r w:rsidRPr="008C0F3A">
        <w:rPr>
          <w:i/>
          <w:iCs/>
        </w:rPr>
        <w:t xml:space="preserve">Note: </w:t>
      </w:r>
    </w:p>
    <w:p w14:paraId="722257C2" w14:textId="77777777" w:rsidR="00881F96" w:rsidRPr="00881F96" w:rsidRDefault="00881F96" w:rsidP="00881F96">
      <w:pPr>
        <w:pStyle w:val="Footnote"/>
        <w:numPr>
          <w:ilvl w:val="0"/>
          <w:numId w:val="19"/>
        </w:numPr>
      </w:pPr>
      <w:r w:rsidRPr="00881F96">
        <w:t>Dark grey shaded bars indicate higher education providers with one of these data limitations: had less than 26 domestic Education students enrolled and/or had insufficient data to construct a long-term average across four years (between 2017 to 2020).</w:t>
      </w:r>
    </w:p>
    <w:p w14:paraId="2A8D9D59" w14:textId="77777777" w:rsidR="00881F96" w:rsidRPr="00881F96" w:rsidRDefault="00881F96" w:rsidP="00881F96">
      <w:pPr>
        <w:pStyle w:val="Footnote"/>
        <w:numPr>
          <w:ilvl w:val="0"/>
          <w:numId w:val="19"/>
        </w:numPr>
      </w:pPr>
      <w:r w:rsidRPr="00881F96">
        <w:t>Confidence intervals are calculated using the Agresti-Coull method with finite population corrections.</w:t>
      </w:r>
    </w:p>
    <w:p w14:paraId="15DA1A27" w14:textId="77777777" w:rsidR="00881F96" w:rsidRPr="00881F96" w:rsidRDefault="00881F96" w:rsidP="00881F96">
      <w:pPr>
        <w:pStyle w:val="Footnote"/>
        <w:numPr>
          <w:ilvl w:val="0"/>
          <w:numId w:val="19"/>
        </w:numPr>
      </w:pPr>
      <w:r w:rsidRPr="00881F96">
        <w:t>Blue bars represent a statistically significant improvement against the long-term average. Yellow bars represent a statistically significant deterioration against the long-term average.</w:t>
      </w:r>
    </w:p>
    <w:p w14:paraId="6BACBE56" w14:textId="5826FEFF" w:rsidR="00774C60" w:rsidRPr="00ED3BAB" w:rsidRDefault="00774C60" w:rsidP="0093075C">
      <w:pPr>
        <w:pStyle w:val="Footnote"/>
        <w:numPr>
          <w:ilvl w:val="0"/>
          <w:numId w:val="15"/>
        </w:numPr>
      </w:pPr>
      <w:r>
        <w:br w:type="page"/>
      </w:r>
    </w:p>
    <w:p w14:paraId="71BD4EA5" w14:textId="09FCB874" w:rsidR="00F52D89" w:rsidRDefault="00CF377B" w:rsidP="0093075C">
      <w:pPr>
        <w:pStyle w:val="Heading3"/>
      </w:pPr>
      <w:bookmarkStart w:id="18" w:name="_Toc126942689"/>
      <w:r w:rsidRPr="00671056">
        <w:lastRenderedPageBreak/>
        <w:t>References</w:t>
      </w:r>
      <w:bookmarkEnd w:id="5"/>
      <w:bookmarkEnd w:id="6"/>
      <w:bookmarkEnd w:id="18"/>
    </w:p>
    <w:p w14:paraId="06F1DF7E" w14:textId="77777777" w:rsidR="004D7927" w:rsidRPr="003E18F1" w:rsidRDefault="004D7927" w:rsidP="004D7927">
      <w:pPr>
        <w:pStyle w:val="References"/>
      </w:pPr>
      <w:r w:rsidRPr="003E18F1">
        <w:t xml:space="preserve">Agresti, A., &amp; Coull, B. A. (1998). Approximate is Better than “Exact” for Interval Estimation of Binomial Proportions. </w:t>
      </w:r>
      <w:r w:rsidRPr="003E18F1">
        <w:rPr>
          <w:i/>
          <w:iCs/>
        </w:rPr>
        <w:t>The American Statistician</w:t>
      </w:r>
      <w:r w:rsidRPr="003E18F1">
        <w:t>, 52, pp. 119-126.</w:t>
      </w:r>
    </w:p>
    <w:p w14:paraId="0817A5E4" w14:textId="77777777" w:rsidR="004D7927" w:rsidRPr="003E18F1" w:rsidRDefault="004D7927" w:rsidP="004D7927">
      <w:pPr>
        <w:pStyle w:val="References"/>
      </w:pPr>
      <w:r w:rsidRPr="003E18F1">
        <w:t xml:space="preserve">AITSL. (2011; revised 2018). </w:t>
      </w:r>
      <w:r w:rsidRPr="003E18F1">
        <w:rPr>
          <w:i/>
          <w:iCs/>
        </w:rPr>
        <w:t>Australian professional standards for teachers</w:t>
      </w:r>
      <w:r w:rsidRPr="003E18F1">
        <w:t xml:space="preserve">. </w:t>
      </w:r>
      <w:hyperlink r:id="rId31" w:history="1">
        <w:r w:rsidRPr="003E18F1">
          <w:rPr>
            <w:rStyle w:val="Hyperlink"/>
          </w:rPr>
          <w:t>https://www.aitsl.edu.au/teach/standards</w:t>
        </w:r>
      </w:hyperlink>
      <w:r w:rsidRPr="003E18F1">
        <w:t xml:space="preserve"> </w:t>
      </w:r>
    </w:p>
    <w:p w14:paraId="0E43C963" w14:textId="77777777" w:rsidR="004D7927" w:rsidRPr="003E18F1" w:rsidRDefault="004D7927" w:rsidP="004D7927">
      <w:pPr>
        <w:pStyle w:val="References"/>
      </w:pPr>
      <w:r w:rsidRPr="003E18F1">
        <w:t xml:space="preserve">AITSL. (2019). </w:t>
      </w:r>
      <w:r w:rsidRPr="003E18F1">
        <w:rPr>
          <w:i/>
          <w:iCs/>
        </w:rPr>
        <w:t>Initial teacher education: Data report 2019</w:t>
      </w:r>
      <w:r w:rsidRPr="003E18F1">
        <w:t>. Australian Institute for Teaching and School Leadership.</w:t>
      </w:r>
    </w:p>
    <w:p w14:paraId="59919F39" w14:textId="77777777" w:rsidR="004D7927" w:rsidRPr="003E18F1" w:rsidRDefault="004D7927" w:rsidP="004D7927">
      <w:pPr>
        <w:pStyle w:val="References"/>
        <w:rPr>
          <w:rStyle w:val="Hyperlink"/>
          <w:lang w:val="en-US"/>
        </w:rPr>
      </w:pPr>
      <w:r w:rsidRPr="003E18F1">
        <w:t xml:space="preserve">AITSL. (2022a). </w:t>
      </w:r>
      <w:r w:rsidRPr="003E18F1">
        <w:rPr>
          <w:i/>
          <w:iCs/>
          <w:lang w:val="en-US"/>
        </w:rPr>
        <w:t>Accreditation of initial teacher education programs in Australia: standards and procedures.</w:t>
      </w:r>
      <w:r w:rsidRPr="003E18F1">
        <w:rPr>
          <w:lang w:val="en-US"/>
        </w:rPr>
        <w:t xml:space="preserve"> </w:t>
      </w:r>
      <w:hyperlink r:id="rId32" w:history="1">
        <w:r w:rsidRPr="003E18F1">
          <w:rPr>
            <w:rStyle w:val="Hyperlink"/>
            <w:lang w:val="en-US"/>
          </w:rPr>
          <w:t>https://www.aitsl.edu.au/docs/default-source/national-policy-framework/accreditation-of-initial-teacher-education-programs-in-australia.pdf?sfvrsn=e87cff3c_48</w:t>
        </w:r>
      </w:hyperlink>
    </w:p>
    <w:p w14:paraId="2C13C788" w14:textId="0C798458" w:rsidR="001C23BB" w:rsidRDefault="001C23BB" w:rsidP="004D7927">
      <w:pPr>
        <w:pStyle w:val="References"/>
        <w:rPr>
          <w:lang w:val="en-US"/>
        </w:rPr>
      </w:pPr>
      <w:r w:rsidRPr="001C23BB">
        <w:rPr>
          <w:lang w:val="en-US"/>
        </w:rPr>
        <w:t>Allen, J. M., Howells, K., &amp; Radford, R. (2013). A ‘partnership in teaching excellence’: Ways in which one school–university partnership has fostered teacher development</w:t>
      </w:r>
      <w:r>
        <w:rPr>
          <w:lang w:val="en-US"/>
        </w:rPr>
        <w:t>.</w:t>
      </w:r>
      <w:r w:rsidRPr="001C23BB">
        <w:rPr>
          <w:lang w:val="en-US"/>
        </w:rPr>
        <w:t xml:space="preserve"> </w:t>
      </w:r>
      <w:r w:rsidRPr="001C23BB">
        <w:rPr>
          <w:i/>
          <w:iCs/>
          <w:lang w:val="en-US"/>
        </w:rPr>
        <w:t>Asia-Pacific Journal of Teacher Education, 41</w:t>
      </w:r>
      <w:r w:rsidRPr="001C23BB">
        <w:rPr>
          <w:lang w:val="en-US"/>
        </w:rPr>
        <w:t xml:space="preserve">(1), 99-110. </w:t>
      </w:r>
      <w:hyperlink r:id="rId33" w:history="1">
        <w:r w:rsidRPr="00C74E20">
          <w:rPr>
            <w:rStyle w:val="Hyperlink"/>
            <w:lang w:val="en-US"/>
          </w:rPr>
          <w:t>https://doi.org/10.1080/1359866X.2012.753988</w:t>
        </w:r>
      </w:hyperlink>
      <w:r>
        <w:rPr>
          <w:lang w:val="en-US"/>
        </w:rPr>
        <w:t xml:space="preserve"> </w:t>
      </w:r>
    </w:p>
    <w:p w14:paraId="1832781C" w14:textId="1AFB0C4E" w:rsidR="004D7927" w:rsidRPr="003E18F1" w:rsidRDefault="004D7927" w:rsidP="004D7927">
      <w:pPr>
        <w:pStyle w:val="References"/>
        <w:rPr>
          <w:lang w:val="en-US"/>
        </w:rPr>
      </w:pPr>
      <w:r w:rsidRPr="003E18F1">
        <w:rPr>
          <w:lang w:val="en-US"/>
        </w:rPr>
        <w:t xml:space="preserve">Australian Government. (2022a). </w:t>
      </w:r>
      <w:r w:rsidRPr="003E18F1">
        <w:rPr>
          <w:i/>
          <w:iCs/>
          <w:lang w:val="en-US"/>
        </w:rPr>
        <w:t>Next Steps: Report of the Quality Initial Teacher Education Review</w:t>
      </w:r>
      <w:r w:rsidRPr="003E18F1">
        <w:rPr>
          <w:lang w:val="en-US"/>
        </w:rPr>
        <w:t xml:space="preserve">. </w:t>
      </w:r>
      <w:hyperlink r:id="rId34" w:history="1">
        <w:r w:rsidRPr="003E18F1">
          <w:rPr>
            <w:rStyle w:val="Hyperlink"/>
            <w:lang w:val="en-US"/>
          </w:rPr>
          <w:t>https://www.education.gov.au/quality-initial-teacher-education-review/resources/next-steps-report-quality-initial-teacher-education-review</w:t>
        </w:r>
      </w:hyperlink>
      <w:r w:rsidRPr="003E18F1">
        <w:rPr>
          <w:lang w:val="en-US"/>
        </w:rPr>
        <w:t xml:space="preserve"> </w:t>
      </w:r>
    </w:p>
    <w:p w14:paraId="6336793A" w14:textId="77777777" w:rsidR="004D7927" w:rsidRPr="003E18F1" w:rsidRDefault="004D7927" w:rsidP="004D7927">
      <w:pPr>
        <w:pStyle w:val="References"/>
      </w:pPr>
      <w:r w:rsidRPr="003E18F1">
        <w:t xml:space="preserve">Australian Government. (2022b). </w:t>
      </w:r>
      <w:r w:rsidRPr="003E18F1">
        <w:rPr>
          <w:i/>
          <w:iCs/>
        </w:rPr>
        <w:t>Issues paper: Teacher workforce shortages</w:t>
      </w:r>
      <w:r w:rsidRPr="003E18F1">
        <w:t xml:space="preserve">. </w:t>
      </w:r>
      <w:hyperlink r:id="rId35" w:history="1">
        <w:r w:rsidRPr="003E18F1">
          <w:rPr>
            <w:rStyle w:val="Hyperlink"/>
          </w:rPr>
          <w:t>https://ministers.education.gov.au/sites/default/files/documents/Teacher%20Workforce%20Shortages%20-%20Issues%20paper.pdf</w:t>
        </w:r>
      </w:hyperlink>
      <w:r w:rsidRPr="003E18F1">
        <w:t xml:space="preserve">    </w:t>
      </w:r>
    </w:p>
    <w:p w14:paraId="3BD5829B" w14:textId="77777777" w:rsidR="004D7927" w:rsidRPr="003E18F1" w:rsidRDefault="004D7927" w:rsidP="004D7927">
      <w:pPr>
        <w:pStyle w:val="References"/>
        <w:rPr>
          <w:color w:val="0563C1"/>
          <w:u w:val="single"/>
        </w:rPr>
      </w:pPr>
      <w:r w:rsidRPr="003E18F1">
        <w:t xml:space="preserve">Bahr, N., &amp; Mellor, S. (2016). </w:t>
      </w:r>
      <w:r w:rsidRPr="003E18F1">
        <w:rPr>
          <w:i/>
          <w:iCs/>
        </w:rPr>
        <w:t>Australian Education Review: Building quality in teaching and teacher education</w:t>
      </w:r>
      <w:r w:rsidRPr="003E18F1">
        <w:t xml:space="preserve">. Australian Council for Educational Research. </w:t>
      </w:r>
      <w:hyperlink r:id="rId36" w:history="1">
        <w:r w:rsidRPr="003E18F1">
          <w:rPr>
            <w:color w:val="0563C1"/>
            <w:u w:val="single"/>
          </w:rPr>
          <w:t>https://research.acer.edu.au/aer/15/</w:t>
        </w:r>
      </w:hyperlink>
    </w:p>
    <w:p w14:paraId="09005AAA" w14:textId="2028AFCC" w:rsidR="004D7927" w:rsidRPr="003E18F1" w:rsidRDefault="004D7927" w:rsidP="004D7927">
      <w:pPr>
        <w:pStyle w:val="References"/>
        <w:rPr>
          <w:rFonts w:cs="Arial"/>
        </w:rPr>
      </w:pPr>
      <w:r w:rsidRPr="003E18F1">
        <w:rPr>
          <w:rFonts w:cs="Arial"/>
        </w:rPr>
        <w:t xml:space="preserve">Bastian, K., Sun, M., Lynn, H. (2017). </w:t>
      </w:r>
      <w:r w:rsidRPr="003E18F1">
        <w:rPr>
          <w:rFonts w:cs="Arial"/>
          <w:i/>
          <w:iCs/>
        </w:rPr>
        <w:t>What Do Graduate Surveys Tell Us About Teacher Preparation Quality?</w:t>
      </w:r>
      <w:r w:rsidRPr="003E18F1">
        <w:rPr>
          <w:rFonts w:cs="Arial"/>
        </w:rPr>
        <w:t xml:space="preserve"> </w:t>
      </w:r>
      <w:hyperlink r:id="rId37" w:history="1">
        <w:r w:rsidR="00612ABA" w:rsidRPr="00C74E20">
          <w:rPr>
            <w:rStyle w:val="Hyperlink"/>
            <w:rFonts w:cs="Arial"/>
          </w:rPr>
          <w:t>https://www.education.uw.edu/epal/wp-content/uploads/2017/10/1.-Bastian_-Sun_-Lynn_-2017_-What-Do-Graduate-Surveys-Tell-Us-.pdf</w:t>
        </w:r>
      </w:hyperlink>
      <w:r w:rsidR="00612ABA">
        <w:rPr>
          <w:rFonts w:cs="Arial"/>
        </w:rPr>
        <w:t xml:space="preserve"> </w:t>
      </w:r>
    </w:p>
    <w:p w14:paraId="6DA2E3E0" w14:textId="2FB624CE" w:rsidR="004D7927" w:rsidRPr="003E18F1" w:rsidRDefault="004D7927" w:rsidP="004D7927">
      <w:pPr>
        <w:pStyle w:val="References"/>
        <w:rPr>
          <w:rFonts w:cs="Arial"/>
        </w:rPr>
      </w:pPr>
      <w:r w:rsidRPr="003E18F1">
        <w:rPr>
          <w:rFonts w:cs="Arial"/>
        </w:rPr>
        <w:t xml:space="preserve">Burn, K., &amp; Mutton, T. (2015). A review of ‘research-informed clinical practice’ in Initial Teacher Education. Oxford Review of Education, 41(2), 217-233. </w:t>
      </w:r>
      <w:hyperlink r:id="rId38" w:history="1">
        <w:r w:rsidR="00612ABA" w:rsidRPr="00C74E20">
          <w:rPr>
            <w:rStyle w:val="Hyperlink"/>
            <w:rFonts w:cs="Arial"/>
          </w:rPr>
          <w:t>https://doi.org/10.1080/03054985.2015.1020104</w:t>
        </w:r>
      </w:hyperlink>
      <w:r w:rsidR="00612ABA">
        <w:rPr>
          <w:rFonts w:cs="Arial"/>
        </w:rPr>
        <w:t xml:space="preserve"> </w:t>
      </w:r>
    </w:p>
    <w:p w14:paraId="1D0D0A74" w14:textId="77777777" w:rsidR="004D7927" w:rsidRPr="003E18F1" w:rsidRDefault="004D7927" w:rsidP="004D7927">
      <w:pPr>
        <w:pStyle w:val="References"/>
      </w:pPr>
      <w:r w:rsidRPr="003E18F1">
        <w:t xml:space="preserve">Burroughs, N., Gardner, </w:t>
      </w:r>
      <w:proofErr w:type="gramStart"/>
      <w:r w:rsidRPr="003E18F1">
        <w:t>J.,·</w:t>
      </w:r>
      <w:proofErr w:type="gramEnd"/>
      <w:r w:rsidRPr="003E18F1">
        <w:t xml:space="preserve"> Lee, Y., Guo, S., Touitou, I., Jansen, K., &amp; Schmidt, W. (2019). A review of the literature on teacher effectiveness and student outcomes. In Teaching for excellence and equity. IEA Research for Education (Vol 6). Springer. </w:t>
      </w:r>
      <w:hyperlink r:id="rId39" w:history="1">
        <w:r w:rsidRPr="003E18F1">
          <w:rPr>
            <w:rStyle w:val="Hyperlink"/>
          </w:rPr>
          <w:t>https://doi.org/10.1007/978-3-030-16151-4_2</w:t>
        </w:r>
      </w:hyperlink>
      <w:r w:rsidRPr="003E18F1">
        <w:t xml:space="preserve"> </w:t>
      </w:r>
    </w:p>
    <w:p w14:paraId="1856C435" w14:textId="77777777" w:rsidR="004D7927" w:rsidRPr="003E18F1" w:rsidRDefault="004D7927" w:rsidP="004D7927">
      <w:pPr>
        <w:pStyle w:val="References"/>
      </w:pPr>
      <w:r w:rsidRPr="003E18F1">
        <w:t xml:space="preserve">Carroll, D., Parasnis, J., &amp; Tani, M. (2018, December). </w:t>
      </w:r>
      <w:r w:rsidRPr="003E18F1">
        <w:rPr>
          <w:i/>
          <w:iCs/>
        </w:rPr>
        <w:t xml:space="preserve">Teaching, </w:t>
      </w:r>
      <w:proofErr w:type="gramStart"/>
      <w:r w:rsidRPr="003E18F1">
        <w:rPr>
          <w:i/>
          <w:iCs/>
        </w:rPr>
        <w:t>gender</w:t>
      </w:r>
      <w:proofErr w:type="gramEnd"/>
      <w:r w:rsidRPr="003E18F1">
        <w:rPr>
          <w:i/>
          <w:iCs/>
        </w:rPr>
        <w:t xml:space="preserve"> and labour market incentives</w:t>
      </w:r>
      <w:r w:rsidRPr="003E18F1">
        <w:t xml:space="preserve">. (SSRN Working Paper No. 3318801). </w:t>
      </w:r>
      <w:hyperlink r:id="rId40" w:history="1">
        <w:r w:rsidRPr="003E18F1">
          <w:rPr>
            <w:rStyle w:val="Hyperlink"/>
          </w:rPr>
          <w:t>https://doi.org/10.2139/ssrn.3318801</w:t>
        </w:r>
      </w:hyperlink>
      <w:r w:rsidRPr="003E18F1">
        <w:t xml:space="preserve"> </w:t>
      </w:r>
    </w:p>
    <w:p w14:paraId="53B1E458" w14:textId="77777777" w:rsidR="004D7927" w:rsidRPr="003E18F1" w:rsidRDefault="004D7927" w:rsidP="004D7927">
      <w:pPr>
        <w:pStyle w:val="References"/>
      </w:pPr>
      <w:proofErr w:type="spellStart"/>
      <w:r w:rsidRPr="003E18F1">
        <w:t>Coaldrake</w:t>
      </w:r>
      <w:proofErr w:type="spellEnd"/>
      <w:r w:rsidRPr="003E18F1">
        <w:t xml:space="preserve">, P., &amp; Stedman, L. (2016). </w:t>
      </w:r>
      <w:r w:rsidRPr="003E18F1">
        <w:rPr>
          <w:i/>
          <w:iCs/>
        </w:rPr>
        <w:t xml:space="preserve">Raising the stakes: gambling with the future of universities </w:t>
      </w:r>
      <w:r w:rsidRPr="003E18F1">
        <w:t>(2</w:t>
      </w:r>
      <w:r w:rsidRPr="003E18F1">
        <w:rPr>
          <w:vertAlign w:val="superscript"/>
        </w:rPr>
        <w:t>nd</w:t>
      </w:r>
      <w:r w:rsidRPr="003E18F1">
        <w:t xml:space="preserve"> ed.). University of Queensland Press. </w:t>
      </w:r>
    </w:p>
    <w:p w14:paraId="6A91DB8F" w14:textId="77777777" w:rsidR="004D7927" w:rsidRPr="003E18F1" w:rsidRDefault="004D7927" w:rsidP="004D7927">
      <w:pPr>
        <w:pStyle w:val="References"/>
      </w:pPr>
      <w:r w:rsidRPr="003E18F1">
        <w:t>Cochran-Smith, M., Stringer Keefe, E., &amp; Smith, R. J. (2021). A study in contrasts: Multiple-case perspectives on teacher preparation at new graduate schools of education. </w:t>
      </w:r>
      <w:r w:rsidRPr="003E18F1">
        <w:rPr>
          <w:i/>
          <w:iCs/>
        </w:rPr>
        <w:t>The New Educator, 17</w:t>
      </w:r>
      <w:r w:rsidRPr="003E18F1">
        <w:t xml:space="preserve">(1), 96-118. </w:t>
      </w:r>
      <w:hyperlink r:id="rId41" w:history="1">
        <w:r w:rsidRPr="003E18F1">
          <w:rPr>
            <w:rStyle w:val="Hyperlink"/>
          </w:rPr>
          <w:t>https://doi.org/10.1080/1547688X.2020.1822485</w:t>
        </w:r>
      </w:hyperlink>
      <w:r w:rsidRPr="003E18F1">
        <w:t xml:space="preserve">    </w:t>
      </w:r>
    </w:p>
    <w:p w14:paraId="78A0E3BF" w14:textId="77777777" w:rsidR="004D7927" w:rsidRPr="003E18F1" w:rsidRDefault="004D7927" w:rsidP="004D7927">
      <w:pPr>
        <w:pStyle w:val="References"/>
        <w:rPr>
          <w:rFonts w:cs="Arial"/>
          <w:szCs w:val="20"/>
        </w:rPr>
      </w:pPr>
      <w:r w:rsidRPr="003E18F1">
        <w:rPr>
          <w:rFonts w:cs="Arial"/>
          <w:szCs w:val="20"/>
        </w:rPr>
        <w:t xml:space="preserve">Darling-Hammond, L. (2006). Constructing 21st-century teacher education. </w:t>
      </w:r>
      <w:r w:rsidRPr="003E18F1">
        <w:rPr>
          <w:rFonts w:cs="Arial"/>
          <w:i/>
          <w:iCs/>
          <w:szCs w:val="20"/>
        </w:rPr>
        <w:t>Journal of Teacher Education, 57</w:t>
      </w:r>
      <w:r w:rsidRPr="003E18F1">
        <w:rPr>
          <w:rFonts w:cs="Arial"/>
          <w:szCs w:val="20"/>
        </w:rPr>
        <w:t xml:space="preserve">(3), 300-314. </w:t>
      </w:r>
      <w:hyperlink r:id="rId42" w:history="1">
        <w:r w:rsidRPr="003E18F1">
          <w:rPr>
            <w:rStyle w:val="Hyperlink"/>
            <w:rFonts w:eastAsia="Arial" w:cs="Arial"/>
            <w:szCs w:val="20"/>
          </w:rPr>
          <w:t>https://doi.org/10.1177/0022487105285962</w:t>
        </w:r>
      </w:hyperlink>
    </w:p>
    <w:p w14:paraId="4F4E1EAE" w14:textId="77777777" w:rsidR="004D7927" w:rsidRPr="003E18F1" w:rsidRDefault="004D7927" w:rsidP="004D7927">
      <w:pPr>
        <w:pStyle w:val="References"/>
        <w:rPr>
          <w:lang w:val="en-US"/>
        </w:rPr>
      </w:pPr>
      <w:r w:rsidRPr="003E18F1">
        <w:rPr>
          <w:lang w:val="en-US"/>
        </w:rPr>
        <w:t xml:space="preserve">Darling-Hammond, L., Saunders, R., Podolsky, A., Kini, T., Espinoza, D., Hyler, M., &amp; Carver-Thomas, D. (2019). </w:t>
      </w:r>
      <w:r w:rsidRPr="003E18F1">
        <w:rPr>
          <w:i/>
          <w:iCs/>
          <w:lang w:val="en-US"/>
        </w:rPr>
        <w:t>Best practices to recruit and retain well-prepared teachers in all classrooms.</w:t>
      </w:r>
      <w:r w:rsidRPr="003E18F1">
        <w:rPr>
          <w:lang w:val="en-US"/>
        </w:rPr>
        <w:t xml:space="preserve"> Learning Policy Institute. </w:t>
      </w:r>
      <w:hyperlink r:id="rId43" w:history="1">
        <w:r w:rsidRPr="003E18F1">
          <w:rPr>
            <w:rStyle w:val="Hyperlink"/>
            <w:lang w:val="en-US"/>
          </w:rPr>
          <w:t>https://learningpolicyinstitute.org/sites/default/files/product-files/Leandro_Best_Practices_Recruit_Retain_REPORT.pdf</w:t>
        </w:r>
      </w:hyperlink>
      <w:r w:rsidRPr="003E18F1">
        <w:rPr>
          <w:lang w:val="en-US"/>
        </w:rPr>
        <w:t xml:space="preserve"> </w:t>
      </w:r>
    </w:p>
    <w:p w14:paraId="7455C7A3" w14:textId="12DCBE6E" w:rsidR="00F15FEA" w:rsidRDefault="00F15FEA" w:rsidP="004D7927">
      <w:pPr>
        <w:pStyle w:val="References"/>
        <w:rPr>
          <w:rFonts w:cs="Arial"/>
          <w:szCs w:val="20"/>
        </w:rPr>
      </w:pPr>
      <w:r w:rsidRPr="00F15FEA">
        <w:rPr>
          <w:rFonts w:cs="Arial"/>
          <w:szCs w:val="20"/>
        </w:rPr>
        <w:t xml:space="preserve">Derrington, M. L., &amp; Campbell, J. W. (2018). High-stakes teacher evaluation policy: US principals’ perspectives and variations in practice. </w:t>
      </w:r>
      <w:r w:rsidRPr="00F15FEA">
        <w:rPr>
          <w:rFonts w:cs="Arial"/>
          <w:i/>
          <w:iCs/>
          <w:szCs w:val="20"/>
        </w:rPr>
        <w:t>Teachers and Teaching, 24</w:t>
      </w:r>
      <w:r w:rsidRPr="00F15FEA">
        <w:rPr>
          <w:rFonts w:cs="Arial"/>
          <w:szCs w:val="20"/>
        </w:rPr>
        <w:t xml:space="preserve">(3), 246–262.  </w:t>
      </w:r>
      <w:hyperlink r:id="rId44" w:history="1">
        <w:r w:rsidRPr="00C74E20">
          <w:rPr>
            <w:rStyle w:val="Hyperlink"/>
            <w:rFonts w:cs="Arial"/>
            <w:szCs w:val="20"/>
          </w:rPr>
          <w:t>https://doi.org/10.1080/13540602.2017.1421164</w:t>
        </w:r>
      </w:hyperlink>
      <w:r>
        <w:rPr>
          <w:rFonts w:cs="Arial"/>
          <w:szCs w:val="20"/>
        </w:rPr>
        <w:t xml:space="preserve"> </w:t>
      </w:r>
      <w:r w:rsidRPr="00F15FEA">
        <w:rPr>
          <w:rFonts w:cs="Arial"/>
          <w:szCs w:val="20"/>
        </w:rPr>
        <w:t xml:space="preserve">  </w:t>
      </w:r>
    </w:p>
    <w:p w14:paraId="1432507F" w14:textId="6F88F617" w:rsidR="004D7927" w:rsidRPr="003E18F1" w:rsidRDefault="004D7927" w:rsidP="004D7927">
      <w:pPr>
        <w:pStyle w:val="References"/>
        <w:rPr>
          <w:rFonts w:cs="Arial"/>
          <w:szCs w:val="20"/>
        </w:rPr>
      </w:pPr>
      <w:r w:rsidRPr="003E18F1">
        <w:rPr>
          <w:rFonts w:cs="Arial"/>
          <w:szCs w:val="20"/>
        </w:rPr>
        <w:t xml:space="preserve">Dunst, C. J., Hamby, D. W., Howse, R. B., Wilkie, H., &amp; Annas, K. (2019). </w:t>
      </w:r>
      <w:proofErr w:type="spellStart"/>
      <w:r w:rsidRPr="003E18F1">
        <w:rPr>
          <w:rFonts w:cs="Arial"/>
          <w:szCs w:val="20"/>
        </w:rPr>
        <w:t>Metasynthesis</w:t>
      </w:r>
      <w:proofErr w:type="spellEnd"/>
      <w:r w:rsidRPr="003E18F1">
        <w:rPr>
          <w:rFonts w:cs="Arial"/>
          <w:szCs w:val="20"/>
        </w:rPr>
        <w:t xml:space="preserve"> of preservice professional preparation and teacher education research studies. </w:t>
      </w:r>
      <w:r w:rsidRPr="003E18F1">
        <w:rPr>
          <w:rFonts w:cs="Arial"/>
          <w:i/>
          <w:iCs/>
          <w:szCs w:val="20"/>
        </w:rPr>
        <w:t>Education Sciences, 9</w:t>
      </w:r>
      <w:r w:rsidRPr="003E18F1">
        <w:rPr>
          <w:rFonts w:cs="Arial"/>
          <w:szCs w:val="20"/>
        </w:rPr>
        <w:t>(50), 1-36. doi:10.3390/educsci9010050</w:t>
      </w:r>
    </w:p>
    <w:p w14:paraId="6946E457" w14:textId="77777777" w:rsidR="004D7927" w:rsidRPr="003E18F1" w:rsidRDefault="004D7927" w:rsidP="004D7927">
      <w:pPr>
        <w:pStyle w:val="References"/>
        <w:rPr>
          <w:rFonts w:cs="Arial"/>
        </w:rPr>
      </w:pPr>
      <w:r w:rsidRPr="003E18F1">
        <w:rPr>
          <w:rFonts w:cs="Arial"/>
          <w:color w:val="000000"/>
        </w:rPr>
        <w:t xml:space="preserve">FTTS. (n.d.). </w:t>
      </w:r>
      <w:r w:rsidRPr="003E18F1">
        <w:rPr>
          <w:rFonts w:cs="Arial"/>
          <w:iCs/>
          <w:color w:val="000000"/>
        </w:rPr>
        <w:t>FTTS.</w:t>
      </w:r>
      <w:r w:rsidRPr="003E18F1">
        <w:rPr>
          <w:rFonts w:cs="Arial"/>
          <w:color w:val="000000"/>
        </w:rPr>
        <w:t xml:space="preserve"> </w:t>
      </w:r>
      <w:r w:rsidRPr="003E18F1">
        <w:rPr>
          <w:rFonts w:cs="Arial"/>
          <w:iCs/>
          <w:color w:val="000000"/>
        </w:rPr>
        <w:t>Finish Teacher Training Schools</w:t>
      </w:r>
      <w:r w:rsidRPr="003E18F1">
        <w:rPr>
          <w:rFonts w:cs="Arial"/>
          <w:color w:val="000000"/>
        </w:rPr>
        <w:t xml:space="preserve">. </w:t>
      </w:r>
      <w:hyperlink r:id="rId45" w:history="1">
        <w:r w:rsidRPr="003E18F1">
          <w:rPr>
            <w:rStyle w:val="Hyperlink"/>
            <w:rFonts w:cs="Arial"/>
          </w:rPr>
          <w:t>https://ftts.fi/</w:t>
        </w:r>
      </w:hyperlink>
      <w:r w:rsidRPr="003E18F1">
        <w:rPr>
          <w:rFonts w:cs="Arial"/>
          <w:color w:val="000000"/>
        </w:rPr>
        <w:t xml:space="preserve"> </w:t>
      </w:r>
      <w:r w:rsidRPr="003E18F1">
        <w:rPr>
          <w:rFonts w:cs="Arial"/>
        </w:rPr>
        <w:t xml:space="preserve"> </w:t>
      </w:r>
    </w:p>
    <w:p w14:paraId="5FB2C408" w14:textId="77777777" w:rsidR="004D7927" w:rsidRPr="003E18F1" w:rsidRDefault="004D7927" w:rsidP="004D7927">
      <w:pPr>
        <w:pStyle w:val="References"/>
        <w:rPr>
          <w:lang w:val="en-US"/>
        </w:rPr>
      </w:pPr>
      <w:r w:rsidRPr="003E18F1">
        <w:rPr>
          <w:lang w:val="en-US"/>
        </w:rPr>
        <w:lastRenderedPageBreak/>
        <w:t xml:space="preserve">Gershenson, S., Hart, C. M. D., Hyman, J., Lindsay, C. A., &amp; Papageorge, N. W. (2022). The Long-Run Impacts of Same-Race Teachers. </w:t>
      </w:r>
      <w:r w:rsidRPr="003E18F1">
        <w:rPr>
          <w:i/>
          <w:iCs/>
          <w:lang w:val="en-US"/>
        </w:rPr>
        <w:t>American Economic Journal: Economic Policy, 14</w:t>
      </w:r>
      <w:r w:rsidRPr="003E18F1">
        <w:rPr>
          <w:lang w:val="en-US"/>
        </w:rPr>
        <w:t xml:space="preserve">(4), 300–342. </w:t>
      </w:r>
      <w:hyperlink r:id="rId46" w:history="1">
        <w:r w:rsidRPr="003E18F1">
          <w:rPr>
            <w:rStyle w:val="Hyperlink"/>
            <w:lang w:val="en-US"/>
          </w:rPr>
          <w:t>https://doi.org/10.1257/pol.20190573</w:t>
        </w:r>
      </w:hyperlink>
      <w:r w:rsidRPr="003E18F1">
        <w:rPr>
          <w:lang w:val="en-US"/>
        </w:rPr>
        <w:t xml:space="preserve"> </w:t>
      </w:r>
    </w:p>
    <w:p w14:paraId="4F291AEC" w14:textId="3BA20CE8" w:rsidR="00624D7F" w:rsidRDefault="00624D7F" w:rsidP="004D7927">
      <w:pPr>
        <w:pStyle w:val="References"/>
        <w:rPr>
          <w:lang w:val="en-US"/>
        </w:rPr>
      </w:pPr>
      <w:r w:rsidRPr="00624D7F">
        <w:rPr>
          <w:lang w:val="en-US"/>
        </w:rPr>
        <w:t xml:space="preserve">Gordon, A. L.  (2020). Educate – mentor – nurture: Improving the transition from initial teacher education to qualified teacher status and beyond. </w:t>
      </w:r>
      <w:r w:rsidRPr="00624D7F">
        <w:rPr>
          <w:i/>
          <w:iCs/>
          <w:lang w:val="en-US"/>
        </w:rPr>
        <w:t>Journal of Education for Teaching, 46</w:t>
      </w:r>
      <w:r w:rsidRPr="00624D7F">
        <w:rPr>
          <w:lang w:val="en-US"/>
        </w:rPr>
        <w:t xml:space="preserve">(5), 664-675. </w:t>
      </w:r>
      <w:hyperlink r:id="rId47" w:history="1">
        <w:r w:rsidRPr="00C74E20">
          <w:rPr>
            <w:rStyle w:val="Hyperlink"/>
            <w:lang w:val="en-US"/>
          </w:rPr>
          <w:t>https://doi.org/10.1080/02607476.2020.1807296</w:t>
        </w:r>
      </w:hyperlink>
      <w:r>
        <w:rPr>
          <w:lang w:val="en-US"/>
        </w:rPr>
        <w:t xml:space="preserve"> </w:t>
      </w:r>
    </w:p>
    <w:p w14:paraId="68174C5B" w14:textId="687AEED4" w:rsidR="004D7927" w:rsidRPr="003E18F1" w:rsidRDefault="004D7927" w:rsidP="004D7927">
      <w:pPr>
        <w:pStyle w:val="References"/>
        <w:rPr>
          <w:lang w:val="en-US"/>
        </w:rPr>
      </w:pPr>
      <w:proofErr w:type="spellStart"/>
      <w:r w:rsidRPr="003E18F1">
        <w:rPr>
          <w:lang w:val="en-US"/>
        </w:rPr>
        <w:t>Gruppetta</w:t>
      </w:r>
      <w:proofErr w:type="spellEnd"/>
      <w:r w:rsidRPr="003E18F1">
        <w:rPr>
          <w:lang w:val="en-US"/>
        </w:rPr>
        <w:t xml:space="preserve">, M., Southgate, E., Ober, R., Cameron, L., Fischetti, J., </w:t>
      </w:r>
      <w:proofErr w:type="spellStart"/>
      <w:r w:rsidRPr="003E18F1">
        <w:rPr>
          <w:lang w:val="en-US"/>
        </w:rPr>
        <w:t>Thunig</w:t>
      </w:r>
      <w:proofErr w:type="spellEnd"/>
      <w:r w:rsidRPr="003E18F1">
        <w:rPr>
          <w:lang w:val="en-US"/>
        </w:rPr>
        <w:t xml:space="preserve">, A., Heath, T., Burns, K., &amp; Clifton, S.  (2018). </w:t>
      </w:r>
      <w:r w:rsidRPr="003E18F1">
        <w:rPr>
          <w:i/>
          <w:iCs/>
          <w:lang w:val="en-US"/>
        </w:rPr>
        <w:t>Yarning the way: The role of Indigenous education paraprofessionals in guiding the post-school transitions of Aboriginal and Torres Strait Islander youth.</w:t>
      </w:r>
      <w:r w:rsidRPr="003E18F1">
        <w:rPr>
          <w:lang w:val="en-US"/>
        </w:rPr>
        <w:t xml:space="preserve"> University of Newcastle, </w:t>
      </w:r>
      <w:hyperlink r:id="rId48" w:history="1">
        <w:r w:rsidRPr="003E18F1">
          <w:rPr>
            <w:rStyle w:val="Hyperlink"/>
            <w:lang w:val="en-US"/>
          </w:rPr>
          <w:t>https://www.ncsehe.edu.au/wp-content/uploads/2018/10/76_MareeGruppetta_Accessible.pdf</w:t>
        </w:r>
      </w:hyperlink>
      <w:r w:rsidRPr="003E18F1">
        <w:rPr>
          <w:lang w:val="en-US"/>
        </w:rPr>
        <w:t xml:space="preserve">. </w:t>
      </w:r>
    </w:p>
    <w:p w14:paraId="60D93D03" w14:textId="77777777" w:rsidR="004D7927" w:rsidRPr="003E18F1" w:rsidRDefault="004D7927" w:rsidP="004D7927">
      <w:pPr>
        <w:pStyle w:val="References"/>
        <w:rPr>
          <w:rFonts w:eastAsia="Times New Roman" w:cs="Arial"/>
          <w:lang w:eastAsia="en-AU"/>
        </w:rPr>
      </w:pPr>
      <w:r w:rsidRPr="003E18F1">
        <w:rPr>
          <w:rFonts w:eastAsia="Times New Roman" w:cs="Arial"/>
          <w:lang w:eastAsia="en-AU"/>
        </w:rPr>
        <w:t xml:space="preserve">Hattie, J. (2008). </w:t>
      </w:r>
      <w:r w:rsidRPr="003E18F1">
        <w:rPr>
          <w:rFonts w:eastAsia="Times New Roman" w:cs="Arial"/>
          <w:i/>
          <w:lang w:eastAsia="en-AU"/>
        </w:rPr>
        <w:t>Visible learnings: A synthesis of over 800 meta-analyses relating to achievement</w:t>
      </w:r>
      <w:r w:rsidRPr="003E18F1">
        <w:rPr>
          <w:rFonts w:eastAsia="Times New Roman" w:cs="Arial"/>
          <w:lang w:eastAsia="en-AU"/>
        </w:rPr>
        <w:t xml:space="preserve">. Routledge. </w:t>
      </w:r>
    </w:p>
    <w:p w14:paraId="090682E5" w14:textId="77777777" w:rsidR="004D7927" w:rsidRPr="003E18F1" w:rsidRDefault="004D7927" w:rsidP="004D7927">
      <w:pPr>
        <w:pStyle w:val="References"/>
        <w:rPr>
          <w:rFonts w:cs="Arial"/>
          <w:szCs w:val="20"/>
        </w:rPr>
      </w:pPr>
      <w:r w:rsidRPr="003E18F1">
        <w:rPr>
          <w:rFonts w:cs="Arial"/>
          <w:shd w:val="clear" w:color="auto" w:fill="FCFCFC"/>
        </w:rPr>
        <w:t xml:space="preserve">Hattie, J. (2012). </w:t>
      </w:r>
      <w:r w:rsidRPr="003E18F1">
        <w:rPr>
          <w:rFonts w:cs="Arial"/>
          <w:i/>
          <w:shd w:val="clear" w:color="auto" w:fill="FCFCFC"/>
        </w:rPr>
        <w:t>Visible classrooms for teachers: Maximizing impact on learning</w:t>
      </w:r>
      <w:r w:rsidRPr="003E18F1">
        <w:rPr>
          <w:rFonts w:cs="Arial"/>
          <w:shd w:val="clear" w:color="auto" w:fill="FCFCFC"/>
        </w:rPr>
        <w:t xml:space="preserve">. Routledge. </w:t>
      </w:r>
    </w:p>
    <w:p w14:paraId="59D846C2" w14:textId="77777777" w:rsidR="004D7927" w:rsidRPr="003E18F1" w:rsidRDefault="004D7927" w:rsidP="004D7927">
      <w:pPr>
        <w:pStyle w:val="References"/>
      </w:pPr>
      <w:r w:rsidRPr="003E18F1">
        <w:t xml:space="preserve">Higher Education Standards Framework. (2021). Higher Education Standards Framework (Threshold Standards) 2021 (au). Australian Government. </w:t>
      </w:r>
    </w:p>
    <w:p w14:paraId="591F69D3" w14:textId="77777777" w:rsidR="004D7927" w:rsidRPr="003E18F1" w:rsidRDefault="004D7927" w:rsidP="004D7927">
      <w:pPr>
        <w:pStyle w:val="References"/>
      </w:pPr>
      <w:r w:rsidRPr="003E18F1">
        <w:t>Higher Education Statistics Agency. (</w:t>
      </w:r>
      <w:proofErr w:type="spellStart"/>
      <w:r w:rsidRPr="003E18F1">
        <w:t>n.d.a</w:t>
      </w:r>
      <w:proofErr w:type="spellEnd"/>
      <w:r w:rsidRPr="003E18F1">
        <w:t xml:space="preserve">). </w:t>
      </w:r>
      <w:r w:rsidRPr="003E18F1">
        <w:rPr>
          <w:i/>
          <w:iCs/>
        </w:rPr>
        <w:t>Graduate outcomes survey</w:t>
      </w:r>
      <w:r w:rsidRPr="003E18F1">
        <w:t xml:space="preserve">. </w:t>
      </w:r>
      <w:hyperlink r:id="rId49" w:history="1">
        <w:r w:rsidRPr="003E18F1">
          <w:rPr>
            <w:rStyle w:val="Hyperlink"/>
          </w:rPr>
          <w:t>Graduate Outcomes Survey Results record 2021/22 | HESA</w:t>
        </w:r>
      </w:hyperlink>
    </w:p>
    <w:p w14:paraId="252BAC54" w14:textId="77777777" w:rsidR="004D7927" w:rsidRPr="003E18F1" w:rsidRDefault="004D7927" w:rsidP="004D7927">
      <w:pPr>
        <w:pStyle w:val="References"/>
      </w:pPr>
      <w:r w:rsidRPr="003E18F1">
        <w:t>Higher Education Statistics Agency. (</w:t>
      </w:r>
      <w:proofErr w:type="spellStart"/>
      <w:r w:rsidRPr="003E18F1">
        <w:t>n.d.b</w:t>
      </w:r>
      <w:proofErr w:type="spellEnd"/>
      <w:r w:rsidRPr="003E18F1">
        <w:t xml:space="preserve">). </w:t>
      </w:r>
      <w:r w:rsidRPr="003E18F1">
        <w:rPr>
          <w:i/>
          <w:iCs/>
        </w:rPr>
        <w:t>Statistical bulletins and first releases</w:t>
      </w:r>
      <w:r w:rsidRPr="003E18F1">
        <w:t xml:space="preserve">. </w:t>
      </w:r>
      <w:hyperlink r:id="rId50" w:history="1">
        <w:r w:rsidRPr="003E18F1">
          <w:rPr>
            <w:rStyle w:val="Hyperlink"/>
          </w:rPr>
          <w:t>Statistical bulletins and first releases | HESA</w:t>
        </w:r>
      </w:hyperlink>
    </w:p>
    <w:p w14:paraId="177EE2D7" w14:textId="77777777" w:rsidR="004D7927" w:rsidRPr="003E18F1" w:rsidRDefault="004D7927" w:rsidP="004D7927">
      <w:pPr>
        <w:pStyle w:val="References"/>
      </w:pPr>
      <w:r w:rsidRPr="003E18F1">
        <w:t xml:space="preserve">Hobson, A. J., </w:t>
      </w:r>
      <w:proofErr w:type="spellStart"/>
      <w:r w:rsidRPr="003E18F1">
        <w:t>Malderez</w:t>
      </w:r>
      <w:proofErr w:type="spellEnd"/>
      <w:r w:rsidRPr="003E18F1">
        <w:t xml:space="preserve">, A., Tracey, L., Homer, M., Ashby, P., Mitchell, N., McIntyre, J., Cooper, D., Roper, T., Chambers, G., &amp; Tomlinson, P. (2009). </w:t>
      </w:r>
      <w:r w:rsidRPr="003E18F1">
        <w:rPr>
          <w:i/>
          <w:iCs/>
        </w:rPr>
        <w:t xml:space="preserve">Becoming a teacher: Teachers’ experiences of initial teacher training, </w:t>
      </w:r>
      <w:proofErr w:type="gramStart"/>
      <w:r w:rsidRPr="003E18F1">
        <w:rPr>
          <w:i/>
          <w:iCs/>
        </w:rPr>
        <w:t>induction</w:t>
      </w:r>
      <w:proofErr w:type="gramEnd"/>
      <w:r w:rsidRPr="003E18F1">
        <w:rPr>
          <w:i/>
          <w:iCs/>
        </w:rPr>
        <w:t xml:space="preserve"> and early professional development</w:t>
      </w:r>
      <w:r w:rsidRPr="003E18F1">
        <w:t xml:space="preserve"> (Research Report No DCSF-RR115). Department for Children, </w:t>
      </w:r>
      <w:proofErr w:type="gramStart"/>
      <w:r w:rsidRPr="003E18F1">
        <w:t>Schools</w:t>
      </w:r>
      <w:proofErr w:type="gramEnd"/>
      <w:r w:rsidRPr="003E18F1">
        <w:t xml:space="preserve"> and Families. </w:t>
      </w:r>
      <w:hyperlink r:id="rId51" w:history="1">
        <w:r w:rsidRPr="003E18F1">
          <w:rPr>
            <w:rStyle w:val="Hyperlink"/>
          </w:rPr>
          <w:t>https://core.ac.uk/download/pdf/4160415.pdf</w:t>
        </w:r>
      </w:hyperlink>
      <w:r w:rsidRPr="003E18F1">
        <w:t xml:space="preserve"> </w:t>
      </w:r>
    </w:p>
    <w:p w14:paraId="79D12127" w14:textId="77777777" w:rsidR="004D7927" w:rsidRPr="003E18F1" w:rsidRDefault="004D7927" w:rsidP="004D7927">
      <w:pPr>
        <w:pStyle w:val="References"/>
        <w:rPr>
          <w:rFonts w:eastAsia="Times New Roman" w:cs="Arial"/>
          <w:lang w:eastAsia="en-AU"/>
        </w:rPr>
      </w:pPr>
      <w:r w:rsidRPr="003E18F1">
        <w:rPr>
          <w:rFonts w:cs="Arial"/>
        </w:rPr>
        <w:t xml:space="preserve">Hudson, S., &amp; Hudson, P. (2013). Re-structuring preservice teacher education: Introducing the School-Community Integrated Learning (SCIL) pathway. </w:t>
      </w:r>
      <w:r w:rsidRPr="003E18F1">
        <w:rPr>
          <w:rFonts w:cs="Arial"/>
          <w:i/>
          <w:iCs/>
        </w:rPr>
        <w:t>Journal of Education and Learning, 2</w:t>
      </w:r>
      <w:r w:rsidRPr="003E18F1">
        <w:rPr>
          <w:rFonts w:cs="Arial"/>
        </w:rPr>
        <w:t>(1), 9-19.</w:t>
      </w:r>
    </w:p>
    <w:p w14:paraId="66F1C735" w14:textId="77777777" w:rsidR="004D7927" w:rsidRPr="003E18F1" w:rsidRDefault="004D7927" w:rsidP="004D7927">
      <w:pPr>
        <w:pStyle w:val="References"/>
        <w:rPr>
          <w:lang w:val="en-US"/>
        </w:rPr>
      </w:pPr>
      <w:r w:rsidRPr="003E18F1">
        <w:rPr>
          <w:lang w:val="en-US"/>
        </w:rPr>
        <w:t xml:space="preserve">Ingersoll, R., May, H., &amp; Collins, G. (2019). Recruitment, employment, </w:t>
      </w:r>
      <w:proofErr w:type="gramStart"/>
      <w:r w:rsidRPr="003E18F1">
        <w:rPr>
          <w:lang w:val="en-US"/>
        </w:rPr>
        <w:t>retention</w:t>
      </w:r>
      <w:proofErr w:type="gramEnd"/>
      <w:r w:rsidRPr="003E18F1">
        <w:rPr>
          <w:lang w:val="en-US"/>
        </w:rPr>
        <w:t xml:space="preserve"> and the minority teacher shortage. </w:t>
      </w:r>
      <w:r w:rsidRPr="003E18F1">
        <w:rPr>
          <w:i/>
          <w:iCs/>
          <w:lang w:val="en-US"/>
        </w:rPr>
        <w:t>Education Policy Analysis Archives, 27</w:t>
      </w:r>
      <w:r w:rsidRPr="003E18F1">
        <w:rPr>
          <w:lang w:val="en-US"/>
        </w:rPr>
        <w:t xml:space="preserve">(37), 1-42. </w:t>
      </w:r>
      <w:hyperlink r:id="rId52" w:history="1">
        <w:r w:rsidRPr="003E18F1">
          <w:rPr>
            <w:rStyle w:val="Hyperlink"/>
            <w:lang w:val="en-US"/>
          </w:rPr>
          <w:t>https://eric.ed.gov/?id=EJ1213628</w:t>
        </w:r>
      </w:hyperlink>
      <w:r w:rsidRPr="003E18F1">
        <w:rPr>
          <w:lang w:val="en-US"/>
        </w:rPr>
        <w:t xml:space="preserve"> </w:t>
      </w:r>
    </w:p>
    <w:p w14:paraId="647427C6" w14:textId="77777777" w:rsidR="004D7927" w:rsidRPr="003E18F1" w:rsidRDefault="004D7927" w:rsidP="004D7927">
      <w:pPr>
        <w:pStyle w:val="References"/>
      </w:pPr>
      <w:r w:rsidRPr="003E18F1">
        <w:t xml:space="preserve">Mayer, D., Dixon, M., Kline, J., </w:t>
      </w:r>
      <w:proofErr w:type="spellStart"/>
      <w:r w:rsidRPr="003E18F1">
        <w:t>Kostogriz</w:t>
      </w:r>
      <w:proofErr w:type="spellEnd"/>
      <w:r w:rsidRPr="003E18F1">
        <w:t xml:space="preserve">, A., Moss, J., Rowan, L., Walker-Gibbs, B., &amp; White, S. (2017). </w:t>
      </w:r>
      <w:r w:rsidRPr="003E18F1">
        <w:rPr>
          <w:i/>
          <w:iCs/>
        </w:rPr>
        <w:t>Studying the effectiveness of teacher education: Early career teachers in diverse settings</w:t>
      </w:r>
      <w:r w:rsidRPr="003E18F1">
        <w:t>. Springer.</w:t>
      </w:r>
    </w:p>
    <w:p w14:paraId="5726C9DE" w14:textId="77777777" w:rsidR="004D7927" w:rsidRPr="003E18F1" w:rsidRDefault="004D7927" w:rsidP="004D7927">
      <w:pPr>
        <w:pStyle w:val="References"/>
      </w:pPr>
      <w:r w:rsidRPr="003E18F1">
        <w:t xml:space="preserve">McLennan, B., McIlveen, P., &amp; Perera, H. N. (2017). Pre-service teachers’ self-efficacy mediates the relationship between career adaptability and career optimism. </w:t>
      </w:r>
      <w:r w:rsidRPr="003E18F1">
        <w:rPr>
          <w:i/>
          <w:iCs/>
        </w:rPr>
        <w:t>Teaching and Teacher Education, 63</w:t>
      </w:r>
      <w:r w:rsidRPr="003E18F1">
        <w:t xml:space="preserve">, 176–185. </w:t>
      </w:r>
      <w:hyperlink r:id="rId53" w:history="1">
        <w:r w:rsidRPr="003E18F1">
          <w:rPr>
            <w:rStyle w:val="Hyperlink"/>
          </w:rPr>
          <w:t>https://doi.org/10.1016/j.tate.2016.12.022</w:t>
        </w:r>
      </w:hyperlink>
      <w:r w:rsidRPr="003E18F1">
        <w:t xml:space="preserve"> </w:t>
      </w:r>
    </w:p>
    <w:p w14:paraId="03448B61" w14:textId="77777777" w:rsidR="004D7927" w:rsidRPr="003E18F1" w:rsidRDefault="004D7927" w:rsidP="004D7927">
      <w:pPr>
        <w:pStyle w:val="References"/>
        <w:rPr>
          <w:lang w:val="en-US"/>
        </w:rPr>
      </w:pPr>
      <w:r w:rsidRPr="003E18F1">
        <w:t xml:space="preserve">Nelson, B. (2003). </w:t>
      </w:r>
      <w:r w:rsidRPr="003E18F1">
        <w:rPr>
          <w:i/>
          <w:iCs/>
        </w:rPr>
        <w:t xml:space="preserve">Our </w:t>
      </w:r>
      <w:proofErr w:type="gramStart"/>
      <w:r w:rsidRPr="003E18F1">
        <w:rPr>
          <w:i/>
          <w:iCs/>
        </w:rPr>
        <w:t>Universities</w:t>
      </w:r>
      <w:proofErr w:type="gramEnd"/>
      <w:r w:rsidRPr="003E18F1">
        <w:rPr>
          <w:i/>
          <w:iCs/>
        </w:rPr>
        <w:t>: Backing Australia's Future</w:t>
      </w:r>
      <w:r w:rsidRPr="003E18F1">
        <w:t xml:space="preserve">. </w:t>
      </w:r>
      <w:hyperlink r:id="rId54" w:history="1">
        <w:r w:rsidRPr="003E18F1">
          <w:rPr>
            <w:rStyle w:val="Hyperlink"/>
          </w:rPr>
          <w:t>http://www.voced.edu.au/content/ngv%3A38781</w:t>
        </w:r>
      </w:hyperlink>
      <w:r w:rsidRPr="003E18F1">
        <w:t xml:space="preserve"> </w:t>
      </w:r>
    </w:p>
    <w:p w14:paraId="77A3B724" w14:textId="77777777" w:rsidR="004D7927" w:rsidRPr="003E18F1" w:rsidRDefault="004D7927" w:rsidP="004D7927">
      <w:pPr>
        <w:pStyle w:val="References"/>
      </w:pPr>
      <w:r w:rsidRPr="003E18F1">
        <w:t xml:space="preserve">Ng, P. T., Lim, K. M., Low, E. L., &amp; Hui, C. (2018). Provision of early field experiences for teacher candidates in Singapore and how it can contribute to teacher resilience and retention. Teacher Development, 22(5), 632–650. </w:t>
      </w:r>
      <w:hyperlink r:id="rId55" w:history="1">
        <w:r w:rsidRPr="003E18F1">
          <w:rPr>
            <w:rStyle w:val="Hyperlink"/>
          </w:rPr>
          <w:t>https://doi.org/10.1080/13664530.2018.1484388</w:t>
        </w:r>
      </w:hyperlink>
      <w:r w:rsidRPr="003E18F1">
        <w:t xml:space="preserve"> </w:t>
      </w:r>
    </w:p>
    <w:p w14:paraId="5EB5D50B" w14:textId="77777777" w:rsidR="004D7927" w:rsidRPr="003E18F1" w:rsidRDefault="004D7927" w:rsidP="004D7927">
      <w:pPr>
        <w:pStyle w:val="References"/>
      </w:pPr>
      <w:r w:rsidRPr="003E18F1">
        <w:t xml:space="preserve">Ng, P. T., Lim, K. M., Low, E. L., &amp; Hui, C. (2018). Provision of early field experiences for teacher candidates in Singapore and how it can contribute to teacher resilience and retention. </w:t>
      </w:r>
      <w:r w:rsidRPr="003E18F1">
        <w:rPr>
          <w:i/>
          <w:iCs/>
        </w:rPr>
        <w:t>Teacher Development, 22</w:t>
      </w:r>
      <w:r w:rsidRPr="003E18F1">
        <w:t xml:space="preserve">(5), 632–650. </w:t>
      </w:r>
      <w:hyperlink r:id="rId56" w:history="1">
        <w:r w:rsidRPr="003E18F1">
          <w:rPr>
            <w:rStyle w:val="Hyperlink"/>
          </w:rPr>
          <w:t>https://doi.org/10.1080/13664530.2018.1484388</w:t>
        </w:r>
      </w:hyperlink>
      <w:r w:rsidRPr="003E18F1">
        <w:t xml:space="preserve"> </w:t>
      </w:r>
    </w:p>
    <w:p w14:paraId="00BAE63C" w14:textId="77777777" w:rsidR="004D7927" w:rsidRPr="003E18F1" w:rsidRDefault="004D7927" w:rsidP="004D7927">
      <w:pPr>
        <w:pStyle w:val="References"/>
        <w:rPr>
          <w:lang w:val="en-US"/>
        </w:rPr>
      </w:pPr>
      <w:r w:rsidRPr="003E18F1">
        <w:rPr>
          <w:lang w:val="en-US"/>
        </w:rPr>
        <w:t xml:space="preserve">O’Sullivan, K., Burns, G., &amp; Bird, N. (2019). </w:t>
      </w:r>
      <w:r w:rsidRPr="003E18F1">
        <w:rPr>
          <w:i/>
          <w:iCs/>
          <w:lang w:val="en-US"/>
        </w:rPr>
        <w:t xml:space="preserve">Diversifying Initial Teacher Education: Who </w:t>
      </w:r>
      <w:proofErr w:type="spellStart"/>
      <w:r w:rsidRPr="003E18F1">
        <w:rPr>
          <w:i/>
          <w:iCs/>
          <w:lang w:val="en-US"/>
        </w:rPr>
        <w:t>Utilises</w:t>
      </w:r>
      <w:proofErr w:type="spellEnd"/>
      <w:r w:rsidRPr="003E18F1">
        <w:rPr>
          <w:i/>
          <w:iCs/>
          <w:lang w:val="en-US"/>
        </w:rPr>
        <w:t xml:space="preserve"> Alternative Entry Routes to Teaching &amp; How They Compare to Direct Entry Students</w:t>
      </w:r>
      <w:r w:rsidRPr="003E18F1">
        <w:rPr>
          <w:lang w:val="en-US"/>
        </w:rPr>
        <w:t xml:space="preserve">. </w:t>
      </w:r>
      <w:hyperlink r:id="rId57" w:history="1">
        <w:r w:rsidRPr="003E18F1">
          <w:rPr>
            <w:rStyle w:val="Hyperlink"/>
            <w:lang w:val="en-US"/>
          </w:rPr>
          <w:t>https://doi.org/10.4995/HEAD19.2019.9409</w:t>
        </w:r>
      </w:hyperlink>
      <w:r w:rsidRPr="003E18F1">
        <w:rPr>
          <w:lang w:val="en-US"/>
        </w:rPr>
        <w:t xml:space="preserve"> </w:t>
      </w:r>
    </w:p>
    <w:p w14:paraId="1D1F3A1B" w14:textId="77777777" w:rsidR="004D7927" w:rsidRPr="003E18F1" w:rsidRDefault="004D7927" w:rsidP="004D7927">
      <w:pPr>
        <w:pStyle w:val="References"/>
      </w:pPr>
      <w:r w:rsidRPr="003E18F1">
        <w:t xml:space="preserve">Ovenden-Hope, T., Blandford, S., Cain, T., &amp; Maxwell, B. (2018). RETAIN early career teacher retention programme: Evaluating the role of research informed continuing professional development for a high quality, sustainable 21st century teaching profession. </w:t>
      </w:r>
      <w:r w:rsidRPr="003E18F1">
        <w:rPr>
          <w:i/>
          <w:iCs/>
        </w:rPr>
        <w:t>Journal of Education for Teaching, 44</w:t>
      </w:r>
      <w:r w:rsidRPr="003E18F1">
        <w:t xml:space="preserve">(5), 590–607. </w:t>
      </w:r>
      <w:hyperlink r:id="rId58" w:history="1">
        <w:r w:rsidRPr="003E18F1">
          <w:rPr>
            <w:rStyle w:val="Hyperlink"/>
          </w:rPr>
          <w:t>https://doi.org/10.1080/02607476.2018.1516349</w:t>
        </w:r>
      </w:hyperlink>
      <w:r w:rsidRPr="003E18F1">
        <w:t xml:space="preserve"> </w:t>
      </w:r>
    </w:p>
    <w:p w14:paraId="5204DB07" w14:textId="77777777" w:rsidR="004D7927" w:rsidRPr="003E18F1" w:rsidRDefault="004D7927" w:rsidP="004D7927">
      <w:pPr>
        <w:pStyle w:val="References"/>
      </w:pPr>
      <w:r w:rsidRPr="003E18F1">
        <w:t xml:space="preserve">Rauschenberger, E., Adams, P., &amp; Kennedy, A. (2017). </w:t>
      </w:r>
      <w:r w:rsidRPr="003E18F1">
        <w:rPr>
          <w:i/>
          <w:iCs/>
        </w:rPr>
        <w:t xml:space="preserve">Measuring quality in ITE: A literature review for Scotland’s </w:t>
      </w:r>
      <w:proofErr w:type="spellStart"/>
      <w:r w:rsidRPr="003E18F1">
        <w:rPr>
          <w:i/>
          <w:iCs/>
        </w:rPr>
        <w:t>MQuITE</w:t>
      </w:r>
      <w:proofErr w:type="spellEnd"/>
      <w:r w:rsidRPr="003E18F1">
        <w:rPr>
          <w:i/>
          <w:iCs/>
        </w:rPr>
        <w:t xml:space="preserve"> study</w:t>
      </w:r>
      <w:r w:rsidRPr="003E18F1">
        <w:t>. Scottish Council of Deans of Education.  </w:t>
      </w:r>
    </w:p>
    <w:p w14:paraId="5FC94C51" w14:textId="0B1CDF96" w:rsidR="00676AA1" w:rsidRDefault="00676AA1" w:rsidP="004D7927">
      <w:pPr>
        <w:pStyle w:val="References"/>
      </w:pPr>
      <w:r w:rsidRPr="00676AA1">
        <w:t xml:space="preserve">Ronfeldt, M., &amp; McQueen, K. (2017). Does New Teacher Induction Really Improve Retention? </w:t>
      </w:r>
      <w:r w:rsidRPr="00676AA1">
        <w:rPr>
          <w:i/>
          <w:iCs/>
        </w:rPr>
        <w:t>Journal of Teacher Education, 68</w:t>
      </w:r>
      <w:r w:rsidRPr="00676AA1">
        <w:t>(4), 394-410.</w:t>
      </w:r>
    </w:p>
    <w:p w14:paraId="1F5369E2" w14:textId="6DF80AF5" w:rsidR="004D7927" w:rsidRPr="003E18F1" w:rsidRDefault="004D7927" w:rsidP="004D7927">
      <w:pPr>
        <w:pStyle w:val="References"/>
      </w:pPr>
      <w:r w:rsidRPr="003E18F1">
        <w:lastRenderedPageBreak/>
        <w:t xml:space="preserve">Rowan, L., Bourke, T., </w:t>
      </w:r>
      <w:proofErr w:type="spellStart"/>
      <w:r w:rsidRPr="003E18F1">
        <w:t>L’Estrange</w:t>
      </w:r>
      <w:proofErr w:type="spellEnd"/>
      <w:r w:rsidRPr="003E18F1">
        <w:t xml:space="preserve">, L., Lunn Brownlee, J., Ryan, M., Walker, S., &amp; Churchward, P. (2021). How does initial teacher education research frame the challenge of preparing future teachers for student diversity in schools? A systematic review of literature. </w:t>
      </w:r>
      <w:r w:rsidRPr="003E18F1">
        <w:rPr>
          <w:i/>
          <w:iCs/>
        </w:rPr>
        <w:t>Review of Educational Research, 91</w:t>
      </w:r>
      <w:r w:rsidRPr="003E18F1">
        <w:t xml:space="preserve">(1), 112-158. </w:t>
      </w:r>
      <w:hyperlink r:id="rId59" w:history="1">
        <w:r w:rsidRPr="003E18F1">
          <w:rPr>
            <w:rStyle w:val="Hyperlink"/>
          </w:rPr>
          <w:t>https://doi.org/10.3102/0034654320979171</w:t>
        </w:r>
      </w:hyperlink>
      <w:r w:rsidRPr="003E18F1">
        <w:t xml:space="preserve"> </w:t>
      </w:r>
    </w:p>
    <w:p w14:paraId="5E11C616" w14:textId="77777777" w:rsidR="004D7927" w:rsidRPr="003E18F1" w:rsidRDefault="004D7927" w:rsidP="004D7927">
      <w:pPr>
        <w:pStyle w:val="References"/>
      </w:pPr>
      <w:r w:rsidRPr="003E18F1">
        <w:t xml:space="preserve">Sahlberg, P. (2012). The most wanted: Teachers and teacher education in Finland. In L. Darling-Hammond &amp; A. Lieberman (Eds.), </w:t>
      </w:r>
      <w:r w:rsidRPr="003E18F1">
        <w:rPr>
          <w:i/>
          <w:iCs/>
        </w:rPr>
        <w:t>Teacher education around the world: Changing policies and practices</w:t>
      </w:r>
      <w:r w:rsidRPr="003E18F1">
        <w:t xml:space="preserve"> (pp. 1–21). Routledge.</w:t>
      </w:r>
    </w:p>
    <w:p w14:paraId="0CE3CA73" w14:textId="77777777" w:rsidR="004D7927" w:rsidRPr="003E18F1" w:rsidRDefault="004D7927" w:rsidP="004D7927">
      <w:pPr>
        <w:pStyle w:val="References"/>
      </w:pPr>
      <w:r w:rsidRPr="003E18F1">
        <w:t xml:space="preserve">State of Louisiana Board of Regents (2019a). </w:t>
      </w:r>
      <w:r w:rsidRPr="003E18F1">
        <w:rPr>
          <w:i/>
          <w:iCs/>
        </w:rPr>
        <w:t>GRAD Act</w:t>
      </w:r>
      <w:r w:rsidRPr="003E18F1">
        <w:t xml:space="preserve">. </w:t>
      </w:r>
      <w:hyperlink r:id="rId60" w:history="1">
        <w:r w:rsidRPr="003E18F1">
          <w:rPr>
            <w:rStyle w:val="Hyperlink"/>
          </w:rPr>
          <w:t>https://regents.louisiana.gov/grad-act/</w:t>
        </w:r>
      </w:hyperlink>
      <w:r w:rsidRPr="003E18F1">
        <w:t xml:space="preserve"> </w:t>
      </w:r>
    </w:p>
    <w:p w14:paraId="19DA4677" w14:textId="77777777" w:rsidR="004D7927" w:rsidRPr="003E18F1" w:rsidRDefault="004D7927" w:rsidP="004D7927">
      <w:pPr>
        <w:pStyle w:val="References"/>
      </w:pPr>
      <w:r w:rsidRPr="003E18F1">
        <w:t xml:space="preserve">TEQSA. (2017). </w:t>
      </w:r>
      <w:r w:rsidRPr="003E18F1">
        <w:rPr>
          <w:i/>
          <w:iCs/>
        </w:rPr>
        <w:t>Characteristics of Australian higher education providers and their relation to first-year student attrition</w:t>
      </w:r>
      <w:r w:rsidRPr="003E18F1">
        <w:t xml:space="preserve">. Tertiary Education Quality and Standards Agency. </w:t>
      </w:r>
      <w:hyperlink r:id="rId61" w:history="1">
        <w:r w:rsidRPr="003E18F1">
          <w:rPr>
            <w:rStyle w:val="Hyperlink"/>
          </w:rPr>
          <w:t>https://www.teqsa.gov.au/sites/default/files/attrition-report-june-2017-19dec2017.pdf?acsf_files_redirect</w:t>
        </w:r>
      </w:hyperlink>
      <w:r w:rsidRPr="003E18F1">
        <w:t xml:space="preserve"> </w:t>
      </w:r>
    </w:p>
    <w:p w14:paraId="65CE0EE8" w14:textId="77777777" w:rsidR="004D7927" w:rsidRPr="003E18F1" w:rsidRDefault="004D7927" w:rsidP="004D7927">
      <w:pPr>
        <w:pStyle w:val="References"/>
      </w:pPr>
      <w:r w:rsidRPr="003E18F1">
        <w:t xml:space="preserve">UK Department for Education (2019a). </w:t>
      </w:r>
      <w:r w:rsidRPr="003E18F1">
        <w:rPr>
          <w:i/>
          <w:iCs/>
        </w:rPr>
        <w:t>Evaluation of Provider-level TEF 2016–17 (Year 2): Measuring the initial impact of the TEF on the higher education landscape research report</w:t>
      </w:r>
      <w:r w:rsidRPr="003E18F1">
        <w:t xml:space="preserve">. </w:t>
      </w:r>
      <w:hyperlink r:id="rId62" w:history="1">
        <w:r w:rsidRPr="003E18F1">
          <w:rPr>
            <w:rStyle w:val="Hyperlink"/>
          </w:rPr>
          <w:t>https://assets.publishing.service.gov.uk/government/uploads/system/uploads/attachment_data/file/914169/TEF_Year_2_Evaluation_Report__6_.pdf</w:t>
        </w:r>
      </w:hyperlink>
    </w:p>
    <w:p w14:paraId="2D1EC5A8" w14:textId="77777777" w:rsidR="004D7927" w:rsidRPr="003E18F1" w:rsidRDefault="004D7927" w:rsidP="004D7927">
      <w:pPr>
        <w:pStyle w:val="References"/>
      </w:pPr>
      <w:proofErr w:type="spellStart"/>
      <w:r w:rsidRPr="003E18F1">
        <w:t>Wheelahan</w:t>
      </w:r>
      <w:proofErr w:type="spellEnd"/>
      <w:r w:rsidRPr="003E18F1">
        <w:t xml:space="preserve">, L. (2007). How not to fund teaching and learning. </w:t>
      </w:r>
      <w:r w:rsidRPr="003E18F1">
        <w:rPr>
          <w:i/>
          <w:iCs/>
        </w:rPr>
        <w:t>Australian Universities Review, 49</w:t>
      </w:r>
      <w:r w:rsidRPr="003E18F1">
        <w:t xml:space="preserve">, 31–38. </w:t>
      </w:r>
    </w:p>
    <w:p w14:paraId="5AAE6C5D" w14:textId="1B25ACFE" w:rsidR="00B025A3" w:rsidRDefault="00B025A3" w:rsidP="004D7927">
      <w:pPr>
        <w:pStyle w:val="References"/>
      </w:pPr>
      <w:r w:rsidRPr="00B025A3">
        <w:t xml:space="preserve">White, M. E., </w:t>
      </w:r>
      <w:proofErr w:type="spellStart"/>
      <w:r w:rsidRPr="00B025A3">
        <w:t>Hirschboeck</w:t>
      </w:r>
      <w:proofErr w:type="spellEnd"/>
      <w:r w:rsidRPr="00B025A3">
        <w:t xml:space="preserve">, K., Donahue, C., &amp; Torre Gibney, D. (2020). </w:t>
      </w:r>
      <w:r w:rsidRPr="00B025A3">
        <w:rPr>
          <w:i/>
          <w:iCs/>
        </w:rPr>
        <w:t>Strengthening the data use and continuous improvement capacity of teacher preparation programs</w:t>
      </w:r>
      <w:r w:rsidRPr="00B025A3">
        <w:t>. WestEd.</w:t>
      </w:r>
    </w:p>
    <w:p w14:paraId="10917CAD" w14:textId="1E987ADF" w:rsidR="004D7927" w:rsidRPr="003E18F1" w:rsidRDefault="004D7927" w:rsidP="004D7927">
      <w:pPr>
        <w:pStyle w:val="References"/>
      </w:pPr>
      <w:r w:rsidRPr="003E18F1">
        <w:t xml:space="preserve">Wyatt-Smith, C., Haynes, M., Day, C., </w:t>
      </w:r>
      <w:proofErr w:type="spellStart"/>
      <w:r w:rsidRPr="003E18F1">
        <w:t>Spallek</w:t>
      </w:r>
      <w:proofErr w:type="spellEnd"/>
      <w:r w:rsidRPr="003E18F1">
        <w:t xml:space="preserve">, M., &amp; Smith, A. (2021). </w:t>
      </w:r>
      <w:r w:rsidRPr="003E18F1">
        <w:rPr>
          <w:i/>
          <w:iCs/>
        </w:rPr>
        <w:t>Quality of Initial Teacher Education Through Longitudinal Analysis of Linked Datasets: Study 1: Examining performance trajectories from admission to graduation: Executive Summary</w:t>
      </w:r>
      <w:r w:rsidRPr="003E18F1">
        <w:t xml:space="preserve">. Australian Government Department of Education. </w:t>
      </w:r>
      <w:hyperlink r:id="rId63" w:history="1">
        <w:r w:rsidRPr="003E18F1">
          <w:rPr>
            <w:rStyle w:val="Hyperlink"/>
          </w:rPr>
          <w:t>https://www.education.gov.au/teaching-and-school-leadership/resources/quality-initial-teacher-education</w:t>
        </w:r>
      </w:hyperlink>
      <w:r w:rsidRPr="003E18F1">
        <w:t xml:space="preserve"> </w:t>
      </w:r>
    </w:p>
    <w:p w14:paraId="3868A6A1" w14:textId="77777777" w:rsidR="004D7927" w:rsidRPr="003E18F1" w:rsidRDefault="004D7927" w:rsidP="004D7927">
      <w:pPr>
        <w:pStyle w:val="References"/>
      </w:pPr>
      <w:r w:rsidRPr="003E18F1">
        <w:t xml:space="preserve">Wyatt-Smith, C., </w:t>
      </w:r>
      <w:proofErr w:type="spellStart"/>
      <w:r w:rsidRPr="003E18F1">
        <w:t>Spallek</w:t>
      </w:r>
      <w:proofErr w:type="spellEnd"/>
      <w:r w:rsidRPr="003E18F1">
        <w:t xml:space="preserve">, M., Smith, A., Day, C., &amp; Ryan, J. (2022). </w:t>
      </w:r>
      <w:r w:rsidRPr="003E18F1">
        <w:rPr>
          <w:i/>
          <w:iCs/>
        </w:rPr>
        <w:t>Improving postgraduate pathways: Evidence-informed innovations for attraction, progression and supporting transition into teaching. A Report Prepared for the Queensland Department of Education</w:t>
      </w:r>
      <w:r w:rsidRPr="003E18F1">
        <w:t>. Australian Catholic University.</w:t>
      </w:r>
    </w:p>
    <w:p w14:paraId="3F3CE167" w14:textId="4A8929AB" w:rsidR="00710509" w:rsidRPr="00B025A3" w:rsidRDefault="004D7927" w:rsidP="00B025A3">
      <w:pPr>
        <w:pStyle w:val="References"/>
        <w:rPr>
          <w:u w:val="single"/>
        </w:rPr>
      </w:pPr>
      <w:r w:rsidRPr="003E18F1">
        <w:t xml:space="preserve">Young, K. (2020). Innovation in initial teacher education through a school–university partnership. </w:t>
      </w:r>
      <w:r w:rsidRPr="003E18F1">
        <w:rPr>
          <w:i/>
          <w:iCs/>
        </w:rPr>
        <w:t>Journal of Curriculum and Teaching, 9</w:t>
      </w:r>
      <w:r w:rsidRPr="003E18F1">
        <w:t xml:space="preserve">(1), 15-29. </w:t>
      </w:r>
      <w:hyperlink r:id="rId64" w:history="1">
        <w:r w:rsidRPr="003E18F1">
          <w:rPr>
            <w:rStyle w:val="Hyperlink"/>
          </w:rPr>
          <w:t>https://doi.org/10.5430/jct.v9n1p15</w:t>
        </w:r>
      </w:hyperlink>
      <w:r>
        <w:t xml:space="preserve"> </w:t>
      </w:r>
      <w:r w:rsidRPr="00540CD8">
        <w:t xml:space="preserve"> </w:t>
      </w:r>
      <w:bookmarkEnd w:id="7"/>
      <w:bookmarkEnd w:id="8"/>
      <w:bookmarkEnd w:id="9"/>
    </w:p>
    <w:sectPr w:rsidR="00710509" w:rsidRPr="00B025A3" w:rsidSect="00C14440">
      <w:footerReference w:type="default" r:id="rId65"/>
      <w:type w:val="continuous"/>
      <w:pgSz w:w="11906" w:h="16838"/>
      <w:pgMar w:top="1134" w:right="964" w:bottom="1134" w:left="96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54D6" w14:textId="77777777" w:rsidR="00F05207" w:rsidRDefault="00F05207" w:rsidP="00284E99">
      <w:r>
        <w:separator/>
      </w:r>
    </w:p>
    <w:p w14:paraId="16AF9426" w14:textId="77777777" w:rsidR="00F05207" w:rsidRDefault="00F05207" w:rsidP="00284E99"/>
  </w:endnote>
  <w:endnote w:type="continuationSeparator" w:id="0">
    <w:p w14:paraId="0A590482" w14:textId="77777777" w:rsidR="00F05207" w:rsidRDefault="00F05207" w:rsidP="00284E99">
      <w:r>
        <w:continuationSeparator/>
      </w:r>
    </w:p>
    <w:p w14:paraId="140EB477" w14:textId="77777777" w:rsidR="00F05207" w:rsidRDefault="00F05207" w:rsidP="00284E99"/>
  </w:endnote>
  <w:endnote w:type="continuationNotice" w:id="1">
    <w:p w14:paraId="62ED384A" w14:textId="77777777" w:rsidR="00F05207" w:rsidRDefault="00F05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Myriad Pro Light">
    <w:altName w:val="Segoe UI Light"/>
    <w:charset w:val="00"/>
    <w:family w:val="swiss"/>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9A89" w14:textId="77777777" w:rsidR="0093273E" w:rsidRDefault="0093273E" w:rsidP="00664A0A">
    <w:pPr>
      <w:pStyle w:val="Footer"/>
      <w:spacing w:before="120"/>
      <w:rPr>
        <w:b/>
        <w:bCs/>
        <w:color w:val="361461"/>
        <w:sz w:val="16"/>
        <w:szCs w:val="16"/>
      </w:rPr>
    </w:pPr>
  </w:p>
  <w:p w14:paraId="148946F3" w14:textId="60C028ED" w:rsidR="0093273E" w:rsidRPr="00A32304" w:rsidRDefault="0093273E" w:rsidP="00664A0A">
    <w:pPr>
      <w:pStyle w:val="Footer"/>
      <w:spacing w:before="120"/>
      <w:rPr>
        <w:b/>
        <w:i/>
        <w:color w:val="361461"/>
        <w:sz w:val="16"/>
        <w:szCs w:val="16"/>
      </w:rPr>
    </w:pPr>
    <w:r w:rsidRPr="00A32304">
      <w:rPr>
        <w:b/>
        <w:bCs/>
        <w:color w:val="361461"/>
        <w:sz w:val="16"/>
        <w:szCs w:val="16"/>
      </w:rPr>
      <w:fldChar w:fldCharType="begin"/>
    </w:r>
    <w:r w:rsidRPr="00A32304">
      <w:rPr>
        <w:b/>
        <w:bCs/>
        <w:color w:val="361461"/>
        <w:sz w:val="16"/>
        <w:szCs w:val="16"/>
      </w:rPr>
      <w:instrText xml:space="preserve"> PAGE   \* MERGEFORMAT </w:instrText>
    </w:r>
    <w:r w:rsidRPr="00A32304">
      <w:rPr>
        <w:b/>
        <w:bCs/>
        <w:color w:val="361461"/>
        <w:sz w:val="16"/>
        <w:szCs w:val="16"/>
      </w:rPr>
      <w:fldChar w:fldCharType="separate"/>
    </w:r>
    <w:r w:rsidRPr="00A32304">
      <w:rPr>
        <w:b/>
        <w:bCs/>
        <w:color w:val="361461"/>
        <w:sz w:val="16"/>
        <w:szCs w:val="16"/>
      </w:rPr>
      <w:t>4</w:t>
    </w:r>
    <w:r w:rsidRPr="00A32304">
      <w:rPr>
        <w:b/>
        <w:bCs/>
        <w:noProof/>
        <w:color w:val="361461"/>
        <w:sz w:val="16"/>
        <w:szCs w:val="16"/>
      </w:rPr>
      <w:fldChar w:fldCharType="end"/>
    </w:r>
    <w:r w:rsidRPr="00A32304">
      <w:rPr>
        <w:b/>
        <w:color w:val="361461"/>
        <w:sz w:val="16"/>
        <w:szCs w:val="16"/>
      </w:rPr>
      <w:t xml:space="preserve">   |   </w:t>
    </w:r>
    <w:r w:rsidR="00132DB0" w:rsidRPr="00132DB0">
      <w:rPr>
        <w:color w:val="361461"/>
        <w:sz w:val="16"/>
        <w:szCs w:val="16"/>
      </w:rPr>
      <w:t>An Australian Framework for Measuring Quality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6D5" w14:textId="77777777" w:rsidR="0093273E" w:rsidRDefault="0093273E" w:rsidP="00664A0A">
    <w:pPr>
      <w:pStyle w:val="Footer"/>
      <w:jc w:val="right"/>
      <w:rPr>
        <w:color w:val="361461"/>
        <w:sz w:val="16"/>
        <w:szCs w:val="18"/>
      </w:rPr>
    </w:pPr>
  </w:p>
  <w:p w14:paraId="1260CB62" w14:textId="77777777" w:rsidR="0093273E" w:rsidRDefault="0093273E" w:rsidP="00664A0A">
    <w:pPr>
      <w:pStyle w:val="Footer"/>
      <w:jc w:val="right"/>
      <w:rPr>
        <w:color w:val="361461"/>
        <w:sz w:val="16"/>
        <w:szCs w:val="18"/>
      </w:rPr>
    </w:pPr>
  </w:p>
  <w:p w14:paraId="266727C6" w14:textId="77777777" w:rsidR="0093273E" w:rsidRPr="00A32304" w:rsidRDefault="0093273E" w:rsidP="00664A0A">
    <w:pPr>
      <w:pStyle w:val="Footer"/>
      <w:jc w:val="right"/>
      <w:rPr>
        <w:b/>
        <w:color w:val="361461"/>
        <w:sz w:val="12"/>
        <w:szCs w:val="18"/>
      </w:rPr>
    </w:pPr>
    <w:r w:rsidRPr="00A32304">
      <w:rPr>
        <w:color w:val="361461"/>
        <w:sz w:val="16"/>
        <w:szCs w:val="18"/>
      </w:rPr>
      <w:t xml:space="preserve">Executive Summary: Workforce Studies Series: Study 1   </w:t>
    </w:r>
    <w:r w:rsidRPr="00A32304">
      <w:rPr>
        <w:b/>
        <w:color w:val="361461"/>
        <w:sz w:val="16"/>
        <w:szCs w:val="18"/>
      </w:rPr>
      <w:t>|</w:t>
    </w:r>
    <w:r w:rsidRPr="00A32304">
      <w:rPr>
        <w:b/>
        <w:color w:val="361461"/>
        <w:sz w:val="12"/>
        <w:szCs w:val="18"/>
      </w:rPr>
      <w:t xml:space="preserve">   </w:t>
    </w:r>
    <w:r w:rsidRPr="00A32304">
      <w:rPr>
        <w:b/>
        <w:color w:val="361461"/>
        <w:sz w:val="16"/>
        <w:szCs w:val="18"/>
      </w:rPr>
      <w:fldChar w:fldCharType="begin"/>
    </w:r>
    <w:r w:rsidRPr="00A32304">
      <w:rPr>
        <w:b/>
        <w:color w:val="361461"/>
        <w:sz w:val="16"/>
        <w:szCs w:val="18"/>
      </w:rPr>
      <w:instrText xml:space="preserve"> PAGE   \* MERGEFORMAT </w:instrText>
    </w:r>
    <w:r w:rsidRPr="00A32304">
      <w:rPr>
        <w:b/>
        <w:color w:val="361461"/>
        <w:sz w:val="16"/>
        <w:szCs w:val="18"/>
      </w:rPr>
      <w:fldChar w:fldCharType="separate"/>
    </w:r>
    <w:r w:rsidRPr="00A32304">
      <w:rPr>
        <w:b/>
        <w:color w:val="361461"/>
        <w:sz w:val="16"/>
        <w:szCs w:val="18"/>
      </w:rPr>
      <w:t>3</w:t>
    </w:r>
    <w:r w:rsidRPr="00A32304">
      <w:rPr>
        <w:b/>
        <w:noProof/>
        <w:color w:val="361461"/>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33A4" w14:textId="77777777" w:rsidR="00E0482C" w:rsidRDefault="00E04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B33" w14:textId="77777777" w:rsidR="0093273E" w:rsidRDefault="0093273E" w:rsidP="00664A0A">
    <w:pPr>
      <w:pStyle w:val="Footer"/>
      <w:jc w:val="right"/>
      <w:rPr>
        <w:color w:val="361461"/>
        <w:sz w:val="16"/>
        <w:szCs w:val="18"/>
      </w:rPr>
    </w:pPr>
  </w:p>
  <w:p w14:paraId="49D28C93" w14:textId="0016604C" w:rsidR="0093273E" w:rsidRPr="00A32304" w:rsidRDefault="00FC26B2" w:rsidP="00664A0A">
    <w:pPr>
      <w:pStyle w:val="Footer"/>
      <w:jc w:val="right"/>
      <w:rPr>
        <w:b/>
        <w:color w:val="361461"/>
        <w:sz w:val="12"/>
        <w:szCs w:val="18"/>
      </w:rPr>
    </w:pPr>
    <w:r>
      <w:rPr>
        <w:color w:val="361461"/>
        <w:sz w:val="16"/>
        <w:szCs w:val="18"/>
      </w:rPr>
      <w:t>Quality Measure</w:t>
    </w:r>
    <w:r w:rsidR="0093273E" w:rsidRPr="00A32304">
      <w:rPr>
        <w:color w:val="361461"/>
        <w:sz w:val="16"/>
        <w:szCs w:val="18"/>
      </w:rPr>
      <w:t xml:space="preserve">   </w:t>
    </w:r>
    <w:r w:rsidR="0093273E" w:rsidRPr="00A32304">
      <w:rPr>
        <w:b/>
        <w:color w:val="361461"/>
        <w:sz w:val="16"/>
        <w:szCs w:val="18"/>
      </w:rPr>
      <w:t>|</w:t>
    </w:r>
    <w:r w:rsidR="0093273E" w:rsidRPr="00A32304">
      <w:rPr>
        <w:b/>
        <w:color w:val="361461"/>
        <w:sz w:val="12"/>
        <w:szCs w:val="18"/>
      </w:rPr>
      <w:t xml:space="preserve">  </w:t>
    </w:r>
    <w:r w:rsidR="0093273E" w:rsidRPr="002A44AD">
      <w:rPr>
        <w:b/>
        <w:bCs/>
        <w:color w:val="361461"/>
        <w:sz w:val="16"/>
        <w:szCs w:val="18"/>
      </w:rPr>
      <w:t xml:space="preserve"> </w:t>
    </w:r>
    <w:r w:rsidR="0093273E" w:rsidRPr="002A44AD">
      <w:rPr>
        <w:b/>
        <w:bCs/>
        <w:color w:val="361461"/>
        <w:sz w:val="16"/>
        <w:szCs w:val="18"/>
      </w:rPr>
      <w:fldChar w:fldCharType="begin"/>
    </w:r>
    <w:r w:rsidR="0093273E" w:rsidRPr="002A44AD">
      <w:rPr>
        <w:b/>
        <w:bCs/>
        <w:color w:val="361461"/>
        <w:sz w:val="16"/>
        <w:szCs w:val="18"/>
      </w:rPr>
      <w:instrText xml:space="preserve"> PAGE   \* MERGEFORMAT </w:instrText>
    </w:r>
    <w:r w:rsidR="0093273E" w:rsidRPr="002A44AD">
      <w:rPr>
        <w:b/>
        <w:bCs/>
        <w:color w:val="361461"/>
        <w:sz w:val="16"/>
        <w:szCs w:val="18"/>
      </w:rPr>
      <w:fldChar w:fldCharType="separate"/>
    </w:r>
    <w:r w:rsidR="0093273E" w:rsidRPr="002A44AD">
      <w:rPr>
        <w:b/>
        <w:bCs/>
        <w:color w:val="361461"/>
        <w:sz w:val="16"/>
        <w:szCs w:val="18"/>
      </w:rPr>
      <w:t>1</w:t>
    </w:r>
    <w:r w:rsidR="0093273E" w:rsidRPr="002A44AD">
      <w:rPr>
        <w:b/>
        <w:bCs/>
        <w:color w:val="361461"/>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31909"/>
      <w:docPartObj>
        <w:docPartGallery w:val="Page Numbers (Bottom of Page)"/>
        <w:docPartUnique/>
      </w:docPartObj>
    </w:sdtPr>
    <w:sdtEndPr>
      <w:rPr>
        <w:noProof/>
      </w:rPr>
    </w:sdtEndPr>
    <w:sdtContent>
      <w:p w14:paraId="317D33A5" w14:textId="55170947" w:rsidR="0093273E" w:rsidRDefault="0093273E" w:rsidP="00450A37">
        <w:pPr>
          <w:pStyle w:val="Footer"/>
          <w:spacing w:after="0"/>
          <w:jc w:val="right"/>
        </w:pPr>
      </w:p>
      <w:p w14:paraId="6FCBC46D" w14:textId="77777777" w:rsidR="00CE5ACE" w:rsidRDefault="00CE5ACE" w:rsidP="00450A37">
        <w:pPr>
          <w:pStyle w:val="Footer"/>
          <w:spacing w:after="0"/>
          <w:jc w:val="right"/>
          <w:rPr>
            <w:color w:val="361461"/>
            <w:sz w:val="16"/>
            <w:szCs w:val="18"/>
          </w:rPr>
        </w:pPr>
      </w:p>
      <w:p w14:paraId="2B330D5F" w14:textId="11176EDC" w:rsidR="0093273E" w:rsidRPr="00C2108A" w:rsidRDefault="000A6547" w:rsidP="00C2108A">
        <w:pPr>
          <w:pStyle w:val="Footer"/>
          <w:jc w:val="right"/>
          <w:rPr>
            <w:b/>
            <w:color w:val="361461"/>
            <w:sz w:val="12"/>
            <w:szCs w:val="18"/>
          </w:rPr>
        </w:pPr>
        <w:r>
          <w:rPr>
            <w:color w:val="361461"/>
            <w:sz w:val="16"/>
            <w:szCs w:val="16"/>
          </w:rPr>
          <w:t xml:space="preserve"> </w:t>
        </w:r>
        <w:r w:rsidR="00D66282" w:rsidRPr="00132DB0">
          <w:rPr>
            <w:color w:val="361461"/>
            <w:sz w:val="16"/>
            <w:szCs w:val="16"/>
          </w:rPr>
          <w:t xml:space="preserve">An Australian Framework for Measuring </w:t>
        </w:r>
        <w:proofErr w:type="gramStart"/>
        <w:r w:rsidR="00D66282" w:rsidRPr="00132DB0">
          <w:rPr>
            <w:color w:val="361461"/>
            <w:sz w:val="16"/>
            <w:szCs w:val="16"/>
          </w:rPr>
          <w:t>Quality</w:t>
        </w:r>
        <w:r w:rsidR="00D66282">
          <w:rPr>
            <w:color w:val="361461"/>
            <w:sz w:val="16"/>
            <w:szCs w:val="18"/>
          </w:rPr>
          <w:t xml:space="preserve">  </w:t>
        </w:r>
        <w:r w:rsidR="0093273E">
          <w:rPr>
            <w:color w:val="361461"/>
            <w:sz w:val="16"/>
            <w:szCs w:val="18"/>
          </w:rPr>
          <w:t>|</w:t>
        </w:r>
        <w:proofErr w:type="gramEnd"/>
        <w:r w:rsidR="0093273E">
          <w:rPr>
            <w:color w:val="361461"/>
            <w:sz w:val="16"/>
            <w:szCs w:val="18"/>
          </w:rPr>
          <w:t xml:space="preserve">   </w:t>
        </w:r>
        <w:r w:rsidR="0093273E" w:rsidRPr="002A44AD">
          <w:rPr>
            <w:b/>
            <w:color w:val="361461"/>
            <w:sz w:val="16"/>
            <w:szCs w:val="18"/>
          </w:rPr>
          <w:fldChar w:fldCharType="begin"/>
        </w:r>
        <w:r w:rsidR="0093273E" w:rsidRPr="002A44AD">
          <w:rPr>
            <w:b/>
            <w:color w:val="361461"/>
            <w:sz w:val="16"/>
            <w:szCs w:val="18"/>
          </w:rPr>
          <w:instrText xml:space="preserve"> PAGE   \* MERGEFORMAT </w:instrText>
        </w:r>
        <w:r w:rsidR="0093273E" w:rsidRPr="002A44AD">
          <w:rPr>
            <w:b/>
            <w:color w:val="361461"/>
            <w:sz w:val="16"/>
            <w:szCs w:val="18"/>
          </w:rPr>
          <w:fldChar w:fldCharType="separate"/>
        </w:r>
        <w:r w:rsidR="0093273E">
          <w:rPr>
            <w:b/>
            <w:color w:val="361461"/>
            <w:sz w:val="16"/>
            <w:szCs w:val="18"/>
          </w:rPr>
          <w:t>17</w:t>
        </w:r>
        <w:r w:rsidR="0093273E" w:rsidRPr="002A44AD">
          <w:rPr>
            <w:b/>
            <w:noProof/>
            <w:color w:val="361461"/>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0103" w14:textId="77777777" w:rsidR="00F05207" w:rsidRDefault="00F05207" w:rsidP="00284E99">
      <w:r>
        <w:separator/>
      </w:r>
    </w:p>
    <w:p w14:paraId="0B0A85F8" w14:textId="77777777" w:rsidR="00F05207" w:rsidRDefault="00F05207" w:rsidP="00284E99"/>
  </w:footnote>
  <w:footnote w:type="continuationSeparator" w:id="0">
    <w:p w14:paraId="0B34233A" w14:textId="77777777" w:rsidR="00F05207" w:rsidRDefault="00F05207" w:rsidP="00284E99">
      <w:r>
        <w:continuationSeparator/>
      </w:r>
    </w:p>
    <w:p w14:paraId="6A381BEB" w14:textId="77777777" w:rsidR="00F05207" w:rsidRDefault="00F05207" w:rsidP="00284E99"/>
  </w:footnote>
  <w:footnote w:type="continuationNotice" w:id="1">
    <w:p w14:paraId="190C9B40" w14:textId="77777777" w:rsidR="00F05207" w:rsidRDefault="00F05207">
      <w:pPr>
        <w:spacing w:after="0" w:line="240" w:lineRule="auto"/>
      </w:pPr>
    </w:p>
  </w:footnote>
  <w:footnote w:id="2">
    <w:p w14:paraId="69ACAE7E" w14:textId="7CC055B0" w:rsidR="00881F96" w:rsidRPr="00CF7ACB" w:rsidRDefault="00881F96" w:rsidP="00881F96">
      <w:pPr>
        <w:rPr>
          <w:rFonts w:ascii="Calibri" w:eastAsiaTheme="minorHAnsi" w:hAnsi="Calibri" w:cs="Calibri"/>
        </w:rPr>
      </w:pPr>
      <w:r>
        <w:rPr>
          <w:rStyle w:val="FootnoteReference"/>
        </w:rPr>
        <w:footnoteRef/>
      </w:r>
      <w:r>
        <w:t xml:space="preserve"> </w:t>
      </w:r>
      <w:r w:rsidRPr="0069003E">
        <w:rPr>
          <w:sz w:val="16"/>
          <w:szCs w:val="16"/>
          <w:lang w:val="en-US"/>
        </w:rPr>
        <w:t xml:space="preserve">Measured as the average performance of the previous </w:t>
      </w:r>
      <w:r>
        <w:rPr>
          <w:sz w:val="16"/>
          <w:szCs w:val="16"/>
          <w:lang w:val="en-US"/>
        </w:rPr>
        <w:t xml:space="preserve">four years based on available data </w:t>
      </w:r>
      <w:r w:rsidRPr="0069003E">
        <w:rPr>
          <w:sz w:val="16"/>
          <w:szCs w:val="16"/>
          <w:lang w:val="en-US"/>
        </w:rPr>
        <w:t>, noting that comparisons to averages of previous five years are more commonly applied (</w:t>
      </w:r>
      <w:hyperlink r:id="rId1" w:history="1">
        <w:r w:rsidRPr="0069003E">
          <w:rPr>
            <w:rStyle w:val="Hyperlink"/>
            <w:sz w:val="16"/>
            <w:szCs w:val="16"/>
          </w:rPr>
          <w:t>https://www.abs.gov.au/statistics/health/causes-death/provisional-mortality-statistics/jan-2020-dec-2021</w:t>
        </w:r>
      </w:hyperlink>
      <w:r w:rsidRPr="0069003E">
        <w:rPr>
          <w:sz w:val="16"/>
          <w:szCs w:val="16"/>
        </w:rPr>
        <w:t xml:space="preserve">, </w:t>
      </w:r>
      <w:hyperlink r:id="rId2" w:history="1">
        <w:r w:rsidRPr="0069003E">
          <w:rPr>
            <w:rStyle w:val="Hyperlink"/>
            <w:sz w:val="16"/>
            <w:szCs w:val="16"/>
          </w:rPr>
          <w:t>https://www.aihw.gov.au/getmedia/a69ee08a-857f-412b-b617-a29acb66a475/aihw-phe-287.pdf.aspx?inline=true</w:t>
        </w:r>
      </w:hyperlink>
      <w:r w:rsidRPr="0069003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3EDF" w14:textId="1100C301" w:rsidR="0093273E" w:rsidRDefault="0093273E" w:rsidP="00664A0A">
    <w:pPr>
      <w:jc w:val="right"/>
    </w:pPr>
    <w:r>
      <w:rPr>
        <w:noProof/>
      </w:rPr>
      <w:drawing>
        <wp:inline distT="0" distB="0" distL="0" distR="0" wp14:anchorId="7D78205A" wp14:editId="047E0B85">
          <wp:extent cx="2733847" cy="4200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733847" cy="420071"/>
                  </a:xfrm>
                  <a:prstGeom prst="rect">
                    <a:avLst/>
                  </a:prstGeom>
                </pic:spPr>
              </pic:pic>
            </a:graphicData>
          </a:graphic>
        </wp:inline>
      </w:drawing>
    </w:r>
  </w:p>
  <w:p w14:paraId="6C22C527" w14:textId="77777777" w:rsidR="0093273E" w:rsidRPr="00741A9F" w:rsidRDefault="0093273E" w:rsidP="00664A0A">
    <w:pPr>
      <w:pStyle w:val="NoSpacing"/>
      <w:rPr>
        <w:sz w:val="6"/>
        <w:szCs w:val="6"/>
      </w:rPr>
    </w:pPr>
  </w:p>
  <w:p w14:paraId="0CF268B3" w14:textId="77777777" w:rsidR="0093273E" w:rsidRPr="00661EB8" w:rsidRDefault="0093273E" w:rsidP="00664A0A">
    <w:pPr>
      <w:pStyle w:val="NoSpacing"/>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231" w14:textId="77777777" w:rsidR="0093273E" w:rsidRDefault="0093273E" w:rsidP="00664A0A">
    <w:pPr>
      <w:jc w:val="right"/>
    </w:pPr>
    <w:r>
      <w:rPr>
        <w:noProof/>
      </w:rPr>
      <w:drawing>
        <wp:inline distT="0" distB="0" distL="0" distR="0" wp14:anchorId="728C934D" wp14:editId="15FBF4B3">
          <wp:extent cx="2733847" cy="4200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733847" cy="420071"/>
                  </a:xfrm>
                  <a:prstGeom prst="rect">
                    <a:avLst/>
                  </a:prstGeom>
                </pic:spPr>
              </pic:pic>
            </a:graphicData>
          </a:graphic>
        </wp:inline>
      </w:drawing>
    </w:r>
  </w:p>
  <w:p w14:paraId="0566846A" w14:textId="77777777" w:rsidR="0093273E" w:rsidRPr="00741A9F" w:rsidRDefault="0093273E" w:rsidP="00664A0A">
    <w:pPr>
      <w:pStyle w:val="NoSpacing"/>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4395"/>
      <w:gridCol w:w="5103"/>
    </w:tblGrid>
    <w:tr w:rsidR="00286192" w:rsidRPr="00286192" w14:paraId="31EE35D5" w14:textId="77777777" w:rsidTr="003210E1">
      <w:trPr>
        <w:trHeight w:val="1100"/>
      </w:trPr>
      <w:tc>
        <w:tcPr>
          <w:tcW w:w="4395" w:type="dxa"/>
          <w:shd w:val="clear" w:color="auto" w:fill="auto"/>
        </w:tcPr>
        <w:p w14:paraId="60CC55A8" w14:textId="77777777" w:rsidR="00286192" w:rsidRPr="00286192" w:rsidRDefault="00286192" w:rsidP="00286192">
          <w:pPr>
            <w:suppressAutoHyphens/>
            <w:spacing w:before="160" w:line="300" w:lineRule="atLeast"/>
            <w:rPr>
              <w:rFonts w:ascii="Arial Narrow" w:hAnsi="Arial Narrow" w:cs="Arial"/>
              <w:color w:val="3F4D4D"/>
              <w:sz w:val="72"/>
              <w:szCs w:val="72"/>
            </w:rPr>
          </w:pPr>
        </w:p>
      </w:tc>
      <w:tc>
        <w:tcPr>
          <w:tcW w:w="5103" w:type="dxa"/>
          <w:shd w:val="clear" w:color="auto" w:fill="auto"/>
        </w:tcPr>
        <w:p w14:paraId="42898CE0" w14:textId="14356DC0" w:rsidR="00286192" w:rsidRPr="00286192" w:rsidRDefault="00286192" w:rsidP="00286192">
          <w:pPr>
            <w:tabs>
              <w:tab w:val="center" w:pos="4680"/>
              <w:tab w:val="right" w:pos="9360"/>
            </w:tabs>
            <w:spacing w:after="0" w:line="240" w:lineRule="auto"/>
            <w:jc w:val="right"/>
            <w:rPr>
              <w:rFonts w:ascii="Arial Narrow" w:hAnsi="Arial Narrow" w:cs="Arial"/>
              <w:bCs/>
              <w:color w:val="E36C0A"/>
              <w:szCs w:val="20"/>
              <w:lang w:bidi="x-none"/>
            </w:rPr>
          </w:pPr>
        </w:p>
      </w:tc>
    </w:tr>
  </w:tbl>
  <w:p w14:paraId="5F56C5E6" w14:textId="77777777" w:rsidR="00790177" w:rsidRDefault="00790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04E"/>
    <w:multiLevelType w:val="hybridMultilevel"/>
    <w:tmpl w:val="4E8E173E"/>
    <w:lvl w:ilvl="0" w:tplc="9E16526C">
      <w:start w:val="1"/>
      <w:numFmt w:val="bullet"/>
      <w:pStyle w:val="NormalTextBulleted"/>
      <w:lvlText w:val=""/>
      <w:lvlJc w:val="left"/>
      <w:pPr>
        <w:ind w:left="360" w:hanging="360"/>
      </w:pPr>
      <w:rPr>
        <w:rFonts w:ascii="Symbol" w:hAnsi="Symbol" w:hint="default"/>
        <w:color w:val="3C105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A83FCD"/>
    <w:multiLevelType w:val="hybridMultilevel"/>
    <w:tmpl w:val="AF18B8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DA3ED8"/>
    <w:multiLevelType w:val="multilevel"/>
    <w:tmpl w:val="2220691A"/>
    <w:lvl w:ilvl="0">
      <w:start w:val="1"/>
      <w:numFmt w:val="decimal"/>
      <w:pStyle w:val="Appendix1"/>
      <w:suff w:val="space"/>
      <w:lvlText w:val="Appendix %1:"/>
      <w:lvlJc w:val="center"/>
      <w:pPr>
        <w:ind w:left="907" w:hanging="907"/>
      </w:pPr>
      <w:rPr>
        <w:rFonts w:hint="default"/>
      </w:rPr>
    </w:lvl>
    <w:lvl w:ilvl="1">
      <w:start w:val="1"/>
      <w:numFmt w:val="decimal"/>
      <w:pStyle w:val="Appendix2"/>
      <w:suff w:val="space"/>
      <w:lvlText w:val="Appendix %1.%2"/>
      <w:lvlJc w:val="left"/>
      <w:pPr>
        <w:ind w:left="907" w:hanging="907"/>
      </w:pPr>
      <w:rPr>
        <w:rFonts w:hint="default"/>
        <w:b w:val="0"/>
        <w:bCs w:val="0"/>
      </w:rPr>
    </w:lvl>
    <w:lvl w:ilvl="2">
      <w:start w:val="1"/>
      <w:numFmt w:val="lowerRoman"/>
      <w:lvlText w:val="%3)"/>
      <w:lvlJc w:val="left"/>
      <w:pPr>
        <w:ind w:left="1572" w:hanging="360"/>
      </w:pPr>
      <w:rPr>
        <w:rFonts w:hint="default"/>
      </w:rPr>
    </w:lvl>
    <w:lvl w:ilvl="3">
      <w:start w:val="1"/>
      <w:numFmt w:val="decimal"/>
      <w:lvlText w:val="(%4)"/>
      <w:lvlJc w:val="left"/>
      <w:pPr>
        <w:ind w:left="1932" w:hanging="360"/>
      </w:pPr>
      <w:rPr>
        <w:rFonts w:hint="default"/>
      </w:rPr>
    </w:lvl>
    <w:lvl w:ilvl="4">
      <w:start w:val="1"/>
      <w:numFmt w:val="lowerLetter"/>
      <w:lvlText w:val="(%5)"/>
      <w:lvlJc w:val="left"/>
      <w:pPr>
        <w:ind w:left="2292" w:hanging="360"/>
      </w:pPr>
      <w:rPr>
        <w:rFonts w:hint="default"/>
      </w:rPr>
    </w:lvl>
    <w:lvl w:ilvl="5">
      <w:start w:val="1"/>
      <w:numFmt w:val="lowerRoman"/>
      <w:lvlText w:val="(%6)"/>
      <w:lvlJc w:val="left"/>
      <w:pPr>
        <w:ind w:left="2652" w:hanging="360"/>
      </w:pPr>
      <w:rPr>
        <w:rFonts w:hint="default"/>
      </w:rPr>
    </w:lvl>
    <w:lvl w:ilvl="6">
      <w:start w:val="1"/>
      <w:numFmt w:val="decimal"/>
      <w:lvlText w:val="%7."/>
      <w:lvlJc w:val="left"/>
      <w:pPr>
        <w:ind w:left="3012" w:hanging="360"/>
      </w:pPr>
      <w:rPr>
        <w:rFonts w:hint="default"/>
      </w:rPr>
    </w:lvl>
    <w:lvl w:ilvl="7">
      <w:start w:val="1"/>
      <w:numFmt w:val="lowerLetter"/>
      <w:lvlText w:val="%8."/>
      <w:lvlJc w:val="left"/>
      <w:pPr>
        <w:ind w:left="3372" w:hanging="360"/>
      </w:pPr>
      <w:rPr>
        <w:rFonts w:hint="default"/>
      </w:rPr>
    </w:lvl>
    <w:lvl w:ilvl="8">
      <w:start w:val="1"/>
      <w:numFmt w:val="lowerRoman"/>
      <w:lvlText w:val="%9."/>
      <w:lvlJc w:val="left"/>
      <w:pPr>
        <w:ind w:left="3732" w:hanging="360"/>
      </w:pPr>
      <w:rPr>
        <w:rFonts w:hint="default"/>
      </w:rPr>
    </w:lvl>
  </w:abstractNum>
  <w:abstractNum w:abstractNumId="3" w15:restartNumberingAfterBreak="0">
    <w:nsid w:val="11202CEC"/>
    <w:multiLevelType w:val="hybridMultilevel"/>
    <w:tmpl w:val="20327C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4C4D3E"/>
    <w:multiLevelType w:val="hybridMultilevel"/>
    <w:tmpl w:val="0EBEE3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B5541A"/>
    <w:multiLevelType w:val="multilevel"/>
    <w:tmpl w:val="F26A88D6"/>
    <w:styleLink w:val="AppendixHeadings"/>
    <w:lvl w:ilvl="0">
      <w:start w:val="1"/>
      <w:numFmt w:val="decimal"/>
      <w:suff w:val="space"/>
      <w:lvlText w:val="Appendix %1:"/>
      <w:lvlJc w:val="center"/>
      <w:pPr>
        <w:ind w:left="1985" w:hanging="1985"/>
      </w:pPr>
      <w:rPr>
        <w:rFonts w:hint="default"/>
      </w:rPr>
    </w:lvl>
    <w:lvl w:ilvl="1">
      <w:start w:val="1"/>
      <w:numFmt w:val="decimal"/>
      <w:suff w:val="space"/>
      <w:lvlText w:val="Appendix %1.%2"/>
      <w:lvlJc w:val="left"/>
      <w:pPr>
        <w:ind w:left="1985" w:hanging="1985"/>
      </w:pPr>
      <w:rPr>
        <w:rFonts w:hint="default"/>
      </w:rPr>
    </w:lvl>
    <w:lvl w:ilvl="2">
      <w:start w:val="1"/>
      <w:numFmt w:val="lowerRoman"/>
      <w:lvlText w:val="%3)"/>
      <w:lvlJc w:val="left"/>
      <w:pPr>
        <w:ind w:left="1572" w:hanging="360"/>
      </w:pPr>
      <w:rPr>
        <w:rFonts w:hint="default"/>
      </w:rPr>
    </w:lvl>
    <w:lvl w:ilvl="3">
      <w:start w:val="1"/>
      <w:numFmt w:val="decimal"/>
      <w:lvlText w:val="(%4)"/>
      <w:lvlJc w:val="left"/>
      <w:pPr>
        <w:ind w:left="1932" w:hanging="360"/>
      </w:pPr>
      <w:rPr>
        <w:rFonts w:hint="default"/>
      </w:rPr>
    </w:lvl>
    <w:lvl w:ilvl="4">
      <w:start w:val="1"/>
      <w:numFmt w:val="lowerLetter"/>
      <w:lvlText w:val="(%5)"/>
      <w:lvlJc w:val="left"/>
      <w:pPr>
        <w:ind w:left="2292" w:hanging="360"/>
      </w:pPr>
      <w:rPr>
        <w:rFonts w:hint="default"/>
      </w:rPr>
    </w:lvl>
    <w:lvl w:ilvl="5">
      <w:start w:val="1"/>
      <w:numFmt w:val="lowerRoman"/>
      <w:lvlText w:val="(%6)"/>
      <w:lvlJc w:val="left"/>
      <w:pPr>
        <w:ind w:left="2652" w:hanging="360"/>
      </w:pPr>
      <w:rPr>
        <w:rFonts w:hint="default"/>
      </w:rPr>
    </w:lvl>
    <w:lvl w:ilvl="6">
      <w:start w:val="1"/>
      <w:numFmt w:val="decimal"/>
      <w:lvlText w:val="%7."/>
      <w:lvlJc w:val="left"/>
      <w:pPr>
        <w:ind w:left="3012" w:hanging="360"/>
      </w:pPr>
      <w:rPr>
        <w:rFonts w:hint="default"/>
      </w:rPr>
    </w:lvl>
    <w:lvl w:ilvl="7">
      <w:start w:val="1"/>
      <w:numFmt w:val="lowerLetter"/>
      <w:lvlText w:val="%8."/>
      <w:lvlJc w:val="left"/>
      <w:pPr>
        <w:ind w:left="3372" w:hanging="360"/>
      </w:pPr>
      <w:rPr>
        <w:rFonts w:hint="default"/>
      </w:rPr>
    </w:lvl>
    <w:lvl w:ilvl="8">
      <w:start w:val="1"/>
      <w:numFmt w:val="lowerRoman"/>
      <w:lvlText w:val="%9."/>
      <w:lvlJc w:val="left"/>
      <w:pPr>
        <w:ind w:left="3732" w:hanging="360"/>
      </w:pPr>
      <w:rPr>
        <w:rFonts w:hint="default"/>
      </w:rPr>
    </w:lvl>
  </w:abstractNum>
  <w:abstractNum w:abstractNumId="6" w15:restartNumberingAfterBreak="0">
    <w:nsid w:val="17E26B51"/>
    <w:multiLevelType w:val="hybridMultilevel"/>
    <w:tmpl w:val="893EA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B17BE9"/>
    <w:multiLevelType w:val="hybridMultilevel"/>
    <w:tmpl w:val="EE667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0374A7"/>
    <w:multiLevelType w:val="hybridMultilevel"/>
    <w:tmpl w:val="1A822C9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B6B567B"/>
    <w:multiLevelType w:val="hybridMultilevel"/>
    <w:tmpl w:val="0D329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7A3FE1"/>
    <w:multiLevelType w:val="hybridMultilevel"/>
    <w:tmpl w:val="A670B0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FD62CA5"/>
    <w:multiLevelType w:val="hybridMultilevel"/>
    <w:tmpl w:val="E2E88D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95D4590"/>
    <w:multiLevelType w:val="hybridMultilevel"/>
    <w:tmpl w:val="F028E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0B7805"/>
    <w:multiLevelType w:val="hybridMultilevel"/>
    <w:tmpl w:val="38EE4A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507181"/>
    <w:multiLevelType w:val="hybridMultilevel"/>
    <w:tmpl w:val="860ACF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C56210D"/>
    <w:multiLevelType w:val="hybridMultilevel"/>
    <w:tmpl w:val="DF266D72"/>
    <w:lvl w:ilvl="0" w:tplc="D140277A">
      <w:start w:val="1"/>
      <w:numFmt w:val="decimal"/>
      <w:pStyle w:val="NormalTextNumbered"/>
      <w:lvlText w:val="%1."/>
      <w:lvlJc w:val="left"/>
      <w:pPr>
        <w:ind w:left="360" w:hanging="360"/>
      </w:pPr>
      <w:rPr>
        <w:rFonts w:hint="default"/>
        <w:b w:val="0"/>
        <w:color w:val="361461"/>
      </w:rPr>
    </w:lvl>
    <w:lvl w:ilvl="1" w:tplc="133C437C">
      <w:start w:val="1"/>
      <w:numFmt w:val="lowerLetter"/>
      <w:lvlText w:val="%2."/>
      <w:lvlJc w:val="left"/>
      <w:pPr>
        <w:ind w:left="1440" w:hanging="360"/>
      </w:pPr>
      <w:rPr>
        <w:color w:val="1B4B5F" w:themeColor="accent1" w:themeShade="BF"/>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6E2720"/>
    <w:multiLevelType w:val="hybridMultilevel"/>
    <w:tmpl w:val="3CF6F6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F30027F"/>
    <w:multiLevelType w:val="hybridMultilevel"/>
    <w:tmpl w:val="E788F9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305A90"/>
    <w:multiLevelType w:val="hybridMultilevel"/>
    <w:tmpl w:val="3D2C1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D73A8F"/>
    <w:multiLevelType w:val="multilevel"/>
    <w:tmpl w:val="5E32390A"/>
    <w:styleLink w:val="Bullet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96D39"/>
    <w:multiLevelType w:val="hybridMultilevel"/>
    <w:tmpl w:val="070C9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4F1005"/>
    <w:multiLevelType w:val="hybridMultilevel"/>
    <w:tmpl w:val="A3FECE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9BF76FB"/>
    <w:multiLevelType w:val="hybridMultilevel"/>
    <w:tmpl w:val="B9C426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97808331">
    <w:abstractNumId w:val="0"/>
  </w:num>
  <w:num w:numId="2" w16cid:durableId="75589952">
    <w:abstractNumId w:val="19"/>
  </w:num>
  <w:num w:numId="3" w16cid:durableId="1537306034">
    <w:abstractNumId w:val="15"/>
  </w:num>
  <w:num w:numId="4" w16cid:durableId="1114594123">
    <w:abstractNumId w:val="5"/>
  </w:num>
  <w:num w:numId="5" w16cid:durableId="1791587759">
    <w:abstractNumId w:val="2"/>
  </w:num>
  <w:num w:numId="6" w16cid:durableId="601452936">
    <w:abstractNumId w:val="15"/>
    <w:lvlOverride w:ilvl="0">
      <w:startOverride w:val="1"/>
    </w:lvlOverride>
  </w:num>
  <w:num w:numId="7" w16cid:durableId="166942964">
    <w:abstractNumId w:val="15"/>
    <w:lvlOverride w:ilvl="0">
      <w:startOverride w:val="1"/>
    </w:lvlOverride>
  </w:num>
  <w:num w:numId="8" w16cid:durableId="1631862580">
    <w:abstractNumId w:val="15"/>
    <w:lvlOverride w:ilvl="0">
      <w:startOverride w:val="1"/>
    </w:lvlOverride>
  </w:num>
  <w:num w:numId="9" w16cid:durableId="1722246769">
    <w:abstractNumId w:val="9"/>
  </w:num>
  <w:num w:numId="10" w16cid:durableId="2094273373">
    <w:abstractNumId w:val="13"/>
  </w:num>
  <w:num w:numId="11" w16cid:durableId="274866684">
    <w:abstractNumId w:val="11"/>
  </w:num>
  <w:num w:numId="12" w16cid:durableId="1492452640">
    <w:abstractNumId w:val="1"/>
  </w:num>
  <w:num w:numId="13" w16cid:durableId="1076391495">
    <w:abstractNumId w:val="14"/>
  </w:num>
  <w:num w:numId="14" w16cid:durableId="1760370923">
    <w:abstractNumId w:val="21"/>
  </w:num>
  <w:num w:numId="15" w16cid:durableId="693265477">
    <w:abstractNumId w:val="22"/>
  </w:num>
  <w:num w:numId="16" w16cid:durableId="1019040714">
    <w:abstractNumId w:val="17"/>
  </w:num>
  <w:num w:numId="17" w16cid:durableId="702831987">
    <w:abstractNumId w:val="18"/>
  </w:num>
  <w:num w:numId="18" w16cid:durableId="434642827">
    <w:abstractNumId w:val="10"/>
  </w:num>
  <w:num w:numId="19" w16cid:durableId="1367099519">
    <w:abstractNumId w:val="3"/>
  </w:num>
  <w:num w:numId="20" w16cid:durableId="278218151">
    <w:abstractNumId w:val="15"/>
    <w:lvlOverride w:ilvl="0">
      <w:startOverride w:val="1"/>
    </w:lvlOverride>
  </w:num>
  <w:num w:numId="21" w16cid:durableId="261568858">
    <w:abstractNumId w:val="0"/>
  </w:num>
  <w:num w:numId="22" w16cid:durableId="1921133977">
    <w:abstractNumId w:val="6"/>
  </w:num>
  <w:num w:numId="23" w16cid:durableId="618221380">
    <w:abstractNumId w:val="8"/>
  </w:num>
  <w:num w:numId="24" w16cid:durableId="117601807">
    <w:abstractNumId w:val="4"/>
  </w:num>
  <w:num w:numId="25" w16cid:durableId="1578517956">
    <w:abstractNumId w:val="12"/>
  </w:num>
  <w:num w:numId="26" w16cid:durableId="794524676">
    <w:abstractNumId w:val="7"/>
  </w:num>
  <w:num w:numId="27" w16cid:durableId="1859808324">
    <w:abstractNumId w:val="20"/>
  </w:num>
  <w:num w:numId="28" w16cid:durableId="134914354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08"/>
    <w:rsid w:val="0000001A"/>
    <w:rsid w:val="0000096E"/>
    <w:rsid w:val="00000C3B"/>
    <w:rsid w:val="00001215"/>
    <w:rsid w:val="000014F7"/>
    <w:rsid w:val="00001CBB"/>
    <w:rsid w:val="00001D38"/>
    <w:rsid w:val="0000217A"/>
    <w:rsid w:val="0000227C"/>
    <w:rsid w:val="000022A6"/>
    <w:rsid w:val="00002852"/>
    <w:rsid w:val="000029A0"/>
    <w:rsid w:val="00002E04"/>
    <w:rsid w:val="00003340"/>
    <w:rsid w:val="00003865"/>
    <w:rsid w:val="00003B99"/>
    <w:rsid w:val="00003CEE"/>
    <w:rsid w:val="00003F79"/>
    <w:rsid w:val="00004E5D"/>
    <w:rsid w:val="00004F68"/>
    <w:rsid w:val="00004FB7"/>
    <w:rsid w:val="00005251"/>
    <w:rsid w:val="000058F1"/>
    <w:rsid w:val="00006748"/>
    <w:rsid w:val="00006D12"/>
    <w:rsid w:val="00006D47"/>
    <w:rsid w:val="00006DB0"/>
    <w:rsid w:val="00007E1F"/>
    <w:rsid w:val="0001099E"/>
    <w:rsid w:val="00010A7C"/>
    <w:rsid w:val="00010DA0"/>
    <w:rsid w:val="0001151F"/>
    <w:rsid w:val="00011721"/>
    <w:rsid w:val="00011A98"/>
    <w:rsid w:val="00011B64"/>
    <w:rsid w:val="00011BB2"/>
    <w:rsid w:val="000120C8"/>
    <w:rsid w:val="00012455"/>
    <w:rsid w:val="00012634"/>
    <w:rsid w:val="00012D13"/>
    <w:rsid w:val="00012DBE"/>
    <w:rsid w:val="00012DF4"/>
    <w:rsid w:val="000130A7"/>
    <w:rsid w:val="0001347B"/>
    <w:rsid w:val="000134DF"/>
    <w:rsid w:val="00013647"/>
    <w:rsid w:val="0001436D"/>
    <w:rsid w:val="000143E4"/>
    <w:rsid w:val="00014EF1"/>
    <w:rsid w:val="00015036"/>
    <w:rsid w:val="00015270"/>
    <w:rsid w:val="0001578C"/>
    <w:rsid w:val="00015892"/>
    <w:rsid w:val="00015908"/>
    <w:rsid w:val="00015FBF"/>
    <w:rsid w:val="000164F1"/>
    <w:rsid w:val="0001679A"/>
    <w:rsid w:val="00016A6E"/>
    <w:rsid w:val="00020B60"/>
    <w:rsid w:val="00020C9D"/>
    <w:rsid w:val="00021290"/>
    <w:rsid w:val="000214BC"/>
    <w:rsid w:val="00022043"/>
    <w:rsid w:val="00022A78"/>
    <w:rsid w:val="00022CD2"/>
    <w:rsid w:val="00022E24"/>
    <w:rsid w:val="00023304"/>
    <w:rsid w:val="00023953"/>
    <w:rsid w:val="00023FB9"/>
    <w:rsid w:val="00025715"/>
    <w:rsid w:val="00025DF3"/>
    <w:rsid w:val="0002631F"/>
    <w:rsid w:val="00026B82"/>
    <w:rsid w:val="00026C84"/>
    <w:rsid w:val="00026EAA"/>
    <w:rsid w:val="00027B91"/>
    <w:rsid w:val="000308E6"/>
    <w:rsid w:val="0003097F"/>
    <w:rsid w:val="00030D2E"/>
    <w:rsid w:val="00031241"/>
    <w:rsid w:val="00031E56"/>
    <w:rsid w:val="00032075"/>
    <w:rsid w:val="0003286C"/>
    <w:rsid w:val="00032B21"/>
    <w:rsid w:val="000335C0"/>
    <w:rsid w:val="000344FC"/>
    <w:rsid w:val="00034690"/>
    <w:rsid w:val="00034DB0"/>
    <w:rsid w:val="00035935"/>
    <w:rsid w:val="00035C8A"/>
    <w:rsid w:val="00035D9C"/>
    <w:rsid w:val="00036477"/>
    <w:rsid w:val="00036D23"/>
    <w:rsid w:val="000376D4"/>
    <w:rsid w:val="00037B51"/>
    <w:rsid w:val="000401E0"/>
    <w:rsid w:val="00040C4F"/>
    <w:rsid w:val="00040D97"/>
    <w:rsid w:val="00041170"/>
    <w:rsid w:val="000411AB"/>
    <w:rsid w:val="0004134F"/>
    <w:rsid w:val="00041882"/>
    <w:rsid w:val="00041963"/>
    <w:rsid w:val="00041A64"/>
    <w:rsid w:val="00042277"/>
    <w:rsid w:val="00042AB2"/>
    <w:rsid w:val="00042CFB"/>
    <w:rsid w:val="00042F0B"/>
    <w:rsid w:val="00044774"/>
    <w:rsid w:val="00044A72"/>
    <w:rsid w:val="00044D0A"/>
    <w:rsid w:val="00044F0D"/>
    <w:rsid w:val="00044F50"/>
    <w:rsid w:val="00045668"/>
    <w:rsid w:val="00045B72"/>
    <w:rsid w:val="00045D00"/>
    <w:rsid w:val="0004633F"/>
    <w:rsid w:val="000463DB"/>
    <w:rsid w:val="000464D3"/>
    <w:rsid w:val="0004658E"/>
    <w:rsid w:val="000468C0"/>
    <w:rsid w:val="0004695A"/>
    <w:rsid w:val="000469C7"/>
    <w:rsid w:val="00047190"/>
    <w:rsid w:val="000473A2"/>
    <w:rsid w:val="00047601"/>
    <w:rsid w:val="00047C72"/>
    <w:rsid w:val="00047DC3"/>
    <w:rsid w:val="00047F11"/>
    <w:rsid w:val="000502DD"/>
    <w:rsid w:val="000507EF"/>
    <w:rsid w:val="00050BB6"/>
    <w:rsid w:val="000515B1"/>
    <w:rsid w:val="00051FAA"/>
    <w:rsid w:val="00051FD8"/>
    <w:rsid w:val="00052281"/>
    <w:rsid w:val="00052600"/>
    <w:rsid w:val="000527C7"/>
    <w:rsid w:val="00052EDC"/>
    <w:rsid w:val="0005359E"/>
    <w:rsid w:val="0005385A"/>
    <w:rsid w:val="00053D1A"/>
    <w:rsid w:val="00053F5D"/>
    <w:rsid w:val="00053F6A"/>
    <w:rsid w:val="000544AA"/>
    <w:rsid w:val="0005453F"/>
    <w:rsid w:val="000546D0"/>
    <w:rsid w:val="000548C7"/>
    <w:rsid w:val="00055096"/>
    <w:rsid w:val="00055A2A"/>
    <w:rsid w:val="00055A3C"/>
    <w:rsid w:val="0005646A"/>
    <w:rsid w:val="0005695E"/>
    <w:rsid w:val="00056E16"/>
    <w:rsid w:val="00056FA9"/>
    <w:rsid w:val="000578DB"/>
    <w:rsid w:val="00057F35"/>
    <w:rsid w:val="00060875"/>
    <w:rsid w:val="0006087C"/>
    <w:rsid w:val="00060A41"/>
    <w:rsid w:val="00060B27"/>
    <w:rsid w:val="00060E72"/>
    <w:rsid w:val="00062165"/>
    <w:rsid w:val="000622B9"/>
    <w:rsid w:val="0006297F"/>
    <w:rsid w:val="00062989"/>
    <w:rsid w:val="00063065"/>
    <w:rsid w:val="000632F7"/>
    <w:rsid w:val="000633AD"/>
    <w:rsid w:val="000635A5"/>
    <w:rsid w:val="000635DE"/>
    <w:rsid w:val="00063DCC"/>
    <w:rsid w:val="00063ED7"/>
    <w:rsid w:val="0006461E"/>
    <w:rsid w:val="000646EB"/>
    <w:rsid w:val="00064A35"/>
    <w:rsid w:val="00064BB6"/>
    <w:rsid w:val="00064E17"/>
    <w:rsid w:val="00064E5A"/>
    <w:rsid w:val="0006511F"/>
    <w:rsid w:val="000657DD"/>
    <w:rsid w:val="00065903"/>
    <w:rsid w:val="00065A99"/>
    <w:rsid w:val="0006608C"/>
    <w:rsid w:val="00066683"/>
    <w:rsid w:val="00066BDC"/>
    <w:rsid w:val="000674F0"/>
    <w:rsid w:val="00067A7D"/>
    <w:rsid w:val="00067C3E"/>
    <w:rsid w:val="00067C6D"/>
    <w:rsid w:val="00067EA3"/>
    <w:rsid w:val="00070370"/>
    <w:rsid w:val="000705BB"/>
    <w:rsid w:val="00070A38"/>
    <w:rsid w:val="00070B42"/>
    <w:rsid w:val="0007107F"/>
    <w:rsid w:val="00071468"/>
    <w:rsid w:val="00071700"/>
    <w:rsid w:val="000719AB"/>
    <w:rsid w:val="00072031"/>
    <w:rsid w:val="00072176"/>
    <w:rsid w:val="00072907"/>
    <w:rsid w:val="00072B8D"/>
    <w:rsid w:val="00072DEA"/>
    <w:rsid w:val="000734AE"/>
    <w:rsid w:val="0007358A"/>
    <w:rsid w:val="0007399D"/>
    <w:rsid w:val="00073F36"/>
    <w:rsid w:val="00074415"/>
    <w:rsid w:val="00074DA4"/>
    <w:rsid w:val="00075136"/>
    <w:rsid w:val="000752F3"/>
    <w:rsid w:val="000763B3"/>
    <w:rsid w:val="000779EE"/>
    <w:rsid w:val="00080107"/>
    <w:rsid w:val="000808C2"/>
    <w:rsid w:val="000808E1"/>
    <w:rsid w:val="00080987"/>
    <w:rsid w:val="00080E9C"/>
    <w:rsid w:val="00080ED3"/>
    <w:rsid w:val="000811AA"/>
    <w:rsid w:val="000811CC"/>
    <w:rsid w:val="00081773"/>
    <w:rsid w:val="00081DE1"/>
    <w:rsid w:val="00082175"/>
    <w:rsid w:val="0008235D"/>
    <w:rsid w:val="00082623"/>
    <w:rsid w:val="00082749"/>
    <w:rsid w:val="000827EE"/>
    <w:rsid w:val="00082811"/>
    <w:rsid w:val="0008306B"/>
    <w:rsid w:val="00083899"/>
    <w:rsid w:val="000841F6"/>
    <w:rsid w:val="00084229"/>
    <w:rsid w:val="000842A1"/>
    <w:rsid w:val="00084430"/>
    <w:rsid w:val="00084F35"/>
    <w:rsid w:val="000851BE"/>
    <w:rsid w:val="00085570"/>
    <w:rsid w:val="00085773"/>
    <w:rsid w:val="00085975"/>
    <w:rsid w:val="00085C2B"/>
    <w:rsid w:val="00086324"/>
    <w:rsid w:val="000864C5"/>
    <w:rsid w:val="00087032"/>
    <w:rsid w:val="00087305"/>
    <w:rsid w:val="00087627"/>
    <w:rsid w:val="00087CBB"/>
    <w:rsid w:val="00087E81"/>
    <w:rsid w:val="00090370"/>
    <w:rsid w:val="00090BD8"/>
    <w:rsid w:val="0009121E"/>
    <w:rsid w:val="00091241"/>
    <w:rsid w:val="00091619"/>
    <w:rsid w:val="000917DB"/>
    <w:rsid w:val="00091D92"/>
    <w:rsid w:val="00092416"/>
    <w:rsid w:val="0009260E"/>
    <w:rsid w:val="00092CAA"/>
    <w:rsid w:val="00092DEE"/>
    <w:rsid w:val="000932DF"/>
    <w:rsid w:val="000934A4"/>
    <w:rsid w:val="00093C27"/>
    <w:rsid w:val="00093E86"/>
    <w:rsid w:val="0009449D"/>
    <w:rsid w:val="000944F1"/>
    <w:rsid w:val="000949A0"/>
    <w:rsid w:val="00094BED"/>
    <w:rsid w:val="00094EC0"/>
    <w:rsid w:val="00095408"/>
    <w:rsid w:val="00095785"/>
    <w:rsid w:val="0009592E"/>
    <w:rsid w:val="00095C02"/>
    <w:rsid w:val="000960FE"/>
    <w:rsid w:val="000964C9"/>
    <w:rsid w:val="0009691A"/>
    <w:rsid w:val="00096A09"/>
    <w:rsid w:val="00096FCE"/>
    <w:rsid w:val="000972F8"/>
    <w:rsid w:val="00097477"/>
    <w:rsid w:val="00097515"/>
    <w:rsid w:val="00097694"/>
    <w:rsid w:val="00097810"/>
    <w:rsid w:val="000979CB"/>
    <w:rsid w:val="000A00FE"/>
    <w:rsid w:val="000A090F"/>
    <w:rsid w:val="000A09FF"/>
    <w:rsid w:val="000A0C59"/>
    <w:rsid w:val="000A0EE2"/>
    <w:rsid w:val="000A11A9"/>
    <w:rsid w:val="000A1E16"/>
    <w:rsid w:val="000A229F"/>
    <w:rsid w:val="000A24F5"/>
    <w:rsid w:val="000A26C2"/>
    <w:rsid w:val="000A2816"/>
    <w:rsid w:val="000A298B"/>
    <w:rsid w:val="000A29B7"/>
    <w:rsid w:val="000A2A7B"/>
    <w:rsid w:val="000A2E76"/>
    <w:rsid w:val="000A342C"/>
    <w:rsid w:val="000A3697"/>
    <w:rsid w:val="000A4C1D"/>
    <w:rsid w:val="000A4CC4"/>
    <w:rsid w:val="000A506C"/>
    <w:rsid w:val="000A56C9"/>
    <w:rsid w:val="000A6547"/>
    <w:rsid w:val="000A6A79"/>
    <w:rsid w:val="000A76E5"/>
    <w:rsid w:val="000A794A"/>
    <w:rsid w:val="000A7BFB"/>
    <w:rsid w:val="000A7FB2"/>
    <w:rsid w:val="000B0132"/>
    <w:rsid w:val="000B0337"/>
    <w:rsid w:val="000B1EB4"/>
    <w:rsid w:val="000B22BF"/>
    <w:rsid w:val="000B2666"/>
    <w:rsid w:val="000B29DA"/>
    <w:rsid w:val="000B2AF8"/>
    <w:rsid w:val="000B30E4"/>
    <w:rsid w:val="000B3559"/>
    <w:rsid w:val="000B3705"/>
    <w:rsid w:val="000B391D"/>
    <w:rsid w:val="000B3AF5"/>
    <w:rsid w:val="000B3FFF"/>
    <w:rsid w:val="000B453C"/>
    <w:rsid w:val="000B45AE"/>
    <w:rsid w:val="000B4766"/>
    <w:rsid w:val="000B51C5"/>
    <w:rsid w:val="000B52B5"/>
    <w:rsid w:val="000B5CAB"/>
    <w:rsid w:val="000B6485"/>
    <w:rsid w:val="000B6B6A"/>
    <w:rsid w:val="000B7409"/>
    <w:rsid w:val="000B76E1"/>
    <w:rsid w:val="000B7B8A"/>
    <w:rsid w:val="000B7EAB"/>
    <w:rsid w:val="000C0BCB"/>
    <w:rsid w:val="000C0CA3"/>
    <w:rsid w:val="000C15E9"/>
    <w:rsid w:val="000C1B45"/>
    <w:rsid w:val="000C1CE2"/>
    <w:rsid w:val="000C22B8"/>
    <w:rsid w:val="000C2A4A"/>
    <w:rsid w:val="000C2BAD"/>
    <w:rsid w:val="000C2CAB"/>
    <w:rsid w:val="000C30C7"/>
    <w:rsid w:val="000C34EC"/>
    <w:rsid w:val="000C35AD"/>
    <w:rsid w:val="000C35E4"/>
    <w:rsid w:val="000C3732"/>
    <w:rsid w:val="000C3965"/>
    <w:rsid w:val="000C443A"/>
    <w:rsid w:val="000C5347"/>
    <w:rsid w:val="000C564E"/>
    <w:rsid w:val="000C5D07"/>
    <w:rsid w:val="000C5DC7"/>
    <w:rsid w:val="000C6704"/>
    <w:rsid w:val="000C7408"/>
    <w:rsid w:val="000C7DE7"/>
    <w:rsid w:val="000D00D8"/>
    <w:rsid w:val="000D07EF"/>
    <w:rsid w:val="000D0C9B"/>
    <w:rsid w:val="000D1581"/>
    <w:rsid w:val="000D1B23"/>
    <w:rsid w:val="000D26C3"/>
    <w:rsid w:val="000D2736"/>
    <w:rsid w:val="000D2886"/>
    <w:rsid w:val="000D297C"/>
    <w:rsid w:val="000D2DD9"/>
    <w:rsid w:val="000D3827"/>
    <w:rsid w:val="000D3BE7"/>
    <w:rsid w:val="000D3FC2"/>
    <w:rsid w:val="000D4AF5"/>
    <w:rsid w:val="000D4C6B"/>
    <w:rsid w:val="000D5021"/>
    <w:rsid w:val="000D50EE"/>
    <w:rsid w:val="000D54D7"/>
    <w:rsid w:val="000D5667"/>
    <w:rsid w:val="000D57CF"/>
    <w:rsid w:val="000D5A58"/>
    <w:rsid w:val="000D5B21"/>
    <w:rsid w:val="000D5C63"/>
    <w:rsid w:val="000D5F1A"/>
    <w:rsid w:val="000D5F68"/>
    <w:rsid w:val="000D6201"/>
    <w:rsid w:val="000D6415"/>
    <w:rsid w:val="000D65A6"/>
    <w:rsid w:val="000D6908"/>
    <w:rsid w:val="000D6A8A"/>
    <w:rsid w:val="000D7029"/>
    <w:rsid w:val="000D728C"/>
    <w:rsid w:val="000D790C"/>
    <w:rsid w:val="000D790F"/>
    <w:rsid w:val="000D792E"/>
    <w:rsid w:val="000E047A"/>
    <w:rsid w:val="000E0C1E"/>
    <w:rsid w:val="000E0EBD"/>
    <w:rsid w:val="000E1374"/>
    <w:rsid w:val="000E13BC"/>
    <w:rsid w:val="000E1659"/>
    <w:rsid w:val="000E1FE0"/>
    <w:rsid w:val="000E2D36"/>
    <w:rsid w:val="000E3892"/>
    <w:rsid w:val="000E397D"/>
    <w:rsid w:val="000E3B08"/>
    <w:rsid w:val="000E43FA"/>
    <w:rsid w:val="000E44E8"/>
    <w:rsid w:val="000E4A39"/>
    <w:rsid w:val="000E4DAB"/>
    <w:rsid w:val="000E4F1E"/>
    <w:rsid w:val="000E5034"/>
    <w:rsid w:val="000E74C8"/>
    <w:rsid w:val="000E795A"/>
    <w:rsid w:val="000F0367"/>
    <w:rsid w:val="000F0687"/>
    <w:rsid w:val="000F07E2"/>
    <w:rsid w:val="000F0ACD"/>
    <w:rsid w:val="000F0B2F"/>
    <w:rsid w:val="000F0E36"/>
    <w:rsid w:val="000F101C"/>
    <w:rsid w:val="000F15B9"/>
    <w:rsid w:val="000F2384"/>
    <w:rsid w:val="000F2A58"/>
    <w:rsid w:val="000F31B0"/>
    <w:rsid w:val="000F39A2"/>
    <w:rsid w:val="000F4651"/>
    <w:rsid w:val="000F48B2"/>
    <w:rsid w:val="000F4B79"/>
    <w:rsid w:val="000F4CD1"/>
    <w:rsid w:val="000F50BD"/>
    <w:rsid w:val="000F53F7"/>
    <w:rsid w:val="000F5B4C"/>
    <w:rsid w:val="000F5D1A"/>
    <w:rsid w:val="000F6F9F"/>
    <w:rsid w:val="000F79BD"/>
    <w:rsid w:val="0010001E"/>
    <w:rsid w:val="001003B6"/>
    <w:rsid w:val="00100E75"/>
    <w:rsid w:val="00101218"/>
    <w:rsid w:val="001013FF"/>
    <w:rsid w:val="0010165E"/>
    <w:rsid w:val="001021D6"/>
    <w:rsid w:val="00102740"/>
    <w:rsid w:val="001028B0"/>
    <w:rsid w:val="0010293E"/>
    <w:rsid w:val="0010328A"/>
    <w:rsid w:val="001032BA"/>
    <w:rsid w:val="001038BC"/>
    <w:rsid w:val="00104450"/>
    <w:rsid w:val="00104F1A"/>
    <w:rsid w:val="00105248"/>
    <w:rsid w:val="00105B97"/>
    <w:rsid w:val="00105B98"/>
    <w:rsid w:val="00106273"/>
    <w:rsid w:val="001065AC"/>
    <w:rsid w:val="0010686E"/>
    <w:rsid w:val="00106898"/>
    <w:rsid w:val="001069F3"/>
    <w:rsid w:val="00110125"/>
    <w:rsid w:val="0011124F"/>
    <w:rsid w:val="00111883"/>
    <w:rsid w:val="00111E20"/>
    <w:rsid w:val="00112021"/>
    <w:rsid w:val="00112177"/>
    <w:rsid w:val="0011218D"/>
    <w:rsid w:val="001122B5"/>
    <w:rsid w:val="0011230D"/>
    <w:rsid w:val="001123D5"/>
    <w:rsid w:val="00112531"/>
    <w:rsid w:val="00112DCF"/>
    <w:rsid w:val="00113479"/>
    <w:rsid w:val="001134AD"/>
    <w:rsid w:val="00113C98"/>
    <w:rsid w:val="0011409F"/>
    <w:rsid w:val="0011423D"/>
    <w:rsid w:val="00114674"/>
    <w:rsid w:val="00114840"/>
    <w:rsid w:val="00115504"/>
    <w:rsid w:val="00115571"/>
    <w:rsid w:val="00115B39"/>
    <w:rsid w:val="001161A3"/>
    <w:rsid w:val="00116CEC"/>
    <w:rsid w:val="00116CF0"/>
    <w:rsid w:val="00116D90"/>
    <w:rsid w:val="00116EDE"/>
    <w:rsid w:val="00117E85"/>
    <w:rsid w:val="00120083"/>
    <w:rsid w:val="001200C0"/>
    <w:rsid w:val="001206B2"/>
    <w:rsid w:val="001206E3"/>
    <w:rsid w:val="0012071F"/>
    <w:rsid w:val="00120A70"/>
    <w:rsid w:val="00120B2E"/>
    <w:rsid w:val="00120D50"/>
    <w:rsid w:val="00120EE6"/>
    <w:rsid w:val="001211D8"/>
    <w:rsid w:val="001212F1"/>
    <w:rsid w:val="00121538"/>
    <w:rsid w:val="0012208C"/>
    <w:rsid w:val="001223E8"/>
    <w:rsid w:val="0012270F"/>
    <w:rsid w:val="0012283E"/>
    <w:rsid w:val="0012329D"/>
    <w:rsid w:val="0012350F"/>
    <w:rsid w:val="001235A0"/>
    <w:rsid w:val="00123C23"/>
    <w:rsid w:val="00123C54"/>
    <w:rsid w:val="001241C3"/>
    <w:rsid w:val="00124430"/>
    <w:rsid w:val="001245F9"/>
    <w:rsid w:val="001247EB"/>
    <w:rsid w:val="00124DBF"/>
    <w:rsid w:val="001255B1"/>
    <w:rsid w:val="0012589B"/>
    <w:rsid w:val="00125A97"/>
    <w:rsid w:val="00125E1C"/>
    <w:rsid w:val="00125EAD"/>
    <w:rsid w:val="0012638F"/>
    <w:rsid w:val="001264F3"/>
    <w:rsid w:val="00126DAE"/>
    <w:rsid w:val="00127181"/>
    <w:rsid w:val="00127582"/>
    <w:rsid w:val="00127F18"/>
    <w:rsid w:val="0013005B"/>
    <w:rsid w:val="00130188"/>
    <w:rsid w:val="001303FD"/>
    <w:rsid w:val="00130E6D"/>
    <w:rsid w:val="00131C2F"/>
    <w:rsid w:val="00132383"/>
    <w:rsid w:val="001328AB"/>
    <w:rsid w:val="00132962"/>
    <w:rsid w:val="00132DB0"/>
    <w:rsid w:val="00133A1D"/>
    <w:rsid w:val="00133BEA"/>
    <w:rsid w:val="00133DDB"/>
    <w:rsid w:val="001352C4"/>
    <w:rsid w:val="00136393"/>
    <w:rsid w:val="00136778"/>
    <w:rsid w:val="00136810"/>
    <w:rsid w:val="00136E40"/>
    <w:rsid w:val="00137068"/>
    <w:rsid w:val="0013733B"/>
    <w:rsid w:val="0013739F"/>
    <w:rsid w:val="00137A87"/>
    <w:rsid w:val="0014029E"/>
    <w:rsid w:val="001405E7"/>
    <w:rsid w:val="001409D6"/>
    <w:rsid w:val="00140AB7"/>
    <w:rsid w:val="00140B4D"/>
    <w:rsid w:val="00140DB7"/>
    <w:rsid w:val="00140F32"/>
    <w:rsid w:val="001411E4"/>
    <w:rsid w:val="001416D2"/>
    <w:rsid w:val="00141781"/>
    <w:rsid w:val="001418D7"/>
    <w:rsid w:val="00141A76"/>
    <w:rsid w:val="00141EDA"/>
    <w:rsid w:val="001420D2"/>
    <w:rsid w:val="00142205"/>
    <w:rsid w:val="00142575"/>
    <w:rsid w:val="0014298B"/>
    <w:rsid w:val="0014298F"/>
    <w:rsid w:val="00142F10"/>
    <w:rsid w:val="00142F94"/>
    <w:rsid w:val="001431F3"/>
    <w:rsid w:val="00143674"/>
    <w:rsid w:val="00143E3F"/>
    <w:rsid w:val="00144656"/>
    <w:rsid w:val="00144878"/>
    <w:rsid w:val="0014504F"/>
    <w:rsid w:val="00146DE3"/>
    <w:rsid w:val="00147CFA"/>
    <w:rsid w:val="00150B9B"/>
    <w:rsid w:val="00151827"/>
    <w:rsid w:val="001522B7"/>
    <w:rsid w:val="001529C1"/>
    <w:rsid w:val="00152C40"/>
    <w:rsid w:val="00152C95"/>
    <w:rsid w:val="00152E11"/>
    <w:rsid w:val="00153227"/>
    <w:rsid w:val="00153424"/>
    <w:rsid w:val="001535E3"/>
    <w:rsid w:val="0015370D"/>
    <w:rsid w:val="0015413C"/>
    <w:rsid w:val="0015415E"/>
    <w:rsid w:val="00154325"/>
    <w:rsid w:val="00154401"/>
    <w:rsid w:val="0015457F"/>
    <w:rsid w:val="00154C1D"/>
    <w:rsid w:val="001553A5"/>
    <w:rsid w:val="0015667A"/>
    <w:rsid w:val="00157155"/>
    <w:rsid w:val="0015736B"/>
    <w:rsid w:val="00157711"/>
    <w:rsid w:val="00157D54"/>
    <w:rsid w:val="001601B5"/>
    <w:rsid w:val="001608D2"/>
    <w:rsid w:val="001609B2"/>
    <w:rsid w:val="00160CBD"/>
    <w:rsid w:val="00161340"/>
    <w:rsid w:val="001613DA"/>
    <w:rsid w:val="001615EA"/>
    <w:rsid w:val="00161697"/>
    <w:rsid w:val="001617D6"/>
    <w:rsid w:val="001625ED"/>
    <w:rsid w:val="00162896"/>
    <w:rsid w:val="001628E8"/>
    <w:rsid w:val="00162A4A"/>
    <w:rsid w:val="00163481"/>
    <w:rsid w:val="00163DCA"/>
    <w:rsid w:val="00164E53"/>
    <w:rsid w:val="0016536B"/>
    <w:rsid w:val="001654B5"/>
    <w:rsid w:val="0016593A"/>
    <w:rsid w:val="00165C9E"/>
    <w:rsid w:val="00165E71"/>
    <w:rsid w:val="00165ECD"/>
    <w:rsid w:val="001662A3"/>
    <w:rsid w:val="0016654F"/>
    <w:rsid w:val="001668BF"/>
    <w:rsid w:val="001672DD"/>
    <w:rsid w:val="00167454"/>
    <w:rsid w:val="00167627"/>
    <w:rsid w:val="00167C4F"/>
    <w:rsid w:val="00167E4D"/>
    <w:rsid w:val="00170F6D"/>
    <w:rsid w:val="0017147D"/>
    <w:rsid w:val="001715C5"/>
    <w:rsid w:val="00171C8F"/>
    <w:rsid w:val="0017224C"/>
    <w:rsid w:val="00172704"/>
    <w:rsid w:val="001730E2"/>
    <w:rsid w:val="001731F4"/>
    <w:rsid w:val="001733A2"/>
    <w:rsid w:val="00173876"/>
    <w:rsid w:val="00173997"/>
    <w:rsid w:val="00174B7D"/>
    <w:rsid w:val="0017578A"/>
    <w:rsid w:val="001760F0"/>
    <w:rsid w:val="00176246"/>
    <w:rsid w:val="00176844"/>
    <w:rsid w:val="0017795A"/>
    <w:rsid w:val="00177A2B"/>
    <w:rsid w:val="00177B78"/>
    <w:rsid w:val="001801B1"/>
    <w:rsid w:val="00180AD2"/>
    <w:rsid w:val="00180D99"/>
    <w:rsid w:val="001813D1"/>
    <w:rsid w:val="0018188E"/>
    <w:rsid w:val="00181901"/>
    <w:rsid w:val="001822E5"/>
    <w:rsid w:val="00182D3D"/>
    <w:rsid w:val="00182FFF"/>
    <w:rsid w:val="0018330F"/>
    <w:rsid w:val="00183FB9"/>
    <w:rsid w:val="001846D6"/>
    <w:rsid w:val="00185C6B"/>
    <w:rsid w:val="00185D2C"/>
    <w:rsid w:val="00185DAD"/>
    <w:rsid w:val="001861EA"/>
    <w:rsid w:val="001862E6"/>
    <w:rsid w:val="001864C1"/>
    <w:rsid w:val="0018707D"/>
    <w:rsid w:val="001870B2"/>
    <w:rsid w:val="00187359"/>
    <w:rsid w:val="00187380"/>
    <w:rsid w:val="0018776B"/>
    <w:rsid w:val="0018795A"/>
    <w:rsid w:val="001903EE"/>
    <w:rsid w:val="0019096C"/>
    <w:rsid w:val="001909BD"/>
    <w:rsid w:val="00190D9A"/>
    <w:rsid w:val="00191BC1"/>
    <w:rsid w:val="00191E60"/>
    <w:rsid w:val="00192226"/>
    <w:rsid w:val="00192242"/>
    <w:rsid w:val="00192ACD"/>
    <w:rsid w:val="0019447E"/>
    <w:rsid w:val="00194758"/>
    <w:rsid w:val="00194AB8"/>
    <w:rsid w:val="00194E33"/>
    <w:rsid w:val="001950D8"/>
    <w:rsid w:val="001956C9"/>
    <w:rsid w:val="001956D3"/>
    <w:rsid w:val="00195AE6"/>
    <w:rsid w:val="00195DE3"/>
    <w:rsid w:val="0019603E"/>
    <w:rsid w:val="0019609C"/>
    <w:rsid w:val="001963C0"/>
    <w:rsid w:val="0019657D"/>
    <w:rsid w:val="00196C48"/>
    <w:rsid w:val="00196E87"/>
    <w:rsid w:val="00197128"/>
    <w:rsid w:val="00197783"/>
    <w:rsid w:val="00197D6D"/>
    <w:rsid w:val="00197EF0"/>
    <w:rsid w:val="001A0113"/>
    <w:rsid w:val="001A03B3"/>
    <w:rsid w:val="001A0810"/>
    <w:rsid w:val="001A0E64"/>
    <w:rsid w:val="001A1038"/>
    <w:rsid w:val="001A10E9"/>
    <w:rsid w:val="001A1227"/>
    <w:rsid w:val="001A2609"/>
    <w:rsid w:val="001A292D"/>
    <w:rsid w:val="001A2C08"/>
    <w:rsid w:val="001A2E56"/>
    <w:rsid w:val="001A2F69"/>
    <w:rsid w:val="001A408B"/>
    <w:rsid w:val="001A4537"/>
    <w:rsid w:val="001A4613"/>
    <w:rsid w:val="001A49F6"/>
    <w:rsid w:val="001A4A4D"/>
    <w:rsid w:val="001A5496"/>
    <w:rsid w:val="001A57BE"/>
    <w:rsid w:val="001A5823"/>
    <w:rsid w:val="001A5BD1"/>
    <w:rsid w:val="001A642C"/>
    <w:rsid w:val="001A6623"/>
    <w:rsid w:val="001A6980"/>
    <w:rsid w:val="001A6A03"/>
    <w:rsid w:val="001A773A"/>
    <w:rsid w:val="001A7866"/>
    <w:rsid w:val="001A78F0"/>
    <w:rsid w:val="001A7B5B"/>
    <w:rsid w:val="001B0191"/>
    <w:rsid w:val="001B036E"/>
    <w:rsid w:val="001B04E8"/>
    <w:rsid w:val="001B0715"/>
    <w:rsid w:val="001B0E55"/>
    <w:rsid w:val="001B0EFE"/>
    <w:rsid w:val="001B1EDD"/>
    <w:rsid w:val="001B1EE1"/>
    <w:rsid w:val="001B2392"/>
    <w:rsid w:val="001B27F3"/>
    <w:rsid w:val="001B2A52"/>
    <w:rsid w:val="001B2ACE"/>
    <w:rsid w:val="001B343A"/>
    <w:rsid w:val="001B34DC"/>
    <w:rsid w:val="001B39C3"/>
    <w:rsid w:val="001B3A3E"/>
    <w:rsid w:val="001B5373"/>
    <w:rsid w:val="001B54F1"/>
    <w:rsid w:val="001B583F"/>
    <w:rsid w:val="001B5B71"/>
    <w:rsid w:val="001B6179"/>
    <w:rsid w:val="001B7045"/>
    <w:rsid w:val="001B70C9"/>
    <w:rsid w:val="001B7218"/>
    <w:rsid w:val="001B76EC"/>
    <w:rsid w:val="001B7B20"/>
    <w:rsid w:val="001C0688"/>
    <w:rsid w:val="001C0D0F"/>
    <w:rsid w:val="001C10CA"/>
    <w:rsid w:val="001C1169"/>
    <w:rsid w:val="001C1419"/>
    <w:rsid w:val="001C1AC4"/>
    <w:rsid w:val="001C23BB"/>
    <w:rsid w:val="001C23E8"/>
    <w:rsid w:val="001C2CD8"/>
    <w:rsid w:val="001C36ED"/>
    <w:rsid w:val="001C388D"/>
    <w:rsid w:val="001C3BA5"/>
    <w:rsid w:val="001C3CFD"/>
    <w:rsid w:val="001C3D38"/>
    <w:rsid w:val="001C403E"/>
    <w:rsid w:val="001C4113"/>
    <w:rsid w:val="001C4168"/>
    <w:rsid w:val="001C4474"/>
    <w:rsid w:val="001C4CD2"/>
    <w:rsid w:val="001C54CF"/>
    <w:rsid w:val="001C56D9"/>
    <w:rsid w:val="001C59B7"/>
    <w:rsid w:val="001C6287"/>
    <w:rsid w:val="001C71F9"/>
    <w:rsid w:val="001C7BD4"/>
    <w:rsid w:val="001D037C"/>
    <w:rsid w:val="001D03F2"/>
    <w:rsid w:val="001D092B"/>
    <w:rsid w:val="001D0A88"/>
    <w:rsid w:val="001D1750"/>
    <w:rsid w:val="001D18A7"/>
    <w:rsid w:val="001D191C"/>
    <w:rsid w:val="001D1C4A"/>
    <w:rsid w:val="001D1C4F"/>
    <w:rsid w:val="001D1C7F"/>
    <w:rsid w:val="001D25D0"/>
    <w:rsid w:val="001D27B0"/>
    <w:rsid w:val="001D3663"/>
    <w:rsid w:val="001D37EF"/>
    <w:rsid w:val="001D3951"/>
    <w:rsid w:val="001D3D86"/>
    <w:rsid w:val="001D3F08"/>
    <w:rsid w:val="001D43FC"/>
    <w:rsid w:val="001D4DFB"/>
    <w:rsid w:val="001D519E"/>
    <w:rsid w:val="001D5F5D"/>
    <w:rsid w:val="001D620A"/>
    <w:rsid w:val="001D6AC7"/>
    <w:rsid w:val="001D6B0D"/>
    <w:rsid w:val="001D6CA5"/>
    <w:rsid w:val="001D7298"/>
    <w:rsid w:val="001D76D3"/>
    <w:rsid w:val="001D7915"/>
    <w:rsid w:val="001E0242"/>
    <w:rsid w:val="001E05BF"/>
    <w:rsid w:val="001E1E73"/>
    <w:rsid w:val="001E2708"/>
    <w:rsid w:val="001E2C71"/>
    <w:rsid w:val="001E32D8"/>
    <w:rsid w:val="001E333B"/>
    <w:rsid w:val="001E33DD"/>
    <w:rsid w:val="001E34EA"/>
    <w:rsid w:val="001E3664"/>
    <w:rsid w:val="001E3977"/>
    <w:rsid w:val="001E3AD5"/>
    <w:rsid w:val="001E3E92"/>
    <w:rsid w:val="001E427F"/>
    <w:rsid w:val="001E45D8"/>
    <w:rsid w:val="001E49C5"/>
    <w:rsid w:val="001E4E43"/>
    <w:rsid w:val="001E5C6F"/>
    <w:rsid w:val="001E6042"/>
    <w:rsid w:val="001E61D7"/>
    <w:rsid w:val="001E63E6"/>
    <w:rsid w:val="001E644A"/>
    <w:rsid w:val="001E6672"/>
    <w:rsid w:val="001E7113"/>
    <w:rsid w:val="001E75E0"/>
    <w:rsid w:val="001E76BF"/>
    <w:rsid w:val="001E7FFA"/>
    <w:rsid w:val="001F027A"/>
    <w:rsid w:val="001F14FC"/>
    <w:rsid w:val="001F2385"/>
    <w:rsid w:val="001F25AD"/>
    <w:rsid w:val="001F271D"/>
    <w:rsid w:val="001F2870"/>
    <w:rsid w:val="001F37D1"/>
    <w:rsid w:val="001F3B0D"/>
    <w:rsid w:val="001F3B52"/>
    <w:rsid w:val="001F4504"/>
    <w:rsid w:val="001F550B"/>
    <w:rsid w:val="001F5539"/>
    <w:rsid w:val="001F62A6"/>
    <w:rsid w:val="001F68FF"/>
    <w:rsid w:val="001F7E9F"/>
    <w:rsid w:val="00200192"/>
    <w:rsid w:val="002001BA"/>
    <w:rsid w:val="0020093D"/>
    <w:rsid w:val="00200B63"/>
    <w:rsid w:val="00200F9B"/>
    <w:rsid w:val="00201075"/>
    <w:rsid w:val="0020181D"/>
    <w:rsid w:val="00201BA2"/>
    <w:rsid w:val="00201E99"/>
    <w:rsid w:val="00203531"/>
    <w:rsid w:val="002035D6"/>
    <w:rsid w:val="0020370E"/>
    <w:rsid w:val="00203C3F"/>
    <w:rsid w:val="00203CCF"/>
    <w:rsid w:val="00203F0D"/>
    <w:rsid w:val="00204A2C"/>
    <w:rsid w:val="002054CF"/>
    <w:rsid w:val="0020644A"/>
    <w:rsid w:val="002067B1"/>
    <w:rsid w:val="00206D12"/>
    <w:rsid w:val="00206E84"/>
    <w:rsid w:val="00207ECD"/>
    <w:rsid w:val="00207F44"/>
    <w:rsid w:val="002100CC"/>
    <w:rsid w:val="00210576"/>
    <w:rsid w:val="00210BAF"/>
    <w:rsid w:val="0021169C"/>
    <w:rsid w:val="002123E4"/>
    <w:rsid w:val="0021249C"/>
    <w:rsid w:val="00212667"/>
    <w:rsid w:val="002126B0"/>
    <w:rsid w:val="002129EE"/>
    <w:rsid w:val="00212AEF"/>
    <w:rsid w:val="00212EB2"/>
    <w:rsid w:val="00212FFE"/>
    <w:rsid w:val="00213EAB"/>
    <w:rsid w:val="00213FE2"/>
    <w:rsid w:val="00214442"/>
    <w:rsid w:val="0021446B"/>
    <w:rsid w:val="0021458F"/>
    <w:rsid w:val="002145DC"/>
    <w:rsid w:val="00214812"/>
    <w:rsid w:val="0021494A"/>
    <w:rsid w:val="002151F6"/>
    <w:rsid w:val="002152D4"/>
    <w:rsid w:val="002157D0"/>
    <w:rsid w:val="00215A31"/>
    <w:rsid w:val="00215DCD"/>
    <w:rsid w:val="0021651A"/>
    <w:rsid w:val="0021667E"/>
    <w:rsid w:val="00216983"/>
    <w:rsid w:val="00216E75"/>
    <w:rsid w:val="00217081"/>
    <w:rsid w:val="00217595"/>
    <w:rsid w:val="002175FB"/>
    <w:rsid w:val="00217B10"/>
    <w:rsid w:val="00220519"/>
    <w:rsid w:val="002211FE"/>
    <w:rsid w:val="0022120F"/>
    <w:rsid w:val="00221403"/>
    <w:rsid w:val="00221BD3"/>
    <w:rsid w:val="002222DA"/>
    <w:rsid w:val="00222740"/>
    <w:rsid w:val="00222BE6"/>
    <w:rsid w:val="00222BF8"/>
    <w:rsid w:val="002233B9"/>
    <w:rsid w:val="00223D18"/>
    <w:rsid w:val="00223DE3"/>
    <w:rsid w:val="002243D5"/>
    <w:rsid w:val="00225113"/>
    <w:rsid w:val="0022522A"/>
    <w:rsid w:val="002253F8"/>
    <w:rsid w:val="00225861"/>
    <w:rsid w:val="0022649C"/>
    <w:rsid w:val="002266B2"/>
    <w:rsid w:val="00226787"/>
    <w:rsid w:val="00226A6E"/>
    <w:rsid w:val="00226CA3"/>
    <w:rsid w:val="00227311"/>
    <w:rsid w:val="00230265"/>
    <w:rsid w:val="002304B4"/>
    <w:rsid w:val="00230B82"/>
    <w:rsid w:val="00230CF6"/>
    <w:rsid w:val="0023165A"/>
    <w:rsid w:val="00231AA5"/>
    <w:rsid w:val="00231EB0"/>
    <w:rsid w:val="00231FE7"/>
    <w:rsid w:val="0023258E"/>
    <w:rsid w:val="00232CE0"/>
    <w:rsid w:val="00232E4F"/>
    <w:rsid w:val="0023362E"/>
    <w:rsid w:val="002339BF"/>
    <w:rsid w:val="00233EF5"/>
    <w:rsid w:val="002344A3"/>
    <w:rsid w:val="00234870"/>
    <w:rsid w:val="002351F6"/>
    <w:rsid w:val="0023539F"/>
    <w:rsid w:val="002363D5"/>
    <w:rsid w:val="00236593"/>
    <w:rsid w:val="002366E8"/>
    <w:rsid w:val="0023787B"/>
    <w:rsid w:val="00237992"/>
    <w:rsid w:val="00237C67"/>
    <w:rsid w:val="002402ED"/>
    <w:rsid w:val="00240343"/>
    <w:rsid w:val="00240549"/>
    <w:rsid w:val="0024115F"/>
    <w:rsid w:val="00241DA6"/>
    <w:rsid w:val="00242229"/>
    <w:rsid w:val="00242E7A"/>
    <w:rsid w:val="0024348B"/>
    <w:rsid w:val="00243A56"/>
    <w:rsid w:val="00243D17"/>
    <w:rsid w:val="002442EB"/>
    <w:rsid w:val="002451B7"/>
    <w:rsid w:val="00245605"/>
    <w:rsid w:val="00245973"/>
    <w:rsid w:val="00245ACB"/>
    <w:rsid w:val="00245B07"/>
    <w:rsid w:val="00245CD9"/>
    <w:rsid w:val="00245D49"/>
    <w:rsid w:val="00245FCC"/>
    <w:rsid w:val="00246285"/>
    <w:rsid w:val="0024657D"/>
    <w:rsid w:val="00246687"/>
    <w:rsid w:val="00247024"/>
    <w:rsid w:val="002500B7"/>
    <w:rsid w:val="0025042B"/>
    <w:rsid w:val="0025141B"/>
    <w:rsid w:val="00251B87"/>
    <w:rsid w:val="00252AED"/>
    <w:rsid w:val="0025369A"/>
    <w:rsid w:val="00253D04"/>
    <w:rsid w:val="00255114"/>
    <w:rsid w:val="002553C2"/>
    <w:rsid w:val="00255F6B"/>
    <w:rsid w:val="00256014"/>
    <w:rsid w:val="00256629"/>
    <w:rsid w:val="0025680D"/>
    <w:rsid w:val="00256DAD"/>
    <w:rsid w:val="002574E9"/>
    <w:rsid w:val="002576BC"/>
    <w:rsid w:val="00257A04"/>
    <w:rsid w:val="002600ED"/>
    <w:rsid w:val="00260145"/>
    <w:rsid w:val="002601DA"/>
    <w:rsid w:val="0026040A"/>
    <w:rsid w:val="0026109A"/>
    <w:rsid w:val="00261398"/>
    <w:rsid w:val="00261819"/>
    <w:rsid w:val="00261C3D"/>
    <w:rsid w:val="0026230A"/>
    <w:rsid w:val="00262741"/>
    <w:rsid w:val="00262D91"/>
    <w:rsid w:val="002630B6"/>
    <w:rsid w:val="002634EC"/>
    <w:rsid w:val="00263F82"/>
    <w:rsid w:val="002642CD"/>
    <w:rsid w:val="00264A9C"/>
    <w:rsid w:val="00265197"/>
    <w:rsid w:val="00265449"/>
    <w:rsid w:val="00266499"/>
    <w:rsid w:val="00266900"/>
    <w:rsid w:val="00266B18"/>
    <w:rsid w:val="00266C83"/>
    <w:rsid w:val="00267835"/>
    <w:rsid w:val="00267969"/>
    <w:rsid w:val="00270313"/>
    <w:rsid w:val="00270970"/>
    <w:rsid w:val="00270C8B"/>
    <w:rsid w:val="00271821"/>
    <w:rsid w:val="00272FB6"/>
    <w:rsid w:val="002733FB"/>
    <w:rsid w:val="00273469"/>
    <w:rsid w:val="00273754"/>
    <w:rsid w:val="00274DF9"/>
    <w:rsid w:val="00275356"/>
    <w:rsid w:val="00275973"/>
    <w:rsid w:val="002760ED"/>
    <w:rsid w:val="002765BB"/>
    <w:rsid w:val="002767A4"/>
    <w:rsid w:val="00276BB7"/>
    <w:rsid w:val="00277338"/>
    <w:rsid w:val="00277713"/>
    <w:rsid w:val="00277B5A"/>
    <w:rsid w:val="00277FF1"/>
    <w:rsid w:val="00280781"/>
    <w:rsid w:val="00281097"/>
    <w:rsid w:val="002810C8"/>
    <w:rsid w:val="0028119C"/>
    <w:rsid w:val="0028122E"/>
    <w:rsid w:val="002815E2"/>
    <w:rsid w:val="00281A1E"/>
    <w:rsid w:val="00281AAB"/>
    <w:rsid w:val="00281B0D"/>
    <w:rsid w:val="00281C51"/>
    <w:rsid w:val="00281FEE"/>
    <w:rsid w:val="002826C3"/>
    <w:rsid w:val="0028290E"/>
    <w:rsid w:val="00282DEF"/>
    <w:rsid w:val="00283049"/>
    <w:rsid w:val="00283E6C"/>
    <w:rsid w:val="00283FF0"/>
    <w:rsid w:val="002843F6"/>
    <w:rsid w:val="0028442C"/>
    <w:rsid w:val="002847B7"/>
    <w:rsid w:val="00284E99"/>
    <w:rsid w:val="00285627"/>
    <w:rsid w:val="00285FD6"/>
    <w:rsid w:val="00286192"/>
    <w:rsid w:val="002864F7"/>
    <w:rsid w:val="00286F40"/>
    <w:rsid w:val="00287305"/>
    <w:rsid w:val="00287818"/>
    <w:rsid w:val="00287ABD"/>
    <w:rsid w:val="00290E94"/>
    <w:rsid w:val="00291223"/>
    <w:rsid w:val="00291473"/>
    <w:rsid w:val="00291DC7"/>
    <w:rsid w:val="00292B6D"/>
    <w:rsid w:val="00292CFA"/>
    <w:rsid w:val="00293137"/>
    <w:rsid w:val="00293F3F"/>
    <w:rsid w:val="00293F83"/>
    <w:rsid w:val="00294666"/>
    <w:rsid w:val="002954D8"/>
    <w:rsid w:val="002956B9"/>
    <w:rsid w:val="002957D1"/>
    <w:rsid w:val="002959EF"/>
    <w:rsid w:val="002962C3"/>
    <w:rsid w:val="00296A2C"/>
    <w:rsid w:val="002A0231"/>
    <w:rsid w:val="002A09CB"/>
    <w:rsid w:val="002A0D83"/>
    <w:rsid w:val="002A1533"/>
    <w:rsid w:val="002A18A3"/>
    <w:rsid w:val="002A1E72"/>
    <w:rsid w:val="002A1FD3"/>
    <w:rsid w:val="002A2346"/>
    <w:rsid w:val="002A27FF"/>
    <w:rsid w:val="002A380B"/>
    <w:rsid w:val="002A42EF"/>
    <w:rsid w:val="002A44AD"/>
    <w:rsid w:val="002A48F3"/>
    <w:rsid w:val="002A5969"/>
    <w:rsid w:val="002A5983"/>
    <w:rsid w:val="002A6631"/>
    <w:rsid w:val="002A6896"/>
    <w:rsid w:val="002A7072"/>
    <w:rsid w:val="002A717E"/>
    <w:rsid w:val="002A7745"/>
    <w:rsid w:val="002A7992"/>
    <w:rsid w:val="002A7C13"/>
    <w:rsid w:val="002A7CA8"/>
    <w:rsid w:val="002A7F77"/>
    <w:rsid w:val="002B07EA"/>
    <w:rsid w:val="002B0A55"/>
    <w:rsid w:val="002B0CFF"/>
    <w:rsid w:val="002B0EA8"/>
    <w:rsid w:val="002B1210"/>
    <w:rsid w:val="002B16BA"/>
    <w:rsid w:val="002B1970"/>
    <w:rsid w:val="002B1FF9"/>
    <w:rsid w:val="002B249F"/>
    <w:rsid w:val="002B26EA"/>
    <w:rsid w:val="002B2DA3"/>
    <w:rsid w:val="002B33F1"/>
    <w:rsid w:val="002B3433"/>
    <w:rsid w:val="002B38A5"/>
    <w:rsid w:val="002B38EB"/>
    <w:rsid w:val="002B485F"/>
    <w:rsid w:val="002B4A0E"/>
    <w:rsid w:val="002B4DAA"/>
    <w:rsid w:val="002B52C2"/>
    <w:rsid w:val="002B589C"/>
    <w:rsid w:val="002B5C7C"/>
    <w:rsid w:val="002B7C63"/>
    <w:rsid w:val="002C0CBE"/>
    <w:rsid w:val="002C0EAE"/>
    <w:rsid w:val="002C161C"/>
    <w:rsid w:val="002C1850"/>
    <w:rsid w:val="002C2217"/>
    <w:rsid w:val="002C2943"/>
    <w:rsid w:val="002C350C"/>
    <w:rsid w:val="002C35AE"/>
    <w:rsid w:val="002C3E53"/>
    <w:rsid w:val="002C46A3"/>
    <w:rsid w:val="002C47D3"/>
    <w:rsid w:val="002C47FF"/>
    <w:rsid w:val="002C484F"/>
    <w:rsid w:val="002C4CB5"/>
    <w:rsid w:val="002C5003"/>
    <w:rsid w:val="002C5400"/>
    <w:rsid w:val="002C545E"/>
    <w:rsid w:val="002C5588"/>
    <w:rsid w:val="002C5D41"/>
    <w:rsid w:val="002C5D5E"/>
    <w:rsid w:val="002C5E49"/>
    <w:rsid w:val="002C5E79"/>
    <w:rsid w:val="002D005F"/>
    <w:rsid w:val="002D0925"/>
    <w:rsid w:val="002D11C3"/>
    <w:rsid w:val="002D141D"/>
    <w:rsid w:val="002D14FE"/>
    <w:rsid w:val="002D2A83"/>
    <w:rsid w:val="002D2B92"/>
    <w:rsid w:val="002D2BAD"/>
    <w:rsid w:val="002D2BF6"/>
    <w:rsid w:val="002D2C7C"/>
    <w:rsid w:val="002D2D9C"/>
    <w:rsid w:val="002D3083"/>
    <w:rsid w:val="002D31F2"/>
    <w:rsid w:val="002D3763"/>
    <w:rsid w:val="002D3898"/>
    <w:rsid w:val="002D3FDE"/>
    <w:rsid w:val="002D405F"/>
    <w:rsid w:val="002D40AB"/>
    <w:rsid w:val="002D4BB6"/>
    <w:rsid w:val="002D4E07"/>
    <w:rsid w:val="002D507C"/>
    <w:rsid w:val="002D58F2"/>
    <w:rsid w:val="002D59CF"/>
    <w:rsid w:val="002D61B3"/>
    <w:rsid w:val="002D6803"/>
    <w:rsid w:val="002D68CE"/>
    <w:rsid w:val="002D6BCA"/>
    <w:rsid w:val="002D6BDF"/>
    <w:rsid w:val="002D6FD8"/>
    <w:rsid w:val="002E0EB0"/>
    <w:rsid w:val="002E0FC6"/>
    <w:rsid w:val="002E10BD"/>
    <w:rsid w:val="002E1427"/>
    <w:rsid w:val="002E20BC"/>
    <w:rsid w:val="002E2408"/>
    <w:rsid w:val="002E2711"/>
    <w:rsid w:val="002E28DF"/>
    <w:rsid w:val="002E3CEF"/>
    <w:rsid w:val="002E4328"/>
    <w:rsid w:val="002E4691"/>
    <w:rsid w:val="002E4964"/>
    <w:rsid w:val="002E55D8"/>
    <w:rsid w:val="002E64B1"/>
    <w:rsid w:val="002E72E7"/>
    <w:rsid w:val="002E76B3"/>
    <w:rsid w:val="002E7A10"/>
    <w:rsid w:val="002E7E6D"/>
    <w:rsid w:val="002F00EF"/>
    <w:rsid w:val="002F024D"/>
    <w:rsid w:val="002F0A6C"/>
    <w:rsid w:val="002F0AA3"/>
    <w:rsid w:val="002F100F"/>
    <w:rsid w:val="002F13D5"/>
    <w:rsid w:val="002F19B3"/>
    <w:rsid w:val="002F1C9C"/>
    <w:rsid w:val="002F2059"/>
    <w:rsid w:val="002F25B5"/>
    <w:rsid w:val="002F2684"/>
    <w:rsid w:val="002F2EC8"/>
    <w:rsid w:val="002F312C"/>
    <w:rsid w:val="002F38C6"/>
    <w:rsid w:val="002F4460"/>
    <w:rsid w:val="002F485C"/>
    <w:rsid w:val="002F4B6A"/>
    <w:rsid w:val="002F4DA5"/>
    <w:rsid w:val="002F50EB"/>
    <w:rsid w:val="002F56A4"/>
    <w:rsid w:val="002F58CF"/>
    <w:rsid w:val="002F5C2E"/>
    <w:rsid w:val="002F5CD1"/>
    <w:rsid w:val="002F6031"/>
    <w:rsid w:val="002F6246"/>
    <w:rsid w:val="002F6643"/>
    <w:rsid w:val="002F6A75"/>
    <w:rsid w:val="002F6CF4"/>
    <w:rsid w:val="002F708F"/>
    <w:rsid w:val="002F76E7"/>
    <w:rsid w:val="002F78B3"/>
    <w:rsid w:val="002F7CF6"/>
    <w:rsid w:val="002F7F86"/>
    <w:rsid w:val="003001A9"/>
    <w:rsid w:val="003003E7"/>
    <w:rsid w:val="0030071E"/>
    <w:rsid w:val="0030084F"/>
    <w:rsid w:val="00300F6C"/>
    <w:rsid w:val="00300FA6"/>
    <w:rsid w:val="0030104D"/>
    <w:rsid w:val="00301337"/>
    <w:rsid w:val="003015B0"/>
    <w:rsid w:val="00301836"/>
    <w:rsid w:val="00301E52"/>
    <w:rsid w:val="00301F0B"/>
    <w:rsid w:val="003022D3"/>
    <w:rsid w:val="003025D8"/>
    <w:rsid w:val="003025EB"/>
    <w:rsid w:val="00302935"/>
    <w:rsid w:val="00302A45"/>
    <w:rsid w:val="00302EB1"/>
    <w:rsid w:val="00302FA5"/>
    <w:rsid w:val="003030BF"/>
    <w:rsid w:val="00304589"/>
    <w:rsid w:val="003048D3"/>
    <w:rsid w:val="00304C33"/>
    <w:rsid w:val="00305DB8"/>
    <w:rsid w:val="00305F48"/>
    <w:rsid w:val="00306209"/>
    <w:rsid w:val="00306972"/>
    <w:rsid w:val="003073F0"/>
    <w:rsid w:val="00307408"/>
    <w:rsid w:val="0030756B"/>
    <w:rsid w:val="00307C25"/>
    <w:rsid w:val="00310B7C"/>
    <w:rsid w:val="00311023"/>
    <w:rsid w:val="0031108D"/>
    <w:rsid w:val="00311724"/>
    <w:rsid w:val="00311807"/>
    <w:rsid w:val="003118A0"/>
    <w:rsid w:val="0031216B"/>
    <w:rsid w:val="00312A1D"/>
    <w:rsid w:val="00312A5D"/>
    <w:rsid w:val="00312EE5"/>
    <w:rsid w:val="00313134"/>
    <w:rsid w:val="003136AF"/>
    <w:rsid w:val="003137BB"/>
    <w:rsid w:val="0031387E"/>
    <w:rsid w:val="003140B5"/>
    <w:rsid w:val="00314277"/>
    <w:rsid w:val="003149B9"/>
    <w:rsid w:val="003154DB"/>
    <w:rsid w:val="00315A3E"/>
    <w:rsid w:val="00315B0A"/>
    <w:rsid w:val="003160A4"/>
    <w:rsid w:val="00316F07"/>
    <w:rsid w:val="00316FC8"/>
    <w:rsid w:val="00317836"/>
    <w:rsid w:val="003178E7"/>
    <w:rsid w:val="003204A7"/>
    <w:rsid w:val="003211E3"/>
    <w:rsid w:val="003217FA"/>
    <w:rsid w:val="00321A4D"/>
    <w:rsid w:val="00321BA2"/>
    <w:rsid w:val="00321ED4"/>
    <w:rsid w:val="00322263"/>
    <w:rsid w:val="0032228A"/>
    <w:rsid w:val="00322316"/>
    <w:rsid w:val="003223BE"/>
    <w:rsid w:val="003228BA"/>
    <w:rsid w:val="003228F9"/>
    <w:rsid w:val="00322955"/>
    <w:rsid w:val="00323076"/>
    <w:rsid w:val="003235AA"/>
    <w:rsid w:val="003237AE"/>
    <w:rsid w:val="00323E24"/>
    <w:rsid w:val="00324171"/>
    <w:rsid w:val="003248C6"/>
    <w:rsid w:val="003249D8"/>
    <w:rsid w:val="00324E82"/>
    <w:rsid w:val="003256A7"/>
    <w:rsid w:val="00325835"/>
    <w:rsid w:val="00325C56"/>
    <w:rsid w:val="00326166"/>
    <w:rsid w:val="00326364"/>
    <w:rsid w:val="0032649A"/>
    <w:rsid w:val="0032692A"/>
    <w:rsid w:val="003275AC"/>
    <w:rsid w:val="0033049F"/>
    <w:rsid w:val="0033080C"/>
    <w:rsid w:val="00330B68"/>
    <w:rsid w:val="00330D84"/>
    <w:rsid w:val="00331223"/>
    <w:rsid w:val="00331348"/>
    <w:rsid w:val="00331400"/>
    <w:rsid w:val="00331C6D"/>
    <w:rsid w:val="00332D48"/>
    <w:rsid w:val="00332FF7"/>
    <w:rsid w:val="00333401"/>
    <w:rsid w:val="003334CE"/>
    <w:rsid w:val="003339EB"/>
    <w:rsid w:val="00333BAB"/>
    <w:rsid w:val="00333DE6"/>
    <w:rsid w:val="00333EB3"/>
    <w:rsid w:val="00333F3E"/>
    <w:rsid w:val="00334336"/>
    <w:rsid w:val="0033474E"/>
    <w:rsid w:val="003349CA"/>
    <w:rsid w:val="00334C89"/>
    <w:rsid w:val="00334CC9"/>
    <w:rsid w:val="003350C9"/>
    <w:rsid w:val="00335AAD"/>
    <w:rsid w:val="00336FC3"/>
    <w:rsid w:val="0033748A"/>
    <w:rsid w:val="00337875"/>
    <w:rsid w:val="00337D45"/>
    <w:rsid w:val="00337F50"/>
    <w:rsid w:val="00340DFB"/>
    <w:rsid w:val="0034180D"/>
    <w:rsid w:val="00341C03"/>
    <w:rsid w:val="00341E55"/>
    <w:rsid w:val="00342027"/>
    <w:rsid w:val="003424CC"/>
    <w:rsid w:val="00342E83"/>
    <w:rsid w:val="00343133"/>
    <w:rsid w:val="003435E6"/>
    <w:rsid w:val="00343842"/>
    <w:rsid w:val="00343D2C"/>
    <w:rsid w:val="00343EDE"/>
    <w:rsid w:val="00344442"/>
    <w:rsid w:val="00344720"/>
    <w:rsid w:val="00344E60"/>
    <w:rsid w:val="00345264"/>
    <w:rsid w:val="00345342"/>
    <w:rsid w:val="003458E0"/>
    <w:rsid w:val="00346228"/>
    <w:rsid w:val="00346293"/>
    <w:rsid w:val="0034638A"/>
    <w:rsid w:val="00346848"/>
    <w:rsid w:val="00346E0A"/>
    <w:rsid w:val="00346FE4"/>
    <w:rsid w:val="003476E9"/>
    <w:rsid w:val="003503F8"/>
    <w:rsid w:val="00350B0C"/>
    <w:rsid w:val="00350DD8"/>
    <w:rsid w:val="0035110A"/>
    <w:rsid w:val="003518DE"/>
    <w:rsid w:val="00351D59"/>
    <w:rsid w:val="00351F7C"/>
    <w:rsid w:val="00352179"/>
    <w:rsid w:val="00353249"/>
    <w:rsid w:val="00353289"/>
    <w:rsid w:val="00353416"/>
    <w:rsid w:val="00353D03"/>
    <w:rsid w:val="00353D19"/>
    <w:rsid w:val="00353E90"/>
    <w:rsid w:val="003540AF"/>
    <w:rsid w:val="0035456D"/>
    <w:rsid w:val="003550C6"/>
    <w:rsid w:val="003551BB"/>
    <w:rsid w:val="003555F6"/>
    <w:rsid w:val="00355609"/>
    <w:rsid w:val="00355887"/>
    <w:rsid w:val="00355F34"/>
    <w:rsid w:val="003562F0"/>
    <w:rsid w:val="003563D9"/>
    <w:rsid w:val="00356AE2"/>
    <w:rsid w:val="00356F94"/>
    <w:rsid w:val="00357088"/>
    <w:rsid w:val="00357191"/>
    <w:rsid w:val="003572B9"/>
    <w:rsid w:val="00357308"/>
    <w:rsid w:val="003573EC"/>
    <w:rsid w:val="0035780C"/>
    <w:rsid w:val="003578F1"/>
    <w:rsid w:val="00357902"/>
    <w:rsid w:val="00357A3E"/>
    <w:rsid w:val="00357D2A"/>
    <w:rsid w:val="00357F00"/>
    <w:rsid w:val="003604A7"/>
    <w:rsid w:val="00361963"/>
    <w:rsid w:val="00361A95"/>
    <w:rsid w:val="0036207E"/>
    <w:rsid w:val="0036291F"/>
    <w:rsid w:val="00362B0A"/>
    <w:rsid w:val="003630FD"/>
    <w:rsid w:val="00364176"/>
    <w:rsid w:val="00364618"/>
    <w:rsid w:val="00364779"/>
    <w:rsid w:val="00364835"/>
    <w:rsid w:val="00364C70"/>
    <w:rsid w:val="00364D06"/>
    <w:rsid w:val="00364D16"/>
    <w:rsid w:val="003654F3"/>
    <w:rsid w:val="00365CD3"/>
    <w:rsid w:val="003662E3"/>
    <w:rsid w:val="00366923"/>
    <w:rsid w:val="003669AA"/>
    <w:rsid w:val="0036708A"/>
    <w:rsid w:val="003674BF"/>
    <w:rsid w:val="00367613"/>
    <w:rsid w:val="00367899"/>
    <w:rsid w:val="00367915"/>
    <w:rsid w:val="0036793C"/>
    <w:rsid w:val="003679C0"/>
    <w:rsid w:val="00367A2F"/>
    <w:rsid w:val="00367E4C"/>
    <w:rsid w:val="00367FA1"/>
    <w:rsid w:val="00370848"/>
    <w:rsid w:val="00370935"/>
    <w:rsid w:val="00370A02"/>
    <w:rsid w:val="00370E8B"/>
    <w:rsid w:val="00370EAB"/>
    <w:rsid w:val="003713EE"/>
    <w:rsid w:val="0037142E"/>
    <w:rsid w:val="00371AC5"/>
    <w:rsid w:val="00371B87"/>
    <w:rsid w:val="00371CDD"/>
    <w:rsid w:val="00372156"/>
    <w:rsid w:val="003727F9"/>
    <w:rsid w:val="00372AF9"/>
    <w:rsid w:val="00372DA5"/>
    <w:rsid w:val="00372F29"/>
    <w:rsid w:val="00372FCE"/>
    <w:rsid w:val="00373567"/>
    <w:rsid w:val="00373C0B"/>
    <w:rsid w:val="00373C54"/>
    <w:rsid w:val="00373E66"/>
    <w:rsid w:val="00374268"/>
    <w:rsid w:val="00374698"/>
    <w:rsid w:val="003749AC"/>
    <w:rsid w:val="00374A7F"/>
    <w:rsid w:val="00374DB8"/>
    <w:rsid w:val="00375610"/>
    <w:rsid w:val="00375882"/>
    <w:rsid w:val="00376549"/>
    <w:rsid w:val="003767E8"/>
    <w:rsid w:val="00376CED"/>
    <w:rsid w:val="00377E37"/>
    <w:rsid w:val="00380085"/>
    <w:rsid w:val="00380090"/>
    <w:rsid w:val="00380136"/>
    <w:rsid w:val="00380653"/>
    <w:rsid w:val="003806FE"/>
    <w:rsid w:val="003818C2"/>
    <w:rsid w:val="00381A25"/>
    <w:rsid w:val="00381F36"/>
    <w:rsid w:val="003822B0"/>
    <w:rsid w:val="003831DA"/>
    <w:rsid w:val="00383246"/>
    <w:rsid w:val="0038427A"/>
    <w:rsid w:val="00384C24"/>
    <w:rsid w:val="00385239"/>
    <w:rsid w:val="0038544C"/>
    <w:rsid w:val="003854B4"/>
    <w:rsid w:val="00385907"/>
    <w:rsid w:val="0038637B"/>
    <w:rsid w:val="00386634"/>
    <w:rsid w:val="003868DA"/>
    <w:rsid w:val="003869F4"/>
    <w:rsid w:val="00387218"/>
    <w:rsid w:val="003872EB"/>
    <w:rsid w:val="00387349"/>
    <w:rsid w:val="0038778A"/>
    <w:rsid w:val="00390629"/>
    <w:rsid w:val="00390630"/>
    <w:rsid w:val="00390753"/>
    <w:rsid w:val="0039078E"/>
    <w:rsid w:val="00390B2F"/>
    <w:rsid w:val="00390BB4"/>
    <w:rsid w:val="00391A74"/>
    <w:rsid w:val="00391FE7"/>
    <w:rsid w:val="0039283C"/>
    <w:rsid w:val="00392904"/>
    <w:rsid w:val="00393020"/>
    <w:rsid w:val="003936B0"/>
    <w:rsid w:val="0039388A"/>
    <w:rsid w:val="003939C5"/>
    <w:rsid w:val="003939D5"/>
    <w:rsid w:val="00393EE2"/>
    <w:rsid w:val="0039473D"/>
    <w:rsid w:val="003947C8"/>
    <w:rsid w:val="003947F8"/>
    <w:rsid w:val="00394DA7"/>
    <w:rsid w:val="00395272"/>
    <w:rsid w:val="00395420"/>
    <w:rsid w:val="00395C83"/>
    <w:rsid w:val="00396132"/>
    <w:rsid w:val="003963A8"/>
    <w:rsid w:val="003965DB"/>
    <w:rsid w:val="0039695C"/>
    <w:rsid w:val="00396EB4"/>
    <w:rsid w:val="00397A17"/>
    <w:rsid w:val="003A0D2A"/>
    <w:rsid w:val="003A0ED5"/>
    <w:rsid w:val="003A1771"/>
    <w:rsid w:val="003A1A59"/>
    <w:rsid w:val="003A1DCF"/>
    <w:rsid w:val="003A21EF"/>
    <w:rsid w:val="003A2D42"/>
    <w:rsid w:val="003A31C4"/>
    <w:rsid w:val="003A3772"/>
    <w:rsid w:val="003A3B24"/>
    <w:rsid w:val="003A4057"/>
    <w:rsid w:val="003A4351"/>
    <w:rsid w:val="003A4521"/>
    <w:rsid w:val="003A5A03"/>
    <w:rsid w:val="003A6DE9"/>
    <w:rsid w:val="003A75AA"/>
    <w:rsid w:val="003B01F9"/>
    <w:rsid w:val="003B0BF6"/>
    <w:rsid w:val="003B0D51"/>
    <w:rsid w:val="003B0E66"/>
    <w:rsid w:val="003B1061"/>
    <w:rsid w:val="003B11DD"/>
    <w:rsid w:val="003B1290"/>
    <w:rsid w:val="003B12F0"/>
    <w:rsid w:val="003B1728"/>
    <w:rsid w:val="003B1DF7"/>
    <w:rsid w:val="003B279D"/>
    <w:rsid w:val="003B2F98"/>
    <w:rsid w:val="003B31B0"/>
    <w:rsid w:val="003B326E"/>
    <w:rsid w:val="003B33A8"/>
    <w:rsid w:val="003B42AA"/>
    <w:rsid w:val="003B452A"/>
    <w:rsid w:val="003B4581"/>
    <w:rsid w:val="003B459E"/>
    <w:rsid w:val="003B47F1"/>
    <w:rsid w:val="003B4B95"/>
    <w:rsid w:val="003B4C8F"/>
    <w:rsid w:val="003B4FFC"/>
    <w:rsid w:val="003B590A"/>
    <w:rsid w:val="003B5D43"/>
    <w:rsid w:val="003B6137"/>
    <w:rsid w:val="003B626A"/>
    <w:rsid w:val="003B65E7"/>
    <w:rsid w:val="003B6A8D"/>
    <w:rsid w:val="003B721B"/>
    <w:rsid w:val="003B7612"/>
    <w:rsid w:val="003B787C"/>
    <w:rsid w:val="003C0253"/>
    <w:rsid w:val="003C057E"/>
    <w:rsid w:val="003C08C2"/>
    <w:rsid w:val="003C0A99"/>
    <w:rsid w:val="003C0B57"/>
    <w:rsid w:val="003C0CEF"/>
    <w:rsid w:val="003C0E34"/>
    <w:rsid w:val="003C134C"/>
    <w:rsid w:val="003C1388"/>
    <w:rsid w:val="003C13C7"/>
    <w:rsid w:val="003C15CD"/>
    <w:rsid w:val="003C1688"/>
    <w:rsid w:val="003C1CB9"/>
    <w:rsid w:val="003C259E"/>
    <w:rsid w:val="003C2780"/>
    <w:rsid w:val="003C280C"/>
    <w:rsid w:val="003C2DF8"/>
    <w:rsid w:val="003C2E04"/>
    <w:rsid w:val="003C3009"/>
    <w:rsid w:val="003C3657"/>
    <w:rsid w:val="003C4836"/>
    <w:rsid w:val="003C48C2"/>
    <w:rsid w:val="003C5DE8"/>
    <w:rsid w:val="003C5EAF"/>
    <w:rsid w:val="003C5F27"/>
    <w:rsid w:val="003C65EF"/>
    <w:rsid w:val="003C677B"/>
    <w:rsid w:val="003C6CB0"/>
    <w:rsid w:val="003C7468"/>
    <w:rsid w:val="003C7A83"/>
    <w:rsid w:val="003C7C36"/>
    <w:rsid w:val="003C7E41"/>
    <w:rsid w:val="003C7F56"/>
    <w:rsid w:val="003D042B"/>
    <w:rsid w:val="003D05E4"/>
    <w:rsid w:val="003D063F"/>
    <w:rsid w:val="003D09D4"/>
    <w:rsid w:val="003D17DD"/>
    <w:rsid w:val="003D18A8"/>
    <w:rsid w:val="003D1B2A"/>
    <w:rsid w:val="003D21B4"/>
    <w:rsid w:val="003D2869"/>
    <w:rsid w:val="003D29A7"/>
    <w:rsid w:val="003D2A7E"/>
    <w:rsid w:val="003D2B68"/>
    <w:rsid w:val="003D2C87"/>
    <w:rsid w:val="003D2FE0"/>
    <w:rsid w:val="003D33D7"/>
    <w:rsid w:val="003D36CC"/>
    <w:rsid w:val="003D3C53"/>
    <w:rsid w:val="003D402E"/>
    <w:rsid w:val="003D40D7"/>
    <w:rsid w:val="003D42E0"/>
    <w:rsid w:val="003D463E"/>
    <w:rsid w:val="003D546D"/>
    <w:rsid w:val="003D5606"/>
    <w:rsid w:val="003D57C3"/>
    <w:rsid w:val="003D5D9F"/>
    <w:rsid w:val="003D67FA"/>
    <w:rsid w:val="003D6C38"/>
    <w:rsid w:val="003D6D75"/>
    <w:rsid w:val="003D6D9C"/>
    <w:rsid w:val="003D7103"/>
    <w:rsid w:val="003D72A4"/>
    <w:rsid w:val="003D7658"/>
    <w:rsid w:val="003D77FA"/>
    <w:rsid w:val="003D7EEB"/>
    <w:rsid w:val="003E04C3"/>
    <w:rsid w:val="003E0846"/>
    <w:rsid w:val="003E1B7F"/>
    <w:rsid w:val="003E1DAC"/>
    <w:rsid w:val="003E20BE"/>
    <w:rsid w:val="003E227A"/>
    <w:rsid w:val="003E23F3"/>
    <w:rsid w:val="003E2A32"/>
    <w:rsid w:val="003E2CAB"/>
    <w:rsid w:val="003E2DAC"/>
    <w:rsid w:val="003E35B1"/>
    <w:rsid w:val="003E39AB"/>
    <w:rsid w:val="003E3D95"/>
    <w:rsid w:val="003E3E27"/>
    <w:rsid w:val="003E40C1"/>
    <w:rsid w:val="003E4512"/>
    <w:rsid w:val="003E45BE"/>
    <w:rsid w:val="003E4605"/>
    <w:rsid w:val="003E46BB"/>
    <w:rsid w:val="003E525C"/>
    <w:rsid w:val="003E569D"/>
    <w:rsid w:val="003E6208"/>
    <w:rsid w:val="003E693A"/>
    <w:rsid w:val="003E6F95"/>
    <w:rsid w:val="003E72D3"/>
    <w:rsid w:val="003E782A"/>
    <w:rsid w:val="003E7A6D"/>
    <w:rsid w:val="003E7B2F"/>
    <w:rsid w:val="003E7C0F"/>
    <w:rsid w:val="003F02B4"/>
    <w:rsid w:val="003F04E9"/>
    <w:rsid w:val="003F0AB8"/>
    <w:rsid w:val="003F0B06"/>
    <w:rsid w:val="003F0D43"/>
    <w:rsid w:val="003F0E13"/>
    <w:rsid w:val="003F1092"/>
    <w:rsid w:val="003F10C4"/>
    <w:rsid w:val="003F13B0"/>
    <w:rsid w:val="003F188A"/>
    <w:rsid w:val="003F1BBC"/>
    <w:rsid w:val="003F1BCD"/>
    <w:rsid w:val="003F23A3"/>
    <w:rsid w:val="003F23E8"/>
    <w:rsid w:val="003F29E9"/>
    <w:rsid w:val="003F2F37"/>
    <w:rsid w:val="003F2F86"/>
    <w:rsid w:val="003F3012"/>
    <w:rsid w:val="003F369F"/>
    <w:rsid w:val="003F3F76"/>
    <w:rsid w:val="003F4684"/>
    <w:rsid w:val="003F4D8C"/>
    <w:rsid w:val="003F4FB7"/>
    <w:rsid w:val="003F5063"/>
    <w:rsid w:val="003F51DB"/>
    <w:rsid w:val="003F5B1E"/>
    <w:rsid w:val="003F60CD"/>
    <w:rsid w:val="003F6B26"/>
    <w:rsid w:val="003F70DB"/>
    <w:rsid w:val="003F7441"/>
    <w:rsid w:val="00400268"/>
    <w:rsid w:val="00400530"/>
    <w:rsid w:val="004008CC"/>
    <w:rsid w:val="004012E5"/>
    <w:rsid w:val="004013D5"/>
    <w:rsid w:val="00401421"/>
    <w:rsid w:val="004017A4"/>
    <w:rsid w:val="00402066"/>
    <w:rsid w:val="004023D4"/>
    <w:rsid w:val="00402573"/>
    <w:rsid w:val="004029C7"/>
    <w:rsid w:val="00404075"/>
    <w:rsid w:val="0040429B"/>
    <w:rsid w:val="004042DE"/>
    <w:rsid w:val="004043BA"/>
    <w:rsid w:val="004043D2"/>
    <w:rsid w:val="004044D5"/>
    <w:rsid w:val="00404D49"/>
    <w:rsid w:val="00404D6E"/>
    <w:rsid w:val="00404F39"/>
    <w:rsid w:val="004053EE"/>
    <w:rsid w:val="004057BA"/>
    <w:rsid w:val="00405C9C"/>
    <w:rsid w:val="0040653B"/>
    <w:rsid w:val="00406946"/>
    <w:rsid w:val="00406E3B"/>
    <w:rsid w:val="004073FD"/>
    <w:rsid w:val="004076CF"/>
    <w:rsid w:val="004076F3"/>
    <w:rsid w:val="004107ED"/>
    <w:rsid w:val="00410DC4"/>
    <w:rsid w:val="00411F8D"/>
    <w:rsid w:val="00411FAF"/>
    <w:rsid w:val="004123AD"/>
    <w:rsid w:val="0041247F"/>
    <w:rsid w:val="004125EB"/>
    <w:rsid w:val="004127B0"/>
    <w:rsid w:val="00413544"/>
    <w:rsid w:val="0041361E"/>
    <w:rsid w:val="0041376F"/>
    <w:rsid w:val="00413B73"/>
    <w:rsid w:val="004145EE"/>
    <w:rsid w:val="0041483B"/>
    <w:rsid w:val="00414B84"/>
    <w:rsid w:val="00414D25"/>
    <w:rsid w:val="0041525B"/>
    <w:rsid w:val="00415D6A"/>
    <w:rsid w:val="00416670"/>
    <w:rsid w:val="00416C33"/>
    <w:rsid w:val="00416D3C"/>
    <w:rsid w:val="00417024"/>
    <w:rsid w:val="00417B1B"/>
    <w:rsid w:val="00417C9D"/>
    <w:rsid w:val="00417F62"/>
    <w:rsid w:val="004204D7"/>
    <w:rsid w:val="00420B6B"/>
    <w:rsid w:val="00420BF5"/>
    <w:rsid w:val="00420D3A"/>
    <w:rsid w:val="00421171"/>
    <w:rsid w:val="00421267"/>
    <w:rsid w:val="004213F9"/>
    <w:rsid w:val="0042173C"/>
    <w:rsid w:val="00421845"/>
    <w:rsid w:val="004224C6"/>
    <w:rsid w:val="004229ED"/>
    <w:rsid w:val="00422B74"/>
    <w:rsid w:val="00422DA6"/>
    <w:rsid w:val="00423503"/>
    <w:rsid w:val="00425252"/>
    <w:rsid w:val="004256CD"/>
    <w:rsid w:val="00425F11"/>
    <w:rsid w:val="00426252"/>
    <w:rsid w:val="00426494"/>
    <w:rsid w:val="00426C77"/>
    <w:rsid w:val="00426D3D"/>
    <w:rsid w:val="004276F4"/>
    <w:rsid w:val="00427A7F"/>
    <w:rsid w:val="00430855"/>
    <w:rsid w:val="004309AB"/>
    <w:rsid w:val="00431179"/>
    <w:rsid w:val="00431B1C"/>
    <w:rsid w:val="00432140"/>
    <w:rsid w:val="00432499"/>
    <w:rsid w:val="00432CA1"/>
    <w:rsid w:val="00432E24"/>
    <w:rsid w:val="00433120"/>
    <w:rsid w:val="0043374E"/>
    <w:rsid w:val="00433ACE"/>
    <w:rsid w:val="0043445D"/>
    <w:rsid w:val="00435054"/>
    <w:rsid w:val="00435A4E"/>
    <w:rsid w:val="00435CE4"/>
    <w:rsid w:val="00435DEB"/>
    <w:rsid w:val="00435F9B"/>
    <w:rsid w:val="00436311"/>
    <w:rsid w:val="00436887"/>
    <w:rsid w:val="00436B4D"/>
    <w:rsid w:val="00437639"/>
    <w:rsid w:val="00440A67"/>
    <w:rsid w:val="0044109D"/>
    <w:rsid w:val="0044118C"/>
    <w:rsid w:val="00441271"/>
    <w:rsid w:val="00441998"/>
    <w:rsid w:val="00441A96"/>
    <w:rsid w:val="00441B0B"/>
    <w:rsid w:val="00441EB6"/>
    <w:rsid w:val="00441F7F"/>
    <w:rsid w:val="00442488"/>
    <w:rsid w:val="00442E93"/>
    <w:rsid w:val="00442EE5"/>
    <w:rsid w:val="0044399F"/>
    <w:rsid w:val="00443AE6"/>
    <w:rsid w:val="00443B1B"/>
    <w:rsid w:val="00443FE7"/>
    <w:rsid w:val="0044404D"/>
    <w:rsid w:val="004449E6"/>
    <w:rsid w:val="00444DBE"/>
    <w:rsid w:val="00445ED7"/>
    <w:rsid w:val="0044605D"/>
    <w:rsid w:val="004463D6"/>
    <w:rsid w:val="00446783"/>
    <w:rsid w:val="004474B7"/>
    <w:rsid w:val="004477B8"/>
    <w:rsid w:val="00447A86"/>
    <w:rsid w:val="00450A07"/>
    <w:rsid w:val="00450A37"/>
    <w:rsid w:val="00450DEC"/>
    <w:rsid w:val="004513DB"/>
    <w:rsid w:val="0045141C"/>
    <w:rsid w:val="00451616"/>
    <w:rsid w:val="00451AD8"/>
    <w:rsid w:val="004520FA"/>
    <w:rsid w:val="00452215"/>
    <w:rsid w:val="0045227A"/>
    <w:rsid w:val="004526B4"/>
    <w:rsid w:val="00452A95"/>
    <w:rsid w:val="00452B61"/>
    <w:rsid w:val="004531EC"/>
    <w:rsid w:val="0045325E"/>
    <w:rsid w:val="0045360B"/>
    <w:rsid w:val="00453962"/>
    <w:rsid w:val="0045397D"/>
    <w:rsid w:val="00453E9C"/>
    <w:rsid w:val="004543B3"/>
    <w:rsid w:val="004543CE"/>
    <w:rsid w:val="0045479C"/>
    <w:rsid w:val="00454DB6"/>
    <w:rsid w:val="00455564"/>
    <w:rsid w:val="00455A3C"/>
    <w:rsid w:val="00456264"/>
    <w:rsid w:val="0045693C"/>
    <w:rsid w:val="00457246"/>
    <w:rsid w:val="004578C2"/>
    <w:rsid w:val="00457A90"/>
    <w:rsid w:val="00457B0F"/>
    <w:rsid w:val="004601FE"/>
    <w:rsid w:val="004604E4"/>
    <w:rsid w:val="00460539"/>
    <w:rsid w:val="0046057C"/>
    <w:rsid w:val="004608CE"/>
    <w:rsid w:val="0046098A"/>
    <w:rsid w:val="00460A5B"/>
    <w:rsid w:val="00460EBF"/>
    <w:rsid w:val="00460FB2"/>
    <w:rsid w:val="0046127A"/>
    <w:rsid w:val="00461720"/>
    <w:rsid w:val="0046256F"/>
    <w:rsid w:val="004629DB"/>
    <w:rsid w:val="00463939"/>
    <w:rsid w:val="00464270"/>
    <w:rsid w:val="0046506A"/>
    <w:rsid w:val="00465A0A"/>
    <w:rsid w:val="00465B31"/>
    <w:rsid w:val="00465B3A"/>
    <w:rsid w:val="004661A6"/>
    <w:rsid w:val="004669B3"/>
    <w:rsid w:val="00466A30"/>
    <w:rsid w:val="00466A72"/>
    <w:rsid w:val="00466B04"/>
    <w:rsid w:val="00466CA0"/>
    <w:rsid w:val="004679A5"/>
    <w:rsid w:val="00467CB3"/>
    <w:rsid w:val="0047004B"/>
    <w:rsid w:val="0047042A"/>
    <w:rsid w:val="004710C6"/>
    <w:rsid w:val="004711C2"/>
    <w:rsid w:val="00471559"/>
    <w:rsid w:val="00471617"/>
    <w:rsid w:val="00471C6B"/>
    <w:rsid w:val="00472993"/>
    <w:rsid w:val="004735E0"/>
    <w:rsid w:val="0047371E"/>
    <w:rsid w:val="0047388B"/>
    <w:rsid w:val="00474084"/>
    <w:rsid w:val="0047434F"/>
    <w:rsid w:val="0047464C"/>
    <w:rsid w:val="00474978"/>
    <w:rsid w:val="00475B0B"/>
    <w:rsid w:val="00475D16"/>
    <w:rsid w:val="0047606E"/>
    <w:rsid w:val="00476095"/>
    <w:rsid w:val="004766A7"/>
    <w:rsid w:val="004767DD"/>
    <w:rsid w:val="00476C07"/>
    <w:rsid w:val="00476F1A"/>
    <w:rsid w:val="00477133"/>
    <w:rsid w:val="004778A5"/>
    <w:rsid w:val="00477A22"/>
    <w:rsid w:val="00477B19"/>
    <w:rsid w:val="00477B99"/>
    <w:rsid w:val="004801B1"/>
    <w:rsid w:val="004803A1"/>
    <w:rsid w:val="004804FD"/>
    <w:rsid w:val="00480BBB"/>
    <w:rsid w:val="00480BE8"/>
    <w:rsid w:val="00480F6E"/>
    <w:rsid w:val="00481457"/>
    <w:rsid w:val="004814DF"/>
    <w:rsid w:val="0048278E"/>
    <w:rsid w:val="00482E16"/>
    <w:rsid w:val="004834A3"/>
    <w:rsid w:val="004835AD"/>
    <w:rsid w:val="00483D13"/>
    <w:rsid w:val="0048440C"/>
    <w:rsid w:val="004846FE"/>
    <w:rsid w:val="00484861"/>
    <w:rsid w:val="0048488D"/>
    <w:rsid w:val="00484A28"/>
    <w:rsid w:val="00484D7D"/>
    <w:rsid w:val="00485082"/>
    <w:rsid w:val="0048555F"/>
    <w:rsid w:val="00485D66"/>
    <w:rsid w:val="00487045"/>
    <w:rsid w:val="00487239"/>
    <w:rsid w:val="00487F0E"/>
    <w:rsid w:val="00490061"/>
    <w:rsid w:val="00490071"/>
    <w:rsid w:val="004903D3"/>
    <w:rsid w:val="00490CD7"/>
    <w:rsid w:val="00490E4E"/>
    <w:rsid w:val="00491039"/>
    <w:rsid w:val="004918D2"/>
    <w:rsid w:val="00492059"/>
    <w:rsid w:val="004922B1"/>
    <w:rsid w:val="00492C9D"/>
    <w:rsid w:val="00492DA7"/>
    <w:rsid w:val="00493239"/>
    <w:rsid w:val="00493339"/>
    <w:rsid w:val="004934F0"/>
    <w:rsid w:val="004946D3"/>
    <w:rsid w:val="00494BB2"/>
    <w:rsid w:val="00494FD8"/>
    <w:rsid w:val="004953D3"/>
    <w:rsid w:val="00495702"/>
    <w:rsid w:val="00495A13"/>
    <w:rsid w:val="00495A81"/>
    <w:rsid w:val="00496098"/>
    <w:rsid w:val="00496234"/>
    <w:rsid w:val="00496A6E"/>
    <w:rsid w:val="00496D83"/>
    <w:rsid w:val="00497222"/>
    <w:rsid w:val="004973A6"/>
    <w:rsid w:val="00497620"/>
    <w:rsid w:val="004A008C"/>
    <w:rsid w:val="004A035A"/>
    <w:rsid w:val="004A04A9"/>
    <w:rsid w:val="004A0CBC"/>
    <w:rsid w:val="004A125D"/>
    <w:rsid w:val="004A16BB"/>
    <w:rsid w:val="004A1B6C"/>
    <w:rsid w:val="004A1D6D"/>
    <w:rsid w:val="004A1F0D"/>
    <w:rsid w:val="004A2C2F"/>
    <w:rsid w:val="004A347A"/>
    <w:rsid w:val="004A361E"/>
    <w:rsid w:val="004A374E"/>
    <w:rsid w:val="004A3C9D"/>
    <w:rsid w:val="004A4334"/>
    <w:rsid w:val="004A43BC"/>
    <w:rsid w:val="004A47CF"/>
    <w:rsid w:val="004A4C68"/>
    <w:rsid w:val="004A4CA0"/>
    <w:rsid w:val="004A5514"/>
    <w:rsid w:val="004A5710"/>
    <w:rsid w:val="004A58C1"/>
    <w:rsid w:val="004A59D8"/>
    <w:rsid w:val="004A5AC1"/>
    <w:rsid w:val="004A61EC"/>
    <w:rsid w:val="004A6663"/>
    <w:rsid w:val="004A688E"/>
    <w:rsid w:val="004A7A02"/>
    <w:rsid w:val="004A7B6A"/>
    <w:rsid w:val="004B0335"/>
    <w:rsid w:val="004B0778"/>
    <w:rsid w:val="004B1132"/>
    <w:rsid w:val="004B1A61"/>
    <w:rsid w:val="004B20C1"/>
    <w:rsid w:val="004B24B0"/>
    <w:rsid w:val="004B2651"/>
    <w:rsid w:val="004B2EBE"/>
    <w:rsid w:val="004B3CD5"/>
    <w:rsid w:val="004B3EEF"/>
    <w:rsid w:val="004B430E"/>
    <w:rsid w:val="004B4A13"/>
    <w:rsid w:val="004B535A"/>
    <w:rsid w:val="004B63CE"/>
    <w:rsid w:val="004B680E"/>
    <w:rsid w:val="004B7371"/>
    <w:rsid w:val="004B7F0A"/>
    <w:rsid w:val="004C0491"/>
    <w:rsid w:val="004C080A"/>
    <w:rsid w:val="004C0925"/>
    <w:rsid w:val="004C104B"/>
    <w:rsid w:val="004C16C0"/>
    <w:rsid w:val="004C1D68"/>
    <w:rsid w:val="004C2382"/>
    <w:rsid w:val="004C2664"/>
    <w:rsid w:val="004C290A"/>
    <w:rsid w:val="004C32C7"/>
    <w:rsid w:val="004C3479"/>
    <w:rsid w:val="004C42B7"/>
    <w:rsid w:val="004C430C"/>
    <w:rsid w:val="004C4682"/>
    <w:rsid w:val="004C4923"/>
    <w:rsid w:val="004C4A0F"/>
    <w:rsid w:val="004C4C4D"/>
    <w:rsid w:val="004C5463"/>
    <w:rsid w:val="004C5A93"/>
    <w:rsid w:val="004C5CC2"/>
    <w:rsid w:val="004C5D16"/>
    <w:rsid w:val="004C6457"/>
    <w:rsid w:val="004C67AF"/>
    <w:rsid w:val="004C68B7"/>
    <w:rsid w:val="004C6BA2"/>
    <w:rsid w:val="004C6E0F"/>
    <w:rsid w:val="004C70B4"/>
    <w:rsid w:val="004C7292"/>
    <w:rsid w:val="004C764A"/>
    <w:rsid w:val="004C7B1E"/>
    <w:rsid w:val="004C7D6D"/>
    <w:rsid w:val="004D0257"/>
    <w:rsid w:val="004D0328"/>
    <w:rsid w:val="004D0B93"/>
    <w:rsid w:val="004D16F6"/>
    <w:rsid w:val="004D1A37"/>
    <w:rsid w:val="004D1E43"/>
    <w:rsid w:val="004D223E"/>
    <w:rsid w:val="004D2291"/>
    <w:rsid w:val="004D2568"/>
    <w:rsid w:val="004D2E77"/>
    <w:rsid w:val="004D3FDC"/>
    <w:rsid w:val="004D4CD7"/>
    <w:rsid w:val="004D4DA8"/>
    <w:rsid w:val="004D5316"/>
    <w:rsid w:val="004D600B"/>
    <w:rsid w:val="004D63C7"/>
    <w:rsid w:val="004D6751"/>
    <w:rsid w:val="004D6FA2"/>
    <w:rsid w:val="004D7243"/>
    <w:rsid w:val="004D77B4"/>
    <w:rsid w:val="004D7927"/>
    <w:rsid w:val="004D7BCD"/>
    <w:rsid w:val="004D7D5E"/>
    <w:rsid w:val="004D7E02"/>
    <w:rsid w:val="004D7ECF"/>
    <w:rsid w:val="004E093F"/>
    <w:rsid w:val="004E0A9F"/>
    <w:rsid w:val="004E15D7"/>
    <w:rsid w:val="004E1659"/>
    <w:rsid w:val="004E1AD5"/>
    <w:rsid w:val="004E1E3B"/>
    <w:rsid w:val="004E1F62"/>
    <w:rsid w:val="004E1F82"/>
    <w:rsid w:val="004E31DE"/>
    <w:rsid w:val="004E4DDC"/>
    <w:rsid w:val="004E5304"/>
    <w:rsid w:val="004E5529"/>
    <w:rsid w:val="004E5659"/>
    <w:rsid w:val="004E5AB4"/>
    <w:rsid w:val="004E607D"/>
    <w:rsid w:val="004E63EE"/>
    <w:rsid w:val="004E65BD"/>
    <w:rsid w:val="004E65E5"/>
    <w:rsid w:val="004E7233"/>
    <w:rsid w:val="004E7366"/>
    <w:rsid w:val="004E7507"/>
    <w:rsid w:val="004E7695"/>
    <w:rsid w:val="004E799C"/>
    <w:rsid w:val="004E7F3E"/>
    <w:rsid w:val="004F0188"/>
    <w:rsid w:val="004F05F0"/>
    <w:rsid w:val="004F07BA"/>
    <w:rsid w:val="004F0A2E"/>
    <w:rsid w:val="004F1920"/>
    <w:rsid w:val="004F19C2"/>
    <w:rsid w:val="004F2941"/>
    <w:rsid w:val="004F2D6F"/>
    <w:rsid w:val="004F3518"/>
    <w:rsid w:val="004F37DB"/>
    <w:rsid w:val="004F3A0D"/>
    <w:rsid w:val="004F3F21"/>
    <w:rsid w:val="004F3FC5"/>
    <w:rsid w:val="004F4340"/>
    <w:rsid w:val="004F5027"/>
    <w:rsid w:val="004F5FD6"/>
    <w:rsid w:val="004F6406"/>
    <w:rsid w:val="004F678C"/>
    <w:rsid w:val="004F6AA5"/>
    <w:rsid w:val="004F71A0"/>
    <w:rsid w:val="004F7403"/>
    <w:rsid w:val="004F7761"/>
    <w:rsid w:val="005000D6"/>
    <w:rsid w:val="00500275"/>
    <w:rsid w:val="00500543"/>
    <w:rsid w:val="00500E2B"/>
    <w:rsid w:val="0050152C"/>
    <w:rsid w:val="00501D83"/>
    <w:rsid w:val="005020C8"/>
    <w:rsid w:val="00502127"/>
    <w:rsid w:val="00502CE2"/>
    <w:rsid w:val="00502DFC"/>
    <w:rsid w:val="00503166"/>
    <w:rsid w:val="005037F0"/>
    <w:rsid w:val="00504719"/>
    <w:rsid w:val="00505399"/>
    <w:rsid w:val="005054C9"/>
    <w:rsid w:val="0050594F"/>
    <w:rsid w:val="00505FB6"/>
    <w:rsid w:val="00506397"/>
    <w:rsid w:val="00506968"/>
    <w:rsid w:val="0050750D"/>
    <w:rsid w:val="0050777F"/>
    <w:rsid w:val="00507CA3"/>
    <w:rsid w:val="00510058"/>
    <w:rsid w:val="0051068F"/>
    <w:rsid w:val="00510B74"/>
    <w:rsid w:val="00510D8A"/>
    <w:rsid w:val="005117E7"/>
    <w:rsid w:val="00511874"/>
    <w:rsid w:val="005118AB"/>
    <w:rsid w:val="00511D2B"/>
    <w:rsid w:val="00512883"/>
    <w:rsid w:val="0051288C"/>
    <w:rsid w:val="00512B54"/>
    <w:rsid w:val="00513172"/>
    <w:rsid w:val="00513C02"/>
    <w:rsid w:val="00513E57"/>
    <w:rsid w:val="00514199"/>
    <w:rsid w:val="005142FE"/>
    <w:rsid w:val="005143D6"/>
    <w:rsid w:val="00514585"/>
    <w:rsid w:val="0051458F"/>
    <w:rsid w:val="005146D7"/>
    <w:rsid w:val="00514879"/>
    <w:rsid w:val="00514E3A"/>
    <w:rsid w:val="00515215"/>
    <w:rsid w:val="0051532B"/>
    <w:rsid w:val="005153C8"/>
    <w:rsid w:val="00515968"/>
    <w:rsid w:val="00516213"/>
    <w:rsid w:val="0051635D"/>
    <w:rsid w:val="00516EA9"/>
    <w:rsid w:val="0051719C"/>
    <w:rsid w:val="0052038D"/>
    <w:rsid w:val="005203F1"/>
    <w:rsid w:val="00520876"/>
    <w:rsid w:val="00521151"/>
    <w:rsid w:val="00521289"/>
    <w:rsid w:val="005223DA"/>
    <w:rsid w:val="0052253A"/>
    <w:rsid w:val="00522B23"/>
    <w:rsid w:val="00523118"/>
    <w:rsid w:val="0052340F"/>
    <w:rsid w:val="00523DF2"/>
    <w:rsid w:val="005241A0"/>
    <w:rsid w:val="005245C2"/>
    <w:rsid w:val="005245DD"/>
    <w:rsid w:val="0052484A"/>
    <w:rsid w:val="0052532C"/>
    <w:rsid w:val="00525553"/>
    <w:rsid w:val="00526476"/>
    <w:rsid w:val="005264B4"/>
    <w:rsid w:val="00526C82"/>
    <w:rsid w:val="00527269"/>
    <w:rsid w:val="005276CF"/>
    <w:rsid w:val="00527BF6"/>
    <w:rsid w:val="00527CE8"/>
    <w:rsid w:val="00530596"/>
    <w:rsid w:val="005307BF"/>
    <w:rsid w:val="00530AEF"/>
    <w:rsid w:val="00530BCC"/>
    <w:rsid w:val="00530CCC"/>
    <w:rsid w:val="00530CD4"/>
    <w:rsid w:val="00531448"/>
    <w:rsid w:val="005320E6"/>
    <w:rsid w:val="00532366"/>
    <w:rsid w:val="00532911"/>
    <w:rsid w:val="00532DBE"/>
    <w:rsid w:val="00533C57"/>
    <w:rsid w:val="00533E36"/>
    <w:rsid w:val="00533EB7"/>
    <w:rsid w:val="00534924"/>
    <w:rsid w:val="00534D9F"/>
    <w:rsid w:val="00534DAF"/>
    <w:rsid w:val="00535213"/>
    <w:rsid w:val="0053539D"/>
    <w:rsid w:val="00535925"/>
    <w:rsid w:val="00535C7C"/>
    <w:rsid w:val="00536462"/>
    <w:rsid w:val="005365AB"/>
    <w:rsid w:val="00536638"/>
    <w:rsid w:val="0053688B"/>
    <w:rsid w:val="0053693E"/>
    <w:rsid w:val="00537A06"/>
    <w:rsid w:val="00537DB6"/>
    <w:rsid w:val="005402E3"/>
    <w:rsid w:val="0054075E"/>
    <w:rsid w:val="00540CD8"/>
    <w:rsid w:val="0054183D"/>
    <w:rsid w:val="00541D01"/>
    <w:rsid w:val="0054209C"/>
    <w:rsid w:val="0054249A"/>
    <w:rsid w:val="00542F0D"/>
    <w:rsid w:val="005430DF"/>
    <w:rsid w:val="00543A57"/>
    <w:rsid w:val="00543AB7"/>
    <w:rsid w:val="00543C6F"/>
    <w:rsid w:val="00544687"/>
    <w:rsid w:val="00544D77"/>
    <w:rsid w:val="00545273"/>
    <w:rsid w:val="00545DE5"/>
    <w:rsid w:val="00546E52"/>
    <w:rsid w:val="00546EE4"/>
    <w:rsid w:val="0054734B"/>
    <w:rsid w:val="00547809"/>
    <w:rsid w:val="00547849"/>
    <w:rsid w:val="005478A9"/>
    <w:rsid w:val="005478F9"/>
    <w:rsid w:val="00547A00"/>
    <w:rsid w:val="00547DF5"/>
    <w:rsid w:val="00547F4C"/>
    <w:rsid w:val="005505BD"/>
    <w:rsid w:val="0055093F"/>
    <w:rsid w:val="00550AEC"/>
    <w:rsid w:val="00550D91"/>
    <w:rsid w:val="00550E11"/>
    <w:rsid w:val="005510AA"/>
    <w:rsid w:val="0055169A"/>
    <w:rsid w:val="00551846"/>
    <w:rsid w:val="00551A65"/>
    <w:rsid w:val="00551BD9"/>
    <w:rsid w:val="00552B80"/>
    <w:rsid w:val="00552CC5"/>
    <w:rsid w:val="005532A8"/>
    <w:rsid w:val="00553D6C"/>
    <w:rsid w:val="00553FBD"/>
    <w:rsid w:val="005545C4"/>
    <w:rsid w:val="0055490B"/>
    <w:rsid w:val="00554F3B"/>
    <w:rsid w:val="00554F6F"/>
    <w:rsid w:val="00555812"/>
    <w:rsid w:val="00555B15"/>
    <w:rsid w:val="00555DB2"/>
    <w:rsid w:val="005562A9"/>
    <w:rsid w:val="005563F4"/>
    <w:rsid w:val="00556FBD"/>
    <w:rsid w:val="00557EFB"/>
    <w:rsid w:val="00560157"/>
    <w:rsid w:val="0056028B"/>
    <w:rsid w:val="00560A94"/>
    <w:rsid w:val="00560C88"/>
    <w:rsid w:val="00560D4C"/>
    <w:rsid w:val="00561B9B"/>
    <w:rsid w:val="005621B0"/>
    <w:rsid w:val="005624E6"/>
    <w:rsid w:val="00562C45"/>
    <w:rsid w:val="00563F34"/>
    <w:rsid w:val="00563FF5"/>
    <w:rsid w:val="005645AB"/>
    <w:rsid w:val="005646DF"/>
    <w:rsid w:val="00565112"/>
    <w:rsid w:val="005652A9"/>
    <w:rsid w:val="0056545A"/>
    <w:rsid w:val="00565751"/>
    <w:rsid w:val="00565800"/>
    <w:rsid w:val="00565ADD"/>
    <w:rsid w:val="00565E03"/>
    <w:rsid w:val="0056623B"/>
    <w:rsid w:val="005666B1"/>
    <w:rsid w:val="00566951"/>
    <w:rsid w:val="00566E4A"/>
    <w:rsid w:val="00567136"/>
    <w:rsid w:val="00567238"/>
    <w:rsid w:val="0056794E"/>
    <w:rsid w:val="00567F67"/>
    <w:rsid w:val="00567FF2"/>
    <w:rsid w:val="00570A59"/>
    <w:rsid w:val="00571229"/>
    <w:rsid w:val="00571257"/>
    <w:rsid w:val="005717F5"/>
    <w:rsid w:val="00571BDF"/>
    <w:rsid w:val="00571C43"/>
    <w:rsid w:val="005724B8"/>
    <w:rsid w:val="00572D7A"/>
    <w:rsid w:val="00573090"/>
    <w:rsid w:val="00573156"/>
    <w:rsid w:val="00573D8E"/>
    <w:rsid w:val="005753B7"/>
    <w:rsid w:val="005758C2"/>
    <w:rsid w:val="00576461"/>
    <w:rsid w:val="005771FB"/>
    <w:rsid w:val="00577488"/>
    <w:rsid w:val="00577500"/>
    <w:rsid w:val="0058088C"/>
    <w:rsid w:val="005808B0"/>
    <w:rsid w:val="0058093F"/>
    <w:rsid w:val="00580F7F"/>
    <w:rsid w:val="005817F8"/>
    <w:rsid w:val="0058182A"/>
    <w:rsid w:val="005819EA"/>
    <w:rsid w:val="00582357"/>
    <w:rsid w:val="0058241C"/>
    <w:rsid w:val="00582FA4"/>
    <w:rsid w:val="005830FF"/>
    <w:rsid w:val="00583738"/>
    <w:rsid w:val="00583F40"/>
    <w:rsid w:val="00584602"/>
    <w:rsid w:val="0058489F"/>
    <w:rsid w:val="00584C0C"/>
    <w:rsid w:val="00584C8F"/>
    <w:rsid w:val="00584CC8"/>
    <w:rsid w:val="00585293"/>
    <w:rsid w:val="005856F0"/>
    <w:rsid w:val="005856FE"/>
    <w:rsid w:val="00585C7A"/>
    <w:rsid w:val="00585DEB"/>
    <w:rsid w:val="00585F25"/>
    <w:rsid w:val="00585F8E"/>
    <w:rsid w:val="0058636F"/>
    <w:rsid w:val="00586C46"/>
    <w:rsid w:val="00587C2C"/>
    <w:rsid w:val="00587D06"/>
    <w:rsid w:val="00590250"/>
    <w:rsid w:val="00590338"/>
    <w:rsid w:val="00590910"/>
    <w:rsid w:val="00590C29"/>
    <w:rsid w:val="00590E09"/>
    <w:rsid w:val="00590FA6"/>
    <w:rsid w:val="00591012"/>
    <w:rsid w:val="005912A4"/>
    <w:rsid w:val="005913B9"/>
    <w:rsid w:val="00591734"/>
    <w:rsid w:val="00592183"/>
    <w:rsid w:val="005925D9"/>
    <w:rsid w:val="0059283E"/>
    <w:rsid w:val="00592A7E"/>
    <w:rsid w:val="00592D2A"/>
    <w:rsid w:val="00593091"/>
    <w:rsid w:val="0059362D"/>
    <w:rsid w:val="0059374D"/>
    <w:rsid w:val="00593A1D"/>
    <w:rsid w:val="00593D32"/>
    <w:rsid w:val="00593E42"/>
    <w:rsid w:val="00594576"/>
    <w:rsid w:val="005955A7"/>
    <w:rsid w:val="00596634"/>
    <w:rsid w:val="00596B4F"/>
    <w:rsid w:val="00597ABD"/>
    <w:rsid w:val="00597B70"/>
    <w:rsid w:val="005A1853"/>
    <w:rsid w:val="005A194B"/>
    <w:rsid w:val="005A1DF1"/>
    <w:rsid w:val="005A254E"/>
    <w:rsid w:val="005A290B"/>
    <w:rsid w:val="005A2A26"/>
    <w:rsid w:val="005A2C02"/>
    <w:rsid w:val="005A30C2"/>
    <w:rsid w:val="005A3B62"/>
    <w:rsid w:val="005A48E3"/>
    <w:rsid w:val="005A4FB3"/>
    <w:rsid w:val="005A5564"/>
    <w:rsid w:val="005A5955"/>
    <w:rsid w:val="005A5D45"/>
    <w:rsid w:val="005A5E07"/>
    <w:rsid w:val="005A640F"/>
    <w:rsid w:val="005A668A"/>
    <w:rsid w:val="005A76B7"/>
    <w:rsid w:val="005A788B"/>
    <w:rsid w:val="005A7908"/>
    <w:rsid w:val="005A7934"/>
    <w:rsid w:val="005B0836"/>
    <w:rsid w:val="005B08EB"/>
    <w:rsid w:val="005B0E0C"/>
    <w:rsid w:val="005B0FFE"/>
    <w:rsid w:val="005B18A0"/>
    <w:rsid w:val="005B1A5E"/>
    <w:rsid w:val="005B1AA5"/>
    <w:rsid w:val="005B1C31"/>
    <w:rsid w:val="005B1D7F"/>
    <w:rsid w:val="005B1E2D"/>
    <w:rsid w:val="005B24AA"/>
    <w:rsid w:val="005B259C"/>
    <w:rsid w:val="005B2A11"/>
    <w:rsid w:val="005B35C1"/>
    <w:rsid w:val="005B3D41"/>
    <w:rsid w:val="005B4BE3"/>
    <w:rsid w:val="005B4FB5"/>
    <w:rsid w:val="005B4FE2"/>
    <w:rsid w:val="005B5143"/>
    <w:rsid w:val="005B59C4"/>
    <w:rsid w:val="005B5A96"/>
    <w:rsid w:val="005B62F0"/>
    <w:rsid w:val="005B6586"/>
    <w:rsid w:val="005B6C46"/>
    <w:rsid w:val="005B6CE1"/>
    <w:rsid w:val="005B7A0C"/>
    <w:rsid w:val="005B7D30"/>
    <w:rsid w:val="005C0C86"/>
    <w:rsid w:val="005C0C9B"/>
    <w:rsid w:val="005C0EFF"/>
    <w:rsid w:val="005C0F8E"/>
    <w:rsid w:val="005C12F2"/>
    <w:rsid w:val="005C13C3"/>
    <w:rsid w:val="005C15A3"/>
    <w:rsid w:val="005C224C"/>
    <w:rsid w:val="005C29F3"/>
    <w:rsid w:val="005C2ADC"/>
    <w:rsid w:val="005C2EEB"/>
    <w:rsid w:val="005C3005"/>
    <w:rsid w:val="005C3233"/>
    <w:rsid w:val="005C44E3"/>
    <w:rsid w:val="005C454F"/>
    <w:rsid w:val="005C4C50"/>
    <w:rsid w:val="005C52AB"/>
    <w:rsid w:val="005C5798"/>
    <w:rsid w:val="005C59ED"/>
    <w:rsid w:val="005C5A13"/>
    <w:rsid w:val="005C5B76"/>
    <w:rsid w:val="005C5FAC"/>
    <w:rsid w:val="005C60F6"/>
    <w:rsid w:val="005C6200"/>
    <w:rsid w:val="005C6B98"/>
    <w:rsid w:val="005C70F5"/>
    <w:rsid w:val="005C775C"/>
    <w:rsid w:val="005C79A5"/>
    <w:rsid w:val="005C7E77"/>
    <w:rsid w:val="005D008F"/>
    <w:rsid w:val="005D0E77"/>
    <w:rsid w:val="005D1250"/>
    <w:rsid w:val="005D1862"/>
    <w:rsid w:val="005D1ABD"/>
    <w:rsid w:val="005D1AD5"/>
    <w:rsid w:val="005D1B48"/>
    <w:rsid w:val="005D1C4B"/>
    <w:rsid w:val="005D1CBE"/>
    <w:rsid w:val="005D1F15"/>
    <w:rsid w:val="005D29B5"/>
    <w:rsid w:val="005D2BF5"/>
    <w:rsid w:val="005D2EBD"/>
    <w:rsid w:val="005D30CF"/>
    <w:rsid w:val="005D3700"/>
    <w:rsid w:val="005D3778"/>
    <w:rsid w:val="005D3DB5"/>
    <w:rsid w:val="005D3E6C"/>
    <w:rsid w:val="005D4217"/>
    <w:rsid w:val="005D431A"/>
    <w:rsid w:val="005D47D7"/>
    <w:rsid w:val="005D559D"/>
    <w:rsid w:val="005D5719"/>
    <w:rsid w:val="005D5E06"/>
    <w:rsid w:val="005D5F3A"/>
    <w:rsid w:val="005D606B"/>
    <w:rsid w:val="005D62B3"/>
    <w:rsid w:val="005D65A3"/>
    <w:rsid w:val="005D699B"/>
    <w:rsid w:val="005D6BE1"/>
    <w:rsid w:val="005D6DE4"/>
    <w:rsid w:val="005D7312"/>
    <w:rsid w:val="005D768C"/>
    <w:rsid w:val="005D7CDC"/>
    <w:rsid w:val="005E017F"/>
    <w:rsid w:val="005E0B39"/>
    <w:rsid w:val="005E1258"/>
    <w:rsid w:val="005E13E8"/>
    <w:rsid w:val="005E1441"/>
    <w:rsid w:val="005E1644"/>
    <w:rsid w:val="005E2D32"/>
    <w:rsid w:val="005E2EFD"/>
    <w:rsid w:val="005E3016"/>
    <w:rsid w:val="005E337F"/>
    <w:rsid w:val="005E3437"/>
    <w:rsid w:val="005E3F1D"/>
    <w:rsid w:val="005E3F5E"/>
    <w:rsid w:val="005E4309"/>
    <w:rsid w:val="005E4FC4"/>
    <w:rsid w:val="005E5A4B"/>
    <w:rsid w:val="005E5E28"/>
    <w:rsid w:val="005E68DA"/>
    <w:rsid w:val="005E6949"/>
    <w:rsid w:val="005E6C11"/>
    <w:rsid w:val="005E6DC5"/>
    <w:rsid w:val="005E6FA9"/>
    <w:rsid w:val="005E705A"/>
    <w:rsid w:val="005E7375"/>
    <w:rsid w:val="005F055D"/>
    <w:rsid w:val="005F11DF"/>
    <w:rsid w:val="005F131E"/>
    <w:rsid w:val="005F132F"/>
    <w:rsid w:val="005F15F1"/>
    <w:rsid w:val="005F18F6"/>
    <w:rsid w:val="005F217B"/>
    <w:rsid w:val="005F21AE"/>
    <w:rsid w:val="005F2385"/>
    <w:rsid w:val="005F2636"/>
    <w:rsid w:val="005F2B45"/>
    <w:rsid w:val="005F36EE"/>
    <w:rsid w:val="005F3B0B"/>
    <w:rsid w:val="005F3CD4"/>
    <w:rsid w:val="005F40EE"/>
    <w:rsid w:val="005F4F79"/>
    <w:rsid w:val="005F5158"/>
    <w:rsid w:val="005F5A38"/>
    <w:rsid w:val="005F5A39"/>
    <w:rsid w:val="005F5A56"/>
    <w:rsid w:val="005F5F09"/>
    <w:rsid w:val="005F623B"/>
    <w:rsid w:val="005F6526"/>
    <w:rsid w:val="005F6940"/>
    <w:rsid w:val="005F6E05"/>
    <w:rsid w:val="005F76C8"/>
    <w:rsid w:val="00600099"/>
    <w:rsid w:val="0060051D"/>
    <w:rsid w:val="00600EFC"/>
    <w:rsid w:val="00601582"/>
    <w:rsid w:val="006019AD"/>
    <w:rsid w:val="00601B10"/>
    <w:rsid w:val="00602487"/>
    <w:rsid w:val="00602BD9"/>
    <w:rsid w:val="0060395E"/>
    <w:rsid w:val="0060492C"/>
    <w:rsid w:val="00604AE1"/>
    <w:rsid w:val="0060524F"/>
    <w:rsid w:val="006054F5"/>
    <w:rsid w:val="00605568"/>
    <w:rsid w:val="006056A8"/>
    <w:rsid w:val="00605950"/>
    <w:rsid w:val="00605EE8"/>
    <w:rsid w:val="00606033"/>
    <w:rsid w:val="0060647B"/>
    <w:rsid w:val="006065CB"/>
    <w:rsid w:val="00606870"/>
    <w:rsid w:val="00606A4E"/>
    <w:rsid w:val="00606D97"/>
    <w:rsid w:val="00606EF3"/>
    <w:rsid w:val="00607422"/>
    <w:rsid w:val="0060747E"/>
    <w:rsid w:val="00607C28"/>
    <w:rsid w:val="00607D0B"/>
    <w:rsid w:val="00607F36"/>
    <w:rsid w:val="00610130"/>
    <w:rsid w:val="006106D9"/>
    <w:rsid w:val="006107DF"/>
    <w:rsid w:val="00610BC8"/>
    <w:rsid w:val="00610FEE"/>
    <w:rsid w:val="00611437"/>
    <w:rsid w:val="00611AAC"/>
    <w:rsid w:val="00611B50"/>
    <w:rsid w:val="00612403"/>
    <w:rsid w:val="00612618"/>
    <w:rsid w:val="00612ABA"/>
    <w:rsid w:val="00612E7A"/>
    <w:rsid w:val="00612F7A"/>
    <w:rsid w:val="0061316C"/>
    <w:rsid w:val="0061326E"/>
    <w:rsid w:val="00613D93"/>
    <w:rsid w:val="0061413F"/>
    <w:rsid w:val="006141A7"/>
    <w:rsid w:val="00614B30"/>
    <w:rsid w:val="00614C0C"/>
    <w:rsid w:val="00614FE5"/>
    <w:rsid w:val="0061558A"/>
    <w:rsid w:val="00615C0D"/>
    <w:rsid w:val="00615C5C"/>
    <w:rsid w:val="00615CAB"/>
    <w:rsid w:val="00616110"/>
    <w:rsid w:val="006167FE"/>
    <w:rsid w:val="006171AE"/>
    <w:rsid w:val="00617D8C"/>
    <w:rsid w:val="006202C1"/>
    <w:rsid w:val="0062048E"/>
    <w:rsid w:val="0062058A"/>
    <w:rsid w:val="00620BBE"/>
    <w:rsid w:val="006215F4"/>
    <w:rsid w:val="006216D4"/>
    <w:rsid w:val="0062184B"/>
    <w:rsid w:val="0062193A"/>
    <w:rsid w:val="00622625"/>
    <w:rsid w:val="00622A84"/>
    <w:rsid w:val="00623C27"/>
    <w:rsid w:val="0062470D"/>
    <w:rsid w:val="00624D7F"/>
    <w:rsid w:val="00625D22"/>
    <w:rsid w:val="006260AE"/>
    <w:rsid w:val="00626134"/>
    <w:rsid w:val="006265AF"/>
    <w:rsid w:val="00626D49"/>
    <w:rsid w:val="00626E30"/>
    <w:rsid w:val="00627019"/>
    <w:rsid w:val="0063003A"/>
    <w:rsid w:val="00630166"/>
    <w:rsid w:val="0063040A"/>
    <w:rsid w:val="00630E1A"/>
    <w:rsid w:val="0063192C"/>
    <w:rsid w:val="00631E5E"/>
    <w:rsid w:val="00632098"/>
    <w:rsid w:val="00633309"/>
    <w:rsid w:val="00633552"/>
    <w:rsid w:val="006337A3"/>
    <w:rsid w:val="00633BF8"/>
    <w:rsid w:val="00633CD7"/>
    <w:rsid w:val="00633CF4"/>
    <w:rsid w:val="00634998"/>
    <w:rsid w:val="00634DD0"/>
    <w:rsid w:val="00634DD1"/>
    <w:rsid w:val="00634DD6"/>
    <w:rsid w:val="006350D2"/>
    <w:rsid w:val="00635612"/>
    <w:rsid w:val="00635F92"/>
    <w:rsid w:val="00636030"/>
    <w:rsid w:val="006376CD"/>
    <w:rsid w:val="006408F0"/>
    <w:rsid w:val="006408F9"/>
    <w:rsid w:val="006409C5"/>
    <w:rsid w:val="00640A44"/>
    <w:rsid w:val="00641538"/>
    <w:rsid w:val="00641887"/>
    <w:rsid w:val="00641D3D"/>
    <w:rsid w:val="00641DDF"/>
    <w:rsid w:val="00641F4A"/>
    <w:rsid w:val="00642627"/>
    <w:rsid w:val="00642A77"/>
    <w:rsid w:val="00642B5D"/>
    <w:rsid w:val="006431C5"/>
    <w:rsid w:val="006433DA"/>
    <w:rsid w:val="00643892"/>
    <w:rsid w:val="00643A73"/>
    <w:rsid w:val="006440F3"/>
    <w:rsid w:val="00645A24"/>
    <w:rsid w:val="00645D65"/>
    <w:rsid w:val="006460A7"/>
    <w:rsid w:val="00647630"/>
    <w:rsid w:val="006504E9"/>
    <w:rsid w:val="00650ADF"/>
    <w:rsid w:val="00650B19"/>
    <w:rsid w:val="00650C0C"/>
    <w:rsid w:val="00651317"/>
    <w:rsid w:val="00651541"/>
    <w:rsid w:val="00651C12"/>
    <w:rsid w:val="0065214D"/>
    <w:rsid w:val="00652570"/>
    <w:rsid w:val="006525EF"/>
    <w:rsid w:val="00652A01"/>
    <w:rsid w:val="00652F38"/>
    <w:rsid w:val="00653B3A"/>
    <w:rsid w:val="0065416B"/>
    <w:rsid w:val="006541D0"/>
    <w:rsid w:val="006549D4"/>
    <w:rsid w:val="00654B52"/>
    <w:rsid w:val="00654FE8"/>
    <w:rsid w:val="00655B5E"/>
    <w:rsid w:val="00655E92"/>
    <w:rsid w:val="0065605D"/>
    <w:rsid w:val="00656949"/>
    <w:rsid w:val="006569BA"/>
    <w:rsid w:val="00656F16"/>
    <w:rsid w:val="006571F2"/>
    <w:rsid w:val="006574A4"/>
    <w:rsid w:val="006575BB"/>
    <w:rsid w:val="00657EFA"/>
    <w:rsid w:val="006603D9"/>
    <w:rsid w:val="0066049A"/>
    <w:rsid w:val="00660522"/>
    <w:rsid w:val="00661056"/>
    <w:rsid w:val="0066119A"/>
    <w:rsid w:val="0066124A"/>
    <w:rsid w:val="00661680"/>
    <w:rsid w:val="00661824"/>
    <w:rsid w:val="00661B41"/>
    <w:rsid w:val="00661D90"/>
    <w:rsid w:val="00662510"/>
    <w:rsid w:val="00662651"/>
    <w:rsid w:val="00662861"/>
    <w:rsid w:val="00662A88"/>
    <w:rsid w:val="00662D5B"/>
    <w:rsid w:val="00663468"/>
    <w:rsid w:val="006637A1"/>
    <w:rsid w:val="0066381D"/>
    <w:rsid w:val="006640F2"/>
    <w:rsid w:val="0066493F"/>
    <w:rsid w:val="00664A0A"/>
    <w:rsid w:val="00664B9B"/>
    <w:rsid w:val="00664ED7"/>
    <w:rsid w:val="006652EA"/>
    <w:rsid w:val="0066624C"/>
    <w:rsid w:val="0066718A"/>
    <w:rsid w:val="006671AB"/>
    <w:rsid w:val="00667DFF"/>
    <w:rsid w:val="00670407"/>
    <w:rsid w:val="0067064F"/>
    <w:rsid w:val="00671056"/>
    <w:rsid w:val="00671562"/>
    <w:rsid w:val="00671B0D"/>
    <w:rsid w:val="006721C4"/>
    <w:rsid w:val="006724B7"/>
    <w:rsid w:val="0067251B"/>
    <w:rsid w:val="00672A03"/>
    <w:rsid w:val="00672C69"/>
    <w:rsid w:val="0067318A"/>
    <w:rsid w:val="00673557"/>
    <w:rsid w:val="006739D8"/>
    <w:rsid w:val="00673C86"/>
    <w:rsid w:val="00673F42"/>
    <w:rsid w:val="0067490B"/>
    <w:rsid w:val="00674A23"/>
    <w:rsid w:val="00674C85"/>
    <w:rsid w:val="00674CE2"/>
    <w:rsid w:val="00674D78"/>
    <w:rsid w:val="00675133"/>
    <w:rsid w:val="0067582D"/>
    <w:rsid w:val="00675EE2"/>
    <w:rsid w:val="006760D9"/>
    <w:rsid w:val="006763FD"/>
    <w:rsid w:val="00676A59"/>
    <w:rsid w:val="00676AA1"/>
    <w:rsid w:val="00676C1A"/>
    <w:rsid w:val="00676F20"/>
    <w:rsid w:val="00676FC1"/>
    <w:rsid w:val="00677657"/>
    <w:rsid w:val="00680535"/>
    <w:rsid w:val="00680613"/>
    <w:rsid w:val="00680F7E"/>
    <w:rsid w:val="00681A96"/>
    <w:rsid w:val="00681FF3"/>
    <w:rsid w:val="0068213E"/>
    <w:rsid w:val="00682450"/>
    <w:rsid w:val="006824A8"/>
    <w:rsid w:val="00682D35"/>
    <w:rsid w:val="00683921"/>
    <w:rsid w:val="0068396F"/>
    <w:rsid w:val="00683A42"/>
    <w:rsid w:val="00684357"/>
    <w:rsid w:val="00685930"/>
    <w:rsid w:val="00686035"/>
    <w:rsid w:val="00686668"/>
    <w:rsid w:val="006872A6"/>
    <w:rsid w:val="00687A00"/>
    <w:rsid w:val="00687D03"/>
    <w:rsid w:val="00687E88"/>
    <w:rsid w:val="00687F52"/>
    <w:rsid w:val="0069003E"/>
    <w:rsid w:val="006901C9"/>
    <w:rsid w:val="00690483"/>
    <w:rsid w:val="006909C1"/>
    <w:rsid w:val="00690C14"/>
    <w:rsid w:val="00690F37"/>
    <w:rsid w:val="006919B0"/>
    <w:rsid w:val="0069220F"/>
    <w:rsid w:val="006923E2"/>
    <w:rsid w:val="006926E8"/>
    <w:rsid w:val="00692782"/>
    <w:rsid w:val="00692888"/>
    <w:rsid w:val="00692988"/>
    <w:rsid w:val="00692A93"/>
    <w:rsid w:val="00692BB3"/>
    <w:rsid w:val="00692CD8"/>
    <w:rsid w:val="00692D1D"/>
    <w:rsid w:val="00692E37"/>
    <w:rsid w:val="00692F39"/>
    <w:rsid w:val="00693290"/>
    <w:rsid w:val="006932E1"/>
    <w:rsid w:val="00693A55"/>
    <w:rsid w:val="00693C9D"/>
    <w:rsid w:val="00694F12"/>
    <w:rsid w:val="00695818"/>
    <w:rsid w:val="00695BA9"/>
    <w:rsid w:val="00695C78"/>
    <w:rsid w:val="00696165"/>
    <w:rsid w:val="00696568"/>
    <w:rsid w:val="00696DAE"/>
    <w:rsid w:val="0069741C"/>
    <w:rsid w:val="0069792C"/>
    <w:rsid w:val="00697DF6"/>
    <w:rsid w:val="006A0485"/>
    <w:rsid w:val="006A069C"/>
    <w:rsid w:val="006A0C6E"/>
    <w:rsid w:val="006A140C"/>
    <w:rsid w:val="006A16F3"/>
    <w:rsid w:val="006A1753"/>
    <w:rsid w:val="006A2C4D"/>
    <w:rsid w:val="006A3410"/>
    <w:rsid w:val="006A39CF"/>
    <w:rsid w:val="006A3B8D"/>
    <w:rsid w:val="006A4654"/>
    <w:rsid w:val="006A47C5"/>
    <w:rsid w:val="006A489F"/>
    <w:rsid w:val="006A4FCA"/>
    <w:rsid w:val="006A58D5"/>
    <w:rsid w:val="006A595C"/>
    <w:rsid w:val="006A596C"/>
    <w:rsid w:val="006A5D80"/>
    <w:rsid w:val="006A5D90"/>
    <w:rsid w:val="006A5DD8"/>
    <w:rsid w:val="006A60D5"/>
    <w:rsid w:val="006A62CA"/>
    <w:rsid w:val="006A6696"/>
    <w:rsid w:val="006A6793"/>
    <w:rsid w:val="006A6920"/>
    <w:rsid w:val="006A6EBC"/>
    <w:rsid w:val="006A7D0A"/>
    <w:rsid w:val="006A7F03"/>
    <w:rsid w:val="006B05A8"/>
    <w:rsid w:val="006B05D9"/>
    <w:rsid w:val="006B07F4"/>
    <w:rsid w:val="006B0867"/>
    <w:rsid w:val="006B09A0"/>
    <w:rsid w:val="006B0E83"/>
    <w:rsid w:val="006B115A"/>
    <w:rsid w:val="006B12CD"/>
    <w:rsid w:val="006B1CB5"/>
    <w:rsid w:val="006B21A3"/>
    <w:rsid w:val="006B2A28"/>
    <w:rsid w:val="006B2E52"/>
    <w:rsid w:val="006B3416"/>
    <w:rsid w:val="006B38AD"/>
    <w:rsid w:val="006B39FD"/>
    <w:rsid w:val="006B3A69"/>
    <w:rsid w:val="006B4326"/>
    <w:rsid w:val="006B45DF"/>
    <w:rsid w:val="006B4711"/>
    <w:rsid w:val="006B498C"/>
    <w:rsid w:val="006B5805"/>
    <w:rsid w:val="006B5B76"/>
    <w:rsid w:val="006B6011"/>
    <w:rsid w:val="006B6980"/>
    <w:rsid w:val="006B6CA1"/>
    <w:rsid w:val="006B6D79"/>
    <w:rsid w:val="006B7299"/>
    <w:rsid w:val="006B79AB"/>
    <w:rsid w:val="006B7C51"/>
    <w:rsid w:val="006B7F0B"/>
    <w:rsid w:val="006C037B"/>
    <w:rsid w:val="006C1967"/>
    <w:rsid w:val="006C2091"/>
    <w:rsid w:val="006C2B25"/>
    <w:rsid w:val="006C3242"/>
    <w:rsid w:val="006C3751"/>
    <w:rsid w:val="006C4291"/>
    <w:rsid w:val="006C452D"/>
    <w:rsid w:val="006C4CCE"/>
    <w:rsid w:val="006C51CA"/>
    <w:rsid w:val="006C59A3"/>
    <w:rsid w:val="006C645C"/>
    <w:rsid w:val="006C6781"/>
    <w:rsid w:val="006C6812"/>
    <w:rsid w:val="006C6F98"/>
    <w:rsid w:val="006C7988"/>
    <w:rsid w:val="006D071C"/>
    <w:rsid w:val="006D09FD"/>
    <w:rsid w:val="006D0B43"/>
    <w:rsid w:val="006D0B53"/>
    <w:rsid w:val="006D0C4E"/>
    <w:rsid w:val="006D0D8E"/>
    <w:rsid w:val="006D0E1E"/>
    <w:rsid w:val="006D0EC5"/>
    <w:rsid w:val="006D105F"/>
    <w:rsid w:val="006D178F"/>
    <w:rsid w:val="006D184B"/>
    <w:rsid w:val="006D2154"/>
    <w:rsid w:val="006D24EC"/>
    <w:rsid w:val="006D283A"/>
    <w:rsid w:val="006D3E75"/>
    <w:rsid w:val="006D3ECC"/>
    <w:rsid w:val="006D42C4"/>
    <w:rsid w:val="006D42E6"/>
    <w:rsid w:val="006D48E0"/>
    <w:rsid w:val="006D57DB"/>
    <w:rsid w:val="006D5867"/>
    <w:rsid w:val="006D5D6D"/>
    <w:rsid w:val="006D5E33"/>
    <w:rsid w:val="006D5E91"/>
    <w:rsid w:val="006D6002"/>
    <w:rsid w:val="006D6DF9"/>
    <w:rsid w:val="006D7925"/>
    <w:rsid w:val="006D7D60"/>
    <w:rsid w:val="006E0B44"/>
    <w:rsid w:val="006E1BA4"/>
    <w:rsid w:val="006E1C36"/>
    <w:rsid w:val="006E2947"/>
    <w:rsid w:val="006E374D"/>
    <w:rsid w:val="006E38A8"/>
    <w:rsid w:val="006E3D6C"/>
    <w:rsid w:val="006E3E32"/>
    <w:rsid w:val="006E3E62"/>
    <w:rsid w:val="006E3FAD"/>
    <w:rsid w:val="006E4119"/>
    <w:rsid w:val="006E4907"/>
    <w:rsid w:val="006E4A89"/>
    <w:rsid w:val="006E5033"/>
    <w:rsid w:val="006E5AC9"/>
    <w:rsid w:val="006E5F21"/>
    <w:rsid w:val="006E6846"/>
    <w:rsid w:val="006E6969"/>
    <w:rsid w:val="006E7A04"/>
    <w:rsid w:val="006E7E82"/>
    <w:rsid w:val="006F0E90"/>
    <w:rsid w:val="006F13E7"/>
    <w:rsid w:val="006F1C4E"/>
    <w:rsid w:val="006F1D71"/>
    <w:rsid w:val="006F29C0"/>
    <w:rsid w:val="006F2B43"/>
    <w:rsid w:val="006F2EC1"/>
    <w:rsid w:val="006F33F0"/>
    <w:rsid w:val="006F351F"/>
    <w:rsid w:val="006F443E"/>
    <w:rsid w:val="006F46BB"/>
    <w:rsid w:val="006F49D3"/>
    <w:rsid w:val="006F4B56"/>
    <w:rsid w:val="006F4B81"/>
    <w:rsid w:val="006F5D29"/>
    <w:rsid w:val="006F5F8A"/>
    <w:rsid w:val="006F602C"/>
    <w:rsid w:val="006F62C9"/>
    <w:rsid w:val="006F6577"/>
    <w:rsid w:val="006F6A5E"/>
    <w:rsid w:val="006F6CDD"/>
    <w:rsid w:val="006F6DFE"/>
    <w:rsid w:val="006F6F0B"/>
    <w:rsid w:val="006F76BA"/>
    <w:rsid w:val="006F7C84"/>
    <w:rsid w:val="007000D5"/>
    <w:rsid w:val="0070092C"/>
    <w:rsid w:val="007009E8"/>
    <w:rsid w:val="0070108D"/>
    <w:rsid w:val="00701320"/>
    <w:rsid w:val="00701505"/>
    <w:rsid w:val="00701722"/>
    <w:rsid w:val="0070189B"/>
    <w:rsid w:val="00702429"/>
    <w:rsid w:val="00702599"/>
    <w:rsid w:val="00702850"/>
    <w:rsid w:val="00702AE4"/>
    <w:rsid w:val="00702BF3"/>
    <w:rsid w:val="0070344C"/>
    <w:rsid w:val="00703623"/>
    <w:rsid w:val="00703910"/>
    <w:rsid w:val="0070423A"/>
    <w:rsid w:val="00704F1F"/>
    <w:rsid w:val="00705257"/>
    <w:rsid w:val="00705804"/>
    <w:rsid w:val="007058F3"/>
    <w:rsid w:val="00705964"/>
    <w:rsid w:val="0070632D"/>
    <w:rsid w:val="0070653D"/>
    <w:rsid w:val="007065B0"/>
    <w:rsid w:val="0070683A"/>
    <w:rsid w:val="00707505"/>
    <w:rsid w:val="00707B7D"/>
    <w:rsid w:val="00707C09"/>
    <w:rsid w:val="00707C81"/>
    <w:rsid w:val="00707F16"/>
    <w:rsid w:val="00710509"/>
    <w:rsid w:val="00710623"/>
    <w:rsid w:val="00710AE7"/>
    <w:rsid w:val="00710ED8"/>
    <w:rsid w:val="00710FFF"/>
    <w:rsid w:val="00711A37"/>
    <w:rsid w:val="00711B87"/>
    <w:rsid w:val="00711FD7"/>
    <w:rsid w:val="0071241A"/>
    <w:rsid w:val="00712698"/>
    <w:rsid w:val="0071281F"/>
    <w:rsid w:val="00712AE5"/>
    <w:rsid w:val="00713842"/>
    <w:rsid w:val="007138B6"/>
    <w:rsid w:val="00713FE7"/>
    <w:rsid w:val="00714682"/>
    <w:rsid w:val="00714D34"/>
    <w:rsid w:val="0071683A"/>
    <w:rsid w:val="00716DE2"/>
    <w:rsid w:val="00716F4F"/>
    <w:rsid w:val="0071741E"/>
    <w:rsid w:val="00717576"/>
    <w:rsid w:val="007177CF"/>
    <w:rsid w:val="007179A7"/>
    <w:rsid w:val="00717C7F"/>
    <w:rsid w:val="00720331"/>
    <w:rsid w:val="00720C6F"/>
    <w:rsid w:val="00720DBB"/>
    <w:rsid w:val="00720F61"/>
    <w:rsid w:val="007213E6"/>
    <w:rsid w:val="0072179A"/>
    <w:rsid w:val="00721B42"/>
    <w:rsid w:val="00721FBC"/>
    <w:rsid w:val="00722383"/>
    <w:rsid w:val="00722599"/>
    <w:rsid w:val="00722B71"/>
    <w:rsid w:val="00722D87"/>
    <w:rsid w:val="00723940"/>
    <w:rsid w:val="00723ACF"/>
    <w:rsid w:val="00723D84"/>
    <w:rsid w:val="00723DA2"/>
    <w:rsid w:val="00724314"/>
    <w:rsid w:val="00724A69"/>
    <w:rsid w:val="00724C1E"/>
    <w:rsid w:val="00724CC0"/>
    <w:rsid w:val="00725273"/>
    <w:rsid w:val="007257CA"/>
    <w:rsid w:val="00725B08"/>
    <w:rsid w:val="00725B96"/>
    <w:rsid w:val="00725D9D"/>
    <w:rsid w:val="00726233"/>
    <w:rsid w:val="00726799"/>
    <w:rsid w:val="00726AAE"/>
    <w:rsid w:val="00726C09"/>
    <w:rsid w:val="007276EE"/>
    <w:rsid w:val="00727951"/>
    <w:rsid w:val="00730FA9"/>
    <w:rsid w:val="00731044"/>
    <w:rsid w:val="0073162F"/>
    <w:rsid w:val="00732095"/>
    <w:rsid w:val="0073223C"/>
    <w:rsid w:val="00732375"/>
    <w:rsid w:val="007329A0"/>
    <w:rsid w:val="00732A15"/>
    <w:rsid w:val="00732A27"/>
    <w:rsid w:val="00732C90"/>
    <w:rsid w:val="00732E4F"/>
    <w:rsid w:val="007330B8"/>
    <w:rsid w:val="00733A81"/>
    <w:rsid w:val="00733FE9"/>
    <w:rsid w:val="00734BCD"/>
    <w:rsid w:val="00734E87"/>
    <w:rsid w:val="00734F96"/>
    <w:rsid w:val="00735070"/>
    <w:rsid w:val="007352A4"/>
    <w:rsid w:val="00735669"/>
    <w:rsid w:val="00735DAC"/>
    <w:rsid w:val="0073689E"/>
    <w:rsid w:val="007369FC"/>
    <w:rsid w:val="007377E9"/>
    <w:rsid w:val="00737ABE"/>
    <w:rsid w:val="00737CDC"/>
    <w:rsid w:val="00740699"/>
    <w:rsid w:val="00740DE9"/>
    <w:rsid w:val="00740E46"/>
    <w:rsid w:val="00741FD6"/>
    <w:rsid w:val="00742A63"/>
    <w:rsid w:val="00742E52"/>
    <w:rsid w:val="00742EDE"/>
    <w:rsid w:val="0074367D"/>
    <w:rsid w:val="007440D7"/>
    <w:rsid w:val="007444FA"/>
    <w:rsid w:val="007449FC"/>
    <w:rsid w:val="0074507B"/>
    <w:rsid w:val="00745DC4"/>
    <w:rsid w:val="007465C1"/>
    <w:rsid w:val="00746A1E"/>
    <w:rsid w:val="00746BB7"/>
    <w:rsid w:val="00746C18"/>
    <w:rsid w:val="007470DB"/>
    <w:rsid w:val="007472DD"/>
    <w:rsid w:val="00747D57"/>
    <w:rsid w:val="007503A1"/>
    <w:rsid w:val="00750444"/>
    <w:rsid w:val="00750833"/>
    <w:rsid w:val="00750A6B"/>
    <w:rsid w:val="00750AE7"/>
    <w:rsid w:val="00750D85"/>
    <w:rsid w:val="00750FC5"/>
    <w:rsid w:val="007510B5"/>
    <w:rsid w:val="007510C8"/>
    <w:rsid w:val="00751861"/>
    <w:rsid w:val="00751AC4"/>
    <w:rsid w:val="00751DE3"/>
    <w:rsid w:val="00751EE8"/>
    <w:rsid w:val="007524B7"/>
    <w:rsid w:val="00752A32"/>
    <w:rsid w:val="00753790"/>
    <w:rsid w:val="007539EC"/>
    <w:rsid w:val="00754160"/>
    <w:rsid w:val="0075556A"/>
    <w:rsid w:val="0075556E"/>
    <w:rsid w:val="0075569F"/>
    <w:rsid w:val="00755AD7"/>
    <w:rsid w:val="00755C57"/>
    <w:rsid w:val="00755F0F"/>
    <w:rsid w:val="00756048"/>
    <w:rsid w:val="0075627D"/>
    <w:rsid w:val="00756420"/>
    <w:rsid w:val="00756F7A"/>
    <w:rsid w:val="00757181"/>
    <w:rsid w:val="0075729C"/>
    <w:rsid w:val="007572D9"/>
    <w:rsid w:val="00757711"/>
    <w:rsid w:val="00757913"/>
    <w:rsid w:val="00757CBD"/>
    <w:rsid w:val="00757F3E"/>
    <w:rsid w:val="00760829"/>
    <w:rsid w:val="007615C5"/>
    <w:rsid w:val="00761614"/>
    <w:rsid w:val="00761690"/>
    <w:rsid w:val="00761996"/>
    <w:rsid w:val="00761B16"/>
    <w:rsid w:val="007620DE"/>
    <w:rsid w:val="00762B32"/>
    <w:rsid w:val="0076369D"/>
    <w:rsid w:val="00763789"/>
    <w:rsid w:val="00763BDE"/>
    <w:rsid w:val="00763C5B"/>
    <w:rsid w:val="007641B8"/>
    <w:rsid w:val="007644BA"/>
    <w:rsid w:val="007646B2"/>
    <w:rsid w:val="00764810"/>
    <w:rsid w:val="00765BF8"/>
    <w:rsid w:val="00765C3C"/>
    <w:rsid w:val="00765DE8"/>
    <w:rsid w:val="00765FCF"/>
    <w:rsid w:val="0076662E"/>
    <w:rsid w:val="0076668B"/>
    <w:rsid w:val="007668CF"/>
    <w:rsid w:val="00766D71"/>
    <w:rsid w:val="007670DB"/>
    <w:rsid w:val="007673FE"/>
    <w:rsid w:val="00767A72"/>
    <w:rsid w:val="00767E86"/>
    <w:rsid w:val="00767F8E"/>
    <w:rsid w:val="007700C1"/>
    <w:rsid w:val="00770167"/>
    <w:rsid w:val="00770F1E"/>
    <w:rsid w:val="007711C1"/>
    <w:rsid w:val="00771DE9"/>
    <w:rsid w:val="00771FED"/>
    <w:rsid w:val="00772087"/>
    <w:rsid w:val="00772136"/>
    <w:rsid w:val="00772339"/>
    <w:rsid w:val="00772B81"/>
    <w:rsid w:val="00773829"/>
    <w:rsid w:val="0077402C"/>
    <w:rsid w:val="007741AA"/>
    <w:rsid w:val="0077482B"/>
    <w:rsid w:val="00774C60"/>
    <w:rsid w:val="00774EFC"/>
    <w:rsid w:val="0077518A"/>
    <w:rsid w:val="00775E69"/>
    <w:rsid w:val="00776224"/>
    <w:rsid w:val="00777087"/>
    <w:rsid w:val="0077732A"/>
    <w:rsid w:val="007774B9"/>
    <w:rsid w:val="007774E7"/>
    <w:rsid w:val="0077796E"/>
    <w:rsid w:val="00777E3A"/>
    <w:rsid w:val="00777F97"/>
    <w:rsid w:val="007802AB"/>
    <w:rsid w:val="007805BC"/>
    <w:rsid w:val="0078110F"/>
    <w:rsid w:val="007812E0"/>
    <w:rsid w:val="0078174C"/>
    <w:rsid w:val="007817A1"/>
    <w:rsid w:val="00782496"/>
    <w:rsid w:val="007825E0"/>
    <w:rsid w:val="00782629"/>
    <w:rsid w:val="00782B2C"/>
    <w:rsid w:val="00782D87"/>
    <w:rsid w:val="007836E3"/>
    <w:rsid w:val="00783A16"/>
    <w:rsid w:val="00783E70"/>
    <w:rsid w:val="007840E8"/>
    <w:rsid w:val="0078414C"/>
    <w:rsid w:val="0078462D"/>
    <w:rsid w:val="00784679"/>
    <w:rsid w:val="00784D98"/>
    <w:rsid w:val="00785245"/>
    <w:rsid w:val="007853E4"/>
    <w:rsid w:val="007853EE"/>
    <w:rsid w:val="00785B12"/>
    <w:rsid w:val="007863B2"/>
    <w:rsid w:val="00787204"/>
    <w:rsid w:val="00787437"/>
    <w:rsid w:val="007874E9"/>
    <w:rsid w:val="00787521"/>
    <w:rsid w:val="0078760D"/>
    <w:rsid w:val="0078766E"/>
    <w:rsid w:val="00787AC7"/>
    <w:rsid w:val="00787B59"/>
    <w:rsid w:val="00787D10"/>
    <w:rsid w:val="00790177"/>
    <w:rsid w:val="007904C3"/>
    <w:rsid w:val="00790976"/>
    <w:rsid w:val="00790A9F"/>
    <w:rsid w:val="00790AAB"/>
    <w:rsid w:val="00790E3A"/>
    <w:rsid w:val="00791810"/>
    <w:rsid w:val="007918ED"/>
    <w:rsid w:val="00791B8B"/>
    <w:rsid w:val="007927A1"/>
    <w:rsid w:val="00792B5B"/>
    <w:rsid w:val="00792D72"/>
    <w:rsid w:val="007935C8"/>
    <w:rsid w:val="007936BD"/>
    <w:rsid w:val="00793DEF"/>
    <w:rsid w:val="007940C7"/>
    <w:rsid w:val="00794AC1"/>
    <w:rsid w:val="0079510A"/>
    <w:rsid w:val="0079526E"/>
    <w:rsid w:val="007956FF"/>
    <w:rsid w:val="00795968"/>
    <w:rsid w:val="00796342"/>
    <w:rsid w:val="00796604"/>
    <w:rsid w:val="007966E8"/>
    <w:rsid w:val="0079685B"/>
    <w:rsid w:val="007976A4"/>
    <w:rsid w:val="007977D5"/>
    <w:rsid w:val="007A0177"/>
    <w:rsid w:val="007A032C"/>
    <w:rsid w:val="007A0A71"/>
    <w:rsid w:val="007A0A97"/>
    <w:rsid w:val="007A112F"/>
    <w:rsid w:val="007A13C9"/>
    <w:rsid w:val="007A1CE6"/>
    <w:rsid w:val="007A1F49"/>
    <w:rsid w:val="007A20DC"/>
    <w:rsid w:val="007A2188"/>
    <w:rsid w:val="007A21D1"/>
    <w:rsid w:val="007A22CA"/>
    <w:rsid w:val="007A2974"/>
    <w:rsid w:val="007A2B5C"/>
    <w:rsid w:val="007A3357"/>
    <w:rsid w:val="007A357C"/>
    <w:rsid w:val="007A38AC"/>
    <w:rsid w:val="007A3D66"/>
    <w:rsid w:val="007A46AA"/>
    <w:rsid w:val="007A4AD3"/>
    <w:rsid w:val="007A4E0F"/>
    <w:rsid w:val="007A4EB4"/>
    <w:rsid w:val="007A4EC0"/>
    <w:rsid w:val="007A51C7"/>
    <w:rsid w:val="007A53FD"/>
    <w:rsid w:val="007A5B19"/>
    <w:rsid w:val="007A5F66"/>
    <w:rsid w:val="007A663B"/>
    <w:rsid w:val="007A6812"/>
    <w:rsid w:val="007A6EA9"/>
    <w:rsid w:val="007A6EBD"/>
    <w:rsid w:val="007A6F84"/>
    <w:rsid w:val="007A72B1"/>
    <w:rsid w:val="007A7534"/>
    <w:rsid w:val="007B030A"/>
    <w:rsid w:val="007B14E3"/>
    <w:rsid w:val="007B1C7E"/>
    <w:rsid w:val="007B1FFA"/>
    <w:rsid w:val="007B22C1"/>
    <w:rsid w:val="007B2334"/>
    <w:rsid w:val="007B2638"/>
    <w:rsid w:val="007B2CDD"/>
    <w:rsid w:val="007B3976"/>
    <w:rsid w:val="007B3C07"/>
    <w:rsid w:val="007B47C9"/>
    <w:rsid w:val="007B47D3"/>
    <w:rsid w:val="007B4B8D"/>
    <w:rsid w:val="007B583C"/>
    <w:rsid w:val="007B6F33"/>
    <w:rsid w:val="007B71A5"/>
    <w:rsid w:val="007B7380"/>
    <w:rsid w:val="007B7517"/>
    <w:rsid w:val="007B7BB4"/>
    <w:rsid w:val="007B7CA5"/>
    <w:rsid w:val="007B7F71"/>
    <w:rsid w:val="007C0031"/>
    <w:rsid w:val="007C0093"/>
    <w:rsid w:val="007C03B0"/>
    <w:rsid w:val="007C0E74"/>
    <w:rsid w:val="007C1008"/>
    <w:rsid w:val="007C12C7"/>
    <w:rsid w:val="007C1740"/>
    <w:rsid w:val="007C1BDF"/>
    <w:rsid w:val="007C1E5A"/>
    <w:rsid w:val="007C22DC"/>
    <w:rsid w:val="007C2A36"/>
    <w:rsid w:val="007C2A55"/>
    <w:rsid w:val="007C2B80"/>
    <w:rsid w:val="007C2E8C"/>
    <w:rsid w:val="007C2EC5"/>
    <w:rsid w:val="007C2EC8"/>
    <w:rsid w:val="007C3065"/>
    <w:rsid w:val="007C3993"/>
    <w:rsid w:val="007C3A47"/>
    <w:rsid w:val="007C3DD2"/>
    <w:rsid w:val="007C542C"/>
    <w:rsid w:val="007C583B"/>
    <w:rsid w:val="007C686A"/>
    <w:rsid w:val="007C6AFE"/>
    <w:rsid w:val="007C6D8F"/>
    <w:rsid w:val="007C7048"/>
    <w:rsid w:val="007C7334"/>
    <w:rsid w:val="007C7A7C"/>
    <w:rsid w:val="007C7BD6"/>
    <w:rsid w:val="007C7FA0"/>
    <w:rsid w:val="007D0BFE"/>
    <w:rsid w:val="007D10D4"/>
    <w:rsid w:val="007D156A"/>
    <w:rsid w:val="007D19BA"/>
    <w:rsid w:val="007D1AAB"/>
    <w:rsid w:val="007D2032"/>
    <w:rsid w:val="007D203E"/>
    <w:rsid w:val="007D230D"/>
    <w:rsid w:val="007D2F4D"/>
    <w:rsid w:val="007D33C6"/>
    <w:rsid w:val="007D35A6"/>
    <w:rsid w:val="007D35A9"/>
    <w:rsid w:val="007D35D5"/>
    <w:rsid w:val="007D35D6"/>
    <w:rsid w:val="007D39A0"/>
    <w:rsid w:val="007D442F"/>
    <w:rsid w:val="007D4707"/>
    <w:rsid w:val="007D4A72"/>
    <w:rsid w:val="007D52B1"/>
    <w:rsid w:val="007D56FE"/>
    <w:rsid w:val="007D5A0B"/>
    <w:rsid w:val="007D5D64"/>
    <w:rsid w:val="007D6651"/>
    <w:rsid w:val="007D66F6"/>
    <w:rsid w:val="007D7155"/>
    <w:rsid w:val="007D71DD"/>
    <w:rsid w:val="007D71F3"/>
    <w:rsid w:val="007D7801"/>
    <w:rsid w:val="007D7A26"/>
    <w:rsid w:val="007E026B"/>
    <w:rsid w:val="007E0774"/>
    <w:rsid w:val="007E0D17"/>
    <w:rsid w:val="007E0FAF"/>
    <w:rsid w:val="007E105F"/>
    <w:rsid w:val="007E1475"/>
    <w:rsid w:val="007E18C8"/>
    <w:rsid w:val="007E1AC9"/>
    <w:rsid w:val="007E2904"/>
    <w:rsid w:val="007E2AF9"/>
    <w:rsid w:val="007E2D52"/>
    <w:rsid w:val="007E2FA5"/>
    <w:rsid w:val="007E3687"/>
    <w:rsid w:val="007E377C"/>
    <w:rsid w:val="007E3DA4"/>
    <w:rsid w:val="007E3F7A"/>
    <w:rsid w:val="007E44DF"/>
    <w:rsid w:val="007E495E"/>
    <w:rsid w:val="007E4A90"/>
    <w:rsid w:val="007E4FBE"/>
    <w:rsid w:val="007E6760"/>
    <w:rsid w:val="007E6D31"/>
    <w:rsid w:val="007E6FD9"/>
    <w:rsid w:val="007E7278"/>
    <w:rsid w:val="007E7489"/>
    <w:rsid w:val="007E7B0A"/>
    <w:rsid w:val="007E7CA0"/>
    <w:rsid w:val="007F063A"/>
    <w:rsid w:val="007F10A2"/>
    <w:rsid w:val="007F132E"/>
    <w:rsid w:val="007F1644"/>
    <w:rsid w:val="007F189D"/>
    <w:rsid w:val="007F2380"/>
    <w:rsid w:val="007F25A4"/>
    <w:rsid w:val="007F2E98"/>
    <w:rsid w:val="007F31B3"/>
    <w:rsid w:val="007F3573"/>
    <w:rsid w:val="007F3674"/>
    <w:rsid w:val="007F36B9"/>
    <w:rsid w:val="007F3C39"/>
    <w:rsid w:val="007F42DA"/>
    <w:rsid w:val="007F4434"/>
    <w:rsid w:val="007F500D"/>
    <w:rsid w:val="007F5DDD"/>
    <w:rsid w:val="007F5F00"/>
    <w:rsid w:val="007F611D"/>
    <w:rsid w:val="007F61C4"/>
    <w:rsid w:val="007F62B1"/>
    <w:rsid w:val="007F760C"/>
    <w:rsid w:val="007F7E57"/>
    <w:rsid w:val="008008FC"/>
    <w:rsid w:val="0080133B"/>
    <w:rsid w:val="00801352"/>
    <w:rsid w:val="00801844"/>
    <w:rsid w:val="00801DE2"/>
    <w:rsid w:val="00801EAE"/>
    <w:rsid w:val="00802F15"/>
    <w:rsid w:val="008031D3"/>
    <w:rsid w:val="00803555"/>
    <w:rsid w:val="00803679"/>
    <w:rsid w:val="00803789"/>
    <w:rsid w:val="0080413E"/>
    <w:rsid w:val="00804499"/>
    <w:rsid w:val="00804515"/>
    <w:rsid w:val="00804584"/>
    <w:rsid w:val="008046BB"/>
    <w:rsid w:val="00804A22"/>
    <w:rsid w:val="00804C38"/>
    <w:rsid w:val="00804C44"/>
    <w:rsid w:val="00804EED"/>
    <w:rsid w:val="00806052"/>
    <w:rsid w:val="0080607F"/>
    <w:rsid w:val="008067FB"/>
    <w:rsid w:val="0080735D"/>
    <w:rsid w:val="00807471"/>
    <w:rsid w:val="008075EA"/>
    <w:rsid w:val="00807810"/>
    <w:rsid w:val="00807BF5"/>
    <w:rsid w:val="00807C46"/>
    <w:rsid w:val="00810391"/>
    <w:rsid w:val="00810866"/>
    <w:rsid w:val="00811381"/>
    <w:rsid w:val="008114AF"/>
    <w:rsid w:val="008118CA"/>
    <w:rsid w:val="0081283A"/>
    <w:rsid w:val="0081312B"/>
    <w:rsid w:val="0081349D"/>
    <w:rsid w:val="00813807"/>
    <w:rsid w:val="00813D9A"/>
    <w:rsid w:val="008145DD"/>
    <w:rsid w:val="00814D0F"/>
    <w:rsid w:val="00814DC5"/>
    <w:rsid w:val="00814DF5"/>
    <w:rsid w:val="00814F7E"/>
    <w:rsid w:val="0081595A"/>
    <w:rsid w:val="00815C60"/>
    <w:rsid w:val="00815D7A"/>
    <w:rsid w:val="00815DEF"/>
    <w:rsid w:val="00815F57"/>
    <w:rsid w:val="00815FD0"/>
    <w:rsid w:val="00816E59"/>
    <w:rsid w:val="00816E7B"/>
    <w:rsid w:val="008174EA"/>
    <w:rsid w:val="00820097"/>
    <w:rsid w:val="00820282"/>
    <w:rsid w:val="008206FE"/>
    <w:rsid w:val="00820A4B"/>
    <w:rsid w:val="00820C99"/>
    <w:rsid w:val="008211CF"/>
    <w:rsid w:val="008215F9"/>
    <w:rsid w:val="008218E6"/>
    <w:rsid w:val="00821E9A"/>
    <w:rsid w:val="00823476"/>
    <w:rsid w:val="00823BF1"/>
    <w:rsid w:val="00823D9D"/>
    <w:rsid w:val="00824323"/>
    <w:rsid w:val="0082473E"/>
    <w:rsid w:val="00824F2B"/>
    <w:rsid w:val="008258DF"/>
    <w:rsid w:val="00825AA0"/>
    <w:rsid w:val="00825C92"/>
    <w:rsid w:val="00825E6B"/>
    <w:rsid w:val="0082603D"/>
    <w:rsid w:val="008260B6"/>
    <w:rsid w:val="008261B0"/>
    <w:rsid w:val="00827160"/>
    <w:rsid w:val="0083017F"/>
    <w:rsid w:val="0083057A"/>
    <w:rsid w:val="00830883"/>
    <w:rsid w:val="00830C5E"/>
    <w:rsid w:val="00831095"/>
    <w:rsid w:val="00831B51"/>
    <w:rsid w:val="00831C2E"/>
    <w:rsid w:val="00832216"/>
    <w:rsid w:val="008322F6"/>
    <w:rsid w:val="00832578"/>
    <w:rsid w:val="00832B12"/>
    <w:rsid w:val="00832BC1"/>
    <w:rsid w:val="008331AB"/>
    <w:rsid w:val="00833815"/>
    <w:rsid w:val="008338B4"/>
    <w:rsid w:val="00833CE6"/>
    <w:rsid w:val="008344B3"/>
    <w:rsid w:val="00834E4C"/>
    <w:rsid w:val="00835070"/>
    <w:rsid w:val="00835495"/>
    <w:rsid w:val="0083658D"/>
    <w:rsid w:val="00836ADB"/>
    <w:rsid w:val="00836B58"/>
    <w:rsid w:val="00836CB3"/>
    <w:rsid w:val="00836D44"/>
    <w:rsid w:val="008372FE"/>
    <w:rsid w:val="008374D7"/>
    <w:rsid w:val="00837817"/>
    <w:rsid w:val="00837A8C"/>
    <w:rsid w:val="00840159"/>
    <w:rsid w:val="00840469"/>
    <w:rsid w:val="0084056B"/>
    <w:rsid w:val="008409CA"/>
    <w:rsid w:val="00841145"/>
    <w:rsid w:val="008413D7"/>
    <w:rsid w:val="00841C7D"/>
    <w:rsid w:val="00841FCF"/>
    <w:rsid w:val="0084218C"/>
    <w:rsid w:val="00842333"/>
    <w:rsid w:val="0084295C"/>
    <w:rsid w:val="00842AD6"/>
    <w:rsid w:val="0084416E"/>
    <w:rsid w:val="00844F18"/>
    <w:rsid w:val="00845AA4"/>
    <w:rsid w:val="00845AC1"/>
    <w:rsid w:val="00846123"/>
    <w:rsid w:val="0084681D"/>
    <w:rsid w:val="00846980"/>
    <w:rsid w:val="00846B5C"/>
    <w:rsid w:val="00846D29"/>
    <w:rsid w:val="00846FED"/>
    <w:rsid w:val="00847237"/>
    <w:rsid w:val="00850A8C"/>
    <w:rsid w:val="00851263"/>
    <w:rsid w:val="00851C41"/>
    <w:rsid w:val="00851D0C"/>
    <w:rsid w:val="00851EE4"/>
    <w:rsid w:val="00851F7B"/>
    <w:rsid w:val="00852633"/>
    <w:rsid w:val="00852946"/>
    <w:rsid w:val="00852D92"/>
    <w:rsid w:val="00853872"/>
    <w:rsid w:val="008544EF"/>
    <w:rsid w:val="0085488D"/>
    <w:rsid w:val="0085495D"/>
    <w:rsid w:val="00854B56"/>
    <w:rsid w:val="008551C9"/>
    <w:rsid w:val="0085551D"/>
    <w:rsid w:val="00855D41"/>
    <w:rsid w:val="00855E27"/>
    <w:rsid w:val="008560BF"/>
    <w:rsid w:val="00856173"/>
    <w:rsid w:val="0085619D"/>
    <w:rsid w:val="008562A8"/>
    <w:rsid w:val="0085634F"/>
    <w:rsid w:val="008565D6"/>
    <w:rsid w:val="00856609"/>
    <w:rsid w:val="008569DA"/>
    <w:rsid w:val="00856A90"/>
    <w:rsid w:val="00856AFC"/>
    <w:rsid w:val="00856B22"/>
    <w:rsid w:val="00856C28"/>
    <w:rsid w:val="0085700F"/>
    <w:rsid w:val="008579D0"/>
    <w:rsid w:val="0086052D"/>
    <w:rsid w:val="008605E8"/>
    <w:rsid w:val="00860759"/>
    <w:rsid w:val="00860EC1"/>
    <w:rsid w:val="008617A4"/>
    <w:rsid w:val="008618EB"/>
    <w:rsid w:val="00861AE5"/>
    <w:rsid w:val="00861BDA"/>
    <w:rsid w:val="00861BEF"/>
    <w:rsid w:val="00861D7E"/>
    <w:rsid w:val="00861FF2"/>
    <w:rsid w:val="00862787"/>
    <w:rsid w:val="0086290F"/>
    <w:rsid w:val="00862CA3"/>
    <w:rsid w:val="00862CB8"/>
    <w:rsid w:val="00863083"/>
    <w:rsid w:val="00864544"/>
    <w:rsid w:val="008649A4"/>
    <w:rsid w:val="00864E20"/>
    <w:rsid w:val="00865496"/>
    <w:rsid w:val="0086552D"/>
    <w:rsid w:val="008659FA"/>
    <w:rsid w:val="00865C3F"/>
    <w:rsid w:val="008661DA"/>
    <w:rsid w:val="00866819"/>
    <w:rsid w:val="0086681B"/>
    <w:rsid w:val="00866B32"/>
    <w:rsid w:val="00866B7F"/>
    <w:rsid w:val="00866E7A"/>
    <w:rsid w:val="00867A01"/>
    <w:rsid w:val="00870D24"/>
    <w:rsid w:val="00870DDC"/>
    <w:rsid w:val="00871099"/>
    <w:rsid w:val="0087150C"/>
    <w:rsid w:val="00871D98"/>
    <w:rsid w:val="00871EA6"/>
    <w:rsid w:val="00872D97"/>
    <w:rsid w:val="0087345A"/>
    <w:rsid w:val="00873BFD"/>
    <w:rsid w:val="0087458B"/>
    <w:rsid w:val="00875216"/>
    <w:rsid w:val="00875618"/>
    <w:rsid w:val="00875798"/>
    <w:rsid w:val="0087587B"/>
    <w:rsid w:val="00875A60"/>
    <w:rsid w:val="00875CD4"/>
    <w:rsid w:val="00875E08"/>
    <w:rsid w:val="00875F2F"/>
    <w:rsid w:val="008761BD"/>
    <w:rsid w:val="00876A49"/>
    <w:rsid w:val="00876C5E"/>
    <w:rsid w:val="008772E5"/>
    <w:rsid w:val="008777EF"/>
    <w:rsid w:val="00877A1F"/>
    <w:rsid w:val="00877E5F"/>
    <w:rsid w:val="0088048B"/>
    <w:rsid w:val="00880DD4"/>
    <w:rsid w:val="008812E3"/>
    <w:rsid w:val="00881722"/>
    <w:rsid w:val="00881F8C"/>
    <w:rsid w:val="00881F96"/>
    <w:rsid w:val="008820AE"/>
    <w:rsid w:val="008822FE"/>
    <w:rsid w:val="00882B89"/>
    <w:rsid w:val="00882D15"/>
    <w:rsid w:val="00882D5C"/>
    <w:rsid w:val="00882DB6"/>
    <w:rsid w:val="00883219"/>
    <w:rsid w:val="00883597"/>
    <w:rsid w:val="00883642"/>
    <w:rsid w:val="0088394C"/>
    <w:rsid w:val="00884321"/>
    <w:rsid w:val="0088462F"/>
    <w:rsid w:val="008847AD"/>
    <w:rsid w:val="00884C13"/>
    <w:rsid w:val="00884CB0"/>
    <w:rsid w:val="00885070"/>
    <w:rsid w:val="00885325"/>
    <w:rsid w:val="0088569F"/>
    <w:rsid w:val="00885807"/>
    <w:rsid w:val="00885C16"/>
    <w:rsid w:val="00886361"/>
    <w:rsid w:val="008863A5"/>
    <w:rsid w:val="00886881"/>
    <w:rsid w:val="00886A92"/>
    <w:rsid w:val="00887AC9"/>
    <w:rsid w:val="00887C47"/>
    <w:rsid w:val="0089043F"/>
    <w:rsid w:val="008905E2"/>
    <w:rsid w:val="00890794"/>
    <w:rsid w:val="00890C2B"/>
    <w:rsid w:val="00891185"/>
    <w:rsid w:val="00891234"/>
    <w:rsid w:val="008913A6"/>
    <w:rsid w:val="00891C35"/>
    <w:rsid w:val="00891C3B"/>
    <w:rsid w:val="00891E17"/>
    <w:rsid w:val="0089225F"/>
    <w:rsid w:val="008940F0"/>
    <w:rsid w:val="00894129"/>
    <w:rsid w:val="00894201"/>
    <w:rsid w:val="008947E4"/>
    <w:rsid w:val="00894C6E"/>
    <w:rsid w:val="00895094"/>
    <w:rsid w:val="008955BB"/>
    <w:rsid w:val="008956DF"/>
    <w:rsid w:val="00895F0E"/>
    <w:rsid w:val="00896DAE"/>
    <w:rsid w:val="00896DC7"/>
    <w:rsid w:val="00897149"/>
    <w:rsid w:val="008A1238"/>
    <w:rsid w:val="008A18EE"/>
    <w:rsid w:val="008A1908"/>
    <w:rsid w:val="008A1934"/>
    <w:rsid w:val="008A1B47"/>
    <w:rsid w:val="008A1E89"/>
    <w:rsid w:val="008A241E"/>
    <w:rsid w:val="008A28BB"/>
    <w:rsid w:val="008A2A62"/>
    <w:rsid w:val="008A2F29"/>
    <w:rsid w:val="008A311F"/>
    <w:rsid w:val="008A339C"/>
    <w:rsid w:val="008A33C9"/>
    <w:rsid w:val="008A3B72"/>
    <w:rsid w:val="008A3D20"/>
    <w:rsid w:val="008A4442"/>
    <w:rsid w:val="008A50A7"/>
    <w:rsid w:val="008A5A52"/>
    <w:rsid w:val="008A608D"/>
    <w:rsid w:val="008A60BF"/>
    <w:rsid w:val="008A6F5F"/>
    <w:rsid w:val="008A7524"/>
    <w:rsid w:val="008A7849"/>
    <w:rsid w:val="008B02DE"/>
    <w:rsid w:val="008B086A"/>
    <w:rsid w:val="008B0CC3"/>
    <w:rsid w:val="008B0CF0"/>
    <w:rsid w:val="008B1C6E"/>
    <w:rsid w:val="008B216F"/>
    <w:rsid w:val="008B3076"/>
    <w:rsid w:val="008B3111"/>
    <w:rsid w:val="008B3336"/>
    <w:rsid w:val="008B3442"/>
    <w:rsid w:val="008B3C44"/>
    <w:rsid w:val="008B407E"/>
    <w:rsid w:val="008B4639"/>
    <w:rsid w:val="008B4DE4"/>
    <w:rsid w:val="008B4FFE"/>
    <w:rsid w:val="008B503F"/>
    <w:rsid w:val="008B5143"/>
    <w:rsid w:val="008B52F8"/>
    <w:rsid w:val="008B53AB"/>
    <w:rsid w:val="008B54DB"/>
    <w:rsid w:val="008B5C62"/>
    <w:rsid w:val="008B6317"/>
    <w:rsid w:val="008B642F"/>
    <w:rsid w:val="008B6ACF"/>
    <w:rsid w:val="008B6D71"/>
    <w:rsid w:val="008B6F68"/>
    <w:rsid w:val="008C0D05"/>
    <w:rsid w:val="008C0F3A"/>
    <w:rsid w:val="008C105E"/>
    <w:rsid w:val="008C1143"/>
    <w:rsid w:val="008C116D"/>
    <w:rsid w:val="008C138C"/>
    <w:rsid w:val="008C195C"/>
    <w:rsid w:val="008C26A9"/>
    <w:rsid w:val="008C27C1"/>
    <w:rsid w:val="008C2938"/>
    <w:rsid w:val="008C2F8C"/>
    <w:rsid w:val="008C3154"/>
    <w:rsid w:val="008C3D0C"/>
    <w:rsid w:val="008C43EE"/>
    <w:rsid w:val="008C44D3"/>
    <w:rsid w:val="008C5252"/>
    <w:rsid w:val="008C531D"/>
    <w:rsid w:val="008C5646"/>
    <w:rsid w:val="008C5841"/>
    <w:rsid w:val="008C599C"/>
    <w:rsid w:val="008C5B21"/>
    <w:rsid w:val="008C6588"/>
    <w:rsid w:val="008C660E"/>
    <w:rsid w:val="008C6E46"/>
    <w:rsid w:val="008C733B"/>
    <w:rsid w:val="008C7660"/>
    <w:rsid w:val="008C7AA2"/>
    <w:rsid w:val="008C7EED"/>
    <w:rsid w:val="008C7F6A"/>
    <w:rsid w:val="008D077A"/>
    <w:rsid w:val="008D0B99"/>
    <w:rsid w:val="008D0D44"/>
    <w:rsid w:val="008D1571"/>
    <w:rsid w:val="008D1D2F"/>
    <w:rsid w:val="008D1E99"/>
    <w:rsid w:val="008D1F76"/>
    <w:rsid w:val="008D201A"/>
    <w:rsid w:val="008D270A"/>
    <w:rsid w:val="008D2A16"/>
    <w:rsid w:val="008D2A7E"/>
    <w:rsid w:val="008D2F35"/>
    <w:rsid w:val="008D3045"/>
    <w:rsid w:val="008D364C"/>
    <w:rsid w:val="008D396A"/>
    <w:rsid w:val="008D39D4"/>
    <w:rsid w:val="008D3C9A"/>
    <w:rsid w:val="008D42C7"/>
    <w:rsid w:val="008D43FE"/>
    <w:rsid w:val="008D4C26"/>
    <w:rsid w:val="008D5229"/>
    <w:rsid w:val="008D5AAD"/>
    <w:rsid w:val="008D61C6"/>
    <w:rsid w:val="008D6374"/>
    <w:rsid w:val="008D68AF"/>
    <w:rsid w:val="008D6C4B"/>
    <w:rsid w:val="008D6C52"/>
    <w:rsid w:val="008D7383"/>
    <w:rsid w:val="008D742C"/>
    <w:rsid w:val="008D753C"/>
    <w:rsid w:val="008D7764"/>
    <w:rsid w:val="008D785F"/>
    <w:rsid w:val="008D7A13"/>
    <w:rsid w:val="008D7D42"/>
    <w:rsid w:val="008D7FB4"/>
    <w:rsid w:val="008E03B4"/>
    <w:rsid w:val="008E0BD6"/>
    <w:rsid w:val="008E0BEB"/>
    <w:rsid w:val="008E10C6"/>
    <w:rsid w:val="008E17B9"/>
    <w:rsid w:val="008E1D40"/>
    <w:rsid w:val="008E1F60"/>
    <w:rsid w:val="008E2066"/>
    <w:rsid w:val="008E2417"/>
    <w:rsid w:val="008E3114"/>
    <w:rsid w:val="008E3214"/>
    <w:rsid w:val="008E3558"/>
    <w:rsid w:val="008E36C7"/>
    <w:rsid w:val="008E3FD2"/>
    <w:rsid w:val="008E48AB"/>
    <w:rsid w:val="008E4D57"/>
    <w:rsid w:val="008E5048"/>
    <w:rsid w:val="008E55C5"/>
    <w:rsid w:val="008E590A"/>
    <w:rsid w:val="008E66F2"/>
    <w:rsid w:val="008E6C19"/>
    <w:rsid w:val="008E6DC2"/>
    <w:rsid w:val="008E6DD0"/>
    <w:rsid w:val="008E78F5"/>
    <w:rsid w:val="008E7C1A"/>
    <w:rsid w:val="008E7E45"/>
    <w:rsid w:val="008F031A"/>
    <w:rsid w:val="008F05DB"/>
    <w:rsid w:val="008F0BBD"/>
    <w:rsid w:val="008F0FFA"/>
    <w:rsid w:val="008F1334"/>
    <w:rsid w:val="008F138E"/>
    <w:rsid w:val="008F1449"/>
    <w:rsid w:val="008F17D8"/>
    <w:rsid w:val="008F22D0"/>
    <w:rsid w:val="008F2ECD"/>
    <w:rsid w:val="008F2F89"/>
    <w:rsid w:val="008F2FD4"/>
    <w:rsid w:val="008F303D"/>
    <w:rsid w:val="008F3071"/>
    <w:rsid w:val="008F3137"/>
    <w:rsid w:val="008F3480"/>
    <w:rsid w:val="008F3856"/>
    <w:rsid w:val="008F3868"/>
    <w:rsid w:val="008F438C"/>
    <w:rsid w:val="008F4DA6"/>
    <w:rsid w:val="008F5E65"/>
    <w:rsid w:val="008F7671"/>
    <w:rsid w:val="00900018"/>
    <w:rsid w:val="009000FD"/>
    <w:rsid w:val="0090029C"/>
    <w:rsid w:val="0090058A"/>
    <w:rsid w:val="009007E6"/>
    <w:rsid w:val="00900A1C"/>
    <w:rsid w:val="00900A89"/>
    <w:rsid w:val="009010CF"/>
    <w:rsid w:val="009018E4"/>
    <w:rsid w:val="00901CE1"/>
    <w:rsid w:val="00901E96"/>
    <w:rsid w:val="0090226F"/>
    <w:rsid w:val="009025C6"/>
    <w:rsid w:val="00902800"/>
    <w:rsid w:val="0090290C"/>
    <w:rsid w:val="00902C36"/>
    <w:rsid w:val="00902D5B"/>
    <w:rsid w:val="00902E90"/>
    <w:rsid w:val="00902F14"/>
    <w:rsid w:val="00903105"/>
    <w:rsid w:val="0090329C"/>
    <w:rsid w:val="0090452F"/>
    <w:rsid w:val="009048B8"/>
    <w:rsid w:val="009052AD"/>
    <w:rsid w:val="009053B1"/>
    <w:rsid w:val="009055AA"/>
    <w:rsid w:val="00905769"/>
    <w:rsid w:val="00905BFE"/>
    <w:rsid w:val="00905D35"/>
    <w:rsid w:val="009064E9"/>
    <w:rsid w:val="0090717A"/>
    <w:rsid w:val="00907621"/>
    <w:rsid w:val="00907748"/>
    <w:rsid w:val="00907D04"/>
    <w:rsid w:val="009102DB"/>
    <w:rsid w:val="00910383"/>
    <w:rsid w:val="0091049E"/>
    <w:rsid w:val="009105DB"/>
    <w:rsid w:val="00910668"/>
    <w:rsid w:val="00911244"/>
    <w:rsid w:val="00911391"/>
    <w:rsid w:val="00911DE9"/>
    <w:rsid w:val="009121A6"/>
    <w:rsid w:val="00912544"/>
    <w:rsid w:val="009125CD"/>
    <w:rsid w:val="00912803"/>
    <w:rsid w:val="00912D11"/>
    <w:rsid w:val="00912FF8"/>
    <w:rsid w:val="009133CA"/>
    <w:rsid w:val="009134CB"/>
    <w:rsid w:val="00913CD0"/>
    <w:rsid w:val="009146A0"/>
    <w:rsid w:val="00914B7D"/>
    <w:rsid w:val="00914F13"/>
    <w:rsid w:val="00915014"/>
    <w:rsid w:val="00915630"/>
    <w:rsid w:val="009157B7"/>
    <w:rsid w:val="00915CE2"/>
    <w:rsid w:val="00916024"/>
    <w:rsid w:val="009166D4"/>
    <w:rsid w:val="00916711"/>
    <w:rsid w:val="00916891"/>
    <w:rsid w:val="00916985"/>
    <w:rsid w:val="00916C68"/>
    <w:rsid w:val="00917776"/>
    <w:rsid w:val="00917FB5"/>
    <w:rsid w:val="00917FB8"/>
    <w:rsid w:val="00920001"/>
    <w:rsid w:val="00920354"/>
    <w:rsid w:val="00920548"/>
    <w:rsid w:val="00920605"/>
    <w:rsid w:val="00920B73"/>
    <w:rsid w:val="00920C40"/>
    <w:rsid w:val="00921BAE"/>
    <w:rsid w:val="00921FF3"/>
    <w:rsid w:val="009220EE"/>
    <w:rsid w:val="009227E0"/>
    <w:rsid w:val="00922D6D"/>
    <w:rsid w:val="0092304B"/>
    <w:rsid w:val="0092310E"/>
    <w:rsid w:val="009238CF"/>
    <w:rsid w:val="00924007"/>
    <w:rsid w:val="009251BA"/>
    <w:rsid w:val="009255DF"/>
    <w:rsid w:val="0092579F"/>
    <w:rsid w:val="00925C87"/>
    <w:rsid w:val="00926F6B"/>
    <w:rsid w:val="0092706B"/>
    <w:rsid w:val="00927116"/>
    <w:rsid w:val="009272AC"/>
    <w:rsid w:val="009276F4"/>
    <w:rsid w:val="00927BF7"/>
    <w:rsid w:val="0093000C"/>
    <w:rsid w:val="0093075C"/>
    <w:rsid w:val="009308E1"/>
    <w:rsid w:val="00930B7C"/>
    <w:rsid w:val="00930D0C"/>
    <w:rsid w:val="00930F40"/>
    <w:rsid w:val="0093103B"/>
    <w:rsid w:val="009313DF"/>
    <w:rsid w:val="00931796"/>
    <w:rsid w:val="00931866"/>
    <w:rsid w:val="00932597"/>
    <w:rsid w:val="0093273E"/>
    <w:rsid w:val="0093285B"/>
    <w:rsid w:val="00933136"/>
    <w:rsid w:val="00933246"/>
    <w:rsid w:val="009335FB"/>
    <w:rsid w:val="0093404C"/>
    <w:rsid w:val="009345A3"/>
    <w:rsid w:val="009346FB"/>
    <w:rsid w:val="00934973"/>
    <w:rsid w:val="00934AAD"/>
    <w:rsid w:val="00935277"/>
    <w:rsid w:val="00935862"/>
    <w:rsid w:val="00935F88"/>
    <w:rsid w:val="00936565"/>
    <w:rsid w:val="00936BD3"/>
    <w:rsid w:val="0093711A"/>
    <w:rsid w:val="00937BD2"/>
    <w:rsid w:val="00940145"/>
    <w:rsid w:val="00940698"/>
    <w:rsid w:val="00940A73"/>
    <w:rsid w:val="00940D38"/>
    <w:rsid w:val="0094187E"/>
    <w:rsid w:val="00941993"/>
    <w:rsid w:val="00942AAE"/>
    <w:rsid w:val="00942D78"/>
    <w:rsid w:val="00942F95"/>
    <w:rsid w:val="00943823"/>
    <w:rsid w:val="0094399A"/>
    <w:rsid w:val="00943BEF"/>
    <w:rsid w:val="00943DC3"/>
    <w:rsid w:val="00944995"/>
    <w:rsid w:val="009449CB"/>
    <w:rsid w:val="009449F6"/>
    <w:rsid w:val="00945670"/>
    <w:rsid w:val="00945A7E"/>
    <w:rsid w:val="00945BE7"/>
    <w:rsid w:val="00945C61"/>
    <w:rsid w:val="00946535"/>
    <w:rsid w:val="00946D34"/>
    <w:rsid w:val="0094710D"/>
    <w:rsid w:val="00947A6D"/>
    <w:rsid w:val="0095022F"/>
    <w:rsid w:val="009504DB"/>
    <w:rsid w:val="00950BCE"/>
    <w:rsid w:val="00950C0F"/>
    <w:rsid w:val="0095109B"/>
    <w:rsid w:val="00951210"/>
    <w:rsid w:val="0095177E"/>
    <w:rsid w:val="00952001"/>
    <w:rsid w:val="0095225D"/>
    <w:rsid w:val="00952682"/>
    <w:rsid w:val="00952A29"/>
    <w:rsid w:val="00952A72"/>
    <w:rsid w:val="00952E8E"/>
    <w:rsid w:val="00953A9E"/>
    <w:rsid w:val="0095410F"/>
    <w:rsid w:val="009545C3"/>
    <w:rsid w:val="00955046"/>
    <w:rsid w:val="00955403"/>
    <w:rsid w:val="00955C73"/>
    <w:rsid w:val="00956011"/>
    <w:rsid w:val="009563BF"/>
    <w:rsid w:val="009565AE"/>
    <w:rsid w:val="009566AC"/>
    <w:rsid w:val="009569E2"/>
    <w:rsid w:val="009569F9"/>
    <w:rsid w:val="00957D77"/>
    <w:rsid w:val="00957DF8"/>
    <w:rsid w:val="00957F53"/>
    <w:rsid w:val="009607E8"/>
    <w:rsid w:val="00960930"/>
    <w:rsid w:val="00960A52"/>
    <w:rsid w:val="00960AE2"/>
    <w:rsid w:val="00960BF6"/>
    <w:rsid w:val="00960E3C"/>
    <w:rsid w:val="00961955"/>
    <w:rsid w:val="009619D7"/>
    <w:rsid w:val="00961B40"/>
    <w:rsid w:val="00961EC5"/>
    <w:rsid w:val="00961F2F"/>
    <w:rsid w:val="009623E6"/>
    <w:rsid w:val="009629C2"/>
    <w:rsid w:val="00962F18"/>
    <w:rsid w:val="00963652"/>
    <w:rsid w:val="0096371A"/>
    <w:rsid w:val="00964461"/>
    <w:rsid w:val="00964951"/>
    <w:rsid w:val="00964AAB"/>
    <w:rsid w:val="009652F4"/>
    <w:rsid w:val="00965EC3"/>
    <w:rsid w:val="00966226"/>
    <w:rsid w:val="009663E4"/>
    <w:rsid w:val="00966D84"/>
    <w:rsid w:val="00966E4E"/>
    <w:rsid w:val="00967B03"/>
    <w:rsid w:val="00970650"/>
    <w:rsid w:val="0097086C"/>
    <w:rsid w:val="00970C6F"/>
    <w:rsid w:val="00971169"/>
    <w:rsid w:val="00971C28"/>
    <w:rsid w:val="00971C8C"/>
    <w:rsid w:val="009721D1"/>
    <w:rsid w:val="0097224F"/>
    <w:rsid w:val="0097258B"/>
    <w:rsid w:val="00973BE9"/>
    <w:rsid w:val="00973D8C"/>
    <w:rsid w:val="009752A9"/>
    <w:rsid w:val="0097535A"/>
    <w:rsid w:val="00976550"/>
    <w:rsid w:val="009769B8"/>
    <w:rsid w:val="00976DAD"/>
    <w:rsid w:val="00976E47"/>
    <w:rsid w:val="00976ED3"/>
    <w:rsid w:val="00976FA6"/>
    <w:rsid w:val="00977130"/>
    <w:rsid w:val="0097746E"/>
    <w:rsid w:val="0097766A"/>
    <w:rsid w:val="00977B5A"/>
    <w:rsid w:val="0098067D"/>
    <w:rsid w:val="009807E7"/>
    <w:rsid w:val="00980961"/>
    <w:rsid w:val="0098098A"/>
    <w:rsid w:val="00980A67"/>
    <w:rsid w:val="00980D26"/>
    <w:rsid w:val="0098135A"/>
    <w:rsid w:val="00981898"/>
    <w:rsid w:val="0098190B"/>
    <w:rsid w:val="00981933"/>
    <w:rsid w:val="0098230F"/>
    <w:rsid w:val="009837E4"/>
    <w:rsid w:val="009839D9"/>
    <w:rsid w:val="00983ABD"/>
    <w:rsid w:val="00983EDD"/>
    <w:rsid w:val="009840BA"/>
    <w:rsid w:val="00984597"/>
    <w:rsid w:val="009845A0"/>
    <w:rsid w:val="009848ED"/>
    <w:rsid w:val="00985ADB"/>
    <w:rsid w:val="00985CC4"/>
    <w:rsid w:val="00985D44"/>
    <w:rsid w:val="00986213"/>
    <w:rsid w:val="0098643B"/>
    <w:rsid w:val="009866FA"/>
    <w:rsid w:val="00987398"/>
    <w:rsid w:val="00987E38"/>
    <w:rsid w:val="00987E98"/>
    <w:rsid w:val="0099002E"/>
    <w:rsid w:val="00990514"/>
    <w:rsid w:val="009908C5"/>
    <w:rsid w:val="00990B32"/>
    <w:rsid w:val="00990E31"/>
    <w:rsid w:val="009911FC"/>
    <w:rsid w:val="0099133B"/>
    <w:rsid w:val="00991AAE"/>
    <w:rsid w:val="00991ACB"/>
    <w:rsid w:val="00991D1B"/>
    <w:rsid w:val="009924D4"/>
    <w:rsid w:val="009929AD"/>
    <w:rsid w:val="00992DAB"/>
    <w:rsid w:val="00993CB9"/>
    <w:rsid w:val="009948EB"/>
    <w:rsid w:val="009949B1"/>
    <w:rsid w:val="00994A15"/>
    <w:rsid w:val="00994C7F"/>
    <w:rsid w:val="00994CE7"/>
    <w:rsid w:val="0099522D"/>
    <w:rsid w:val="009964AE"/>
    <w:rsid w:val="009968D0"/>
    <w:rsid w:val="00996EEA"/>
    <w:rsid w:val="009972F5"/>
    <w:rsid w:val="009975CE"/>
    <w:rsid w:val="0099763D"/>
    <w:rsid w:val="009976E1"/>
    <w:rsid w:val="00997A92"/>
    <w:rsid w:val="009A0197"/>
    <w:rsid w:val="009A01C8"/>
    <w:rsid w:val="009A0406"/>
    <w:rsid w:val="009A095D"/>
    <w:rsid w:val="009A0D6C"/>
    <w:rsid w:val="009A0E53"/>
    <w:rsid w:val="009A0F79"/>
    <w:rsid w:val="009A1003"/>
    <w:rsid w:val="009A14F0"/>
    <w:rsid w:val="009A1617"/>
    <w:rsid w:val="009A164F"/>
    <w:rsid w:val="009A1ADF"/>
    <w:rsid w:val="009A1C9F"/>
    <w:rsid w:val="009A1DB7"/>
    <w:rsid w:val="009A2592"/>
    <w:rsid w:val="009A263F"/>
    <w:rsid w:val="009A4429"/>
    <w:rsid w:val="009A47AA"/>
    <w:rsid w:val="009A4A2C"/>
    <w:rsid w:val="009A4CC5"/>
    <w:rsid w:val="009A4E51"/>
    <w:rsid w:val="009A537F"/>
    <w:rsid w:val="009A581E"/>
    <w:rsid w:val="009A60D5"/>
    <w:rsid w:val="009A6108"/>
    <w:rsid w:val="009A639C"/>
    <w:rsid w:val="009A65BD"/>
    <w:rsid w:val="009A731E"/>
    <w:rsid w:val="009A78A4"/>
    <w:rsid w:val="009B1209"/>
    <w:rsid w:val="009B13C0"/>
    <w:rsid w:val="009B1988"/>
    <w:rsid w:val="009B1998"/>
    <w:rsid w:val="009B1D7F"/>
    <w:rsid w:val="009B1FBD"/>
    <w:rsid w:val="009B2083"/>
    <w:rsid w:val="009B246D"/>
    <w:rsid w:val="009B26E3"/>
    <w:rsid w:val="009B27B4"/>
    <w:rsid w:val="009B2A9D"/>
    <w:rsid w:val="009B35C7"/>
    <w:rsid w:val="009B37E6"/>
    <w:rsid w:val="009B3A19"/>
    <w:rsid w:val="009B3C4F"/>
    <w:rsid w:val="009B48D1"/>
    <w:rsid w:val="009B4A4D"/>
    <w:rsid w:val="009B4B65"/>
    <w:rsid w:val="009B4F20"/>
    <w:rsid w:val="009B4F68"/>
    <w:rsid w:val="009B50E1"/>
    <w:rsid w:val="009B53EF"/>
    <w:rsid w:val="009B6096"/>
    <w:rsid w:val="009B6431"/>
    <w:rsid w:val="009B6626"/>
    <w:rsid w:val="009B6E81"/>
    <w:rsid w:val="009B6FD9"/>
    <w:rsid w:val="009C0E43"/>
    <w:rsid w:val="009C1377"/>
    <w:rsid w:val="009C1F7F"/>
    <w:rsid w:val="009C2911"/>
    <w:rsid w:val="009C29A0"/>
    <w:rsid w:val="009C2F50"/>
    <w:rsid w:val="009C3347"/>
    <w:rsid w:val="009C36B5"/>
    <w:rsid w:val="009C36DC"/>
    <w:rsid w:val="009C37C8"/>
    <w:rsid w:val="009C3922"/>
    <w:rsid w:val="009C48E8"/>
    <w:rsid w:val="009C5D7C"/>
    <w:rsid w:val="009C5F13"/>
    <w:rsid w:val="009C622E"/>
    <w:rsid w:val="009C65CE"/>
    <w:rsid w:val="009C6D7D"/>
    <w:rsid w:val="009C6EFD"/>
    <w:rsid w:val="009C7005"/>
    <w:rsid w:val="009C71E1"/>
    <w:rsid w:val="009C73DF"/>
    <w:rsid w:val="009D04B0"/>
    <w:rsid w:val="009D05A8"/>
    <w:rsid w:val="009D092F"/>
    <w:rsid w:val="009D0EF5"/>
    <w:rsid w:val="009D12F3"/>
    <w:rsid w:val="009D1AF6"/>
    <w:rsid w:val="009D2010"/>
    <w:rsid w:val="009D35AC"/>
    <w:rsid w:val="009D3956"/>
    <w:rsid w:val="009D415D"/>
    <w:rsid w:val="009D428E"/>
    <w:rsid w:val="009D4473"/>
    <w:rsid w:val="009D5219"/>
    <w:rsid w:val="009D58AF"/>
    <w:rsid w:val="009D5F8E"/>
    <w:rsid w:val="009D68F9"/>
    <w:rsid w:val="009D6911"/>
    <w:rsid w:val="009D6CCE"/>
    <w:rsid w:val="009D6E72"/>
    <w:rsid w:val="009D6EAD"/>
    <w:rsid w:val="009D7C58"/>
    <w:rsid w:val="009D7EC7"/>
    <w:rsid w:val="009E0078"/>
    <w:rsid w:val="009E0FC1"/>
    <w:rsid w:val="009E116F"/>
    <w:rsid w:val="009E13FC"/>
    <w:rsid w:val="009E1E2A"/>
    <w:rsid w:val="009E230D"/>
    <w:rsid w:val="009E290B"/>
    <w:rsid w:val="009E2B1E"/>
    <w:rsid w:val="009E3293"/>
    <w:rsid w:val="009E3AF0"/>
    <w:rsid w:val="009E4333"/>
    <w:rsid w:val="009E46AD"/>
    <w:rsid w:val="009E4AA9"/>
    <w:rsid w:val="009E4ABC"/>
    <w:rsid w:val="009E4F42"/>
    <w:rsid w:val="009E5D9E"/>
    <w:rsid w:val="009E687E"/>
    <w:rsid w:val="009E6DC3"/>
    <w:rsid w:val="009E70AC"/>
    <w:rsid w:val="009E73E5"/>
    <w:rsid w:val="009E7532"/>
    <w:rsid w:val="009F0080"/>
    <w:rsid w:val="009F0CDB"/>
    <w:rsid w:val="009F156C"/>
    <w:rsid w:val="009F19B5"/>
    <w:rsid w:val="009F1A35"/>
    <w:rsid w:val="009F1F18"/>
    <w:rsid w:val="009F2004"/>
    <w:rsid w:val="009F20C2"/>
    <w:rsid w:val="009F254B"/>
    <w:rsid w:val="009F264C"/>
    <w:rsid w:val="009F268A"/>
    <w:rsid w:val="009F2846"/>
    <w:rsid w:val="009F2BEC"/>
    <w:rsid w:val="009F3661"/>
    <w:rsid w:val="009F3789"/>
    <w:rsid w:val="009F3CF2"/>
    <w:rsid w:val="009F4285"/>
    <w:rsid w:val="009F433F"/>
    <w:rsid w:val="009F641F"/>
    <w:rsid w:val="009F6575"/>
    <w:rsid w:val="009F69BB"/>
    <w:rsid w:val="009F7BF2"/>
    <w:rsid w:val="00A004A0"/>
    <w:rsid w:val="00A00591"/>
    <w:rsid w:val="00A00716"/>
    <w:rsid w:val="00A007D5"/>
    <w:rsid w:val="00A00ABA"/>
    <w:rsid w:val="00A00E48"/>
    <w:rsid w:val="00A01C4B"/>
    <w:rsid w:val="00A020FA"/>
    <w:rsid w:val="00A02780"/>
    <w:rsid w:val="00A03403"/>
    <w:rsid w:val="00A04565"/>
    <w:rsid w:val="00A04D3E"/>
    <w:rsid w:val="00A0546A"/>
    <w:rsid w:val="00A05E02"/>
    <w:rsid w:val="00A05EFA"/>
    <w:rsid w:val="00A06A1B"/>
    <w:rsid w:val="00A0792C"/>
    <w:rsid w:val="00A07962"/>
    <w:rsid w:val="00A07CAE"/>
    <w:rsid w:val="00A10359"/>
    <w:rsid w:val="00A109B5"/>
    <w:rsid w:val="00A10DAD"/>
    <w:rsid w:val="00A10F76"/>
    <w:rsid w:val="00A11569"/>
    <w:rsid w:val="00A117C9"/>
    <w:rsid w:val="00A12884"/>
    <w:rsid w:val="00A12AB2"/>
    <w:rsid w:val="00A13913"/>
    <w:rsid w:val="00A139CF"/>
    <w:rsid w:val="00A13B07"/>
    <w:rsid w:val="00A1438F"/>
    <w:rsid w:val="00A14EFC"/>
    <w:rsid w:val="00A15686"/>
    <w:rsid w:val="00A159E1"/>
    <w:rsid w:val="00A162AD"/>
    <w:rsid w:val="00A16BAB"/>
    <w:rsid w:val="00A16C59"/>
    <w:rsid w:val="00A16E52"/>
    <w:rsid w:val="00A16FD7"/>
    <w:rsid w:val="00A173C9"/>
    <w:rsid w:val="00A179B6"/>
    <w:rsid w:val="00A20A70"/>
    <w:rsid w:val="00A216D8"/>
    <w:rsid w:val="00A217FB"/>
    <w:rsid w:val="00A218A6"/>
    <w:rsid w:val="00A21D1A"/>
    <w:rsid w:val="00A22267"/>
    <w:rsid w:val="00A22460"/>
    <w:rsid w:val="00A22529"/>
    <w:rsid w:val="00A22551"/>
    <w:rsid w:val="00A22676"/>
    <w:rsid w:val="00A22B7A"/>
    <w:rsid w:val="00A23487"/>
    <w:rsid w:val="00A236B1"/>
    <w:rsid w:val="00A24F11"/>
    <w:rsid w:val="00A24FF9"/>
    <w:rsid w:val="00A25166"/>
    <w:rsid w:val="00A2529A"/>
    <w:rsid w:val="00A25F3E"/>
    <w:rsid w:val="00A25FDF"/>
    <w:rsid w:val="00A2658A"/>
    <w:rsid w:val="00A266A4"/>
    <w:rsid w:val="00A267B4"/>
    <w:rsid w:val="00A267C7"/>
    <w:rsid w:val="00A26E4F"/>
    <w:rsid w:val="00A26EF1"/>
    <w:rsid w:val="00A27522"/>
    <w:rsid w:val="00A275F7"/>
    <w:rsid w:val="00A2773C"/>
    <w:rsid w:val="00A30CD4"/>
    <w:rsid w:val="00A31968"/>
    <w:rsid w:val="00A31A1A"/>
    <w:rsid w:val="00A31A1E"/>
    <w:rsid w:val="00A31DE9"/>
    <w:rsid w:val="00A31E9D"/>
    <w:rsid w:val="00A32150"/>
    <w:rsid w:val="00A32233"/>
    <w:rsid w:val="00A33304"/>
    <w:rsid w:val="00A3332C"/>
    <w:rsid w:val="00A3397D"/>
    <w:rsid w:val="00A33AD4"/>
    <w:rsid w:val="00A340B5"/>
    <w:rsid w:val="00A34100"/>
    <w:rsid w:val="00A34430"/>
    <w:rsid w:val="00A34BF7"/>
    <w:rsid w:val="00A34D2C"/>
    <w:rsid w:val="00A35B13"/>
    <w:rsid w:val="00A360D1"/>
    <w:rsid w:val="00A3657B"/>
    <w:rsid w:val="00A3671A"/>
    <w:rsid w:val="00A36946"/>
    <w:rsid w:val="00A36C9D"/>
    <w:rsid w:val="00A37A1F"/>
    <w:rsid w:val="00A404BD"/>
    <w:rsid w:val="00A40AF8"/>
    <w:rsid w:val="00A412FB"/>
    <w:rsid w:val="00A414B6"/>
    <w:rsid w:val="00A415CD"/>
    <w:rsid w:val="00A426EA"/>
    <w:rsid w:val="00A42934"/>
    <w:rsid w:val="00A42BB5"/>
    <w:rsid w:val="00A42E34"/>
    <w:rsid w:val="00A43A64"/>
    <w:rsid w:val="00A43F0E"/>
    <w:rsid w:val="00A440B5"/>
    <w:rsid w:val="00A44293"/>
    <w:rsid w:val="00A444A6"/>
    <w:rsid w:val="00A4481F"/>
    <w:rsid w:val="00A44A74"/>
    <w:rsid w:val="00A45273"/>
    <w:rsid w:val="00A45728"/>
    <w:rsid w:val="00A459B8"/>
    <w:rsid w:val="00A462F3"/>
    <w:rsid w:val="00A46693"/>
    <w:rsid w:val="00A470EC"/>
    <w:rsid w:val="00A472F2"/>
    <w:rsid w:val="00A47A74"/>
    <w:rsid w:val="00A47B9B"/>
    <w:rsid w:val="00A47D15"/>
    <w:rsid w:val="00A5036B"/>
    <w:rsid w:val="00A50520"/>
    <w:rsid w:val="00A50A00"/>
    <w:rsid w:val="00A50A42"/>
    <w:rsid w:val="00A50B6A"/>
    <w:rsid w:val="00A51348"/>
    <w:rsid w:val="00A5156E"/>
    <w:rsid w:val="00A519C2"/>
    <w:rsid w:val="00A51A1D"/>
    <w:rsid w:val="00A51EBA"/>
    <w:rsid w:val="00A522A2"/>
    <w:rsid w:val="00A5248B"/>
    <w:rsid w:val="00A524B9"/>
    <w:rsid w:val="00A52556"/>
    <w:rsid w:val="00A52574"/>
    <w:rsid w:val="00A5284A"/>
    <w:rsid w:val="00A52AFA"/>
    <w:rsid w:val="00A535CC"/>
    <w:rsid w:val="00A543C9"/>
    <w:rsid w:val="00A54917"/>
    <w:rsid w:val="00A54F46"/>
    <w:rsid w:val="00A557B4"/>
    <w:rsid w:val="00A559AF"/>
    <w:rsid w:val="00A5640F"/>
    <w:rsid w:val="00A566BE"/>
    <w:rsid w:val="00A57B93"/>
    <w:rsid w:val="00A57F3D"/>
    <w:rsid w:val="00A604FE"/>
    <w:rsid w:val="00A61062"/>
    <w:rsid w:val="00A619C9"/>
    <w:rsid w:val="00A61B7D"/>
    <w:rsid w:val="00A61C74"/>
    <w:rsid w:val="00A62141"/>
    <w:rsid w:val="00A62654"/>
    <w:rsid w:val="00A626B2"/>
    <w:rsid w:val="00A634CA"/>
    <w:rsid w:val="00A644F2"/>
    <w:rsid w:val="00A6494B"/>
    <w:rsid w:val="00A64F3B"/>
    <w:rsid w:val="00A653D6"/>
    <w:rsid w:val="00A657A0"/>
    <w:rsid w:val="00A66661"/>
    <w:rsid w:val="00A66875"/>
    <w:rsid w:val="00A66ADB"/>
    <w:rsid w:val="00A66BD8"/>
    <w:rsid w:val="00A66F67"/>
    <w:rsid w:val="00A67147"/>
    <w:rsid w:val="00A67338"/>
    <w:rsid w:val="00A67382"/>
    <w:rsid w:val="00A67513"/>
    <w:rsid w:val="00A67A5F"/>
    <w:rsid w:val="00A67BA7"/>
    <w:rsid w:val="00A703E5"/>
    <w:rsid w:val="00A711B0"/>
    <w:rsid w:val="00A71654"/>
    <w:rsid w:val="00A71779"/>
    <w:rsid w:val="00A71943"/>
    <w:rsid w:val="00A719A5"/>
    <w:rsid w:val="00A71AA9"/>
    <w:rsid w:val="00A71ECC"/>
    <w:rsid w:val="00A723EA"/>
    <w:rsid w:val="00A72F7E"/>
    <w:rsid w:val="00A738DA"/>
    <w:rsid w:val="00A73F1F"/>
    <w:rsid w:val="00A73F4D"/>
    <w:rsid w:val="00A740F5"/>
    <w:rsid w:val="00A742B1"/>
    <w:rsid w:val="00A74706"/>
    <w:rsid w:val="00A74723"/>
    <w:rsid w:val="00A74AB7"/>
    <w:rsid w:val="00A74F7B"/>
    <w:rsid w:val="00A755EA"/>
    <w:rsid w:val="00A75678"/>
    <w:rsid w:val="00A7594A"/>
    <w:rsid w:val="00A75989"/>
    <w:rsid w:val="00A75A0F"/>
    <w:rsid w:val="00A75AE3"/>
    <w:rsid w:val="00A75C9F"/>
    <w:rsid w:val="00A76B59"/>
    <w:rsid w:val="00A77685"/>
    <w:rsid w:val="00A779ED"/>
    <w:rsid w:val="00A80015"/>
    <w:rsid w:val="00A8030F"/>
    <w:rsid w:val="00A803CD"/>
    <w:rsid w:val="00A809A1"/>
    <w:rsid w:val="00A80E6B"/>
    <w:rsid w:val="00A81044"/>
    <w:rsid w:val="00A810B4"/>
    <w:rsid w:val="00A813A5"/>
    <w:rsid w:val="00A8196D"/>
    <w:rsid w:val="00A81A74"/>
    <w:rsid w:val="00A82153"/>
    <w:rsid w:val="00A82312"/>
    <w:rsid w:val="00A825EF"/>
    <w:rsid w:val="00A84900"/>
    <w:rsid w:val="00A85910"/>
    <w:rsid w:val="00A85E08"/>
    <w:rsid w:val="00A86306"/>
    <w:rsid w:val="00A863A0"/>
    <w:rsid w:val="00A8640A"/>
    <w:rsid w:val="00A87393"/>
    <w:rsid w:val="00A87D5E"/>
    <w:rsid w:val="00A87D80"/>
    <w:rsid w:val="00A907D4"/>
    <w:rsid w:val="00A90F47"/>
    <w:rsid w:val="00A91489"/>
    <w:rsid w:val="00A91D0D"/>
    <w:rsid w:val="00A92384"/>
    <w:rsid w:val="00A925E7"/>
    <w:rsid w:val="00A928E8"/>
    <w:rsid w:val="00A92C9B"/>
    <w:rsid w:val="00A932F0"/>
    <w:rsid w:val="00A93522"/>
    <w:rsid w:val="00A93BBF"/>
    <w:rsid w:val="00A93E3E"/>
    <w:rsid w:val="00A93EC1"/>
    <w:rsid w:val="00A93FE8"/>
    <w:rsid w:val="00A942A9"/>
    <w:rsid w:val="00A9454B"/>
    <w:rsid w:val="00A9465F"/>
    <w:rsid w:val="00A949A6"/>
    <w:rsid w:val="00A94DE3"/>
    <w:rsid w:val="00A94E2D"/>
    <w:rsid w:val="00A95328"/>
    <w:rsid w:val="00A95852"/>
    <w:rsid w:val="00A960E2"/>
    <w:rsid w:val="00A962ED"/>
    <w:rsid w:val="00A96455"/>
    <w:rsid w:val="00A96529"/>
    <w:rsid w:val="00A96A89"/>
    <w:rsid w:val="00A96AB5"/>
    <w:rsid w:val="00A96D20"/>
    <w:rsid w:val="00A96E4A"/>
    <w:rsid w:val="00A97AB1"/>
    <w:rsid w:val="00AA07FE"/>
    <w:rsid w:val="00AA0834"/>
    <w:rsid w:val="00AA0BC5"/>
    <w:rsid w:val="00AA0CE8"/>
    <w:rsid w:val="00AA118F"/>
    <w:rsid w:val="00AA1321"/>
    <w:rsid w:val="00AA1A53"/>
    <w:rsid w:val="00AA1DD4"/>
    <w:rsid w:val="00AA1EA3"/>
    <w:rsid w:val="00AA2318"/>
    <w:rsid w:val="00AA265D"/>
    <w:rsid w:val="00AA3290"/>
    <w:rsid w:val="00AA37CE"/>
    <w:rsid w:val="00AA3D3F"/>
    <w:rsid w:val="00AA3D8D"/>
    <w:rsid w:val="00AA4488"/>
    <w:rsid w:val="00AA4EF4"/>
    <w:rsid w:val="00AA4F60"/>
    <w:rsid w:val="00AA508F"/>
    <w:rsid w:val="00AA5A1E"/>
    <w:rsid w:val="00AA5EDE"/>
    <w:rsid w:val="00AA5FB6"/>
    <w:rsid w:val="00AA60BA"/>
    <w:rsid w:val="00AA6507"/>
    <w:rsid w:val="00AA6ED7"/>
    <w:rsid w:val="00AA761F"/>
    <w:rsid w:val="00AB004C"/>
    <w:rsid w:val="00AB007A"/>
    <w:rsid w:val="00AB0D10"/>
    <w:rsid w:val="00AB11EA"/>
    <w:rsid w:val="00AB13BB"/>
    <w:rsid w:val="00AB1482"/>
    <w:rsid w:val="00AB1599"/>
    <w:rsid w:val="00AB19D5"/>
    <w:rsid w:val="00AB1C79"/>
    <w:rsid w:val="00AB1D73"/>
    <w:rsid w:val="00AB2889"/>
    <w:rsid w:val="00AB2C91"/>
    <w:rsid w:val="00AB2EFE"/>
    <w:rsid w:val="00AB300F"/>
    <w:rsid w:val="00AB4123"/>
    <w:rsid w:val="00AB439B"/>
    <w:rsid w:val="00AB43BD"/>
    <w:rsid w:val="00AB49B3"/>
    <w:rsid w:val="00AB4E6A"/>
    <w:rsid w:val="00AB4FAC"/>
    <w:rsid w:val="00AB50AF"/>
    <w:rsid w:val="00AB5123"/>
    <w:rsid w:val="00AB5513"/>
    <w:rsid w:val="00AB58E4"/>
    <w:rsid w:val="00AB5A55"/>
    <w:rsid w:val="00AB5D4D"/>
    <w:rsid w:val="00AB62F4"/>
    <w:rsid w:val="00AB690E"/>
    <w:rsid w:val="00AB7829"/>
    <w:rsid w:val="00AB78AD"/>
    <w:rsid w:val="00AB7911"/>
    <w:rsid w:val="00AC064C"/>
    <w:rsid w:val="00AC0DB9"/>
    <w:rsid w:val="00AC1AA9"/>
    <w:rsid w:val="00AC1BBC"/>
    <w:rsid w:val="00AC2015"/>
    <w:rsid w:val="00AC23FD"/>
    <w:rsid w:val="00AC26C8"/>
    <w:rsid w:val="00AC2E89"/>
    <w:rsid w:val="00AC307A"/>
    <w:rsid w:val="00AC3A58"/>
    <w:rsid w:val="00AC4890"/>
    <w:rsid w:val="00AC4B7C"/>
    <w:rsid w:val="00AC4ED8"/>
    <w:rsid w:val="00AC5341"/>
    <w:rsid w:val="00AC5AFE"/>
    <w:rsid w:val="00AC5FBB"/>
    <w:rsid w:val="00AC60F4"/>
    <w:rsid w:val="00AC6444"/>
    <w:rsid w:val="00AC65B0"/>
    <w:rsid w:val="00AC6DB6"/>
    <w:rsid w:val="00AC735B"/>
    <w:rsid w:val="00AC7494"/>
    <w:rsid w:val="00AC795D"/>
    <w:rsid w:val="00AC7A4E"/>
    <w:rsid w:val="00AD046D"/>
    <w:rsid w:val="00AD05E1"/>
    <w:rsid w:val="00AD114F"/>
    <w:rsid w:val="00AD1751"/>
    <w:rsid w:val="00AD2C22"/>
    <w:rsid w:val="00AD2E58"/>
    <w:rsid w:val="00AD3636"/>
    <w:rsid w:val="00AD410E"/>
    <w:rsid w:val="00AD4B12"/>
    <w:rsid w:val="00AD4C9C"/>
    <w:rsid w:val="00AD5031"/>
    <w:rsid w:val="00AD5C2C"/>
    <w:rsid w:val="00AD5DD8"/>
    <w:rsid w:val="00AD668F"/>
    <w:rsid w:val="00AD71C9"/>
    <w:rsid w:val="00AE00DE"/>
    <w:rsid w:val="00AE040D"/>
    <w:rsid w:val="00AE0925"/>
    <w:rsid w:val="00AE104B"/>
    <w:rsid w:val="00AE1139"/>
    <w:rsid w:val="00AE1C0C"/>
    <w:rsid w:val="00AE278B"/>
    <w:rsid w:val="00AE33F1"/>
    <w:rsid w:val="00AE3CC2"/>
    <w:rsid w:val="00AE3E8B"/>
    <w:rsid w:val="00AE4752"/>
    <w:rsid w:val="00AE4982"/>
    <w:rsid w:val="00AE49EC"/>
    <w:rsid w:val="00AE4F9F"/>
    <w:rsid w:val="00AE554B"/>
    <w:rsid w:val="00AE57C3"/>
    <w:rsid w:val="00AE58DB"/>
    <w:rsid w:val="00AE5B54"/>
    <w:rsid w:val="00AE5C0D"/>
    <w:rsid w:val="00AE6036"/>
    <w:rsid w:val="00AE6048"/>
    <w:rsid w:val="00AE6364"/>
    <w:rsid w:val="00AE7E57"/>
    <w:rsid w:val="00AE7FBD"/>
    <w:rsid w:val="00AF074B"/>
    <w:rsid w:val="00AF08E6"/>
    <w:rsid w:val="00AF0AF5"/>
    <w:rsid w:val="00AF0E0C"/>
    <w:rsid w:val="00AF178D"/>
    <w:rsid w:val="00AF1D97"/>
    <w:rsid w:val="00AF1E5D"/>
    <w:rsid w:val="00AF1F21"/>
    <w:rsid w:val="00AF21F6"/>
    <w:rsid w:val="00AF251D"/>
    <w:rsid w:val="00AF251F"/>
    <w:rsid w:val="00AF289E"/>
    <w:rsid w:val="00AF2B0D"/>
    <w:rsid w:val="00AF36E4"/>
    <w:rsid w:val="00AF39CE"/>
    <w:rsid w:val="00AF3B84"/>
    <w:rsid w:val="00AF4021"/>
    <w:rsid w:val="00AF40DB"/>
    <w:rsid w:val="00AF43B0"/>
    <w:rsid w:val="00AF4C84"/>
    <w:rsid w:val="00AF50A5"/>
    <w:rsid w:val="00AF53A7"/>
    <w:rsid w:val="00AF53C8"/>
    <w:rsid w:val="00AF5421"/>
    <w:rsid w:val="00AF5598"/>
    <w:rsid w:val="00AF5A9F"/>
    <w:rsid w:val="00AF5BBB"/>
    <w:rsid w:val="00AF622E"/>
    <w:rsid w:val="00AF66AF"/>
    <w:rsid w:val="00AF66CF"/>
    <w:rsid w:val="00AF704B"/>
    <w:rsid w:val="00AF75FB"/>
    <w:rsid w:val="00B00929"/>
    <w:rsid w:val="00B010A8"/>
    <w:rsid w:val="00B01117"/>
    <w:rsid w:val="00B01E7F"/>
    <w:rsid w:val="00B01FF7"/>
    <w:rsid w:val="00B025A3"/>
    <w:rsid w:val="00B02CD8"/>
    <w:rsid w:val="00B03226"/>
    <w:rsid w:val="00B03E90"/>
    <w:rsid w:val="00B03E9D"/>
    <w:rsid w:val="00B041A0"/>
    <w:rsid w:val="00B04453"/>
    <w:rsid w:val="00B04628"/>
    <w:rsid w:val="00B053D1"/>
    <w:rsid w:val="00B058E0"/>
    <w:rsid w:val="00B05A67"/>
    <w:rsid w:val="00B05F02"/>
    <w:rsid w:val="00B06162"/>
    <w:rsid w:val="00B063F9"/>
    <w:rsid w:val="00B0662E"/>
    <w:rsid w:val="00B06D53"/>
    <w:rsid w:val="00B06E17"/>
    <w:rsid w:val="00B06F27"/>
    <w:rsid w:val="00B07462"/>
    <w:rsid w:val="00B0748B"/>
    <w:rsid w:val="00B075E5"/>
    <w:rsid w:val="00B07658"/>
    <w:rsid w:val="00B0782F"/>
    <w:rsid w:val="00B07A3D"/>
    <w:rsid w:val="00B101DF"/>
    <w:rsid w:val="00B10835"/>
    <w:rsid w:val="00B108FE"/>
    <w:rsid w:val="00B11848"/>
    <w:rsid w:val="00B133A8"/>
    <w:rsid w:val="00B13702"/>
    <w:rsid w:val="00B13B53"/>
    <w:rsid w:val="00B13FE0"/>
    <w:rsid w:val="00B145A5"/>
    <w:rsid w:val="00B1492A"/>
    <w:rsid w:val="00B150C6"/>
    <w:rsid w:val="00B15AB8"/>
    <w:rsid w:val="00B15EB2"/>
    <w:rsid w:val="00B17C6B"/>
    <w:rsid w:val="00B2099A"/>
    <w:rsid w:val="00B20A7C"/>
    <w:rsid w:val="00B2119E"/>
    <w:rsid w:val="00B21506"/>
    <w:rsid w:val="00B21516"/>
    <w:rsid w:val="00B21554"/>
    <w:rsid w:val="00B2182D"/>
    <w:rsid w:val="00B224C9"/>
    <w:rsid w:val="00B22CC8"/>
    <w:rsid w:val="00B23061"/>
    <w:rsid w:val="00B2397F"/>
    <w:rsid w:val="00B2398E"/>
    <w:rsid w:val="00B23AA3"/>
    <w:rsid w:val="00B23BAC"/>
    <w:rsid w:val="00B24936"/>
    <w:rsid w:val="00B25158"/>
    <w:rsid w:val="00B25502"/>
    <w:rsid w:val="00B259F8"/>
    <w:rsid w:val="00B25CD6"/>
    <w:rsid w:val="00B2603B"/>
    <w:rsid w:val="00B26CCD"/>
    <w:rsid w:val="00B27249"/>
    <w:rsid w:val="00B279C7"/>
    <w:rsid w:val="00B27C2D"/>
    <w:rsid w:val="00B30852"/>
    <w:rsid w:val="00B30C5B"/>
    <w:rsid w:val="00B31261"/>
    <w:rsid w:val="00B315CA"/>
    <w:rsid w:val="00B31920"/>
    <w:rsid w:val="00B31A27"/>
    <w:rsid w:val="00B31FF5"/>
    <w:rsid w:val="00B32155"/>
    <w:rsid w:val="00B32B2D"/>
    <w:rsid w:val="00B32D31"/>
    <w:rsid w:val="00B3372B"/>
    <w:rsid w:val="00B33E24"/>
    <w:rsid w:val="00B34381"/>
    <w:rsid w:val="00B346D1"/>
    <w:rsid w:val="00B347A0"/>
    <w:rsid w:val="00B3494D"/>
    <w:rsid w:val="00B3596B"/>
    <w:rsid w:val="00B3608F"/>
    <w:rsid w:val="00B36260"/>
    <w:rsid w:val="00B3725E"/>
    <w:rsid w:val="00B40893"/>
    <w:rsid w:val="00B40B2F"/>
    <w:rsid w:val="00B40FCC"/>
    <w:rsid w:val="00B40FCE"/>
    <w:rsid w:val="00B411F7"/>
    <w:rsid w:val="00B41666"/>
    <w:rsid w:val="00B41924"/>
    <w:rsid w:val="00B41D97"/>
    <w:rsid w:val="00B421D8"/>
    <w:rsid w:val="00B4228F"/>
    <w:rsid w:val="00B429BA"/>
    <w:rsid w:val="00B42BF8"/>
    <w:rsid w:val="00B42EA7"/>
    <w:rsid w:val="00B43A3E"/>
    <w:rsid w:val="00B44658"/>
    <w:rsid w:val="00B44CE5"/>
    <w:rsid w:val="00B45852"/>
    <w:rsid w:val="00B46161"/>
    <w:rsid w:val="00B4636D"/>
    <w:rsid w:val="00B468E4"/>
    <w:rsid w:val="00B46999"/>
    <w:rsid w:val="00B46D42"/>
    <w:rsid w:val="00B46EBE"/>
    <w:rsid w:val="00B47498"/>
    <w:rsid w:val="00B47B85"/>
    <w:rsid w:val="00B47B96"/>
    <w:rsid w:val="00B47E88"/>
    <w:rsid w:val="00B47FD7"/>
    <w:rsid w:val="00B5006A"/>
    <w:rsid w:val="00B500D9"/>
    <w:rsid w:val="00B50B17"/>
    <w:rsid w:val="00B5124B"/>
    <w:rsid w:val="00B513D7"/>
    <w:rsid w:val="00B51762"/>
    <w:rsid w:val="00B51C9C"/>
    <w:rsid w:val="00B51E70"/>
    <w:rsid w:val="00B51F4C"/>
    <w:rsid w:val="00B5281F"/>
    <w:rsid w:val="00B52931"/>
    <w:rsid w:val="00B53330"/>
    <w:rsid w:val="00B53C76"/>
    <w:rsid w:val="00B53F05"/>
    <w:rsid w:val="00B54086"/>
    <w:rsid w:val="00B542E4"/>
    <w:rsid w:val="00B54397"/>
    <w:rsid w:val="00B5447C"/>
    <w:rsid w:val="00B55536"/>
    <w:rsid w:val="00B55848"/>
    <w:rsid w:val="00B561DB"/>
    <w:rsid w:val="00B569BD"/>
    <w:rsid w:val="00B56A1B"/>
    <w:rsid w:val="00B56F02"/>
    <w:rsid w:val="00B5713D"/>
    <w:rsid w:val="00B577DB"/>
    <w:rsid w:val="00B57E96"/>
    <w:rsid w:val="00B60650"/>
    <w:rsid w:val="00B60689"/>
    <w:rsid w:val="00B61715"/>
    <w:rsid w:val="00B61F93"/>
    <w:rsid w:val="00B62D57"/>
    <w:rsid w:val="00B63604"/>
    <w:rsid w:val="00B64BA6"/>
    <w:rsid w:val="00B64E8E"/>
    <w:rsid w:val="00B6500B"/>
    <w:rsid w:val="00B65580"/>
    <w:rsid w:val="00B672E5"/>
    <w:rsid w:val="00B67312"/>
    <w:rsid w:val="00B67CD1"/>
    <w:rsid w:val="00B700C3"/>
    <w:rsid w:val="00B703D2"/>
    <w:rsid w:val="00B70587"/>
    <w:rsid w:val="00B70A95"/>
    <w:rsid w:val="00B71210"/>
    <w:rsid w:val="00B7180F"/>
    <w:rsid w:val="00B71839"/>
    <w:rsid w:val="00B719BF"/>
    <w:rsid w:val="00B7245E"/>
    <w:rsid w:val="00B724DC"/>
    <w:rsid w:val="00B725E7"/>
    <w:rsid w:val="00B725F1"/>
    <w:rsid w:val="00B72C0D"/>
    <w:rsid w:val="00B72FD7"/>
    <w:rsid w:val="00B73162"/>
    <w:rsid w:val="00B7323F"/>
    <w:rsid w:val="00B73AEF"/>
    <w:rsid w:val="00B73FCD"/>
    <w:rsid w:val="00B744E8"/>
    <w:rsid w:val="00B748BE"/>
    <w:rsid w:val="00B75659"/>
    <w:rsid w:val="00B75CF6"/>
    <w:rsid w:val="00B75D5C"/>
    <w:rsid w:val="00B75D7C"/>
    <w:rsid w:val="00B76780"/>
    <w:rsid w:val="00B771AB"/>
    <w:rsid w:val="00B77743"/>
    <w:rsid w:val="00B77938"/>
    <w:rsid w:val="00B77AC0"/>
    <w:rsid w:val="00B77B64"/>
    <w:rsid w:val="00B80045"/>
    <w:rsid w:val="00B80344"/>
    <w:rsid w:val="00B814D6"/>
    <w:rsid w:val="00B819D4"/>
    <w:rsid w:val="00B822AC"/>
    <w:rsid w:val="00B827AB"/>
    <w:rsid w:val="00B82816"/>
    <w:rsid w:val="00B82DC1"/>
    <w:rsid w:val="00B82F2F"/>
    <w:rsid w:val="00B834F2"/>
    <w:rsid w:val="00B83564"/>
    <w:rsid w:val="00B835B0"/>
    <w:rsid w:val="00B836FA"/>
    <w:rsid w:val="00B83794"/>
    <w:rsid w:val="00B83C21"/>
    <w:rsid w:val="00B84144"/>
    <w:rsid w:val="00B84723"/>
    <w:rsid w:val="00B84A5F"/>
    <w:rsid w:val="00B84D0E"/>
    <w:rsid w:val="00B856FC"/>
    <w:rsid w:val="00B85CE7"/>
    <w:rsid w:val="00B85D63"/>
    <w:rsid w:val="00B85E1E"/>
    <w:rsid w:val="00B85E7C"/>
    <w:rsid w:val="00B86009"/>
    <w:rsid w:val="00B864F5"/>
    <w:rsid w:val="00B86580"/>
    <w:rsid w:val="00B8757A"/>
    <w:rsid w:val="00B8797A"/>
    <w:rsid w:val="00B87C88"/>
    <w:rsid w:val="00B90608"/>
    <w:rsid w:val="00B907F8"/>
    <w:rsid w:val="00B908E8"/>
    <w:rsid w:val="00B9162E"/>
    <w:rsid w:val="00B91BB8"/>
    <w:rsid w:val="00B927A2"/>
    <w:rsid w:val="00B92C27"/>
    <w:rsid w:val="00B92D7F"/>
    <w:rsid w:val="00B93347"/>
    <w:rsid w:val="00B9334A"/>
    <w:rsid w:val="00B9408D"/>
    <w:rsid w:val="00B94588"/>
    <w:rsid w:val="00B95736"/>
    <w:rsid w:val="00B95739"/>
    <w:rsid w:val="00B9585A"/>
    <w:rsid w:val="00B95AAA"/>
    <w:rsid w:val="00B95D52"/>
    <w:rsid w:val="00B95D80"/>
    <w:rsid w:val="00B95DE1"/>
    <w:rsid w:val="00B96003"/>
    <w:rsid w:val="00B96908"/>
    <w:rsid w:val="00B9725D"/>
    <w:rsid w:val="00B97FFB"/>
    <w:rsid w:val="00BA07DF"/>
    <w:rsid w:val="00BA0A11"/>
    <w:rsid w:val="00BA16ED"/>
    <w:rsid w:val="00BA19BB"/>
    <w:rsid w:val="00BA1AB1"/>
    <w:rsid w:val="00BA1B39"/>
    <w:rsid w:val="00BA1BBA"/>
    <w:rsid w:val="00BA21C5"/>
    <w:rsid w:val="00BA2232"/>
    <w:rsid w:val="00BA2379"/>
    <w:rsid w:val="00BA300B"/>
    <w:rsid w:val="00BA31A9"/>
    <w:rsid w:val="00BA370B"/>
    <w:rsid w:val="00BA379A"/>
    <w:rsid w:val="00BA38C8"/>
    <w:rsid w:val="00BA396D"/>
    <w:rsid w:val="00BA3EB4"/>
    <w:rsid w:val="00BA417C"/>
    <w:rsid w:val="00BA4369"/>
    <w:rsid w:val="00BA4517"/>
    <w:rsid w:val="00BA4866"/>
    <w:rsid w:val="00BA55CC"/>
    <w:rsid w:val="00BA56B8"/>
    <w:rsid w:val="00BA5E42"/>
    <w:rsid w:val="00BA62A1"/>
    <w:rsid w:val="00BA65A8"/>
    <w:rsid w:val="00BA6864"/>
    <w:rsid w:val="00BA7691"/>
    <w:rsid w:val="00BA78F7"/>
    <w:rsid w:val="00BA79BE"/>
    <w:rsid w:val="00BB0071"/>
    <w:rsid w:val="00BB0B07"/>
    <w:rsid w:val="00BB1765"/>
    <w:rsid w:val="00BB20FC"/>
    <w:rsid w:val="00BB2B4B"/>
    <w:rsid w:val="00BB2B80"/>
    <w:rsid w:val="00BB2C47"/>
    <w:rsid w:val="00BB2D2D"/>
    <w:rsid w:val="00BB3067"/>
    <w:rsid w:val="00BB3354"/>
    <w:rsid w:val="00BB3596"/>
    <w:rsid w:val="00BB3675"/>
    <w:rsid w:val="00BB38E3"/>
    <w:rsid w:val="00BB3C62"/>
    <w:rsid w:val="00BB3D50"/>
    <w:rsid w:val="00BB3D75"/>
    <w:rsid w:val="00BB3E5C"/>
    <w:rsid w:val="00BB3F83"/>
    <w:rsid w:val="00BB41DC"/>
    <w:rsid w:val="00BB42EF"/>
    <w:rsid w:val="00BB56F4"/>
    <w:rsid w:val="00BB5B27"/>
    <w:rsid w:val="00BB60D0"/>
    <w:rsid w:val="00BB6457"/>
    <w:rsid w:val="00BB699C"/>
    <w:rsid w:val="00BB6B1D"/>
    <w:rsid w:val="00BB6D5C"/>
    <w:rsid w:val="00BB6E3D"/>
    <w:rsid w:val="00BB795D"/>
    <w:rsid w:val="00BC09FF"/>
    <w:rsid w:val="00BC0AB8"/>
    <w:rsid w:val="00BC0C8D"/>
    <w:rsid w:val="00BC0F57"/>
    <w:rsid w:val="00BC1E3F"/>
    <w:rsid w:val="00BC206C"/>
    <w:rsid w:val="00BC20F0"/>
    <w:rsid w:val="00BC3113"/>
    <w:rsid w:val="00BC3683"/>
    <w:rsid w:val="00BC3CEA"/>
    <w:rsid w:val="00BC3D9C"/>
    <w:rsid w:val="00BC411C"/>
    <w:rsid w:val="00BC46AE"/>
    <w:rsid w:val="00BC4B12"/>
    <w:rsid w:val="00BC4C0D"/>
    <w:rsid w:val="00BC50AC"/>
    <w:rsid w:val="00BC51EC"/>
    <w:rsid w:val="00BC568C"/>
    <w:rsid w:val="00BC5844"/>
    <w:rsid w:val="00BC5B17"/>
    <w:rsid w:val="00BC5C9B"/>
    <w:rsid w:val="00BC5D45"/>
    <w:rsid w:val="00BC5EF7"/>
    <w:rsid w:val="00BC5FAC"/>
    <w:rsid w:val="00BC638A"/>
    <w:rsid w:val="00BC66A3"/>
    <w:rsid w:val="00BC6ABE"/>
    <w:rsid w:val="00BC6C8E"/>
    <w:rsid w:val="00BC7578"/>
    <w:rsid w:val="00BC7BB2"/>
    <w:rsid w:val="00BC7F37"/>
    <w:rsid w:val="00BD0206"/>
    <w:rsid w:val="00BD07F4"/>
    <w:rsid w:val="00BD0B44"/>
    <w:rsid w:val="00BD0D09"/>
    <w:rsid w:val="00BD13E5"/>
    <w:rsid w:val="00BD1541"/>
    <w:rsid w:val="00BD1580"/>
    <w:rsid w:val="00BD1F4A"/>
    <w:rsid w:val="00BD1FEA"/>
    <w:rsid w:val="00BD23EA"/>
    <w:rsid w:val="00BD257B"/>
    <w:rsid w:val="00BD319E"/>
    <w:rsid w:val="00BD32B2"/>
    <w:rsid w:val="00BD33A2"/>
    <w:rsid w:val="00BD3508"/>
    <w:rsid w:val="00BD3602"/>
    <w:rsid w:val="00BD455A"/>
    <w:rsid w:val="00BD4880"/>
    <w:rsid w:val="00BD49F5"/>
    <w:rsid w:val="00BD4BD1"/>
    <w:rsid w:val="00BD4FC8"/>
    <w:rsid w:val="00BD54C9"/>
    <w:rsid w:val="00BD5522"/>
    <w:rsid w:val="00BD58E3"/>
    <w:rsid w:val="00BD5A22"/>
    <w:rsid w:val="00BD6098"/>
    <w:rsid w:val="00BD6297"/>
    <w:rsid w:val="00BD63CB"/>
    <w:rsid w:val="00BD64CE"/>
    <w:rsid w:val="00BD6951"/>
    <w:rsid w:val="00BD6A46"/>
    <w:rsid w:val="00BD78BC"/>
    <w:rsid w:val="00BD7C6B"/>
    <w:rsid w:val="00BE023F"/>
    <w:rsid w:val="00BE0340"/>
    <w:rsid w:val="00BE03F9"/>
    <w:rsid w:val="00BE0B64"/>
    <w:rsid w:val="00BE1207"/>
    <w:rsid w:val="00BE1362"/>
    <w:rsid w:val="00BE15D6"/>
    <w:rsid w:val="00BE1875"/>
    <w:rsid w:val="00BE187A"/>
    <w:rsid w:val="00BE26B6"/>
    <w:rsid w:val="00BE27CB"/>
    <w:rsid w:val="00BE2900"/>
    <w:rsid w:val="00BE2D0C"/>
    <w:rsid w:val="00BE31AA"/>
    <w:rsid w:val="00BE3638"/>
    <w:rsid w:val="00BE3749"/>
    <w:rsid w:val="00BE4623"/>
    <w:rsid w:val="00BE47A8"/>
    <w:rsid w:val="00BE4AAC"/>
    <w:rsid w:val="00BE4D52"/>
    <w:rsid w:val="00BE5759"/>
    <w:rsid w:val="00BE5B0B"/>
    <w:rsid w:val="00BE5F93"/>
    <w:rsid w:val="00BE6134"/>
    <w:rsid w:val="00BE6281"/>
    <w:rsid w:val="00BE6641"/>
    <w:rsid w:val="00BE6A86"/>
    <w:rsid w:val="00BE716B"/>
    <w:rsid w:val="00BE7717"/>
    <w:rsid w:val="00BE7755"/>
    <w:rsid w:val="00BE7DF8"/>
    <w:rsid w:val="00BF0948"/>
    <w:rsid w:val="00BF0E1F"/>
    <w:rsid w:val="00BF1245"/>
    <w:rsid w:val="00BF1BDA"/>
    <w:rsid w:val="00BF1E1C"/>
    <w:rsid w:val="00BF2EA1"/>
    <w:rsid w:val="00BF34A0"/>
    <w:rsid w:val="00BF3991"/>
    <w:rsid w:val="00BF3BA5"/>
    <w:rsid w:val="00BF51F3"/>
    <w:rsid w:val="00BF53FD"/>
    <w:rsid w:val="00BF55D0"/>
    <w:rsid w:val="00BF573F"/>
    <w:rsid w:val="00BF586E"/>
    <w:rsid w:val="00BF59A6"/>
    <w:rsid w:val="00BF5F7F"/>
    <w:rsid w:val="00BF6929"/>
    <w:rsid w:val="00BF71CA"/>
    <w:rsid w:val="00C0069E"/>
    <w:rsid w:val="00C00B94"/>
    <w:rsid w:val="00C00E04"/>
    <w:rsid w:val="00C00F10"/>
    <w:rsid w:val="00C02740"/>
    <w:rsid w:val="00C035CA"/>
    <w:rsid w:val="00C039B4"/>
    <w:rsid w:val="00C03AA4"/>
    <w:rsid w:val="00C0401D"/>
    <w:rsid w:val="00C04070"/>
    <w:rsid w:val="00C0514E"/>
    <w:rsid w:val="00C056AC"/>
    <w:rsid w:val="00C057FE"/>
    <w:rsid w:val="00C05E62"/>
    <w:rsid w:val="00C060A2"/>
    <w:rsid w:val="00C062EE"/>
    <w:rsid w:val="00C06A81"/>
    <w:rsid w:val="00C06BE6"/>
    <w:rsid w:val="00C06E1D"/>
    <w:rsid w:val="00C0743D"/>
    <w:rsid w:val="00C078C3"/>
    <w:rsid w:val="00C07E29"/>
    <w:rsid w:val="00C07ECB"/>
    <w:rsid w:val="00C10060"/>
    <w:rsid w:val="00C10108"/>
    <w:rsid w:val="00C10336"/>
    <w:rsid w:val="00C107E4"/>
    <w:rsid w:val="00C10B1F"/>
    <w:rsid w:val="00C10BA6"/>
    <w:rsid w:val="00C10EB1"/>
    <w:rsid w:val="00C11457"/>
    <w:rsid w:val="00C120C2"/>
    <w:rsid w:val="00C13321"/>
    <w:rsid w:val="00C13B29"/>
    <w:rsid w:val="00C13BED"/>
    <w:rsid w:val="00C14440"/>
    <w:rsid w:val="00C1468C"/>
    <w:rsid w:val="00C14D9E"/>
    <w:rsid w:val="00C15A47"/>
    <w:rsid w:val="00C15C1C"/>
    <w:rsid w:val="00C1607D"/>
    <w:rsid w:val="00C16C36"/>
    <w:rsid w:val="00C16DC6"/>
    <w:rsid w:val="00C170FD"/>
    <w:rsid w:val="00C17D40"/>
    <w:rsid w:val="00C20271"/>
    <w:rsid w:val="00C202BE"/>
    <w:rsid w:val="00C20984"/>
    <w:rsid w:val="00C2108A"/>
    <w:rsid w:val="00C214AE"/>
    <w:rsid w:val="00C21914"/>
    <w:rsid w:val="00C21C6C"/>
    <w:rsid w:val="00C21E9C"/>
    <w:rsid w:val="00C220D2"/>
    <w:rsid w:val="00C220DE"/>
    <w:rsid w:val="00C22349"/>
    <w:rsid w:val="00C22375"/>
    <w:rsid w:val="00C22396"/>
    <w:rsid w:val="00C223B9"/>
    <w:rsid w:val="00C2254C"/>
    <w:rsid w:val="00C22780"/>
    <w:rsid w:val="00C22977"/>
    <w:rsid w:val="00C23CFE"/>
    <w:rsid w:val="00C2475B"/>
    <w:rsid w:val="00C247EA"/>
    <w:rsid w:val="00C24ED2"/>
    <w:rsid w:val="00C25A8C"/>
    <w:rsid w:val="00C25C1E"/>
    <w:rsid w:val="00C269AB"/>
    <w:rsid w:val="00C26A77"/>
    <w:rsid w:val="00C27245"/>
    <w:rsid w:val="00C27720"/>
    <w:rsid w:val="00C279B5"/>
    <w:rsid w:val="00C27B4B"/>
    <w:rsid w:val="00C27B9A"/>
    <w:rsid w:val="00C30819"/>
    <w:rsid w:val="00C30FE1"/>
    <w:rsid w:val="00C31161"/>
    <w:rsid w:val="00C3123E"/>
    <w:rsid w:val="00C31682"/>
    <w:rsid w:val="00C3182F"/>
    <w:rsid w:val="00C31D3B"/>
    <w:rsid w:val="00C31DFB"/>
    <w:rsid w:val="00C31F65"/>
    <w:rsid w:val="00C32042"/>
    <w:rsid w:val="00C32695"/>
    <w:rsid w:val="00C3286C"/>
    <w:rsid w:val="00C329A6"/>
    <w:rsid w:val="00C32ADA"/>
    <w:rsid w:val="00C331B8"/>
    <w:rsid w:val="00C33231"/>
    <w:rsid w:val="00C33272"/>
    <w:rsid w:val="00C33491"/>
    <w:rsid w:val="00C334FF"/>
    <w:rsid w:val="00C335F4"/>
    <w:rsid w:val="00C33D7E"/>
    <w:rsid w:val="00C34066"/>
    <w:rsid w:val="00C342CE"/>
    <w:rsid w:val="00C34D7E"/>
    <w:rsid w:val="00C35155"/>
    <w:rsid w:val="00C3590F"/>
    <w:rsid w:val="00C359BF"/>
    <w:rsid w:val="00C35E06"/>
    <w:rsid w:val="00C36211"/>
    <w:rsid w:val="00C364B1"/>
    <w:rsid w:val="00C36B71"/>
    <w:rsid w:val="00C36F8E"/>
    <w:rsid w:val="00C37232"/>
    <w:rsid w:val="00C37391"/>
    <w:rsid w:val="00C3780C"/>
    <w:rsid w:val="00C37F71"/>
    <w:rsid w:val="00C404BA"/>
    <w:rsid w:val="00C4071E"/>
    <w:rsid w:val="00C40F96"/>
    <w:rsid w:val="00C41164"/>
    <w:rsid w:val="00C41F15"/>
    <w:rsid w:val="00C41FCF"/>
    <w:rsid w:val="00C43A7F"/>
    <w:rsid w:val="00C446FA"/>
    <w:rsid w:val="00C44B3C"/>
    <w:rsid w:val="00C44C3F"/>
    <w:rsid w:val="00C44D88"/>
    <w:rsid w:val="00C44EDF"/>
    <w:rsid w:val="00C45471"/>
    <w:rsid w:val="00C45615"/>
    <w:rsid w:val="00C456BD"/>
    <w:rsid w:val="00C456E8"/>
    <w:rsid w:val="00C4625C"/>
    <w:rsid w:val="00C4650C"/>
    <w:rsid w:val="00C46526"/>
    <w:rsid w:val="00C468E8"/>
    <w:rsid w:val="00C46969"/>
    <w:rsid w:val="00C46CC5"/>
    <w:rsid w:val="00C46F88"/>
    <w:rsid w:val="00C47132"/>
    <w:rsid w:val="00C47439"/>
    <w:rsid w:val="00C50436"/>
    <w:rsid w:val="00C505B0"/>
    <w:rsid w:val="00C50DF0"/>
    <w:rsid w:val="00C50F79"/>
    <w:rsid w:val="00C511AF"/>
    <w:rsid w:val="00C51AB8"/>
    <w:rsid w:val="00C51B09"/>
    <w:rsid w:val="00C523F1"/>
    <w:rsid w:val="00C5244F"/>
    <w:rsid w:val="00C52AAC"/>
    <w:rsid w:val="00C52DA9"/>
    <w:rsid w:val="00C52F57"/>
    <w:rsid w:val="00C53155"/>
    <w:rsid w:val="00C53636"/>
    <w:rsid w:val="00C53A2A"/>
    <w:rsid w:val="00C54141"/>
    <w:rsid w:val="00C54237"/>
    <w:rsid w:val="00C544A4"/>
    <w:rsid w:val="00C54588"/>
    <w:rsid w:val="00C54CE4"/>
    <w:rsid w:val="00C5514D"/>
    <w:rsid w:val="00C55CFC"/>
    <w:rsid w:val="00C55F1E"/>
    <w:rsid w:val="00C565B7"/>
    <w:rsid w:val="00C5720D"/>
    <w:rsid w:val="00C5739B"/>
    <w:rsid w:val="00C573BD"/>
    <w:rsid w:val="00C577C8"/>
    <w:rsid w:val="00C60562"/>
    <w:rsid w:val="00C605F3"/>
    <w:rsid w:val="00C6061F"/>
    <w:rsid w:val="00C615C1"/>
    <w:rsid w:val="00C6223D"/>
    <w:rsid w:val="00C62373"/>
    <w:rsid w:val="00C627E7"/>
    <w:rsid w:val="00C62FA7"/>
    <w:rsid w:val="00C63346"/>
    <w:rsid w:val="00C63354"/>
    <w:rsid w:val="00C63D58"/>
    <w:rsid w:val="00C64140"/>
    <w:rsid w:val="00C6476C"/>
    <w:rsid w:val="00C64C81"/>
    <w:rsid w:val="00C65460"/>
    <w:rsid w:val="00C654FA"/>
    <w:rsid w:val="00C65C91"/>
    <w:rsid w:val="00C6617F"/>
    <w:rsid w:val="00C661AF"/>
    <w:rsid w:val="00C66313"/>
    <w:rsid w:val="00C663AD"/>
    <w:rsid w:val="00C666ED"/>
    <w:rsid w:val="00C66710"/>
    <w:rsid w:val="00C66C8E"/>
    <w:rsid w:val="00C66FDD"/>
    <w:rsid w:val="00C6720C"/>
    <w:rsid w:val="00C67473"/>
    <w:rsid w:val="00C67638"/>
    <w:rsid w:val="00C67E6C"/>
    <w:rsid w:val="00C67FBC"/>
    <w:rsid w:val="00C7088C"/>
    <w:rsid w:val="00C70A1F"/>
    <w:rsid w:val="00C710FE"/>
    <w:rsid w:val="00C717D2"/>
    <w:rsid w:val="00C71E38"/>
    <w:rsid w:val="00C722DC"/>
    <w:rsid w:val="00C722FF"/>
    <w:rsid w:val="00C72320"/>
    <w:rsid w:val="00C72483"/>
    <w:rsid w:val="00C724E3"/>
    <w:rsid w:val="00C72563"/>
    <w:rsid w:val="00C726F1"/>
    <w:rsid w:val="00C726FB"/>
    <w:rsid w:val="00C72C66"/>
    <w:rsid w:val="00C72E08"/>
    <w:rsid w:val="00C731EF"/>
    <w:rsid w:val="00C73629"/>
    <w:rsid w:val="00C73911"/>
    <w:rsid w:val="00C7411E"/>
    <w:rsid w:val="00C741A3"/>
    <w:rsid w:val="00C742AE"/>
    <w:rsid w:val="00C746F1"/>
    <w:rsid w:val="00C747D0"/>
    <w:rsid w:val="00C74CCA"/>
    <w:rsid w:val="00C74DEF"/>
    <w:rsid w:val="00C756E0"/>
    <w:rsid w:val="00C75DEE"/>
    <w:rsid w:val="00C75E05"/>
    <w:rsid w:val="00C75EDE"/>
    <w:rsid w:val="00C76604"/>
    <w:rsid w:val="00C76F27"/>
    <w:rsid w:val="00C76FA2"/>
    <w:rsid w:val="00C7728E"/>
    <w:rsid w:val="00C77BDC"/>
    <w:rsid w:val="00C8078F"/>
    <w:rsid w:val="00C80BDA"/>
    <w:rsid w:val="00C818AD"/>
    <w:rsid w:val="00C8195F"/>
    <w:rsid w:val="00C81CC9"/>
    <w:rsid w:val="00C82280"/>
    <w:rsid w:val="00C82459"/>
    <w:rsid w:val="00C82BAA"/>
    <w:rsid w:val="00C82C50"/>
    <w:rsid w:val="00C82CA6"/>
    <w:rsid w:val="00C83528"/>
    <w:rsid w:val="00C847FC"/>
    <w:rsid w:val="00C849D2"/>
    <w:rsid w:val="00C84D05"/>
    <w:rsid w:val="00C84D60"/>
    <w:rsid w:val="00C8506F"/>
    <w:rsid w:val="00C8513A"/>
    <w:rsid w:val="00C862D8"/>
    <w:rsid w:val="00C8653B"/>
    <w:rsid w:val="00C86A7F"/>
    <w:rsid w:val="00C86B8A"/>
    <w:rsid w:val="00C8707A"/>
    <w:rsid w:val="00C870DF"/>
    <w:rsid w:val="00C872B7"/>
    <w:rsid w:val="00C874F9"/>
    <w:rsid w:val="00C8769E"/>
    <w:rsid w:val="00C877E0"/>
    <w:rsid w:val="00C87A34"/>
    <w:rsid w:val="00C901B0"/>
    <w:rsid w:val="00C90320"/>
    <w:rsid w:val="00C90618"/>
    <w:rsid w:val="00C92086"/>
    <w:rsid w:val="00C92E54"/>
    <w:rsid w:val="00C9341A"/>
    <w:rsid w:val="00C93913"/>
    <w:rsid w:val="00C93A01"/>
    <w:rsid w:val="00C93E66"/>
    <w:rsid w:val="00C94386"/>
    <w:rsid w:val="00C944FF"/>
    <w:rsid w:val="00C94B7A"/>
    <w:rsid w:val="00C94CB2"/>
    <w:rsid w:val="00C95C35"/>
    <w:rsid w:val="00C961B9"/>
    <w:rsid w:val="00C964ED"/>
    <w:rsid w:val="00C96556"/>
    <w:rsid w:val="00C965ED"/>
    <w:rsid w:val="00C967FA"/>
    <w:rsid w:val="00C96A46"/>
    <w:rsid w:val="00C96AD3"/>
    <w:rsid w:val="00C97586"/>
    <w:rsid w:val="00C976D4"/>
    <w:rsid w:val="00C97C30"/>
    <w:rsid w:val="00C97FCF"/>
    <w:rsid w:val="00CA0158"/>
    <w:rsid w:val="00CA0AB2"/>
    <w:rsid w:val="00CA0B7F"/>
    <w:rsid w:val="00CA1234"/>
    <w:rsid w:val="00CA2998"/>
    <w:rsid w:val="00CA2D1F"/>
    <w:rsid w:val="00CA2FE9"/>
    <w:rsid w:val="00CA3216"/>
    <w:rsid w:val="00CA3222"/>
    <w:rsid w:val="00CA33A7"/>
    <w:rsid w:val="00CA39B3"/>
    <w:rsid w:val="00CA3E1F"/>
    <w:rsid w:val="00CA3F48"/>
    <w:rsid w:val="00CA4164"/>
    <w:rsid w:val="00CA45C2"/>
    <w:rsid w:val="00CA4F05"/>
    <w:rsid w:val="00CA523E"/>
    <w:rsid w:val="00CA5403"/>
    <w:rsid w:val="00CA5684"/>
    <w:rsid w:val="00CA5BFE"/>
    <w:rsid w:val="00CA5D7C"/>
    <w:rsid w:val="00CA5E02"/>
    <w:rsid w:val="00CA5E1E"/>
    <w:rsid w:val="00CA6470"/>
    <w:rsid w:val="00CA7AA5"/>
    <w:rsid w:val="00CA7E4D"/>
    <w:rsid w:val="00CB018A"/>
    <w:rsid w:val="00CB13DF"/>
    <w:rsid w:val="00CB140E"/>
    <w:rsid w:val="00CB1EDA"/>
    <w:rsid w:val="00CB3207"/>
    <w:rsid w:val="00CB330D"/>
    <w:rsid w:val="00CB3588"/>
    <w:rsid w:val="00CB3F40"/>
    <w:rsid w:val="00CB448A"/>
    <w:rsid w:val="00CB45CE"/>
    <w:rsid w:val="00CB5114"/>
    <w:rsid w:val="00CB565E"/>
    <w:rsid w:val="00CB5B21"/>
    <w:rsid w:val="00CB5E4A"/>
    <w:rsid w:val="00CB60EC"/>
    <w:rsid w:val="00CB628F"/>
    <w:rsid w:val="00CB65BF"/>
    <w:rsid w:val="00CB6B76"/>
    <w:rsid w:val="00CB6F26"/>
    <w:rsid w:val="00CB7075"/>
    <w:rsid w:val="00CB71BF"/>
    <w:rsid w:val="00CB7236"/>
    <w:rsid w:val="00CB7246"/>
    <w:rsid w:val="00CB7304"/>
    <w:rsid w:val="00CB73E0"/>
    <w:rsid w:val="00CB74FE"/>
    <w:rsid w:val="00CB79F7"/>
    <w:rsid w:val="00CB7DB4"/>
    <w:rsid w:val="00CC0312"/>
    <w:rsid w:val="00CC088E"/>
    <w:rsid w:val="00CC21EA"/>
    <w:rsid w:val="00CC2263"/>
    <w:rsid w:val="00CC24A6"/>
    <w:rsid w:val="00CC26FD"/>
    <w:rsid w:val="00CC2899"/>
    <w:rsid w:val="00CC29A4"/>
    <w:rsid w:val="00CC2F7E"/>
    <w:rsid w:val="00CC3001"/>
    <w:rsid w:val="00CC3046"/>
    <w:rsid w:val="00CC31C2"/>
    <w:rsid w:val="00CC3546"/>
    <w:rsid w:val="00CC366E"/>
    <w:rsid w:val="00CC39EC"/>
    <w:rsid w:val="00CC3B9E"/>
    <w:rsid w:val="00CC3CAC"/>
    <w:rsid w:val="00CC4A52"/>
    <w:rsid w:val="00CC4ABD"/>
    <w:rsid w:val="00CC4D7D"/>
    <w:rsid w:val="00CC518A"/>
    <w:rsid w:val="00CC5222"/>
    <w:rsid w:val="00CC54A2"/>
    <w:rsid w:val="00CC550B"/>
    <w:rsid w:val="00CC5AF5"/>
    <w:rsid w:val="00CC5C65"/>
    <w:rsid w:val="00CC5FC9"/>
    <w:rsid w:val="00CC60FC"/>
    <w:rsid w:val="00CC61E3"/>
    <w:rsid w:val="00CC6C99"/>
    <w:rsid w:val="00CC6D82"/>
    <w:rsid w:val="00CD04B3"/>
    <w:rsid w:val="00CD076C"/>
    <w:rsid w:val="00CD1013"/>
    <w:rsid w:val="00CD1745"/>
    <w:rsid w:val="00CD1796"/>
    <w:rsid w:val="00CD1D27"/>
    <w:rsid w:val="00CD2DBF"/>
    <w:rsid w:val="00CD3218"/>
    <w:rsid w:val="00CD3306"/>
    <w:rsid w:val="00CD33E8"/>
    <w:rsid w:val="00CD3519"/>
    <w:rsid w:val="00CD372E"/>
    <w:rsid w:val="00CD3EF6"/>
    <w:rsid w:val="00CD3F6F"/>
    <w:rsid w:val="00CD449D"/>
    <w:rsid w:val="00CD47A0"/>
    <w:rsid w:val="00CD4980"/>
    <w:rsid w:val="00CD4B66"/>
    <w:rsid w:val="00CD4CA6"/>
    <w:rsid w:val="00CD5288"/>
    <w:rsid w:val="00CD5570"/>
    <w:rsid w:val="00CD5D0D"/>
    <w:rsid w:val="00CD60BB"/>
    <w:rsid w:val="00CD6380"/>
    <w:rsid w:val="00CD645E"/>
    <w:rsid w:val="00CD6692"/>
    <w:rsid w:val="00CD6774"/>
    <w:rsid w:val="00CD686B"/>
    <w:rsid w:val="00CD6C93"/>
    <w:rsid w:val="00CD76BE"/>
    <w:rsid w:val="00CE09DC"/>
    <w:rsid w:val="00CE11EC"/>
    <w:rsid w:val="00CE1AD2"/>
    <w:rsid w:val="00CE1B17"/>
    <w:rsid w:val="00CE1E3C"/>
    <w:rsid w:val="00CE2404"/>
    <w:rsid w:val="00CE2650"/>
    <w:rsid w:val="00CE28B7"/>
    <w:rsid w:val="00CE2C3C"/>
    <w:rsid w:val="00CE3041"/>
    <w:rsid w:val="00CE30EA"/>
    <w:rsid w:val="00CE3154"/>
    <w:rsid w:val="00CE37B5"/>
    <w:rsid w:val="00CE3881"/>
    <w:rsid w:val="00CE395A"/>
    <w:rsid w:val="00CE3B5E"/>
    <w:rsid w:val="00CE3D97"/>
    <w:rsid w:val="00CE3E37"/>
    <w:rsid w:val="00CE3F47"/>
    <w:rsid w:val="00CE3F58"/>
    <w:rsid w:val="00CE4414"/>
    <w:rsid w:val="00CE48C9"/>
    <w:rsid w:val="00CE4BBC"/>
    <w:rsid w:val="00CE504D"/>
    <w:rsid w:val="00CE57CC"/>
    <w:rsid w:val="00CE5ACE"/>
    <w:rsid w:val="00CE63A2"/>
    <w:rsid w:val="00CE6E27"/>
    <w:rsid w:val="00CE700C"/>
    <w:rsid w:val="00CE70D8"/>
    <w:rsid w:val="00CE7703"/>
    <w:rsid w:val="00CF071F"/>
    <w:rsid w:val="00CF0C13"/>
    <w:rsid w:val="00CF0CF1"/>
    <w:rsid w:val="00CF15A7"/>
    <w:rsid w:val="00CF15FA"/>
    <w:rsid w:val="00CF1B65"/>
    <w:rsid w:val="00CF286F"/>
    <w:rsid w:val="00CF2AAB"/>
    <w:rsid w:val="00CF2C71"/>
    <w:rsid w:val="00CF2EC7"/>
    <w:rsid w:val="00CF33DB"/>
    <w:rsid w:val="00CF36DE"/>
    <w:rsid w:val="00CF377B"/>
    <w:rsid w:val="00CF3953"/>
    <w:rsid w:val="00CF44F9"/>
    <w:rsid w:val="00CF4C0C"/>
    <w:rsid w:val="00CF563E"/>
    <w:rsid w:val="00CF636B"/>
    <w:rsid w:val="00CF69F4"/>
    <w:rsid w:val="00CF6AAB"/>
    <w:rsid w:val="00CF6EEE"/>
    <w:rsid w:val="00CF74D6"/>
    <w:rsid w:val="00CF7657"/>
    <w:rsid w:val="00CF787A"/>
    <w:rsid w:val="00CF7978"/>
    <w:rsid w:val="00CF7AAB"/>
    <w:rsid w:val="00CF7ACB"/>
    <w:rsid w:val="00CF7FAD"/>
    <w:rsid w:val="00D00E06"/>
    <w:rsid w:val="00D00F0F"/>
    <w:rsid w:val="00D00FEA"/>
    <w:rsid w:val="00D01789"/>
    <w:rsid w:val="00D01A1A"/>
    <w:rsid w:val="00D0278D"/>
    <w:rsid w:val="00D03191"/>
    <w:rsid w:val="00D03425"/>
    <w:rsid w:val="00D03466"/>
    <w:rsid w:val="00D039BF"/>
    <w:rsid w:val="00D039EE"/>
    <w:rsid w:val="00D03B58"/>
    <w:rsid w:val="00D04A4A"/>
    <w:rsid w:val="00D04A97"/>
    <w:rsid w:val="00D04EDF"/>
    <w:rsid w:val="00D056C4"/>
    <w:rsid w:val="00D05A3D"/>
    <w:rsid w:val="00D06113"/>
    <w:rsid w:val="00D0611C"/>
    <w:rsid w:val="00D062A3"/>
    <w:rsid w:val="00D063A0"/>
    <w:rsid w:val="00D0651C"/>
    <w:rsid w:val="00D066B7"/>
    <w:rsid w:val="00D0680A"/>
    <w:rsid w:val="00D06A98"/>
    <w:rsid w:val="00D07428"/>
    <w:rsid w:val="00D07ECF"/>
    <w:rsid w:val="00D10271"/>
    <w:rsid w:val="00D112E4"/>
    <w:rsid w:val="00D124FA"/>
    <w:rsid w:val="00D12A26"/>
    <w:rsid w:val="00D13655"/>
    <w:rsid w:val="00D141DF"/>
    <w:rsid w:val="00D1424C"/>
    <w:rsid w:val="00D151DA"/>
    <w:rsid w:val="00D152F6"/>
    <w:rsid w:val="00D1547B"/>
    <w:rsid w:val="00D15783"/>
    <w:rsid w:val="00D157EA"/>
    <w:rsid w:val="00D16470"/>
    <w:rsid w:val="00D16EB4"/>
    <w:rsid w:val="00D16EBC"/>
    <w:rsid w:val="00D16EFC"/>
    <w:rsid w:val="00D1703E"/>
    <w:rsid w:val="00D173D4"/>
    <w:rsid w:val="00D17BED"/>
    <w:rsid w:val="00D17C21"/>
    <w:rsid w:val="00D2042F"/>
    <w:rsid w:val="00D20B66"/>
    <w:rsid w:val="00D20D0F"/>
    <w:rsid w:val="00D20DB4"/>
    <w:rsid w:val="00D20DE9"/>
    <w:rsid w:val="00D20E87"/>
    <w:rsid w:val="00D21109"/>
    <w:rsid w:val="00D2191F"/>
    <w:rsid w:val="00D21A1A"/>
    <w:rsid w:val="00D2204F"/>
    <w:rsid w:val="00D22696"/>
    <w:rsid w:val="00D22720"/>
    <w:rsid w:val="00D22E5B"/>
    <w:rsid w:val="00D23D7D"/>
    <w:rsid w:val="00D244C6"/>
    <w:rsid w:val="00D250E5"/>
    <w:rsid w:val="00D2540C"/>
    <w:rsid w:val="00D256CB"/>
    <w:rsid w:val="00D26565"/>
    <w:rsid w:val="00D26CA4"/>
    <w:rsid w:val="00D270D0"/>
    <w:rsid w:val="00D275D3"/>
    <w:rsid w:val="00D300BC"/>
    <w:rsid w:val="00D300BD"/>
    <w:rsid w:val="00D30D1D"/>
    <w:rsid w:val="00D30DF5"/>
    <w:rsid w:val="00D30FC3"/>
    <w:rsid w:val="00D32A6C"/>
    <w:rsid w:val="00D32B9C"/>
    <w:rsid w:val="00D32C8A"/>
    <w:rsid w:val="00D333C6"/>
    <w:rsid w:val="00D33768"/>
    <w:rsid w:val="00D348F2"/>
    <w:rsid w:val="00D34BD9"/>
    <w:rsid w:val="00D34C98"/>
    <w:rsid w:val="00D3533B"/>
    <w:rsid w:val="00D3546D"/>
    <w:rsid w:val="00D35508"/>
    <w:rsid w:val="00D35B6A"/>
    <w:rsid w:val="00D35E5D"/>
    <w:rsid w:val="00D3605B"/>
    <w:rsid w:val="00D363D2"/>
    <w:rsid w:val="00D36BF7"/>
    <w:rsid w:val="00D37026"/>
    <w:rsid w:val="00D37C69"/>
    <w:rsid w:val="00D37D8D"/>
    <w:rsid w:val="00D37DC2"/>
    <w:rsid w:val="00D405BF"/>
    <w:rsid w:val="00D4080F"/>
    <w:rsid w:val="00D40DA6"/>
    <w:rsid w:val="00D4209C"/>
    <w:rsid w:val="00D42526"/>
    <w:rsid w:val="00D4255D"/>
    <w:rsid w:val="00D42BBE"/>
    <w:rsid w:val="00D431CA"/>
    <w:rsid w:val="00D43C0E"/>
    <w:rsid w:val="00D44DE1"/>
    <w:rsid w:val="00D458CD"/>
    <w:rsid w:val="00D45FDD"/>
    <w:rsid w:val="00D46C2D"/>
    <w:rsid w:val="00D46F4B"/>
    <w:rsid w:val="00D47694"/>
    <w:rsid w:val="00D5009B"/>
    <w:rsid w:val="00D5092C"/>
    <w:rsid w:val="00D5096B"/>
    <w:rsid w:val="00D51845"/>
    <w:rsid w:val="00D51951"/>
    <w:rsid w:val="00D51CEB"/>
    <w:rsid w:val="00D520DC"/>
    <w:rsid w:val="00D52431"/>
    <w:rsid w:val="00D5254A"/>
    <w:rsid w:val="00D52DC6"/>
    <w:rsid w:val="00D54650"/>
    <w:rsid w:val="00D559AD"/>
    <w:rsid w:val="00D56062"/>
    <w:rsid w:val="00D561DD"/>
    <w:rsid w:val="00D5651B"/>
    <w:rsid w:val="00D567FF"/>
    <w:rsid w:val="00D56FD1"/>
    <w:rsid w:val="00D57109"/>
    <w:rsid w:val="00D57332"/>
    <w:rsid w:val="00D57720"/>
    <w:rsid w:val="00D57B83"/>
    <w:rsid w:val="00D57BFE"/>
    <w:rsid w:val="00D57DF1"/>
    <w:rsid w:val="00D6038B"/>
    <w:rsid w:val="00D60679"/>
    <w:rsid w:val="00D60DB9"/>
    <w:rsid w:val="00D610C4"/>
    <w:rsid w:val="00D6174E"/>
    <w:rsid w:val="00D61C39"/>
    <w:rsid w:val="00D62629"/>
    <w:rsid w:val="00D63452"/>
    <w:rsid w:val="00D634F3"/>
    <w:rsid w:val="00D636FA"/>
    <w:rsid w:val="00D63B02"/>
    <w:rsid w:val="00D63F27"/>
    <w:rsid w:val="00D6408C"/>
    <w:rsid w:val="00D642DA"/>
    <w:rsid w:val="00D65461"/>
    <w:rsid w:val="00D65878"/>
    <w:rsid w:val="00D65F2C"/>
    <w:rsid w:val="00D66226"/>
    <w:rsid w:val="00D66282"/>
    <w:rsid w:val="00D66F4E"/>
    <w:rsid w:val="00D679C0"/>
    <w:rsid w:val="00D67D5B"/>
    <w:rsid w:val="00D70352"/>
    <w:rsid w:val="00D708C8"/>
    <w:rsid w:val="00D70C70"/>
    <w:rsid w:val="00D715CC"/>
    <w:rsid w:val="00D7230E"/>
    <w:rsid w:val="00D727FE"/>
    <w:rsid w:val="00D72809"/>
    <w:rsid w:val="00D72F40"/>
    <w:rsid w:val="00D73775"/>
    <w:rsid w:val="00D739AD"/>
    <w:rsid w:val="00D73A9F"/>
    <w:rsid w:val="00D73B60"/>
    <w:rsid w:val="00D73BB5"/>
    <w:rsid w:val="00D73F83"/>
    <w:rsid w:val="00D74091"/>
    <w:rsid w:val="00D74B72"/>
    <w:rsid w:val="00D75514"/>
    <w:rsid w:val="00D7551A"/>
    <w:rsid w:val="00D76261"/>
    <w:rsid w:val="00D7640F"/>
    <w:rsid w:val="00D766D8"/>
    <w:rsid w:val="00D76B08"/>
    <w:rsid w:val="00D76C47"/>
    <w:rsid w:val="00D76C53"/>
    <w:rsid w:val="00D76CBB"/>
    <w:rsid w:val="00D77039"/>
    <w:rsid w:val="00D77AF0"/>
    <w:rsid w:val="00D80D4F"/>
    <w:rsid w:val="00D81115"/>
    <w:rsid w:val="00D815A1"/>
    <w:rsid w:val="00D825CE"/>
    <w:rsid w:val="00D827D1"/>
    <w:rsid w:val="00D82BEC"/>
    <w:rsid w:val="00D83221"/>
    <w:rsid w:val="00D832A1"/>
    <w:rsid w:val="00D83330"/>
    <w:rsid w:val="00D8347D"/>
    <w:rsid w:val="00D83885"/>
    <w:rsid w:val="00D84161"/>
    <w:rsid w:val="00D8457B"/>
    <w:rsid w:val="00D846F6"/>
    <w:rsid w:val="00D8489D"/>
    <w:rsid w:val="00D84BA6"/>
    <w:rsid w:val="00D84F39"/>
    <w:rsid w:val="00D851C9"/>
    <w:rsid w:val="00D85440"/>
    <w:rsid w:val="00D85675"/>
    <w:rsid w:val="00D8569F"/>
    <w:rsid w:val="00D8582E"/>
    <w:rsid w:val="00D8616D"/>
    <w:rsid w:val="00D862BF"/>
    <w:rsid w:val="00D87239"/>
    <w:rsid w:val="00D87256"/>
    <w:rsid w:val="00D8752C"/>
    <w:rsid w:val="00D8781A"/>
    <w:rsid w:val="00D87987"/>
    <w:rsid w:val="00D87D7C"/>
    <w:rsid w:val="00D901B3"/>
    <w:rsid w:val="00D906F5"/>
    <w:rsid w:val="00D90E1B"/>
    <w:rsid w:val="00D90EAD"/>
    <w:rsid w:val="00D91BAE"/>
    <w:rsid w:val="00D91F1A"/>
    <w:rsid w:val="00D925E1"/>
    <w:rsid w:val="00D92DCD"/>
    <w:rsid w:val="00D92EE0"/>
    <w:rsid w:val="00D93AA7"/>
    <w:rsid w:val="00D93AD7"/>
    <w:rsid w:val="00D95260"/>
    <w:rsid w:val="00D95839"/>
    <w:rsid w:val="00D959F3"/>
    <w:rsid w:val="00D96B53"/>
    <w:rsid w:val="00D96DFF"/>
    <w:rsid w:val="00D97017"/>
    <w:rsid w:val="00D97053"/>
    <w:rsid w:val="00D97581"/>
    <w:rsid w:val="00D97816"/>
    <w:rsid w:val="00D97AAF"/>
    <w:rsid w:val="00D97B39"/>
    <w:rsid w:val="00D97EB4"/>
    <w:rsid w:val="00DA101F"/>
    <w:rsid w:val="00DA1407"/>
    <w:rsid w:val="00DA1712"/>
    <w:rsid w:val="00DA1B55"/>
    <w:rsid w:val="00DA1CAD"/>
    <w:rsid w:val="00DA26A0"/>
    <w:rsid w:val="00DA284C"/>
    <w:rsid w:val="00DA28E7"/>
    <w:rsid w:val="00DA2919"/>
    <w:rsid w:val="00DA2EFD"/>
    <w:rsid w:val="00DA3C0E"/>
    <w:rsid w:val="00DA3FE5"/>
    <w:rsid w:val="00DA4984"/>
    <w:rsid w:val="00DA678E"/>
    <w:rsid w:val="00DA7AFE"/>
    <w:rsid w:val="00DA7BB7"/>
    <w:rsid w:val="00DA7C1F"/>
    <w:rsid w:val="00DB03EE"/>
    <w:rsid w:val="00DB0B9C"/>
    <w:rsid w:val="00DB0BB6"/>
    <w:rsid w:val="00DB0D0F"/>
    <w:rsid w:val="00DB0F31"/>
    <w:rsid w:val="00DB1147"/>
    <w:rsid w:val="00DB11A8"/>
    <w:rsid w:val="00DB16B0"/>
    <w:rsid w:val="00DB1AC1"/>
    <w:rsid w:val="00DB1E43"/>
    <w:rsid w:val="00DB25A3"/>
    <w:rsid w:val="00DB297D"/>
    <w:rsid w:val="00DB2AB4"/>
    <w:rsid w:val="00DB3182"/>
    <w:rsid w:val="00DB370F"/>
    <w:rsid w:val="00DB374F"/>
    <w:rsid w:val="00DB3C4C"/>
    <w:rsid w:val="00DB412E"/>
    <w:rsid w:val="00DB43D3"/>
    <w:rsid w:val="00DB4BF7"/>
    <w:rsid w:val="00DB4C9A"/>
    <w:rsid w:val="00DB60E1"/>
    <w:rsid w:val="00DB60FE"/>
    <w:rsid w:val="00DB6492"/>
    <w:rsid w:val="00DB6AE4"/>
    <w:rsid w:val="00DB7032"/>
    <w:rsid w:val="00DB72F5"/>
    <w:rsid w:val="00DB750F"/>
    <w:rsid w:val="00DB78BA"/>
    <w:rsid w:val="00DC028F"/>
    <w:rsid w:val="00DC0E80"/>
    <w:rsid w:val="00DC0FCA"/>
    <w:rsid w:val="00DC104E"/>
    <w:rsid w:val="00DC129D"/>
    <w:rsid w:val="00DC12AB"/>
    <w:rsid w:val="00DC142B"/>
    <w:rsid w:val="00DC1523"/>
    <w:rsid w:val="00DC156C"/>
    <w:rsid w:val="00DC157B"/>
    <w:rsid w:val="00DC19B9"/>
    <w:rsid w:val="00DC2C79"/>
    <w:rsid w:val="00DC2F95"/>
    <w:rsid w:val="00DC3652"/>
    <w:rsid w:val="00DC3A37"/>
    <w:rsid w:val="00DC3A9C"/>
    <w:rsid w:val="00DC3C13"/>
    <w:rsid w:val="00DC52B4"/>
    <w:rsid w:val="00DC5486"/>
    <w:rsid w:val="00DC54E6"/>
    <w:rsid w:val="00DC5A10"/>
    <w:rsid w:val="00DC5B6B"/>
    <w:rsid w:val="00DC5FBB"/>
    <w:rsid w:val="00DC601A"/>
    <w:rsid w:val="00DC649B"/>
    <w:rsid w:val="00DC6585"/>
    <w:rsid w:val="00DC69CF"/>
    <w:rsid w:val="00DC7380"/>
    <w:rsid w:val="00DC7BB8"/>
    <w:rsid w:val="00DC7CE7"/>
    <w:rsid w:val="00DD03F7"/>
    <w:rsid w:val="00DD0A5B"/>
    <w:rsid w:val="00DD11EB"/>
    <w:rsid w:val="00DD1BBF"/>
    <w:rsid w:val="00DD3206"/>
    <w:rsid w:val="00DD35B7"/>
    <w:rsid w:val="00DD3620"/>
    <w:rsid w:val="00DD3B23"/>
    <w:rsid w:val="00DD3DB1"/>
    <w:rsid w:val="00DD4784"/>
    <w:rsid w:val="00DD49B5"/>
    <w:rsid w:val="00DD4AA8"/>
    <w:rsid w:val="00DD55E3"/>
    <w:rsid w:val="00DD65AE"/>
    <w:rsid w:val="00DD68B9"/>
    <w:rsid w:val="00DD7666"/>
    <w:rsid w:val="00DD77AD"/>
    <w:rsid w:val="00DD788A"/>
    <w:rsid w:val="00DD7D1B"/>
    <w:rsid w:val="00DE0690"/>
    <w:rsid w:val="00DE11AE"/>
    <w:rsid w:val="00DE1347"/>
    <w:rsid w:val="00DE184D"/>
    <w:rsid w:val="00DE1BA1"/>
    <w:rsid w:val="00DE1D82"/>
    <w:rsid w:val="00DE242E"/>
    <w:rsid w:val="00DE27E1"/>
    <w:rsid w:val="00DE31D4"/>
    <w:rsid w:val="00DE32D1"/>
    <w:rsid w:val="00DE3FA2"/>
    <w:rsid w:val="00DE41E5"/>
    <w:rsid w:val="00DE4254"/>
    <w:rsid w:val="00DE42BC"/>
    <w:rsid w:val="00DE4348"/>
    <w:rsid w:val="00DE5365"/>
    <w:rsid w:val="00DE564C"/>
    <w:rsid w:val="00DE6540"/>
    <w:rsid w:val="00DE6607"/>
    <w:rsid w:val="00DE67FC"/>
    <w:rsid w:val="00DE68E2"/>
    <w:rsid w:val="00DE6B9D"/>
    <w:rsid w:val="00DE6CAF"/>
    <w:rsid w:val="00DE6F7D"/>
    <w:rsid w:val="00DE7239"/>
    <w:rsid w:val="00DF0025"/>
    <w:rsid w:val="00DF02C0"/>
    <w:rsid w:val="00DF03CA"/>
    <w:rsid w:val="00DF06DA"/>
    <w:rsid w:val="00DF073E"/>
    <w:rsid w:val="00DF1553"/>
    <w:rsid w:val="00DF170E"/>
    <w:rsid w:val="00DF1D9F"/>
    <w:rsid w:val="00DF2064"/>
    <w:rsid w:val="00DF25A9"/>
    <w:rsid w:val="00DF29D3"/>
    <w:rsid w:val="00DF2C21"/>
    <w:rsid w:val="00DF2D06"/>
    <w:rsid w:val="00DF2F46"/>
    <w:rsid w:val="00DF307E"/>
    <w:rsid w:val="00DF30AE"/>
    <w:rsid w:val="00DF3917"/>
    <w:rsid w:val="00DF41A8"/>
    <w:rsid w:val="00DF46D8"/>
    <w:rsid w:val="00DF4C81"/>
    <w:rsid w:val="00DF4E8B"/>
    <w:rsid w:val="00DF527D"/>
    <w:rsid w:val="00DF5611"/>
    <w:rsid w:val="00DF62B8"/>
    <w:rsid w:val="00E004DC"/>
    <w:rsid w:val="00E00C4B"/>
    <w:rsid w:val="00E00E47"/>
    <w:rsid w:val="00E00ED1"/>
    <w:rsid w:val="00E01170"/>
    <w:rsid w:val="00E01411"/>
    <w:rsid w:val="00E0173A"/>
    <w:rsid w:val="00E02632"/>
    <w:rsid w:val="00E02AC3"/>
    <w:rsid w:val="00E03062"/>
    <w:rsid w:val="00E030E7"/>
    <w:rsid w:val="00E031AB"/>
    <w:rsid w:val="00E032DD"/>
    <w:rsid w:val="00E03EC2"/>
    <w:rsid w:val="00E0482C"/>
    <w:rsid w:val="00E04857"/>
    <w:rsid w:val="00E04E35"/>
    <w:rsid w:val="00E04EF8"/>
    <w:rsid w:val="00E0505C"/>
    <w:rsid w:val="00E05368"/>
    <w:rsid w:val="00E05686"/>
    <w:rsid w:val="00E056EA"/>
    <w:rsid w:val="00E05B6E"/>
    <w:rsid w:val="00E061F5"/>
    <w:rsid w:val="00E06400"/>
    <w:rsid w:val="00E064FC"/>
    <w:rsid w:val="00E0688C"/>
    <w:rsid w:val="00E068CB"/>
    <w:rsid w:val="00E06B9F"/>
    <w:rsid w:val="00E06C19"/>
    <w:rsid w:val="00E0749D"/>
    <w:rsid w:val="00E0768B"/>
    <w:rsid w:val="00E07A49"/>
    <w:rsid w:val="00E07F45"/>
    <w:rsid w:val="00E101D0"/>
    <w:rsid w:val="00E10873"/>
    <w:rsid w:val="00E1094F"/>
    <w:rsid w:val="00E10B89"/>
    <w:rsid w:val="00E10DA6"/>
    <w:rsid w:val="00E12087"/>
    <w:rsid w:val="00E123D0"/>
    <w:rsid w:val="00E124ED"/>
    <w:rsid w:val="00E128C2"/>
    <w:rsid w:val="00E12963"/>
    <w:rsid w:val="00E12A0E"/>
    <w:rsid w:val="00E12CA3"/>
    <w:rsid w:val="00E12E1E"/>
    <w:rsid w:val="00E13077"/>
    <w:rsid w:val="00E133CC"/>
    <w:rsid w:val="00E134DD"/>
    <w:rsid w:val="00E136E0"/>
    <w:rsid w:val="00E140F2"/>
    <w:rsid w:val="00E14504"/>
    <w:rsid w:val="00E14C4F"/>
    <w:rsid w:val="00E15324"/>
    <w:rsid w:val="00E15369"/>
    <w:rsid w:val="00E15C16"/>
    <w:rsid w:val="00E15EC0"/>
    <w:rsid w:val="00E1600F"/>
    <w:rsid w:val="00E16980"/>
    <w:rsid w:val="00E16BD0"/>
    <w:rsid w:val="00E171D3"/>
    <w:rsid w:val="00E1722C"/>
    <w:rsid w:val="00E178E7"/>
    <w:rsid w:val="00E17CEE"/>
    <w:rsid w:val="00E20186"/>
    <w:rsid w:val="00E206F7"/>
    <w:rsid w:val="00E20899"/>
    <w:rsid w:val="00E210B6"/>
    <w:rsid w:val="00E217C1"/>
    <w:rsid w:val="00E221D5"/>
    <w:rsid w:val="00E22418"/>
    <w:rsid w:val="00E22891"/>
    <w:rsid w:val="00E22D1B"/>
    <w:rsid w:val="00E22E20"/>
    <w:rsid w:val="00E23E74"/>
    <w:rsid w:val="00E241D9"/>
    <w:rsid w:val="00E24698"/>
    <w:rsid w:val="00E25523"/>
    <w:rsid w:val="00E25603"/>
    <w:rsid w:val="00E25917"/>
    <w:rsid w:val="00E259E7"/>
    <w:rsid w:val="00E2640D"/>
    <w:rsid w:val="00E26898"/>
    <w:rsid w:val="00E26CAC"/>
    <w:rsid w:val="00E27818"/>
    <w:rsid w:val="00E27E16"/>
    <w:rsid w:val="00E308AF"/>
    <w:rsid w:val="00E30924"/>
    <w:rsid w:val="00E30B50"/>
    <w:rsid w:val="00E31478"/>
    <w:rsid w:val="00E31568"/>
    <w:rsid w:val="00E318E8"/>
    <w:rsid w:val="00E31ABE"/>
    <w:rsid w:val="00E31B2C"/>
    <w:rsid w:val="00E31DCB"/>
    <w:rsid w:val="00E32B2D"/>
    <w:rsid w:val="00E333DB"/>
    <w:rsid w:val="00E33A89"/>
    <w:rsid w:val="00E33B6A"/>
    <w:rsid w:val="00E33D05"/>
    <w:rsid w:val="00E3451D"/>
    <w:rsid w:val="00E3460F"/>
    <w:rsid w:val="00E3486B"/>
    <w:rsid w:val="00E34B73"/>
    <w:rsid w:val="00E34D8B"/>
    <w:rsid w:val="00E3549B"/>
    <w:rsid w:val="00E354E4"/>
    <w:rsid w:val="00E359D7"/>
    <w:rsid w:val="00E35A62"/>
    <w:rsid w:val="00E35B2D"/>
    <w:rsid w:val="00E35B8E"/>
    <w:rsid w:val="00E35CBB"/>
    <w:rsid w:val="00E35EB4"/>
    <w:rsid w:val="00E36258"/>
    <w:rsid w:val="00E362B6"/>
    <w:rsid w:val="00E36404"/>
    <w:rsid w:val="00E37125"/>
    <w:rsid w:val="00E37313"/>
    <w:rsid w:val="00E374DB"/>
    <w:rsid w:val="00E3751E"/>
    <w:rsid w:val="00E37ABC"/>
    <w:rsid w:val="00E37F20"/>
    <w:rsid w:val="00E40375"/>
    <w:rsid w:val="00E41A94"/>
    <w:rsid w:val="00E41EBD"/>
    <w:rsid w:val="00E42200"/>
    <w:rsid w:val="00E4274B"/>
    <w:rsid w:val="00E42AAF"/>
    <w:rsid w:val="00E43540"/>
    <w:rsid w:val="00E442F0"/>
    <w:rsid w:val="00E44D4B"/>
    <w:rsid w:val="00E4506D"/>
    <w:rsid w:val="00E453FA"/>
    <w:rsid w:val="00E45608"/>
    <w:rsid w:val="00E45A49"/>
    <w:rsid w:val="00E45E7D"/>
    <w:rsid w:val="00E45F47"/>
    <w:rsid w:val="00E4661F"/>
    <w:rsid w:val="00E469E5"/>
    <w:rsid w:val="00E47391"/>
    <w:rsid w:val="00E47B5F"/>
    <w:rsid w:val="00E47D47"/>
    <w:rsid w:val="00E502D8"/>
    <w:rsid w:val="00E5036B"/>
    <w:rsid w:val="00E50699"/>
    <w:rsid w:val="00E511F9"/>
    <w:rsid w:val="00E51BEF"/>
    <w:rsid w:val="00E51F2F"/>
    <w:rsid w:val="00E5222C"/>
    <w:rsid w:val="00E52236"/>
    <w:rsid w:val="00E52431"/>
    <w:rsid w:val="00E5276C"/>
    <w:rsid w:val="00E52BC2"/>
    <w:rsid w:val="00E52E17"/>
    <w:rsid w:val="00E532A1"/>
    <w:rsid w:val="00E536BD"/>
    <w:rsid w:val="00E5373B"/>
    <w:rsid w:val="00E539A1"/>
    <w:rsid w:val="00E53C8A"/>
    <w:rsid w:val="00E542E6"/>
    <w:rsid w:val="00E54409"/>
    <w:rsid w:val="00E54531"/>
    <w:rsid w:val="00E545F8"/>
    <w:rsid w:val="00E546CF"/>
    <w:rsid w:val="00E54B22"/>
    <w:rsid w:val="00E54F36"/>
    <w:rsid w:val="00E55A6B"/>
    <w:rsid w:val="00E55BCF"/>
    <w:rsid w:val="00E56532"/>
    <w:rsid w:val="00E56F6B"/>
    <w:rsid w:val="00E575E9"/>
    <w:rsid w:val="00E57FF4"/>
    <w:rsid w:val="00E603F7"/>
    <w:rsid w:val="00E604CD"/>
    <w:rsid w:val="00E60A10"/>
    <w:rsid w:val="00E617C1"/>
    <w:rsid w:val="00E62412"/>
    <w:rsid w:val="00E625A8"/>
    <w:rsid w:val="00E62730"/>
    <w:rsid w:val="00E628F1"/>
    <w:rsid w:val="00E62A3B"/>
    <w:rsid w:val="00E634BB"/>
    <w:rsid w:val="00E63B68"/>
    <w:rsid w:val="00E63E1A"/>
    <w:rsid w:val="00E64319"/>
    <w:rsid w:val="00E645CA"/>
    <w:rsid w:val="00E6463C"/>
    <w:rsid w:val="00E64F12"/>
    <w:rsid w:val="00E64F13"/>
    <w:rsid w:val="00E64FF0"/>
    <w:rsid w:val="00E65A0E"/>
    <w:rsid w:val="00E65A2F"/>
    <w:rsid w:val="00E65A8E"/>
    <w:rsid w:val="00E65C62"/>
    <w:rsid w:val="00E66AF4"/>
    <w:rsid w:val="00E66CFD"/>
    <w:rsid w:val="00E670A3"/>
    <w:rsid w:val="00E678AF"/>
    <w:rsid w:val="00E67CC7"/>
    <w:rsid w:val="00E67FE3"/>
    <w:rsid w:val="00E706F9"/>
    <w:rsid w:val="00E710DB"/>
    <w:rsid w:val="00E72639"/>
    <w:rsid w:val="00E733A6"/>
    <w:rsid w:val="00E73585"/>
    <w:rsid w:val="00E73A3C"/>
    <w:rsid w:val="00E7402C"/>
    <w:rsid w:val="00E74402"/>
    <w:rsid w:val="00E74E1A"/>
    <w:rsid w:val="00E74F77"/>
    <w:rsid w:val="00E75614"/>
    <w:rsid w:val="00E75724"/>
    <w:rsid w:val="00E76129"/>
    <w:rsid w:val="00E76AA6"/>
    <w:rsid w:val="00E7740C"/>
    <w:rsid w:val="00E777B8"/>
    <w:rsid w:val="00E77B85"/>
    <w:rsid w:val="00E77CD3"/>
    <w:rsid w:val="00E80AA8"/>
    <w:rsid w:val="00E80E89"/>
    <w:rsid w:val="00E80EA7"/>
    <w:rsid w:val="00E81315"/>
    <w:rsid w:val="00E81444"/>
    <w:rsid w:val="00E81680"/>
    <w:rsid w:val="00E817AB"/>
    <w:rsid w:val="00E81C8A"/>
    <w:rsid w:val="00E82462"/>
    <w:rsid w:val="00E8246F"/>
    <w:rsid w:val="00E82B58"/>
    <w:rsid w:val="00E82BB1"/>
    <w:rsid w:val="00E8324D"/>
    <w:rsid w:val="00E83907"/>
    <w:rsid w:val="00E83C49"/>
    <w:rsid w:val="00E84085"/>
    <w:rsid w:val="00E84421"/>
    <w:rsid w:val="00E84DD8"/>
    <w:rsid w:val="00E8532C"/>
    <w:rsid w:val="00E85F85"/>
    <w:rsid w:val="00E86141"/>
    <w:rsid w:val="00E866BA"/>
    <w:rsid w:val="00E868A6"/>
    <w:rsid w:val="00E86A43"/>
    <w:rsid w:val="00E86C9E"/>
    <w:rsid w:val="00E86FCD"/>
    <w:rsid w:val="00E875EC"/>
    <w:rsid w:val="00E8781A"/>
    <w:rsid w:val="00E8790E"/>
    <w:rsid w:val="00E87B34"/>
    <w:rsid w:val="00E9072A"/>
    <w:rsid w:val="00E90E96"/>
    <w:rsid w:val="00E9130E"/>
    <w:rsid w:val="00E913AC"/>
    <w:rsid w:val="00E9142F"/>
    <w:rsid w:val="00E9178B"/>
    <w:rsid w:val="00E92CCC"/>
    <w:rsid w:val="00E93253"/>
    <w:rsid w:val="00E93735"/>
    <w:rsid w:val="00E93D07"/>
    <w:rsid w:val="00E93ECF"/>
    <w:rsid w:val="00E9434A"/>
    <w:rsid w:val="00E94938"/>
    <w:rsid w:val="00E949A2"/>
    <w:rsid w:val="00E94A2B"/>
    <w:rsid w:val="00E951D2"/>
    <w:rsid w:val="00E95FB1"/>
    <w:rsid w:val="00E960C2"/>
    <w:rsid w:val="00E9676C"/>
    <w:rsid w:val="00E96834"/>
    <w:rsid w:val="00E969F9"/>
    <w:rsid w:val="00E97187"/>
    <w:rsid w:val="00E97FD6"/>
    <w:rsid w:val="00EA01AB"/>
    <w:rsid w:val="00EA0D98"/>
    <w:rsid w:val="00EA1051"/>
    <w:rsid w:val="00EA10EB"/>
    <w:rsid w:val="00EA127F"/>
    <w:rsid w:val="00EA19AF"/>
    <w:rsid w:val="00EA1A4B"/>
    <w:rsid w:val="00EA1E5E"/>
    <w:rsid w:val="00EA1F2D"/>
    <w:rsid w:val="00EA20CC"/>
    <w:rsid w:val="00EA2294"/>
    <w:rsid w:val="00EA2320"/>
    <w:rsid w:val="00EA2556"/>
    <w:rsid w:val="00EA258B"/>
    <w:rsid w:val="00EA29DA"/>
    <w:rsid w:val="00EA29DF"/>
    <w:rsid w:val="00EA2AD5"/>
    <w:rsid w:val="00EA427C"/>
    <w:rsid w:val="00EA5DF1"/>
    <w:rsid w:val="00EA656D"/>
    <w:rsid w:val="00EA6A2E"/>
    <w:rsid w:val="00EA789A"/>
    <w:rsid w:val="00EB0BB1"/>
    <w:rsid w:val="00EB18D2"/>
    <w:rsid w:val="00EB2342"/>
    <w:rsid w:val="00EB245B"/>
    <w:rsid w:val="00EB27E5"/>
    <w:rsid w:val="00EB37E4"/>
    <w:rsid w:val="00EB388C"/>
    <w:rsid w:val="00EB38E9"/>
    <w:rsid w:val="00EB3C77"/>
    <w:rsid w:val="00EB3C8C"/>
    <w:rsid w:val="00EB4EC9"/>
    <w:rsid w:val="00EB5658"/>
    <w:rsid w:val="00EB57DA"/>
    <w:rsid w:val="00EB5ABD"/>
    <w:rsid w:val="00EB5C63"/>
    <w:rsid w:val="00EB5E10"/>
    <w:rsid w:val="00EB6566"/>
    <w:rsid w:val="00EB71B1"/>
    <w:rsid w:val="00EB799F"/>
    <w:rsid w:val="00EB7A0A"/>
    <w:rsid w:val="00EB7B39"/>
    <w:rsid w:val="00EB7B91"/>
    <w:rsid w:val="00EB7F41"/>
    <w:rsid w:val="00EC0495"/>
    <w:rsid w:val="00EC04CD"/>
    <w:rsid w:val="00EC0B2D"/>
    <w:rsid w:val="00EC0B43"/>
    <w:rsid w:val="00EC13E5"/>
    <w:rsid w:val="00EC19A9"/>
    <w:rsid w:val="00EC1FEA"/>
    <w:rsid w:val="00EC2055"/>
    <w:rsid w:val="00EC229A"/>
    <w:rsid w:val="00EC2312"/>
    <w:rsid w:val="00EC2719"/>
    <w:rsid w:val="00EC29D1"/>
    <w:rsid w:val="00EC2FAA"/>
    <w:rsid w:val="00EC3063"/>
    <w:rsid w:val="00EC3608"/>
    <w:rsid w:val="00EC3F91"/>
    <w:rsid w:val="00EC43A1"/>
    <w:rsid w:val="00EC4486"/>
    <w:rsid w:val="00EC4A96"/>
    <w:rsid w:val="00EC4F9F"/>
    <w:rsid w:val="00EC5232"/>
    <w:rsid w:val="00EC5CED"/>
    <w:rsid w:val="00EC5D52"/>
    <w:rsid w:val="00EC6058"/>
    <w:rsid w:val="00EC64D2"/>
    <w:rsid w:val="00EC6556"/>
    <w:rsid w:val="00EC68F7"/>
    <w:rsid w:val="00EC76CF"/>
    <w:rsid w:val="00EC7F25"/>
    <w:rsid w:val="00ED01BA"/>
    <w:rsid w:val="00ED11BF"/>
    <w:rsid w:val="00ED14D9"/>
    <w:rsid w:val="00ED1896"/>
    <w:rsid w:val="00ED1994"/>
    <w:rsid w:val="00ED1999"/>
    <w:rsid w:val="00ED1A5D"/>
    <w:rsid w:val="00ED1DB3"/>
    <w:rsid w:val="00ED264C"/>
    <w:rsid w:val="00ED2A0C"/>
    <w:rsid w:val="00ED30CE"/>
    <w:rsid w:val="00ED368D"/>
    <w:rsid w:val="00ED3BAB"/>
    <w:rsid w:val="00ED3E5A"/>
    <w:rsid w:val="00ED43C5"/>
    <w:rsid w:val="00ED4E1B"/>
    <w:rsid w:val="00ED6695"/>
    <w:rsid w:val="00ED67E2"/>
    <w:rsid w:val="00ED6894"/>
    <w:rsid w:val="00ED6EAA"/>
    <w:rsid w:val="00ED70F1"/>
    <w:rsid w:val="00ED72DE"/>
    <w:rsid w:val="00ED776B"/>
    <w:rsid w:val="00ED7F12"/>
    <w:rsid w:val="00EE0512"/>
    <w:rsid w:val="00EE058A"/>
    <w:rsid w:val="00EE0D11"/>
    <w:rsid w:val="00EE0EF7"/>
    <w:rsid w:val="00EE12F7"/>
    <w:rsid w:val="00EE18E1"/>
    <w:rsid w:val="00EE2E38"/>
    <w:rsid w:val="00EE3998"/>
    <w:rsid w:val="00EE3AA1"/>
    <w:rsid w:val="00EE3E8A"/>
    <w:rsid w:val="00EE47FE"/>
    <w:rsid w:val="00EE502E"/>
    <w:rsid w:val="00EE5AC2"/>
    <w:rsid w:val="00EE6AF8"/>
    <w:rsid w:val="00EE6AF9"/>
    <w:rsid w:val="00EE7238"/>
    <w:rsid w:val="00EE7BAD"/>
    <w:rsid w:val="00EE7BEB"/>
    <w:rsid w:val="00EF0A7E"/>
    <w:rsid w:val="00EF0B38"/>
    <w:rsid w:val="00EF0B50"/>
    <w:rsid w:val="00EF235A"/>
    <w:rsid w:val="00EF2452"/>
    <w:rsid w:val="00EF253D"/>
    <w:rsid w:val="00EF27F2"/>
    <w:rsid w:val="00EF28AB"/>
    <w:rsid w:val="00EF32D6"/>
    <w:rsid w:val="00EF32E2"/>
    <w:rsid w:val="00EF3ECD"/>
    <w:rsid w:val="00EF5106"/>
    <w:rsid w:val="00EF51BC"/>
    <w:rsid w:val="00EF5285"/>
    <w:rsid w:val="00EF58F2"/>
    <w:rsid w:val="00EF5AC2"/>
    <w:rsid w:val="00EF5B38"/>
    <w:rsid w:val="00EF5BDF"/>
    <w:rsid w:val="00EF662D"/>
    <w:rsid w:val="00EF69CE"/>
    <w:rsid w:val="00EF6E5B"/>
    <w:rsid w:val="00EF7E9D"/>
    <w:rsid w:val="00EF7F7B"/>
    <w:rsid w:val="00F0087E"/>
    <w:rsid w:val="00F00989"/>
    <w:rsid w:val="00F00BB1"/>
    <w:rsid w:val="00F01E45"/>
    <w:rsid w:val="00F024DA"/>
    <w:rsid w:val="00F02A72"/>
    <w:rsid w:val="00F02E99"/>
    <w:rsid w:val="00F0386D"/>
    <w:rsid w:val="00F03D2A"/>
    <w:rsid w:val="00F04573"/>
    <w:rsid w:val="00F04A46"/>
    <w:rsid w:val="00F04EEA"/>
    <w:rsid w:val="00F05207"/>
    <w:rsid w:val="00F05A12"/>
    <w:rsid w:val="00F05C3A"/>
    <w:rsid w:val="00F06629"/>
    <w:rsid w:val="00F06C09"/>
    <w:rsid w:val="00F06D86"/>
    <w:rsid w:val="00F0715B"/>
    <w:rsid w:val="00F075F0"/>
    <w:rsid w:val="00F07A19"/>
    <w:rsid w:val="00F07BAD"/>
    <w:rsid w:val="00F07ECA"/>
    <w:rsid w:val="00F10AD4"/>
    <w:rsid w:val="00F10C42"/>
    <w:rsid w:val="00F10E6A"/>
    <w:rsid w:val="00F112EC"/>
    <w:rsid w:val="00F1132F"/>
    <w:rsid w:val="00F11363"/>
    <w:rsid w:val="00F113CD"/>
    <w:rsid w:val="00F116F8"/>
    <w:rsid w:val="00F118A9"/>
    <w:rsid w:val="00F11F1C"/>
    <w:rsid w:val="00F127FA"/>
    <w:rsid w:val="00F12830"/>
    <w:rsid w:val="00F12B74"/>
    <w:rsid w:val="00F13206"/>
    <w:rsid w:val="00F13FCE"/>
    <w:rsid w:val="00F149B5"/>
    <w:rsid w:val="00F15FEA"/>
    <w:rsid w:val="00F162D6"/>
    <w:rsid w:val="00F16740"/>
    <w:rsid w:val="00F1751C"/>
    <w:rsid w:val="00F206B2"/>
    <w:rsid w:val="00F20700"/>
    <w:rsid w:val="00F209FB"/>
    <w:rsid w:val="00F21129"/>
    <w:rsid w:val="00F21171"/>
    <w:rsid w:val="00F2130E"/>
    <w:rsid w:val="00F21A4F"/>
    <w:rsid w:val="00F21B15"/>
    <w:rsid w:val="00F21EA5"/>
    <w:rsid w:val="00F220FF"/>
    <w:rsid w:val="00F224AE"/>
    <w:rsid w:val="00F22662"/>
    <w:rsid w:val="00F227E8"/>
    <w:rsid w:val="00F22C8C"/>
    <w:rsid w:val="00F23011"/>
    <w:rsid w:val="00F23428"/>
    <w:rsid w:val="00F23431"/>
    <w:rsid w:val="00F234ED"/>
    <w:rsid w:val="00F23E65"/>
    <w:rsid w:val="00F2493F"/>
    <w:rsid w:val="00F24D96"/>
    <w:rsid w:val="00F24F4C"/>
    <w:rsid w:val="00F253F8"/>
    <w:rsid w:val="00F25473"/>
    <w:rsid w:val="00F254F1"/>
    <w:rsid w:val="00F25759"/>
    <w:rsid w:val="00F25D85"/>
    <w:rsid w:val="00F269E0"/>
    <w:rsid w:val="00F26ECE"/>
    <w:rsid w:val="00F27088"/>
    <w:rsid w:val="00F270AF"/>
    <w:rsid w:val="00F271D4"/>
    <w:rsid w:val="00F27904"/>
    <w:rsid w:val="00F27A96"/>
    <w:rsid w:val="00F30F4E"/>
    <w:rsid w:val="00F31B39"/>
    <w:rsid w:val="00F31D02"/>
    <w:rsid w:val="00F31E9B"/>
    <w:rsid w:val="00F320F5"/>
    <w:rsid w:val="00F322D0"/>
    <w:rsid w:val="00F3292F"/>
    <w:rsid w:val="00F3317B"/>
    <w:rsid w:val="00F332A0"/>
    <w:rsid w:val="00F33572"/>
    <w:rsid w:val="00F338D7"/>
    <w:rsid w:val="00F33C3D"/>
    <w:rsid w:val="00F35A77"/>
    <w:rsid w:val="00F3688B"/>
    <w:rsid w:val="00F36C01"/>
    <w:rsid w:val="00F36E2F"/>
    <w:rsid w:val="00F36F99"/>
    <w:rsid w:val="00F371EA"/>
    <w:rsid w:val="00F373C3"/>
    <w:rsid w:val="00F40071"/>
    <w:rsid w:val="00F40A5F"/>
    <w:rsid w:val="00F40B35"/>
    <w:rsid w:val="00F40EA1"/>
    <w:rsid w:val="00F4103D"/>
    <w:rsid w:val="00F4117E"/>
    <w:rsid w:val="00F412D8"/>
    <w:rsid w:val="00F41668"/>
    <w:rsid w:val="00F41977"/>
    <w:rsid w:val="00F41A2F"/>
    <w:rsid w:val="00F41EC6"/>
    <w:rsid w:val="00F422AB"/>
    <w:rsid w:val="00F42360"/>
    <w:rsid w:val="00F4281C"/>
    <w:rsid w:val="00F4299B"/>
    <w:rsid w:val="00F4314D"/>
    <w:rsid w:val="00F4366A"/>
    <w:rsid w:val="00F43E85"/>
    <w:rsid w:val="00F442CE"/>
    <w:rsid w:val="00F444AA"/>
    <w:rsid w:val="00F44765"/>
    <w:rsid w:val="00F4507E"/>
    <w:rsid w:val="00F4568D"/>
    <w:rsid w:val="00F458FC"/>
    <w:rsid w:val="00F459E8"/>
    <w:rsid w:val="00F45B53"/>
    <w:rsid w:val="00F468B2"/>
    <w:rsid w:val="00F4691C"/>
    <w:rsid w:val="00F46ED3"/>
    <w:rsid w:val="00F471E1"/>
    <w:rsid w:val="00F4777F"/>
    <w:rsid w:val="00F47CBE"/>
    <w:rsid w:val="00F47D05"/>
    <w:rsid w:val="00F50372"/>
    <w:rsid w:val="00F505CD"/>
    <w:rsid w:val="00F507CF"/>
    <w:rsid w:val="00F509F9"/>
    <w:rsid w:val="00F50D16"/>
    <w:rsid w:val="00F50D9B"/>
    <w:rsid w:val="00F514A4"/>
    <w:rsid w:val="00F515EB"/>
    <w:rsid w:val="00F51A31"/>
    <w:rsid w:val="00F51EA5"/>
    <w:rsid w:val="00F52437"/>
    <w:rsid w:val="00F5283C"/>
    <w:rsid w:val="00F52D89"/>
    <w:rsid w:val="00F52EB0"/>
    <w:rsid w:val="00F535CD"/>
    <w:rsid w:val="00F5369F"/>
    <w:rsid w:val="00F53A0D"/>
    <w:rsid w:val="00F53CEE"/>
    <w:rsid w:val="00F53F98"/>
    <w:rsid w:val="00F54F61"/>
    <w:rsid w:val="00F55886"/>
    <w:rsid w:val="00F559BC"/>
    <w:rsid w:val="00F55ED6"/>
    <w:rsid w:val="00F55F45"/>
    <w:rsid w:val="00F55F5D"/>
    <w:rsid w:val="00F565C2"/>
    <w:rsid w:val="00F57068"/>
    <w:rsid w:val="00F5723C"/>
    <w:rsid w:val="00F5764F"/>
    <w:rsid w:val="00F579C2"/>
    <w:rsid w:val="00F602AF"/>
    <w:rsid w:val="00F607CE"/>
    <w:rsid w:val="00F61149"/>
    <w:rsid w:val="00F617BE"/>
    <w:rsid w:val="00F61805"/>
    <w:rsid w:val="00F61954"/>
    <w:rsid w:val="00F61DAF"/>
    <w:rsid w:val="00F61E2C"/>
    <w:rsid w:val="00F626ED"/>
    <w:rsid w:val="00F62969"/>
    <w:rsid w:val="00F62B06"/>
    <w:rsid w:val="00F62EA3"/>
    <w:rsid w:val="00F63528"/>
    <w:rsid w:val="00F63529"/>
    <w:rsid w:val="00F64175"/>
    <w:rsid w:val="00F644E6"/>
    <w:rsid w:val="00F64A51"/>
    <w:rsid w:val="00F652D2"/>
    <w:rsid w:val="00F653E2"/>
    <w:rsid w:val="00F65804"/>
    <w:rsid w:val="00F65AF7"/>
    <w:rsid w:val="00F65B05"/>
    <w:rsid w:val="00F66626"/>
    <w:rsid w:val="00F66B79"/>
    <w:rsid w:val="00F677D3"/>
    <w:rsid w:val="00F67853"/>
    <w:rsid w:val="00F67EFA"/>
    <w:rsid w:val="00F702CD"/>
    <w:rsid w:val="00F704DC"/>
    <w:rsid w:val="00F70540"/>
    <w:rsid w:val="00F70669"/>
    <w:rsid w:val="00F70732"/>
    <w:rsid w:val="00F70A8E"/>
    <w:rsid w:val="00F70AB8"/>
    <w:rsid w:val="00F715C2"/>
    <w:rsid w:val="00F715D4"/>
    <w:rsid w:val="00F71C7D"/>
    <w:rsid w:val="00F71D80"/>
    <w:rsid w:val="00F72165"/>
    <w:rsid w:val="00F72680"/>
    <w:rsid w:val="00F72A6D"/>
    <w:rsid w:val="00F72C68"/>
    <w:rsid w:val="00F72CC4"/>
    <w:rsid w:val="00F731AD"/>
    <w:rsid w:val="00F73E36"/>
    <w:rsid w:val="00F745D8"/>
    <w:rsid w:val="00F74DFE"/>
    <w:rsid w:val="00F763F1"/>
    <w:rsid w:val="00F76695"/>
    <w:rsid w:val="00F76735"/>
    <w:rsid w:val="00F7759D"/>
    <w:rsid w:val="00F778BC"/>
    <w:rsid w:val="00F779B1"/>
    <w:rsid w:val="00F77B2E"/>
    <w:rsid w:val="00F80424"/>
    <w:rsid w:val="00F80D20"/>
    <w:rsid w:val="00F80E3C"/>
    <w:rsid w:val="00F80F85"/>
    <w:rsid w:val="00F81C47"/>
    <w:rsid w:val="00F823F1"/>
    <w:rsid w:val="00F82537"/>
    <w:rsid w:val="00F8254E"/>
    <w:rsid w:val="00F82BBA"/>
    <w:rsid w:val="00F82DA6"/>
    <w:rsid w:val="00F83074"/>
    <w:rsid w:val="00F833A6"/>
    <w:rsid w:val="00F83C29"/>
    <w:rsid w:val="00F83DCE"/>
    <w:rsid w:val="00F846A3"/>
    <w:rsid w:val="00F84880"/>
    <w:rsid w:val="00F85062"/>
    <w:rsid w:val="00F85732"/>
    <w:rsid w:val="00F85AF4"/>
    <w:rsid w:val="00F8642E"/>
    <w:rsid w:val="00F86F91"/>
    <w:rsid w:val="00F870D5"/>
    <w:rsid w:val="00F87483"/>
    <w:rsid w:val="00F8791A"/>
    <w:rsid w:val="00F8797B"/>
    <w:rsid w:val="00F879AF"/>
    <w:rsid w:val="00F87BB3"/>
    <w:rsid w:val="00F87DBE"/>
    <w:rsid w:val="00F900E5"/>
    <w:rsid w:val="00F901E6"/>
    <w:rsid w:val="00F91683"/>
    <w:rsid w:val="00F916C2"/>
    <w:rsid w:val="00F91F7C"/>
    <w:rsid w:val="00F925EE"/>
    <w:rsid w:val="00F92E1A"/>
    <w:rsid w:val="00F93146"/>
    <w:rsid w:val="00F9488A"/>
    <w:rsid w:val="00F95294"/>
    <w:rsid w:val="00F95373"/>
    <w:rsid w:val="00F95FC0"/>
    <w:rsid w:val="00F96798"/>
    <w:rsid w:val="00F969C0"/>
    <w:rsid w:val="00F972F4"/>
    <w:rsid w:val="00F973DF"/>
    <w:rsid w:val="00F973E7"/>
    <w:rsid w:val="00F97469"/>
    <w:rsid w:val="00F97CEF"/>
    <w:rsid w:val="00F97D8F"/>
    <w:rsid w:val="00FA04EA"/>
    <w:rsid w:val="00FA053F"/>
    <w:rsid w:val="00FA088B"/>
    <w:rsid w:val="00FA09E6"/>
    <w:rsid w:val="00FA0AEC"/>
    <w:rsid w:val="00FA186C"/>
    <w:rsid w:val="00FA1F2A"/>
    <w:rsid w:val="00FA233C"/>
    <w:rsid w:val="00FA2464"/>
    <w:rsid w:val="00FA2F5A"/>
    <w:rsid w:val="00FA34C7"/>
    <w:rsid w:val="00FA3524"/>
    <w:rsid w:val="00FA352D"/>
    <w:rsid w:val="00FA359E"/>
    <w:rsid w:val="00FA39AD"/>
    <w:rsid w:val="00FA411A"/>
    <w:rsid w:val="00FA461C"/>
    <w:rsid w:val="00FA499D"/>
    <w:rsid w:val="00FA4F22"/>
    <w:rsid w:val="00FA505C"/>
    <w:rsid w:val="00FA5177"/>
    <w:rsid w:val="00FA6755"/>
    <w:rsid w:val="00FA6F26"/>
    <w:rsid w:val="00FA762F"/>
    <w:rsid w:val="00FA77A2"/>
    <w:rsid w:val="00FA7D17"/>
    <w:rsid w:val="00FA7DDF"/>
    <w:rsid w:val="00FB02C8"/>
    <w:rsid w:val="00FB082B"/>
    <w:rsid w:val="00FB17D9"/>
    <w:rsid w:val="00FB26A6"/>
    <w:rsid w:val="00FB28F8"/>
    <w:rsid w:val="00FB2C80"/>
    <w:rsid w:val="00FB2FD7"/>
    <w:rsid w:val="00FB315B"/>
    <w:rsid w:val="00FB3173"/>
    <w:rsid w:val="00FB3723"/>
    <w:rsid w:val="00FB4758"/>
    <w:rsid w:val="00FB477A"/>
    <w:rsid w:val="00FB48BB"/>
    <w:rsid w:val="00FB49C9"/>
    <w:rsid w:val="00FB5452"/>
    <w:rsid w:val="00FB56BE"/>
    <w:rsid w:val="00FB5792"/>
    <w:rsid w:val="00FB5872"/>
    <w:rsid w:val="00FB60D3"/>
    <w:rsid w:val="00FB67B4"/>
    <w:rsid w:val="00FB6ADC"/>
    <w:rsid w:val="00FB716D"/>
    <w:rsid w:val="00FB736A"/>
    <w:rsid w:val="00FB75A2"/>
    <w:rsid w:val="00FB7EF1"/>
    <w:rsid w:val="00FB7F3A"/>
    <w:rsid w:val="00FC00B5"/>
    <w:rsid w:val="00FC03C4"/>
    <w:rsid w:val="00FC0566"/>
    <w:rsid w:val="00FC07A1"/>
    <w:rsid w:val="00FC205E"/>
    <w:rsid w:val="00FC219D"/>
    <w:rsid w:val="00FC24C7"/>
    <w:rsid w:val="00FC26B2"/>
    <w:rsid w:val="00FC27F9"/>
    <w:rsid w:val="00FC2CCB"/>
    <w:rsid w:val="00FC2DFB"/>
    <w:rsid w:val="00FC3834"/>
    <w:rsid w:val="00FC38E7"/>
    <w:rsid w:val="00FC3961"/>
    <w:rsid w:val="00FC4522"/>
    <w:rsid w:val="00FC492A"/>
    <w:rsid w:val="00FC4980"/>
    <w:rsid w:val="00FC4F40"/>
    <w:rsid w:val="00FC567A"/>
    <w:rsid w:val="00FC580E"/>
    <w:rsid w:val="00FC5C5A"/>
    <w:rsid w:val="00FC5EDA"/>
    <w:rsid w:val="00FC66D5"/>
    <w:rsid w:val="00FC7119"/>
    <w:rsid w:val="00FC7122"/>
    <w:rsid w:val="00FC7221"/>
    <w:rsid w:val="00FC724B"/>
    <w:rsid w:val="00FC725C"/>
    <w:rsid w:val="00FC729F"/>
    <w:rsid w:val="00FD08B8"/>
    <w:rsid w:val="00FD099F"/>
    <w:rsid w:val="00FD0A68"/>
    <w:rsid w:val="00FD1DAE"/>
    <w:rsid w:val="00FD273E"/>
    <w:rsid w:val="00FD2895"/>
    <w:rsid w:val="00FD2B58"/>
    <w:rsid w:val="00FD30BD"/>
    <w:rsid w:val="00FD3327"/>
    <w:rsid w:val="00FD368D"/>
    <w:rsid w:val="00FD37AE"/>
    <w:rsid w:val="00FD3B1F"/>
    <w:rsid w:val="00FD3B59"/>
    <w:rsid w:val="00FD3D09"/>
    <w:rsid w:val="00FD40D4"/>
    <w:rsid w:val="00FD418B"/>
    <w:rsid w:val="00FD4847"/>
    <w:rsid w:val="00FD4A1C"/>
    <w:rsid w:val="00FD5148"/>
    <w:rsid w:val="00FD53C4"/>
    <w:rsid w:val="00FD57AC"/>
    <w:rsid w:val="00FD5E32"/>
    <w:rsid w:val="00FD5F77"/>
    <w:rsid w:val="00FD600B"/>
    <w:rsid w:val="00FD68A4"/>
    <w:rsid w:val="00FD6CD2"/>
    <w:rsid w:val="00FD70B1"/>
    <w:rsid w:val="00FD730A"/>
    <w:rsid w:val="00FD7884"/>
    <w:rsid w:val="00FD7898"/>
    <w:rsid w:val="00FD7B43"/>
    <w:rsid w:val="00FE00E5"/>
    <w:rsid w:val="00FE0A90"/>
    <w:rsid w:val="00FE168E"/>
    <w:rsid w:val="00FE1B8E"/>
    <w:rsid w:val="00FE1D88"/>
    <w:rsid w:val="00FE1ED5"/>
    <w:rsid w:val="00FE295D"/>
    <w:rsid w:val="00FE3188"/>
    <w:rsid w:val="00FE3844"/>
    <w:rsid w:val="00FE3FE2"/>
    <w:rsid w:val="00FE40BE"/>
    <w:rsid w:val="00FE44C0"/>
    <w:rsid w:val="00FE46A8"/>
    <w:rsid w:val="00FE4816"/>
    <w:rsid w:val="00FE4F17"/>
    <w:rsid w:val="00FE50AA"/>
    <w:rsid w:val="00FE5219"/>
    <w:rsid w:val="00FE5254"/>
    <w:rsid w:val="00FE568D"/>
    <w:rsid w:val="00FE571D"/>
    <w:rsid w:val="00FE594E"/>
    <w:rsid w:val="00FE5A39"/>
    <w:rsid w:val="00FE5D7B"/>
    <w:rsid w:val="00FE655F"/>
    <w:rsid w:val="00FE6CD0"/>
    <w:rsid w:val="00FF054F"/>
    <w:rsid w:val="00FF1205"/>
    <w:rsid w:val="00FF219F"/>
    <w:rsid w:val="00FF21FE"/>
    <w:rsid w:val="00FF2423"/>
    <w:rsid w:val="00FF2EAA"/>
    <w:rsid w:val="00FF2FC6"/>
    <w:rsid w:val="00FF355A"/>
    <w:rsid w:val="00FF384D"/>
    <w:rsid w:val="00FF3DEB"/>
    <w:rsid w:val="00FF3FC8"/>
    <w:rsid w:val="00FF4082"/>
    <w:rsid w:val="00FF41CA"/>
    <w:rsid w:val="00FF421A"/>
    <w:rsid w:val="00FF43EC"/>
    <w:rsid w:val="00FF4417"/>
    <w:rsid w:val="00FF449B"/>
    <w:rsid w:val="00FF4B61"/>
    <w:rsid w:val="00FF4DA4"/>
    <w:rsid w:val="00FF581C"/>
    <w:rsid w:val="00FF5AB7"/>
    <w:rsid w:val="00FF611C"/>
    <w:rsid w:val="00FF6252"/>
    <w:rsid w:val="00FF68D3"/>
    <w:rsid w:val="00FF6945"/>
    <w:rsid w:val="00FF6A46"/>
    <w:rsid w:val="00FF6AF8"/>
    <w:rsid w:val="00FF70F6"/>
    <w:rsid w:val="00FF723B"/>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A47F"/>
  <w14:defaultImageDpi w14:val="32767"/>
  <w15:docId w15:val="{8273CC5D-9717-4128-8BC5-ACF2DB42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86"/>
    <w:pPr>
      <w:spacing w:after="160" w:line="259" w:lineRule="auto"/>
    </w:pPr>
    <w:rPr>
      <w:rFonts w:ascii="Arial" w:eastAsia="Calibri" w:hAnsi="Arial" w:cs="Open Sans"/>
      <w:sz w:val="20"/>
      <w:szCs w:val="22"/>
      <w:lang w:val="en-AU"/>
    </w:rPr>
  </w:style>
  <w:style w:type="paragraph" w:styleId="Heading1">
    <w:name w:val="heading 1"/>
    <w:basedOn w:val="TPWH1"/>
    <w:next w:val="Normal"/>
    <w:link w:val="Heading1Char"/>
    <w:uiPriority w:val="9"/>
    <w:qFormat/>
    <w:rsid w:val="00284E99"/>
    <w:pPr>
      <w:outlineLvl w:val="0"/>
    </w:pPr>
    <w:rPr>
      <w:rFonts w:ascii="Arial" w:hAnsi="Arial"/>
      <w:b/>
      <w:color w:val="3C1053"/>
      <w:sz w:val="48"/>
      <w:szCs w:val="28"/>
    </w:rPr>
  </w:style>
  <w:style w:type="paragraph" w:styleId="Heading2">
    <w:name w:val="heading 2"/>
    <w:basedOn w:val="Normal"/>
    <w:next w:val="Normal"/>
    <w:link w:val="Heading2Char"/>
    <w:uiPriority w:val="9"/>
    <w:unhideWhenUsed/>
    <w:qFormat/>
    <w:rsid w:val="0011230D"/>
    <w:pPr>
      <w:keepNext/>
      <w:spacing w:before="320" w:after="240"/>
      <w:outlineLvl w:val="1"/>
    </w:pPr>
    <w:rPr>
      <w:rFonts w:ascii="Georgia" w:hAnsi="Georgia" w:cs="Arial"/>
      <w:color w:val="3C1053"/>
      <w:sz w:val="32"/>
      <w:szCs w:val="24"/>
    </w:rPr>
  </w:style>
  <w:style w:type="paragraph" w:styleId="Heading3">
    <w:name w:val="heading 3"/>
    <w:basedOn w:val="Normal"/>
    <w:next w:val="Normal"/>
    <w:link w:val="Heading3Char"/>
    <w:uiPriority w:val="9"/>
    <w:unhideWhenUsed/>
    <w:qFormat/>
    <w:rsid w:val="0011230D"/>
    <w:pPr>
      <w:keepNext/>
      <w:spacing w:before="240" w:after="180"/>
      <w:outlineLvl w:val="2"/>
    </w:pPr>
    <w:rPr>
      <w:rFonts w:cs="Arial"/>
      <w:b/>
      <w:bCs/>
      <w:caps/>
      <w:color w:val="3A3634"/>
      <w:sz w:val="22"/>
      <w:szCs w:val="20"/>
      <w:lang w:val="en-US"/>
    </w:rPr>
  </w:style>
  <w:style w:type="paragraph" w:styleId="Heading4">
    <w:name w:val="heading 4"/>
    <w:basedOn w:val="Normal"/>
    <w:next w:val="Normal"/>
    <w:link w:val="Heading4Char"/>
    <w:uiPriority w:val="9"/>
    <w:unhideWhenUsed/>
    <w:qFormat/>
    <w:rsid w:val="00547DF5"/>
    <w:pPr>
      <w:keepNext/>
      <w:spacing w:before="240"/>
      <w:outlineLvl w:val="3"/>
    </w:pPr>
    <w:rPr>
      <w:b/>
      <w:bCs/>
      <w:i/>
      <w:color w:val="361461"/>
      <w:lang w:val="en-US"/>
    </w:rPr>
  </w:style>
  <w:style w:type="paragraph" w:styleId="Heading5">
    <w:name w:val="heading 5"/>
    <w:basedOn w:val="TPWH5"/>
    <w:next w:val="Normal"/>
    <w:link w:val="Heading5Char"/>
    <w:uiPriority w:val="9"/>
    <w:unhideWhenUsed/>
    <w:qFormat/>
    <w:rsid w:val="007D5A0B"/>
    <w:pPr>
      <w:outlineLvl w:val="4"/>
    </w:pPr>
    <w:rPr>
      <w:color w:val="361461"/>
    </w:rPr>
  </w:style>
  <w:style w:type="paragraph" w:styleId="Heading6">
    <w:name w:val="heading 6"/>
    <w:next w:val="Normal"/>
    <w:link w:val="Heading6Char"/>
    <w:uiPriority w:val="9"/>
    <w:unhideWhenUsed/>
    <w:qFormat/>
    <w:rsid w:val="007D5A0B"/>
    <w:pPr>
      <w:outlineLvl w:val="5"/>
    </w:pPr>
    <w:rPr>
      <w:rFonts w:ascii="Arial" w:eastAsia="Calibri" w:hAnsi="Arial" w:cs="Open Sans"/>
      <w:i/>
      <w:noProof/>
      <w:sz w:val="20"/>
      <w:szCs w:val="22"/>
      <w:lang w:val="en-AU"/>
    </w:rPr>
  </w:style>
  <w:style w:type="paragraph" w:styleId="Heading7">
    <w:name w:val="heading 7"/>
    <w:basedOn w:val="Normal"/>
    <w:next w:val="Normal"/>
    <w:link w:val="Heading7Char"/>
    <w:uiPriority w:val="9"/>
    <w:unhideWhenUsed/>
    <w:qFormat/>
    <w:rsid w:val="007D5A0B"/>
    <w:pPr>
      <w:outlineLvl w:val="6"/>
    </w:pPr>
  </w:style>
  <w:style w:type="paragraph" w:styleId="Heading8">
    <w:name w:val="heading 8"/>
    <w:basedOn w:val="Normal"/>
    <w:next w:val="Normal"/>
    <w:link w:val="Heading8Char"/>
    <w:uiPriority w:val="9"/>
    <w:unhideWhenUsed/>
    <w:qFormat/>
    <w:rsid w:val="009B37E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rsid w:val="00095408"/>
    <w:pPr>
      <w:ind w:left="720"/>
      <w:contextualSpacing/>
    </w:pPr>
  </w:style>
  <w:style w:type="paragraph" w:styleId="Header">
    <w:name w:val="header"/>
    <w:basedOn w:val="Normal"/>
    <w:link w:val="HeaderChar"/>
    <w:uiPriority w:val="99"/>
    <w:unhideWhenUsed/>
    <w:rsid w:val="00D61C39"/>
    <w:pPr>
      <w:tabs>
        <w:tab w:val="center" w:pos="4680"/>
        <w:tab w:val="right" w:pos="9360"/>
      </w:tabs>
    </w:pPr>
  </w:style>
  <w:style w:type="character" w:customStyle="1" w:styleId="HeaderChar">
    <w:name w:val="Header Char"/>
    <w:basedOn w:val="DefaultParagraphFont"/>
    <w:link w:val="Header"/>
    <w:uiPriority w:val="99"/>
    <w:rsid w:val="00D61C39"/>
    <w:rPr>
      <w:lang w:val="en-AU"/>
    </w:rPr>
  </w:style>
  <w:style w:type="paragraph" w:styleId="Footer">
    <w:name w:val="footer"/>
    <w:basedOn w:val="Normal"/>
    <w:link w:val="FooterChar"/>
    <w:uiPriority w:val="99"/>
    <w:unhideWhenUsed/>
    <w:rsid w:val="00D61C39"/>
    <w:pPr>
      <w:tabs>
        <w:tab w:val="center" w:pos="4680"/>
        <w:tab w:val="right" w:pos="9360"/>
      </w:tabs>
    </w:pPr>
  </w:style>
  <w:style w:type="character" w:customStyle="1" w:styleId="FooterChar">
    <w:name w:val="Footer Char"/>
    <w:basedOn w:val="DefaultParagraphFont"/>
    <w:link w:val="Footer"/>
    <w:uiPriority w:val="99"/>
    <w:rsid w:val="00D61C39"/>
    <w:rPr>
      <w:lang w:val="en-AU"/>
    </w:rPr>
  </w:style>
  <w:style w:type="paragraph" w:styleId="BalloonText">
    <w:name w:val="Balloon Text"/>
    <w:basedOn w:val="Normal"/>
    <w:link w:val="BalloonTextChar"/>
    <w:uiPriority w:val="99"/>
    <w:semiHidden/>
    <w:unhideWhenUsed/>
    <w:rsid w:val="00A62654"/>
    <w:rPr>
      <w:rFonts w:ascii="Tahoma" w:hAnsi="Tahoma" w:cs="Tahoma"/>
      <w:sz w:val="16"/>
      <w:szCs w:val="16"/>
    </w:rPr>
  </w:style>
  <w:style w:type="character" w:customStyle="1" w:styleId="BalloonTextChar">
    <w:name w:val="Balloon Text Char"/>
    <w:basedOn w:val="DefaultParagraphFont"/>
    <w:link w:val="BalloonText"/>
    <w:uiPriority w:val="99"/>
    <w:semiHidden/>
    <w:rsid w:val="00A62654"/>
    <w:rPr>
      <w:rFonts w:ascii="Tahoma" w:hAnsi="Tahoma" w:cs="Tahoma"/>
      <w:sz w:val="16"/>
      <w:szCs w:val="16"/>
      <w:lang w:val="en-AU"/>
    </w:rPr>
  </w:style>
  <w:style w:type="paragraph" w:styleId="FootnoteText">
    <w:name w:val="footnote text"/>
    <w:basedOn w:val="Normal"/>
    <w:link w:val="FootnoteTextChar"/>
    <w:uiPriority w:val="99"/>
    <w:unhideWhenUsed/>
    <w:rsid w:val="00141A76"/>
    <w:rPr>
      <w:szCs w:val="20"/>
    </w:rPr>
  </w:style>
  <w:style w:type="character" w:customStyle="1" w:styleId="FootnoteTextChar">
    <w:name w:val="Footnote Text Char"/>
    <w:basedOn w:val="DefaultParagraphFont"/>
    <w:link w:val="FootnoteText"/>
    <w:uiPriority w:val="99"/>
    <w:rsid w:val="00141A76"/>
    <w:rPr>
      <w:sz w:val="20"/>
      <w:szCs w:val="20"/>
      <w:lang w:val="en-AU"/>
    </w:rPr>
  </w:style>
  <w:style w:type="character" w:styleId="FootnoteReference">
    <w:name w:val="footnote reference"/>
    <w:basedOn w:val="DefaultParagraphFont"/>
    <w:uiPriority w:val="99"/>
    <w:semiHidden/>
    <w:unhideWhenUsed/>
    <w:rsid w:val="00141A76"/>
    <w:rPr>
      <w:vertAlign w:val="superscript"/>
    </w:rPr>
  </w:style>
  <w:style w:type="character" w:styleId="Hyperlink">
    <w:name w:val="Hyperlink"/>
    <w:basedOn w:val="DefaultParagraphFont"/>
    <w:uiPriority w:val="99"/>
    <w:unhideWhenUsed/>
    <w:rsid w:val="006A6793"/>
    <w:rPr>
      <w:color w:val="0563C1" w:themeColor="hyperlink"/>
      <w:u w:val="single"/>
    </w:rPr>
  </w:style>
  <w:style w:type="paragraph" w:styleId="NormalWeb">
    <w:name w:val="Normal (Web)"/>
    <w:basedOn w:val="Normal"/>
    <w:uiPriority w:val="99"/>
    <w:semiHidden/>
    <w:unhideWhenUsed/>
    <w:rsid w:val="00D152F6"/>
    <w:rPr>
      <w:rFonts w:ascii="Times New Roman" w:hAnsi="Times New Roman" w:cs="Times New Roman"/>
    </w:rPr>
  </w:style>
  <w:style w:type="paragraph" w:customStyle="1" w:styleId="TPWNormalText">
    <w:name w:val="TPW Normal Text"/>
    <w:basedOn w:val="Normal"/>
    <w:link w:val="TPWNormalTextChar"/>
    <w:rsid w:val="00723ACF"/>
  </w:style>
  <w:style w:type="character" w:customStyle="1" w:styleId="TPWNormalTextChar">
    <w:name w:val="TPW Normal Text Char"/>
    <w:basedOn w:val="DefaultParagraphFont"/>
    <w:link w:val="TPWNormalText"/>
    <w:rsid w:val="00723ACF"/>
    <w:rPr>
      <w:rFonts w:ascii="Open Sans" w:hAnsi="Open Sans" w:cs="Open Sans"/>
      <w:sz w:val="20"/>
      <w:szCs w:val="22"/>
      <w:lang w:val="en-AU"/>
    </w:rPr>
  </w:style>
  <w:style w:type="paragraph" w:customStyle="1" w:styleId="TPWH1">
    <w:name w:val="TPW H1"/>
    <w:basedOn w:val="Normal"/>
    <w:next w:val="TPWNormalText"/>
    <w:autoRedefine/>
    <w:rsid w:val="00ED43C5"/>
    <w:pPr>
      <w:keepNext/>
      <w:spacing w:before="120" w:after="280"/>
    </w:pPr>
    <w:rPr>
      <w:rFonts w:ascii="Open Sans SemiBold" w:hAnsi="Open Sans SemiBold"/>
      <w:color w:val="123240" w:themeColor="accent1" w:themeShade="80"/>
      <w:sz w:val="40"/>
    </w:rPr>
  </w:style>
  <w:style w:type="paragraph" w:customStyle="1" w:styleId="TPWH2">
    <w:name w:val="TPW H2"/>
    <w:basedOn w:val="Normal"/>
    <w:link w:val="TPWH2Char"/>
    <w:autoRedefine/>
    <w:rsid w:val="00B06D53"/>
    <w:pPr>
      <w:keepNext/>
      <w:spacing w:before="480"/>
    </w:pPr>
    <w:rPr>
      <w:rFonts w:ascii="Open Sans SemiBold" w:hAnsi="Open Sans SemiBold"/>
      <w:color w:val="256580" w:themeColor="accent1"/>
      <w:sz w:val="28"/>
    </w:rPr>
  </w:style>
  <w:style w:type="paragraph" w:customStyle="1" w:styleId="References">
    <w:name w:val="References"/>
    <w:basedOn w:val="TPWNormalText"/>
    <w:next w:val="TPWNormalText"/>
    <w:qFormat/>
    <w:rsid w:val="00CD47A0"/>
    <w:pPr>
      <w:spacing w:after="60"/>
      <w:ind w:left="284" w:hanging="284"/>
    </w:pPr>
  </w:style>
  <w:style w:type="paragraph" w:customStyle="1" w:styleId="TPWH3">
    <w:name w:val="TPW H3"/>
    <w:basedOn w:val="TPWH2"/>
    <w:link w:val="TPWH3Char"/>
    <w:autoRedefine/>
    <w:rsid w:val="006671AB"/>
    <w:rPr>
      <w:sz w:val="24"/>
    </w:rPr>
  </w:style>
  <w:style w:type="paragraph" w:customStyle="1" w:styleId="TPWH5">
    <w:name w:val="TPW H5"/>
    <w:basedOn w:val="TPWNormalText"/>
    <w:rsid w:val="00F677D3"/>
    <w:pPr>
      <w:keepNext/>
      <w:spacing w:before="240"/>
    </w:pPr>
    <w:rPr>
      <w:i/>
      <w:color w:val="26647F"/>
    </w:rPr>
  </w:style>
  <w:style w:type="paragraph" w:customStyle="1" w:styleId="TPWH4">
    <w:name w:val="TPW H4"/>
    <w:basedOn w:val="TPWH3"/>
    <w:link w:val="TPWH4Char"/>
    <w:rsid w:val="00905769"/>
    <w:rPr>
      <w:i/>
      <w:sz w:val="22"/>
    </w:rPr>
  </w:style>
  <w:style w:type="character" w:customStyle="1" w:styleId="TPWH2Char">
    <w:name w:val="TPW H2 Char"/>
    <w:basedOn w:val="DefaultParagraphFont"/>
    <w:link w:val="TPWH2"/>
    <w:rsid w:val="00B06D53"/>
    <w:rPr>
      <w:rFonts w:ascii="Open Sans SemiBold" w:hAnsi="Open Sans SemiBold" w:cs="Open Sans"/>
      <w:color w:val="256580" w:themeColor="accent1"/>
      <w:sz w:val="28"/>
      <w:szCs w:val="22"/>
      <w:lang w:val="en-AU"/>
    </w:rPr>
  </w:style>
  <w:style w:type="character" w:customStyle="1" w:styleId="TPWH3Char">
    <w:name w:val="TPW H3 Char"/>
    <w:basedOn w:val="TPWH2Char"/>
    <w:link w:val="TPWH3"/>
    <w:rsid w:val="006671AB"/>
    <w:rPr>
      <w:rFonts w:ascii="Open Sans SemiBold" w:hAnsi="Open Sans SemiBold" w:cs="Open Sans"/>
      <w:color w:val="256580" w:themeColor="accent1"/>
      <w:sz w:val="28"/>
      <w:szCs w:val="22"/>
      <w:lang w:val="en-AU"/>
    </w:rPr>
  </w:style>
  <w:style w:type="character" w:customStyle="1" w:styleId="TPWH4Char">
    <w:name w:val="TPW H4 Char"/>
    <w:basedOn w:val="TPWH3Char"/>
    <w:link w:val="TPWH4"/>
    <w:rsid w:val="00905769"/>
    <w:rPr>
      <w:rFonts w:ascii="Open Sans SemiBold" w:hAnsi="Open Sans SemiBold" w:cs="Open Sans"/>
      <w:i/>
      <w:color w:val="26647F"/>
      <w:sz w:val="22"/>
      <w:szCs w:val="22"/>
      <w:lang w:val="en-AU"/>
    </w:rPr>
  </w:style>
  <w:style w:type="paragraph" w:customStyle="1" w:styleId="NormalTextNumbered">
    <w:name w:val="Normal Text Numbered"/>
    <w:basedOn w:val="TPWNormalText"/>
    <w:link w:val="NormalTextNumberedChar"/>
    <w:qFormat/>
    <w:rsid w:val="005666B1"/>
    <w:pPr>
      <w:numPr>
        <w:numId w:val="3"/>
      </w:numPr>
      <w:contextualSpacing/>
    </w:pPr>
  </w:style>
  <w:style w:type="paragraph" w:customStyle="1" w:styleId="NormalTextBulleted">
    <w:name w:val="Normal Text Bulleted"/>
    <w:basedOn w:val="TPWNormalText"/>
    <w:link w:val="NormalTextBulletedChar"/>
    <w:qFormat/>
    <w:rsid w:val="00D91F1A"/>
    <w:pPr>
      <w:numPr>
        <w:numId w:val="1"/>
      </w:numPr>
      <w:contextualSpacing/>
    </w:pPr>
    <w:rPr>
      <w:rFonts w:eastAsia="Times New Roman"/>
    </w:rPr>
  </w:style>
  <w:style w:type="character" w:customStyle="1" w:styleId="NormalTextNumberedChar">
    <w:name w:val="Normal Text Numbered Char"/>
    <w:basedOn w:val="TPWNormalTextChar"/>
    <w:link w:val="NormalTextNumbered"/>
    <w:rsid w:val="00EA6A2E"/>
    <w:rPr>
      <w:rFonts w:ascii="Arial" w:eastAsia="Calibri" w:hAnsi="Arial" w:cs="Open Sans"/>
      <w:sz w:val="20"/>
      <w:szCs w:val="22"/>
      <w:lang w:val="en-AU"/>
    </w:rPr>
  </w:style>
  <w:style w:type="character" w:styleId="CommentReference">
    <w:name w:val="annotation reference"/>
    <w:basedOn w:val="DefaultParagraphFont"/>
    <w:uiPriority w:val="99"/>
    <w:semiHidden/>
    <w:unhideWhenUsed/>
    <w:rsid w:val="004012E5"/>
    <w:rPr>
      <w:sz w:val="16"/>
      <w:szCs w:val="16"/>
    </w:rPr>
  </w:style>
  <w:style w:type="character" w:customStyle="1" w:styleId="NormalTextBulletedChar">
    <w:name w:val="Normal Text Bulleted Char"/>
    <w:basedOn w:val="TPWNormalTextChar"/>
    <w:link w:val="NormalTextBulleted"/>
    <w:rsid w:val="00D91F1A"/>
    <w:rPr>
      <w:rFonts w:ascii="Arial" w:eastAsia="Times New Roman" w:hAnsi="Arial" w:cs="Open Sans"/>
      <w:sz w:val="20"/>
      <w:szCs w:val="22"/>
      <w:lang w:val="en-AU"/>
    </w:rPr>
  </w:style>
  <w:style w:type="paragraph" w:styleId="CommentText">
    <w:name w:val="annotation text"/>
    <w:basedOn w:val="Normal"/>
    <w:link w:val="CommentTextChar"/>
    <w:uiPriority w:val="99"/>
    <w:unhideWhenUsed/>
    <w:rsid w:val="000B2AF8"/>
    <w:rPr>
      <w:rFonts w:eastAsiaTheme="minorEastAsia"/>
      <w:szCs w:val="20"/>
      <w:lang w:val="en-GB"/>
    </w:rPr>
  </w:style>
  <w:style w:type="character" w:customStyle="1" w:styleId="CommentTextChar">
    <w:name w:val="Comment Text Char"/>
    <w:basedOn w:val="DefaultParagraphFont"/>
    <w:link w:val="CommentText"/>
    <w:uiPriority w:val="99"/>
    <w:rsid w:val="000B2AF8"/>
    <w:rPr>
      <w:rFonts w:eastAsiaTheme="minorEastAsia"/>
      <w:sz w:val="20"/>
      <w:szCs w:val="20"/>
    </w:rPr>
  </w:style>
  <w:style w:type="paragraph" w:styleId="Quote">
    <w:name w:val="Quote"/>
    <w:basedOn w:val="Normal"/>
    <w:next w:val="Normal"/>
    <w:link w:val="QuoteChar"/>
    <w:autoRedefine/>
    <w:uiPriority w:val="29"/>
    <w:qFormat/>
    <w:rsid w:val="00315A3E"/>
    <w:pPr>
      <w:spacing w:before="200"/>
    </w:pPr>
    <w:rPr>
      <w:i/>
      <w:iCs/>
      <w:color w:val="404040" w:themeColor="text1" w:themeTint="BF"/>
    </w:rPr>
  </w:style>
  <w:style w:type="character" w:customStyle="1" w:styleId="QuoteChar">
    <w:name w:val="Quote Char"/>
    <w:basedOn w:val="DefaultParagraphFont"/>
    <w:link w:val="Quote"/>
    <w:uiPriority w:val="29"/>
    <w:rsid w:val="00315A3E"/>
    <w:rPr>
      <w:rFonts w:ascii="Open Sans" w:hAnsi="Open Sans" w:cs="Open Sans"/>
      <w:i/>
      <w:iCs/>
      <w:color w:val="404040" w:themeColor="text1" w:themeTint="BF"/>
      <w:sz w:val="20"/>
      <w:szCs w:val="22"/>
      <w:lang w:val="en-US"/>
    </w:rPr>
  </w:style>
  <w:style w:type="paragraph" w:styleId="IntenseQuote">
    <w:name w:val="Intense Quote"/>
    <w:basedOn w:val="Normal"/>
    <w:next w:val="Normal"/>
    <w:link w:val="IntenseQuoteChar"/>
    <w:uiPriority w:val="30"/>
    <w:rsid w:val="00D2191F"/>
    <w:pPr>
      <w:pBdr>
        <w:top w:val="single" w:sz="4" w:space="10" w:color="256580" w:themeColor="accent1"/>
        <w:bottom w:val="single" w:sz="4" w:space="10" w:color="256580" w:themeColor="accent1"/>
      </w:pBdr>
      <w:spacing w:before="360" w:after="360"/>
      <w:ind w:left="864" w:right="864"/>
      <w:jc w:val="center"/>
    </w:pPr>
    <w:rPr>
      <w:i/>
      <w:iCs/>
      <w:color w:val="256580" w:themeColor="accent1"/>
    </w:rPr>
  </w:style>
  <w:style w:type="character" w:customStyle="1" w:styleId="IntenseQuoteChar">
    <w:name w:val="Intense Quote Char"/>
    <w:basedOn w:val="DefaultParagraphFont"/>
    <w:link w:val="IntenseQuote"/>
    <w:uiPriority w:val="30"/>
    <w:rsid w:val="00D2191F"/>
    <w:rPr>
      <w:i/>
      <w:iCs/>
      <w:color w:val="256580" w:themeColor="accent1"/>
      <w:lang w:val="en-AU"/>
    </w:rPr>
  </w:style>
  <w:style w:type="paragraph" w:customStyle="1" w:styleId="TPWQuoteBoxH1">
    <w:name w:val="TPW Quote Box H1"/>
    <w:basedOn w:val="Normal"/>
    <w:link w:val="TPWQuoteBoxH1Char"/>
    <w:rsid w:val="00B819D4"/>
    <w:pPr>
      <w:spacing w:before="120" w:after="120"/>
      <w:jc w:val="center"/>
    </w:pPr>
    <w:rPr>
      <w:b/>
      <w:bCs/>
      <w:color w:val="123240" w:themeColor="accent1" w:themeShade="80"/>
      <w:sz w:val="22"/>
      <w:szCs w:val="20"/>
    </w:rPr>
  </w:style>
  <w:style w:type="paragraph" w:customStyle="1" w:styleId="TPWQuoteBoxH2">
    <w:name w:val="TPW Quote Box H2"/>
    <w:basedOn w:val="TPWNormalText"/>
    <w:link w:val="TPWQuoteBoxH2Char"/>
    <w:autoRedefine/>
    <w:rsid w:val="006671AB"/>
    <w:pPr>
      <w:spacing w:after="80"/>
      <w:jc w:val="center"/>
    </w:pPr>
    <w:rPr>
      <w:b/>
      <w:bCs/>
      <w:i/>
      <w:iCs/>
      <w:color w:val="262626" w:themeColor="text1" w:themeTint="D9"/>
    </w:rPr>
  </w:style>
  <w:style w:type="character" w:customStyle="1" w:styleId="TPWQuoteBoxH1Char">
    <w:name w:val="TPW Quote Box H1 Char"/>
    <w:basedOn w:val="DefaultParagraphFont"/>
    <w:link w:val="TPWQuoteBoxH1"/>
    <w:rsid w:val="00B819D4"/>
    <w:rPr>
      <w:rFonts w:ascii="Open Sans" w:hAnsi="Open Sans" w:cs="Open Sans"/>
      <w:b/>
      <w:bCs/>
      <w:color w:val="123240" w:themeColor="accent1" w:themeShade="80"/>
      <w:sz w:val="22"/>
      <w:szCs w:val="20"/>
      <w:lang w:val="en-US"/>
    </w:rPr>
  </w:style>
  <w:style w:type="paragraph" w:customStyle="1" w:styleId="TPWQuoteBoxH3">
    <w:name w:val="TPW Quote Box H3"/>
    <w:basedOn w:val="TPWNormalText"/>
    <w:link w:val="TPWQuoteBoxH3Char"/>
    <w:autoRedefine/>
    <w:rsid w:val="006671AB"/>
    <w:pPr>
      <w:spacing w:before="120" w:after="0"/>
      <w:jc w:val="center"/>
    </w:pPr>
    <w:rPr>
      <w:color w:val="262626" w:themeColor="text1" w:themeTint="D9"/>
    </w:rPr>
  </w:style>
  <w:style w:type="character" w:customStyle="1" w:styleId="TPWQuoteBoxH2Char">
    <w:name w:val="TPW Quote Box H2 Char"/>
    <w:basedOn w:val="TPWNormalTextChar"/>
    <w:link w:val="TPWQuoteBoxH2"/>
    <w:rsid w:val="006671AB"/>
    <w:rPr>
      <w:rFonts w:ascii="Open Sans" w:hAnsi="Open Sans" w:cs="Open Sans"/>
      <w:b/>
      <w:bCs/>
      <w:i/>
      <w:iCs/>
      <w:color w:val="262626" w:themeColor="text1" w:themeTint="D9"/>
      <w:sz w:val="20"/>
      <w:szCs w:val="22"/>
      <w:lang w:val="en-US"/>
    </w:rPr>
  </w:style>
  <w:style w:type="character" w:customStyle="1" w:styleId="TPWQuoteBoxH3Char">
    <w:name w:val="TPW Quote Box H3 Char"/>
    <w:basedOn w:val="TPWNormalTextChar"/>
    <w:link w:val="TPWQuoteBoxH3"/>
    <w:rsid w:val="006671AB"/>
    <w:rPr>
      <w:rFonts w:ascii="Open Sans" w:hAnsi="Open Sans" w:cs="Open Sans"/>
      <w:color w:val="262626" w:themeColor="text1" w:themeTint="D9"/>
      <w:sz w:val="20"/>
      <w:szCs w:val="22"/>
      <w:lang w:val="en-US"/>
    </w:rPr>
  </w:style>
  <w:style w:type="character" w:customStyle="1" w:styleId="Heading1Char">
    <w:name w:val="Heading 1 Char"/>
    <w:basedOn w:val="DefaultParagraphFont"/>
    <w:link w:val="Heading1"/>
    <w:uiPriority w:val="9"/>
    <w:rsid w:val="00284E99"/>
    <w:rPr>
      <w:rFonts w:ascii="Arial" w:eastAsia="Calibri" w:hAnsi="Arial" w:cs="Open Sans"/>
      <w:b/>
      <w:color w:val="3C1053"/>
      <w:sz w:val="48"/>
      <w:szCs w:val="28"/>
      <w:lang w:val="en-US"/>
    </w:rPr>
  </w:style>
  <w:style w:type="character" w:customStyle="1" w:styleId="Heading2Char">
    <w:name w:val="Heading 2 Char"/>
    <w:basedOn w:val="DefaultParagraphFont"/>
    <w:link w:val="Heading2"/>
    <w:uiPriority w:val="9"/>
    <w:rsid w:val="0011230D"/>
    <w:rPr>
      <w:rFonts w:ascii="Georgia" w:eastAsia="Calibri" w:hAnsi="Georgia" w:cs="Arial"/>
      <w:color w:val="3C1053"/>
      <w:sz w:val="32"/>
      <w:lang w:val="en-AU"/>
    </w:rPr>
  </w:style>
  <w:style w:type="character" w:customStyle="1" w:styleId="Heading3Char">
    <w:name w:val="Heading 3 Char"/>
    <w:basedOn w:val="DefaultParagraphFont"/>
    <w:link w:val="Heading3"/>
    <w:uiPriority w:val="9"/>
    <w:rsid w:val="0011230D"/>
    <w:rPr>
      <w:rFonts w:ascii="Arial" w:eastAsia="Calibri" w:hAnsi="Arial" w:cs="Arial"/>
      <w:b/>
      <w:bCs/>
      <w:caps/>
      <w:color w:val="3A3634"/>
      <w:sz w:val="22"/>
      <w:szCs w:val="20"/>
      <w:lang w:val="en-US"/>
    </w:rPr>
  </w:style>
  <w:style w:type="numbering" w:customStyle="1" w:styleId="Bulleted">
    <w:name w:val="Bulleted"/>
    <w:basedOn w:val="NoList"/>
    <w:uiPriority w:val="99"/>
    <w:rsid w:val="001E61D7"/>
    <w:pPr>
      <w:numPr>
        <w:numId w:val="2"/>
      </w:numPr>
    </w:pPr>
  </w:style>
  <w:style w:type="paragraph" w:styleId="TOCHeading">
    <w:name w:val="TOC Heading"/>
    <w:basedOn w:val="Heading2"/>
    <w:next w:val="Normal"/>
    <w:uiPriority w:val="39"/>
    <w:unhideWhenUsed/>
    <w:qFormat/>
    <w:rsid w:val="005E13E8"/>
    <w:pPr>
      <w:keepLines/>
      <w:spacing w:before="0"/>
      <w:outlineLvl w:val="9"/>
    </w:pPr>
    <w:rPr>
      <w:rFonts w:eastAsiaTheme="majorEastAsia" w:cstheme="majorBidi"/>
      <w:color w:val="361461"/>
      <w:szCs w:val="32"/>
      <w:lang w:val="en-US"/>
    </w:rPr>
  </w:style>
  <w:style w:type="paragraph" w:styleId="TOC1">
    <w:name w:val="toc 1"/>
    <w:basedOn w:val="Normal"/>
    <w:next w:val="Normal"/>
    <w:autoRedefine/>
    <w:uiPriority w:val="39"/>
    <w:unhideWhenUsed/>
    <w:rsid w:val="00690F37"/>
    <w:pPr>
      <w:tabs>
        <w:tab w:val="right" w:leader="dot" w:pos="9962"/>
      </w:tabs>
      <w:spacing w:after="100"/>
    </w:pPr>
    <w:rPr>
      <w:b/>
      <w:bCs/>
      <w:noProof/>
    </w:rPr>
  </w:style>
  <w:style w:type="paragraph" w:styleId="TOC2">
    <w:name w:val="toc 2"/>
    <w:basedOn w:val="Normal"/>
    <w:next w:val="Normal"/>
    <w:autoRedefine/>
    <w:uiPriority w:val="39"/>
    <w:unhideWhenUsed/>
    <w:rsid w:val="00D26565"/>
    <w:pPr>
      <w:tabs>
        <w:tab w:val="left" w:pos="660"/>
        <w:tab w:val="right" w:leader="dot" w:pos="9968"/>
      </w:tabs>
      <w:spacing w:after="100"/>
      <w:ind w:left="397" w:hanging="397"/>
    </w:pPr>
    <w:rPr>
      <w:b/>
      <w:bCs/>
      <w:noProof/>
    </w:rPr>
  </w:style>
  <w:style w:type="paragraph" w:styleId="TOC3">
    <w:name w:val="toc 3"/>
    <w:basedOn w:val="Normal"/>
    <w:next w:val="Normal"/>
    <w:autoRedefine/>
    <w:uiPriority w:val="39"/>
    <w:unhideWhenUsed/>
    <w:rsid w:val="0051532B"/>
    <w:pPr>
      <w:tabs>
        <w:tab w:val="left" w:pos="1100"/>
        <w:tab w:val="right" w:leader="dot" w:pos="9968"/>
      </w:tabs>
      <w:spacing w:after="100"/>
      <w:ind w:left="454"/>
    </w:pPr>
  </w:style>
  <w:style w:type="numbering" w:customStyle="1" w:styleId="NoList1">
    <w:name w:val="No List1"/>
    <w:next w:val="NoList"/>
    <w:uiPriority w:val="99"/>
    <w:semiHidden/>
    <w:unhideWhenUsed/>
    <w:rsid w:val="00671056"/>
  </w:style>
  <w:style w:type="paragraph" w:customStyle="1" w:styleId="Title1">
    <w:name w:val="Title1"/>
    <w:basedOn w:val="Normal"/>
    <w:next w:val="Normal"/>
    <w:uiPriority w:val="10"/>
    <w:rsid w:val="0067105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671056"/>
    <w:rPr>
      <w:rFonts w:ascii="Calibri Light" w:eastAsia="Times New Roman" w:hAnsi="Calibri Light" w:cs="Times New Roman"/>
      <w:spacing w:val="-10"/>
      <w:kern w:val="28"/>
      <w:sz w:val="56"/>
      <w:szCs w:val="56"/>
    </w:rPr>
  </w:style>
  <w:style w:type="character" w:customStyle="1" w:styleId="IntenseEmphasis1">
    <w:name w:val="Intense Emphasis1"/>
    <w:basedOn w:val="DefaultParagraphFont"/>
    <w:uiPriority w:val="21"/>
    <w:rsid w:val="00671056"/>
    <w:rPr>
      <w:i/>
      <w:iCs/>
      <w:color w:val="4472C4"/>
    </w:rPr>
  </w:style>
  <w:style w:type="character" w:styleId="Emphasis">
    <w:name w:val="Emphasis"/>
    <w:basedOn w:val="DefaultParagraphFont"/>
    <w:uiPriority w:val="20"/>
    <w:qFormat/>
    <w:rsid w:val="00671056"/>
    <w:rPr>
      <w:i/>
      <w:iCs/>
    </w:rPr>
  </w:style>
  <w:style w:type="paragraph" w:customStyle="1" w:styleId="Caption1">
    <w:name w:val="Caption1"/>
    <w:basedOn w:val="Normal"/>
    <w:next w:val="Normal"/>
    <w:uiPriority w:val="35"/>
    <w:unhideWhenUsed/>
    <w:rsid w:val="00671056"/>
    <w:pPr>
      <w:spacing w:after="200" w:line="240" w:lineRule="auto"/>
    </w:pPr>
    <w:rPr>
      <w:rFonts w:ascii="Calibri" w:hAnsi="Calibri" w:cs="Times New Roman"/>
      <w:i/>
      <w:iCs/>
      <w:color w:val="44546A"/>
      <w:sz w:val="18"/>
      <w:szCs w:val="18"/>
    </w:rPr>
  </w:style>
  <w:style w:type="table" w:styleId="TableGrid">
    <w:name w:val="Table Grid"/>
    <w:basedOn w:val="TableNormal"/>
    <w:uiPriority w:val="39"/>
    <w:rsid w:val="00671056"/>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1056"/>
    <w:rPr>
      <w:b/>
      <w:bCs/>
    </w:rPr>
  </w:style>
  <w:style w:type="paragraph" w:customStyle="1" w:styleId="Default">
    <w:name w:val="Default"/>
    <w:rsid w:val="00671056"/>
    <w:pPr>
      <w:autoSpaceDE w:val="0"/>
      <w:autoSpaceDN w:val="0"/>
      <w:adjustRightInd w:val="0"/>
    </w:pPr>
    <w:rPr>
      <w:rFonts w:ascii="Arial" w:hAnsi="Arial" w:cs="Arial"/>
      <w:color w:val="000000"/>
      <w:lang w:val="en-AU"/>
    </w:rPr>
  </w:style>
  <w:style w:type="paragraph" w:customStyle="1" w:styleId="CommentSubject1">
    <w:name w:val="Comment Subject1"/>
    <w:basedOn w:val="CommentText"/>
    <w:next w:val="CommentText"/>
    <w:uiPriority w:val="99"/>
    <w:semiHidden/>
    <w:unhideWhenUsed/>
    <w:rsid w:val="00671056"/>
    <w:pPr>
      <w:spacing w:after="0" w:line="240" w:lineRule="auto"/>
    </w:pPr>
    <w:rPr>
      <w:rFonts w:ascii="Calibri" w:eastAsia="Calibri" w:hAnsi="Calibri" w:cs="Times New Roman"/>
      <w:b/>
      <w:bCs/>
      <w:lang w:val="en-AU"/>
    </w:rPr>
  </w:style>
  <w:style w:type="character" w:customStyle="1" w:styleId="CommentSubjectChar">
    <w:name w:val="Comment Subject Char"/>
    <w:basedOn w:val="CommentTextChar"/>
    <w:link w:val="CommentSubject"/>
    <w:uiPriority w:val="99"/>
    <w:semiHidden/>
    <w:rsid w:val="00671056"/>
    <w:rPr>
      <w:rFonts w:eastAsiaTheme="minorEastAsia"/>
      <w:sz w:val="20"/>
      <w:szCs w:val="20"/>
    </w:rPr>
  </w:style>
  <w:style w:type="table" w:customStyle="1" w:styleId="TableGrid1">
    <w:name w:val="Table Grid1"/>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056"/>
    <w:rPr>
      <w:color w:val="605E5C"/>
      <w:shd w:val="clear" w:color="auto" w:fill="E1DFDD"/>
    </w:rPr>
  </w:style>
  <w:style w:type="character" w:customStyle="1" w:styleId="FollowedHyperlink1">
    <w:name w:val="FollowedHyperlink1"/>
    <w:basedOn w:val="DefaultParagraphFont"/>
    <w:uiPriority w:val="99"/>
    <w:semiHidden/>
    <w:unhideWhenUsed/>
    <w:rsid w:val="00671056"/>
    <w:rPr>
      <w:color w:val="954F72"/>
      <w:u w:val="single"/>
    </w:rPr>
  </w:style>
  <w:style w:type="table" w:customStyle="1" w:styleId="TableGrid2">
    <w:name w:val="Table Grid2"/>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105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105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671056"/>
    <w:rPr>
      <w:rFonts w:asciiTheme="majorHAnsi" w:eastAsiaTheme="majorEastAsia" w:hAnsiTheme="majorHAnsi" w:cstheme="majorBidi"/>
      <w:spacing w:val="-10"/>
      <w:kern w:val="28"/>
      <w:sz w:val="56"/>
      <w:szCs w:val="56"/>
      <w:lang w:val="en-US"/>
    </w:rPr>
  </w:style>
  <w:style w:type="character" w:styleId="IntenseEmphasis">
    <w:name w:val="Intense Emphasis"/>
    <w:basedOn w:val="DefaultParagraphFont"/>
    <w:uiPriority w:val="21"/>
    <w:rsid w:val="00671056"/>
    <w:rPr>
      <w:i/>
      <w:iCs/>
      <w:color w:val="256580" w:themeColor="accent1"/>
    </w:rPr>
  </w:style>
  <w:style w:type="paragraph" w:styleId="CommentSubject">
    <w:name w:val="annotation subject"/>
    <w:basedOn w:val="CommentText"/>
    <w:next w:val="CommentText"/>
    <w:link w:val="CommentSubjectChar"/>
    <w:uiPriority w:val="99"/>
    <w:semiHidden/>
    <w:unhideWhenUsed/>
    <w:rsid w:val="00671056"/>
    <w:pPr>
      <w:spacing w:line="240" w:lineRule="auto"/>
    </w:pPr>
    <w:rPr>
      <w:rFonts w:asciiTheme="minorHAnsi" w:eastAsiaTheme="minorHAnsi" w:hAnsiTheme="minorHAnsi" w:cstheme="minorBidi"/>
      <w:sz w:val="24"/>
      <w:szCs w:val="24"/>
    </w:rPr>
  </w:style>
  <w:style w:type="character" w:customStyle="1" w:styleId="CommentSubjectChar1">
    <w:name w:val="Comment Subject Char1"/>
    <w:basedOn w:val="CommentTextChar"/>
    <w:uiPriority w:val="99"/>
    <w:semiHidden/>
    <w:rsid w:val="00671056"/>
    <w:rPr>
      <w:rFonts w:ascii="Open Sans" w:eastAsiaTheme="minorEastAsia" w:hAnsi="Open Sans" w:cs="Open Sans"/>
      <w:b/>
      <w:bCs/>
      <w:sz w:val="20"/>
      <w:szCs w:val="20"/>
      <w:lang w:val="en-US"/>
    </w:rPr>
  </w:style>
  <w:style w:type="character" w:styleId="FollowedHyperlink">
    <w:name w:val="FollowedHyperlink"/>
    <w:basedOn w:val="DefaultParagraphFont"/>
    <w:uiPriority w:val="99"/>
    <w:semiHidden/>
    <w:unhideWhenUsed/>
    <w:rsid w:val="00671056"/>
    <w:rPr>
      <w:color w:val="800080" w:themeColor="followedHyperlink"/>
      <w:u w:val="single"/>
    </w:rPr>
  </w:style>
  <w:style w:type="character" w:customStyle="1" w:styleId="Heading4Char">
    <w:name w:val="Heading 4 Char"/>
    <w:basedOn w:val="DefaultParagraphFont"/>
    <w:link w:val="Heading4"/>
    <w:uiPriority w:val="9"/>
    <w:rsid w:val="00547DF5"/>
    <w:rPr>
      <w:rFonts w:ascii="Arial" w:eastAsia="Calibri" w:hAnsi="Arial" w:cs="Open Sans"/>
      <w:b/>
      <w:bCs/>
      <w:i/>
      <w:color w:val="361461"/>
      <w:sz w:val="20"/>
      <w:szCs w:val="22"/>
      <w:lang w:val="en-US"/>
    </w:rPr>
  </w:style>
  <w:style w:type="character" w:customStyle="1" w:styleId="Heading5Char">
    <w:name w:val="Heading 5 Char"/>
    <w:basedOn w:val="DefaultParagraphFont"/>
    <w:link w:val="Heading5"/>
    <w:uiPriority w:val="9"/>
    <w:rsid w:val="007D5A0B"/>
    <w:rPr>
      <w:rFonts w:ascii="Arial" w:eastAsia="Calibri" w:hAnsi="Arial" w:cs="Open Sans"/>
      <w:i/>
      <w:color w:val="361461"/>
      <w:sz w:val="20"/>
      <w:szCs w:val="22"/>
      <w:lang w:val="en-AU"/>
    </w:rPr>
  </w:style>
  <w:style w:type="character" w:customStyle="1" w:styleId="Heading6Char">
    <w:name w:val="Heading 6 Char"/>
    <w:basedOn w:val="DefaultParagraphFont"/>
    <w:link w:val="Heading6"/>
    <w:uiPriority w:val="9"/>
    <w:rsid w:val="007D5A0B"/>
    <w:rPr>
      <w:rFonts w:ascii="Arial" w:eastAsia="Calibri" w:hAnsi="Arial" w:cs="Open Sans"/>
      <w:i/>
      <w:noProof/>
      <w:sz w:val="20"/>
      <w:szCs w:val="22"/>
      <w:lang w:val="en-AU"/>
    </w:rPr>
  </w:style>
  <w:style w:type="paragraph" w:styleId="NoSpacing">
    <w:name w:val="No Spacing"/>
    <w:uiPriority w:val="1"/>
    <w:qFormat/>
    <w:rsid w:val="00AB690E"/>
    <w:rPr>
      <w:rFonts w:ascii="Open Sans" w:hAnsi="Open Sans" w:cs="Open Sans"/>
      <w:sz w:val="20"/>
      <w:szCs w:val="22"/>
      <w:lang w:val="en-US"/>
    </w:rPr>
  </w:style>
  <w:style w:type="paragraph" w:styleId="BodyText">
    <w:name w:val="Body Text"/>
    <w:basedOn w:val="Normal"/>
    <w:link w:val="BodyTextChar"/>
    <w:uiPriority w:val="1"/>
    <w:rsid w:val="000376D4"/>
    <w:pPr>
      <w:widowControl w:val="0"/>
      <w:autoSpaceDE w:val="0"/>
      <w:autoSpaceDN w:val="0"/>
      <w:spacing w:after="0" w:line="240" w:lineRule="auto"/>
    </w:pPr>
    <w:rPr>
      <w:rFonts w:eastAsia="Open Sans"/>
      <w:sz w:val="18"/>
      <w:szCs w:val="18"/>
    </w:rPr>
  </w:style>
  <w:style w:type="character" w:customStyle="1" w:styleId="BodyTextChar">
    <w:name w:val="Body Text Char"/>
    <w:basedOn w:val="DefaultParagraphFont"/>
    <w:link w:val="BodyText"/>
    <w:uiPriority w:val="1"/>
    <w:rsid w:val="000376D4"/>
    <w:rPr>
      <w:rFonts w:ascii="Open Sans" w:eastAsia="Open Sans" w:hAnsi="Open Sans" w:cs="Open Sans"/>
      <w:sz w:val="18"/>
      <w:szCs w:val="18"/>
      <w:lang w:val="en-US"/>
    </w:rPr>
  </w:style>
  <w:style w:type="character" w:customStyle="1" w:styleId="Heading7Char">
    <w:name w:val="Heading 7 Char"/>
    <w:basedOn w:val="DefaultParagraphFont"/>
    <w:link w:val="Heading7"/>
    <w:uiPriority w:val="9"/>
    <w:rsid w:val="007D5A0B"/>
    <w:rPr>
      <w:rFonts w:ascii="Arial" w:eastAsia="Calibri" w:hAnsi="Arial" w:cs="Open Sans"/>
      <w:sz w:val="20"/>
      <w:szCs w:val="22"/>
      <w:lang w:val="en-AU"/>
    </w:rPr>
  </w:style>
  <w:style w:type="paragraph" w:styleId="Revision">
    <w:name w:val="Revision"/>
    <w:hidden/>
    <w:uiPriority w:val="99"/>
    <w:semiHidden/>
    <w:rsid w:val="00EF5AC2"/>
    <w:rPr>
      <w:rFonts w:ascii="Open Sans" w:hAnsi="Open Sans" w:cs="Open Sans"/>
      <w:sz w:val="20"/>
      <w:szCs w:val="22"/>
      <w:lang w:val="en-US"/>
    </w:rPr>
  </w:style>
  <w:style w:type="paragraph" w:customStyle="1" w:styleId="Footnote">
    <w:name w:val="Footnote"/>
    <w:basedOn w:val="FootnoteText"/>
    <w:link w:val="FootnoteChar"/>
    <w:qFormat/>
    <w:rsid w:val="00F745D8"/>
    <w:pPr>
      <w:spacing w:after="0"/>
    </w:pPr>
    <w:rPr>
      <w:sz w:val="16"/>
    </w:rPr>
  </w:style>
  <w:style w:type="character" w:customStyle="1" w:styleId="FootnoteChar">
    <w:name w:val="Footnote Char"/>
    <w:basedOn w:val="FootnoteTextChar"/>
    <w:link w:val="Footnote"/>
    <w:rsid w:val="00F745D8"/>
    <w:rPr>
      <w:rFonts w:ascii="Arial" w:eastAsia="Calibri" w:hAnsi="Arial" w:cs="Open Sans"/>
      <w:sz w:val="16"/>
      <w:szCs w:val="20"/>
      <w:lang w:val="en-AU"/>
    </w:rPr>
  </w:style>
  <w:style w:type="character" w:customStyle="1" w:styleId="infolabel">
    <w:name w:val="info_label"/>
    <w:basedOn w:val="DefaultParagraphFont"/>
    <w:rsid w:val="00787B59"/>
  </w:style>
  <w:style w:type="character" w:customStyle="1" w:styleId="infovalue">
    <w:name w:val="info_value"/>
    <w:basedOn w:val="DefaultParagraphFont"/>
    <w:rsid w:val="00787B59"/>
  </w:style>
  <w:style w:type="table" w:customStyle="1" w:styleId="TableGrid71">
    <w:name w:val="Table Grid71"/>
    <w:basedOn w:val="TableNormal"/>
    <w:next w:val="TableGrid"/>
    <w:uiPriority w:val="39"/>
    <w:rsid w:val="007F62B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7F62B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7F62B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7F62B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AA60BA"/>
    <w:rPr>
      <w:i/>
      <w:iCs/>
      <w:color w:val="404040" w:themeColor="text1" w:themeTint="BF"/>
    </w:rPr>
  </w:style>
  <w:style w:type="paragraph" w:customStyle="1" w:styleId="BoxStyle">
    <w:name w:val="Box Style"/>
    <w:basedOn w:val="Normal"/>
    <w:link w:val="BoxStyleChar"/>
    <w:qFormat/>
    <w:rsid w:val="003555F6"/>
    <w:pPr>
      <w:spacing w:before="120" w:after="120"/>
      <w:jc w:val="center"/>
    </w:pPr>
    <w:rPr>
      <w:b/>
      <w:bCs/>
      <w:color w:val="3A3634"/>
      <w:sz w:val="18"/>
      <w:szCs w:val="20"/>
    </w:rPr>
  </w:style>
  <w:style w:type="character" w:customStyle="1" w:styleId="BoxStyleChar">
    <w:name w:val="Box Style Char"/>
    <w:basedOn w:val="DefaultParagraphFont"/>
    <w:link w:val="BoxStyle"/>
    <w:rsid w:val="003555F6"/>
    <w:rPr>
      <w:rFonts w:ascii="Arial" w:eastAsia="Calibri" w:hAnsi="Arial" w:cs="Open Sans"/>
      <w:b/>
      <w:bCs/>
      <w:color w:val="3A3634"/>
      <w:sz w:val="18"/>
      <w:szCs w:val="20"/>
      <w:lang w:val="en-AU"/>
    </w:rPr>
  </w:style>
  <w:style w:type="paragraph" w:styleId="Caption">
    <w:name w:val="caption"/>
    <w:aliases w:val="Caption-Tables Figures"/>
    <w:basedOn w:val="Normal"/>
    <w:next w:val="Normal"/>
    <w:uiPriority w:val="35"/>
    <w:unhideWhenUsed/>
    <w:qFormat/>
    <w:rsid w:val="00820C99"/>
    <w:pPr>
      <w:keepNext/>
      <w:spacing w:after="200" w:line="240" w:lineRule="auto"/>
    </w:pPr>
    <w:rPr>
      <w:rFonts w:cstheme="minorBidi"/>
      <w:i/>
      <w:iCs/>
      <w:szCs w:val="18"/>
    </w:rPr>
  </w:style>
  <w:style w:type="character" w:styleId="PlaceholderText">
    <w:name w:val="Placeholder Text"/>
    <w:basedOn w:val="DefaultParagraphFont"/>
    <w:uiPriority w:val="99"/>
    <w:semiHidden/>
    <w:rsid w:val="001D3951"/>
    <w:rPr>
      <w:color w:val="808080"/>
    </w:rPr>
  </w:style>
  <w:style w:type="paragraph" w:customStyle="1" w:styleId="BoxStyleX">
    <w:name w:val="Box Style X"/>
    <w:basedOn w:val="Normal"/>
    <w:link w:val="BoxStyleXChar"/>
    <w:qFormat/>
    <w:rsid w:val="00686668"/>
    <w:pPr>
      <w:jc w:val="center"/>
    </w:pPr>
    <w:rPr>
      <w:i/>
      <w:iCs/>
      <w:color w:val="3A3634"/>
      <w:sz w:val="18"/>
      <w:szCs w:val="20"/>
    </w:rPr>
  </w:style>
  <w:style w:type="table" w:customStyle="1" w:styleId="TableGrid11">
    <w:name w:val="Table Grid11"/>
    <w:basedOn w:val="TableNormal"/>
    <w:next w:val="TableGrid"/>
    <w:uiPriority w:val="39"/>
    <w:rsid w:val="00C30819"/>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StyleXChar">
    <w:name w:val="Box Style X Char"/>
    <w:basedOn w:val="TPWQuoteBoxH3Char"/>
    <w:link w:val="BoxStyleX"/>
    <w:rsid w:val="00686668"/>
    <w:rPr>
      <w:rFonts w:ascii="Arial" w:eastAsia="Calibri" w:hAnsi="Arial" w:cs="Open Sans"/>
      <w:i/>
      <w:iCs/>
      <w:color w:val="3A3634"/>
      <w:sz w:val="18"/>
      <w:szCs w:val="20"/>
      <w:lang w:val="en-AU"/>
    </w:rPr>
  </w:style>
  <w:style w:type="table" w:customStyle="1" w:styleId="TableGrid12">
    <w:name w:val="Table Grid12"/>
    <w:basedOn w:val="TableNormal"/>
    <w:next w:val="TableGrid"/>
    <w:uiPriority w:val="39"/>
    <w:rsid w:val="00642B5D"/>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67064F"/>
    <w:rPr>
      <w:sz w:val="18"/>
      <w:szCs w:val="22"/>
      <w:lang w:val="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Arial" w:hAnsi="Arial"/>
        <w:b/>
        <w:caps/>
        <w:smallCaps w:val="0"/>
        <w:color w:val="FFFFFF"/>
        <w:sz w:val="20"/>
      </w:rPr>
      <w:tblPr/>
      <w:tcPr>
        <w:shd w:val="clear" w:color="auto" w:fill="3A3634"/>
      </w:tcPr>
    </w:tblStylePr>
    <w:tblStylePr w:type="lastRow">
      <w:tblPr/>
      <w:tcPr>
        <w:shd w:val="clear" w:color="auto" w:fill="3C1053"/>
      </w:tcPr>
    </w:tblStylePr>
    <w:tblStylePr w:type="firstCol">
      <w:tblPr/>
      <w:tcPr>
        <w:shd w:val="clear" w:color="auto" w:fill="3C1053"/>
      </w:tcPr>
    </w:tblStylePr>
    <w:tblStylePr w:type="band2Horz">
      <w:tblPr/>
      <w:tcPr>
        <w:shd w:val="clear" w:color="auto" w:fill="E8E3DB"/>
      </w:tcPr>
    </w:tblStylePr>
  </w:style>
  <w:style w:type="table" w:customStyle="1" w:styleId="TableGrid711">
    <w:name w:val="Table Grid711"/>
    <w:basedOn w:val="TableNormal"/>
    <w:next w:val="TableGrid"/>
    <w:uiPriority w:val="39"/>
    <w:rsid w:val="006D178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E00C4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7208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B7EF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668BF"/>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668BF"/>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717D2"/>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717D2"/>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35B2D"/>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D3E75"/>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styleY">
    <w:name w:val="Box style Y"/>
    <w:basedOn w:val="Normal"/>
    <w:link w:val="BoxstyleYChar"/>
    <w:rsid w:val="003555F6"/>
    <w:pPr>
      <w:spacing w:after="0"/>
      <w:jc w:val="center"/>
    </w:pPr>
    <w:rPr>
      <w:color w:val="3A3634"/>
      <w:sz w:val="18"/>
      <w:szCs w:val="20"/>
    </w:rPr>
  </w:style>
  <w:style w:type="paragraph" w:customStyle="1" w:styleId="TPWNormalTextNumbered">
    <w:name w:val="TPW Normal Text Numbered"/>
    <w:basedOn w:val="Normal"/>
    <w:link w:val="TPWNormalTextNumberedChar"/>
    <w:qFormat/>
    <w:rsid w:val="002B485F"/>
    <w:pPr>
      <w:ind w:left="357" w:hanging="357"/>
      <w:contextualSpacing/>
    </w:pPr>
  </w:style>
  <w:style w:type="character" w:customStyle="1" w:styleId="BoxstyleYChar">
    <w:name w:val="Box style Y Char"/>
    <w:basedOn w:val="DefaultParagraphFont"/>
    <w:link w:val="BoxstyleY"/>
    <w:rsid w:val="003555F6"/>
    <w:rPr>
      <w:rFonts w:ascii="Arial" w:eastAsia="Calibri" w:hAnsi="Arial" w:cs="Open Sans"/>
      <w:color w:val="3A3634"/>
      <w:sz w:val="18"/>
      <w:szCs w:val="20"/>
      <w:lang w:val="en-AU"/>
    </w:rPr>
  </w:style>
  <w:style w:type="paragraph" w:customStyle="1" w:styleId="ACUMajorHeading">
    <w:name w:val="ACUMajorHeading"/>
    <w:basedOn w:val="NoSpacing"/>
    <w:link w:val="ACUMajorHeadingChar"/>
    <w:rsid w:val="002B485F"/>
    <w:pPr>
      <w:spacing w:after="714"/>
    </w:pPr>
    <w:rPr>
      <w:rFonts w:ascii="Arial" w:hAnsi="Arial" w:cs="Times New Roman"/>
      <w:b/>
      <w:color w:val="361461"/>
      <w:sz w:val="84"/>
      <w:szCs w:val="18"/>
      <w:lang w:val="en-AU"/>
    </w:rPr>
  </w:style>
  <w:style w:type="character" w:customStyle="1" w:styleId="ACUMajorHeadingChar">
    <w:name w:val="ACUMajorHeading Char"/>
    <w:basedOn w:val="DefaultParagraphFont"/>
    <w:link w:val="ACUMajorHeading"/>
    <w:rsid w:val="002B485F"/>
    <w:rPr>
      <w:rFonts w:ascii="Arial" w:hAnsi="Arial" w:cs="Times New Roman"/>
      <w:b/>
      <w:color w:val="361461"/>
      <w:sz w:val="84"/>
      <w:szCs w:val="18"/>
      <w:lang w:val="en-AU"/>
    </w:rPr>
  </w:style>
  <w:style w:type="character" w:customStyle="1" w:styleId="TPWNormalTextNumberedChar">
    <w:name w:val="TPW Normal Text Numbered Char"/>
    <w:basedOn w:val="DefaultParagraphFont"/>
    <w:link w:val="TPWNormalTextNumbered"/>
    <w:rsid w:val="00F44765"/>
    <w:rPr>
      <w:rFonts w:ascii="Arial" w:eastAsia="Calibri" w:hAnsi="Arial" w:cs="Open Sans"/>
      <w:sz w:val="20"/>
      <w:szCs w:val="22"/>
      <w:lang w:val="en-AU"/>
    </w:rPr>
  </w:style>
  <w:style w:type="numbering" w:customStyle="1" w:styleId="NoList2">
    <w:name w:val="No List2"/>
    <w:next w:val="NoList"/>
    <w:uiPriority w:val="99"/>
    <w:semiHidden/>
    <w:unhideWhenUsed/>
    <w:rsid w:val="0094399A"/>
  </w:style>
  <w:style w:type="table" w:customStyle="1" w:styleId="TableGrid17">
    <w:name w:val="Table Grid17"/>
    <w:basedOn w:val="TableNormal"/>
    <w:next w:val="TableGrid"/>
    <w:uiPriority w:val="39"/>
    <w:rsid w:val="0094399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4399A"/>
    <w:pPr>
      <w:spacing w:after="0"/>
    </w:pPr>
    <w:rPr>
      <w:rFonts w:ascii="Calibri" w:hAnsi="Calibri" w:cs="Times New Roman"/>
      <w:sz w:val="22"/>
    </w:rPr>
  </w:style>
  <w:style w:type="table" w:customStyle="1" w:styleId="ACUTableDefault1">
    <w:name w:val="ACUTableDefault1"/>
    <w:basedOn w:val="TableNormal"/>
    <w:uiPriority w:val="99"/>
    <w:rsid w:val="000D3FC2"/>
    <w:rPr>
      <w:rFonts w:ascii="Georgia" w:hAnsi="Georgia"/>
      <w:sz w:val="18"/>
      <w:szCs w:val="22"/>
      <w:lang w:val="en-AU"/>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85" w:type="dxa"/>
        <w:left w:w="142" w:type="dxa"/>
        <w:bottom w:w="85" w:type="dxa"/>
      </w:tblCellMar>
    </w:tblPr>
    <w:tcPr>
      <w:shd w:val="clear" w:color="auto" w:fill="E8E3DB"/>
    </w:tcPr>
    <w:tblStylePr w:type="firstRow">
      <w:pPr>
        <w:jc w:val="center"/>
      </w:pPr>
      <w:rPr>
        <w:rFonts w:ascii="Arial" w:hAnsi="Arial"/>
        <w:b/>
        <w:caps/>
        <w:smallCaps w:val="0"/>
        <w:color w:val="FFFFFF"/>
        <w:sz w:val="24"/>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3D3935"/>
      </w:tcPr>
    </w:tblStylePr>
    <w:tblStylePr w:type="lastRow">
      <w:rPr>
        <w:color w:val="FFFFFF"/>
      </w:rPr>
      <w:tblPr/>
      <w:tcPr>
        <w:shd w:val="clear" w:color="auto" w:fill="3C1053"/>
      </w:tcPr>
    </w:tblStylePr>
    <w:tblStylePr w:type="band1Horz">
      <w:tblPr/>
      <w:tcPr>
        <w:shd w:val="clear" w:color="auto" w:fill="E8E3DB"/>
      </w:tcPr>
    </w:tblStylePr>
    <w:tblStylePr w:type="band2Horz">
      <w:tblPr/>
      <w:tcPr>
        <w:shd w:val="clear" w:color="auto" w:fill="D6CDBF"/>
      </w:tcPr>
    </w:tblStylePr>
    <w:tblStylePr w:type="nwCell">
      <w:rPr>
        <w:rFonts w:ascii="Arial" w:hAnsi="Arial"/>
        <w:b/>
        <w:caps/>
        <w:smallCaps w:val="0"/>
        <w:color w:val="FFFFFF"/>
        <w:sz w:val="24"/>
      </w:rPr>
      <w:tblPr/>
      <w:tcPr>
        <w:shd w:val="clear" w:color="auto" w:fill="F2120C"/>
      </w:tcPr>
    </w:tblStylePr>
  </w:style>
  <w:style w:type="table" w:styleId="PlainTable4">
    <w:name w:val="Plain Table 4"/>
    <w:basedOn w:val="TableNormal"/>
    <w:uiPriority w:val="44"/>
    <w:rsid w:val="00925C87"/>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925C87"/>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925C87"/>
    <w:rPr>
      <w:sz w:val="20"/>
      <w:szCs w:val="20"/>
      <w:lang w:val="en-AU"/>
    </w:rPr>
  </w:style>
  <w:style w:type="character" w:styleId="EndnoteReference">
    <w:name w:val="endnote reference"/>
    <w:basedOn w:val="DefaultParagraphFont"/>
    <w:uiPriority w:val="99"/>
    <w:semiHidden/>
    <w:unhideWhenUsed/>
    <w:rsid w:val="00925C87"/>
    <w:rPr>
      <w:vertAlign w:val="superscript"/>
    </w:rPr>
  </w:style>
  <w:style w:type="table" w:styleId="TableGridLight">
    <w:name w:val="Grid Table Light"/>
    <w:basedOn w:val="TableNormal"/>
    <w:uiPriority w:val="40"/>
    <w:rsid w:val="00DE11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1">
    <w:name w:val="Appendix 1"/>
    <w:basedOn w:val="Heading2"/>
    <w:link w:val="Appendix1Char"/>
    <w:rsid w:val="00B80344"/>
    <w:pPr>
      <w:numPr>
        <w:numId w:val="5"/>
      </w:numPr>
    </w:pPr>
  </w:style>
  <w:style w:type="paragraph" w:customStyle="1" w:styleId="Appendix2">
    <w:name w:val="Appendix 2"/>
    <w:basedOn w:val="Normal"/>
    <w:link w:val="Appendix2Char"/>
    <w:qFormat/>
    <w:rsid w:val="00B80344"/>
    <w:pPr>
      <w:numPr>
        <w:ilvl w:val="1"/>
        <w:numId w:val="5"/>
      </w:numPr>
    </w:pPr>
    <w:rPr>
      <w:i/>
      <w:sz w:val="22"/>
    </w:rPr>
  </w:style>
  <w:style w:type="character" w:customStyle="1" w:styleId="Appendix1Char">
    <w:name w:val="Appendix 1 Char"/>
    <w:basedOn w:val="Heading2Char"/>
    <w:link w:val="Appendix1"/>
    <w:rsid w:val="00A740F5"/>
    <w:rPr>
      <w:rFonts w:ascii="Georgia" w:eastAsia="Calibri" w:hAnsi="Georgia" w:cs="Arial"/>
      <w:color w:val="3C1053"/>
      <w:sz w:val="32"/>
      <w:lang w:val="en-AU"/>
    </w:rPr>
  </w:style>
  <w:style w:type="numbering" w:customStyle="1" w:styleId="AppendixHeadings">
    <w:name w:val="Appendix Headings"/>
    <w:uiPriority w:val="99"/>
    <w:rsid w:val="00B80344"/>
    <w:pPr>
      <w:numPr>
        <w:numId w:val="4"/>
      </w:numPr>
    </w:pPr>
  </w:style>
  <w:style w:type="character" w:customStyle="1" w:styleId="Appendix2Char">
    <w:name w:val="Appendix 2 Char"/>
    <w:basedOn w:val="Heading3Char"/>
    <w:link w:val="Appendix2"/>
    <w:rsid w:val="003D063F"/>
    <w:rPr>
      <w:rFonts w:ascii="Arial" w:eastAsia="Calibri" w:hAnsi="Arial" w:cs="Open Sans"/>
      <w:b w:val="0"/>
      <w:bCs w:val="0"/>
      <w:i/>
      <w:caps w:val="0"/>
      <w:color w:val="3A3634"/>
      <w:sz w:val="22"/>
      <w:szCs w:val="22"/>
      <w:lang w:val="en-AU"/>
    </w:rPr>
  </w:style>
  <w:style w:type="character" w:customStyle="1" w:styleId="Heading8Char">
    <w:name w:val="Heading 8 Char"/>
    <w:basedOn w:val="DefaultParagraphFont"/>
    <w:link w:val="Heading8"/>
    <w:uiPriority w:val="9"/>
    <w:rsid w:val="009B37E6"/>
    <w:rPr>
      <w:rFonts w:asciiTheme="majorHAnsi" w:eastAsiaTheme="majorEastAsia" w:hAnsiTheme="majorHAnsi" w:cstheme="majorBidi"/>
      <w:color w:val="272727" w:themeColor="text1" w:themeTint="D8"/>
      <w:sz w:val="21"/>
      <w:szCs w:val="21"/>
      <w:lang w:val="en-AU"/>
    </w:rPr>
  </w:style>
  <w:style w:type="table" w:styleId="GridTable1Light">
    <w:name w:val="Grid Table 1 Light"/>
    <w:basedOn w:val="TableNormal"/>
    <w:uiPriority w:val="46"/>
    <w:rsid w:val="007E18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F07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uiPriority w:val="99"/>
    <w:rsid w:val="00725B96"/>
    <w:pPr>
      <w:widowControl w:val="0"/>
      <w:autoSpaceDE w:val="0"/>
      <w:autoSpaceDN w:val="0"/>
      <w:adjustRightInd w:val="0"/>
    </w:pPr>
    <w:rPr>
      <w:rFonts w:ascii="Arial" w:hAnsi="Arial" w:cs="Arial"/>
      <w:lang w:val="en-AU"/>
    </w:rPr>
  </w:style>
  <w:style w:type="table" w:customStyle="1" w:styleId="TableGrid18">
    <w:name w:val="Table Grid18"/>
    <w:basedOn w:val="TableNormal"/>
    <w:next w:val="TableGrid"/>
    <w:uiPriority w:val="39"/>
    <w:rsid w:val="00725B9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25B96"/>
    <w:rPr>
      <w:sz w:val="22"/>
      <w:szCs w:val="22"/>
      <w:lang w:val="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tentpasted0">
    <w:name w:val="contentpasted0"/>
    <w:basedOn w:val="Normal"/>
    <w:rsid w:val="00366923"/>
    <w:pPr>
      <w:spacing w:before="100" w:beforeAutospacing="1" w:after="100" w:afterAutospacing="1" w:line="240" w:lineRule="auto"/>
    </w:pPr>
    <w:rPr>
      <w:rFonts w:ascii="Calibri" w:eastAsiaTheme="minorHAnsi" w:hAnsi="Calibri" w:cs="Calibri"/>
      <w:sz w:val="22"/>
      <w:lang w:eastAsia="en-AU"/>
    </w:rPr>
  </w:style>
  <w:style w:type="paragraph" w:customStyle="1" w:styleId="elementtoproof">
    <w:name w:val="elementtoproof"/>
    <w:basedOn w:val="Normal"/>
    <w:rsid w:val="00366923"/>
    <w:pPr>
      <w:spacing w:before="100" w:beforeAutospacing="1" w:after="100" w:afterAutospacing="1" w:line="240" w:lineRule="auto"/>
    </w:pPr>
    <w:rPr>
      <w:rFonts w:ascii="Calibri" w:eastAsiaTheme="minorHAnsi" w:hAnsi="Calibri" w:cs="Calibri"/>
      <w:sz w:val="22"/>
      <w:lang w:eastAsia="en-AU"/>
    </w:rPr>
  </w:style>
  <w:style w:type="table" w:styleId="PlainTable1">
    <w:name w:val="Plain Table 1"/>
    <w:basedOn w:val="TableNormal"/>
    <w:uiPriority w:val="41"/>
    <w:rsid w:val="00DC15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9">
    <w:name w:val="Table Grid19"/>
    <w:basedOn w:val="TableNormal"/>
    <w:uiPriority w:val="39"/>
    <w:rsid w:val="00FC26B2"/>
    <w:rPr>
      <w:rFonts w:ascii="Calibri" w:eastAsia="Calibri" w:hAnsi="Calibri"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23D1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801352"/>
    <w:rPr>
      <w:rFonts w:cs="Myriad Pro Light"/>
      <w:b/>
      <w:bCs/>
      <w:color w:val="000000"/>
      <w:sz w:val="19"/>
      <w:szCs w:val="19"/>
    </w:rPr>
  </w:style>
  <w:style w:type="paragraph" w:styleId="Bibliography">
    <w:name w:val="Bibliography"/>
    <w:basedOn w:val="Normal"/>
    <w:next w:val="Normal"/>
    <w:uiPriority w:val="37"/>
    <w:semiHidden/>
    <w:unhideWhenUsed/>
    <w:rsid w:val="006D6002"/>
  </w:style>
  <w:style w:type="character" w:customStyle="1" w:styleId="ListParagraphChar">
    <w:name w:val="List Paragraph Char"/>
    <w:aliases w:val="Bullet copy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qFormat/>
    <w:rsid w:val="007C2EC8"/>
    <w:rPr>
      <w:rFonts w:ascii="Arial" w:eastAsia="Calibri" w:hAnsi="Arial" w:cs="Open Sans"/>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06">
      <w:bodyDiv w:val="1"/>
      <w:marLeft w:val="0"/>
      <w:marRight w:val="0"/>
      <w:marTop w:val="0"/>
      <w:marBottom w:val="0"/>
      <w:divBdr>
        <w:top w:val="none" w:sz="0" w:space="0" w:color="auto"/>
        <w:left w:val="none" w:sz="0" w:space="0" w:color="auto"/>
        <w:bottom w:val="none" w:sz="0" w:space="0" w:color="auto"/>
        <w:right w:val="none" w:sz="0" w:space="0" w:color="auto"/>
      </w:divBdr>
    </w:div>
    <w:div w:id="79261337">
      <w:bodyDiv w:val="1"/>
      <w:marLeft w:val="0"/>
      <w:marRight w:val="0"/>
      <w:marTop w:val="0"/>
      <w:marBottom w:val="0"/>
      <w:divBdr>
        <w:top w:val="none" w:sz="0" w:space="0" w:color="auto"/>
        <w:left w:val="none" w:sz="0" w:space="0" w:color="auto"/>
        <w:bottom w:val="none" w:sz="0" w:space="0" w:color="auto"/>
        <w:right w:val="none" w:sz="0" w:space="0" w:color="auto"/>
      </w:divBdr>
    </w:div>
    <w:div w:id="253631985">
      <w:bodyDiv w:val="1"/>
      <w:marLeft w:val="0"/>
      <w:marRight w:val="0"/>
      <w:marTop w:val="0"/>
      <w:marBottom w:val="0"/>
      <w:divBdr>
        <w:top w:val="none" w:sz="0" w:space="0" w:color="auto"/>
        <w:left w:val="none" w:sz="0" w:space="0" w:color="auto"/>
        <w:bottom w:val="none" w:sz="0" w:space="0" w:color="auto"/>
        <w:right w:val="none" w:sz="0" w:space="0" w:color="auto"/>
      </w:divBdr>
    </w:div>
    <w:div w:id="316153796">
      <w:bodyDiv w:val="1"/>
      <w:marLeft w:val="0"/>
      <w:marRight w:val="0"/>
      <w:marTop w:val="0"/>
      <w:marBottom w:val="0"/>
      <w:divBdr>
        <w:top w:val="none" w:sz="0" w:space="0" w:color="auto"/>
        <w:left w:val="none" w:sz="0" w:space="0" w:color="auto"/>
        <w:bottom w:val="none" w:sz="0" w:space="0" w:color="auto"/>
        <w:right w:val="none" w:sz="0" w:space="0" w:color="auto"/>
      </w:divBdr>
    </w:div>
    <w:div w:id="359400503">
      <w:bodyDiv w:val="1"/>
      <w:marLeft w:val="0"/>
      <w:marRight w:val="0"/>
      <w:marTop w:val="0"/>
      <w:marBottom w:val="0"/>
      <w:divBdr>
        <w:top w:val="none" w:sz="0" w:space="0" w:color="auto"/>
        <w:left w:val="none" w:sz="0" w:space="0" w:color="auto"/>
        <w:bottom w:val="none" w:sz="0" w:space="0" w:color="auto"/>
        <w:right w:val="none" w:sz="0" w:space="0" w:color="auto"/>
      </w:divBdr>
    </w:div>
    <w:div w:id="453789534">
      <w:bodyDiv w:val="1"/>
      <w:marLeft w:val="0"/>
      <w:marRight w:val="0"/>
      <w:marTop w:val="0"/>
      <w:marBottom w:val="0"/>
      <w:divBdr>
        <w:top w:val="none" w:sz="0" w:space="0" w:color="auto"/>
        <w:left w:val="none" w:sz="0" w:space="0" w:color="auto"/>
        <w:bottom w:val="none" w:sz="0" w:space="0" w:color="auto"/>
        <w:right w:val="none" w:sz="0" w:space="0" w:color="auto"/>
      </w:divBdr>
    </w:div>
    <w:div w:id="491725334">
      <w:bodyDiv w:val="1"/>
      <w:marLeft w:val="0"/>
      <w:marRight w:val="0"/>
      <w:marTop w:val="0"/>
      <w:marBottom w:val="0"/>
      <w:divBdr>
        <w:top w:val="none" w:sz="0" w:space="0" w:color="auto"/>
        <w:left w:val="none" w:sz="0" w:space="0" w:color="auto"/>
        <w:bottom w:val="none" w:sz="0" w:space="0" w:color="auto"/>
        <w:right w:val="none" w:sz="0" w:space="0" w:color="auto"/>
      </w:divBdr>
    </w:div>
    <w:div w:id="563028836">
      <w:bodyDiv w:val="1"/>
      <w:marLeft w:val="0"/>
      <w:marRight w:val="0"/>
      <w:marTop w:val="0"/>
      <w:marBottom w:val="0"/>
      <w:divBdr>
        <w:top w:val="none" w:sz="0" w:space="0" w:color="auto"/>
        <w:left w:val="none" w:sz="0" w:space="0" w:color="auto"/>
        <w:bottom w:val="none" w:sz="0" w:space="0" w:color="auto"/>
        <w:right w:val="none" w:sz="0" w:space="0" w:color="auto"/>
      </w:divBdr>
    </w:div>
    <w:div w:id="565455641">
      <w:bodyDiv w:val="1"/>
      <w:marLeft w:val="0"/>
      <w:marRight w:val="0"/>
      <w:marTop w:val="0"/>
      <w:marBottom w:val="0"/>
      <w:divBdr>
        <w:top w:val="none" w:sz="0" w:space="0" w:color="auto"/>
        <w:left w:val="none" w:sz="0" w:space="0" w:color="auto"/>
        <w:bottom w:val="none" w:sz="0" w:space="0" w:color="auto"/>
        <w:right w:val="none" w:sz="0" w:space="0" w:color="auto"/>
      </w:divBdr>
    </w:div>
    <w:div w:id="762456945">
      <w:bodyDiv w:val="1"/>
      <w:marLeft w:val="0"/>
      <w:marRight w:val="0"/>
      <w:marTop w:val="0"/>
      <w:marBottom w:val="0"/>
      <w:divBdr>
        <w:top w:val="none" w:sz="0" w:space="0" w:color="auto"/>
        <w:left w:val="none" w:sz="0" w:space="0" w:color="auto"/>
        <w:bottom w:val="none" w:sz="0" w:space="0" w:color="auto"/>
        <w:right w:val="none" w:sz="0" w:space="0" w:color="auto"/>
      </w:divBdr>
    </w:div>
    <w:div w:id="844712197">
      <w:bodyDiv w:val="1"/>
      <w:marLeft w:val="0"/>
      <w:marRight w:val="0"/>
      <w:marTop w:val="0"/>
      <w:marBottom w:val="0"/>
      <w:divBdr>
        <w:top w:val="none" w:sz="0" w:space="0" w:color="auto"/>
        <w:left w:val="none" w:sz="0" w:space="0" w:color="auto"/>
        <w:bottom w:val="none" w:sz="0" w:space="0" w:color="auto"/>
        <w:right w:val="none" w:sz="0" w:space="0" w:color="auto"/>
      </w:divBdr>
    </w:div>
    <w:div w:id="1021708976">
      <w:bodyDiv w:val="1"/>
      <w:marLeft w:val="0"/>
      <w:marRight w:val="0"/>
      <w:marTop w:val="0"/>
      <w:marBottom w:val="0"/>
      <w:divBdr>
        <w:top w:val="none" w:sz="0" w:space="0" w:color="auto"/>
        <w:left w:val="none" w:sz="0" w:space="0" w:color="auto"/>
        <w:bottom w:val="none" w:sz="0" w:space="0" w:color="auto"/>
        <w:right w:val="none" w:sz="0" w:space="0" w:color="auto"/>
      </w:divBdr>
    </w:div>
    <w:div w:id="1250430985">
      <w:bodyDiv w:val="1"/>
      <w:marLeft w:val="0"/>
      <w:marRight w:val="0"/>
      <w:marTop w:val="0"/>
      <w:marBottom w:val="0"/>
      <w:divBdr>
        <w:top w:val="none" w:sz="0" w:space="0" w:color="auto"/>
        <w:left w:val="none" w:sz="0" w:space="0" w:color="auto"/>
        <w:bottom w:val="none" w:sz="0" w:space="0" w:color="auto"/>
        <w:right w:val="none" w:sz="0" w:space="0" w:color="auto"/>
      </w:divBdr>
    </w:div>
    <w:div w:id="1299335463">
      <w:bodyDiv w:val="1"/>
      <w:marLeft w:val="0"/>
      <w:marRight w:val="0"/>
      <w:marTop w:val="0"/>
      <w:marBottom w:val="0"/>
      <w:divBdr>
        <w:top w:val="none" w:sz="0" w:space="0" w:color="auto"/>
        <w:left w:val="none" w:sz="0" w:space="0" w:color="auto"/>
        <w:bottom w:val="none" w:sz="0" w:space="0" w:color="auto"/>
        <w:right w:val="none" w:sz="0" w:space="0" w:color="auto"/>
      </w:divBdr>
    </w:div>
    <w:div w:id="1356542756">
      <w:bodyDiv w:val="1"/>
      <w:marLeft w:val="0"/>
      <w:marRight w:val="0"/>
      <w:marTop w:val="0"/>
      <w:marBottom w:val="0"/>
      <w:divBdr>
        <w:top w:val="none" w:sz="0" w:space="0" w:color="auto"/>
        <w:left w:val="none" w:sz="0" w:space="0" w:color="auto"/>
        <w:bottom w:val="none" w:sz="0" w:space="0" w:color="auto"/>
        <w:right w:val="none" w:sz="0" w:space="0" w:color="auto"/>
      </w:divBdr>
    </w:div>
    <w:div w:id="1384603338">
      <w:bodyDiv w:val="1"/>
      <w:marLeft w:val="0"/>
      <w:marRight w:val="0"/>
      <w:marTop w:val="0"/>
      <w:marBottom w:val="0"/>
      <w:divBdr>
        <w:top w:val="none" w:sz="0" w:space="0" w:color="auto"/>
        <w:left w:val="none" w:sz="0" w:space="0" w:color="auto"/>
        <w:bottom w:val="none" w:sz="0" w:space="0" w:color="auto"/>
        <w:right w:val="none" w:sz="0" w:space="0" w:color="auto"/>
      </w:divBdr>
    </w:div>
    <w:div w:id="1439251956">
      <w:bodyDiv w:val="1"/>
      <w:marLeft w:val="0"/>
      <w:marRight w:val="0"/>
      <w:marTop w:val="0"/>
      <w:marBottom w:val="0"/>
      <w:divBdr>
        <w:top w:val="none" w:sz="0" w:space="0" w:color="auto"/>
        <w:left w:val="none" w:sz="0" w:space="0" w:color="auto"/>
        <w:bottom w:val="none" w:sz="0" w:space="0" w:color="auto"/>
        <w:right w:val="none" w:sz="0" w:space="0" w:color="auto"/>
      </w:divBdr>
    </w:div>
    <w:div w:id="1691372227">
      <w:bodyDiv w:val="1"/>
      <w:marLeft w:val="0"/>
      <w:marRight w:val="0"/>
      <w:marTop w:val="0"/>
      <w:marBottom w:val="0"/>
      <w:divBdr>
        <w:top w:val="none" w:sz="0" w:space="0" w:color="auto"/>
        <w:left w:val="none" w:sz="0" w:space="0" w:color="auto"/>
        <w:bottom w:val="none" w:sz="0" w:space="0" w:color="auto"/>
        <w:right w:val="none" w:sz="0" w:space="0" w:color="auto"/>
      </w:divBdr>
    </w:div>
    <w:div w:id="1694455151">
      <w:bodyDiv w:val="1"/>
      <w:marLeft w:val="0"/>
      <w:marRight w:val="0"/>
      <w:marTop w:val="0"/>
      <w:marBottom w:val="0"/>
      <w:divBdr>
        <w:top w:val="none" w:sz="0" w:space="0" w:color="auto"/>
        <w:left w:val="none" w:sz="0" w:space="0" w:color="auto"/>
        <w:bottom w:val="none" w:sz="0" w:space="0" w:color="auto"/>
        <w:right w:val="none" w:sz="0" w:space="0" w:color="auto"/>
      </w:divBdr>
    </w:div>
    <w:div w:id="1718703933">
      <w:bodyDiv w:val="1"/>
      <w:marLeft w:val="0"/>
      <w:marRight w:val="0"/>
      <w:marTop w:val="0"/>
      <w:marBottom w:val="0"/>
      <w:divBdr>
        <w:top w:val="none" w:sz="0" w:space="0" w:color="auto"/>
        <w:left w:val="none" w:sz="0" w:space="0" w:color="auto"/>
        <w:bottom w:val="none" w:sz="0" w:space="0" w:color="auto"/>
        <w:right w:val="none" w:sz="0" w:space="0" w:color="auto"/>
      </w:divBdr>
    </w:div>
    <w:div w:id="1724520272">
      <w:bodyDiv w:val="1"/>
      <w:marLeft w:val="0"/>
      <w:marRight w:val="0"/>
      <w:marTop w:val="0"/>
      <w:marBottom w:val="0"/>
      <w:divBdr>
        <w:top w:val="none" w:sz="0" w:space="0" w:color="auto"/>
        <w:left w:val="none" w:sz="0" w:space="0" w:color="auto"/>
        <w:bottom w:val="none" w:sz="0" w:space="0" w:color="auto"/>
        <w:right w:val="none" w:sz="0" w:space="0" w:color="auto"/>
      </w:divBdr>
    </w:div>
    <w:div w:id="18929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au" TargetMode="External"/><Relationship Id="rId21" Type="http://schemas.openxmlformats.org/officeDocument/2006/relationships/image" Target="media/image4.png"/><Relationship Id="rId34" Type="http://schemas.openxmlformats.org/officeDocument/2006/relationships/hyperlink" Target="https://www.education.gov.au/quality-initial-teacher-education-review/resources/next-steps-report-quality-initial-teacher-education-review" TargetMode="External"/><Relationship Id="rId42" Type="http://schemas.openxmlformats.org/officeDocument/2006/relationships/hyperlink" Target="https://doi.org/10.1177/0022487105285962" TargetMode="External"/><Relationship Id="rId47" Type="http://schemas.openxmlformats.org/officeDocument/2006/relationships/hyperlink" Target="https://doi.org/10.1080/02607476.2020.1807296" TargetMode="External"/><Relationship Id="rId50" Type="http://schemas.openxmlformats.org/officeDocument/2006/relationships/hyperlink" Target="https://www.hesa.ac.uk/data-and-analysis/statistical-first-releases?date_filter%5bvalue%5d%5byear%5d=&amp;topic%5b%5d=811" TargetMode="External"/><Relationship Id="rId55" Type="http://schemas.openxmlformats.org/officeDocument/2006/relationships/hyperlink" Target="https://doi.org/10.1080/13664530.2018.1484388" TargetMode="External"/><Relationship Id="rId63" Type="http://schemas.openxmlformats.org/officeDocument/2006/relationships/hyperlink" Target="https://www.education.gov.au/teaching-and-school-leadership/resources/quality-initial-teacher-educ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png"/><Relationship Id="rId11" Type="http://schemas.openxmlformats.org/officeDocument/2006/relationships/header" Target="header1.xml"/><Relationship Id="rId24" Type="http://schemas.openxmlformats.org/officeDocument/2006/relationships/hyperlink" Target="http://www.education.gov.au" TargetMode="External"/><Relationship Id="rId32" Type="http://schemas.openxmlformats.org/officeDocument/2006/relationships/hyperlink" Target="https://www.aitsl.edu.au/docs/default-source/national-policy-framework/accreditation-of-initial-teacher-education-programs-in-australia.pdf?sfvrsn=e87cff3c_48" TargetMode="External"/><Relationship Id="rId37" Type="http://schemas.openxmlformats.org/officeDocument/2006/relationships/hyperlink" Target="https://www.education.uw.edu/epal/wp-content/uploads/2017/10/1.-Bastian_-Sun_-Lynn_-2017_-What-Do-Graduate-Surveys-Tell-Us-.pdf" TargetMode="External"/><Relationship Id="rId40" Type="http://schemas.openxmlformats.org/officeDocument/2006/relationships/hyperlink" Target="https://doi.org/10.2139/ssrn.3318801" TargetMode="External"/><Relationship Id="rId45" Type="http://schemas.openxmlformats.org/officeDocument/2006/relationships/hyperlink" Target="https://ftts.fi/" TargetMode="External"/><Relationship Id="rId53" Type="http://schemas.openxmlformats.org/officeDocument/2006/relationships/hyperlink" Target="https://doi.org/10.1016/j.tate.2016.12.022" TargetMode="External"/><Relationship Id="rId58" Type="http://schemas.openxmlformats.org/officeDocument/2006/relationships/hyperlink" Target="https://doi.org/10.1080/02607476.2018.1516349"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teqsa.gov.au/sites/default/files/attrition-report-june-2017-19dec2017.pdf?acsf_files_redirect" TargetMode="External"/><Relationship Id="rId1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www.education.gov.au"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ministers.education.gov.au/sites/default/files/documents/Teacher%20Workforce%20Shortages%20-%20Issues%20paper.pdf" TargetMode="External"/><Relationship Id="rId43" Type="http://schemas.openxmlformats.org/officeDocument/2006/relationships/hyperlink" Target="https://learningpolicyinstitute.org/sites/default/files/product-files/Leandro_Best_Practices_Recruit_Retain_REPORT.pdf" TargetMode="External"/><Relationship Id="rId48" Type="http://schemas.openxmlformats.org/officeDocument/2006/relationships/hyperlink" Target="https://www.ncsehe.edu.au/wp-content/uploads/2018/10/76_MareeGruppetta_Accessible.pdf" TargetMode="External"/><Relationship Id="rId56" Type="http://schemas.openxmlformats.org/officeDocument/2006/relationships/hyperlink" Target="https://doi.org/10.1080/13664530.2018.1484388" TargetMode="External"/><Relationship Id="rId64" Type="http://schemas.openxmlformats.org/officeDocument/2006/relationships/hyperlink" Target="https://doi.org/10.5430/jct.v9n1p15" TargetMode="External"/><Relationship Id="rId8" Type="http://schemas.openxmlformats.org/officeDocument/2006/relationships/webSettings" Target="webSettings.xml"/><Relationship Id="rId51" Type="http://schemas.openxmlformats.org/officeDocument/2006/relationships/hyperlink" Target="https://core.ac.uk/download/pdf/4160415.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6.png"/><Relationship Id="rId33" Type="http://schemas.openxmlformats.org/officeDocument/2006/relationships/hyperlink" Target="https://doi.org/10.1080/1359866X.2012.753988" TargetMode="External"/><Relationship Id="rId38" Type="http://schemas.openxmlformats.org/officeDocument/2006/relationships/hyperlink" Target="https://doi.org/10.1080/03054985.2015.1020104" TargetMode="External"/><Relationship Id="rId46" Type="http://schemas.openxmlformats.org/officeDocument/2006/relationships/hyperlink" Target="https://doi.org/10.1257/pol.20190573" TargetMode="External"/><Relationship Id="rId59" Type="http://schemas.openxmlformats.org/officeDocument/2006/relationships/hyperlink" Target="https://doi.org/10.3102/0034654320979171" TargetMode="External"/><Relationship Id="rId67" Type="http://schemas.openxmlformats.org/officeDocument/2006/relationships/theme" Target="theme/theme1.xml"/><Relationship Id="rId20" Type="http://schemas.openxmlformats.org/officeDocument/2006/relationships/hyperlink" Target="http://www.education.gov.au" TargetMode="External"/><Relationship Id="rId41" Type="http://schemas.openxmlformats.org/officeDocument/2006/relationships/hyperlink" Target="https://doi.org/10.1080/1547688X.2020.1822485" TargetMode="External"/><Relationship Id="rId54" Type="http://schemas.openxmlformats.org/officeDocument/2006/relationships/hyperlink" Target="http://www.voced.edu.au/content/ngv%3A38781" TargetMode="External"/><Relationship Id="rId62" Type="http://schemas.openxmlformats.org/officeDocument/2006/relationships/hyperlink" Target="https://assets.publishing.service.gov.uk/government/uploads/system/uploads/attachment_data/file/914169/TEF_Year_2_Evaluation_Report__6_.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research.acer.edu.au/aer/15/" TargetMode="External"/><Relationship Id="rId49" Type="http://schemas.openxmlformats.org/officeDocument/2006/relationships/hyperlink" Target="https://www.hesa.ac.uk/collection/c21072" TargetMode="External"/><Relationship Id="rId57" Type="http://schemas.openxmlformats.org/officeDocument/2006/relationships/hyperlink" Target="https://doi.org/10.4995/HEAD19.2019.9409" TargetMode="External"/><Relationship Id="rId10" Type="http://schemas.openxmlformats.org/officeDocument/2006/relationships/endnotes" Target="endnotes.xml"/><Relationship Id="rId31" Type="http://schemas.openxmlformats.org/officeDocument/2006/relationships/hyperlink" Target="https://www.aitsl.edu.au/teach/standards" TargetMode="External"/><Relationship Id="rId44" Type="http://schemas.openxmlformats.org/officeDocument/2006/relationships/hyperlink" Target="https://doi.org/10.1080/13540602.2017.1421164" TargetMode="External"/><Relationship Id="rId52" Type="http://schemas.openxmlformats.org/officeDocument/2006/relationships/hyperlink" Target="https://eric.ed.gov/?id=EJ1213628" TargetMode="External"/><Relationship Id="rId60" Type="http://schemas.openxmlformats.org/officeDocument/2006/relationships/hyperlink" Target="https://regents.louisiana.gov/grad-act/"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doi.org/10.1007/978-3-030-16151-4_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us01.safelinks.protection.outlook.com/?url=https%3A%2F%2Fwww.aihw.gov.au%2Fgetmedia%2Fa69ee08a-857f-412b-b617-a29acb66a475%2Faihw-phe-287.pdf.aspx%3Finline%3Dtrue&amp;data=05%7C01%7CMelanie.Spallek%40acu.edu.au%7C9288515ef0034d663def08db097d98a1%7C429af009f196448fae7958c212a0f2ce%7C0%7C0%7C638114207250906303%7CUnknown%7CTWFpbGZsb3d8eyJWIjoiMC4wLjAwMDAiLCJQIjoiV2luMzIiLCJBTiI6Ik1haWwiLCJXVCI6Mn0%3D%7C3000%7C%7C%7C&amp;sdata=8Cn32iMZGRXnhXVdXIkbo77JK4E17e%2Fk%2BZ3lrohfRuw%3D&amp;reserved=0" TargetMode="External"/><Relationship Id="rId1" Type="http://schemas.openxmlformats.org/officeDocument/2006/relationships/hyperlink" Target="https://www.abs.gov.au/statistics/health/causes-death/provisional-mortality-statistics/jan-2020-dec-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PA">
      <a:dk1>
        <a:sysClr val="windowText" lastClr="000000"/>
      </a:dk1>
      <a:lt1>
        <a:sysClr val="window" lastClr="FFFFFF"/>
      </a:lt1>
      <a:dk2>
        <a:srgbClr val="44546A"/>
      </a:dk2>
      <a:lt2>
        <a:srgbClr val="E7E6E6"/>
      </a:lt2>
      <a:accent1>
        <a:srgbClr val="256580"/>
      </a:accent1>
      <a:accent2>
        <a:srgbClr val="60873B"/>
      </a:accent2>
      <a:accent3>
        <a:srgbClr val="DAAB27"/>
      </a:accent3>
      <a:accent4>
        <a:srgbClr val="C54A58"/>
      </a:accent4>
      <a:accent5>
        <a:srgbClr val="002060"/>
      </a:accent5>
      <a:accent6>
        <a:srgbClr val="6000C0"/>
      </a:accent6>
      <a:hlink>
        <a:srgbClr val="0563C1"/>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F55105FCD81C4F8907AE049F33FB07" ma:contentTypeVersion="" ma:contentTypeDescription="PDMS Document Site Content Type" ma:contentTypeScope="" ma:versionID="f2ed100a2f6c03d4c95973f31f28df4e">
  <xsd:schema xmlns:xsd="http://www.w3.org/2001/XMLSchema" xmlns:xs="http://www.w3.org/2001/XMLSchema" xmlns:p="http://schemas.microsoft.com/office/2006/metadata/properties" xmlns:ns2="7854C0B0-7D5D-4CAA-BD79-86FB2D0E615A" targetNamespace="http://schemas.microsoft.com/office/2006/metadata/properties" ma:root="true" ma:fieldsID="e0af5a01b95c2425faf03eea26f8174a" ns2:_="">
    <xsd:import namespace="7854C0B0-7D5D-4CAA-BD79-86FB2D0E61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4C0B0-7D5D-4CAA-BD79-86FB2D0E61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854C0B0-7D5D-4CAA-BD79-86FB2D0E615A" xsi:nil="true"/>
  </documentManagement>
</p:properties>
</file>

<file path=customXml/itemProps1.xml><?xml version="1.0" encoding="utf-8"?>
<ds:datastoreItem xmlns:ds="http://schemas.openxmlformats.org/officeDocument/2006/customXml" ds:itemID="{0382C0EF-D822-4C29-BA73-079FF19AF05D}">
  <ds:schemaRefs>
    <ds:schemaRef ds:uri="http://schemas.openxmlformats.org/officeDocument/2006/bibliography"/>
  </ds:schemaRefs>
</ds:datastoreItem>
</file>

<file path=customXml/itemProps2.xml><?xml version="1.0" encoding="utf-8"?>
<ds:datastoreItem xmlns:ds="http://schemas.openxmlformats.org/officeDocument/2006/customXml" ds:itemID="{665A752B-BCB1-46FB-9F24-2134C1391017}">
  <ds:schemaRefs>
    <ds:schemaRef ds:uri="http://schemas.microsoft.com/sharepoint/v3/contenttype/forms"/>
  </ds:schemaRefs>
</ds:datastoreItem>
</file>

<file path=customXml/itemProps3.xml><?xml version="1.0" encoding="utf-8"?>
<ds:datastoreItem xmlns:ds="http://schemas.openxmlformats.org/officeDocument/2006/customXml" ds:itemID="{62A37006-DEC2-4429-99B7-42FDA7EE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4C0B0-7D5D-4CAA-BD79-86FB2D0E6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15AE2-5E1B-45D4-B13F-DF68D4DB2A6D}">
  <ds:schemaRefs>
    <ds:schemaRef ds:uri="7854C0B0-7D5D-4CAA-BD79-86FB2D0E615A"/>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6490</Words>
  <Characters>40831</Characters>
  <Application>Microsoft Office Word</Application>
  <DocSecurity>0</DocSecurity>
  <Lines>579</Lines>
  <Paragraphs>243</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Wyatt-Smith;Chantelle Day</dc:creator>
  <cp:lastModifiedBy>HORAN,Peta</cp:lastModifiedBy>
  <cp:revision>4</cp:revision>
  <cp:lastPrinted>2023-12-03T23:56:00Z</cp:lastPrinted>
  <dcterms:created xsi:type="dcterms:W3CDTF">2023-12-03T23:55:00Z</dcterms:created>
  <dcterms:modified xsi:type="dcterms:W3CDTF">2023-12-03T23:57:00Z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0x010100266966F133664895A6EE3632470D45F500F1F55105FCD81C4F8907AE049F33FB07</vt:lpwstr>
  </property>
  <property fmtid="{D5CDD505-2E9C-101B-9397-08002B2CF9AE}" pid="3" name="MSIP_Label_79d889eb-932f-4752-8739-64d25806ef64_Enabled">
    <vt:lpwstr>true</vt:lpwstr>
  </property>
  <property fmtid="{D5CDD505-2E9C-101B-9397-08002B2CF9AE}" pid="4" name="MSIP_Label_79d889eb-932f-4752-8739-64d25806ef64_SetDate">
    <vt:lpwstr>2023-02-02T05:19:37Z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de548c7a-af4e-4e94-852c-b4ba675680c3</vt:lpwstr>
  </property>
  <property fmtid="{D5CDD505-2E9C-101B-9397-08002B2CF9AE}" pid="9" name="MSIP_Label_79d889eb-932f-4752-8739-64d25806ef64_ContentBits">
    <vt:lpwstr>0</vt:lpwstr>
  </property>
  <property fmtid="{D5CDD505-2E9C-101B-9397-08002B2CF9AE}" pid="10" name="GrammarlyDocumentId">
    <vt:lpwstr>75ea4c42c91ddfa4d58ba479b2b3d2bfb198bd237012193235098b94b9d5cffa</vt:lpwstr>
  </property>
  <property fmtid="{D5CDD505-2E9C-101B-9397-08002B2CF9AE}" pid="11" name="MediaServiceImageTags">
    <vt:lpwstr/>
  </property>
</Properties>
</file>