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9A82" w14:textId="3B2D2A59" w:rsidR="00185CBF" w:rsidRPr="002605D2" w:rsidRDefault="00776FE9" w:rsidP="002605D2">
      <w:pPr>
        <w:pStyle w:val="Title"/>
      </w:pPr>
      <w:r w:rsidRPr="002605D2">
        <w:t>Draft 2024 International TPS Levy</w:t>
      </w:r>
      <w:r w:rsidR="00030B87" w:rsidRPr="002605D2">
        <w:t xml:space="preserve"> Settings</w:t>
      </w:r>
    </w:p>
    <w:p w14:paraId="2D3B576D" w14:textId="7F21E542" w:rsidR="00185CBF" w:rsidRPr="002605D2" w:rsidRDefault="00776FE9" w:rsidP="002605D2">
      <w:pPr>
        <w:pStyle w:val="Subtitle"/>
      </w:pPr>
      <w:r w:rsidRPr="002605D2">
        <w:t>Levy principles</w:t>
      </w:r>
      <w:r w:rsidR="00DA36AD" w:rsidRPr="002605D2">
        <w:t xml:space="preserve">, </w:t>
      </w:r>
      <w:r w:rsidRPr="002605D2">
        <w:t>components</w:t>
      </w:r>
      <w:r w:rsidR="00DA36AD" w:rsidRPr="002605D2">
        <w:t xml:space="preserve"> and</w:t>
      </w:r>
      <w:r w:rsidR="00D06559" w:rsidRPr="002605D2">
        <w:t xml:space="preserve"> calculation examples</w:t>
      </w:r>
    </w:p>
    <w:p w14:paraId="672E6E79" w14:textId="4E3270DB" w:rsidR="00776FE9" w:rsidRDefault="00776FE9" w:rsidP="00776FE9">
      <w:r>
        <w:t xml:space="preserve">The International </w:t>
      </w:r>
      <w:r w:rsidR="003E1775">
        <w:t>TPS</w:t>
      </w:r>
      <w:r>
        <w:t xml:space="preserve"> Levy (the </w:t>
      </w:r>
      <w:r w:rsidRPr="6887411F">
        <w:rPr>
          <w:b/>
          <w:bCs/>
        </w:rPr>
        <w:t>levy</w:t>
      </w:r>
      <w:r>
        <w:t>) is paid annually by registered CRICOS providers. The levy funds the activities of the Tuition Protection Service (TPS) following an international education</w:t>
      </w:r>
      <w:r w:rsidR="23A7282F">
        <w:t xml:space="preserve"> and training</w:t>
      </w:r>
      <w:r>
        <w:t xml:space="preserve"> provider default. That is, where a</w:t>
      </w:r>
      <w:r w:rsidR="00CB0C70">
        <w:t xml:space="preserve"> </w:t>
      </w:r>
      <w:r>
        <w:t>provider closes, fails to start, or ceases to provide a course or unit of study for an enrolled international student.</w:t>
      </w:r>
    </w:p>
    <w:p w14:paraId="7B50FB3C" w14:textId="77777777" w:rsidR="00776FE9" w:rsidRDefault="00776FE9" w:rsidP="00776FE9">
      <w:r>
        <w:t>The levy is paid into the Overseas Students Tuition Fund (OSTF) – a quarantined account managed by the TPS Director.</w:t>
      </w:r>
    </w:p>
    <w:p w14:paraId="6CC3207C" w14:textId="77777777" w:rsidR="00776FE9" w:rsidRDefault="00776FE9" w:rsidP="006F5407">
      <w:pPr>
        <w:spacing w:after="40"/>
      </w:pPr>
      <w:r>
        <w:t>The levy is comprised of four components:</w:t>
      </w:r>
    </w:p>
    <w:p w14:paraId="14C22046" w14:textId="77777777" w:rsidR="00776FE9" w:rsidRDefault="00776FE9" w:rsidP="00776FE9">
      <w:pPr>
        <w:pStyle w:val="ListParagraph"/>
        <w:numPr>
          <w:ilvl w:val="0"/>
          <w:numId w:val="1"/>
        </w:numPr>
      </w:pPr>
      <w:r>
        <w:t>the administrative fee component</w:t>
      </w:r>
    </w:p>
    <w:p w14:paraId="765CCE34" w14:textId="77777777" w:rsidR="00776FE9" w:rsidRDefault="00776FE9" w:rsidP="00776FE9">
      <w:pPr>
        <w:pStyle w:val="ListParagraph"/>
        <w:numPr>
          <w:ilvl w:val="0"/>
          <w:numId w:val="1"/>
        </w:numPr>
      </w:pPr>
      <w:r>
        <w:t>the base fee component</w:t>
      </w:r>
    </w:p>
    <w:p w14:paraId="615FAA9B" w14:textId="77777777" w:rsidR="00776FE9" w:rsidRDefault="00776FE9" w:rsidP="00776FE9">
      <w:pPr>
        <w:pStyle w:val="ListParagraph"/>
        <w:numPr>
          <w:ilvl w:val="0"/>
          <w:numId w:val="1"/>
        </w:numPr>
      </w:pPr>
      <w:r>
        <w:t>the risk rated premium component</w:t>
      </w:r>
    </w:p>
    <w:p w14:paraId="2E20F71E" w14:textId="77777777" w:rsidR="00776FE9" w:rsidRDefault="00776FE9" w:rsidP="00776FE9">
      <w:pPr>
        <w:pStyle w:val="ListParagraph"/>
        <w:numPr>
          <w:ilvl w:val="0"/>
          <w:numId w:val="1"/>
        </w:numPr>
      </w:pPr>
      <w:r>
        <w:t>the special tuition protection component.</w:t>
      </w:r>
    </w:p>
    <w:p w14:paraId="0D1444F9" w14:textId="77777777" w:rsidR="008C4C31" w:rsidRDefault="004B3AE9" w:rsidP="008C4C31">
      <w:r>
        <w:t>Annual levy settings</w:t>
      </w:r>
      <w:r w:rsidR="00F825C7">
        <w:t xml:space="preserve"> for each component</w:t>
      </w:r>
      <w:r>
        <w:t xml:space="preserve"> are set through two legislative instruments</w:t>
      </w:r>
      <w:r w:rsidR="00B6163F">
        <w:t>, which must be made by 1 January each year.</w:t>
      </w:r>
    </w:p>
    <w:p w14:paraId="5BC90714" w14:textId="77777777" w:rsidR="008C4C31" w:rsidRDefault="00776FE9" w:rsidP="008C4C31">
      <w:r>
        <w:t>The administrative fee component and base fee component are set by the Minister for Education</w:t>
      </w:r>
      <w:r w:rsidR="00AE6848">
        <w:t xml:space="preserve"> in the </w:t>
      </w:r>
      <w:r w:rsidR="006B0595">
        <w:t>‘Education Services for Overseas Students (TPS Levies) (Administrative and Base Fees) Determination’.</w:t>
      </w:r>
      <w:r w:rsidR="008B1DAD">
        <w:t xml:space="preserve"> The Minister may choose not to </w:t>
      </w:r>
      <w:r w:rsidR="009764A0">
        <w:t>make a legislative instrument</w:t>
      </w:r>
      <w:r w:rsidR="00580530">
        <w:t>, in which case</w:t>
      </w:r>
      <w:r w:rsidR="004559A2">
        <w:t xml:space="preserve"> the administrative fee and base fee component amounts will be indexed</w:t>
      </w:r>
      <w:r w:rsidR="00B91453">
        <w:t>.</w:t>
      </w:r>
    </w:p>
    <w:p w14:paraId="4955446A" w14:textId="3D96C324" w:rsidR="00776FE9" w:rsidRDefault="00776FE9" w:rsidP="008C4C31">
      <w:r>
        <w:t>The risk rated premium component and special tuition protection component are set by the TPS Director with advice from the TPS Advisory Board</w:t>
      </w:r>
      <w:r w:rsidR="00EB44A5">
        <w:t xml:space="preserve"> in the ‘Education Services for Overseas Students (TPS Levies) (Risk Rated Premium and Special Tuition Protection Components) Instrument</w:t>
      </w:r>
      <w:r w:rsidR="008B1DAD">
        <w:t>’</w:t>
      </w:r>
      <w:r w:rsidR="00EB44A5">
        <w:t>.</w:t>
      </w:r>
    </w:p>
    <w:p w14:paraId="69C7148A" w14:textId="1F2425FB" w:rsidR="00185CBF" w:rsidRPr="006F5407" w:rsidRDefault="00776FE9" w:rsidP="008F4116">
      <w:pPr>
        <w:pStyle w:val="Heading1"/>
      </w:pPr>
      <w:r w:rsidRPr="006F5407">
        <w:t>Levy principles</w:t>
      </w:r>
    </w:p>
    <w:p w14:paraId="2F92A013" w14:textId="77777777" w:rsidR="00776FE9" w:rsidRDefault="00776FE9" w:rsidP="00471676">
      <w:pPr>
        <w:keepNext/>
        <w:spacing w:after="40"/>
      </w:pPr>
      <w:r w:rsidRPr="2D29E7D8">
        <w:t xml:space="preserve">The </w:t>
      </w:r>
      <w:hyperlink r:id="rId11" w:history="1">
        <w:r w:rsidRPr="00B76A3D">
          <w:rPr>
            <w:rStyle w:val="Hyperlink"/>
          </w:rPr>
          <w:t>TPS Advisory Board</w:t>
        </w:r>
      </w:hyperlink>
      <w:r w:rsidRPr="004D2247">
        <w:rPr>
          <w:rStyle w:val="FootnoteReference"/>
          <w:lang w:val="en-US"/>
        </w:rPr>
        <w:footnoteReference w:id="1"/>
      </w:r>
      <w:r>
        <w:t xml:space="preserve"> </w:t>
      </w:r>
      <w:r w:rsidRPr="2D29E7D8">
        <w:t xml:space="preserve">has agreed to </w:t>
      </w:r>
      <w:r>
        <w:t>the following</w:t>
      </w:r>
      <w:r w:rsidRPr="2D29E7D8">
        <w:t xml:space="preserve"> principles </w:t>
      </w:r>
      <w:r>
        <w:t>when providing advice to the TPS Director</w:t>
      </w:r>
      <w:r w:rsidRPr="2D29E7D8">
        <w:t xml:space="preserve"> </w:t>
      </w:r>
      <w:r>
        <w:t>on</w:t>
      </w:r>
      <w:r w:rsidRPr="2D29E7D8">
        <w:t xml:space="preserve"> </w:t>
      </w:r>
      <w:r w:rsidRPr="004E6564">
        <w:t>levy</w:t>
      </w:r>
      <w:r w:rsidRPr="00F93851">
        <w:rPr>
          <w:b/>
          <w:bCs/>
        </w:rPr>
        <w:t xml:space="preserve"> </w:t>
      </w:r>
      <w:r w:rsidRPr="00F93851">
        <w:t>setting</w:t>
      </w:r>
      <w:r>
        <w:t xml:space="preserve">s, </w:t>
      </w:r>
      <w:r w:rsidRPr="2D29E7D8">
        <w:t>specifically the risk rated premium component</w:t>
      </w:r>
      <w:r>
        <w:t>:</w:t>
      </w:r>
    </w:p>
    <w:p w14:paraId="2713CF12" w14:textId="77777777" w:rsidR="00776FE9" w:rsidRDefault="00776FE9" w:rsidP="00471676">
      <w:pPr>
        <w:pStyle w:val="ListParagraph"/>
        <w:keepNext/>
        <w:numPr>
          <w:ilvl w:val="0"/>
          <w:numId w:val="2"/>
        </w:numPr>
      </w:pPr>
      <w:r>
        <w:t xml:space="preserve">Advice should </w:t>
      </w:r>
      <w:r w:rsidRPr="00272FD5">
        <w:rPr>
          <w:b/>
          <w:bCs/>
        </w:rPr>
        <w:t>reflect the overall risk environment</w:t>
      </w:r>
      <w:r>
        <w:t xml:space="preserve"> and ensure that revenue matches what is </w:t>
      </w:r>
      <w:r w:rsidRPr="006765D6">
        <w:t xml:space="preserve">needed to </w:t>
      </w:r>
      <w:r w:rsidRPr="00272FD5">
        <w:rPr>
          <w:b/>
          <w:bCs/>
        </w:rPr>
        <w:t>sustain the relevant fund</w:t>
      </w:r>
      <w:r w:rsidRPr="006765D6">
        <w:t xml:space="preserve">, while also being </w:t>
      </w:r>
      <w:r w:rsidRPr="00272FD5">
        <w:rPr>
          <w:b/>
          <w:bCs/>
        </w:rPr>
        <w:t>sustainable for the industry</w:t>
      </w:r>
      <w:r>
        <w:t xml:space="preserve">; </w:t>
      </w:r>
    </w:p>
    <w:p w14:paraId="3DFBBB08" w14:textId="77777777" w:rsidR="00776FE9" w:rsidRDefault="00776FE9" w:rsidP="00776FE9">
      <w:pPr>
        <w:pStyle w:val="ListParagraph"/>
        <w:numPr>
          <w:ilvl w:val="0"/>
          <w:numId w:val="2"/>
        </w:numPr>
      </w:pPr>
      <w:r>
        <w:t xml:space="preserve">The model for each levy should </w:t>
      </w:r>
      <w:r w:rsidRPr="00272FD5">
        <w:rPr>
          <w:b/>
          <w:bCs/>
        </w:rPr>
        <w:t>reflect gradual change</w:t>
      </w:r>
      <w:r>
        <w:t xml:space="preserve"> and assist the industry with business planning by providing a stable regulatory environment;</w:t>
      </w:r>
    </w:p>
    <w:p w14:paraId="7D430568" w14:textId="77777777" w:rsidR="00776FE9" w:rsidRDefault="00776FE9" w:rsidP="00776FE9">
      <w:pPr>
        <w:pStyle w:val="ListParagraph"/>
        <w:numPr>
          <w:ilvl w:val="0"/>
          <w:numId w:val="2"/>
        </w:numPr>
      </w:pPr>
      <w:r>
        <w:t xml:space="preserve">The model should be as </w:t>
      </w:r>
      <w:r w:rsidRPr="00272FD5">
        <w:rPr>
          <w:b/>
          <w:bCs/>
        </w:rPr>
        <w:t>simple and transparent</w:t>
      </w:r>
      <w:r>
        <w:t xml:space="preserve"> as possible, preferably based on a small number of risk factors;</w:t>
      </w:r>
    </w:p>
    <w:p w14:paraId="735E3543" w14:textId="77777777" w:rsidR="00AF2FDC" w:rsidRDefault="00776FE9" w:rsidP="00AF2FDC">
      <w:pPr>
        <w:pStyle w:val="ListParagraph"/>
        <w:numPr>
          <w:ilvl w:val="0"/>
          <w:numId w:val="2"/>
        </w:numPr>
      </w:pPr>
      <w:r>
        <w:t xml:space="preserve">Risk premiums imposed should provide </w:t>
      </w:r>
      <w:r w:rsidRPr="00272FD5">
        <w:rPr>
          <w:b/>
          <w:bCs/>
        </w:rPr>
        <w:t>incentives for providers to adopt positive behaviours</w:t>
      </w:r>
      <w:r>
        <w:t>; and</w:t>
      </w:r>
    </w:p>
    <w:p w14:paraId="434494CF" w14:textId="3B8B8AF2" w:rsidR="00776FE9" w:rsidRPr="005B3863" w:rsidRDefault="00776FE9" w:rsidP="00B553F5">
      <w:pPr>
        <w:pStyle w:val="ListParagraph"/>
        <w:widowControl w:val="0"/>
        <w:numPr>
          <w:ilvl w:val="0"/>
          <w:numId w:val="2"/>
        </w:numPr>
        <w:spacing w:after="180"/>
        <w:ind w:left="714" w:hanging="357"/>
      </w:pPr>
      <w:r w:rsidRPr="00AF2FDC">
        <w:rPr>
          <w:b/>
          <w:bCs/>
        </w:rPr>
        <w:t>Additional imposts on industry, such as data collection, should be minimised</w:t>
      </w:r>
      <w:r>
        <w:t xml:space="preserve"> where possible, consistent with the ability to set sound risk-based levies.</w:t>
      </w:r>
    </w:p>
    <w:p w14:paraId="616D4F19" w14:textId="7425CD40" w:rsidR="00776FE9" w:rsidRPr="008F4116" w:rsidRDefault="00776FE9" w:rsidP="008F4116">
      <w:pPr>
        <w:pStyle w:val="Heading1"/>
      </w:pPr>
      <w:r w:rsidRPr="008F4116">
        <w:lastRenderedPageBreak/>
        <w:t>Legislative authority</w:t>
      </w:r>
    </w:p>
    <w:p w14:paraId="37DA0BC3" w14:textId="2862DD5F" w:rsidR="00776FE9" w:rsidRDefault="00AC485F" w:rsidP="00776FE9">
      <w:r>
        <w:t>L</w:t>
      </w:r>
      <w:r w:rsidR="00B9667C">
        <w:t>egislat</w:t>
      </w:r>
      <w:r w:rsidR="00747C0F">
        <w:t>ive authority to collect the International TPS Levy is outlined in the</w:t>
      </w:r>
      <w:r w:rsidR="00747C0F" w:rsidRPr="00D75E6D">
        <w:t xml:space="preserve"> </w:t>
      </w:r>
      <w:hyperlink r:id="rId12" w:history="1">
        <w:r w:rsidR="00DE0697" w:rsidRPr="00D75E6D">
          <w:rPr>
            <w:rStyle w:val="Hyperlink"/>
            <w:i/>
            <w:iCs/>
          </w:rPr>
          <w:t>Education Services for Overseas Students Act 2000</w:t>
        </w:r>
      </w:hyperlink>
      <w:r w:rsidR="00776FE9" w:rsidRPr="004D2247">
        <w:rPr>
          <w:rStyle w:val="FootnoteReference"/>
          <w:lang w:val="en-US"/>
        </w:rPr>
        <w:footnoteReference w:id="2"/>
      </w:r>
      <w:r w:rsidR="00AF2FDC" w:rsidRPr="00AF2FDC">
        <w:t xml:space="preserve"> (ESOS Act)</w:t>
      </w:r>
      <w:r w:rsidR="00726EF6" w:rsidRPr="00AF2FDC">
        <w:t>.</w:t>
      </w:r>
    </w:p>
    <w:p w14:paraId="4BD7155C" w14:textId="77777777" w:rsidR="00C80146" w:rsidRDefault="00C80146" w:rsidP="008F4116">
      <w:pPr>
        <w:pStyle w:val="Heading1"/>
      </w:pPr>
      <w:r>
        <w:t>Exemptions</w:t>
      </w:r>
    </w:p>
    <w:p w14:paraId="155B440A" w14:textId="77777777" w:rsidR="00C80146" w:rsidRDefault="00C80146" w:rsidP="00C80146">
      <w:r>
        <w:t>The Minister for Education may, by legislative instrument, prescribe classes of registered providers that are exempt from the requirement to pay the base fee component and/or the risk rated premium component of the levy.</w:t>
      </w:r>
    </w:p>
    <w:p w14:paraId="694DF066" w14:textId="77777777" w:rsidR="00C80146" w:rsidRDefault="00C80146" w:rsidP="00C80146">
      <w:pPr>
        <w:spacing w:after="40"/>
      </w:pPr>
      <w:r>
        <w:t xml:space="preserve">Under the </w:t>
      </w:r>
      <w:hyperlink r:id="rId13" w:history="1">
        <w:r w:rsidRPr="00471676">
          <w:rPr>
            <w:rStyle w:val="Hyperlink"/>
          </w:rPr>
          <w:t>Education Services for Overseas Students (TPS Levies—Exemptions) Instrument 2022</w:t>
        </w:r>
      </w:hyperlink>
      <w:r>
        <w:rPr>
          <w:rStyle w:val="FootnoteReference"/>
        </w:rPr>
        <w:footnoteReference w:id="3"/>
      </w:r>
      <w:r>
        <w:t>, the following providers are exempt from the requirement to pay the base fee component:</w:t>
      </w:r>
    </w:p>
    <w:p w14:paraId="6E0C5ECE" w14:textId="77777777" w:rsidR="00C80146" w:rsidRDefault="00C80146" w:rsidP="0099613A">
      <w:pPr>
        <w:pStyle w:val="ListParagraph"/>
        <w:numPr>
          <w:ilvl w:val="0"/>
          <w:numId w:val="17"/>
        </w:numPr>
        <w:spacing w:after="40"/>
      </w:pPr>
      <w:r>
        <w:t>registered schools that had no overseas student enrolments in the calendar year immediately prior to the year for which the levy is imposed;</w:t>
      </w:r>
    </w:p>
    <w:p w14:paraId="6B9DF84C" w14:textId="77777777" w:rsidR="00C80146" w:rsidRDefault="00C80146" w:rsidP="00C80146">
      <w:pPr>
        <w:spacing w:after="40"/>
      </w:pPr>
      <w:r>
        <w:t>and the following providers are exempt from the requirement to pay the risk rated premium component:</w:t>
      </w:r>
    </w:p>
    <w:p w14:paraId="264B785E" w14:textId="77777777" w:rsidR="00C80146" w:rsidRDefault="00C80146" w:rsidP="00C80146">
      <w:pPr>
        <w:pStyle w:val="ListParagraph"/>
        <w:numPr>
          <w:ilvl w:val="0"/>
          <w:numId w:val="18"/>
        </w:numPr>
      </w:pPr>
      <w:r>
        <w:t>Table A providers;</w:t>
      </w:r>
    </w:p>
    <w:p w14:paraId="1598285F" w14:textId="77777777" w:rsidR="00C80146" w:rsidRDefault="00C80146" w:rsidP="00C80146">
      <w:pPr>
        <w:pStyle w:val="ListParagraph"/>
        <w:numPr>
          <w:ilvl w:val="0"/>
          <w:numId w:val="17"/>
        </w:numPr>
      </w:pPr>
      <w:r>
        <w:t>government schools; and</w:t>
      </w:r>
    </w:p>
    <w:p w14:paraId="58A8A46D" w14:textId="1876834F" w:rsidR="00C80146" w:rsidRPr="00C80146" w:rsidRDefault="00C80146" w:rsidP="00C80146">
      <w:pPr>
        <w:pStyle w:val="ListParagraph"/>
        <w:numPr>
          <w:ilvl w:val="0"/>
          <w:numId w:val="17"/>
        </w:numPr>
        <w:rPr>
          <w:rStyle w:val="Hyperlink"/>
          <w:color w:val="000000" w:themeColor="text1"/>
          <w:u w:val="none"/>
        </w:rPr>
      </w:pPr>
      <w:r>
        <w:t>State or Territory VET institutions.</w:t>
      </w:r>
    </w:p>
    <w:p w14:paraId="6DEFCD89" w14:textId="60029800" w:rsidR="00776FE9" w:rsidRPr="00B401C5" w:rsidRDefault="00776FE9" w:rsidP="008F4116">
      <w:pPr>
        <w:pStyle w:val="Heading1"/>
        <w:rPr>
          <w:rStyle w:val="Hyperlink"/>
          <w:color w:val="4897A2" w:themeColor="accent1"/>
          <w:u w:val="none"/>
        </w:rPr>
      </w:pPr>
      <w:r w:rsidRPr="00B401C5">
        <w:rPr>
          <w:rStyle w:val="Hyperlink"/>
          <w:color w:val="4897A2" w:themeColor="accent1"/>
          <w:u w:val="none"/>
        </w:rPr>
        <w:t>Draft 2024 International TPS Levy settings</w:t>
      </w:r>
    </w:p>
    <w:p w14:paraId="688D644C" w14:textId="0AA22B44" w:rsidR="00776FE9" w:rsidRPr="006166BB" w:rsidRDefault="00776FE9" w:rsidP="00776FE9">
      <w:r>
        <w:t xml:space="preserve">The </w:t>
      </w:r>
      <w:r w:rsidRPr="00A13E42">
        <w:t>TPS Advisory Boar</w:t>
      </w:r>
      <w:r>
        <w:t xml:space="preserve">d provided its draft advice to the TPS Director on the 2024 </w:t>
      </w:r>
      <w:r w:rsidRPr="00B30D09">
        <w:t xml:space="preserve">levy </w:t>
      </w:r>
      <w:r w:rsidR="003506BC" w:rsidRPr="00B30D09">
        <w:t xml:space="preserve">settings </w:t>
      </w:r>
      <w:r w:rsidRPr="00B30D09">
        <w:t xml:space="preserve">at its August 2023 meeting. The </w:t>
      </w:r>
      <w:hyperlink r:id="rId14" w:history="1">
        <w:r w:rsidRPr="00B30D09">
          <w:rPr>
            <w:rStyle w:val="Hyperlink"/>
          </w:rPr>
          <w:t>Board’s Letter of Draft Advice</w:t>
        </w:r>
      </w:hyperlink>
      <w:r w:rsidR="00B30D09">
        <w:rPr>
          <w:rStyle w:val="FootnoteReference"/>
        </w:rPr>
        <w:footnoteReference w:id="4"/>
      </w:r>
      <w:r w:rsidRPr="00B30D09">
        <w:t xml:space="preserve"> is available for viewing on the TPS website.</w:t>
      </w:r>
    </w:p>
    <w:tbl>
      <w:tblPr>
        <w:tblStyle w:val="TPS"/>
        <w:tblW w:w="5000" w:type="pct"/>
        <w:tblLook w:val="0420" w:firstRow="1" w:lastRow="0" w:firstColumn="0" w:lastColumn="0" w:noHBand="0" w:noVBand="1"/>
      </w:tblPr>
      <w:tblGrid>
        <w:gridCol w:w="3681"/>
        <w:gridCol w:w="6061"/>
      </w:tblGrid>
      <w:tr w:rsidR="00776FE9" w:rsidRPr="00AF068E" w14:paraId="7DB38560" w14:textId="77777777" w:rsidTr="00B55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1889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  <w:hideMark/>
          </w:tcPr>
          <w:p w14:paraId="134D9F03" w14:textId="7FEE99C6" w:rsidR="00776FE9" w:rsidRPr="00AF068E" w:rsidRDefault="00776FE9" w:rsidP="00507286">
            <w:pPr>
              <w:pStyle w:val="TableHeader"/>
            </w:pPr>
            <w:r>
              <w:t xml:space="preserve">Levy </w:t>
            </w:r>
            <w:r w:rsidR="001A349E">
              <w:t>c</w:t>
            </w:r>
            <w:r>
              <w:t>omponent</w:t>
            </w:r>
          </w:p>
        </w:tc>
        <w:tc>
          <w:tcPr>
            <w:tcW w:w="3111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  <w:hideMark/>
          </w:tcPr>
          <w:p w14:paraId="23DA030B" w14:textId="76EE05EA" w:rsidR="00776FE9" w:rsidRPr="00AF068E" w:rsidRDefault="00776FE9" w:rsidP="00507286">
            <w:pPr>
              <w:pStyle w:val="TableHeader"/>
            </w:pPr>
            <w:r>
              <w:t xml:space="preserve">Draft 2024 </w:t>
            </w:r>
            <w:r w:rsidR="001A349E">
              <w:t>s</w:t>
            </w:r>
            <w:r>
              <w:t>ettings</w:t>
            </w:r>
          </w:p>
        </w:tc>
      </w:tr>
      <w:tr w:rsidR="00776FE9" w:rsidRPr="00AF068E" w14:paraId="72763E7A" w14:textId="77777777" w:rsidTr="00363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1889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6B109F8B" w14:textId="7488155C" w:rsidR="00776FE9" w:rsidRPr="006816FD" w:rsidRDefault="00776FE9" w:rsidP="001267C6">
            <w:pPr>
              <w:pStyle w:val="Tablecontents"/>
            </w:pPr>
            <w:r w:rsidRPr="006816FD">
              <w:t>Administrative fee component</w:t>
            </w:r>
            <w:r w:rsidR="006816FD" w:rsidRPr="006816FD">
              <w:t>*</w:t>
            </w:r>
          </w:p>
        </w:tc>
        <w:tc>
          <w:tcPr>
            <w:tcW w:w="3111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77C59872" w14:textId="7C9C3AE6" w:rsidR="00776FE9" w:rsidRPr="006816FD" w:rsidRDefault="00776FE9" w:rsidP="001267C6">
            <w:pPr>
              <w:pStyle w:val="Tablecontents"/>
              <w:spacing w:before="80" w:after="80"/>
            </w:pPr>
            <w:r w:rsidRPr="006816FD">
              <w:rPr>
                <w:b/>
                <w:bCs/>
              </w:rPr>
              <w:t>$</w:t>
            </w:r>
            <w:r w:rsidR="008E3F2E" w:rsidRPr="006816FD">
              <w:rPr>
                <w:b/>
                <w:bCs/>
              </w:rPr>
              <w:t>99.00</w:t>
            </w:r>
            <w:r w:rsidRPr="006816FD">
              <w:t xml:space="preserve"> per provider +</w:t>
            </w:r>
            <w:r w:rsidRPr="006816FD">
              <w:br/>
            </w:r>
            <w:r w:rsidRPr="006816FD">
              <w:rPr>
                <w:b/>
                <w:bCs/>
              </w:rPr>
              <w:t>$</w:t>
            </w:r>
            <w:r w:rsidR="008E3F2E" w:rsidRPr="006816FD">
              <w:rPr>
                <w:b/>
                <w:bCs/>
              </w:rPr>
              <w:t>0.51</w:t>
            </w:r>
            <w:r w:rsidRPr="006816FD">
              <w:t xml:space="preserve"> per </w:t>
            </w:r>
            <w:r w:rsidR="006816FD" w:rsidRPr="006816FD">
              <w:t xml:space="preserve">2023 </w:t>
            </w:r>
            <w:r w:rsidR="008E3F2E" w:rsidRPr="006816FD">
              <w:t>international</w:t>
            </w:r>
            <w:r w:rsidRPr="006816FD">
              <w:t xml:space="preserve"> student</w:t>
            </w:r>
            <w:r w:rsidR="008E3F2E" w:rsidRPr="006816FD">
              <w:t xml:space="preserve"> enrolment</w:t>
            </w:r>
          </w:p>
        </w:tc>
      </w:tr>
      <w:tr w:rsidR="00776FE9" w:rsidRPr="00AF068E" w14:paraId="346C307D" w14:textId="77777777" w:rsidTr="002E41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1889" w:type="pct"/>
            <w:tcBorders>
              <w:top w:val="single" w:sz="4" w:space="0" w:color="FFFFFF" w:themeColor="background1"/>
            </w:tcBorders>
            <w:vAlign w:val="center"/>
          </w:tcPr>
          <w:p w14:paraId="3D47D245" w14:textId="20F51089" w:rsidR="00776FE9" w:rsidRPr="006816FD" w:rsidRDefault="00776FE9" w:rsidP="001267C6">
            <w:pPr>
              <w:pStyle w:val="Tablecontents"/>
            </w:pPr>
            <w:r w:rsidRPr="006816FD">
              <w:t>Base fee component</w:t>
            </w:r>
            <w:r w:rsidR="006816FD" w:rsidRPr="006816FD">
              <w:t>*</w:t>
            </w:r>
          </w:p>
        </w:tc>
        <w:tc>
          <w:tcPr>
            <w:tcW w:w="3111" w:type="pct"/>
            <w:tcBorders>
              <w:top w:val="single" w:sz="4" w:space="0" w:color="FFFFFF" w:themeColor="background1"/>
            </w:tcBorders>
            <w:vAlign w:val="center"/>
          </w:tcPr>
          <w:p w14:paraId="075A75F7" w14:textId="4941DA82" w:rsidR="00776FE9" w:rsidRPr="006816FD" w:rsidRDefault="00776FE9" w:rsidP="001267C6">
            <w:pPr>
              <w:pStyle w:val="Tablecontents"/>
              <w:spacing w:before="80" w:after="80"/>
              <w:rPr>
                <w:b/>
                <w:bCs/>
              </w:rPr>
            </w:pPr>
            <w:r w:rsidRPr="006816FD">
              <w:rPr>
                <w:b/>
                <w:bCs/>
              </w:rPr>
              <w:t>$1</w:t>
            </w:r>
            <w:r w:rsidR="008E3F2E" w:rsidRPr="006816FD">
              <w:rPr>
                <w:b/>
                <w:bCs/>
              </w:rPr>
              <w:t>99.00</w:t>
            </w:r>
            <w:r w:rsidRPr="006816FD">
              <w:t xml:space="preserve"> per provider +</w:t>
            </w:r>
            <w:r w:rsidRPr="006816FD">
              <w:br/>
            </w:r>
            <w:r w:rsidRPr="006816FD">
              <w:rPr>
                <w:b/>
                <w:bCs/>
              </w:rPr>
              <w:t>$</w:t>
            </w:r>
            <w:r w:rsidR="008E3F2E" w:rsidRPr="006816FD">
              <w:rPr>
                <w:b/>
                <w:bCs/>
              </w:rPr>
              <w:t>1.26</w:t>
            </w:r>
            <w:r w:rsidRPr="006816FD">
              <w:t xml:space="preserve"> per </w:t>
            </w:r>
            <w:r w:rsidR="006816FD" w:rsidRPr="006816FD">
              <w:t xml:space="preserve">2023 </w:t>
            </w:r>
            <w:r w:rsidR="008E3F2E" w:rsidRPr="006816FD">
              <w:t>international student enrolment</w:t>
            </w:r>
          </w:p>
        </w:tc>
      </w:tr>
      <w:tr w:rsidR="00776FE9" w:rsidRPr="00AF068E" w14:paraId="642E77C0" w14:textId="77777777" w:rsidTr="00363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tcW w:w="1889" w:type="pct"/>
            <w:vAlign w:val="center"/>
            <w:hideMark/>
          </w:tcPr>
          <w:p w14:paraId="358D083F" w14:textId="77777777" w:rsidR="00776FE9" w:rsidRPr="000D7E93" w:rsidRDefault="00776FE9" w:rsidP="001267C6">
            <w:pPr>
              <w:pStyle w:val="Tablecontents"/>
            </w:pPr>
            <w:r>
              <w:t>Risk rated premium component</w:t>
            </w:r>
          </w:p>
        </w:tc>
        <w:tc>
          <w:tcPr>
            <w:tcW w:w="3111" w:type="pct"/>
            <w:vAlign w:val="center"/>
            <w:hideMark/>
          </w:tcPr>
          <w:p w14:paraId="7E8234BF" w14:textId="118E2E21" w:rsidR="00776FE9" w:rsidRPr="005E423A" w:rsidRDefault="00922E37" w:rsidP="001267C6">
            <w:pPr>
              <w:pStyle w:val="Tablecontents"/>
              <w:spacing w:before="80" w:after="80"/>
              <w:rPr>
                <w:highlight w:val="yellow"/>
              </w:rPr>
            </w:pPr>
            <w:r w:rsidRPr="00B164A0">
              <w:rPr>
                <w:bCs/>
              </w:rPr>
              <w:t>[</w:t>
            </w:r>
            <w:r w:rsidRPr="00B164A0">
              <w:rPr>
                <w:b/>
              </w:rPr>
              <w:t>0.05%</w:t>
            </w:r>
            <w:r w:rsidRPr="00B164A0">
              <w:rPr>
                <w:bCs/>
              </w:rPr>
              <w:t xml:space="preserve"> x increase factor for each risk factor</w:t>
            </w:r>
            <w:r w:rsidR="0060365B" w:rsidRPr="00B164A0">
              <w:rPr>
                <w:bCs/>
              </w:rPr>
              <w:t>] x</w:t>
            </w:r>
            <w:r w:rsidR="00776FE9" w:rsidRPr="00B164A0">
              <w:t xml:space="preserve"> total 202</w:t>
            </w:r>
            <w:r w:rsidR="0060365B" w:rsidRPr="00B164A0">
              <w:t>3</w:t>
            </w:r>
            <w:r w:rsidR="00776FE9" w:rsidRPr="00B164A0">
              <w:t xml:space="preserve"> </w:t>
            </w:r>
            <w:r w:rsidR="0060365B" w:rsidRPr="00B164A0">
              <w:t>overseas student tuition fees</w:t>
            </w:r>
          </w:p>
        </w:tc>
      </w:tr>
      <w:tr w:rsidR="00776FE9" w:rsidRPr="00AF068E" w14:paraId="1085AF68" w14:textId="77777777" w:rsidTr="00363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1889" w:type="pct"/>
            <w:vAlign w:val="center"/>
            <w:hideMark/>
          </w:tcPr>
          <w:p w14:paraId="65B4DE09" w14:textId="77777777" w:rsidR="00776FE9" w:rsidRPr="000D7E93" w:rsidRDefault="00776FE9" w:rsidP="001267C6">
            <w:pPr>
              <w:pStyle w:val="Tablecontents"/>
            </w:pPr>
            <w:r>
              <w:t>Special tuition protection component</w:t>
            </w:r>
          </w:p>
        </w:tc>
        <w:tc>
          <w:tcPr>
            <w:tcW w:w="3111" w:type="pct"/>
            <w:vAlign w:val="center"/>
            <w:hideMark/>
          </w:tcPr>
          <w:p w14:paraId="66B6DE94" w14:textId="1156C328" w:rsidR="00776FE9" w:rsidRPr="005E423A" w:rsidRDefault="00776FE9" w:rsidP="001267C6">
            <w:pPr>
              <w:pStyle w:val="Tablecontents"/>
              <w:spacing w:before="80" w:after="80"/>
              <w:rPr>
                <w:highlight w:val="yellow"/>
              </w:rPr>
            </w:pPr>
            <w:r w:rsidRPr="00B164A0">
              <w:rPr>
                <w:b/>
                <w:bCs/>
              </w:rPr>
              <w:t>0%</w:t>
            </w:r>
            <w:r w:rsidRPr="00B164A0">
              <w:t xml:space="preserve"> x </w:t>
            </w:r>
            <w:r w:rsidR="00B164A0" w:rsidRPr="00B164A0">
              <w:t>total 2023 overseas student tuition fees</w:t>
            </w:r>
          </w:p>
        </w:tc>
      </w:tr>
    </w:tbl>
    <w:p w14:paraId="5514D986" w14:textId="0490954B" w:rsidR="001D71D7" w:rsidRDefault="00776FE9" w:rsidP="007417A5">
      <w:pPr>
        <w:pStyle w:val="Caption"/>
      </w:pPr>
      <w:r w:rsidRPr="00C465D5">
        <w:t xml:space="preserve">*Administrative fee </w:t>
      </w:r>
      <w:r w:rsidR="000F1CF1">
        <w:t xml:space="preserve">and Base fee </w:t>
      </w:r>
      <w:r w:rsidRPr="00C465D5">
        <w:t xml:space="preserve">figures quoted </w:t>
      </w:r>
      <w:r w:rsidR="000F1CF1">
        <w:t>were applied for the</w:t>
      </w:r>
      <w:r w:rsidRPr="00C465D5">
        <w:t xml:space="preserve"> 202</w:t>
      </w:r>
      <w:r>
        <w:t>3</w:t>
      </w:r>
      <w:r w:rsidR="000F1CF1">
        <w:t xml:space="preserve"> levy </w:t>
      </w:r>
      <w:r w:rsidRPr="00C465D5">
        <w:t xml:space="preserve">and will be indexed for </w:t>
      </w:r>
      <w:r w:rsidR="000F1CF1">
        <w:t xml:space="preserve">the </w:t>
      </w:r>
      <w:r w:rsidRPr="00C465D5">
        <w:t>202</w:t>
      </w:r>
      <w:r>
        <w:t>4</w:t>
      </w:r>
      <w:r w:rsidR="000F1CF1">
        <w:t xml:space="preserve"> levy if the Minister</w:t>
      </w:r>
      <w:r w:rsidR="00EC6006">
        <w:t xml:space="preserve"> decides not to make a legislative instrument</w:t>
      </w:r>
      <w:r w:rsidR="00AA5D33">
        <w:t xml:space="preserve"> specifying new amounts</w:t>
      </w:r>
      <w:r>
        <w:t>.</w:t>
      </w:r>
    </w:p>
    <w:p w14:paraId="2ED83C56" w14:textId="4F3DE58C" w:rsidR="007F7224" w:rsidRPr="007F7224" w:rsidRDefault="00776FE9" w:rsidP="007F7224">
      <w:pPr>
        <w:pStyle w:val="Caption"/>
      </w:pPr>
      <w:r w:rsidRPr="007417A5">
        <w:t xml:space="preserve">N.B. </w:t>
      </w:r>
      <w:r w:rsidR="00062B5F" w:rsidRPr="007417A5">
        <w:t>The 2024 levy</w:t>
      </w:r>
      <w:r w:rsidR="0055184B" w:rsidRPr="007417A5">
        <w:t xml:space="preserve"> will be calculated using an education provider’s 2023 international student enrolment numbers and overseas student tuition fee income received.</w:t>
      </w:r>
      <w:r w:rsidR="007F7224">
        <w:br w:type="page"/>
      </w:r>
    </w:p>
    <w:p w14:paraId="42533C92" w14:textId="5800B979" w:rsidR="00776FE9" w:rsidRPr="00D104EA" w:rsidRDefault="00776FE9" w:rsidP="008F4116">
      <w:pPr>
        <w:pStyle w:val="Heading1"/>
      </w:pPr>
      <w:r w:rsidRPr="000B4B50">
        <w:lastRenderedPageBreak/>
        <w:t>Risk rated premium component</w:t>
      </w:r>
    </w:p>
    <w:p w14:paraId="7D8DDB0B" w14:textId="5A73A875" w:rsidR="000B4B50" w:rsidRDefault="000B4B50" w:rsidP="007F7224">
      <w:pPr>
        <w:keepNext/>
      </w:pPr>
      <w:r>
        <w:t xml:space="preserve">The risk factors are a key aspect of the risk rated premium component. They are determined by the TPS Director </w:t>
      </w:r>
      <w:r w:rsidR="007751D3">
        <w:t>with advice from the TPS Advisory Board and Australian Government Actuary (AGA). The risk factors</w:t>
      </w:r>
      <w:r>
        <w:t xml:space="preserve"> are intended to reflect the risk of an international education provider default.</w:t>
      </w:r>
    </w:p>
    <w:p w14:paraId="461929BC" w14:textId="77777777" w:rsidR="000B4B50" w:rsidRDefault="000B4B50" w:rsidP="00B553F5">
      <w:pPr>
        <w:spacing w:after="40"/>
      </w:pPr>
      <w:r>
        <w:t>The risk factors for the 2024 levy are:</w:t>
      </w:r>
    </w:p>
    <w:p w14:paraId="4E62EB23" w14:textId="77777777" w:rsidR="000B4B50" w:rsidRDefault="000B4B50" w:rsidP="000B4B50">
      <w:pPr>
        <w:pStyle w:val="ListParagraph"/>
        <w:numPr>
          <w:ilvl w:val="0"/>
          <w:numId w:val="3"/>
        </w:numPr>
      </w:pPr>
      <w:r>
        <w:t>Base risk factor</w:t>
      </w:r>
    </w:p>
    <w:p w14:paraId="43E36F63" w14:textId="77777777" w:rsidR="000B4B50" w:rsidRDefault="000B4B50" w:rsidP="000B4B50">
      <w:pPr>
        <w:pStyle w:val="ListParagraph"/>
        <w:numPr>
          <w:ilvl w:val="0"/>
          <w:numId w:val="3"/>
        </w:numPr>
      </w:pPr>
      <w:r>
        <w:t>Length of operation</w:t>
      </w:r>
    </w:p>
    <w:p w14:paraId="0735025C" w14:textId="77777777" w:rsidR="000B4B50" w:rsidRDefault="000B4B50" w:rsidP="000B4B50">
      <w:pPr>
        <w:pStyle w:val="ListParagraph"/>
        <w:numPr>
          <w:ilvl w:val="0"/>
          <w:numId w:val="3"/>
        </w:numPr>
      </w:pPr>
      <w:r>
        <w:t>Volatility in overseas student enrolments</w:t>
      </w:r>
    </w:p>
    <w:p w14:paraId="17A82B49" w14:textId="77777777" w:rsidR="000B4B50" w:rsidRDefault="000B4B50" w:rsidP="000B4B50">
      <w:pPr>
        <w:pStyle w:val="ListParagraph"/>
        <w:numPr>
          <w:ilvl w:val="0"/>
          <w:numId w:val="3"/>
        </w:numPr>
      </w:pPr>
      <w:r>
        <w:t>Maximum overseas source country concentration</w:t>
      </w:r>
    </w:p>
    <w:p w14:paraId="48335BBA" w14:textId="77777777" w:rsidR="000B4B50" w:rsidRDefault="000B4B50" w:rsidP="000B4B50">
      <w:pPr>
        <w:pStyle w:val="ListParagraph"/>
        <w:numPr>
          <w:ilvl w:val="0"/>
          <w:numId w:val="3"/>
        </w:numPr>
      </w:pPr>
      <w:r>
        <w:t>Non-compliance and registration renewal.</w:t>
      </w:r>
    </w:p>
    <w:p w14:paraId="79C8B723" w14:textId="73282A98" w:rsidR="004D0466" w:rsidRDefault="004D0466" w:rsidP="00471676">
      <w:r>
        <w:t>The risk factors apply to non-exempt providers as follows</w:t>
      </w:r>
      <w:r w:rsidR="00E862FC">
        <w:t>.</w:t>
      </w:r>
    </w:p>
    <w:tbl>
      <w:tblPr>
        <w:tblStyle w:val="TPS"/>
        <w:tblW w:w="5000" w:type="pct"/>
        <w:tblLook w:val="04A0" w:firstRow="1" w:lastRow="0" w:firstColumn="1" w:lastColumn="0" w:noHBand="0" w:noVBand="1"/>
      </w:tblPr>
      <w:tblGrid>
        <w:gridCol w:w="3114"/>
        <w:gridCol w:w="6628"/>
      </w:tblGrid>
      <w:tr w:rsidR="004D0466" w14:paraId="42C9A734" w14:textId="77777777" w:rsidTr="008D3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1598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2426A41D" w14:textId="27B7023D" w:rsidR="004D0466" w:rsidRPr="00A56937" w:rsidRDefault="004D0466" w:rsidP="00507286">
            <w:pPr>
              <w:pStyle w:val="TableHeader"/>
            </w:pPr>
            <w:r>
              <w:t xml:space="preserve">Risk </w:t>
            </w:r>
            <w:r w:rsidR="001A349E">
              <w:t>f</w:t>
            </w:r>
            <w:r>
              <w:t>actor</w:t>
            </w:r>
          </w:p>
        </w:tc>
        <w:tc>
          <w:tcPr>
            <w:tcW w:w="3402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7972C3AC" w14:textId="77777777" w:rsidR="004D0466" w:rsidRDefault="004D0466" w:rsidP="00507286">
            <w:pPr>
              <w:pStyle w:val="TableHeader"/>
            </w:pPr>
            <w:r>
              <w:t>Providers to which the risk factor applies</w:t>
            </w:r>
          </w:p>
        </w:tc>
      </w:tr>
      <w:tr w:rsidR="004D0466" w14:paraId="5EC76D92" w14:textId="77777777" w:rsidTr="008D3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98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D204A56" w14:textId="77777777" w:rsidR="004D0466" w:rsidRDefault="004D0466" w:rsidP="001267C6">
            <w:pPr>
              <w:pStyle w:val="Tablecontents"/>
            </w:pPr>
            <w:r>
              <w:t>Base risk factor</w:t>
            </w:r>
          </w:p>
        </w:tc>
        <w:tc>
          <w:tcPr>
            <w:tcW w:w="34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AD093EA" w14:textId="77777777" w:rsidR="004D0466" w:rsidRDefault="004D0466" w:rsidP="001267C6">
            <w:pPr>
              <w:pStyle w:val="Tablecontents"/>
            </w:pPr>
            <w:r>
              <w:t>All non-exempt providers</w:t>
            </w:r>
          </w:p>
        </w:tc>
      </w:tr>
      <w:tr w:rsidR="004D0466" w14:paraId="3C70B1C1" w14:textId="77777777" w:rsidTr="008D30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598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C353BB" w14:textId="77777777" w:rsidR="004D0466" w:rsidRDefault="004D0466" w:rsidP="001267C6">
            <w:pPr>
              <w:pStyle w:val="Tablecontents"/>
            </w:pPr>
            <w:r>
              <w:t>Length of operation</w:t>
            </w:r>
          </w:p>
        </w:tc>
        <w:tc>
          <w:tcPr>
            <w:tcW w:w="34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76FF0AC" w14:textId="77777777" w:rsidR="004D0466" w:rsidRDefault="004D0466" w:rsidP="001267C6">
            <w:pPr>
              <w:pStyle w:val="Tablecontents"/>
            </w:pPr>
            <w:r>
              <w:t>All non-exempt providers</w:t>
            </w:r>
          </w:p>
        </w:tc>
      </w:tr>
      <w:tr w:rsidR="00F228C1" w14:paraId="0E33F505" w14:textId="77777777" w:rsidTr="008D3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98" w:type="pc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47886891" w14:textId="3C19C2DD" w:rsidR="00F228C1" w:rsidRDefault="00F228C1" w:rsidP="001267C6">
            <w:pPr>
              <w:pStyle w:val="Tablecontents"/>
            </w:pPr>
            <w:r>
              <w:t>Volatility in overseas student enrolments</w:t>
            </w:r>
          </w:p>
        </w:tc>
        <w:tc>
          <w:tcPr>
            <w:tcW w:w="3402" w:type="pct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52BF6B12" w14:textId="7309F880" w:rsidR="00F228C1" w:rsidRDefault="00F228C1" w:rsidP="001267C6">
            <w:pPr>
              <w:pStyle w:val="Tablecontents"/>
              <w:spacing w:after="0"/>
            </w:pPr>
            <w:r>
              <w:t>Non-exempt providers:</w:t>
            </w:r>
          </w:p>
          <w:p w14:paraId="5AF40F51" w14:textId="6D7E61A3" w:rsidR="00F228C1" w:rsidRDefault="00C16B98" w:rsidP="00E2199D">
            <w:pPr>
              <w:pStyle w:val="Tablecontents"/>
              <w:numPr>
                <w:ilvl w:val="0"/>
                <w:numId w:val="10"/>
              </w:numPr>
              <w:spacing w:before="0" w:after="0"/>
              <w:ind w:left="584" w:hanging="357"/>
            </w:pPr>
            <w:r>
              <w:t>with</w:t>
            </w:r>
            <w:r w:rsidR="00F228C1">
              <w:t xml:space="preserve"> a length of operation of 2 years or more; and</w:t>
            </w:r>
          </w:p>
          <w:p w14:paraId="4B20F6AD" w14:textId="1C9CA333" w:rsidR="00B2080D" w:rsidRDefault="00E1287A" w:rsidP="00E2199D">
            <w:pPr>
              <w:pStyle w:val="Tablecontents"/>
              <w:numPr>
                <w:ilvl w:val="0"/>
                <w:numId w:val="10"/>
              </w:numPr>
              <w:spacing w:before="0" w:after="0"/>
              <w:ind w:left="584" w:hanging="357"/>
            </w:pPr>
            <w:r>
              <w:t xml:space="preserve">that </w:t>
            </w:r>
            <w:r w:rsidR="00F228C1">
              <w:t>had either or both of the following apply in 2023:</w:t>
            </w:r>
          </w:p>
          <w:p w14:paraId="3751B0C2" w14:textId="77777777" w:rsidR="00702D7D" w:rsidRDefault="001B4DED" w:rsidP="00E2199D">
            <w:pPr>
              <w:pStyle w:val="Tablecontents"/>
              <w:numPr>
                <w:ilvl w:val="0"/>
                <w:numId w:val="15"/>
              </w:numPr>
              <w:spacing w:before="0" w:after="0"/>
              <w:ind w:left="1151" w:hanging="357"/>
            </w:pPr>
            <w:r>
              <w:t>at least 20 overseas student enrolments;</w:t>
            </w:r>
          </w:p>
          <w:p w14:paraId="7C62D5A2" w14:textId="6D3FFD5E" w:rsidR="001B4DED" w:rsidRDefault="001B4DED" w:rsidP="00E2199D">
            <w:pPr>
              <w:pStyle w:val="Tablecontents"/>
              <w:numPr>
                <w:ilvl w:val="0"/>
                <w:numId w:val="15"/>
              </w:numPr>
              <w:spacing w:before="0" w:after="0"/>
              <w:ind w:left="1151" w:hanging="357"/>
            </w:pPr>
            <w:r w:rsidRPr="00CD7D9D">
              <w:t>$400,000 or more in tuition fee income</w:t>
            </w:r>
            <w:r w:rsidR="00CE7E75">
              <w:t>; and</w:t>
            </w:r>
          </w:p>
          <w:p w14:paraId="57205399" w14:textId="6F9801DA" w:rsidR="009B69FD" w:rsidRDefault="001B4DED" w:rsidP="00E2199D">
            <w:pPr>
              <w:pStyle w:val="Tablecontents"/>
              <w:numPr>
                <w:ilvl w:val="0"/>
                <w:numId w:val="10"/>
              </w:numPr>
              <w:spacing w:before="0"/>
              <w:ind w:left="584" w:hanging="357"/>
            </w:pPr>
            <w:r>
              <w:t>whose international student cohort constituted less than 20% of its total student population in 2023</w:t>
            </w:r>
            <w:r w:rsidR="0066475B">
              <w:t xml:space="preserve"> (new filter</w:t>
            </w:r>
            <w:r w:rsidR="00844D42">
              <w:t xml:space="preserve"> being considered)</w:t>
            </w:r>
          </w:p>
        </w:tc>
      </w:tr>
      <w:tr w:rsidR="00E9025C" w14:paraId="41A611EA" w14:textId="77777777" w:rsidTr="008D30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598" w:type="pc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09DBEB2D" w14:textId="24AC1E0B" w:rsidR="00E9025C" w:rsidRDefault="00E9025C" w:rsidP="001267C6">
            <w:pPr>
              <w:pStyle w:val="Tablecontents"/>
            </w:pPr>
            <w:r>
              <w:t xml:space="preserve">Maximum overseas source </w:t>
            </w:r>
            <w:r>
              <w:br/>
              <w:t>country concentration</w:t>
            </w:r>
          </w:p>
        </w:tc>
        <w:tc>
          <w:tcPr>
            <w:tcW w:w="3402" w:type="pct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4B8C1C90" w14:textId="77777777" w:rsidR="00E9025C" w:rsidRDefault="00E9025C" w:rsidP="001267C6">
            <w:pPr>
              <w:pStyle w:val="Tablecontents"/>
              <w:spacing w:after="0"/>
            </w:pPr>
            <w:r>
              <w:t>Non-exempt providers:</w:t>
            </w:r>
          </w:p>
          <w:p w14:paraId="7E046446" w14:textId="1940B52F" w:rsidR="00E9025C" w:rsidRDefault="00E1287A" w:rsidP="00E2199D">
            <w:pPr>
              <w:pStyle w:val="Tablecontents"/>
              <w:numPr>
                <w:ilvl w:val="0"/>
                <w:numId w:val="13"/>
              </w:numPr>
              <w:spacing w:before="0" w:after="0"/>
              <w:ind w:left="584" w:hanging="357"/>
            </w:pPr>
            <w:r>
              <w:t xml:space="preserve">that </w:t>
            </w:r>
            <w:r w:rsidR="00E9025C">
              <w:t>had either or both of the following apply in 2023:</w:t>
            </w:r>
          </w:p>
          <w:p w14:paraId="1C664435" w14:textId="77777777" w:rsidR="00E1287A" w:rsidRDefault="00E1287A" w:rsidP="00E2199D">
            <w:pPr>
              <w:pStyle w:val="Tablecontents"/>
              <w:numPr>
                <w:ilvl w:val="0"/>
                <w:numId w:val="16"/>
              </w:numPr>
              <w:spacing w:before="0" w:after="0"/>
              <w:ind w:left="1151" w:hanging="357"/>
            </w:pPr>
            <w:r>
              <w:t>at least 20 overseas student enrolments;</w:t>
            </w:r>
          </w:p>
          <w:p w14:paraId="342D7189" w14:textId="75C57093" w:rsidR="00E1287A" w:rsidRDefault="00E1287A" w:rsidP="00E2199D">
            <w:pPr>
              <w:pStyle w:val="Tablecontents"/>
              <w:numPr>
                <w:ilvl w:val="0"/>
                <w:numId w:val="16"/>
              </w:numPr>
              <w:spacing w:before="0" w:after="0"/>
              <w:ind w:left="1151" w:hanging="357"/>
            </w:pPr>
            <w:r w:rsidRPr="00CD7D9D">
              <w:t>$400,000 or more in tuition fee income</w:t>
            </w:r>
            <w:r>
              <w:t>; and</w:t>
            </w:r>
          </w:p>
          <w:p w14:paraId="54D9C6A2" w14:textId="7256678A" w:rsidR="00E1287A" w:rsidRDefault="00E1287A" w:rsidP="00E2199D">
            <w:pPr>
              <w:pStyle w:val="Tablecontents"/>
              <w:numPr>
                <w:ilvl w:val="0"/>
                <w:numId w:val="13"/>
              </w:numPr>
              <w:spacing w:before="0"/>
              <w:ind w:left="584" w:hanging="357"/>
            </w:pPr>
            <w:r>
              <w:t>whose international student cohort constituted less than 20% of its total student population in 2023</w:t>
            </w:r>
            <w:r w:rsidR="00E2199D">
              <w:t xml:space="preserve"> (new filter being considered)</w:t>
            </w:r>
          </w:p>
        </w:tc>
      </w:tr>
      <w:tr w:rsidR="004D0466" w14:paraId="338F9845" w14:textId="77777777" w:rsidTr="008D3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598" w:type="pct"/>
            <w:tcBorders>
              <w:right w:val="single" w:sz="4" w:space="0" w:color="FFFFFF"/>
            </w:tcBorders>
            <w:vAlign w:val="center"/>
          </w:tcPr>
          <w:p w14:paraId="04730E00" w14:textId="5071DA82" w:rsidR="004D0466" w:rsidRDefault="004D0466" w:rsidP="001267C6">
            <w:pPr>
              <w:pStyle w:val="Tablecontents"/>
            </w:pPr>
            <w:r>
              <w:t xml:space="preserve">Non-compliance and </w:t>
            </w:r>
            <w:r w:rsidR="00FA2C79">
              <w:br/>
            </w:r>
            <w:r>
              <w:t>registration renewal</w:t>
            </w:r>
          </w:p>
        </w:tc>
        <w:tc>
          <w:tcPr>
            <w:tcW w:w="3402" w:type="pct"/>
            <w:tcBorders>
              <w:left w:val="single" w:sz="4" w:space="0" w:color="FFFFFF"/>
            </w:tcBorders>
            <w:vAlign w:val="center"/>
          </w:tcPr>
          <w:p w14:paraId="4CECCD5F" w14:textId="77777777" w:rsidR="004D0466" w:rsidRDefault="004D0466" w:rsidP="001267C6">
            <w:pPr>
              <w:pStyle w:val="Tablecontents"/>
            </w:pPr>
            <w:r>
              <w:t>All non-exempt providers</w:t>
            </w:r>
          </w:p>
        </w:tc>
      </w:tr>
    </w:tbl>
    <w:p w14:paraId="385C91A5" w14:textId="3D4800B4" w:rsidR="00684056" w:rsidRPr="00684056" w:rsidRDefault="004D0466" w:rsidP="00A22360">
      <w:r w:rsidRPr="00684056">
        <w:t xml:space="preserve"> </w:t>
      </w:r>
      <w:r w:rsidR="009B6DC4" w:rsidRPr="00684056">
        <w:t>‘Increase factors’ apply to providers for each risk factor</w:t>
      </w:r>
      <w:r w:rsidR="00730D31" w:rsidRPr="00684056">
        <w:t xml:space="preserve">. Increase factors are </w:t>
      </w:r>
      <w:r w:rsidR="00096D2D">
        <w:t>numerical values</w:t>
      </w:r>
      <w:r w:rsidR="00730D31" w:rsidRPr="00684056">
        <w:t xml:space="preserve"> determined by where a provider sits in a given data set for each risk factor.</w:t>
      </w:r>
    </w:p>
    <w:p w14:paraId="21D1B711" w14:textId="77777777" w:rsidR="00C1194E" w:rsidRDefault="00C1194E" w:rsidP="00C1194E">
      <w:pPr>
        <w:pStyle w:val="Heading2"/>
      </w:pPr>
      <w:r>
        <w:t>Risk rated premium component formula</w:t>
      </w:r>
    </w:p>
    <w:p w14:paraId="23A2BEBF" w14:textId="40BA2CD5" w:rsidR="004D0466" w:rsidRDefault="004D0466" w:rsidP="004D0466">
      <w:r w:rsidRPr="00684056">
        <w:t xml:space="preserve">The risk rated premium component considers individual providers’ increase factors for each risk factor, and the overseas student tuition fee income received in the previous </w:t>
      </w:r>
      <w:r w:rsidR="001D0DDE">
        <w:t xml:space="preserve">calendar </w:t>
      </w:r>
      <w:r w:rsidRPr="00684056">
        <w:t>year.</w:t>
      </w:r>
    </w:p>
    <w:p w14:paraId="409D6431" w14:textId="5A0235AB" w:rsidR="002446B3" w:rsidRDefault="00D94685" w:rsidP="00E86D80">
      <w:r>
        <w:t>The following formula is calculated for each of the risk factors, then added together t</w:t>
      </w:r>
      <w:r w:rsidR="00E86D80">
        <w:t>o</w:t>
      </w:r>
      <w:r>
        <w:t xml:space="preserve"> form the risk rated premium component.</w:t>
      </w:r>
    </w:p>
    <w:p w14:paraId="164908A1" w14:textId="4CCB8BCD" w:rsidR="00D94685" w:rsidRPr="00857E2A" w:rsidRDefault="00000000" w:rsidP="00451E0B">
      <w:pPr>
        <w:rPr>
          <w:rFonts w:cstheme="minorHAnsi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Specified percentage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for the year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 × 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Increase factor for the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risk factor for the year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theme="minorHAnsi"/>
            </w:rPr>
            <m:t> × 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theme="minorHAnsi"/>
                  <w:i/>
                  <w:iCs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Provide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 overseas student tuition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fees for the previous year</m:t>
                </m:r>
              </m:e>
            </m:mr>
          </m:m>
        </m:oMath>
      </m:oMathPara>
    </w:p>
    <w:p w14:paraId="4D808E61" w14:textId="51E62F1F" w:rsidR="00B21F39" w:rsidRDefault="00B21F39" w:rsidP="00451E0B">
      <w:r w:rsidRPr="00AF1859">
        <w:t xml:space="preserve">The </w:t>
      </w:r>
      <w:r w:rsidR="00D74C48" w:rsidRPr="00AF1859">
        <w:t>Board’s Letter of Draft Advice</w:t>
      </w:r>
      <w:r w:rsidR="00DB60EC" w:rsidRPr="00AF1859">
        <w:t xml:space="preserve"> </w:t>
      </w:r>
      <w:r w:rsidR="00D74C48" w:rsidRPr="00AF1859">
        <w:t xml:space="preserve">recommends </w:t>
      </w:r>
      <w:r w:rsidR="003B4911" w:rsidRPr="00AF1859">
        <w:t xml:space="preserve">that </w:t>
      </w:r>
      <w:r w:rsidR="003E46EF" w:rsidRPr="00AF1859">
        <w:t>a</w:t>
      </w:r>
      <w:r w:rsidR="005A29FB" w:rsidRPr="00AF1859">
        <w:t xml:space="preserve"> specified percentage </w:t>
      </w:r>
      <w:r w:rsidR="003E46EF" w:rsidRPr="00AF1859">
        <w:t xml:space="preserve">of </w:t>
      </w:r>
      <w:r w:rsidR="003E46EF" w:rsidRPr="00AF1859">
        <w:rPr>
          <w:b/>
          <w:bCs/>
        </w:rPr>
        <w:t>0.05%</w:t>
      </w:r>
      <w:r w:rsidR="003E46EF" w:rsidRPr="00AF1859">
        <w:t xml:space="preserve"> </w:t>
      </w:r>
      <w:r w:rsidR="004B5906" w:rsidRPr="00AF1859">
        <w:t xml:space="preserve">be applied </w:t>
      </w:r>
      <w:r w:rsidR="003E46EF" w:rsidRPr="00AF1859">
        <w:t>for the 2024 levy.</w:t>
      </w:r>
      <w:r w:rsidR="00F0771F" w:rsidRPr="00AF1859">
        <w:t xml:space="preserve"> This</w:t>
      </w:r>
      <w:r w:rsidR="00F0771F">
        <w:t xml:space="preserve"> </w:t>
      </w:r>
      <w:r w:rsidR="00F0771F">
        <w:t>is an increas</w:t>
      </w:r>
      <w:r w:rsidR="00265D3A">
        <w:t xml:space="preserve">e </w:t>
      </w:r>
      <w:r w:rsidR="009F075F">
        <w:t>o</w:t>
      </w:r>
      <w:r w:rsidR="00F0771F">
        <w:t>f 0.01</w:t>
      </w:r>
      <w:r w:rsidR="00D75E6D">
        <w:t xml:space="preserve"> percentage points</w:t>
      </w:r>
      <w:r w:rsidR="00F0771F">
        <w:t xml:space="preserve"> from the 2023 levy.</w:t>
      </w:r>
      <w:r w:rsidR="000F31F3">
        <w:t xml:space="preserve"> </w:t>
      </w:r>
      <w:r w:rsidR="007B6BC1">
        <w:t xml:space="preserve">Maintaining the specified percentage </w:t>
      </w:r>
      <w:r w:rsidR="007B6BC1">
        <w:lastRenderedPageBreak/>
        <w:t xml:space="preserve">at 0.04% for the 2024 levy would have resulted in a deficit </w:t>
      </w:r>
      <w:r w:rsidR="004068BE">
        <w:t xml:space="preserve">for the </w:t>
      </w:r>
      <w:r w:rsidR="004068BE" w:rsidRPr="00851DDC">
        <w:t>OSTF</w:t>
      </w:r>
      <w:r w:rsidR="00FE2E20" w:rsidRPr="00851DDC">
        <w:t xml:space="preserve"> based on average</w:t>
      </w:r>
      <w:r w:rsidR="00F63D90" w:rsidRPr="00851DDC">
        <w:t xml:space="preserve"> annual</w:t>
      </w:r>
      <w:r w:rsidR="00FE2E20" w:rsidRPr="00851DDC">
        <w:t xml:space="preserve"> Fund claims</w:t>
      </w:r>
      <w:r w:rsidR="00EB6DD2" w:rsidRPr="00851DDC">
        <w:t>. Given</w:t>
      </w:r>
      <w:r w:rsidR="00EB6DD2">
        <w:t xml:space="preserve"> the current balance of the OSTF is below the mid-point of the target</w:t>
      </w:r>
      <w:r w:rsidR="00BD6072">
        <w:t xml:space="preserve"> range, </w:t>
      </w:r>
      <w:r w:rsidR="00CB12D4">
        <w:t>a slight increase to the specified percentage is nec</w:t>
      </w:r>
      <w:r w:rsidR="00D24D62">
        <w:t>essary to create a more robust OSTF.</w:t>
      </w:r>
    </w:p>
    <w:p w14:paraId="150862E2" w14:textId="16837DDF" w:rsidR="00776FE9" w:rsidRPr="004F0D17" w:rsidRDefault="00776FE9" w:rsidP="00D720D8">
      <w:pPr>
        <w:pStyle w:val="Heading2"/>
        <w:keepNext/>
      </w:pPr>
      <w:r w:rsidRPr="004F0D17">
        <w:t>Risk Factor 1: Base risk factor</w:t>
      </w:r>
    </w:p>
    <w:p w14:paraId="7DC64619" w14:textId="0846C71B" w:rsidR="00776FE9" w:rsidRDefault="0002671B" w:rsidP="00D720D8">
      <w:pPr>
        <w:keepNext/>
      </w:pPr>
      <w:r>
        <w:t xml:space="preserve">An increase factor of 1.0 </w:t>
      </w:r>
      <w:r w:rsidR="00776FE9">
        <w:t xml:space="preserve">applies to all </w:t>
      </w:r>
      <w:r w:rsidR="004F0D17">
        <w:t xml:space="preserve">non-exempt </w:t>
      </w:r>
      <w:r w:rsidR="00776FE9">
        <w:t>providers</w:t>
      </w:r>
      <w:r w:rsidR="00D85358">
        <w:t xml:space="preserve"> for the </w:t>
      </w:r>
      <w:r w:rsidR="00D85358" w:rsidRPr="00AF1859">
        <w:rPr>
          <w:i/>
          <w:iCs/>
        </w:rPr>
        <w:t>base risk factor</w:t>
      </w:r>
      <w:r w:rsidR="00776FE9" w:rsidRPr="00AF1859">
        <w:t xml:space="preserve">. The </w:t>
      </w:r>
      <w:r w:rsidR="00D74C48" w:rsidRPr="00AF1859">
        <w:t>Board’s Let</w:t>
      </w:r>
      <w:r w:rsidR="00E968EF" w:rsidRPr="00AF1859">
        <w:t>ter of D</w:t>
      </w:r>
      <w:r w:rsidR="00776FE9" w:rsidRPr="00AF1859">
        <w:t xml:space="preserve">raft </w:t>
      </w:r>
      <w:r w:rsidR="00E968EF" w:rsidRPr="00AF1859">
        <w:t>Advice</w:t>
      </w:r>
      <w:r w:rsidR="00776FE9" w:rsidRPr="00AF1859">
        <w:t xml:space="preserve"> recommend</w:t>
      </w:r>
      <w:r w:rsidR="00E968EF" w:rsidRPr="00AF1859">
        <w:t>s</w:t>
      </w:r>
      <w:r w:rsidR="00776FE9" w:rsidRPr="00AF1859">
        <w:t xml:space="preserve"> maintaining this setting</w:t>
      </w:r>
      <w:r w:rsidR="00E968EF" w:rsidRPr="00AF1859">
        <w:t xml:space="preserve"> for the 2024 levy</w:t>
      </w:r>
      <w:r w:rsidR="00776FE9" w:rsidRPr="00AF1859">
        <w:t>.</w:t>
      </w:r>
    </w:p>
    <w:tbl>
      <w:tblPr>
        <w:tblStyle w:val="TPS"/>
        <w:tblW w:w="5000" w:type="pct"/>
        <w:tblLook w:val="04A0" w:firstRow="1" w:lastRow="0" w:firstColumn="1" w:lastColumn="0" w:noHBand="0" w:noVBand="1"/>
      </w:tblPr>
      <w:tblGrid>
        <w:gridCol w:w="3256"/>
        <w:gridCol w:w="3119"/>
        <w:gridCol w:w="3367"/>
      </w:tblGrid>
      <w:tr w:rsidR="00A92FCA" w14:paraId="193F00C5" w14:textId="77777777" w:rsidTr="004D1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1671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74E4B81C" w14:textId="4145BCD0" w:rsidR="00A92FCA" w:rsidRPr="00A56937" w:rsidRDefault="00A92FCA" w:rsidP="00D720D8">
            <w:pPr>
              <w:pStyle w:val="TableHeader"/>
              <w:keepNext/>
            </w:pPr>
            <w:r>
              <w:t>Application of base risk factor</w:t>
            </w:r>
          </w:p>
        </w:tc>
        <w:tc>
          <w:tcPr>
            <w:tcW w:w="1601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0578123F" w14:textId="77777777" w:rsidR="00A92FCA" w:rsidRPr="00B401C5" w:rsidRDefault="00A92FCA" w:rsidP="00D720D8">
            <w:pPr>
              <w:pStyle w:val="TableHeader"/>
              <w:keepNext/>
            </w:pPr>
            <w:r w:rsidRPr="004328FB">
              <w:t>202</w:t>
            </w:r>
            <w:r>
              <w:t>3</w:t>
            </w:r>
            <w:r>
              <w:br/>
              <w:t>increase factor</w:t>
            </w:r>
          </w:p>
        </w:tc>
        <w:tc>
          <w:tcPr>
            <w:tcW w:w="1728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6A60A8F7" w14:textId="77777777" w:rsidR="00A92FCA" w:rsidRDefault="00A92FCA" w:rsidP="00D720D8">
            <w:pPr>
              <w:pStyle w:val="TableHeader"/>
              <w:keepNext/>
            </w:pPr>
            <w:r>
              <w:t>Proposed 2024</w:t>
            </w:r>
            <w:r>
              <w:br/>
              <w:t>increase factor</w:t>
            </w:r>
          </w:p>
        </w:tc>
      </w:tr>
      <w:tr w:rsidR="00A92FCA" w14:paraId="1C5CDBD7" w14:textId="77777777" w:rsidTr="004D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71" w:type="pct"/>
            <w:tcBorders>
              <w:top w:val="single" w:sz="18" w:space="0" w:color="FFFFFF" w:themeColor="background1"/>
            </w:tcBorders>
            <w:vAlign w:val="center"/>
          </w:tcPr>
          <w:p w14:paraId="210D54C5" w14:textId="5A18D669" w:rsidR="00A92FCA" w:rsidRDefault="00A92FCA" w:rsidP="00D720D8">
            <w:pPr>
              <w:pStyle w:val="Tablecontents"/>
              <w:keepNext/>
            </w:pPr>
            <w:r>
              <w:t>All non-exempt providers</w:t>
            </w:r>
          </w:p>
        </w:tc>
        <w:tc>
          <w:tcPr>
            <w:tcW w:w="1601" w:type="pct"/>
            <w:tcBorders>
              <w:top w:val="single" w:sz="18" w:space="0" w:color="FFFFFF" w:themeColor="background1"/>
            </w:tcBorders>
            <w:vAlign w:val="center"/>
          </w:tcPr>
          <w:p w14:paraId="1779BCD2" w14:textId="77777777" w:rsidR="00A92FCA" w:rsidRDefault="00A92FCA" w:rsidP="00D720D8">
            <w:pPr>
              <w:pStyle w:val="Tablecontents"/>
              <w:keepNext/>
              <w:jc w:val="center"/>
            </w:pPr>
            <w:r>
              <w:t>1.0</w:t>
            </w:r>
          </w:p>
        </w:tc>
        <w:tc>
          <w:tcPr>
            <w:tcW w:w="1728" w:type="pct"/>
            <w:tcBorders>
              <w:top w:val="single" w:sz="18" w:space="0" w:color="FFFFFF" w:themeColor="background1"/>
            </w:tcBorders>
            <w:vAlign w:val="center"/>
          </w:tcPr>
          <w:p w14:paraId="344D810F" w14:textId="77777777" w:rsidR="00A92FCA" w:rsidRDefault="00A92FCA" w:rsidP="00D720D8">
            <w:pPr>
              <w:pStyle w:val="Tablecontents"/>
              <w:keepNext/>
              <w:jc w:val="center"/>
            </w:pPr>
            <w:r>
              <w:t>1.0</w:t>
            </w:r>
          </w:p>
        </w:tc>
      </w:tr>
    </w:tbl>
    <w:p w14:paraId="3A7C30A8" w14:textId="77777777" w:rsidR="00776FE9" w:rsidRPr="004F0D17" w:rsidRDefault="00776FE9" w:rsidP="009252C7">
      <w:pPr>
        <w:pStyle w:val="Heading2"/>
        <w:keepNext/>
      </w:pPr>
      <w:r w:rsidRPr="004F0D17">
        <w:t>Risk factor 2: Length of operation</w:t>
      </w:r>
    </w:p>
    <w:p w14:paraId="4963755F" w14:textId="6E366D16" w:rsidR="00776FE9" w:rsidRDefault="00776FE9" w:rsidP="009252C7">
      <w:pPr>
        <w:keepNext/>
        <w:spacing w:after="120"/>
      </w:pPr>
      <w:r>
        <w:t xml:space="preserve">This risk factor is supported by historical data indicating that </w:t>
      </w:r>
      <w:r w:rsidR="008834A2">
        <w:t>providers with a shorter length of operation</w:t>
      </w:r>
      <w:r w:rsidR="00452CE2">
        <w:t xml:space="preserve"> present a</w:t>
      </w:r>
      <w:r>
        <w:t xml:space="preserve"> higher risk of defaulting. It provides a general signal to new providers that risks are present in the early stages of operation.</w:t>
      </w:r>
    </w:p>
    <w:p w14:paraId="3D984044" w14:textId="7B970C9E" w:rsidR="00AC2AEA" w:rsidRPr="001B13EF" w:rsidRDefault="00776FE9" w:rsidP="00776FE9">
      <w:pPr>
        <w:spacing w:after="120"/>
      </w:pPr>
      <w:r w:rsidRPr="00AF1859">
        <w:t xml:space="preserve">The </w:t>
      </w:r>
      <w:r w:rsidR="004C4797" w:rsidRPr="00AF1859">
        <w:t>Board’s Letter of Draft Advice</w:t>
      </w:r>
      <w:r w:rsidR="004E147B" w:rsidRPr="00AF1859">
        <w:t xml:space="preserve"> recommends that no changes be made to the</w:t>
      </w:r>
      <w:r w:rsidR="004E147B" w:rsidRPr="00AF1859">
        <w:t xml:space="preserve"> </w:t>
      </w:r>
      <w:r w:rsidR="004F0D17" w:rsidRPr="00AF1859">
        <w:rPr>
          <w:i/>
          <w:iCs/>
        </w:rPr>
        <w:t>length of operation</w:t>
      </w:r>
      <w:r w:rsidR="004F0D17" w:rsidRPr="00AF1859">
        <w:t xml:space="preserve"> risk factor </w:t>
      </w:r>
      <w:r w:rsidRPr="00AF1859">
        <w:t>settings for the 2024 levy from 2023.</w:t>
      </w:r>
    </w:p>
    <w:tbl>
      <w:tblPr>
        <w:tblStyle w:val="TPS"/>
        <w:tblW w:w="5000" w:type="pct"/>
        <w:tblLook w:val="04A0" w:firstRow="1" w:lastRow="0" w:firstColumn="1" w:lastColumn="0" w:noHBand="0" w:noVBand="1"/>
      </w:tblPr>
      <w:tblGrid>
        <w:gridCol w:w="3256"/>
        <w:gridCol w:w="3119"/>
        <w:gridCol w:w="3367"/>
      </w:tblGrid>
      <w:tr w:rsidR="00776FE9" w14:paraId="1C518B54" w14:textId="77777777" w:rsidTr="00B55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1671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51903F26" w14:textId="48DA7FC8" w:rsidR="00776FE9" w:rsidRPr="00A56937" w:rsidRDefault="002F40E8" w:rsidP="00507286">
            <w:pPr>
              <w:pStyle w:val="TableHeader"/>
            </w:pPr>
            <w:r>
              <w:t>Length</w:t>
            </w:r>
            <w:r w:rsidR="00776FE9">
              <w:t xml:space="preserve"> of </w:t>
            </w:r>
            <w:r w:rsidR="00B35E73">
              <w:t>o</w:t>
            </w:r>
            <w:r w:rsidR="00776FE9">
              <w:t>peration</w:t>
            </w:r>
          </w:p>
        </w:tc>
        <w:tc>
          <w:tcPr>
            <w:tcW w:w="1601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25D381E7" w14:textId="1259DEDF" w:rsidR="00776FE9" w:rsidRPr="00B401C5" w:rsidRDefault="00776FE9" w:rsidP="00507286">
            <w:pPr>
              <w:pStyle w:val="TableHeader"/>
            </w:pPr>
            <w:r w:rsidRPr="004328FB">
              <w:t>202</w:t>
            </w:r>
            <w:r>
              <w:t>3</w:t>
            </w:r>
            <w:r w:rsidR="00B401C5">
              <w:br/>
            </w:r>
            <w:r w:rsidR="00E72B9D">
              <w:t>increase factor</w:t>
            </w:r>
          </w:p>
        </w:tc>
        <w:tc>
          <w:tcPr>
            <w:tcW w:w="1728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3E2B4060" w14:textId="0EC39B13" w:rsidR="00776FE9" w:rsidRDefault="00776FE9" w:rsidP="00507286">
            <w:pPr>
              <w:pStyle w:val="TableHeader"/>
            </w:pPr>
            <w:r>
              <w:t>Proposed 2024</w:t>
            </w:r>
            <w:r>
              <w:br/>
            </w:r>
            <w:r w:rsidR="00E72B9D">
              <w:t>increase factor</w:t>
            </w:r>
          </w:p>
        </w:tc>
      </w:tr>
      <w:tr w:rsidR="00776FE9" w14:paraId="2EECCE0E" w14:textId="77777777" w:rsidTr="00363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71" w:type="pct"/>
            <w:tcBorders>
              <w:top w:val="single" w:sz="18" w:space="0" w:color="FFFFFF" w:themeColor="background1"/>
            </w:tcBorders>
            <w:vAlign w:val="center"/>
          </w:tcPr>
          <w:p w14:paraId="7F5AD0EE" w14:textId="77777777" w:rsidR="00776FE9" w:rsidRDefault="00776FE9" w:rsidP="001267C6">
            <w:pPr>
              <w:pStyle w:val="Tablecontents"/>
            </w:pPr>
            <w:r>
              <w:t>Less than 1 year</w:t>
            </w:r>
          </w:p>
        </w:tc>
        <w:tc>
          <w:tcPr>
            <w:tcW w:w="1601" w:type="pct"/>
            <w:tcBorders>
              <w:top w:val="single" w:sz="18" w:space="0" w:color="FFFFFF" w:themeColor="background1"/>
            </w:tcBorders>
            <w:vAlign w:val="center"/>
          </w:tcPr>
          <w:p w14:paraId="5A0E3C3C" w14:textId="77777777" w:rsidR="00776FE9" w:rsidRDefault="00776FE9" w:rsidP="00A92FCA">
            <w:pPr>
              <w:pStyle w:val="Tablecontents"/>
              <w:jc w:val="center"/>
            </w:pPr>
            <w:r>
              <w:t>1.0</w:t>
            </w:r>
          </w:p>
        </w:tc>
        <w:tc>
          <w:tcPr>
            <w:tcW w:w="1728" w:type="pct"/>
            <w:tcBorders>
              <w:top w:val="single" w:sz="18" w:space="0" w:color="FFFFFF" w:themeColor="background1"/>
            </w:tcBorders>
            <w:vAlign w:val="center"/>
          </w:tcPr>
          <w:p w14:paraId="6F29BAB6" w14:textId="77777777" w:rsidR="00776FE9" w:rsidRDefault="00776FE9" w:rsidP="00A92FCA">
            <w:pPr>
              <w:pStyle w:val="Tablecontents"/>
              <w:jc w:val="center"/>
            </w:pPr>
            <w:r>
              <w:t>1.0</w:t>
            </w:r>
          </w:p>
        </w:tc>
      </w:tr>
      <w:tr w:rsidR="00776FE9" w14:paraId="187F4680" w14:textId="77777777" w:rsidTr="00363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71" w:type="pct"/>
            <w:vAlign w:val="center"/>
          </w:tcPr>
          <w:p w14:paraId="4DA9C554" w14:textId="77777777" w:rsidR="00776FE9" w:rsidRDefault="00776FE9" w:rsidP="001267C6">
            <w:pPr>
              <w:pStyle w:val="Tablecontents"/>
            </w:pPr>
            <w:r>
              <w:t>1 year to less than 2 years</w:t>
            </w:r>
          </w:p>
        </w:tc>
        <w:tc>
          <w:tcPr>
            <w:tcW w:w="1601" w:type="pct"/>
            <w:vAlign w:val="center"/>
          </w:tcPr>
          <w:p w14:paraId="050403FB" w14:textId="77777777" w:rsidR="00776FE9" w:rsidRDefault="00776FE9" w:rsidP="00A92FCA">
            <w:pPr>
              <w:pStyle w:val="Tablecontents"/>
              <w:jc w:val="center"/>
            </w:pPr>
            <w:r>
              <w:t>0.5</w:t>
            </w:r>
          </w:p>
        </w:tc>
        <w:tc>
          <w:tcPr>
            <w:tcW w:w="1728" w:type="pct"/>
            <w:vAlign w:val="center"/>
          </w:tcPr>
          <w:p w14:paraId="06196D35" w14:textId="77777777" w:rsidR="00776FE9" w:rsidRDefault="00776FE9" w:rsidP="00A92FCA">
            <w:pPr>
              <w:pStyle w:val="Tablecontents"/>
              <w:jc w:val="center"/>
            </w:pPr>
            <w:r>
              <w:t>0.5</w:t>
            </w:r>
          </w:p>
        </w:tc>
      </w:tr>
      <w:tr w:rsidR="00776FE9" w14:paraId="766E5F89" w14:textId="77777777" w:rsidTr="00363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71" w:type="pct"/>
            <w:vAlign w:val="center"/>
          </w:tcPr>
          <w:p w14:paraId="65C05179" w14:textId="77777777" w:rsidR="00776FE9" w:rsidRDefault="00776FE9" w:rsidP="001267C6">
            <w:pPr>
              <w:pStyle w:val="Tablecontents"/>
            </w:pPr>
            <w:r>
              <w:t>2 years or more</w:t>
            </w:r>
          </w:p>
        </w:tc>
        <w:tc>
          <w:tcPr>
            <w:tcW w:w="1601" w:type="pct"/>
            <w:vAlign w:val="center"/>
          </w:tcPr>
          <w:p w14:paraId="1E0278E8" w14:textId="77777777" w:rsidR="00776FE9" w:rsidRDefault="00776FE9" w:rsidP="00A92FCA">
            <w:pPr>
              <w:pStyle w:val="Tablecontents"/>
              <w:jc w:val="center"/>
            </w:pPr>
            <w:r>
              <w:t>0.0</w:t>
            </w:r>
          </w:p>
        </w:tc>
        <w:tc>
          <w:tcPr>
            <w:tcW w:w="1728" w:type="pct"/>
            <w:vAlign w:val="center"/>
          </w:tcPr>
          <w:p w14:paraId="5FE52FF9" w14:textId="77777777" w:rsidR="00776FE9" w:rsidRDefault="00776FE9" w:rsidP="00A92FCA">
            <w:pPr>
              <w:pStyle w:val="Tablecontents"/>
              <w:jc w:val="center"/>
            </w:pPr>
            <w:r>
              <w:t>0.0</w:t>
            </w:r>
          </w:p>
        </w:tc>
      </w:tr>
    </w:tbl>
    <w:p w14:paraId="3ED1EE48" w14:textId="572015A1" w:rsidR="00B35E73" w:rsidRDefault="00B35E73" w:rsidP="00B35E73">
      <w:r>
        <w:t>Note that an increase factor of 0.0 applies to providers that have been operating for two years or more.</w:t>
      </w:r>
    </w:p>
    <w:p w14:paraId="0354032F" w14:textId="72C9B281" w:rsidR="00776FE9" w:rsidRPr="00C465D5" w:rsidRDefault="00776FE9" w:rsidP="00900B55">
      <w:pPr>
        <w:pStyle w:val="Heading2"/>
      </w:pPr>
      <w:r w:rsidRPr="00C465D5">
        <w:t xml:space="preserve">Risk factor </w:t>
      </w:r>
      <w:r>
        <w:t>3</w:t>
      </w:r>
      <w:r w:rsidRPr="00C465D5">
        <w:t xml:space="preserve">: </w:t>
      </w:r>
      <w:r>
        <w:t>Volatility in overseas student enrolments</w:t>
      </w:r>
    </w:p>
    <w:p w14:paraId="6318EADC" w14:textId="6D526C3B" w:rsidR="00B26598" w:rsidRDefault="00776FE9" w:rsidP="00776FE9">
      <w:pPr>
        <w:spacing w:after="120"/>
      </w:pPr>
      <w:r>
        <w:t xml:space="preserve">This risk factor is supported by data showing a </w:t>
      </w:r>
      <w:r w:rsidR="00B26598">
        <w:t xml:space="preserve">strong </w:t>
      </w:r>
      <w:r>
        <w:t xml:space="preserve">correlation between </w:t>
      </w:r>
      <w:r w:rsidR="00B26598">
        <w:t>extreme volatility in overseas student enrolment</w:t>
      </w:r>
      <w:r w:rsidR="00F72B6C">
        <w:t xml:space="preserve"> numbers</w:t>
      </w:r>
      <w:r w:rsidR="00A91BBA">
        <w:t xml:space="preserve"> and provider defaults.</w:t>
      </w:r>
    </w:p>
    <w:p w14:paraId="77775A4A" w14:textId="0981BEDF" w:rsidR="00457075" w:rsidRDefault="00CC02C5" w:rsidP="00776FE9">
      <w:pPr>
        <w:spacing w:after="120"/>
      </w:pPr>
      <w:r>
        <w:t xml:space="preserve">An increase factor of </w:t>
      </w:r>
      <w:r w:rsidR="003519B8">
        <w:t>0</w:t>
      </w:r>
      <w:r w:rsidR="000E136B">
        <w:t>.0</w:t>
      </w:r>
      <w:r w:rsidR="002369D8">
        <w:t xml:space="preserve"> </w:t>
      </w:r>
      <w:r w:rsidR="00CB5D51">
        <w:t>for positive volatility</w:t>
      </w:r>
      <w:r w:rsidR="00517E41">
        <w:t xml:space="preserve"> (i.e.</w:t>
      </w:r>
      <w:r w:rsidR="00902E1B">
        <w:t xml:space="preserve"> </w:t>
      </w:r>
      <w:r w:rsidR="002C7543">
        <w:t xml:space="preserve">an </w:t>
      </w:r>
      <w:r w:rsidR="00902E1B">
        <w:t xml:space="preserve">increased </w:t>
      </w:r>
      <w:r w:rsidR="002C7543">
        <w:t xml:space="preserve">number of </w:t>
      </w:r>
      <w:r w:rsidR="00902E1B">
        <w:t>overseas student enrolment</w:t>
      </w:r>
      <w:r w:rsidR="002C7543">
        <w:t>s</w:t>
      </w:r>
      <w:r w:rsidR="00902E1B">
        <w:t xml:space="preserve">) </w:t>
      </w:r>
      <w:r w:rsidR="00C6732B">
        <w:t xml:space="preserve">was </w:t>
      </w:r>
      <w:r w:rsidR="003519B8">
        <w:t>applied</w:t>
      </w:r>
      <w:r w:rsidR="00C6732B">
        <w:t xml:space="preserve"> </w:t>
      </w:r>
      <w:r w:rsidR="00902E1B">
        <w:t>for the 2023 levy</w:t>
      </w:r>
      <w:r w:rsidR="000E136B">
        <w:t xml:space="preserve"> as a temporary measure</w:t>
      </w:r>
      <w:r w:rsidR="00902E1B">
        <w:t xml:space="preserve"> </w:t>
      </w:r>
      <w:r w:rsidR="00417A6B">
        <w:t>to avoid penalising</w:t>
      </w:r>
      <w:r w:rsidR="00C6732B">
        <w:t xml:space="preserve"> providers</w:t>
      </w:r>
      <w:r w:rsidR="00AA3F52">
        <w:t xml:space="preserve"> </w:t>
      </w:r>
      <w:r w:rsidR="0055647D">
        <w:t xml:space="preserve">experiencing </w:t>
      </w:r>
      <w:r w:rsidR="00AA3F52">
        <w:t>growth in international student enrolments</w:t>
      </w:r>
      <w:r w:rsidR="00BA7A2B">
        <w:t xml:space="preserve"> post-COVID-19</w:t>
      </w:r>
      <w:r w:rsidR="00BA7A2B" w:rsidRPr="00BF0896">
        <w:t xml:space="preserve">. </w:t>
      </w:r>
      <w:r w:rsidR="00BA7A2B" w:rsidRPr="00BF0896">
        <w:t>The Board</w:t>
      </w:r>
      <w:r w:rsidR="00801DC9" w:rsidRPr="00BF0896">
        <w:t>’s Letter of Draft Advice</w:t>
      </w:r>
      <w:r w:rsidR="00BA7A2B" w:rsidRPr="00BF0896">
        <w:t xml:space="preserve"> </w:t>
      </w:r>
      <w:r w:rsidR="00801DC9" w:rsidRPr="00BF0896">
        <w:t>recommends</w:t>
      </w:r>
      <w:r w:rsidR="00BA7A2B" w:rsidRPr="00BF0896">
        <w:t xml:space="preserve"> maintaining this </w:t>
      </w:r>
      <w:r w:rsidR="009072C4" w:rsidRPr="00BF0896">
        <w:t>setting</w:t>
      </w:r>
      <w:r w:rsidR="00BA7A2B" w:rsidRPr="00BF0896">
        <w:t xml:space="preserve"> for the 2024 le</w:t>
      </w:r>
      <w:r w:rsidR="000B751F" w:rsidRPr="00BF0896">
        <w:t>vy</w:t>
      </w:r>
      <w:r w:rsidR="00AF7A97" w:rsidRPr="00BF0896">
        <w:t xml:space="preserve">, </w:t>
      </w:r>
      <w:r w:rsidR="00457075" w:rsidRPr="00BF0896">
        <w:t>recog</w:t>
      </w:r>
      <w:r w:rsidR="005F4A3D" w:rsidRPr="00BF0896">
        <w:t>nis</w:t>
      </w:r>
      <w:r w:rsidR="00AF7A97" w:rsidRPr="00BF0896">
        <w:t>ing</w:t>
      </w:r>
      <w:r w:rsidR="005F4A3D" w:rsidRPr="00BF0896">
        <w:t xml:space="preserve"> </w:t>
      </w:r>
      <w:r w:rsidR="005F4A3D" w:rsidRPr="00BF0896">
        <w:t>that the drivers of increasing international student enrolments</w:t>
      </w:r>
      <w:r w:rsidR="001B28E0" w:rsidRPr="00BF0896">
        <w:t xml:space="preserve"> in 2024 will be different from those in pre-COVID times. With the</w:t>
      </w:r>
      <w:r w:rsidR="001B28E0">
        <w:t xml:space="preserve"> continued return of international studen</w:t>
      </w:r>
      <w:r w:rsidR="00CB759F">
        <w:t>ts, it is expected that providers may experience unusually high growth in student enrolments.</w:t>
      </w:r>
    </w:p>
    <w:p w14:paraId="387BEE4C" w14:textId="58483E92" w:rsidR="001E75ED" w:rsidRDefault="001E75ED" w:rsidP="00776FE9">
      <w:pPr>
        <w:spacing w:after="120"/>
      </w:pPr>
      <w:r>
        <w:t xml:space="preserve">The TPS Advisory Board has proposed applying a new filter to the </w:t>
      </w:r>
      <w:r w:rsidRPr="6887411F">
        <w:rPr>
          <w:i/>
          <w:iCs/>
        </w:rPr>
        <w:t xml:space="preserve">volatility in overseas student enrolments </w:t>
      </w:r>
      <w:r>
        <w:t xml:space="preserve">risk factor for the 2024 levy, which will waive the application of the risk factor for providers whose international student cohort constituted less than 20% of its total student population in 2023. This filter recognises that providers with a low </w:t>
      </w:r>
      <w:r w:rsidR="212E3018">
        <w:t>ratio</w:t>
      </w:r>
      <w:r>
        <w:t xml:space="preserve"> of international students to domestic students present a lower risk of default than providers that are reliant on international students.</w:t>
      </w:r>
    </w:p>
    <w:p w14:paraId="430E37C9" w14:textId="3A73FE29" w:rsidR="009C2308" w:rsidRDefault="009C2308" w:rsidP="00A90986">
      <w:pPr>
        <w:keepNext/>
      </w:pPr>
      <w:r>
        <w:t>The percentage of a provider’s volatility in overseas student enrolments</w:t>
      </w:r>
      <w:r w:rsidR="00DD57A9">
        <w:t xml:space="preserve"> </w:t>
      </w:r>
      <w:r>
        <w:t>is worked out using the following formula:</w:t>
      </w:r>
    </w:p>
    <w:p w14:paraId="33FD9F0F" w14:textId="10A5A50A" w:rsidR="00776FE9" w:rsidRPr="00A22360" w:rsidRDefault="00000000" w:rsidP="00A90986">
      <w:pPr>
        <w:keepNext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1 -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Number of overseas student enrolments in 2023</m:t>
                  </m:r>
                </m:num>
                <m:den>
                  <m:r>
                    <w:rPr>
                      <w:rFonts w:ascii="Cambria Math" w:hAnsi="Cambria Math"/>
                    </w:rPr>
                    <m:t>Number of overseas student enrolments in 2022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 × 100%</m:t>
          </m:r>
        </m:oMath>
      </m:oMathPara>
    </w:p>
    <w:p w14:paraId="201E576F" w14:textId="3C58B4C4" w:rsidR="00A22360" w:rsidRPr="001B13EF" w:rsidRDefault="00A22360" w:rsidP="00A22360">
      <w:r>
        <w:t>If a provider did not have overseas student enrolments in 2022, the provider’s increase factor will be 0.0.</w:t>
      </w:r>
    </w:p>
    <w:tbl>
      <w:tblPr>
        <w:tblStyle w:val="TPS"/>
        <w:tblW w:w="5000" w:type="pct"/>
        <w:tblLook w:val="04A0" w:firstRow="1" w:lastRow="0" w:firstColumn="1" w:lastColumn="0" w:noHBand="0" w:noVBand="1"/>
      </w:tblPr>
      <w:tblGrid>
        <w:gridCol w:w="4392"/>
        <w:gridCol w:w="2675"/>
        <w:gridCol w:w="2675"/>
      </w:tblGrid>
      <w:tr w:rsidR="00776FE9" w14:paraId="7A12CC07" w14:textId="77777777" w:rsidTr="00B55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2254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23CBCBA8" w14:textId="77777777" w:rsidR="00776FE9" w:rsidRPr="00A56937" w:rsidRDefault="00776FE9" w:rsidP="00507286">
            <w:pPr>
              <w:pStyle w:val="TableHeader"/>
            </w:pPr>
            <w:r>
              <w:lastRenderedPageBreak/>
              <w:t>Volatility in overseas student enrolments</w:t>
            </w:r>
          </w:p>
        </w:tc>
        <w:tc>
          <w:tcPr>
            <w:tcW w:w="1373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5C50B143" w14:textId="5A2C7EF6" w:rsidR="00776FE9" w:rsidRDefault="00776FE9" w:rsidP="00507286">
            <w:pPr>
              <w:pStyle w:val="TableHeader"/>
            </w:pPr>
            <w:r>
              <w:t xml:space="preserve">2023 </w:t>
            </w:r>
            <w:r>
              <w:br/>
            </w:r>
            <w:r w:rsidR="00E72B9D">
              <w:t>increase</w:t>
            </w:r>
            <w:r>
              <w:t xml:space="preserve"> factor</w:t>
            </w:r>
          </w:p>
        </w:tc>
        <w:tc>
          <w:tcPr>
            <w:tcW w:w="1373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1EAD5140" w14:textId="39AB6F86" w:rsidR="00776FE9" w:rsidRDefault="00776FE9" w:rsidP="00507286">
            <w:pPr>
              <w:pStyle w:val="TableHeader"/>
            </w:pPr>
            <w:r>
              <w:t xml:space="preserve">Proposed 2024 </w:t>
            </w:r>
            <w:r>
              <w:br/>
            </w:r>
            <w:r w:rsidR="00E72B9D">
              <w:t>increase factor</w:t>
            </w:r>
          </w:p>
        </w:tc>
      </w:tr>
      <w:tr w:rsidR="00B401C5" w14:paraId="590DA91F" w14:textId="77777777" w:rsidTr="00735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54" w:type="pct"/>
            <w:vAlign w:val="center"/>
          </w:tcPr>
          <w:p w14:paraId="05DDCC2A" w14:textId="76A9870D" w:rsidR="00B401C5" w:rsidRDefault="00B401C5" w:rsidP="001267C6">
            <w:pPr>
              <w:pStyle w:val="Tablecontents"/>
            </w:pPr>
            <w:r>
              <w:t>-60% or less</w:t>
            </w:r>
          </w:p>
        </w:tc>
        <w:tc>
          <w:tcPr>
            <w:tcW w:w="1373" w:type="pct"/>
            <w:vAlign w:val="center"/>
          </w:tcPr>
          <w:p w14:paraId="28EE14D1" w14:textId="4329E329" w:rsidR="00B401C5" w:rsidRDefault="00B401C5" w:rsidP="00A92FCA">
            <w:pPr>
              <w:pStyle w:val="Tablecontents"/>
              <w:jc w:val="center"/>
            </w:pPr>
            <w:r>
              <w:t>3.5</w:t>
            </w:r>
          </w:p>
        </w:tc>
        <w:tc>
          <w:tcPr>
            <w:tcW w:w="1373" w:type="pct"/>
            <w:vAlign w:val="center"/>
          </w:tcPr>
          <w:p w14:paraId="50A15A2F" w14:textId="5F1FDC29" w:rsidR="00B401C5" w:rsidRDefault="00B401C5" w:rsidP="00A92FCA">
            <w:pPr>
              <w:pStyle w:val="Tablecontents"/>
              <w:jc w:val="center"/>
            </w:pPr>
            <w:r>
              <w:t>3.5</w:t>
            </w:r>
          </w:p>
        </w:tc>
      </w:tr>
      <w:tr w:rsidR="00776FE9" w14:paraId="2D3793F9" w14:textId="77777777" w:rsidTr="00735D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254" w:type="pct"/>
            <w:vAlign w:val="center"/>
          </w:tcPr>
          <w:p w14:paraId="6195C81F" w14:textId="5DF6A9FD" w:rsidR="00776FE9" w:rsidRDefault="009D3ADF" w:rsidP="001267C6">
            <w:pPr>
              <w:pStyle w:val="Tablecontents"/>
            </w:pPr>
            <w:r>
              <w:t>-</w:t>
            </w:r>
            <w:r w:rsidR="00F46135">
              <w:t>45% to less than</w:t>
            </w:r>
            <w:r w:rsidR="009E4DB0">
              <w:t xml:space="preserve"> -60%</w:t>
            </w:r>
          </w:p>
        </w:tc>
        <w:tc>
          <w:tcPr>
            <w:tcW w:w="1373" w:type="pct"/>
            <w:vAlign w:val="center"/>
          </w:tcPr>
          <w:p w14:paraId="4A2B3A82" w14:textId="77777777" w:rsidR="00776FE9" w:rsidRDefault="00776FE9" w:rsidP="00A92FCA">
            <w:pPr>
              <w:pStyle w:val="Tablecontents"/>
              <w:jc w:val="center"/>
            </w:pPr>
            <w:r>
              <w:t>3.0</w:t>
            </w:r>
          </w:p>
        </w:tc>
        <w:tc>
          <w:tcPr>
            <w:tcW w:w="1373" w:type="pct"/>
            <w:vAlign w:val="center"/>
          </w:tcPr>
          <w:p w14:paraId="7770609E" w14:textId="77777777" w:rsidR="00776FE9" w:rsidRDefault="00776FE9" w:rsidP="00A92FCA">
            <w:pPr>
              <w:pStyle w:val="Tablecontents"/>
              <w:jc w:val="center"/>
            </w:pPr>
            <w:r>
              <w:t>3.0</w:t>
            </w:r>
          </w:p>
        </w:tc>
      </w:tr>
      <w:tr w:rsidR="00776FE9" w14:paraId="084F61CB" w14:textId="77777777" w:rsidTr="00735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54" w:type="pct"/>
            <w:vAlign w:val="center"/>
          </w:tcPr>
          <w:p w14:paraId="483473A0" w14:textId="58F48CAE" w:rsidR="00776FE9" w:rsidRDefault="00AB2841" w:rsidP="001267C6">
            <w:pPr>
              <w:pStyle w:val="Tablecontents"/>
            </w:pPr>
            <w:r>
              <w:t>-30%</w:t>
            </w:r>
            <w:r w:rsidR="006351D7">
              <w:t xml:space="preserve"> to less than -45%</w:t>
            </w:r>
          </w:p>
        </w:tc>
        <w:tc>
          <w:tcPr>
            <w:tcW w:w="1373" w:type="pct"/>
            <w:vAlign w:val="center"/>
          </w:tcPr>
          <w:p w14:paraId="1F44957F" w14:textId="120D7EB8" w:rsidR="00776FE9" w:rsidRDefault="00776FE9" w:rsidP="00A92FCA">
            <w:pPr>
              <w:pStyle w:val="Tablecontents"/>
              <w:jc w:val="center"/>
            </w:pPr>
            <w:r>
              <w:t>2.</w:t>
            </w:r>
            <w:r w:rsidR="00E8106C">
              <w:t>0</w:t>
            </w:r>
          </w:p>
        </w:tc>
        <w:tc>
          <w:tcPr>
            <w:tcW w:w="1373" w:type="pct"/>
            <w:vAlign w:val="center"/>
          </w:tcPr>
          <w:p w14:paraId="2527F0D8" w14:textId="1B824C03" w:rsidR="00776FE9" w:rsidRDefault="00776FE9" w:rsidP="00A92FCA">
            <w:pPr>
              <w:pStyle w:val="Tablecontents"/>
              <w:jc w:val="center"/>
            </w:pPr>
            <w:r>
              <w:t>2.</w:t>
            </w:r>
            <w:r w:rsidR="00E8106C">
              <w:t>0</w:t>
            </w:r>
          </w:p>
        </w:tc>
      </w:tr>
      <w:tr w:rsidR="00776FE9" w14:paraId="34D70F18" w14:textId="77777777" w:rsidTr="00735D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254" w:type="pct"/>
            <w:vAlign w:val="center"/>
          </w:tcPr>
          <w:p w14:paraId="68675B9F" w14:textId="7DCADD54" w:rsidR="00776FE9" w:rsidRDefault="006351D7" w:rsidP="001267C6">
            <w:pPr>
              <w:pStyle w:val="Tablecontents"/>
            </w:pPr>
            <w:r>
              <w:t>-15% to less than -30%</w:t>
            </w:r>
          </w:p>
        </w:tc>
        <w:tc>
          <w:tcPr>
            <w:tcW w:w="1373" w:type="pct"/>
            <w:vAlign w:val="center"/>
          </w:tcPr>
          <w:p w14:paraId="6032C969" w14:textId="55B6D339" w:rsidR="00776FE9" w:rsidRDefault="00776FE9" w:rsidP="00A92FCA">
            <w:pPr>
              <w:pStyle w:val="Tablecontents"/>
              <w:jc w:val="center"/>
            </w:pPr>
            <w:r>
              <w:t>1.</w:t>
            </w:r>
            <w:r w:rsidR="00E8106C">
              <w:t>5</w:t>
            </w:r>
          </w:p>
        </w:tc>
        <w:tc>
          <w:tcPr>
            <w:tcW w:w="1373" w:type="pct"/>
            <w:vAlign w:val="center"/>
          </w:tcPr>
          <w:p w14:paraId="1765BB81" w14:textId="553F46EE" w:rsidR="00776FE9" w:rsidRDefault="00776FE9" w:rsidP="00A92FCA">
            <w:pPr>
              <w:pStyle w:val="Tablecontents"/>
              <w:jc w:val="center"/>
            </w:pPr>
            <w:r>
              <w:t>1.</w:t>
            </w:r>
            <w:r w:rsidR="00E8106C">
              <w:t>5</w:t>
            </w:r>
          </w:p>
        </w:tc>
      </w:tr>
      <w:tr w:rsidR="00776FE9" w14:paraId="34E2EDB3" w14:textId="77777777" w:rsidTr="00735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54" w:type="pct"/>
            <w:vAlign w:val="center"/>
          </w:tcPr>
          <w:p w14:paraId="396ACD48" w14:textId="3A0992F5" w:rsidR="00776FE9" w:rsidRDefault="003623C7" w:rsidP="001267C6">
            <w:pPr>
              <w:pStyle w:val="Tablecontents"/>
            </w:pPr>
            <w:r>
              <w:t>-15% to 0% or more (positive volatility)</w:t>
            </w:r>
          </w:p>
        </w:tc>
        <w:tc>
          <w:tcPr>
            <w:tcW w:w="1373" w:type="pct"/>
            <w:vAlign w:val="center"/>
          </w:tcPr>
          <w:p w14:paraId="51521A86" w14:textId="3E6B0427" w:rsidR="00776FE9" w:rsidRDefault="00E8106C" w:rsidP="00A92FCA">
            <w:pPr>
              <w:pStyle w:val="Tablecontents"/>
              <w:jc w:val="center"/>
            </w:pPr>
            <w:r>
              <w:t>0.0</w:t>
            </w:r>
          </w:p>
        </w:tc>
        <w:tc>
          <w:tcPr>
            <w:tcW w:w="1373" w:type="pct"/>
            <w:vAlign w:val="center"/>
          </w:tcPr>
          <w:p w14:paraId="55D05893" w14:textId="7601636D" w:rsidR="00776FE9" w:rsidRDefault="00E8106C" w:rsidP="00A92FCA">
            <w:pPr>
              <w:pStyle w:val="Tablecontents"/>
              <w:jc w:val="center"/>
            </w:pPr>
            <w:r>
              <w:t>0.0</w:t>
            </w:r>
          </w:p>
        </w:tc>
      </w:tr>
    </w:tbl>
    <w:p w14:paraId="22B6B296" w14:textId="01139F18" w:rsidR="00C313DC" w:rsidRDefault="007F7993" w:rsidP="00255C81">
      <w:r>
        <w:t>A provider’s</w:t>
      </w:r>
      <w:r w:rsidR="00E7234F">
        <w:t xml:space="preserve"> </w:t>
      </w:r>
      <w:r w:rsidR="007A0CF1" w:rsidRPr="6887411F">
        <w:rPr>
          <w:i/>
          <w:iCs/>
        </w:rPr>
        <w:t xml:space="preserve">volatility in overseas student enrolments </w:t>
      </w:r>
      <w:r w:rsidR="00E7234F">
        <w:t xml:space="preserve">increase factor is discounted </w:t>
      </w:r>
      <w:r w:rsidR="002F462D">
        <w:t>according to their length of operation</w:t>
      </w:r>
      <w:r w:rsidR="00654997">
        <w:t xml:space="preserve"> and</w:t>
      </w:r>
      <w:r w:rsidR="007A0CF1">
        <w:t xml:space="preserve"> rounded to one decimal place</w:t>
      </w:r>
      <w:r w:rsidR="009E454E">
        <w:t xml:space="preserve"> as follows.</w:t>
      </w:r>
      <w:r w:rsidR="00C313DC">
        <w:t xml:space="preserve"> </w:t>
      </w:r>
      <w:r w:rsidR="00776FE9">
        <w:t>This tapers the introduction of th</w:t>
      </w:r>
      <w:r w:rsidR="00AF67ED">
        <w:t>is</w:t>
      </w:r>
      <w:r w:rsidR="00776FE9">
        <w:t xml:space="preserve"> risk factor </w:t>
      </w:r>
      <w:r w:rsidR="000D45E2">
        <w:t>for</w:t>
      </w:r>
      <w:r w:rsidR="00776FE9">
        <w:t xml:space="preserve"> providers transition</w:t>
      </w:r>
      <w:r w:rsidR="000D45E2">
        <w:t>ing</w:t>
      </w:r>
      <w:r w:rsidR="00776FE9">
        <w:t xml:space="preserve"> from two to five years of operation.</w:t>
      </w:r>
    </w:p>
    <w:tbl>
      <w:tblPr>
        <w:tblStyle w:val="TPS"/>
        <w:tblW w:w="5000" w:type="pct"/>
        <w:tblLook w:val="04A0" w:firstRow="1" w:lastRow="0" w:firstColumn="1" w:lastColumn="0" w:noHBand="0" w:noVBand="1"/>
      </w:tblPr>
      <w:tblGrid>
        <w:gridCol w:w="4392"/>
        <w:gridCol w:w="2675"/>
        <w:gridCol w:w="2675"/>
      </w:tblGrid>
      <w:tr w:rsidR="00776FE9" w14:paraId="14B4A316" w14:textId="77777777" w:rsidTr="00B55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2254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4679CB69" w14:textId="7F47A5FF" w:rsidR="00776FE9" w:rsidRPr="00507286" w:rsidRDefault="00776FE9" w:rsidP="00507286">
            <w:pPr>
              <w:pStyle w:val="TableHeader"/>
            </w:pPr>
            <w:r w:rsidRPr="00507286">
              <w:t xml:space="preserve">Length of </w:t>
            </w:r>
            <w:r w:rsidR="001A349E">
              <w:t>o</w:t>
            </w:r>
            <w:r w:rsidRPr="00507286">
              <w:t>peration</w:t>
            </w:r>
          </w:p>
        </w:tc>
        <w:tc>
          <w:tcPr>
            <w:tcW w:w="1373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497D42ED" w14:textId="53A11297" w:rsidR="00776FE9" w:rsidRDefault="00776FE9" w:rsidP="00507286">
            <w:pPr>
              <w:pStyle w:val="TableHeader"/>
            </w:pPr>
            <w:r>
              <w:t xml:space="preserve">2023 </w:t>
            </w:r>
            <w:r>
              <w:br/>
            </w:r>
            <w:r w:rsidR="00E72B9D" w:rsidRPr="0032170F">
              <w:t>increase factor</w:t>
            </w:r>
            <w:r w:rsidR="0032170F" w:rsidRPr="0032170F">
              <w:t xml:space="preserve"> discount</w:t>
            </w:r>
          </w:p>
        </w:tc>
        <w:tc>
          <w:tcPr>
            <w:tcW w:w="1373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657D5862" w14:textId="08D35109" w:rsidR="00776FE9" w:rsidRDefault="00776FE9" w:rsidP="00507286">
            <w:pPr>
              <w:pStyle w:val="TableHeader"/>
            </w:pPr>
            <w:r>
              <w:t xml:space="preserve">Proposed 2024 </w:t>
            </w:r>
            <w:r>
              <w:br/>
            </w:r>
            <w:r w:rsidR="0032170F" w:rsidRPr="0032170F">
              <w:t>increase factor discount</w:t>
            </w:r>
          </w:p>
        </w:tc>
      </w:tr>
      <w:tr w:rsidR="00776FE9" w14:paraId="4685EF5F" w14:textId="77777777" w:rsidTr="00363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54" w:type="pct"/>
            <w:tcBorders>
              <w:top w:val="single" w:sz="18" w:space="0" w:color="FFFFFF" w:themeColor="background1"/>
            </w:tcBorders>
            <w:vAlign w:val="center"/>
          </w:tcPr>
          <w:p w14:paraId="70E143A7" w14:textId="49FDEB2E" w:rsidR="00776FE9" w:rsidRDefault="00776FE9" w:rsidP="001267C6">
            <w:pPr>
              <w:pStyle w:val="Tablecontents"/>
            </w:pPr>
            <w:r>
              <w:t xml:space="preserve">0 to </w:t>
            </w:r>
            <w:r w:rsidR="002F0A9B">
              <w:t>less than</w:t>
            </w:r>
            <w:r>
              <w:t xml:space="preserve"> 2 years</w:t>
            </w:r>
          </w:p>
        </w:tc>
        <w:tc>
          <w:tcPr>
            <w:tcW w:w="1373" w:type="pct"/>
            <w:tcBorders>
              <w:top w:val="single" w:sz="18" w:space="0" w:color="FFFFFF" w:themeColor="background1"/>
            </w:tcBorders>
            <w:vAlign w:val="center"/>
          </w:tcPr>
          <w:p w14:paraId="0CED5482" w14:textId="77777777" w:rsidR="00776FE9" w:rsidRDefault="00776FE9" w:rsidP="00AA4E8A">
            <w:pPr>
              <w:pStyle w:val="Tablecontents"/>
              <w:jc w:val="center"/>
            </w:pPr>
            <w:r>
              <w:t>0%</w:t>
            </w:r>
          </w:p>
        </w:tc>
        <w:tc>
          <w:tcPr>
            <w:tcW w:w="1373" w:type="pct"/>
            <w:tcBorders>
              <w:top w:val="single" w:sz="18" w:space="0" w:color="FFFFFF" w:themeColor="background1"/>
            </w:tcBorders>
            <w:vAlign w:val="center"/>
          </w:tcPr>
          <w:p w14:paraId="07CFB601" w14:textId="77777777" w:rsidR="00776FE9" w:rsidRDefault="00776FE9" w:rsidP="00AA4E8A">
            <w:pPr>
              <w:pStyle w:val="Tablecontents"/>
              <w:jc w:val="center"/>
            </w:pPr>
            <w:r>
              <w:t>0%</w:t>
            </w:r>
          </w:p>
        </w:tc>
      </w:tr>
      <w:tr w:rsidR="00776FE9" w14:paraId="3BCC1587" w14:textId="77777777" w:rsidTr="00363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254" w:type="pct"/>
            <w:vAlign w:val="center"/>
          </w:tcPr>
          <w:p w14:paraId="1B3CF365" w14:textId="07E603E4" w:rsidR="00776FE9" w:rsidRDefault="00776FE9" w:rsidP="001267C6">
            <w:pPr>
              <w:pStyle w:val="Tablecontents"/>
            </w:pPr>
            <w:r>
              <w:t xml:space="preserve">2 years to </w:t>
            </w:r>
            <w:r w:rsidR="002F0A9B">
              <w:t>less than</w:t>
            </w:r>
            <w:r>
              <w:t xml:space="preserve"> 3 years</w:t>
            </w:r>
          </w:p>
        </w:tc>
        <w:tc>
          <w:tcPr>
            <w:tcW w:w="1373" w:type="pct"/>
            <w:vAlign w:val="center"/>
          </w:tcPr>
          <w:p w14:paraId="0C52220A" w14:textId="77777777" w:rsidR="00776FE9" w:rsidRDefault="00776FE9" w:rsidP="00AA4E8A">
            <w:pPr>
              <w:pStyle w:val="Tablecontents"/>
              <w:jc w:val="center"/>
            </w:pPr>
            <w:r>
              <w:t>25%</w:t>
            </w:r>
          </w:p>
        </w:tc>
        <w:tc>
          <w:tcPr>
            <w:tcW w:w="1373" w:type="pct"/>
            <w:vAlign w:val="center"/>
          </w:tcPr>
          <w:p w14:paraId="45F0A3E3" w14:textId="77777777" w:rsidR="00776FE9" w:rsidRDefault="00776FE9" w:rsidP="00AA4E8A">
            <w:pPr>
              <w:pStyle w:val="Tablecontents"/>
              <w:jc w:val="center"/>
            </w:pPr>
            <w:r>
              <w:t>25%</w:t>
            </w:r>
          </w:p>
        </w:tc>
      </w:tr>
      <w:tr w:rsidR="00776FE9" w14:paraId="43269B7C" w14:textId="77777777" w:rsidTr="00363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54" w:type="pct"/>
            <w:vAlign w:val="center"/>
          </w:tcPr>
          <w:p w14:paraId="1F62C29F" w14:textId="3338681C" w:rsidR="00776FE9" w:rsidRDefault="00776FE9" w:rsidP="001267C6">
            <w:pPr>
              <w:pStyle w:val="Tablecontents"/>
            </w:pPr>
            <w:r>
              <w:t xml:space="preserve">3 years to </w:t>
            </w:r>
            <w:r w:rsidR="002F0A9B">
              <w:t>less than</w:t>
            </w:r>
            <w:r>
              <w:t xml:space="preserve"> 4 years</w:t>
            </w:r>
          </w:p>
        </w:tc>
        <w:tc>
          <w:tcPr>
            <w:tcW w:w="1373" w:type="pct"/>
            <w:vAlign w:val="center"/>
          </w:tcPr>
          <w:p w14:paraId="2AD11ACA" w14:textId="77777777" w:rsidR="00776FE9" w:rsidRDefault="00776FE9" w:rsidP="00AA4E8A">
            <w:pPr>
              <w:pStyle w:val="Tablecontents"/>
              <w:jc w:val="center"/>
            </w:pPr>
            <w:r>
              <w:t>50%</w:t>
            </w:r>
          </w:p>
        </w:tc>
        <w:tc>
          <w:tcPr>
            <w:tcW w:w="1373" w:type="pct"/>
            <w:vAlign w:val="center"/>
          </w:tcPr>
          <w:p w14:paraId="32FD86BC" w14:textId="77777777" w:rsidR="00776FE9" w:rsidRDefault="00776FE9" w:rsidP="00AA4E8A">
            <w:pPr>
              <w:pStyle w:val="Tablecontents"/>
              <w:jc w:val="center"/>
            </w:pPr>
            <w:r>
              <w:t>50%</w:t>
            </w:r>
          </w:p>
        </w:tc>
      </w:tr>
      <w:tr w:rsidR="00776FE9" w14:paraId="5E92ABF2" w14:textId="77777777" w:rsidTr="00363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254" w:type="pct"/>
            <w:vAlign w:val="center"/>
          </w:tcPr>
          <w:p w14:paraId="3B27BEEF" w14:textId="6A0D204C" w:rsidR="00776FE9" w:rsidRDefault="00776FE9" w:rsidP="001267C6">
            <w:pPr>
              <w:pStyle w:val="Tablecontents"/>
            </w:pPr>
            <w:r>
              <w:t xml:space="preserve">4 years to </w:t>
            </w:r>
            <w:r w:rsidR="002F0A9B">
              <w:t>less than</w:t>
            </w:r>
            <w:r>
              <w:t xml:space="preserve"> 5 years</w:t>
            </w:r>
          </w:p>
        </w:tc>
        <w:tc>
          <w:tcPr>
            <w:tcW w:w="1373" w:type="pct"/>
            <w:vAlign w:val="center"/>
          </w:tcPr>
          <w:p w14:paraId="7ED4BD53" w14:textId="77777777" w:rsidR="00776FE9" w:rsidRDefault="00776FE9" w:rsidP="00AA4E8A">
            <w:pPr>
              <w:pStyle w:val="Tablecontents"/>
              <w:jc w:val="center"/>
            </w:pPr>
            <w:r>
              <w:t>75%</w:t>
            </w:r>
          </w:p>
        </w:tc>
        <w:tc>
          <w:tcPr>
            <w:tcW w:w="1373" w:type="pct"/>
            <w:vAlign w:val="center"/>
          </w:tcPr>
          <w:p w14:paraId="42700593" w14:textId="77777777" w:rsidR="00776FE9" w:rsidRDefault="00776FE9" w:rsidP="00AA4E8A">
            <w:pPr>
              <w:pStyle w:val="Tablecontents"/>
              <w:jc w:val="center"/>
            </w:pPr>
            <w:r>
              <w:t>75%</w:t>
            </w:r>
          </w:p>
        </w:tc>
      </w:tr>
      <w:tr w:rsidR="00776FE9" w14:paraId="65C81A51" w14:textId="77777777" w:rsidTr="00363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54" w:type="pct"/>
            <w:vAlign w:val="center"/>
          </w:tcPr>
          <w:p w14:paraId="3BDB510F" w14:textId="77777777" w:rsidR="00776FE9" w:rsidRDefault="00776FE9" w:rsidP="001267C6">
            <w:pPr>
              <w:pStyle w:val="Tablecontents"/>
            </w:pPr>
            <w:r>
              <w:t>5 years or more</w:t>
            </w:r>
          </w:p>
        </w:tc>
        <w:tc>
          <w:tcPr>
            <w:tcW w:w="1373" w:type="pct"/>
            <w:vAlign w:val="center"/>
          </w:tcPr>
          <w:p w14:paraId="67C186BC" w14:textId="77777777" w:rsidR="00776FE9" w:rsidRDefault="00776FE9" w:rsidP="00AA4E8A">
            <w:pPr>
              <w:pStyle w:val="Tablecontents"/>
              <w:jc w:val="center"/>
            </w:pPr>
            <w:r>
              <w:t>100%</w:t>
            </w:r>
          </w:p>
        </w:tc>
        <w:tc>
          <w:tcPr>
            <w:tcW w:w="1373" w:type="pct"/>
            <w:vAlign w:val="center"/>
          </w:tcPr>
          <w:p w14:paraId="065AD5C8" w14:textId="77777777" w:rsidR="00776FE9" w:rsidRDefault="00776FE9" w:rsidP="00AA4E8A">
            <w:pPr>
              <w:pStyle w:val="Tablecontents"/>
              <w:jc w:val="center"/>
            </w:pPr>
            <w:r>
              <w:t>100%</w:t>
            </w:r>
          </w:p>
        </w:tc>
      </w:tr>
    </w:tbl>
    <w:p w14:paraId="7404045E" w14:textId="58C18C2C" w:rsidR="00CF0E36" w:rsidRDefault="00DE2883" w:rsidP="001267C6">
      <w:r>
        <w:t xml:space="preserve">Note that </w:t>
      </w:r>
      <w:r w:rsidR="009632FB">
        <w:t xml:space="preserve">this risk factor will not apply to </w:t>
      </w:r>
      <w:r>
        <w:t>providers with a length of operation of less than two years</w:t>
      </w:r>
      <w:r w:rsidR="009632FB">
        <w:t xml:space="preserve">. </w:t>
      </w:r>
      <w:r w:rsidR="00A76BA7">
        <w:t xml:space="preserve">This means that providers are subject to the application of either the </w:t>
      </w:r>
      <w:r w:rsidR="00A76BA7" w:rsidRPr="009632FB">
        <w:rPr>
          <w:i/>
          <w:iCs/>
        </w:rPr>
        <w:t>length of operation</w:t>
      </w:r>
      <w:r w:rsidR="00A76BA7">
        <w:t xml:space="preserve"> risk factor or the </w:t>
      </w:r>
      <w:r w:rsidR="00A76BA7" w:rsidRPr="009632FB">
        <w:rPr>
          <w:i/>
          <w:iCs/>
        </w:rPr>
        <w:t>volatility in overseas student enrolments</w:t>
      </w:r>
      <w:r w:rsidR="00A76BA7">
        <w:t xml:space="preserve"> risk factor, but </w:t>
      </w:r>
      <w:r w:rsidR="00A76BA7" w:rsidRPr="00AC77A1">
        <w:rPr>
          <w:b/>
          <w:bCs/>
        </w:rPr>
        <w:t>not both</w:t>
      </w:r>
      <w:r w:rsidR="00A76BA7">
        <w:t>.</w:t>
      </w:r>
    </w:p>
    <w:p w14:paraId="48A68C43" w14:textId="4D27AE3A" w:rsidR="00776FE9" w:rsidRPr="00C465D5" w:rsidRDefault="00776FE9" w:rsidP="00900B55">
      <w:pPr>
        <w:pStyle w:val="Heading2"/>
      </w:pPr>
      <w:r w:rsidRPr="00C465D5">
        <w:t xml:space="preserve">Risk factor </w:t>
      </w:r>
      <w:r>
        <w:t>4</w:t>
      </w:r>
      <w:r w:rsidRPr="00C465D5">
        <w:t xml:space="preserve">: </w:t>
      </w:r>
      <w:r>
        <w:t>Maximum overseas source country concentration</w:t>
      </w:r>
    </w:p>
    <w:p w14:paraId="385FC354" w14:textId="3E8C74D3" w:rsidR="00776FE9" w:rsidRDefault="00776FE9" w:rsidP="00776FE9">
      <w:pPr>
        <w:spacing w:after="120"/>
      </w:pPr>
      <w:r>
        <w:t>This risk factor reflects the greater risk of a provider default associated with a</w:t>
      </w:r>
      <w:r w:rsidR="00304A66">
        <w:t xml:space="preserve"> provider enrolling a</w:t>
      </w:r>
      <w:r>
        <w:t xml:space="preserve"> high concentration of international students from a single source country.</w:t>
      </w:r>
      <w:r w:rsidR="0075190F">
        <w:t xml:space="preserve"> </w:t>
      </w:r>
      <w:r w:rsidR="008C383C">
        <w:t>P</w:t>
      </w:r>
      <w:r w:rsidR="0075190F">
        <w:t>rovider</w:t>
      </w:r>
      <w:r w:rsidR="008C383C">
        <w:t>s</w:t>
      </w:r>
      <w:r w:rsidR="0075190F">
        <w:t xml:space="preserve"> with</w:t>
      </w:r>
      <w:r w:rsidR="005A22E5">
        <w:t xml:space="preserve"> a</w:t>
      </w:r>
      <w:r w:rsidR="0075190F">
        <w:t xml:space="preserve"> greater concentr</w:t>
      </w:r>
      <w:r w:rsidR="0074494B">
        <w:t xml:space="preserve">ation of international students from a single country </w:t>
      </w:r>
      <w:r w:rsidR="008C383C">
        <w:t>are</w:t>
      </w:r>
      <w:r w:rsidR="0074494B">
        <w:t xml:space="preserve"> more exposed to potential political</w:t>
      </w:r>
      <w:r w:rsidR="00F64D72">
        <w:t xml:space="preserve"> and </w:t>
      </w:r>
      <w:r w:rsidR="005A22E5">
        <w:t>geographical</w:t>
      </w:r>
      <w:r w:rsidR="0074494B">
        <w:t xml:space="preserve"> </w:t>
      </w:r>
      <w:r w:rsidR="00F64D72">
        <w:t>risks.</w:t>
      </w:r>
    </w:p>
    <w:p w14:paraId="06C96879" w14:textId="0A5B385F" w:rsidR="001E75ED" w:rsidRDefault="001E75ED" w:rsidP="00776FE9">
      <w:pPr>
        <w:spacing w:after="120"/>
      </w:pPr>
      <w:r>
        <w:t xml:space="preserve">The TPS Advisory Board has proposed applying a new filter to the </w:t>
      </w:r>
      <w:r w:rsidRPr="6887411F">
        <w:rPr>
          <w:i/>
          <w:iCs/>
        </w:rPr>
        <w:t xml:space="preserve">maximum overseas source country concentration </w:t>
      </w:r>
      <w:r>
        <w:t xml:space="preserve">risk factor for the 2024 levy, which will waive the application of the risk factor for providers whose international student cohort constituted less than 20% of its total student population in 2023. This filter recognises that providers with a low </w:t>
      </w:r>
      <w:r w:rsidR="004A412C">
        <w:t xml:space="preserve">ratio </w:t>
      </w:r>
      <w:r>
        <w:t xml:space="preserve">of international students </w:t>
      </w:r>
      <w:r w:rsidRPr="004A412C">
        <w:t>to</w:t>
      </w:r>
      <w:r>
        <w:t xml:space="preserve"> domestic students present a lower risk of default than providers that are reliant on international students.</w:t>
      </w:r>
    </w:p>
    <w:p w14:paraId="378E186D" w14:textId="047A9E9D" w:rsidR="00DD0BC7" w:rsidRDefault="00FC3A17" w:rsidP="00B333B2">
      <w:pPr>
        <w:keepNext/>
      </w:pPr>
      <w:r>
        <w:t>The percentage of a</w:t>
      </w:r>
      <w:r w:rsidR="00DD0BC7">
        <w:t xml:space="preserve"> provider’s maximum overseas source country concentration is worked out using the following formula:</w:t>
      </w:r>
    </w:p>
    <w:p w14:paraId="3B3654E9" w14:textId="6F43DB54" w:rsidR="00DD0BC7" w:rsidRPr="005D7923" w:rsidRDefault="00000000" w:rsidP="00B333B2">
      <w:pPr>
        <w:keepNext/>
        <w:spacing w:after="120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Largest number of overseas student enrolments for a country</m:t>
                  </m:r>
                </m:num>
                <m:den>
                  <m:r>
                    <w:rPr>
                      <w:rFonts w:ascii="Cambria Math" w:hAnsi="Cambria Math"/>
                    </w:rPr>
                    <m:t>Total number of overseas student enrolments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 × 100%</m:t>
          </m:r>
        </m:oMath>
      </m:oMathPara>
    </w:p>
    <w:p w14:paraId="4CE9E57F" w14:textId="2049F6D2" w:rsidR="005E2C25" w:rsidRPr="005E2C25" w:rsidRDefault="005E2C25" w:rsidP="00670001">
      <w:pPr>
        <w:spacing w:after="120"/>
      </w:pPr>
      <w:r w:rsidRPr="005E2C25">
        <w:t>where:</w:t>
      </w:r>
    </w:p>
    <w:p w14:paraId="5D652677" w14:textId="193B1C51" w:rsidR="00086527" w:rsidRDefault="00611589" w:rsidP="00670001">
      <w:pPr>
        <w:spacing w:after="120"/>
        <w:ind w:left="720"/>
      </w:pPr>
      <w:r w:rsidRPr="005E2C25">
        <w:rPr>
          <w:b/>
          <w:bCs/>
        </w:rPr>
        <w:t>L</w:t>
      </w:r>
      <w:r w:rsidR="00A26D35" w:rsidRPr="005E2C25">
        <w:rPr>
          <w:b/>
          <w:bCs/>
        </w:rPr>
        <w:t>argest number of overseas student enrolments for a country</w:t>
      </w:r>
      <w:r w:rsidR="005E2C25">
        <w:t xml:space="preserve"> means t</w:t>
      </w:r>
      <w:r w:rsidR="00086527">
        <w:t xml:space="preserve">he largest number of </w:t>
      </w:r>
      <w:r w:rsidR="00703851">
        <w:t xml:space="preserve">overseas student </w:t>
      </w:r>
      <w:r w:rsidR="00086527">
        <w:t>enrolments for any overseas source countr</w:t>
      </w:r>
      <w:r w:rsidR="00703851">
        <w:t>y</w:t>
      </w:r>
      <w:r w:rsidR="00086527">
        <w:t xml:space="preserve"> in 2023</w:t>
      </w:r>
      <w:r w:rsidR="005E2C25">
        <w:t>.</w:t>
      </w:r>
    </w:p>
    <w:p w14:paraId="052D1DF7" w14:textId="5D94A962" w:rsidR="0054214D" w:rsidRPr="001B13EF" w:rsidRDefault="00611589" w:rsidP="001E75ED">
      <w:pPr>
        <w:ind w:left="720"/>
      </w:pPr>
      <w:r w:rsidRPr="005E2C25">
        <w:rPr>
          <w:b/>
          <w:bCs/>
        </w:rPr>
        <w:t>Total number of overseas student enrolments</w:t>
      </w:r>
      <w:r w:rsidR="005E2C25">
        <w:t xml:space="preserve"> means t</w:t>
      </w:r>
      <w:r w:rsidR="000B0980">
        <w:t>he total number of overseas student enrolments in 2023</w:t>
      </w:r>
      <w:r w:rsidR="005E2C25">
        <w:t>.</w:t>
      </w:r>
    </w:p>
    <w:tbl>
      <w:tblPr>
        <w:tblStyle w:val="TPS"/>
        <w:tblW w:w="5000" w:type="pct"/>
        <w:tblLook w:val="04A0" w:firstRow="1" w:lastRow="0" w:firstColumn="1" w:lastColumn="0" w:noHBand="0" w:noVBand="1"/>
      </w:tblPr>
      <w:tblGrid>
        <w:gridCol w:w="4392"/>
        <w:gridCol w:w="2675"/>
        <w:gridCol w:w="2675"/>
      </w:tblGrid>
      <w:tr w:rsidR="00776FE9" w14:paraId="0D2DA1AA" w14:textId="77777777" w:rsidTr="00B55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2254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29C3C667" w14:textId="77777777" w:rsidR="00776FE9" w:rsidRPr="00A56937" w:rsidRDefault="00776FE9" w:rsidP="00507286">
            <w:pPr>
              <w:pStyle w:val="TableHeader"/>
            </w:pPr>
            <w:r>
              <w:lastRenderedPageBreak/>
              <w:t>Source country concentration</w:t>
            </w:r>
          </w:p>
        </w:tc>
        <w:tc>
          <w:tcPr>
            <w:tcW w:w="1373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569F1504" w14:textId="0B2BBB06" w:rsidR="00776FE9" w:rsidRDefault="00776FE9" w:rsidP="00507286">
            <w:pPr>
              <w:pStyle w:val="TableHeader"/>
            </w:pPr>
            <w:r>
              <w:t xml:space="preserve">2023 </w:t>
            </w:r>
            <w:r>
              <w:br/>
            </w:r>
            <w:r w:rsidR="00E72B9D">
              <w:t>increase factor</w:t>
            </w:r>
          </w:p>
        </w:tc>
        <w:tc>
          <w:tcPr>
            <w:tcW w:w="1373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2FF60BC0" w14:textId="6CC8C541" w:rsidR="00776FE9" w:rsidRDefault="00776FE9" w:rsidP="00507286">
            <w:pPr>
              <w:pStyle w:val="TableHeader"/>
            </w:pPr>
            <w:r>
              <w:t xml:space="preserve">Proposed 2024 </w:t>
            </w:r>
            <w:r>
              <w:br/>
            </w:r>
            <w:r w:rsidR="00E72B9D">
              <w:t>increase factor</w:t>
            </w:r>
          </w:p>
        </w:tc>
      </w:tr>
      <w:tr w:rsidR="00776FE9" w14:paraId="1384071B" w14:textId="77777777" w:rsidTr="00363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54" w:type="pct"/>
            <w:tcBorders>
              <w:top w:val="single" w:sz="18" w:space="0" w:color="FFFFFF" w:themeColor="background1"/>
            </w:tcBorders>
            <w:vAlign w:val="center"/>
          </w:tcPr>
          <w:p w14:paraId="2A9FB33A" w14:textId="77777777" w:rsidR="00776FE9" w:rsidRPr="001267C6" w:rsidRDefault="00776FE9" w:rsidP="001267C6">
            <w:pPr>
              <w:pStyle w:val="Tablecontents"/>
            </w:pPr>
            <w:r w:rsidRPr="001267C6">
              <w:t>80% or more</w:t>
            </w:r>
          </w:p>
        </w:tc>
        <w:tc>
          <w:tcPr>
            <w:tcW w:w="1373" w:type="pct"/>
            <w:tcBorders>
              <w:top w:val="single" w:sz="18" w:space="0" w:color="FFFFFF" w:themeColor="background1"/>
            </w:tcBorders>
            <w:vAlign w:val="center"/>
          </w:tcPr>
          <w:p w14:paraId="4BAB81F3" w14:textId="77777777" w:rsidR="00776FE9" w:rsidRDefault="00776FE9" w:rsidP="00AA4E8A">
            <w:pPr>
              <w:pStyle w:val="Tablecontents"/>
              <w:jc w:val="center"/>
            </w:pPr>
            <w:r>
              <w:t>3.1</w:t>
            </w:r>
          </w:p>
        </w:tc>
        <w:tc>
          <w:tcPr>
            <w:tcW w:w="1373" w:type="pct"/>
            <w:tcBorders>
              <w:top w:val="single" w:sz="18" w:space="0" w:color="FFFFFF" w:themeColor="background1"/>
            </w:tcBorders>
            <w:vAlign w:val="center"/>
          </w:tcPr>
          <w:p w14:paraId="0DA524DE" w14:textId="77777777" w:rsidR="00776FE9" w:rsidRDefault="00776FE9" w:rsidP="00AA4E8A">
            <w:pPr>
              <w:pStyle w:val="Tablecontents"/>
              <w:jc w:val="center"/>
            </w:pPr>
            <w:r>
              <w:t>3.1</w:t>
            </w:r>
          </w:p>
        </w:tc>
      </w:tr>
      <w:tr w:rsidR="00776FE9" w14:paraId="07EAB72E" w14:textId="77777777" w:rsidTr="00363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254" w:type="pct"/>
            <w:vAlign w:val="center"/>
          </w:tcPr>
          <w:p w14:paraId="4B1161F6" w14:textId="7C28A8F7" w:rsidR="00776FE9" w:rsidRDefault="00776FE9" w:rsidP="001267C6">
            <w:pPr>
              <w:pStyle w:val="Tablecontents"/>
            </w:pPr>
            <w:r>
              <w:t xml:space="preserve">50% to </w:t>
            </w:r>
            <w:r w:rsidR="007131B5">
              <w:t>less than</w:t>
            </w:r>
            <w:r>
              <w:t xml:space="preserve"> 80%</w:t>
            </w:r>
          </w:p>
        </w:tc>
        <w:tc>
          <w:tcPr>
            <w:tcW w:w="1373" w:type="pct"/>
            <w:vAlign w:val="center"/>
          </w:tcPr>
          <w:p w14:paraId="74E7FB52" w14:textId="77777777" w:rsidR="00776FE9" w:rsidRDefault="00776FE9" w:rsidP="00AA4E8A">
            <w:pPr>
              <w:pStyle w:val="Tablecontents"/>
              <w:jc w:val="center"/>
            </w:pPr>
            <w:r>
              <w:t>0.7</w:t>
            </w:r>
          </w:p>
        </w:tc>
        <w:tc>
          <w:tcPr>
            <w:tcW w:w="1373" w:type="pct"/>
            <w:vAlign w:val="center"/>
          </w:tcPr>
          <w:p w14:paraId="02A17AA5" w14:textId="77777777" w:rsidR="00776FE9" w:rsidRDefault="00776FE9" w:rsidP="00AA4E8A">
            <w:pPr>
              <w:pStyle w:val="Tablecontents"/>
              <w:jc w:val="center"/>
            </w:pPr>
            <w:r>
              <w:t>0.7</w:t>
            </w:r>
          </w:p>
        </w:tc>
      </w:tr>
      <w:tr w:rsidR="00776FE9" w14:paraId="0C6932B7" w14:textId="77777777" w:rsidTr="00363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254" w:type="pct"/>
            <w:vAlign w:val="center"/>
          </w:tcPr>
          <w:p w14:paraId="52820BC5" w14:textId="2AD11DA4" w:rsidR="00776FE9" w:rsidRDefault="00776FE9" w:rsidP="001267C6">
            <w:pPr>
              <w:pStyle w:val="Tablecontents"/>
            </w:pPr>
            <w:r>
              <w:t xml:space="preserve">25% to </w:t>
            </w:r>
            <w:r w:rsidR="007131B5">
              <w:t>less than</w:t>
            </w:r>
            <w:r>
              <w:t xml:space="preserve"> 50%</w:t>
            </w:r>
          </w:p>
        </w:tc>
        <w:tc>
          <w:tcPr>
            <w:tcW w:w="1373" w:type="pct"/>
            <w:vAlign w:val="center"/>
          </w:tcPr>
          <w:p w14:paraId="620A6DE8" w14:textId="77777777" w:rsidR="00776FE9" w:rsidRDefault="00776FE9" w:rsidP="00AA4E8A">
            <w:pPr>
              <w:pStyle w:val="Tablecontents"/>
              <w:jc w:val="center"/>
            </w:pPr>
            <w:r>
              <w:t>0.3</w:t>
            </w:r>
          </w:p>
        </w:tc>
        <w:tc>
          <w:tcPr>
            <w:tcW w:w="1373" w:type="pct"/>
            <w:vAlign w:val="center"/>
          </w:tcPr>
          <w:p w14:paraId="452736AC" w14:textId="77777777" w:rsidR="00776FE9" w:rsidRDefault="00776FE9" w:rsidP="00AA4E8A">
            <w:pPr>
              <w:pStyle w:val="Tablecontents"/>
              <w:jc w:val="center"/>
            </w:pPr>
            <w:r>
              <w:t>0.3</w:t>
            </w:r>
          </w:p>
        </w:tc>
      </w:tr>
      <w:tr w:rsidR="00776FE9" w14:paraId="52D12F44" w14:textId="77777777" w:rsidTr="00363A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254" w:type="pct"/>
            <w:vAlign w:val="center"/>
          </w:tcPr>
          <w:p w14:paraId="3ACB3BDF" w14:textId="77777777" w:rsidR="00776FE9" w:rsidRDefault="00776FE9" w:rsidP="001267C6">
            <w:pPr>
              <w:pStyle w:val="Tablecontents"/>
            </w:pPr>
            <w:r>
              <w:t>Less than 25%</w:t>
            </w:r>
          </w:p>
        </w:tc>
        <w:tc>
          <w:tcPr>
            <w:tcW w:w="1373" w:type="pct"/>
            <w:vAlign w:val="center"/>
          </w:tcPr>
          <w:p w14:paraId="21C4A5FE" w14:textId="77777777" w:rsidR="00776FE9" w:rsidRDefault="00776FE9" w:rsidP="00AA4E8A">
            <w:pPr>
              <w:pStyle w:val="Tablecontents"/>
              <w:jc w:val="center"/>
            </w:pPr>
            <w:r>
              <w:t>0.0</w:t>
            </w:r>
          </w:p>
        </w:tc>
        <w:tc>
          <w:tcPr>
            <w:tcW w:w="1373" w:type="pct"/>
            <w:vAlign w:val="center"/>
          </w:tcPr>
          <w:p w14:paraId="1020BBCC" w14:textId="77777777" w:rsidR="00776FE9" w:rsidRDefault="00776FE9" w:rsidP="00AA4E8A">
            <w:pPr>
              <w:pStyle w:val="Tablecontents"/>
              <w:jc w:val="center"/>
            </w:pPr>
            <w:r>
              <w:t>0.0</w:t>
            </w:r>
          </w:p>
        </w:tc>
      </w:tr>
    </w:tbl>
    <w:p w14:paraId="3E0F1959" w14:textId="77777777" w:rsidR="00776FE9" w:rsidRPr="00C465D5" w:rsidRDefault="00776FE9" w:rsidP="00592C1C">
      <w:pPr>
        <w:pStyle w:val="Heading2"/>
        <w:keepNext/>
      </w:pPr>
      <w:r w:rsidRPr="00C465D5">
        <w:t xml:space="preserve">Risk factor </w:t>
      </w:r>
      <w:r>
        <w:t>5</w:t>
      </w:r>
      <w:r w:rsidRPr="00C465D5">
        <w:t>: Non-compliance and registration renewal</w:t>
      </w:r>
    </w:p>
    <w:p w14:paraId="644C3669" w14:textId="77777777" w:rsidR="00776FE9" w:rsidRDefault="00776FE9" w:rsidP="003C5353">
      <w:pPr>
        <w:keepNext/>
        <w:spacing w:after="40"/>
      </w:pPr>
      <w:r>
        <w:t>This risk factor is based on:</w:t>
      </w:r>
    </w:p>
    <w:p w14:paraId="5AD03422" w14:textId="556B8A82" w:rsidR="00776FE9" w:rsidRDefault="00776FE9" w:rsidP="008C5263">
      <w:pPr>
        <w:pStyle w:val="ListParagraph"/>
        <w:keepNext/>
        <w:numPr>
          <w:ilvl w:val="0"/>
          <w:numId w:val="5"/>
        </w:numPr>
      </w:pPr>
      <w:r>
        <w:t>a provider’s late payment of the</w:t>
      </w:r>
      <w:r w:rsidR="004E1DBC">
        <w:t xml:space="preserve"> </w:t>
      </w:r>
      <w:r w:rsidR="004E1DBC">
        <w:t>International TPS Levy</w:t>
      </w:r>
      <w:r w:rsidR="004E1DBC">
        <w:t>,</w:t>
      </w:r>
      <w:r w:rsidR="00B71E3B">
        <w:t xml:space="preserve"> </w:t>
      </w:r>
      <w:r w:rsidR="004E1DBC">
        <w:t>CRICOS Annual Registration Charge (CARC)</w:t>
      </w:r>
      <w:r w:rsidR="004E1DBC">
        <w:t xml:space="preserve">, </w:t>
      </w:r>
      <w:r w:rsidR="00B71E3B">
        <w:t>Annual Registration Charge (ARC)</w:t>
      </w:r>
      <w:r w:rsidR="006A7447">
        <w:t>,</w:t>
      </w:r>
      <w:r w:rsidR="004E1DBC">
        <w:t xml:space="preserve"> and/or</w:t>
      </w:r>
      <w:r w:rsidR="00681D28">
        <w:t xml:space="preserve"> Entry to Market Charge (EMC)</w:t>
      </w:r>
      <w:r w:rsidR="004E1DBC">
        <w:t xml:space="preserve"> </w:t>
      </w:r>
      <w:r w:rsidR="00681D28">
        <w:t xml:space="preserve">for the </w:t>
      </w:r>
      <w:r w:rsidR="008C5263">
        <w:t>previous</w:t>
      </w:r>
      <w:r w:rsidR="00681D28">
        <w:t xml:space="preserve"> three years;</w:t>
      </w:r>
      <w:r w:rsidR="008C5263">
        <w:t xml:space="preserve"> and</w:t>
      </w:r>
    </w:p>
    <w:p w14:paraId="0686F93C" w14:textId="3F15CAC9" w:rsidR="00A03382" w:rsidRDefault="00A03382" w:rsidP="00592C1C">
      <w:pPr>
        <w:pStyle w:val="ListParagraph"/>
        <w:keepNext/>
        <w:numPr>
          <w:ilvl w:val="0"/>
          <w:numId w:val="5"/>
        </w:numPr>
      </w:pPr>
      <w:r>
        <w:t>whether or not a provider’s ESOS agency took action against the provider under section 83 of the ESOS Act for non-compliance in 2023; and</w:t>
      </w:r>
    </w:p>
    <w:p w14:paraId="6B3F3D83" w14:textId="31599926" w:rsidR="00776FE9" w:rsidRDefault="00776FE9" w:rsidP="00592C1C">
      <w:pPr>
        <w:pStyle w:val="ListParagraph"/>
        <w:keepNext/>
        <w:numPr>
          <w:ilvl w:val="0"/>
          <w:numId w:val="5"/>
        </w:numPr>
      </w:pPr>
      <w:r>
        <w:t xml:space="preserve">if a provider applied for registration renewal in </w:t>
      </w:r>
      <w:r w:rsidR="00BC591E">
        <w:t>2023</w:t>
      </w:r>
      <w:r w:rsidR="00241A93">
        <w:t xml:space="preserve"> and </w:t>
      </w:r>
      <w:r w:rsidR="00291ED5">
        <w:t>the</w:t>
      </w:r>
      <w:r w:rsidR="00BC591E">
        <w:t xml:space="preserve"> period of registration granted</w:t>
      </w:r>
      <w:r w:rsidR="00C52FCE">
        <w:t xml:space="preserve"> was </w:t>
      </w:r>
      <w:r>
        <w:t>less than the maximum allowable due to risk management.</w:t>
      </w:r>
    </w:p>
    <w:p w14:paraId="7427BFED" w14:textId="64D7E354" w:rsidR="00776FE9" w:rsidRPr="00BF0896" w:rsidRDefault="00776FE9" w:rsidP="00776FE9">
      <w:pPr>
        <w:keepNext/>
      </w:pPr>
      <w:r>
        <w:t xml:space="preserve">This risk factor creates an incentive for providers to </w:t>
      </w:r>
      <w:r w:rsidRPr="00BF0896">
        <w:t>adopt low</w:t>
      </w:r>
      <w:r w:rsidR="1D72EC20" w:rsidRPr="00BF0896">
        <w:t>-</w:t>
      </w:r>
      <w:r w:rsidRPr="00BF0896">
        <w:t>risk and compliant b</w:t>
      </w:r>
      <w:r w:rsidRPr="00BF0896">
        <w:t>ehaviours.</w:t>
      </w:r>
    </w:p>
    <w:p w14:paraId="33FADDB6" w14:textId="661CFA9E" w:rsidR="00776FE9" w:rsidRPr="00A436BE" w:rsidRDefault="00776FE9" w:rsidP="00776FE9">
      <w:pPr>
        <w:spacing w:before="200"/>
      </w:pPr>
      <w:r w:rsidRPr="00BF0896">
        <w:t xml:space="preserve">The </w:t>
      </w:r>
      <w:r w:rsidR="000270E5" w:rsidRPr="00BF0896">
        <w:t>Board’s Letter of Draft Advice recommends that no changes be made to the</w:t>
      </w:r>
      <w:r w:rsidR="000270E5" w:rsidRPr="00BF0896">
        <w:t xml:space="preserve"> </w:t>
      </w:r>
      <w:r w:rsidRPr="00BF0896">
        <w:rPr>
          <w:i/>
          <w:iCs/>
        </w:rPr>
        <w:t>non-compliance and registration renewal</w:t>
      </w:r>
      <w:r w:rsidRPr="00BF0896">
        <w:t xml:space="preserve"> risk factor settings for the 2024 levy from 2023.</w:t>
      </w:r>
    </w:p>
    <w:tbl>
      <w:tblPr>
        <w:tblStyle w:val="TPS"/>
        <w:tblW w:w="5000" w:type="pct"/>
        <w:tblLook w:val="04A0" w:firstRow="1" w:lastRow="0" w:firstColumn="1" w:lastColumn="0" w:noHBand="0" w:noVBand="1"/>
      </w:tblPr>
      <w:tblGrid>
        <w:gridCol w:w="6090"/>
        <w:gridCol w:w="1826"/>
        <w:gridCol w:w="1826"/>
      </w:tblGrid>
      <w:tr w:rsidR="00776FE9" w14:paraId="7E3BC087" w14:textId="77777777" w:rsidTr="00A16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3126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3A185746" w14:textId="6622500E" w:rsidR="00776FE9" w:rsidRPr="00A56937" w:rsidRDefault="00B6306F" w:rsidP="00507286">
            <w:pPr>
              <w:pStyle w:val="TableHeader"/>
            </w:pPr>
            <w:r>
              <w:t>Weighted l</w:t>
            </w:r>
            <w:r w:rsidR="000A1DC8">
              <w:t>ate payment</w:t>
            </w:r>
            <w:r w:rsidR="00776FE9">
              <w:t xml:space="preserve"> </w:t>
            </w:r>
            <w:r w:rsidR="004A0DDE">
              <w:t xml:space="preserve">measure </w:t>
            </w:r>
            <w:r w:rsidR="00776FE9">
              <w:t>category</w:t>
            </w:r>
          </w:p>
        </w:tc>
        <w:tc>
          <w:tcPr>
            <w:tcW w:w="937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52D8EF32" w14:textId="7109343D" w:rsidR="00776FE9" w:rsidRDefault="00776FE9" w:rsidP="00507286">
            <w:pPr>
              <w:pStyle w:val="TableHeader"/>
            </w:pPr>
            <w:r>
              <w:t xml:space="preserve">2023 </w:t>
            </w:r>
            <w:r>
              <w:br/>
            </w:r>
            <w:r w:rsidR="00E72B9D">
              <w:t>increase factor</w:t>
            </w:r>
          </w:p>
        </w:tc>
        <w:tc>
          <w:tcPr>
            <w:tcW w:w="937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675D380A" w14:textId="1127800A" w:rsidR="00776FE9" w:rsidRDefault="00776FE9" w:rsidP="00507286">
            <w:pPr>
              <w:pStyle w:val="TableHeader"/>
            </w:pPr>
            <w:r>
              <w:t xml:space="preserve">Proposed 2024 </w:t>
            </w:r>
            <w:r>
              <w:br/>
            </w:r>
            <w:r w:rsidR="00E72B9D">
              <w:t>increase factor</w:t>
            </w:r>
          </w:p>
        </w:tc>
      </w:tr>
      <w:tr w:rsidR="00776FE9" w14:paraId="19A7648B" w14:textId="77777777" w:rsidTr="00A16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126" w:type="pct"/>
            <w:tcBorders>
              <w:top w:val="single" w:sz="18" w:space="0" w:color="FFFFFF" w:themeColor="background1"/>
            </w:tcBorders>
            <w:vAlign w:val="center"/>
          </w:tcPr>
          <w:p w14:paraId="555606A2" w14:textId="5F57A51F" w:rsidR="00776FE9" w:rsidRDefault="00776FE9" w:rsidP="001267C6">
            <w:pPr>
              <w:pStyle w:val="Tablecontents"/>
            </w:pPr>
            <w:r>
              <w:t xml:space="preserve">A </w:t>
            </w:r>
            <w:r w:rsidR="00A16E40">
              <w:t xml:space="preserve">weighted </w:t>
            </w:r>
            <w:r>
              <w:t>late payment measure of 30 days or more</w:t>
            </w:r>
          </w:p>
        </w:tc>
        <w:tc>
          <w:tcPr>
            <w:tcW w:w="937" w:type="pct"/>
            <w:tcBorders>
              <w:top w:val="single" w:sz="18" w:space="0" w:color="FFFFFF" w:themeColor="background1"/>
            </w:tcBorders>
            <w:vAlign w:val="center"/>
          </w:tcPr>
          <w:p w14:paraId="60495DF9" w14:textId="77777777" w:rsidR="00776FE9" w:rsidRDefault="00776FE9" w:rsidP="00AA4E8A">
            <w:pPr>
              <w:pStyle w:val="Tablecontents"/>
              <w:jc w:val="center"/>
            </w:pPr>
            <w:r>
              <w:t>2.0</w:t>
            </w:r>
          </w:p>
        </w:tc>
        <w:tc>
          <w:tcPr>
            <w:tcW w:w="937" w:type="pct"/>
            <w:tcBorders>
              <w:top w:val="single" w:sz="18" w:space="0" w:color="FFFFFF" w:themeColor="background1"/>
            </w:tcBorders>
            <w:vAlign w:val="center"/>
          </w:tcPr>
          <w:p w14:paraId="79A71396" w14:textId="77777777" w:rsidR="00776FE9" w:rsidRDefault="00776FE9" w:rsidP="00AA4E8A">
            <w:pPr>
              <w:pStyle w:val="Tablecontents"/>
              <w:jc w:val="center"/>
            </w:pPr>
            <w:r>
              <w:t>2.0</w:t>
            </w:r>
          </w:p>
        </w:tc>
      </w:tr>
      <w:tr w:rsidR="00776FE9" w14:paraId="28B5F73F" w14:textId="77777777" w:rsidTr="00A16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3126" w:type="pct"/>
            <w:vAlign w:val="center"/>
          </w:tcPr>
          <w:p w14:paraId="45C8F67F" w14:textId="112CFE76" w:rsidR="00776FE9" w:rsidRDefault="00776FE9" w:rsidP="001267C6">
            <w:pPr>
              <w:pStyle w:val="Tablecontents"/>
            </w:pPr>
            <w:r>
              <w:t xml:space="preserve">A </w:t>
            </w:r>
            <w:r w:rsidR="00A16E40">
              <w:t xml:space="preserve">weighted </w:t>
            </w:r>
            <w:r>
              <w:t xml:space="preserve">late payment measure of 15 days to </w:t>
            </w:r>
            <w:r w:rsidR="00224953">
              <w:t>less than</w:t>
            </w:r>
            <w:r>
              <w:t xml:space="preserve"> 30 days</w:t>
            </w:r>
          </w:p>
        </w:tc>
        <w:tc>
          <w:tcPr>
            <w:tcW w:w="937" w:type="pct"/>
            <w:vAlign w:val="center"/>
          </w:tcPr>
          <w:p w14:paraId="49A54359" w14:textId="77777777" w:rsidR="00776FE9" w:rsidRDefault="00776FE9" w:rsidP="00AA4E8A">
            <w:pPr>
              <w:pStyle w:val="Tablecontents"/>
              <w:jc w:val="center"/>
            </w:pPr>
            <w:r>
              <w:t>0.9</w:t>
            </w:r>
          </w:p>
        </w:tc>
        <w:tc>
          <w:tcPr>
            <w:tcW w:w="937" w:type="pct"/>
            <w:vAlign w:val="center"/>
          </w:tcPr>
          <w:p w14:paraId="641585AC" w14:textId="77777777" w:rsidR="00776FE9" w:rsidRDefault="00776FE9" w:rsidP="00AA4E8A">
            <w:pPr>
              <w:pStyle w:val="Tablecontents"/>
              <w:jc w:val="center"/>
            </w:pPr>
            <w:r>
              <w:t>0.9</w:t>
            </w:r>
          </w:p>
        </w:tc>
      </w:tr>
      <w:tr w:rsidR="00776FE9" w14:paraId="38792E9C" w14:textId="77777777" w:rsidTr="00A16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126" w:type="pct"/>
            <w:vAlign w:val="center"/>
          </w:tcPr>
          <w:p w14:paraId="67DAE49B" w14:textId="1B4DDE66" w:rsidR="00776FE9" w:rsidRDefault="00776FE9" w:rsidP="001267C6">
            <w:pPr>
              <w:pStyle w:val="Tablecontents"/>
            </w:pPr>
            <w:r>
              <w:t xml:space="preserve">A </w:t>
            </w:r>
            <w:r w:rsidR="00A16E40">
              <w:t xml:space="preserve">weighted </w:t>
            </w:r>
            <w:r>
              <w:t xml:space="preserve">late payment measure of 1 day to </w:t>
            </w:r>
            <w:r w:rsidR="00224953">
              <w:t>less than</w:t>
            </w:r>
            <w:r>
              <w:t xml:space="preserve"> 15 days</w:t>
            </w:r>
          </w:p>
        </w:tc>
        <w:tc>
          <w:tcPr>
            <w:tcW w:w="937" w:type="pct"/>
            <w:vAlign w:val="center"/>
          </w:tcPr>
          <w:p w14:paraId="5380FB67" w14:textId="77777777" w:rsidR="00776FE9" w:rsidRDefault="00776FE9" w:rsidP="00AA4E8A">
            <w:pPr>
              <w:pStyle w:val="Tablecontents"/>
              <w:jc w:val="center"/>
            </w:pPr>
            <w:r>
              <w:t>0.7</w:t>
            </w:r>
          </w:p>
        </w:tc>
        <w:tc>
          <w:tcPr>
            <w:tcW w:w="937" w:type="pct"/>
            <w:vAlign w:val="center"/>
          </w:tcPr>
          <w:p w14:paraId="16398A3E" w14:textId="77777777" w:rsidR="00776FE9" w:rsidRDefault="00776FE9" w:rsidP="00AA4E8A">
            <w:pPr>
              <w:pStyle w:val="Tablecontents"/>
              <w:jc w:val="center"/>
            </w:pPr>
            <w:r>
              <w:t>0.7</w:t>
            </w:r>
          </w:p>
        </w:tc>
      </w:tr>
      <w:tr w:rsidR="00776FE9" w14:paraId="039B7BBB" w14:textId="77777777" w:rsidTr="00A16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3126" w:type="pct"/>
            <w:vAlign w:val="center"/>
          </w:tcPr>
          <w:p w14:paraId="1BFDF875" w14:textId="0EDBCC9F" w:rsidR="00776FE9" w:rsidRDefault="00776FE9" w:rsidP="001267C6">
            <w:pPr>
              <w:pStyle w:val="Tablecontents"/>
            </w:pPr>
            <w:r>
              <w:t xml:space="preserve">No </w:t>
            </w:r>
            <w:r w:rsidR="00A16E40">
              <w:t xml:space="preserve">weighted </w:t>
            </w:r>
            <w:r>
              <w:t>late payment measure (</w:t>
            </w:r>
            <w:r w:rsidR="004A0DDE">
              <w:t>payment</w:t>
            </w:r>
            <w:r>
              <w:t xml:space="preserve"> on time)</w:t>
            </w:r>
          </w:p>
        </w:tc>
        <w:tc>
          <w:tcPr>
            <w:tcW w:w="937" w:type="pct"/>
            <w:vAlign w:val="center"/>
          </w:tcPr>
          <w:p w14:paraId="7931558D" w14:textId="77777777" w:rsidR="00776FE9" w:rsidRDefault="00776FE9" w:rsidP="00AA4E8A">
            <w:pPr>
              <w:pStyle w:val="Tablecontents"/>
              <w:jc w:val="center"/>
            </w:pPr>
            <w:r>
              <w:t>0.0</w:t>
            </w:r>
          </w:p>
        </w:tc>
        <w:tc>
          <w:tcPr>
            <w:tcW w:w="937" w:type="pct"/>
            <w:vAlign w:val="center"/>
          </w:tcPr>
          <w:p w14:paraId="74ABF323" w14:textId="77777777" w:rsidR="00776FE9" w:rsidRDefault="00776FE9" w:rsidP="00AA4E8A">
            <w:pPr>
              <w:pStyle w:val="Tablecontents"/>
              <w:jc w:val="center"/>
            </w:pPr>
            <w:r>
              <w:t>0.0</w:t>
            </w:r>
          </w:p>
        </w:tc>
      </w:tr>
    </w:tbl>
    <w:p w14:paraId="7EE66BB4" w14:textId="77777777" w:rsidR="00776FE9" w:rsidRDefault="00776FE9" w:rsidP="00C273D9">
      <w:pPr>
        <w:keepNext/>
        <w:spacing w:before="100" w:after="100"/>
        <w:jc w:val="center"/>
        <w:rPr>
          <w:b/>
          <w:bCs/>
        </w:rPr>
      </w:pPr>
      <w:r w:rsidRPr="008F21DD">
        <w:rPr>
          <w:b/>
          <w:bCs/>
        </w:rPr>
        <w:t>Plus</w:t>
      </w:r>
    </w:p>
    <w:tbl>
      <w:tblPr>
        <w:tblStyle w:val="TPS"/>
        <w:tblW w:w="5000" w:type="pct"/>
        <w:tblLook w:val="04A0" w:firstRow="1" w:lastRow="0" w:firstColumn="1" w:lastColumn="0" w:noHBand="0" w:noVBand="1"/>
      </w:tblPr>
      <w:tblGrid>
        <w:gridCol w:w="6090"/>
        <w:gridCol w:w="1826"/>
        <w:gridCol w:w="1826"/>
      </w:tblGrid>
      <w:tr w:rsidR="00776FE9" w14:paraId="0843A397" w14:textId="77777777" w:rsidTr="00A16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3126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68BED020" w14:textId="1E3FC269" w:rsidR="00776FE9" w:rsidRPr="00A56937" w:rsidRDefault="00917692" w:rsidP="009567D7">
            <w:pPr>
              <w:pStyle w:val="TableHeader"/>
            </w:pPr>
            <w:r w:rsidRPr="00184A06">
              <w:t>Non-compliance and r</w:t>
            </w:r>
            <w:r w:rsidR="00776FE9" w:rsidRPr="00184A06">
              <w:t>egistration renewal categor</w:t>
            </w:r>
            <w:r w:rsidR="00184A06" w:rsidRPr="00184A06">
              <w:t>ies</w:t>
            </w:r>
          </w:p>
        </w:tc>
        <w:tc>
          <w:tcPr>
            <w:tcW w:w="937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7B433FA7" w14:textId="2B82F407" w:rsidR="00776FE9" w:rsidRDefault="00776FE9" w:rsidP="009567D7">
            <w:pPr>
              <w:pStyle w:val="TableHeader"/>
            </w:pPr>
            <w:r>
              <w:t xml:space="preserve">2023 </w:t>
            </w:r>
            <w:r>
              <w:br/>
            </w:r>
            <w:r w:rsidR="00E72B9D">
              <w:t>increase factor</w:t>
            </w:r>
          </w:p>
        </w:tc>
        <w:tc>
          <w:tcPr>
            <w:tcW w:w="937" w:type="pct"/>
            <w:tcBorders>
              <w:bottom w:val="single" w:sz="18" w:space="0" w:color="FFFFFF" w:themeColor="background1"/>
            </w:tcBorders>
            <w:shd w:val="clear" w:color="auto" w:fill="3C7D86"/>
            <w:vAlign w:val="center"/>
          </w:tcPr>
          <w:p w14:paraId="5DEDD650" w14:textId="610B5CC0" w:rsidR="00776FE9" w:rsidRDefault="00776FE9" w:rsidP="009567D7">
            <w:pPr>
              <w:pStyle w:val="TableHeader"/>
            </w:pPr>
            <w:r>
              <w:t xml:space="preserve">Proposed 2024 </w:t>
            </w:r>
            <w:r>
              <w:br/>
            </w:r>
            <w:r w:rsidR="00E72B9D">
              <w:t>increase factor</w:t>
            </w:r>
          </w:p>
        </w:tc>
      </w:tr>
      <w:tr w:rsidR="00776FE9" w14:paraId="5BEEB49C" w14:textId="77777777" w:rsidTr="00A16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3126" w:type="pct"/>
            <w:tcBorders>
              <w:top w:val="single" w:sz="18" w:space="0" w:color="FFFFFF" w:themeColor="background1"/>
            </w:tcBorders>
            <w:vAlign w:val="center"/>
          </w:tcPr>
          <w:p w14:paraId="25E79A3E" w14:textId="4C33BADC" w:rsidR="00776FE9" w:rsidRDefault="00776FE9" w:rsidP="009567D7">
            <w:pPr>
              <w:pStyle w:val="Tablecontents"/>
            </w:pPr>
            <w:r>
              <w:t xml:space="preserve">Had action mentioned in section 83 of the ESOS Act taken against the provider in </w:t>
            </w:r>
            <w:r w:rsidR="005E3CA7">
              <w:t>2023</w:t>
            </w:r>
          </w:p>
        </w:tc>
        <w:tc>
          <w:tcPr>
            <w:tcW w:w="937" w:type="pct"/>
            <w:tcBorders>
              <w:top w:val="single" w:sz="18" w:space="0" w:color="FFFFFF" w:themeColor="background1"/>
            </w:tcBorders>
            <w:vAlign w:val="center"/>
          </w:tcPr>
          <w:p w14:paraId="411513D1" w14:textId="77777777" w:rsidR="00776FE9" w:rsidRDefault="00776FE9" w:rsidP="009567D7">
            <w:pPr>
              <w:pStyle w:val="Tablecontents"/>
              <w:jc w:val="center"/>
            </w:pPr>
            <w:r>
              <w:t>1.0</w:t>
            </w:r>
          </w:p>
        </w:tc>
        <w:tc>
          <w:tcPr>
            <w:tcW w:w="937" w:type="pct"/>
            <w:tcBorders>
              <w:top w:val="single" w:sz="18" w:space="0" w:color="FFFFFF" w:themeColor="background1"/>
            </w:tcBorders>
            <w:vAlign w:val="center"/>
          </w:tcPr>
          <w:p w14:paraId="60A603DA" w14:textId="77777777" w:rsidR="00776FE9" w:rsidRDefault="00776FE9" w:rsidP="009567D7">
            <w:pPr>
              <w:pStyle w:val="Tablecontents"/>
              <w:jc w:val="center"/>
            </w:pPr>
            <w:r>
              <w:t>1.0</w:t>
            </w:r>
          </w:p>
        </w:tc>
      </w:tr>
      <w:tr w:rsidR="00776FE9" w14:paraId="0AA021F3" w14:textId="77777777" w:rsidTr="00A16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3126" w:type="pct"/>
            <w:vAlign w:val="center"/>
          </w:tcPr>
          <w:p w14:paraId="6F93AC85" w14:textId="750AD43A" w:rsidR="00776FE9" w:rsidRDefault="00776FE9" w:rsidP="009567D7">
            <w:pPr>
              <w:pStyle w:val="Tablecontents"/>
            </w:pPr>
            <w:r>
              <w:t xml:space="preserve">Applied under section 10D of the ESOS Act to renew the provider’s registration and, due to risk management, the period of registration set out in the notice given in </w:t>
            </w:r>
            <w:r w:rsidR="001843A5">
              <w:t>2023</w:t>
            </w:r>
            <w:r>
              <w:t xml:space="preserve"> under section 10G of that Act is less than the maximum period allowed</w:t>
            </w:r>
          </w:p>
        </w:tc>
        <w:tc>
          <w:tcPr>
            <w:tcW w:w="937" w:type="pct"/>
            <w:vAlign w:val="center"/>
          </w:tcPr>
          <w:p w14:paraId="0F4E6115" w14:textId="77777777" w:rsidR="00776FE9" w:rsidRPr="00C52FCE" w:rsidRDefault="00776FE9" w:rsidP="009567D7">
            <w:pPr>
              <w:pStyle w:val="Tablecontents"/>
              <w:jc w:val="center"/>
            </w:pPr>
            <w:r w:rsidRPr="00C52FCE">
              <w:t>1.0</w:t>
            </w:r>
          </w:p>
        </w:tc>
        <w:tc>
          <w:tcPr>
            <w:tcW w:w="937" w:type="pct"/>
            <w:vAlign w:val="center"/>
          </w:tcPr>
          <w:p w14:paraId="4CEF125C" w14:textId="0A994DA3" w:rsidR="00776FE9" w:rsidRPr="00C52FCE" w:rsidRDefault="00C52FCE" w:rsidP="009567D7">
            <w:pPr>
              <w:pStyle w:val="Tablecontents"/>
              <w:jc w:val="center"/>
            </w:pPr>
            <w:r w:rsidRPr="00C52FCE">
              <w:t>1</w:t>
            </w:r>
            <w:r w:rsidR="00776FE9" w:rsidRPr="00C52FCE">
              <w:t>.0</w:t>
            </w:r>
          </w:p>
        </w:tc>
      </w:tr>
    </w:tbl>
    <w:p w14:paraId="64488E61" w14:textId="604230BA" w:rsidR="009A66C8" w:rsidRPr="00585388" w:rsidRDefault="008C0B4F" w:rsidP="002605D2">
      <w:pPr>
        <w:keepNext/>
      </w:pPr>
      <w:r w:rsidRPr="00585388">
        <w:lastRenderedPageBreak/>
        <w:t>The</w:t>
      </w:r>
      <w:r w:rsidR="0095512B" w:rsidRPr="00585388">
        <w:t xml:space="preserve"> weighted late payment measure </w:t>
      </w:r>
      <w:r w:rsidR="009A66C8" w:rsidRPr="00585388">
        <w:t xml:space="preserve">considers how many days past the due date </w:t>
      </w:r>
      <w:r w:rsidRPr="00585388">
        <w:t>a</w:t>
      </w:r>
      <w:r w:rsidR="009A66C8" w:rsidRPr="00585388">
        <w:t xml:space="preserve"> provider</w:t>
      </w:r>
      <w:r w:rsidR="00647D66">
        <w:t>’s</w:t>
      </w:r>
      <w:r w:rsidR="009A66C8" w:rsidRPr="00585388">
        <w:t xml:space="preserve"> </w:t>
      </w:r>
      <w:r w:rsidR="002E0862" w:rsidRPr="00585388">
        <w:t>International TPS Levy</w:t>
      </w:r>
      <w:r w:rsidR="00D720D8">
        <w:t xml:space="preserve"> payment</w:t>
      </w:r>
      <w:r w:rsidR="002E0862" w:rsidRPr="00585388">
        <w:t xml:space="preserve">, CARC, ARC and/or EMC </w:t>
      </w:r>
      <w:r w:rsidR="00E31D81">
        <w:t xml:space="preserve">were received </w:t>
      </w:r>
      <w:r w:rsidR="002E0862" w:rsidRPr="00585388">
        <w:t xml:space="preserve">over the </w:t>
      </w:r>
      <w:r w:rsidR="00A664A2">
        <w:t>previous</w:t>
      </w:r>
      <w:r w:rsidR="002E0862" w:rsidRPr="00585388">
        <w:t xml:space="preserve"> three years.</w:t>
      </w:r>
      <w:r w:rsidRPr="00585388">
        <w:t xml:space="preserve"> A provider’s </w:t>
      </w:r>
      <w:r w:rsidR="009C5D49" w:rsidRPr="00585388">
        <w:t>weighted late payment measure for 2024 is the sum of the following calculations:</w:t>
      </w:r>
    </w:p>
    <w:p w14:paraId="2B518950" w14:textId="5E3783BB" w:rsidR="009C5D49" w:rsidRPr="00585388" w:rsidRDefault="009C5D49" w:rsidP="002605D2">
      <w:pPr>
        <w:keepNext/>
        <w:spacing w:after="120"/>
        <w:ind w:left="720"/>
      </w:pPr>
      <w:r w:rsidRPr="00D720D8">
        <w:rPr>
          <w:b/>
          <w:bCs/>
        </w:rPr>
        <w:t>For 2023</w:t>
      </w:r>
      <w:r w:rsidRPr="00585388">
        <w:t>:</w:t>
      </w:r>
      <w:r w:rsidR="00913726" w:rsidRPr="00585388">
        <w:t xml:space="preserve"> </w:t>
      </w:r>
      <m:oMath>
        <m:r>
          <w:rPr>
            <w:rFonts w:ascii="Cambria Math" w:hAnsi="Cambria Math"/>
          </w:rPr>
          <m:t>0.7×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CARC+TPSL</m:t>
            </m:r>
          </m:e>
        </m:d>
      </m:oMath>
      <w:r w:rsidR="0033316D" w:rsidRPr="00585388">
        <w:t>;</w:t>
      </w:r>
    </w:p>
    <w:p w14:paraId="7BD6C918" w14:textId="6E0E1CF9" w:rsidR="00FD699C" w:rsidRPr="00585388" w:rsidRDefault="00FD699C" w:rsidP="002605D2">
      <w:pPr>
        <w:keepNext/>
        <w:spacing w:after="120"/>
        <w:ind w:left="720"/>
      </w:pPr>
      <w:r w:rsidRPr="00D720D8">
        <w:rPr>
          <w:b/>
          <w:bCs/>
        </w:rPr>
        <w:t>For 2022</w:t>
      </w:r>
      <w:r w:rsidRPr="00585388">
        <w:t xml:space="preserve">: </w:t>
      </w:r>
      <m:oMath>
        <m:r>
          <w:rPr>
            <w:rFonts w:ascii="Cambria Math" w:hAnsi="Cambria Math"/>
          </w:rPr>
          <m:t>0.2×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CARC+TPSL</m:t>
            </m:r>
          </m:e>
        </m:d>
      </m:oMath>
      <w:r w:rsidR="0033316D" w:rsidRPr="00585388">
        <w:t>;</w:t>
      </w:r>
    </w:p>
    <w:p w14:paraId="7E4BCFDD" w14:textId="578E6BA3" w:rsidR="00FD699C" w:rsidRDefault="00FD699C" w:rsidP="002605D2">
      <w:pPr>
        <w:keepNext/>
        <w:ind w:left="720"/>
      </w:pPr>
      <w:r w:rsidRPr="00D720D8">
        <w:rPr>
          <w:b/>
          <w:bCs/>
        </w:rPr>
        <w:t>For 2021</w:t>
      </w:r>
      <w:r w:rsidRPr="00585388">
        <w:t xml:space="preserve">: </w:t>
      </w:r>
      <m:oMath>
        <m:r>
          <w:rPr>
            <w:rFonts w:ascii="Cambria Math" w:hAnsi="Cambria Math"/>
          </w:rPr>
          <m:t>0.1×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ARC+EMC+TPSL</m:t>
            </m:r>
          </m:e>
        </m:d>
      </m:oMath>
      <w:r w:rsidR="00892ED5">
        <w:t>;</w:t>
      </w:r>
    </w:p>
    <w:p w14:paraId="47BAEED7" w14:textId="77777777" w:rsidR="00892ED5" w:rsidRPr="005E2C25" w:rsidRDefault="00892ED5" w:rsidP="00892ED5">
      <w:pPr>
        <w:spacing w:after="120"/>
      </w:pPr>
      <w:r w:rsidRPr="005E2C25">
        <w:t>where:</w:t>
      </w:r>
    </w:p>
    <w:p w14:paraId="696976EF" w14:textId="387A8D73" w:rsidR="00892ED5" w:rsidRDefault="00892ED5" w:rsidP="00892ED5">
      <w:pPr>
        <w:spacing w:after="120"/>
        <w:ind w:left="720"/>
      </w:pPr>
      <w:r>
        <w:rPr>
          <w:b/>
          <w:bCs/>
        </w:rPr>
        <w:t>ARC</w:t>
      </w:r>
      <w:r>
        <w:t xml:space="preserve">, for a year, means the number of </w:t>
      </w:r>
      <w:r w:rsidR="00E01C0B">
        <w:t xml:space="preserve">days after the due date </w:t>
      </w:r>
      <w:r w:rsidR="00A453C3">
        <w:t>on which the annual registration charge for that year was received</w:t>
      </w:r>
      <w:r>
        <w:t>.</w:t>
      </w:r>
    </w:p>
    <w:p w14:paraId="1B1A4DB9" w14:textId="3B25EE8F" w:rsidR="00A453C3" w:rsidRDefault="00A453C3" w:rsidP="00A453C3">
      <w:pPr>
        <w:spacing w:after="120"/>
        <w:ind w:left="720"/>
      </w:pPr>
      <w:r>
        <w:rPr>
          <w:b/>
          <w:bCs/>
        </w:rPr>
        <w:t>CARC</w:t>
      </w:r>
      <w:r>
        <w:t>, for a year, means the number of days after the due date on which the CRICOS annual registration charge for that year was received.</w:t>
      </w:r>
    </w:p>
    <w:p w14:paraId="5C6F6900" w14:textId="7028E496" w:rsidR="007A4DEE" w:rsidRDefault="007A4DEE" w:rsidP="004D35CA">
      <w:pPr>
        <w:spacing w:after="120"/>
        <w:ind w:left="720"/>
      </w:pPr>
      <w:r>
        <w:rPr>
          <w:b/>
          <w:bCs/>
        </w:rPr>
        <w:t>EMC</w:t>
      </w:r>
      <w:r>
        <w:t>, for a year, means the number of days after the due date on which the entry to market charge for that year was received.</w:t>
      </w:r>
    </w:p>
    <w:p w14:paraId="4A660AD8" w14:textId="78619E3E" w:rsidR="00892ED5" w:rsidRDefault="00511202" w:rsidP="003C5353">
      <w:pPr>
        <w:ind w:left="720"/>
      </w:pPr>
      <w:r>
        <w:rPr>
          <w:b/>
          <w:bCs/>
        </w:rPr>
        <w:t>TPSL</w:t>
      </w:r>
      <w:r w:rsidR="007A4DEE">
        <w:t xml:space="preserve">, for a year, means the number of days after the due date on which the </w:t>
      </w:r>
      <w:r w:rsidR="00801409">
        <w:t xml:space="preserve">International </w:t>
      </w:r>
      <w:r>
        <w:t>TPS Levy</w:t>
      </w:r>
      <w:r w:rsidR="007A4DEE">
        <w:t xml:space="preserve"> </w:t>
      </w:r>
      <w:r w:rsidR="00503137">
        <w:t xml:space="preserve">payable </w:t>
      </w:r>
      <w:r w:rsidR="007A4DEE">
        <w:t>for that year was received.</w:t>
      </w:r>
    </w:p>
    <w:p w14:paraId="6D50ECAA" w14:textId="51F091D5" w:rsidR="001F2336" w:rsidRPr="00585388" w:rsidRDefault="001F2336" w:rsidP="000D4E72">
      <w:r>
        <w:t>Please note, the</w:t>
      </w:r>
      <w:r w:rsidR="000D4E72">
        <w:t xml:space="preserve"> ARC and EMC were replaced by the CARC on 1 January 2022.</w:t>
      </w:r>
    </w:p>
    <w:p w14:paraId="3C43288A" w14:textId="3F891425" w:rsidR="00776FE9" w:rsidRPr="00E72B9D" w:rsidRDefault="00776FE9" w:rsidP="008F4116">
      <w:pPr>
        <w:pStyle w:val="Heading1"/>
      </w:pPr>
      <w:r w:rsidRPr="00E72B9D">
        <w:t>Special tuition protection component</w:t>
      </w:r>
    </w:p>
    <w:p w14:paraId="777717FC" w14:textId="24BEA575" w:rsidR="00776FE9" w:rsidRDefault="00776FE9" w:rsidP="00776FE9">
      <w:r w:rsidRPr="1AB39AC0">
        <w:t xml:space="preserve">The special tuition protection component is </w:t>
      </w:r>
      <w:r w:rsidR="000D5D46">
        <w:t xml:space="preserve">charged when the balance of the </w:t>
      </w:r>
      <w:r>
        <w:t>OSTF</w:t>
      </w:r>
      <w:r w:rsidRPr="1AB39AC0">
        <w:t xml:space="preserve"> </w:t>
      </w:r>
      <w:r>
        <w:t>is</w:t>
      </w:r>
      <w:r w:rsidRPr="1AB39AC0">
        <w:t xml:space="preserve"> below </w:t>
      </w:r>
      <w:r>
        <w:t>its</w:t>
      </w:r>
      <w:r w:rsidRPr="1AB39AC0">
        <w:t xml:space="preserve"> target size. It is calculated as </w:t>
      </w:r>
      <w:r w:rsidR="00D15ECB">
        <w:t>follows:</w:t>
      </w:r>
    </w:p>
    <w:p w14:paraId="7365FCCF" w14:textId="5941F697" w:rsidR="00D15ECB" w:rsidRDefault="00000000" w:rsidP="00776FE9">
      <m:oMathPara>
        <m:oMath>
          <m:d>
            <m:dPr>
              <m:begChr m:val=""/>
              <m:endChr m:val="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Specified percentage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for the year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 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r>
            <w:rPr>
              <w:rFonts w:ascii="Cambria Math" w:hAnsi="Cambria Math"/>
            </w:rPr>
            <m:t> 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iCs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Provide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s overseas student tuition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fees for the previous year</m:t>
                </m:r>
              </m:e>
            </m:mr>
          </m:m>
        </m:oMath>
      </m:oMathPara>
    </w:p>
    <w:p w14:paraId="15E9727E" w14:textId="7F1D72AC" w:rsidR="00776FE9" w:rsidRPr="00776FE9" w:rsidRDefault="00776FE9" w:rsidP="00776FE9">
      <w:r w:rsidRPr="00BF0896">
        <w:t xml:space="preserve">The </w:t>
      </w:r>
      <w:r w:rsidR="005A12B7" w:rsidRPr="00BF0896">
        <w:t>Board</w:t>
      </w:r>
      <w:r w:rsidR="0015605D" w:rsidRPr="00BF0896">
        <w:t>’s Letter of Draft Advice</w:t>
      </w:r>
      <w:r w:rsidR="005A12B7" w:rsidRPr="00BF0896">
        <w:t xml:space="preserve"> recommend</w:t>
      </w:r>
      <w:r w:rsidR="0015605D" w:rsidRPr="00BF0896">
        <w:t>s</w:t>
      </w:r>
      <w:r w:rsidR="005A12B7" w:rsidRPr="00BF0896">
        <w:t xml:space="preserve"> maintaining a specified</w:t>
      </w:r>
      <w:r w:rsidRPr="00BF0896">
        <w:t xml:space="preserve"> percentage </w:t>
      </w:r>
      <w:r w:rsidR="00812B36" w:rsidRPr="00BF0896">
        <w:t>of</w:t>
      </w:r>
      <w:r w:rsidRPr="00BF0896">
        <w:t xml:space="preserve"> </w:t>
      </w:r>
      <w:r w:rsidRPr="00BF0896">
        <w:rPr>
          <w:b/>
          <w:bCs/>
        </w:rPr>
        <w:t>0%</w:t>
      </w:r>
      <w:r w:rsidR="00812B36" w:rsidRPr="00BF0896">
        <w:t xml:space="preserve"> for the 2024 levy.</w:t>
      </w:r>
    </w:p>
    <w:p w14:paraId="2A2F1189" w14:textId="77777777" w:rsidR="00805A04" w:rsidRDefault="00805A04">
      <w:pPr>
        <w:spacing w:after="0"/>
        <w:rPr>
          <w:rFonts w:cstheme="minorHAnsi"/>
          <w:b/>
          <w:bCs/>
          <w:color w:val="4897A2" w:themeColor="accent1"/>
          <w:kern w:val="0"/>
          <w:sz w:val="30"/>
          <w:szCs w:val="30"/>
          <w14:ligatures w14:val="none"/>
        </w:rPr>
      </w:pPr>
      <w:r>
        <w:br w:type="page"/>
      </w:r>
    </w:p>
    <w:p w14:paraId="70810803" w14:textId="24108E47" w:rsidR="00776FE9" w:rsidRPr="00606D1E" w:rsidRDefault="00776FE9" w:rsidP="008F4116">
      <w:pPr>
        <w:pStyle w:val="Heading1"/>
      </w:pPr>
      <w:r w:rsidRPr="00606D1E">
        <w:lastRenderedPageBreak/>
        <w:t>Levy calculation examples</w:t>
      </w:r>
    </w:p>
    <w:p w14:paraId="41624582" w14:textId="77777777" w:rsidR="007C2545" w:rsidRDefault="007E6A0F" w:rsidP="007C2545">
      <w:pPr>
        <w:pStyle w:val="Heading2"/>
      </w:pPr>
      <w:r w:rsidRPr="005155B4">
        <w:t>Provider 1</w:t>
      </w:r>
    </w:p>
    <w:p w14:paraId="5E2FE510" w14:textId="0587B30A" w:rsidR="007C2545" w:rsidRDefault="009774B9" w:rsidP="007C2545">
      <w:r>
        <w:t>Provider 1 ha</w:t>
      </w:r>
      <w:r w:rsidR="00F33002">
        <w:t xml:space="preserve">d </w:t>
      </w:r>
      <w:r w:rsidR="00776FE9" w:rsidRPr="000F193C">
        <w:rPr>
          <w:b/>
          <w:bCs/>
        </w:rPr>
        <w:t xml:space="preserve">75 </w:t>
      </w:r>
      <w:r w:rsidR="006C4F0D">
        <w:rPr>
          <w:b/>
          <w:bCs/>
        </w:rPr>
        <w:t>overseas</w:t>
      </w:r>
      <w:r w:rsidR="00F33002" w:rsidRPr="000F193C">
        <w:rPr>
          <w:b/>
          <w:bCs/>
        </w:rPr>
        <w:t xml:space="preserve"> </w:t>
      </w:r>
      <w:r w:rsidR="00776FE9" w:rsidRPr="000F193C">
        <w:rPr>
          <w:b/>
          <w:bCs/>
        </w:rPr>
        <w:t>student</w:t>
      </w:r>
      <w:r w:rsidR="00F33002" w:rsidRPr="000F193C">
        <w:rPr>
          <w:b/>
          <w:bCs/>
        </w:rPr>
        <w:t xml:space="preserve"> enrolments</w:t>
      </w:r>
      <w:r w:rsidR="00F33002">
        <w:t xml:space="preserve"> </w:t>
      </w:r>
      <w:r w:rsidR="00776FE9">
        <w:t xml:space="preserve">and </w:t>
      </w:r>
      <w:r w:rsidR="004C5151">
        <w:t>received</w:t>
      </w:r>
      <w:r w:rsidR="00776FE9">
        <w:t xml:space="preserve"> </w:t>
      </w:r>
      <w:r w:rsidR="00EB025B" w:rsidRPr="000F193C">
        <w:rPr>
          <w:b/>
          <w:bCs/>
        </w:rPr>
        <w:t>$</w:t>
      </w:r>
      <w:r w:rsidR="006554F6" w:rsidRPr="000F193C">
        <w:rPr>
          <w:b/>
          <w:bCs/>
        </w:rPr>
        <w:t>1,500,000 in overseas student tuition fees</w:t>
      </w:r>
      <w:r w:rsidR="00776FE9" w:rsidRPr="006F6B7C">
        <w:t xml:space="preserve"> </w:t>
      </w:r>
      <w:r w:rsidR="004C5151">
        <w:t>in 2023</w:t>
      </w:r>
      <w:r w:rsidR="00776FE9" w:rsidRPr="00B50514">
        <w:t>.</w:t>
      </w:r>
      <w:r w:rsidR="006554F6">
        <w:t xml:space="preserve"> </w:t>
      </w:r>
    </w:p>
    <w:p w14:paraId="048A1406" w14:textId="5886B86A" w:rsidR="007C2545" w:rsidRDefault="00EA3928" w:rsidP="007C2545">
      <w:r>
        <w:t xml:space="preserve">Provider 1 has been </w:t>
      </w:r>
      <w:r w:rsidRPr="00C47CC4">
        <w:rPr>
          <w:b/>
          <w:bCs/>
        </w:rPr>
        <w:t xml:space="preserve">operating for </w:t>
      </w:r>
      <w:r w:rsidR="00AC09F8">
        <w:rPr>
          <w:b/>
          <w:bCs/>
        </w:rPr>
        <w:t>4</w:t>
      </w:r>
      <w:r w:rsidRPr="00C47CC4">
        <w:rPr>
          <w:b/>
          <w:bCs/>
        </w:rPr>
        <w:t xml:space="preserve"> years</w:t>
      </w:r>
      <w:r>
        <w:t>.</w:t>
      </w:r>
    </w:p>
    <w:p w14:paraId="71EBF04E" w14:textId="6E6CA6A5" w:rsidR="007C2545" w:rsidRDefault="003F1F94" w:rsidP="007C2545">
      <w:r>
        <w:t xml:space="preserve">Provider 1 </w:t>
      </w:r>
      <w:r w:rsidR="00F90868">
        <w:t xml:space="preserve">had 350 domestic students in 2023. Therefore, Provider 1’s </w:t>
      </w:r>
      <w:r w:rsidR="00F90868" w:rsidRPr="006C4F0D">
        <w:rPr>
          <w:b/>
          <w:bCs/>
        </w:rPr>
        <w:t>international student cohort constitute</w:t>
      </w:r>
      <w:r w:rsidR="008554CF" w:rsidRPr="006C4F0D">
        <w:rPr>
          <w:b/>
          <w:bCs/>
        </w:rPr>
        <w:t>d</w:t>
      </w:r>
      <w:r w:rsidR="00993855" w:rsidRPr="006C4F0D">
        <w:rPr>
          <w:b/>
          <w:bCs/>
        </w:rPr>
        <w:t xml:space="preserve"> 21% of its total student population</w:t>
      </w:r>
      <w:r w:rsidR="00993855">
        <w:t>.</w:t>
      </w:r>
    </w:p>
    <w:p w14:paraId="20A2C996" w14:textId="36664699" w:rsidR="007C2545" w:rsidRDefault="001D336D" w:rsidP="007C2545">
      <w:r>
        <w:t>In 2022, Provider 1 had 100</w:t>
      </w:r>
      <w:r w:rsidR="00092AD8">
        <w:t xml:space="preserve"> </w:t>
      </w:r>
      <w:r w:rsidR="006C4F0D">
        <w:t>overseas</w:t>
      </w:r>
      <w:r w:rsidR="00092AD8">
        <w:t xml:space="preserve"> student enrolments, meaning </w:t>
      </w:r>
      <w:r w:rsidR="00677037">
        <w:t xml:space="preserve">Provider 1 experienced a </w:t>
      </w:r>
      <w:r w:rsidR="00677037" w:rsidRPr="006C4F0D">
        <w:rPr>
          <w:b/>
          <w:bCs/>
        </w:rPr>
        <w:t>25% decrease</w:t>
      </w:r>
      <w:r w:rsidR="00F40ABF" w:rsidRPr="006C4F0D">
        <w:rPr>
          <w:b/>
          <w:bCs/>
        </w:rPr>
        <w:t xml:space="preserve"> in </w:t>
      </w:r>
      <w:r w:rsidR="006C4F0D" w:rsidRPr="006C4F0D">
        <w:rPr>
          <w:b/>
          <w:bCs/>
        </w:rPr>
        <w:t>overseas</w:t>
      </w:r>
      <w:r w:rsidR="00F40ABF" w:rsidRPr="006C4F0D">
        <w:rPr>
          <w:b/>
          <w:bCs/>
        </w:rPr>
        <w:t xml:space="preserve"> student enrolments</w:t>
      </w:r>
      <w:r w:rsidR="00201E7D">
        <w:t xml:space="preserve"> for 2023</w:t>
      </w:r>
      <w:r w:rsidR="00F40ABF">
        <w:t>.</w:t>
      </w:r>
    </w:p>
    <w:p w14:paraId="7FE54DFC" w14:textId="10D2C725" w:rsidR="007C2545" w:rsidRDefault="00DD1160" w:rsidP="007C2545">
      <w:r>
        <w:t xml:space="preserve">Of its 2023 </w:t>
      </w:r>
      <w:r w:rsidR="00AC09F8">
        <w:t>overseas</w:t>
      </w:r>
      <w:r>
        <w:t xml:space="preserve"> student enrolments, </w:t>
      </w:r>
      <w:r w:rsidR="00026218">
        <w:t xml:space="preserve">the largest number of enrolments for a country was </w:t>
      </w:r>
      <w:r>
        <w:t>60 students</w:t>
      </w:r>
      <w:r w:rsidR="006C4F0D">
        <w:t xml:space="preserve">. Therefore, Provider 1’s </w:t>
      </w:r>
      <w:r w:rsidR="006C4F0D" w:rsidRPr="006C4F0D">
        <w:rPr>
          <w:b/>
          <w:bCs/>
        </w:rPr>
        <w:t xml:space="preserve">maximum overseas source country concentration percentage is </w:t>
      </w:r>
      <w:r w:rsidR="00F11849" w:rsidRPr="006C4F0D">
        <w:rPr>
          <w:b/>
          <w:bCs/>
        </w:rPr>
        <w:t>80%</w:t>
      </w:r>
      <w:r w:rsidRPr="006C4F0D">
        <w:t>.</w:t>
      </w:r>
    </w:p>
    <w:p w14:paraId="7AFCC3C1" w14:textId="34E4B2C4" w:rsidR="00776FE9" w:rsidRPr="006F6B7C" w:rsidRDefault="00E404FB" w:rsidP="007C2545">
      <w:r>
        <w:t xml:space="preserve">All of </w:t>
      </w:r>
      <w:r w:rsidR="006F4280">
        <w:t>Provider 1</w:t>
      </w:r>
      <w:r w:rsidR="00625791">
        <w:t>’s</w:t>
      </w:r>
      <w:r w:rsidR="006F4280">
        <w:t xml:space="preserve"> levy</w:t>
      </w:r>
      <w:r w:rsidR="00625791">
        <w:t xml:space="preserve"> payments and charges were received by the due date</w:t>
      </w:r>
      <w:r>
        <w:t xml:space="preserve"> from 2021 to 2023</w:t>
      </w:r>
      <w:r w:rsidR="009B22DD">
        <w:t>.</w:t>
      </w:r>
      <w:r w:rsidR="005B61E2">
        <w:t xml:space="preserve"> Therefore, Provider 1’s weighted late payment measure is 0.0.</w:t>
      </w:r>
      <w:r w:rsidR="009B22DD">
        <w:t xml:space="preserve"> </w:t>
      </w:r>
      <w:r w:rsidR="00AE6E2C" w:rsidRPr="005B61E2">
        <w:t>Provider 1 did not have</w:t>
      </w:r>
      <w:r w:rsidR="007C3FB7" w:rsidRPr="005B61E2">
        <w:t xml:space="preserve"> a</w:t>
      </w:r>
      <w:r w:rsidR="007C3FB7" w:rsidRPr="005B61E2">
        <w:t>ction</w:t>
      </w:r>
      <w:r w:rsidR="00AE6E2C" w:rsidRPr="005B61E2">
        <w:t xml:space="preserve"> </w:t>
      </w:r>
      <w:r w:rsidR="007C3FB7" w:rsidRPr="005B61E2">
        <w:t xml:space="preserve">mentioned in section 83 of the ESOS Act taken against </w:t>
      </w:r>
      <w:r w:rsidR="00AE6E2C" w:rsidRPr="005B61E2">
        <w:t>it</w:t>
      </w:r>
      <w:r w:rsidR="007C3FB7" w:rsidRPr="005B61E2">
        <w:t xml:space="preserve"> in 2023.</w:t>
      </w:r>
      <w:r w:rsidR="008D25FF" w:rsidRPr="005B61E2">
        <w:t xml:space="preserve"> Provider 1 did not apply for registration renewal </w:t>
      </w:r>
      <w:r w:rsidR="008D25FF" w:rsidRPr="005B61E2">
        <w:t>under section 10D of the ESOS Act</w:t>
      </w:r>
      <w:r w:rsidR="008D25FF" w:rsidRPr="005B61E2">
        <w:t xml:space="preserve"> in 2023.</w:t>
      </w:r>
    </w:p>
    <w:tbl>
      <w:tblPr>
        <w:tblStyle w:val="TPSLighter"/>
        <w:tblW w:w="5000" w:type="pct"/>
        <w:tblLook w:val="0420" w:firstRow="1" w:lastRow="0" w:firstColumn="0" w:lastColumn="0" w:noHBand="0" w:noVBand="1"/>
      </w:tblPr>
      <w:tblGrid>
        <w:gridCol w:w="2547"/>
        <w:gridCol w:w="7195"/>
      </w:tblGrid>
      <w:tr w:rsidR="00776FE9" w:rsidRPr="00AE2C41" w14:paraId="03C36C21" w14:textId="77777777" w:rsidTr="00D85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1307" w:type="pct"/>
            <w:shd w:val="clear" w:color="auto" w:fill="3C7D86"/>
            <w:vAlign w:val="center"/>
            <w:hideMark/>
          </w:tcPr>
          <w:p w14:paraId="4DEEB18F" w14:textId="7F867A4A" w:rsidR="00776FE9" w:rsidRPr="00AE2C41" w:rsidRDefault="0073704B" w:rsidP="00507286">
            <w:pPr>
              <w:pStyle w:val="TableHeader"/>
            </w:pPr>
            <w:r>
              <w:t>L</w:t>
            </w:r>
            <w:r w:rsidR="00776FE9">
              <w:t>evy c</w:t>
            </w:r>
            <w:r w:rsidR="00776FE9" w:rsidRPr="00AE2C41">
              <w:t>omponent</w:t>
            </w:r>
          </w:p>
        </w:tc>
        <w:tc>
          <w:tcPr>
            <w:tcW w:w="3693" w:type="pct"/>
            <w:shd w:val="clear" w:color="auto" w:fill="3C7D86"/>
            <w:vAlign w:val="center"/>
            <w:hideMark/>
          </w:tcPr>
          <w:p w14:paraId="591E8AE6" w14:textId="77777777" w:rsidR="00776FE9" w:rsidRPr="0020225B" w:rsidRDefault="00776FE9" w:rsidP="00507286">
            <w:pPr>
              <w:pStyle w:val="TableHeader"/>
            </w:pPr>
            <w:r w:rsidRPr="0020225B">
              <w:t>Levy calculation</w:t>
            </w:r>
          </w:p>
        </w:tc>
      </w:tr>
      <w:tr w:rsidR="00776FE9" w:rsidRPr="00AE2C41" w14:paraId="337A00E8" w14:textId="77777777" w:rsidTr="00D8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07" w:type="pct"/>
            <w:vAlign w:val="center"/>
            <w:hideMark/>
          </w:tcPr>
          <w:p w14:paraId="7B17E7E8" w14:textId="202A4D87" w:rsidR="00776FE9" w:rsidRPr="00A001A9" w:rsidRDefault="00776FE9" w:rsidP="001267C6">
            <w:pPr>
              <w:pStyle w:val="Tablecontents"/>
            </w:pPr>
            <w:r w:rsidRPr="00A001A9">
              <w:t>Administrative fee</w:t>
            </w:r>
            <w:r w:rsidR="006D11C0" w:rsidRPr="00A001A9">
              <w:t>*</w:t>
            </w:r>
          </w:p>
        </w:tc>
        <w:tc>
          <w:tcPr>
            <w:tcW w:w="3693" w:type="pct"/>
            <w:vAlign w:val="center"/>
            <w:hideMark/>
          </w:tcPr>
          <w:p w14:paraId="5F2898C7" w14:textId="21B79109" w:rsidR="00776FE9" w:rsidRPr="00A001A9" w:rsidRDefault="00776FE9" w:rsidP="001267C6">
            <w:pPr>
              <w:pStyle w:val="Tablecontents"/>
            </w:pPr>
            <w:r w:rsidRPr="00A001A9">
              <w:t>$</w:t>
            </w:r>
            <w:r w:rsidR="00B744EE" w:rsidRPr="00A001A9">
              <w:t>99</w:t>
            </w:r>
            <w:r w:rsidRPr="00A001A9">
              <w:t xml:space="preserve"> + (75 x $</w:t>
            </w:r>
            <w:r w:rsidR="00B744EE" w:rsidRPr="00A001A9">
              <w:t>0.51</w:t>
            </w:r>
            <w:r w:rsidRPr="00A001A9">
              <w:t xml:space="preserve">) = </w:t>
            </w:r>
            <w:r w:rsidRPr="00313763">
              <w:rPr>
                <w:color w:val="D6165F" w:themeColor="accent3"/>
              </w:rPr>
              <w:t>$</w:t>
            </w:r>
            <w:r w:rsidR="00B744EE" w:rsidRPr="00313763">
              <w:rPr>
                <w:color w:val="D6165F" w:themeColor="accent3"/>
              </w:rPr>
              <w:t>137.25</w:t>
            </w:r>
          </w:p>
        </w:tc>
      </w:tr>
      <w:tr w:rsidR="00805A04" w:rsidRPr="00AE2C41" w14:paraId="0C48C89B" w14:textId="77777777" w:rsidTr="00D851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07" w:type="pct"/>
            <w:vAlign w:val="center"/>
          </w:tcPr>
          <w:p w14:paraId="5A9C6816" w14:textId="11ECFF6D" w:rsidR="00805A04" w:rsidRPr="00A001A9" w:rsidRDefault="00805A04" w:rsidP="001267C6">
            <w:pPr>
              <w:pStyle w:val="Tablecontents"/>
            </w:pPr>
            <w:r w:rsidRPr="00A001A9">
              <w:t>Base fee</w:t>
            </w:r>
            <w:r w:rsidR="006D11C0" w:rsidRPr="00A001A9">
              <w:t>*</w:t>
            </w:r>
          </w:p>
        </w:tc>
        <w:tc>
          <w:tcPr>
            <w:tcW w:w="3693" w:type="pct"/>
            <w:vAlign w:val="center"/>
          </w:tcPr>
          <w:p w14:paraId="3D51F5A0" w14:textId="1400E789" w:rsidR="00805A04" w:rsidRPr="00A001A9" w:rsidRDefault="00FD4447" w:rsidP="001267C6">
            <w:pPr>
              <w:pStyle w:val="Tablecontents"/>
            </w:pPr>
            <w:r w:rsidRPr="00A001A9">
              <w:t xml:space="preserve">$199 + (75 x $1.26) = </w:t>
            </w:r>
            <w:r w:rsidR="00C07BBA" w:rsidRPr="00313763">
              <w:rPr>
                <w:color w:val="D6165F" w:themeColor="accent3"/>
              </w:rPr>
              <w:t>$293.50</w:t>
            </w:r>
          </w:p>
        </w:tc>
      </w:tr>
      <w:tr w:rsidR="00776FE9" w:rsidRPr="00AE2C41" w14:paraId="3C63A524" w14:textId="77777777" w:rsidTr="00D8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7"/>
        </w:trPr>
        <w:tc>
          <w:tcPr>
            <w:tcW w:w="1307" w:type="pct"/>
            <w:hideMark/>
          </w:tcPr>
          <w:p w14:paraId="6A818C5C" w14:textId="77777777" w:rsidR="00776FE9" w:rsidRPr="00A001A9" w:rsidRDefault="00776FE9" w:rsidP="001267C6">
            <w:pPr>
              <w:pStyle w:val="Tablecontents"/>
            </w:pPr>
            <w:r w:rsidRPr="00A001A9">
              <w:t>Risk rated premium</w:t>
            </w:r>
          </w:p>
        </w:tc>
        <w:tc>
          <w:tcPr>
            <w:tcW w:w="3693" w:type="pct"/>
            <w:hideMark/>
          </w:tcPr>
          <w:p w14:paraId="06F29B96" w14:textId="3FCF213F" w:rsidR="00776FE9" w:rsidRPr="005155B4" w:rsidRDefault="00C07BBA" w:rsidP="005155B4">
            <w:pPr>
              <w:pStyle w:val="Tablecontents"/>
              <w:spacing w:after="0"/>
              <w:rPr>
                <w:b/>
                <w:bCs/>
              </w:rPr>
            </w:pPr>
            <w:r w:rsidRPr="005155B4">
              <w:rPr>
                <w:b/>
                <w:bCs/>
              </w:rPr>
              <w:t>Risk Factor</w:t>
            </w:r>
            <w:r w:rsidR="00776FE9" w:rsidRPr="005155B4">
              <w:rPr>
                <w:b/>
                <w:bCs/>
              </w:rPr>
              <w:t xml:space="preserve"> 1</w:t>
            </w:r>
            <w:r w:rsidRPr="005155B4">
              <w:rPr>
                <w:b/>
                <w:bCs/>
              </w:rPr>
              <w:t>: Base risk factor</w:t>
            </w:r>
          </w:p>
          <w:p w14:paraId="64330823" w14:textId="33559731" w:rsidR="00C07BBA" w:rsidRPr="00A001A9" w:rsidRDefault="00C07BBA" w:rsidP="005155B4">
            <w:pPr>
              <w:pStyle w:val="Tablecontents"/>
              <w:spacing w:before="0"/>
            </w:pPr>
            <w:r w:rsidRPr="00A001A9">
              <w:t>Increase factor: 1.0</w:t>
            </w:r>
          </w:p>
          <w:p w14:paraId="04AEDCEC" w14:textId="77777777" w:rsidR="00751B50" w:rsidRPr="005155B4" w:rsidRDefault="00C07BBA" w:rsidP="005155B4">
            <w:pPr>
              <w:pStyle w:val="Tablecontents"/>
              <w:spacing w:after="0"/>
              <w:rPr>
                <w:b/>
                <w:bCs/>
              </w:rPr>
            </w:pPr>
            <w:r w:rsidRPr="005155B4">
              <w:rPr>
                <w:b/>
                <w:bCs/>
              </w:rPr>
              <w:t>Risk Factor</w:t>
            </w:r>
            <w:r w:rsidR="00776FE9" w:rsidRPr="005155B4">
              <w:rPr>
                <w:b/>
                <w:bCs/>
              </w:rPr>
              <w:t xml:space="preserve"> 2</w:t>
            </w:r>
            <w:r w:rsidRPr="005155B4">
              <w:rPr>
                <w:b/>
                <w:bCs/>
              </w:rPr>
              <w:t>: Length of operation</w:t>
            </w:r>
          </w:p>
          <w:p w14:paraId="24478E21" w14:textId="2C34A986" w:rsidR="00776FE9" w:rsidRPr="00A001A9" w:rsidRDefault="00190F51" w:rsidP="005155B4">
            <w:pPr>
              <w:pStyle w:val="Tablecontents"/>
              <w:spacing w:before="0"/>
            </w:pPr>
            <w:r w:rsidRPr="00A001A9">
              <w:t>Increase factor: 0.0</w:t>
            </w:r>
          </w:p>
          <w:p w14:paraId="58639B13" w14:textId="77777777" w:rsidR="00190F51" w:rsidRPr="005155B4" w:rsidRDefault="00190F51" w:rsidP="005155B4">
            <w:pPr>
              <w:pStyle w:val="Tablecontents"/>
              <w:spacing w:after="0"/>
              <w:rPr>
                <w:b/>
                <w:bCs/>
              </w:rPr>
            </w:pPr>
            <w:r w:rsidRPr="005155B4">
              <w:rPr>
                <w:b/>
                <w:bCs/>
              </w:rPr>
              <w:t>Risk Factor</w:t>
            </w:r>
            <w:r w:rsidR="00776FE9" w:rsidRPr="005155B4">
              <w:rPr>
                <w:b/>
                <w:bCs/>
              </w:rPr>
              <w:t xml:space="preserve"> 3</w:t>
            </w:r>
            <w:r w:rsidRPr="005155B4">
              <w:rPr>
                <w:b/>
                <w:bCs/>
              </w:rPr>
              <w:t>: Volatility in overseas student enrolments</w:t>
            </w:r>
          </w:p>
          <w:p w14:paraId="68244A26" w14:textId="3EAE39D2" w:rsidR="00776FE9" w:rsidRPr="00A001A9" w:rsidRDefault="00190F51" w:rsidP="005155B4">
            <w:pPr>
              <w:pStyle w:val="Tablecontents"/>
              <w:spacing w:before="0"/>
            </w:pPr>
            <w:r w:rsidRPr="00A001A9">
              <w:t xml:space="preserve">Increase factor: </w:t>
            </w:r>
            <w:r w:rsidR="001011CC" w:rsidRPr="00A001A9">
              <w:t>1.5</w:t>
            </w:r>
            <w:r w:rsidR="00A24CC2" w:rsidRPr="00A001A9">
              <w:t xml:space="preserve"> x </w:t>
            </w:r>
            <w:r w:rsidR="00AC09F8" w:rsidRPr="00A001A9">
              <w:t>75</w:t>
            </w:r>
            <w:r w:rsidR="00A24CC2" w:rsidRPr="00A001A9">
              <w:t>% = 1.</w:t>
            </w:r>
            <w:r w:rsidR="00AC09F8" w:rsidRPr="00A001A9">
              <w:t>1</w:t>
            </w:r>
          </w:p>
          <w:p w14:paraId="19D5EFE0" w14:textId="77777777" w:rsidR="00A24CC2" w:rsidRPr="005155B4" w:rsidRDefault="00A24CC2" w:rsidP="005155B4">
            <w:pPr>
              <w:pStyle w:val="Tablecontents"/>
              <w:spacing w:after="0"/>
              <w:rPr>
                <w:b/>
                <w:bCs/>
              </w:rPr>
            </w:pPr>
            <w:r w:rsidRPr="005155B4">
              <w:rPr>
                <w:b/>
                <w:bCs/>
              </w:rPr>
              <w:t>Risk Factor</w:t>
            </w:r>
            <w:r w:rsidR="00776FE9" w:rsidRPr="005155B4">
              <w:rPr>
                <w:b/>
                <w:bCs/>
              </w:rPr>
              <w:t xml:space="preserve"> 4</w:t>
            </w:r>
            <w:r w:rsidRPr="005155B4">
              <w:rPr>
                <w:b/>
                <w:bCs/>
              </w:rPr>
              <w:t>: Maximum overseas source country concentration</w:t>
            </w:r>
          </w:p>
          <w:p w14:paraId="18A16116" w14:textId="77777777" w:rsidR="00231EEF" w:rsidRPr="00A001A9" w:rsidRDefault="00A24CC2" w:rsidP="005155B4">
            <w:pPr>
              <w:pStyle w:val="Tablecontents"/>
              <w:spacing w:before="0"/>
            </w:pPr>
            <w:r w:rsidRPr="00A001A9">
              <w:t xml:space="preserve">Increase factor: </w:t>
            </w:r>
            <w:r w:rsidR="00231EEF" w:rsidRPr="00A001A9">
              <w:t>3.1</w:t>
            </w:r>
          </w:p>
          <w:p w14:paraId="05E79DBE" w14:textId="149B777A" w:rsidR="00231EEF" w:rsidRPr="009E0D57" w:rsidRDefault="00231EEF" w:rsidP="005155B4">
            <w:pPr>
              <w:pStyle w:val="Tablecontents"/>
              <w:spacing w:after="0"/>
              <w:rPr>
                <w:b/>
                <w:bCs/>
              </w:rPr>
            </w:pPr>
            <w:r w:rsidRPr="009E0D57">
              <w:rPr>
                <w:b/>
                <w:bCs/>
              </w:rPr>
              <w:t>Risk Factor 5: Non-compliance and registration renewal</w:t>
            </w:r>
          </w:p>
          <w:p w14:paraId="7567338C" w14:textId="2A703157" w:rsidR="00583113" w:rsidRPr="00A001A9" w:rsidRDefault="00231EEF" w:rsidP="005155B4">
            <w:pPr>
              <w:pStyle w:val="Tablecontents"/>
              <w:spacing w:before="0"/>
            </w:pPr>
            <w:r w:rsidRPr="009E0D57">
              <w:t>Increase factor: 0.</w:t>
            </w:r>
            <w:r w:rsidR="008D25FF">
              <w:t>0</w:t>
            </w:r>
          </w:p>
          <w:p w14:paraId="28C705D0" w14:textId="6255172E" w:rsidR="005B4A14" w:rsidRPr="005155B4" w:rsidRDefault="005B4A14" w:rsidP="005155B4">
            <w:pPr>
              <w:pStyle w:val="Tablecontents"/>
              <w:spacing w:after="0"/>
              <w:rPr>
                <w:b/>
                <w:bCs/>
              </w:rPr>
            </w:pPr>
            <w:r w:rsidRPr="005155B4">
              <w:rPr>
                <w:b/>
                <w:bCs/>
              </w:rPr>
              <w:t>Total increase factor</w:t>
            </w:r>
          </w:p>
          <w:p w14:paraId="445181A6" w14:textId="4128CC60" w:rsidR="00231EEF" w:rsidRPr="00A001A9" w:rsidRDefault="005B4A14" w:rsidP="005155B4">
            <w:pPr>
              <w:pStyle w:val="Tablecontents"/>
              <w:spacing w:before="0"/>
            </w:pPr>
            <w:r w:rsidRPr="00A001A9">
              <w:t>1.0 + 0.0 + 1.</w:t>
            </w:r>
            <w:r w:rsidR="00AC09F8" w:rsidRPr="00A001A9">
              <w:t>1</w:t>
            </w:r>
            <w:r w:rsidRPr="00A001A9">
              <w:t xml:space="preserve"> + 3.1 + 0.</w:t>
            </w:r>
            <w:r w:rsidR="008D25FF">
              <w:t>0</w:t>
            </w:r>
            <w:r w:rsidRPr="00A001A9">
              <w:t xml:space="preserve"> =</w:t>
            </w:r>
            <w:r w:rsidR="00AC09F8" w:rsidRPr="00A001A9">
              <w:t xml:space="preserve"> 5.</w:t>
            </w:r>
            <w:r w:rsidR="008D25FF">
              <w:t>2</w:t>
            </w:r>
          </w:p>
          <w:p w14:paraId="65A963FB" w14:textId="7A3D4E74" w:rsidR="00583113" w:rsidRPr="005155B4" w:rsidRDefault="00583113" w:rsidP="005155B4">
            <w:pPr>
              <w:pStyle w:val="Tablecontents"/>
              <w:spacing w:after="0"/>
              <w:rPr>
                <w:b/>
                <w:bCs/>
              </w:rPr>
            </w:pPr>
            <w:r w:rsidRPr="005155B4">
              <w:rPr>
                <w:b/>
                <w:bCs/>
              </w:rPr>
              <w:t>Risk rated premium component calculation</w:t>
            </w:r>
          </w:p>
          <w:p w14:paraId="72BF9FD5" w14:textId="7C6AE5DE" w:rsidR="00776FE9" w:rsidRPr="00A001A9" w:rsidRDefault="00583113" w:rsidP="005155B4">
            <w:pPr>
              <w:pStyle w:val="Tablecontents"/>
              <w:spacing w:before="0"/>
            </w:pPr>
            <w:r w:rsidRPr="00A001A9">
              <w:t>(</w:t>
            </w:r>
            <w:r w:rsidRPr="00A001A9">
              <w:rPr>
                <w:b/>
                <w:bCs/>
              </w:rPr>
              <w:t>0.05%</w:t>
            </w:r>
            <w:r w:rsidRPr="00A001A9">
              <w:t xml:space="preserve"> x</w:t>
            </w:r>
            <w:r w:rsidR="007911E4" w:rsidRPr="00A001A9">
              <w:t xml:space="preserve"> </w:t>
            </w:r>
            <w:r w:rsidR="00AC09F8" w:rsidRPr="00A001A9">
              <w:t>5.</w:t>
            </w:r>
            <w:r w:rsidR="007104EA">
              <w:t>2</w:t>
            </w:r>
            <w:r w:rsidR="007911E4" w:rsidRPr="00A001A9">
              <w:t xml:space="preserve">) x $1,500,000 = </w:t>
            </w:r>
            <w:r w:rsidR="003A6D10" w:rsidRPr="00313763">
              <w:rPr>
                <w:color w:val="D6165F" w:themeColor="accent3"/>
              </w:rPr>
              <w:t>$</w:t>
            </w:r>
            <w:r w:rsidR="007104EA">
              <w:rPr>
                <w:color w:val="D6165F" w:themeColor="accent3"/>
              </w:rPr>
              <w:t>3,900</w:t>
            </w:r>
            <w:r w:rsidR="00313763" w:rsidRPr="00313763">
              <w:rPr>
                <w:color w:val="D6165F" w:themeColor="accent3"/>
              </w:rPr>
              <w:t>.00</w:t>
            </w:r>
          </w:p>
        </w:tc>
      </w:tr>
      <w:tr w:rsidR="00776FE9" w:rsidRPr="00AE2C41" w14:paraId="1409FCDB" w14:textId="77777777" w:rsidTr="00D851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07" w:type="pct"/>
            <w:tcBorders>
              <w:bottom w:val="single" w:sz="18" w:space="0" w:color="FFFFFF" w:themeColor="background1"/>
            </w:tcBorders>
            <w:vAlign w:val="center"/>
            <w:hideMark/>
          </w:tcPr>
          <w:p w14:paraId="55C32C2B" w14:textId="77777777" w:rsidR="00776FE9" w:rsidRPr="00A001A9" w:rsidRDefault="00776FE9" w:rsidP="001267C6">
            <w:pPr>
              <w:pStyle w:val="Tablecontents"/>
            </w:pPr>
            <w:r w:rsidRPr="00A001A9">
              <w:t>Special tuition protection</w:t>
            </w:r>
          </w:p>
        </w:tc>
        <w:tc>
          <w:tcPr>
            <w:tcW w:w="3693" w:type="pct"/>
            <w:tcBorders>
              <w:bottom w:val="single" w:sz="18" w:space="0" w:color="FFFFFF" w:themeColor="background1"/>
            </w:tcBorders>
            <w:vAlign w:val="center"/>
            <w:hideMark/>
          </w:tcPr>
          <w:p w14:paraId="3B826283" w14:textId="0EF62F5B" w:rsidR="00776FE9" w:rsidRPr="00A001A9" w:rsidRDefault="00776FE9" w:rsidP="001267C6">
            <w:pPr>
              <w:pStyle w:val="Tablecontents"/>
            </w:pPr>
            <w:r w:rsidRPr="00A001A9">
              <w:t>$</w:t>
            </w:r>
            <w:r w:rsidR="003A6D10" w:rsidRPr="00A001A9">
              <w:t>1,50</w:t>
            </w:r>
            <w:r w:rsidRPr="00A001A9">
              <w:t xml:space="preserve">0,000 x </w:t>
            </w:r>
            <w:r w:rsidRPr="00A001A9">
              <w:rPr>
                <w:b/>
                <w:bCs/>
              </w:rPr>
              <w:t>0%</w:t>
            </w:r>
            <w:r w:rsidRPr="00A001A9">
              <w:t xml:space="preserve"> = </w:t>
            </w:r>
            <w:r w:rsidRPr="00313763">
              <w:rPr>
                <w:color w:val="D6165F" w:themeColor="accent3"/>
              </w:rPr>
              <w:t>$</w:t>
            </w:r>
            <w:r w:rsidR="00D00196" w:rsidRPr="00313763">
              <w:rPr>
                <w:color w:val="D6165F" w:themeColor="accent3"/>
              </w:rPr>
              <w:t>0</w:t>
            </w:r>
            <w:r w:rsidR="00313763" w:rsidRPr="00313763">
              <w:rPr>
                <w:color w:val="D6165F" w:themeColor="accent3"/>
              </w:rPr>
              <w:t>.00</w:t>
            </w:r>
          </w:p>
        </w:tc>
      </w:tr>
      <w:tr w:rsidR="00776FE9" w:rsidRPr="00AE2C41" w14:paraId="3300D43E" w14:textId="77777777" w:rsidTr="00D8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07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5E36190D" w14:textId="38A18AF7" w:rsidR="00776FE9" w:rsidRPr="00F35551" w:rsidRDefault="00776FE9" w:rsidP="00F35551">
            <w:pPr>
              <w:pStyle w:val="Tablecontents"/>
              <w:spacing w:before="120" w:after="120"/>
              <w:rPr>
                <w:b/>
                <w:bCs/>
              </w:rPr>
            </w:pPr>
            <w:r w:rsidRPr="00F35551">
              <w:rPr>
                <w:b/>
                <w:bCs/>
              </w:rPr>
              <w:t xml:space="preserve">Total </w:t>
            </w:r>
            <w:r w:rsidR="00BB17D3" w:rsidRPr="00F35551">
              <w:rPr>
                <w:b/>
                <w:bCs/>
              </w:rPr>
              <w:t>2024</w:t>
            </w:r>
            <w:r w:rsidRPr="00F35551">
              <w:rPr>
                <w:b/>
                <w:bCs/>
              </w:rPr>
              <w:t xml:space="preserve"> levy</w:t>
            </w:r>
          </w:p>
        </w:tc>
        <w:tc>
          <w:tcPr>
            <w:tcW w:w="3693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5C6BEA1A" w14:textId="0901E5A4" w:rsidR="00776FE9" w:rsidRPr="00A001A9" w:rsidRDefault="00776FE9" w:rsidP="00F35551">
            <w:pPr>
              <w:pStyle w:val="Tablecontents"/>
              <w:spacing w:before="120" w:after="120"/>
            </w:pPr>
            <w:r w:rsidRPr="00A001A9">
              <w:t>$</w:t>
            </w:r>
            <w:r w:rsidR="00AD2FC7" w:rsidRPr="00A001A9">
              <w:t>137.25</w:t>
            </w:r>
            <w:r w:rsidRPr="00A001A9">
              <w:t xml:space="preserve"> + $</w:t>
            </w:r>
            <w:r w:rsidR="00AD2FC7" w:rsidRPr="00A001A9">
              <w:t xml:space="preserve">293.50 </w:t>
            </w:r>
            <w:r w:rsidRPr="00A001A9">
              <w:t xml:space="preserve">+ </w:t>
            </w:r>
            <w:r w:rsidR="001F42C1" w:rsidRPr="00A001A9">
              <w:t>$</w:t>
            </w:r>
            <w:r w:rsidR="00525834">
              <w:t>3,900</w:t>
            </w:r>
            <w:r w:rsidR="00313763">
              <w:t>.00</w:t>
            </w:r>
            <w:r w:rsidR="001F42C1" w:rsidRPr="00A001A9">
              <w:t xml:space="preserve"> </w:t>
            </w:r>
            <w:r w:rsidR="00AD2FC7" w:rsidRPr="00A001A9">
              <w:t>+ $0</w:t>
            </w:r>
            <w:r w:rsidR="00313763">
              <w:t>.00</w:t>
            </w:r>
            <w:r w:rsidRPr="00A001A9">
              <w:t xml:space="preserve"> = </w:t>
            </w:r>
            <w:r w:rsidRPr="00313763">
              <w:rPr>
                <w:b/>
                <w:bCs/>
                <w:color w:val="D6165F" w:themeColor="accent3"/>
              </w:rPr>
              <w:t>$</w:t>
            </w:r>
            <w:r w:rsidR="00AC09F8" w:rsidRPr="00313763">
              <w:rPr>
                <w:b/>
                <w:bCs/>
                <w:color w:val="D6165F" w:themeColor="accent3"/>
              </w:rPr>
              <w:t>4</w:t>
            </w:r>
            <w:r w:rsidR="00806775" w:rsidRPr="00313763">
              <w:rPr>
                <w:b/>
                <w:bCs/>
                <w:color w:val="D6165F" w:themeColor="accent3"/>
              </w:rPr>
              <w:t>,</w:t>
            </w:r>
            <w:r w:rsidR="006F439E">
              <w:rPr>
                <w:b/>
                <w:bCs/>
                <w:color w:val="D6165F" w:themeColor="accent3"/>
              </w:rPr>
              <w:t>330</w:t>
            </w:r>
            <w:r w:rsidR="00806775" w:rsidRPr="00313763">
              <w:rPr>
                <w:b/>
                <w:bCs/>
                <w:color w:val="D6165F" w:themeColor="accent3"/>
              </w:rPr>
              <w:t>.75</w:t>
            </w:r>
          </w:p>
        </w:tc>
      </w:tr>
    </w:tbl>
    <w:p w14:paraId="5D47F5A6" w14:textId="13D3909A" w:rsidR="0062743B" w:rsidRPr="00765538" w:rsidRDefault="006D11C0" w:rsidP="00765538">
      <w:pPr>
        <w:pStyle w:val="Caption"/>
      </w:pPr>
      <w:r w:rsidRPr="00765538">
        <w:t>*Administrative fee and Base fee figures quoted were applied for the 2023 levy and will be indexed for the 2024 levy if the Minister decides not to make a legislative instrument specifying new amounts.</w:t>
      </w:r>
      <w:r w:rsidR="0062743B" w:rsidRPr="00765538">
        <w:br w:type="page"/>
      </w:r>
    </w:p>
    <w:p w14:paraId="34423F05" w14:textId="77777777" w:rsidR="0097113A" w:rsidRDefault="0062743B" w:rsidP="0097113A">
      <w:pPr>
        <w:pStyle w:val="Heading2"/>
      </w:pPr>
      <w:r w:rsidRPr="004003F2">
        <w:lastRenderedPageBreak/>
        <w:t>Provider 2</w:t>
      </w:r>
    </w:p>
    <w:p w14:paraId="3383B6FF" w14:textId="65CAF307" w:rsidR="0097113A" w:rsidRDefault="0062743B" w:rsidP="0097113A">
      <w:r>
        <w:t xml:space="preserve">Provider 2 had </w:t>
      </w:r>
      <w:r w:rsidR="00CF2FBF" w:rsidRPr="006C4F0D">
        <w:rPr>
          <w:b/>
          <w:bCs/>
        </w:rPr>
        <w:t>100</w:t>
      </w:r>
      <w:r w:rsidRPr="006C4F0D">
        <w:rPr>
          <w:b/>
          <w:bCs/>
        </w:rPr>
        <w:t xml:space="preserve"> </w:t>
      </w:r>
      <w:r w:rsidR="006C4F0D" w:rsidRPr="006C4F0D">
        <w:rPr>
          <w:b/>
          <w:bCs/>
        </w:rPr>
        <w:t>overseas</w:t>
      </w:r>
      <w:r w:rsidRPr="006C4F0D">
        <w:rPr>
          <w:b/>
          <w:bCs/>
        </w:rPr>
        <w:t xml:space="preserve"> student enrolments</w:t>
      </w:r>
      <w:r>
        <w:t xml:space="preserve"> and received </w:t>
      </w:r>
      <w:r w:rsidRPr="006C4F0D">
        <w:rPr>
          <w:b/>
          <w:bCs/>
        </w:rPr>
        <w:t>$</w:t>
      </w:r>
      <w:r w:rsidR="00CF2FBF" w:rsidRPr="006C4F0D">
        <w:rPr>
          <w:b/>
          <w:bCs/>
        </w:rPr>
        <w:t>2,0</w:t>
      </w:r>
      <w:r w:rsidRPr="006C4F0D">
        <w:rPr>
          <w:b/>
          <w:bCs/>
        </w:rPr>
        <w:t>00,000 in overseas student tuition fees</w:t>
      </w:r>
      <w:r w:rsidRPr="006F6B7C">
        <w:t xml:space="preserve"> </w:t>
      </w:r>
      <w:r>
        <w:t>in 2023</w:t>
      </w:r>
      <w:r w:rsidRPr="00B50514">
        <w:t>.</w:t>
      </w:r>
      <w:r>
        <w:t xml:space="preserve"> </w:t>
      </w:r>
    </w:p>
    <w:p w14:paraId="0151078D" w14:textId="7BF4D9B8" w:rsidR="0097113A" w:rsidRDefault="0062743B" w:rsidP="0097113A">
      <w:r>
        <w:t xml:space="preserve">Provider </w:t>
      </w:r>
      <w:r w:rsidR="00CE28F3">
        <w:t>2</w:t>
      </w:r>
      <w:r>
        <w:t xml:space="preserve"> has been </w:t>
      </w:r>
      <w:r w:rsidRPr="006C4F0D">
        <w:rPr>
          <w:b/>
          <w:bCs/>
        </w:rPr>
        <w:t xml:space="preserve">operating </w:t>
      </w:r>
      <w:r w:rsidRPr="00AC09F8">
        <w:rPr>
          <w:b/>
          <w:bCs/>
        </w:rPr>
        <w:t xml:space="preserve">for </w:t>
      </w:r>
      <w:r w:rsidR="00AC09F8" w:rsidRPr="00AC09F8">
        <w:rPr>
          <w:b/>
          <w:bCs/>
        </w:rPr>
        <w:t>7</w:t>
      </w:r>
      <w:r w:rsidR="006C4F0D" w:rsidRPr="00AC09F8">
        <w:rPr>
          <w:b/>
          <w:bCs/>
        </w:rPr>
        <w:t xml:space="preserve"> years</w:t>
      </w:r>
      <w:r w:rsidRPr="00AC09F8">
        <w:t>.</w:t>
      </w:r>
    </w:p>
    <w:p w14:paraId="046F74AE" w14:textId="0EBE6D1B" w:rsidR="0097113A" w:rsidRDefault="0062743B" w:rsidP="0097113A">
      <w:r>
        <w:t xml:space="preserve">Provider </w:t>
      </w:r>
      <w:r w:rsidR="00CE28F3">
        <w:t>2</w:t>
      </w:r>
      <w:r>
        <w:t xml:space="preserve"> had </w:t>
      </w:r>
      <w:r w:rsidR="00992DD6">
        <w:t>8</w:t>
      </w:r>
      <w:r w:rsidR="00933315">
        <w:t>00</w:t>
      </w:r>
      <w:r>
        <w:t xml:space="preserve"> domestic students in 2023. Therefore, Provider </w:t>
      </w:r>
      <w:r w:rsidR="00CE28F3">
        <w:t>2</w:t>
      </w:r>
      <w:r>
        <w:t xml:space="preserve">’s </w:t>
      </w:r>
      <w:r w:rsidRPr="006C4F0D">
        <w:rPr>
          <w:b/>
          <w:bCs/>
        </w:rPr>
        <w:t>international student cohort constitute</w:t>
      </w:r>
      <w:r w:rsidR="00EB014F" w:rsidRPr="006C4F0D">
        <w:rPr>
          <w:b/>
          <w:bCs/>
        </w:rPr>
        <w:t>d</w:t>
      </w:r>
      <w:r w:rsidRPr="006C4F0D">
        <w:rPr>
          <w:b/>
          <w:bCs/>
        </w:rPr>
        <w:t xml:space="preserve"> 1</w:t>
      </w:r>
      <w:r w:rsidR="00933315" w:rsidRPr="006C4F0D">
        <w:rPr>
          <w:b/>
          <w:bCs/>
        </w:rPr>
        <w:t>2.5</w:t>
      </w:r>
      <w:r w:rsidRPr="006C4F0D">
        <w:rPr>
          <w:b/>
          <w:bCs/>
        </w:rPr>
        <w:t>% of its total student population</w:t>
      </w:r>
      <w:r>
        <w:t>.</w:t>
      </w:r>
    </w:p>
    <w:p w14:paraId="58AAE104" w14:textId="2ED6EDF8" w:rsidR="0097113A" w:rsidRDefault="0062743B" w:rsidP="0097113A">
      <w:r>
        <w:t xml:space="preserve">In 2022, Provider </w:t>
      </w:r>
      <w:r w:rsidR="00CE28F3">
        <w:t>2</w:t>
      </w:r>
      <w:r>
        <w:t xml:space="preserve"> had </w:t>
      </w:r>
      <w:r w:rsidR="00201E7D">
        <w:t>50</w:t>
      </w:r>
      <w:r>
        <w:t xml:space="preserve"> </w:t>
      </w:r>
      <w:r w:rsidR="006C4F0D">
        <w:t>overseas</w:t>
      </w:r>
      <w:r>
        <w:t xml:space="preserve"> student enrolments, meaning Provider </w:t>
      </w:r>
      <w:r w:rsidR="00CE28F3">
        <w:t>2</w:t>
      </w:r>
      <w:r>
        <w:t xml:space="preserve"> experienced a </w:t>
      </w:r>
      <w:r w:rsidR="005043D2" w:rsidRPr="006C4F0D">
        <w:rPr>
          <w:b/>
          <w:bCs/>
        </w:rPr>
        <w:t>10</w:t>
      </w:r>
      <w:r w:rsidR="00201E7D" w:rsidRPr="006C4F0D">
        <w:rPr>
          <w:b/>
          <w:bCs/>
        </w:rPr>
        <w:t>0</w:t>
      </w:r>
      <w:r w:rsidRPr="006C4F0D">
        <w:rPr>
          <w:b/>
          <w:bCs/>
        </w:rPr>
        <w:t xml:space="preserve">% </w:t>
      </w:r>
      <w:r w:rsidR="00201E7D" w:rsidRPr="006C4F0D">
        <w:rPr>
          <w:b/>
          <w:bCs/>
        </w:rPr>
        <w:t>increase</w:t>
      </w:r>
      <w:r w:rsidRPr="006C4F0D">
        <w:rPr>
          <w:b/>
          <w:bCs/>
        </w:rPr>
        <w:t xml:space="preserve"> in </w:t>
      </w:r>
      <w:r w:rsidR="006C4F0D">
        <w:rPr>
          <w:b/>
          <w:bCs/>
        </w:rPr>
        <w:t>overseas</w:t>
      </w:r>
      <w:r w:rsidRPr="006C4F0D">
        <w:rPr>
          <w:b/>
          <w:bCs/>
        </w:rPr>
        <w:t xml:space="preserve"> student enrolments</w:t>
      </w:r>
      <w:r w:rsidR="00201E7D">
        <w:t xml:space="preserve"> for 2023</w:t>
      </w:r>
      <w:r>
        <w:t>.</w:t>
      </w:r>
    </w:p>
    <w:p w14:paraId="0C8CA04B" w14:textId="38269549" w:rsidR="0097113A" w:rsidRDefault="0062743B" w:rsidP="0097113A">
      <w:r>
        <w:t xml:space="preserve">Of its 2023 </w:t>
      </w:r>
      <w:r w:rsidR="00AC09F8">
        <w:t>overseas</w:t>
      </w:r>
      <w:r>
        <w:t xml:space="preserve"> student enrolments, </w:t>
      </w:r>
      <w:r w:rsidR="00E555FC">
        <w:t xml:space="preserve">the largest number of enrolments </w:t>
      </w:r>
      <w:r w:rsidR="00026218">
        <w:t xml:space="preserve">for a country was </w:t>
      </w:r>
      <w:r w:rsidR="00B00D44">
        <w:t>4</w:t>
      </w:r>
      <w:r w:rsidR="00E555FC">
        <w:t>0</w:t>
      </w:r>
      <w:r>
        <w:t xml:space="preserve"> students</w:t>
      </w:r>
      <w:r w:rsidR="006C4F0D">
        <w:t xml:space="preserve">. Therefore, Provider 2’s </w:t>
      </w:r>
      <w:r w:rsidR="006C4F0D" w:rsidRPr="006C4F0D">
        <w:rPr>
          <w:b/>
          <w:bCs/>
        </w:rPr>
        <w:t xml:space="preserve">maximum overseas source country concentration percentage is </w:t>
      </w:r>
      <w:r w:rsidR="006C4F0D">
        <w:rPr>
          <w:b/>
          <w:bCs/>
        </w:rPr>
        <w:t>4</w:t>
      </w:r>
      <w:r w:rsidR="006C4F0D" w:rsidRPr="006C4F0D">
        <w:rPr>
          <w:b/>
          <w:bCs/>
        </w:rPr>
        <w:t>0%</w:t>
      </w:r>
      <w:r w:rsidR="006C4F0D">
        <w:t>.</w:t>
      </w:r>
    </w:p>
    <w:p w14:paraId="69747DF7" w14:textId="077540FD" w:rsidR="008A4DCE" w:rsidRPr="006F6B7C" w:rsidRDefault="0031645A" w:rsidP="0097113A">
      <w:r>
        <w:t xml:space="preserve">Provider 2’s </w:t>
      </w:r>
      <w:r w:rsidRPr="006C4F0D">
        <w:rPr>
          <w:b/>
          <w:bCs/>
        </w:rPr>
        <w:t>202</w:t>
      </w:r>
      <w:r>
        <w:rPr>
          <w:b/>
          <w:bCs/>
        </w:rPr>
        <w:t>1</w:t>
      </w:r>
      <w:r w:rsidRPr="006C4F0D">
        <w:rPr>
          <w:b/>
          <w:bCs/>
        </w:rPr>
        <w:t xml:space="preserve"> levy</w:t>
      </w:r>
      <w:r>
        <w:rPr>
          <w:b/>
          <w:bCs/>
        </w:rPr>
        <w:t xml:space="preserve"> payment was received</w:t>
      </w:r>
      <w:r w:rsidRPr="006C4F0D">
        <w:rPr>
          <w:b/>
          <w:bCs/>
        </w:rPr>
        <w:t xml:space="preserve"> </w:t>
      </w:r>
      <w:r>
        <w:rPr>
          <w:b/>
          <w:bCs/>
        </w:rPr>
        <w:t>8</w:t>
      </w:r>
      <w:r w:rsidRPr="006C4F0D">
        <w:rPr>
          <w:b/>
          <w:bCs/>
        </w:rPr>
        <w:t xml:space="preserve"> days </w:t>
      </w:r>
      <w:r>
        <w:rPr>
          <w:b/>
          <w:bCs/>
        </w:rPr>
        <w:t>after the due date</w:t>
      </w:r>
      <w:r>
        <w:t xml:space="preserve">. Provider 2’s </w:t>
      </w:r>
      <w:r w:rsidRPr="006C4F0D">
        <w:rPr>
          <w:b/>
          <w:bCs/>
        </w:rPr>
        <w:t>202</w:t>
      </w:r>
      <w:r>
        <w:rPr>
          <w:b/>
          <w:bCs/>
        </w:rPr>
        <w:t>2</w:t>
      </w:r>
      <w:r w:rsidRPr="006C4F0D">
        <w:rPr>
          <w:b/>
          <w:bCs/>
        </w:rPr>
        <w:t xml:space="preserve"> </w:t>
      </w:r>
      <w:r>
        <w:rPr>
          <w:b/>
          <w:bCs/>
        </w:rPr>
        <w:t>CARC was received</w:t>
      </w:r>
      <w:r w:rsidRPr="006C4F0D">
        <w:rPr>
          <w:b/>
          <w:bCs/>
        </w:rPr>
        <w:t xml:space="preserve"> </w:t>
      </w:r>
      <w:r>
        <w:rPr>
          <w:b/>
          <w:bCs/>
        </w:rPr>
        <w:t>3</w:t>
      </w:r>
      <w:r w:rsidRPr="006C4F0D">
        <w:rPr>
          <w:b/>
          <w:bCs/>
        </w:rPr>
        <w:t xml:space="preserve"> days </w:t>
      </w:r>
      <w:r>
        <w:rPr>
          <w:b/>
          <w:bCs/>
        </w:rPr>
        <w:t>after the due date</w:t>
      </w:r>
      <w:r>
        <w:t xml:space="preserve">. </w:t>
      </w:r>
      <w:r w:rsidRPr="004003F2">
        <w:t xml:space="preserve">Therefore, </w:t>
      </w:r>
      <w:r w:rsidR="00A16E40" w:rsidRPr="004003F2">
        <w:t>P</w:t>
      </w:r>
      <w:r w:rsidRPr="004003F2">
        <w:t>rovider 2’s weighted late payment measure is [0.1 x 8 days] + [0.2 x 3 days] = 0.8 + 0.6 = 1.4.</w:t>
      </w:r>
      <w:r w:rsidR="008A4DCE" w:rsidRPr="004003F2">
        <w:t xml:space="preserve"> </w:t>
      </w:r>
      <w:r w:rsidR="00770BA6" w:rsidRPr="005B61E2">
        <w:t xml:space="preserve">Provider </w:t>
      </w:r>
      <w:r w:rsidR="00770BA6">
        <w:t>2</w:t>
      </w:r>
      <w:r w:rsidR="00770BA6" w:rsidRPr="005B61E2">
        <w:t xml:space="preserve"> did not have action mentioned in section 83 of the ESOS Act taken against it in 2023. </w:t>
      </w:r>
      <w:r w:rsidR="008A4DCE" w:rsidRPr="004003F2">
        <w:t>Provider</w:t>
      </w:r>
      <w:r w:rsidR="008A4DCE" w:rsidRPr="00AF2FDC">
        <w:t xml:space="preserve"> 2 </w:t>
      </w:r>
      <w:r w:rsidR="008A4DCE" w:rsidRPr="00AF2FDC">
        <w:rPr>
          <w:b/>
          <w:bCs/>
        </w:rPr>
        <w:t>applied for registration renewal</w:t>
      </w:r>
      <w:r w:rsidR="008A4DCE" w:rsidRPr="00AF2FDC">
        <w:t xml:space="preserve"> under</w:t>
      </w:r>
      <w:r w:rsidR="008A4DCE">
        <w:t xml:space="preserve"> section 10D of the ESOS Act in 2023 and, due to risk management, </w:t>
      </w:r>
      <w:r w:rsidR="008A4DCE" w:rsidRPr="00AC09F8">
        <w:rPr>
          <w:b/>
          <w:bCs/>
        </w:rPr>
        <w:t>the period of registration granted was less than the maximum allowable</w:t>
      </w:r>
      <w:r w:rsidR="008A4DCE">
        <w:t>.</w:t>
      </w:r>
    </w:p>
    <w:tbl>
      <w:tblPr>
        <w:tblStyle w:val="TPSLighter"/>
        <w:tblW w:w="5000" w:type="pct"/>
        <w:tblLook w:val="0420" w:firstRow="1" w:lastRow="0" w:firstColumn="0" w:lastColumn="0" w:noHBand="0" w:noVBand="1"/>
      </w:tblPr>
      <w:tblGrid>
        <w:gridCol w:w="2547"/>
        <w:gridCol w:w="7195"/>
      </w:tblGrid>
      <w:tr w:rsidR="0062743B" w:rsidRPr="00AE2C41" w14:paraId="35F83E69" w14:textId="77777777" w:rsidTr="00D85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1307" w:type="pct"/>
            <w:shd w:val="clear" w:color="auto" w:fill="3C7D86"/>
            <w:vAlign w:val="center"/>
            <w:hideMark/>
          </w:tcPr>
          <w:p w14:paraId="5401272B" w14:textId="650E74B2" w:rsidR="0062743B" w:rsidRPr="00AE2C41" w:rsidRDefault="0062743B" w:rsidP="00507286">
            <w:pPr>
              <w:pStyle w:val="TableHeader"/>
            </w:pPr>
            <w:r>
              <w:t>Levy c</w:t>
            </w:r>
            <w:r w:rsidRPr="00AE2C41">
              <w:t>omponent</w:t>
            </w:r>
          </w:p>
        </w:tc>
        <w:tc>
          <w:tcPr>
            <w:tcW w:w="3693" w:type="pct"/>
            <w:shd w:val="clear" w:color="auto" w:fill="3C7D86"/>
            <w:vAlign w:val="center"/>
            <w:hideMark/>
          </w:tcPr>
          <w:p w14:paraId="4B487689" w14:textId="77777777" w:rsidR="0062743B" w:rsidRPr="0020225B" w:rsidRDefault="0062743B" w:rsidP="00507286">
            <w:pPr>
              <w:pStyle w:val="TableHeader"/>
            </w:pPr>
            <w:r w:rsidRPr="0020225B">
              <w:t>Levy calculation</w:t>
            </w:r>
          </w:p>
        </w:tc>
      </w:tr>
      <w:tr w:rsidR="0062743B" w:rsidRPr="00AE2C41" w14:paraId="5E875667" w14:textId="77777777" w:rsidTr="00D8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07" w:type="pct"/>
            <w:vAlign w:val="center"/>
            <w:hideMark/>
          </w:tcPr>
          <w:p w14:paraId="0F7F176B" w14:textId="5CA40628" w:rsidR="0062743B" w:rsidRPr="00F36B9A" w:rsidRDefault="0062743B" w:rsidP="001267C6">
            <w:pPr>
              <w:pStyle w:val="Tablecontents"/>
            </w:pPr>
            <w:r w:rsidRPr="00F36B9A">
              <w:t>Administrative fee</w:t>
            </w:r>
            <w:r w:rsidR="00B77A9D">
              <w:t>*</w:t>
            </w:r>
          </w:p>
        </w:tc>
        <w:tc>
          <w:tcPr>
            <w:tcW w:w="3693" w:type="pct"/>
            <w:vAlign w:val="center"/>
            <w:hideMark/>
          </w:tcPr>
          <w:p w14:paraId="19B20C1C" w14:textId="323C4FBC" w:rsidR="0062743B" w:rsidRPr="00FF48EC" w:rsidRDefault="0062743B" w:rsidP="001267C6">
            <w:pPr>
              <w:pStyle w:val="Tablecontents"/>
            </w:pPr>
            <w:r w:rsidRPr="00FF48EC">
              <w:t>$99 + (</w:t>
            </w:r>
            <w:r w:rsidR="00B77A9D" w:rsidRPr="00FF48EC">
              <w:t>100</w:t>
            </w:r>
            <w:r w:rsidRPr="00FF48EC">
              <w:t xml:space="preserve"> x $0.51) = </w:t>
            </w:r>
            <w:r w:rsidRPr="001011A6">
              <w:rPr>
                <w:color w:val="D6165F" w:themeColor="accent3"/>
              </w:rPr>
              <w:t>$</w:t>
            </w:r>
            <w:r w:rsidR="00625BED" w:rsidRPr="001011A6">
              <w:rPr>
                <w:color w:val="D6165F" w:themeColor="accent3"/>
              </w:rPr>
              <w:t>150</w:t>
            </w:r>
            <w:r w:rsidR="001011A6">
              <w:rPr>
                <w:color w:val="D6165F" w:themeColor="accent3"/>
              </w:rPr>
              <w:t>.00</w:t>
            </w:r>
          </w:p>
        </w:tc>
      </w:tr>
      <w:tr w:rsidR="0062743B" w:rsidRPr="00AE2C41" w14:paraId="4F7FFC02" w14:textId="77777777" w:rsidTr="00D851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07" w:type="pct"/>
            <w:vAlign w:val="center"/>
          </w:tcPr>
          <w:p w14:paraId="090A8B28" w14:textId="5AF3F8FE" w:rsidR="0062743B" w:rsidRPr="00F36B9A" w:rsidRDefault="0062743B" w:rsidP="001267C6">
            <w:pPr>
              <w:pStyle w:val="Tablecontents"/>
            </w:pPr>
            <w:r>
              <w:t>Base fee</w:t>
            </w:r>
            <w:r w:rsidR="00B77A9D">
              <w:t>*</w:t>
            </w:r>
          </w:p>
        </w:tc>
        <w:tc>
          <w:tcPr>
            <w:tcW w:w="3693" w:type="pct"/>
            <w:vAlign w:val="center"/>
          </w:tcPr>
          <w:p w14:paraId="748939EC" w14:textId="79BEC88C" w:rsidR="0062743B" w:rsidRPr="00FF48EC" w:rsidRDefault="0062743B" w:rsidP="001267C6">
            <w:pPr>
              <w:pStyle w:val="Tablecontents"/>
            </w:pPr>
            <w:r w:rsidRPr="00FF48EC">
              <w:t>$199 + (</w:t>
            </w:r>
            <w:r w:rsidR="00B77A9D" w:rsidRPr="00FF48EC">
              <w:t>100</w:t>
            </w:r>
            <w:r w:rsidRPr="00FF48EC">
              <w:t xml:space="preserve"> x $1.26) = </w:t>
            </w:r>
            <w:r w:rsidRPr="001011A6">
              <w:rPr>
                <w:color w:val="D6165F" w:themeColor="accent3"/>
              </w:rPr>
              <w:t>$</w:t>
            </w:r>
            <w:r w:rsidR="00625BED" w:rsidRPr="001011A6">
              <w:rPr>
                <w:color w:val="D6165F" w:themeColor="accent3"/>
              </w:rPr>
              <w:t>325</w:t>
            </w:r>
            <w:r w:rsidR="001011A6">
              <w:rPr>
                <w:color w:val="D6165F" w:themeColor="accent3"/>
              </w:rPr>
              <w:t>.00</w:t>
            </w:r>
          </w:p>
        </w:tc>
      </w:tr>
      <w:tr w:rsidR="0062743B" w:rsidRPr="00AE2C41" w14:paraId="5F2A6F55" w14:textId="77777777" w:rsidTr="00D8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7"/>
        </w:trPr>
        <w:tc>
          <w:tcPr>
            <w:tcW w:w="1307" w:type="pct"/>
            <w:hideMark/>
          </w:tcPr>
          <w:p w14:paraId="7BF3BA81" w14:textId="77777777" w:rsidR="0062743B" w:rsidRPr="00F36B9A" w:rsidRDefault="0062743B" w:rsidP="001267C6">
            <w:pPr>
              <w:pStyle w:val="Tablecontents"/>
            </w:pPr>
            <w:r w:rsidRPr="00F36B9A">
              <w:t>Risk rated premium</w:t>
            </w:r>
          </w:p>
        </w:tc>
        <w:tc>
          <w:tcPr>
            <w:tcW w:w="3693" w:type="pct"/>
            <w:hideMark/>
          </w:tcPr>
          <w:p w14:paraId="5046E8A3" w14:textId="77777777" w:rsidR="0062743B" w:rsidRPr="005155B4" w:rsidRDefault="0062743B" w:rsidP="005155B4">
            <w:pPr>
              <w:pStyle w:val="Tablecontents"/>
              <w:spacing w:after="0"/>
              <w:rPr>
                <w:b/>
                <w:bCs/>
              </w:rPr>
            </w:pPr>
            <w:r w:rsidRPr="005155B4">
              <w:rPr>
                <w:b/>
                <w:bCs/>
              </w:rPr>
              <w:t>Risk Factor 1: Base risk factor</w:t>
            </w:r>
          </w:p>
          <w:p w14:paraId="4B57A622" w14:textId="77777777" w:rsidR="0062743B" w:rsidRPr="00FF48EC" w:rsidRDefault="0062743B" w:rsidP="00A62738">
            <w:pPr>
              <w:pStyle w:val="Tablecontents"/>
              <w:spacing w:before="0"/>
            </w:pPr>
            <w:r w:rsidRPr="00FF48EC">
              <w:t>Increase factor: 1.0</w:t>
            </w:r>
          </w:p>
          <w:p w14:paraId="7C8D35EC" w14:textId="77777777" w:rsidR="0062743B" w:rsidRPr="005155B4" w:rsidRDefault="0062743B" w:rsidP="005155B4">
            <w:pPr>
              <w:pStyle w:val="Tablecontents"/>
              <w:spacing w:after="0"/>
              <w:rPr>
                <w:b/>
                <w:bCs/>
              </w:rPr>
            </w:pPr>
            <w:r w:rsidRPr="005155B4">
              <w:rPr>
                <w:b/>
                <w:bCs/>
              </w:rPr>
              <w:t>Risk Factor 2: Length of operation</w:t>
            </w:r>
          </w:p>
          <w:p w14:paraId="505A9B31" w14:textId="667A8C44" w:rsidR="0062743B" w:rsidRPr="00FF48EC" w:rsidRDefault="0062743B" w:rsidP="00A62738">
            <w:pPr>
              <w:pStyle w:val="Tablecontents"/>
              <w:spacing w:before="0"/>
            </w:pPr>
            <w:r w:rsidRPr="00FF48EC">
              <w:t>Increase factor: 0.</w:t>
            </w:r>
            <w:r w:rsidR="006C4F0D" w:rsidRPr="00FF48EC">
              <w:t>0</w:t>
            </w:r>
          </w:p>
          <w:p w14:paraId="3F007567" w14:textId="77777777" w:rsidR="0062743B" w:rsidRPr="005155B4" w:rsidRDefault="0062743B" w:rsidP="005155B4">
            <w:pPr>
              <w:pStyle w:val="Tablecontents"/>
              <w:spacing w:after="0"/>
              <w:rPr>
                <w:b/>
                <w:bCs/>
              </w:rPr>
            </w:pPr>
            <w:r w:rsidRPr="005155B4">
              <w:rPr>
                <w:b/>
                <w:bCs/>
              </w:rPr>
              <w:t>Risk Factor 3: Volatility in overseas student enrolments</w:t>
            </w:r>
          </w:p>
          <w:p w14:paraId="78D1AAC0" w14:textId="6D4F87C9" w:rsidR="00560DA4" w:rsidRPr="00FF48EC" w:rsidRDefault="00560DA4" w:rsidP="00A62738">
            <w:pPr>
              <w:pStyle w:val="Tablecontents"/>
              <w:spacing w:before="0"/>
            </w:pPr>
            <w:r w:rsidRPr="00FF48EC">
              <w:t>Increase factor: N/A</w:t>
            </w:r>
            <w:r w:rsidR="00BC060B">
              <w:t xml:space="preserve">. </w:t>
            </w:r>
            <w:r w:rsidRPr="00FF48EC">
              <w:t>Provider 2’s international student cohort constitute</w:t>
            </w:r>
            <w:r w:rsidR="003E0B4C" w:rsidRPr="00FF48EC">
              <w:t>d</w:t>
            </w:r>
            <w:r w:rsidRPr="00FF48EC">
              <w:t xml:space="preserve"> less than 20% of its total student population</w:t>
            </w:r>
            <w:r w:rsidR="003E0B4C" w:rsidRPr="00FF48EC">
              <w:t xml:space="preserve"> in 2023</w:t>
            </w:r>
            <w:r w:rsidRPr="00FF48EC">
              <w:t>.</w:t>
            </w:r>
          </w:p>
          <w:p w14:paraId="3D4C960A" w14:textId="77777777" w:rsidR="0062743B" w:rsidRPr="005155B4" w:rsidRDefault="0062743B" w:rsidP="005155B4">
            <w:pPr>
              <w:pStyle w:val="Tablecontents"/>
              <w:spacing w:after="0"/>
              <w:rPr>
                <w:b/>
                <w:bCs/>
              </w:rPr>
            </w:pPr>
            <w:r w:rsidRPr="005155B4">
              <w:rPr>
                <w:b/>
                <w:bCs/>
              </w:rPr>
              <w:t>Risk Factor 4: Maximum overseas source country concentration</w:t>
            </w:r>
          </w:p>
          <w:p w14:paraId="230AD1A4" w14:textId="7E27B127" w:rsidR="00560DA4" w:rsidRPr="00FF48EC" w:rsidRDefault="00560DA4" w:rsidP="00A62738">
            <w:pPr>
              <w:pStyle w:val="Tablecontents"/>
              <w:spacing w:before="0"/>
            </w:pPr>
            <w:r w:rsidRPr="00FF48EC">
              <w:t>Increase factor: N/A</w:t>
            </w:r>
            <w:r w:rsidR="00BC060B">
              <w:t xml:space="preserve">. </w:t>
            </w:r>
            <w:r w:rsidRPr="00FF48EC">
              <w:t xml:space="preserve">Provider 2’s international student cohort </w:t>
            </w:r>
            <w:r w:rsidR="003E0B4C" w:rsidRPr="00FF48EC">
              <w:t>constituted less than 20% of its total student population in 2023.</w:t>
            </w:r>
          </w:p>
          <w:p w14:paraId="27C11F3E" w14:textId="77777777" w:rsidR="0062743B" w:rsidRPr="008A4DCE" w:rsidRDefault="0062743B" w:rsidP="005155B4">
            <w:pPr>
              <w:pStyle w:val="Tablecontents"/>
              <w:spacing w:after="0"/>
              <w:rPr>
                <w:b/>
                <w:bCs/>
              </w:rPr>
            </w:pPr>
            <w:r w:rsidRPr="008A4DCE">
              <w:rPr>
                <w:b/>
                <w:bCs/>
              </w:rPr>
              <w:t>Risk Factor 5: Non-compliance and registration renewal</w:t>
            </w:r>
          </w:p>
          <w:p w14:paraId="22704118" w14:textId="2508B4BB" w:rsidR="0062743B" w:rsidRPr="00FF48EC" w:rsidRDefault="0062743B" w:rsidP="005155B4">
            <w:pPr>
              <w:pStyle w:val="Tablecontents"/>
              <w:spacing w:before="0"/>
            </w:pPr>
            <w:r w:rsidRPr="008A4DCE">
              <w:t xml:space="preserve">Increase factor: </w:t>
            </w:r>
            <w:r w:rsidR="008A4DCE" w:rsidRPr="008A4DCE">
              <w:t xml:space="preserve">0.7 + </w:t>
            </w:r>
            <w:r w:rsidR="00FD17AF" w:rsidRPr="008A4DCE">
              <w:t>1</w:t>
            </w:r>
            <w:r w:rsidRPr="008A4DCE">
              <w:t>.</w:t>
            </w:r>
            <w:r w:rsidR="00560DA4" w:rsidRPr="008A4DCE">
              <w:t>0</w:t>
            </w:r>
          </w:p>
          <w:p w14:paraId="477E0465" w14:textId="77777777" w:rsidR="0062743B" w:rsidRPr="005155B4" w:rsidRDefault="0062743B" w:rsidP="005155B4">
            <w:pPr>
              <w:pStyle w:val="Tablecontents"/>
              <w:spacing w:after="0"/>
              <w:rPr>
                <w:b/>
                <w:bCs/>
              </w:rPr>
            </w:pPr>
            <w:r w:rsidRPr="005155B4">
              <w:rPr>
                <w:b/>
                <w:bCs/>
              </w:rPr>
              <w:t>Total increase factor</w:t>
            </w:r>
          </w:p>
          <w:p w14:paraId="4100B571" w14:textId="3A3B51EC" w:rsidR="0062743B" w:rsidRPr="00FF48EC" w:rsidRDefault="00FD17AF" w:rsidP="005155B4">
            <w:pPr>
              <w:pStyle w:val="Tablecontents"/>
              <w:spacing w:before="0"/>
            </w:pPr>
            <w:r w:rsidRPr="00FF48EC">
              <w:t>1</w:t>
            </w:r>
            <w:r w:rsidR="0062743B" w:rsidRPr="00FF48EC">
              <w:t>.</w:t>
            </w:r>
            <w:r w:rsidR="00560DA4" w:rsidRPr="00FF48EC">
              <w:t>0</w:t>
            </w:r>
            <w:r w:rsidR="0062743B" w:rsidRPr="00FF48EC">
              <w:t xml:space="preserve"> </w:t>
            </w:r>
            <w:r w:rsidR="008A4DCE">
              <w:t>+</w:t>
            </w:r>
            <w:r w:rsidR="00A16E40">
              <w:t xml:space="preserve"> 0.0 +</w:t>
            </w:r>
            <w:r w:rsidR="008A4DCE">
              <w:t xml:space="preserve"> 0.7 + 1.0 </w:t>
            </w:r>
            <w:r w:rsidR="0062743B" w:rsidRPr="00FF48EC">
              <w:t xml:space="preserve">= </w:t>
            </w:r>
            <w:r w:rsidRPr="00FF48EC">
              <w:t>2</w:t>
            </w:r>
            <w:r w:rsidR="00560DA4" w:rsidRPr="00FF48EC">
              <w:t>.</w:t>
            </w:r>
            <w:r w:rsidR="008A4DCE">
              <w:t>7</w:t>
            </w:r>
          </w:p>
          <w:p w14:paraId="533D932E" w14:textId="4A2ADFF3" w:rsidR="0062743B" w:rsidRPr="005155B4" w:rsidRDefault="0062743B" w:rsidP="005155B4">
            <w:pPr>
              <w:pStyle w:val="Tablecontents"/>
              <w:spacing w:after="0"/>
              <w:rPr>
                <w:b/>
                <w:bCs/>
              </w:rPr>
            </w:pPr>
            <w:r w:rsidRPr="005155B4">
              <w:rPr>
                <w:b/>
                <w:bCs/>
              </w:rPr>
              <w:t>Risk rated premium component calculation</w:t>
            </w:r>
          </w:p>
          <w:p w14:paraId="7C443176" w14:textId="1EC7AC80" w:rsidR="0062743B" w:rsidRPr="00FF48EC" w:rsidRDefault="0062743B" w:rsidP="005155B4">
            <w:pPr>
              <w:pStyle w:val="Tablecontents"/>
              <w:spacing w:before="0"/>
            </w:pPr>
            <w:r w:rsidRPr="00FF48EC">
              <w:t>(</w:t>
            </w:r>
            <w:r w:rsidRPr="00FF48EC">
              <w:rPr>
                <w:b/>
                <w:bCs/>
              </w:rPr>
              <w:t>0.05%</w:t>
            </w:r>
            <w:r w:rsidRPr="00FF48EC">
              <w:t xml:space="preserve"> x </w:t>
            </w:r>
            <w:r w:rsidR="00FD17AF" w:rsidRPr="00FF48EC">
              <w:t>2</w:t>
            </w:r>
            <w:r w:rsidR="00560DA4" w:rsidRPr="00FF48EC">
              <w:t>.</w:t>
            </w:r>
            <w:r w:rsidR="008A4DCE">
              <w:t>7</w:t>
            </w:r>
            <w:r w:rsidRPr="00FF48EC">
              <w:t>) x $</w:t>
            </w:r>
            <w:r w:rsidR="00AA4694" w:rsidRPr="00FF48EC">
              <w:t>2</w:t>
            </w:r>
            <w:r w:rsidRPr="00FF48EC">
              <w:t>,</w:t>
            </w:r>
            <w:r w:rsidR="00AA4694" w:rsidRPr="00FF48EC">
              <w:t>0</w:t>
            </w:r>
            <w:r w:rsidRPr="00FF48EC">
              <w:t xml:space="preserve">00,000 = </w:t>
            </w:r>
            <w:r w:rsidRPr="001011A6">
              <w:rPr>
                <w:color w:val="D6165F" w:themeColor="accent3"/>
              </w:rPr>
              <w:t>$</w:t>
            </w:r>
            <w:r w:rsidR="00FD17AF" w:rsidRPr="001011A6">
              <w:rPr>
                <w:color w:val="D6165F" w:themeColor="accent3"/>
              </w:rPr>
              <w:t>2</w:t>
            </w:r>
            <w:r w:rsidR="00DE1BE2" w:rsidRPr="001011A6">
              <w:rPr>
                <w:color w:val="D6165F" w:themeColor="accent3"/>
              </w:rPr>
              <w:t>,</w:t>
            </w:r>
            <w:r w:rsidR="008A4DCE" w:rsidRPr="001011A6">
              <w:rPr>
                <w:color w:val="D6165F" w:themeColor="accent3"/>
              </w:rPr>
              <w:t>7</w:t>
            </w:r>
            <w:r w:rsidR="00AA4694" w:rsidRPr="001011A6">
              <w:rPr>
                <w:color w:val="D6165F" w:themeColor="accent3"/>
              </w:rPr>
              <w:t>00</w:t>
            </w:r>
            <w:r w:rsidR="001011A6">
              <w:rPr>
                <w:color w:val="D6165F" w:themeColor="accent3"/>
              </w:rPr>
              <w:t>.00</w:t>
            </w:r>
          </w:p>
        </w:tc>
      </w:tr>
      <w:tr w:rsidR="0062743B" w:rsidRPr="00AE2C41" w14:paraId="3B5EDF5F" w14:textId="77777777" w:rsidTr="00D851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07" w:type="pct"/>
            <w:tcBorders>
              <w:bottom w:val="single" w:sz="18" w:space="0" w:color="FFFFFF" w:themeColor="background1"/>
            </w:tcBorders>
            <w:vAlign w:val="center"/>
            <w:hideMark/>
          </w:tcPr>
          <w:p w14:paraId="79FDE645" w14:textId="77777777" w:rsidR="0062743B" w:rsidRPr="00F36B9A" w:rsidRDefault="0062743B" w:rsidP="001267C6">
            <w:pPr>
              <w:pStyle w:val="Tablecontents"/>
            </w:pPr>
            <w:r w:rsidRPr="00F36B9A">
              <w:t>Special tuition protection</w:t>
            </w:r>
          </w:p>
        </w:tc>
        <w:tc>
          <w:tcPr>
            <w:tcW w:w="3693" w:type="pct"/>
            <w:tcBorders>
              <w:bottom w:val="single" w:sz="18" w:space="0" w:color="FFFFFF" w:themeColor="background1"/>
            </w:tcBorders>
            <w:vAlign w:val="center"/>
            <w:hideMark/>
          </w:tcPr>
          <w:p w14:paraId="1C77CF78" w14:textId="0B7EDA28" w:rsidR="0062743B" w:rsidRPr="00FF48EC" w:rsidRDefault="0062743B" w:rsidP="001267C6">
            <w:pPr>
              <w:pStyle w:val="Tablecontents"/>
            </w:pPr>
            <w:r w:rsidRPr="00FF48EC">
              <w:t>$</w:t>
            </w:r>
            <w:r w:rsidR="00B77A9D" w:rsidRPr="00FF48EC">
              <w:t>2,0</w:t>
            </w:r>
            <w:r w:rsidRPr="00FF48EC">
              <w:t xml:space="preserve">00,000 x </w:t>
            </w:r>
            <w:r w:rsidRPr="00FF48EC">
              <w:rPr>
                <w:b/>
                <w:bCs/>
              </w:rPr>
              <w:t>0%</w:t>
            </w:r>
            <w:r w:rsidRPr="00FF48EC">
              <w:t xml:space="preserve"> = </w:t>
            </w:r>
            <w:r w:rsidRPr="00313763">
              <w:rPr>
                <w:color w:val="D6165F" w:themeColor="accent3"/>
              </w:rPr>
              <w:t>$0</w:t>
            </w:r>
            <w:r w:rsidR="00313763">
              <w:rPr>
                <w:color w:val="D6165F" w:themeColor="accent3"/>
              </w:rPr>
              <w:t>.00</w:t>
            </w:r>
          </w:p>
        </w:tc>
      </w:tr>
      <w:tr w:rsidR="0062743B" w:rsidRPr="00AE2C41" w14:paraId="55C06EA7" w14:textId="77777777" w:rsidTr="00D85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07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41AC22DE" w14:textId="184B6E48" w:rsidR="0062743B" w:rsidRPr="00D26A6A" w:rsidRDefault="0062743B" w:rsidP="00D26A6A">
            <w:pPr>
              <w:pStyle w:val="Tablecontents"/>
              <w:spacing w:before="120" w:after="120"/>
              <w:rPr>
                <w:b/>
                <w:bCs/>
              </w:rPr>
            </w:pPr>
            <w:r w:rsidRPr="00D26A6A">
              <w:rPr>
                <w:b/>
                <w:bCs/>
              </w:rPr>
              <w:t xml:space="preserve">Total </w:t>
            </w:r>
            <w:r w:rsidR="00852EF0" w:rsidRPr="00D26A6A">
              <w:rPr>
                <w:b/>
                <w:bCs/>
              </w:rPr>
              <w:t xml:space="preserve">2024 </w:t>
            </w:r>
            <w:r w:rsidRPr="00D26A6A">
              <w:rPr>
                <w:b/>
                <w:bCs/>
              </w:rPr>
              <w:t>levy</w:t>
            </w:r>
          </w:p>
        </w:tc>
        <w:tc>
          <w:tcPr>
            <w:tcW w:w="3693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03C272F2" w14:textId="6A184105" w:rsidR="0062743B" w:rsidRPr="00FF48EC" w:rsidRDefault="0062743B" w:rsidP="00D26A6A">
            <w:pPr>
              <w:pStyle w:val="Tablecontents"/>
              <w:spacing w:before="120" w:after="120"/>
            </w:pPr>
            <w:r w:rsidRPr="00FF48EC">
              <w:t>$</w:t>
            </w:r>
            <w:r w:rsidR="00625BED" w:rsidRPr="00FF48EC">
              <w:t>150</w:t>
            </w:r>
            <w:r w:rsidR="00313763">
              <w:t>.00</w:t>
            </w:r>
            <w:r w:rsidRPr="00FF48EC">
              <w:t xml:space="preserve"> + $</w:t>
            </w:r>
            <w:r w:rsidR="00625BED" w:rsidRPr="00FF48EC">
              <w:t>325</w:t>
            </w:r>
            <w:r w:rsidR="00313763">
              <w:t>.00</w:t>
            </w:r>
            <w:r w:rsidRPr="00FF48EC">
              <w:t xml:space="preserve"> + $</w:t>
            </w:r>
            <w:r w:rsidR="00FD17AF" w:rsidRPr="00FF48EC">
              <w:t>2</w:t>
            </w:r>
            <w:r w:rsidR="00DE1BE2" w:rsidRPr="00FF48EC">
              <w:t>,</w:t>
            </w:r>
            <w:r w:rsidR="008A4DCE">
              <w:t>7</w:t>
            </w:r>
            <w:r w:rsidR="009D7C7F" w:rsidRPr="00FF48EC">
              <w:t>00</w:t>
            </w:r>
            <w:r w:rsidR="00313763">
              <w:t>.00</w:t>
            </w:r>
            <w:r w:rsidRPr="00FF48EC">
              <w:t xml:space="preserve"> + $0</w:t>
            </w:r>
            <w:r w:rsidR="00313763">
              <w:t>.00</w:t>
            </w:r>
            <w:r w:rsidRPr="00FF48EC">
              <w:t xml:space="preserve"> = </w:t>
            </w:r>
            <w:r w:rsidRPr="001011A6">
              <w:rPr>
                <w:b/>
                <w:bCs/>
                <w:color w:val="D6165F" w:themeColor="accent3"/>
              </w:rPr>
              <w:t>$</w:t>
            </w:r>
            <w:r w:rsidR="008A4DCE" w:rsidRPr="001011A6">
              <w:rPr>
                <w:b/>
                <w:bCs/>
                <w:color w:val="D6165F" w:themeColor="accent3"/>
              </w:rPr>
              <w:t>3</w:t>
            </w:r>
            <w:r w:rsidR="009D7C7F" w:rsidRPr="001011A6">
              <w:rPr>
                <w:b/>
                <w:bCs/>
                <w:color w:val="D6165F" w:themeColor="accent3"/>
              </w:rPr>
              <w:t>,</w:t>
            </w:r>
            <w:r w:rsidR="008A4DCE" w:rsidRPr="001011A6">
              <w:rPr>
                <w:b/>
                <w:bCs/>
                <w:color w:val="D6165F" w:themeColor="accent3"/>
              </w:rPr>
              <w:t>1</w:t>
            </w:r>
            <w:r w:rsidR="00625BED" w:rsidRPr="001011A6">
              <w:rPr>
                <w:b/>
                <w:bCs/>
                <w:color w:val="D6165F" w:themeColor="accent3"/>
              </w:rPr>
              <w:t>75.00</w:t>
            </w:r>
          </w:p>
        </w:tc>
      </w:tr>
    </w:tbl>
    <w:p w14:paraId="5199EDD4" w14:textId="42C062C0" w:rsidR="00891E59" w:rsidRDefault="00891E59" w:rsidP="00891E59">
      <w:pPr>
        <w:pStyle w:val="Caption"/>
      </w:pPr>
      <w:r w:rsidRPr="00C465D5">
        <w:t xml:space="preserve">*Administrative fee </w:t>
      </w:r>
      <w:r>
        <w:t xml:space="preserve">and Base fee </w:t>
      </w:r>
      <w:r w:rsidRPr="00C465D5">
        <w:t xml:space="preserve">figures quoted </w:t>
      </w:r>
      <w:r>
        <w:t>were applied for the</w:t>
      </w:r>
      <w:r w:rsidRPr="00C465D5">
        <w:t xml:space="preserve"> 202</w:t>
      </w:r>
      <w:r>
        <w:t xml:space="preserve">3 levy </w:t>
      </w:r>
      <w:r w:rsidRPr="00C465D5">
        <w:t xml:space="preserve">and will be indexed for </w:t>
      </w:r>
      <w:r>
        <w:t xml:space="preserve">the </w:t>
      </w:r>
      <w:r w:rsidRPr="00C465D5">
        <w:t>202</w:t>
      </w:r>
      <w:r>
        <w:t>4 levy if the Minister decides not to make a legislative instrument specifying new amounts.</w:t>
      </w:r>
    </w:p>
    <w:p w14:paraId="1096744A" w14:textId="3F6A4B98" w:rsidR="00735D7C" w:rsidRDefault="00891E59" w:rsidP="00735D7C">
      <w:pPr>
        <w:pStyle w:val="Heading2"/>
      </w:pPr>
      <w:r>
        <w:br w:type="page"/>
      </w:r>
      <w:r w:rsidR="00735D7C">
        <w:lastRenderedPageBreak/>
        <w:t>Provider 3</w:t>
      </w:r>
    </w:p>
    <w:p w14:paraId="76F7ECDB" w14:textId="59094723" w:rsidR="00735D7C" w:rsidRDefault="00735D7C" w:rsidP="00735D7C">
      <w:r>
        <w:t xml:space="preserve">Provider 3 had </w:t>
      </w:r>
      <w:r w:rsidRPr="00AC09F8">
        <w:rPr>
          <w:b/>
          <w:bCs/>
        </w:rPr>
        <w:t xml:space="preserve">18 </w:t>
      </w:r>
      <w:r w:rsidR="00AC09F8" w:rsidRPr="00AC09F8">
        <w:rPr>
          <w:b/>
          <w:bCs/>
        </w:rPr>
        <w:t>overseas</w:t>
      </w:r>
      <w:r w:rsidRPr="00AC09F8">
        <w:rPr>
          <w:b/>
          <w:bCs/>
        </w:rPr>
        <w:t xml:space="preserve"> student enrolments</w:t>
      </w:r>
      <w:r>
        <w:t xml:space="preserve"> and received </w:t>
      </w:r>
      <w:r w:rsidRPr="00AC09F8">
        <w:rPr>
          <w:b/>
          <w:bCs/>
        </w:rPr>
        <w:t>$216,000 in overseas student tuition fees</w:t>
      </w:r>
      <w:r w:rsidRPr="006F6B7C">
        <w:t xml:space="preserve"> </w:t>
      </w:r>
      <w:r>
        <w:t>in 2023</w:t>
      </w:r>
      <w:r w:rsidRPr="00B50514">
        <w:t>.</w:t>
      </w:r>
      <w:r>
        <w:t xml:space="preserve"> </w:t>
      </w:r>
    </w:p>
    <w:p w14:paraId="204693AF" w14:textId="3B7E0B9E" w:rsidR="00735D7C" w:rsidRDefault="00735D7C" w:rsidP="00735D7C">
      <w:r>
        <w:t xml:space="preserve">Provider </w:t>
      </w:r>
      <w:r w:rsidR="00A03382">
        <w:t>3</w:t>
      </w:r>
      <w:r>
        <w:t xml:space="preserve"> has been </w:t>
      </w:r>
      <w:r w:rsidRPr="00AC09F8">
        <w:rPr>
          <w:b/>
          <w:bCs/>
        </w:rPr>
        <w:t xml:space="preserve">operating for </w:t>
      </w:r>
      <w:r w:rsidR="00354CD8">
        <w:rPr>
          <w:b/>
          <w:bCs/>
        </w:rPr>
        <w:t>2</w:t>
      </w:r>
      <w:r w:rsidR="006C6069">
        <w:rPr>
          <w:b/>
          <w:bCs/>
        </w:rPr>
        <w:t>3</w:t>
      </w:r>
      <w:r w:rsidRPr="00AC09F8">
        <w:rPr>
          <w:b/>
          <w:bCs/>
        </w:rPr>
        <w:t xml:space="preserve"> </w:t>
      </w:r>
      <w:r w:rsidR="006C4F0D" w:rsidRPr="00AC09F8">
        <w:rPr>
          <w:b/>
          <w:bCs/>
        </w:rPr>
        <w:t>months</w:t>
      </w:r>
      <w:r>
        <w:t>.</w:t>
      </w:r>
    </w:p>
    <w:p w14:paraId="4E9C5972" w14:textId="75B8C236" w:rsidR="00735D7C" w:rsidRDefault="00735D7C" w:rsidP="00735D7C">
      <w:r>
        <w:t xml:space="preserve">Provider </w:t>
      </w:r>
      <w:r w:rsidR="00A03382">
        <w:t>3</w:t>
      </w:r>
      <w:r>
        <w:t xml:space="preserve"> had 70 domestic students in 2023. Therefore, Provider </w:t>
      </w:r>
      <w:r w:rsidR="00A03382">
        <w:t>3</w:t>
      </w:r>
      <w:r>
        <w:t xml:space="preserve">’s </w:t>
      </w:r>
      <w:r w:rsidRPr="00AC09F8">
        <w:rPr>
          <w:b/>
          <w:bCs/>
        </w:rPr>
        <w:t>international student cohort constituted 26% of its total student population</w:t>
      </w:r>
      <w:r>
        <w:t>.</w:t>
      </w:r>
    </w:p>
    <w:p w14:paraId="2F2C799F" w14:textId="25FD5BF1" w:rsidR="009435A6" w:rsidRPr="00705D72" w:rsidRDefault="00705D72" w:rsidP="00735D7C">
      <w:r>
        <w:t xml:space="preserve">In 2022, </w:t>
      </w:r>
      <w:r w:rsidR="009435A6">
        <w:t xml:space="preserve">Provider 3 had </w:t>
      </w:r>
      <w:r w:rsidR="009435A6" w:rsidRPr="00D30D33">
        <w:rPr>
          <w:b/>
          <w:bCs/>
        </w:rPr>
        <w:t>0 overseas student enrolments</w:t>
      </w:r>
      <w:r>
        <w:t>.</w:t>
      </w:r>
    </w:p>
    <w:p w14:paraId="7320EC35" w14:textId="08AD1999" w:rsidR="00735D7C" w:rsidRDefault="00735D7C" w:rsidP="00735D7C">
      <w:r>
        <w:t xml:space="preserve">Of its 2023 </w:t>
      </w:r>
      <w:r w:rsidR="00AC09F8">
        <w:t>overseas</w:t>
      </w:r>
      <w:r>
        <w:t xml:space="preserve"> student enrolments, the largest number of enrolments for a country was 6 students.</w:t>
      </w:r>
      <w:r w:rsidR="00AC09F8">
        <w:t xml:space="preserve"> Therefore, Provider 3’s </w:t>
      </w:r>
      <w:r w:rsidR="00AC09F8" w:rsidRPr="006C4F0D">
        <w:rPr>
          <w:b/>
          <w:bCs/>
        </w:rPr>
        <w:t xml:space="preserve">maximum overseas source country concentration percentage is </w:t>
      </w:r>
      <w:r w:rsidR="00AC09F8">
        <w:rPr>
          <w:b/>
          <w:bCs/>
        </w:rPr>
        <w:t>33</w:t>
      </w:r>
      <w:r w:rsidR="00AC09F8" w:rsidRPr="006C4F0D">
        <w:rPr>
          <w:b/>
          <w:bCs/>
        </w:rPr>
        <w:t>%</w:t>
      </w:r>
      <w:r w:rsidR="00AC09F8" w:rsidRPr="006C4F0D">
        <w:t>.</w:t>
      </w:r>
    </w:p>
    <w:p w14:paraId="51129674" w14:textId="67E2F13A" w:rsidR="00735D7C" w:rsidRPr="006F6B7C" w:rsidRDefault="00A16E40" w:rsidP="00735D7C">
      <w:r>
        <w:t xml:space="preserve">Provider 3’s </w:t>
      </w:r>
      <w:r w:rsidRPr="006C4F0D">
        <w:rPr>
          <w:b/>
          <w:bCs/>
        </w:rPr>
        <w:t>202</w:t>
      </w:r>
      <w:r>
        <w:rPr>
          <w:b/>
          <w:bCs/>
        </w:rPr>
        <w:t>3</w:t>
      </w:r>
      <w:r w:rsidRPr="006C4F0D">
        <w:rPr>
          <w:b/>
          <w:bCs/>
        </w:rPr>
        <w:t xml:space="preserve"> levy</w:t>
      </w:r>
      <w:r>
        <w:rPr>
          <w:b/>
          <w:bCs/>
        </w:rPr>
        <w:t xml:space="preserve"> payment was received</w:t>
      </w:r>
      <w:r w:rsidRPr="006C4F0D">
        <w:rPr>
          <w:b/>
          <w:bCs/>
        </w:rPr>
        <w:t xml:space="preserve"> </w:t>
      </w:r>
      <w:r>
        <w:rPr>
          <w:b/>
          <w:bCs/>
        </w:rPr>
        <w:t>22</w:t>
      </w:r>
      <w:r w:rsidRPr="006C4F0D">
        <w:rPr>
          <w:b/>
          <w:bCs/>
        </w:rPr>
        <w:t xml:space="preserve"> days </w:t>
      </w:r>
      <w:r>
        <w:rPr>
          <w:b/>
          <w:bCs/>
        </w:rPr>
        <w:t>after the due date</w:t>
      </w:r>
      <w:r>
        <w:t>. Therefore, Provider 3’s weighted late payment measure is 0.7 x 22 days = 15.4.</w:t>
      </w:r>
      <w:r w:rsidR="00116B78">
        <w:t xml:space="preserve"> </w:t>
      </w:r>
      <w:r w:rsidR="00A03382" w:rsidRPr="00AC09F8">
        <w:rPr>
          <w:b/>
          <w:bCs/>
        </w:rPr>
        <w:t>Action mentioned</w:t>
      </w:r>
      <w:r w:rsidR="00A03382">
        <w:t xml:space="preserve"> in section 83 of the ESOS Act </w:t>
      </w:r>
      <w:r w:rsidR="00A03382" w:rsidRPr="00AC09F8">
        <w:rPr>
          <w:b/>
          <w:bCs/>
        </w:rPr>
        <w:t>was taken against Provider 3 in 2023</w:t>
      </w:r>
      <w:r w:rsidR="00A03382">
        <w:t>.</w:t>
      </w:r>
      <w:r w:rsidR="000E3D1D">
        <w:t xml:space="preserve"> </w:t>
      </w:r>
      <w:r w:rsidR="000E3D1D" w:rsidRPr="005B61E2">
        <w:t xml:space="preserve">Provider </w:t>
      </w:r>
      <w:r w:rsidR="000E3D1D">
        <w:t>3</w:t>
      </w:r>
      <w:r w:rsidR="000E3D1D" w:rsidRPr="005B61E2">
        <w:t xml:space="preserve"> did not apply for registration renewal under section 10D of the ESOS Act in 2023.</w:t>
      </w:r>
    </w:p>
    <w:tbl>
      <w:tblPr>
        <w:tblStyle w:val="TPSLighter"/>
        <w:tblW w:w="5000" w:type="pct"/>
        <w:tblLook w:val="0420" w:firstRow="1" w:lastRow="0" w:firstColumn="0" w:lastColumn="0" w:noHBand="0" w:noVBand="1"/>
      </w:tblPr>
      <w:tblGrid>
        <w:gridCol w:w="2547"/>
        <w:gridCol w:w="7195"/>
      </w:tblGrid>
      <w:tr w:rsidR="00735D7C" w:rsidRPr="00AE2C41" w14:paraId="01F8D8A4" w14:textId="77777777" w:rsidTr="00BC0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1307" w:type="pct"/>
            <w:shd w:val="clear" w:color="auto" w:fill="3C7D86"/>
            <w:vAlign w:val="center"/>
            <w:hideMark/>
          </w:tcPr>
          <w:p w14:paraId="5122BAE1" w14:textId="769FCEC4" w:rsidR="00735D7C" w:rsidRPr="00AE2C41" w:rsidRDefault="00735D7C" w:rsidP="00507286">
            <w:pPr>
              <w:pStyle w:val="TableHeader"/>
            </w:pPr>
            <w:r>
              <w:t>Levy c</w:t>
            </w:r>
            <w:r w:rsidRPr="00AE2C41">
              <w:t>omponent</w:t>
            </w:r>
          </w:p>
        </w:tc>
        <w:tc>
          <w:tcPr>
            <w:tcW w:w="3693" w:type="pct"/>
            <w:shd w:val="clear" w:color="auto" w:fill="3C7D86"/>
            <w:vAlign w:val="center"/>
            <w:hideMark/>
          </w:tcPr>
          <w:p w14:paraId="3C68224E" w14:textId="77777777" w:rsidR="00735D7C" w:rsidRPr="0020225B" w:rsidRDefault="00735D7C" w:rsidP="00507286">
            <w:pPr>
              <w:pStyle w:val="TableHeader"/>
            </w:pPr>
            <w:r w:rsidRPr="0020225B">
              <w:t>Levy calculation</w:t>
            </w:r>
          </w:p>
        </w:tc>
      </w:tr>
      <w:tr w:rsidR="00735D7C" w:rsidRPr="00AE2C41" w14:paraId="037BB043" w14:textId="77777777" w:rsidTr="00BC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07" w:type="pct"/>
            <w:vAlign w:val="center"/>
            <w:hideMark/>
          </w:tcPr>
          <w:p w14:paraId="429BB7F0" w14:textId="19D83FB6" w:rsidR="00735D7C" w:rsidRPr="00301FEB" w:rsidRDefault="00735D7C" w:rsidP="001267C6">
            <w:pPr>
              <w:pStyle w:val="Tablecontents"/>
            </w:pPr>
            <w:r w:rsidRPr="00301FEB">
              <w:t>Administrative fee</w:t>
            </w:r>
            <w:r w:rsidR="00B77A9D" w:rsidRPr="00301FEB">
              <w:t>*</w:t>
            </w:r>
          </w:p>
        </w:tc>
        <w:tc>
          <w:tcPr>
            <w:tcW w:w="3693" w:type="pct"/>
            <w:vAlign w:val="center"/>
            <w:hideMark/>
          </w:tcPr>
          <w:p w14:paraId="6AEC3A0B" w14:textId="2B43A5E9" w:rsidR="00735D7C" w:rsidRPr="00301FEB" w:rsidRDefault="00735D7C" w:rsidP="001267C6">
            <w:pPr>
              <w:pStyle w:val="Tablecontents"/>
            </w:pPr>
            <w:r w:rsidRPr="00301FEB">
              <w:t>$99 + (</w:t>
            </w:r>
            <w:r w:rsidR="00625BED" w:rsidRPr="00301FEB">
              <w:t>18</w:t>
            </w:r>
            <w:r w:rsidRPr="00301FEB">
              <w:t xml:space="preserve"> x $0.51) = </w:t>
            </w:r>
            <w:r w:rsidRPr="00F35551">
              <w:rPr>
                <w:color w:val="D6165F" w:themeColor="accent3"/>
              </w:rPr>
              <w:t>$</w:t>
            </w:r>
            <w:r w:rsidR="00625BED" w:rsidRPr="00F35551">
              <w:rPr>
                <w:color w:val="D6165F" w:themeColor="accent3"/>
              </w:rPr>
              <w:t>108.18</w:t>
            </w:r>
          </w:p>
        </w:tc>
      </w:tr>
      <w:tr w:rsidR="00735D7C" w:rsidRPr="00AE2C41" w14:paraId="5635E0FE" w14:textId="77777777" w:rsidTr="00BC0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07" w:type="pct"/>
            <w:vAlign w:val="center"/>
          </w:tcPr>
          <w:p w14:paraId="3B259BFC" w14:textId="1810E37D" w:rsidR="00735D7C" w:rsidRPr="00301FEB" w:rsidRDefault="00735D7C" w:rsidP="001267C6">
            <w:pPr>
              <w:pStyle w:val="Tablecontents"/>
            </w:pPr>
            <w:r w:rsidRPr="00301FEB">
              <w:t>Base fee</w:t>
            </w:r>
            <w:r w:rsidR="00B77A9D" w:rsidRPr="00301FEB">
              <w:t>*</w:t>
            </w:r>
          </w:p>
        </w:tc>
        <w:tc>
          <w:tcPr>
            <w:tcW w:w="3693" w:type="pct"/>
            <w:vAlign w:val="center"/>
          </w:tcPr>
          <w:p w14:paraId="2CDDDB61" w14:textId="24AC6BBC" w:rsidR="00735D7C" w:rsidRPr="00301FEB" w:rsidRDefault="00735D7C" w:rsidP="001267C6">
            <w:pPr>
              <w:pStyle w:val="Tablecontents"/>
            </w:pPr>
            <w:r w:rsidRPr="00301FEB">
              <w:t>$199 + (</w:t>
            </w:r>
            <w:r w:rsidR="00625BED" w:rsidRPr="00301FEB">
              <w:t>18</w:t>
            </w:r>
            <w:r w:rsidRPr="00301FEB">
              <w:t xml:space="preserve"> x $1.26) = </w:t>
            </w:r>
            <w:r w:rsidRPr="00F35551">
              <w:rPr>
                <w:color w:val="D6165F" w:themeColor="accent3"/>
              </w:rPr>
              <w:t>$</w:t>
            </w:r>
            <w:r w:rsidR="00625BED" w:rsidRPr="00F35551">
              <w:rPr>
                <w:color w:val="D6165F" w:themeColor="accent3"/>
              </w:rPr>
              <w:t>221.68</w:t>
            </w:r>
          </w:p>
        </w:tc>
      </w:tr>
      <w:tr w:rsidR="00735D7C" w:rsidRPr="00AE2C41" w14:paraId="6B70E001" w14:textId="77777777" w:rsidTr="00BC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7"/>
        </w:trPr>
        <w:tc>
          <w:tcPr>
            <w:tcW w:w="1307" w:type="pct"/>
            <w:hideMark/>
          </w:tcPr>
          <w:p w14:paraId="6C05586C" w14:textId="77777777" w:rsidR="00735D7C" w:rsidRPr="00301FEB" w:rsidRDefault="00735D7C" w:rsidP="001267C6">
            <w:pPr>
              <w:pStyle w:val="Tablecontents"/>
            </w:pPr>
            <w:r w:rsidRPr="00301FEB">
              <w:t>Risk rated premium</w:t>
            </w:r>
          </w:p>
        </w:tc>
        <w:tc>
          <w:tcPr>
            <w:tcW w:w="3693" w:type="pct"/>
            <w:hideMark/>
          </w:tcPr>
          <w:p w14:paraId="241E1382" w14:textId="77777777" w:rsidR="00735D7C" w:rsidRPr="00301FEB" w:rsidRDefault="00735D7C" w:rsidP="00301FEB">
            <w:pPr>
              <w:pStyle w:val="Tablecontents"/>
              <w:spacing w:after="0"/>
              <w:rPr>
                <w:b/>
                <w:bCs/>
              </w:rPr>
            </w:pPr>
            <w:r w:rsidRPr="00301FEB">
              <w:rPr>
                <w:b/>
                <w:bCs/>
              </w:rPr>
              <w:t>Risk Factor 1: Base risk factor</w:t>
            </w:r>
          </w:p>
          <w:p w14:paraId="30DF27D6" w14:textId="77777777" w:rsidR="00735D7C" w:rsidRPr="00301FEB" w:rsidRDefault="00735D7C" w:rsidP="00F3460C">
            <w:pPr>
              <w:pStyle w:val="Tablecontents"/>
              <w:spacing w:before="0"/>
            </w:pPr>
            <w:r w:rsidRPr="00301FEB">
              <w:t>Increase factor: 1.0</w:t>
            </w:r>
          </w:p>
          <w:p w14:paraId="7C080CC3" w14:textId="77777777" w:rsidR="00735D7C" w:rsidRPr="00301FEB" w:rsidRDefault="00735D7C" w:rsidP="00301FEB">
            <w:pPr>
              <w:pStyle w:val="Tablecontents"/>
              <w:spacing w:after="0"/>
              <w:rPr>
                <w:b/>
                <w:bCs/>
              </w:rPr>
            </w:pPr>
            <w:r w:rsidRPr="00301FEB">
              <w:rPr>
                <w:b/>
                <w:bCs/>
              </w:rPr>
              <w:t>Risk Factor 2: Length of operation</w:t>
            </w:r>
          </w:p>
          <w:p w14:paraId="5BDE94BE" w14:textId="351B9BB8" w:rsidR="00735D7C" w:rsidRPr="00301FEB" w:rsidRDefault="00735D7C" w:rsidP="00F3460C">
            <w:pPr>
              <w:pStyle w:val="Tablecontents"/>
              <w:spacing w:before="0"/>
            </w:pPr>
            <w:r w:rsidRPr="00301FEB">
              <w:t>Increase factor: 0.</w:t>
            </w:r>
            <w:r w:rsidR="00AC09F8" w:rsidRPr="00301FEB">
              <w:t>5</w:t>
            </w:r>
          </w:p>
          <w:p w14:paraId="04FD1944" w14:textId="77777777" w:rsidR="00735D7C" w:rsidRPr="00301FEB" w:rsidRDefault="00735D7C" w:rsidP="00301FEB">
            <w:pPr>
              <w:pStyle w:val="Tablecontents"/>
              <w:spacing w:after="0"/>
              <w:rPr>
                <w:b/>
                <w:bCs/>
              </w:rPr>
            </w:pPr>
            <w:r w:rsidRPr="00301FEB">
              <w:rPr>
                <w:b/>
                <w:bCs/>
              </w:rPr>
              <w:t>Risk Factor 3: Volatility in overseas student enrolments</w:t>
            </w:r>
          </w:p>
          <w:p w14:paraId="66587F2D" w14:textId="77777777" w:rsidR="00032C2A" w:rsidRPr="00301FEB" w:rsidRDefault="00032C2A" w:rsidP="00F3460C">
            <w:pPr>
              <w:pStyle w:val="Tablecontents"/>
              <w:spacing w:before="0"/>
            </w:pPr>
            <w:r w:rsidRPr="00301FEB">
              <w:t>Increase factor: N/A. Provider 3 had less than 20 overseas student enrolments and earned less than $400,000 in overseas student tuition fees in 2023.</w:t>
            </w:r>
          </w:p>
          <w:p w14:paraId="431CE5E5" w14:textId="77777777" w:rsidR="00735D7C" w:rsidRPr="00301FEB" w:rsidRDefault="00735D7C" w:rsidP="00301FEB">
            <w:pPr>
              <w:pStyle w:val="Tablecontents"/>
              <w:spacing w:after="0"/>
              <w:rPr>
                <w:b/>
                <w:bCs/>
              </w:rPr>
            </w:pPr>
            <w:r w:rsidRPr="00301FEB">
              <w:rPr>
                <w:b/>
                <w:bCs/>
              </w:rPr>
              <w:t>Risk Factor 4: Maximum overseas source country concentration</w:t>
            </w:r>
          </w:p>
          <w:p w14:paraId="2DC7A968" w14:textId="77777777" w:rsidR="00AF2FDC" w:rsidRPr="00301FEB" w:rsidRDefault="00AF2FDC" w:rsidP="00F3460C">
            <w:pPr>
              <w:pStyle w:val="Tablecontents"/>
              <w:spacing w:before="0"/>
            </w:pPr>
            <w:r w:rsidRPr="00301FEB">
              <w:t>Increase factor: N/A. Provider 3 had less than 20 overseas student enrolments and earned less than $400,000 in overseas student tuition fees in 2023.</w:t>
            </w:r>
          </w:p>
          <w:p w14:paraId="5D64AFCD" w14:textId="77777777" w:rsidR="00735D7C" w:rsidRPr="00A576D0" w:rsidRDefault="00735D7C" w:rsidP="00301FEB">
            <w:pPr>
              <w:pStyle w:val="Tablecontents"/>
              <w:spacing w:after="0"/>
              <w:rPr>
                <w:b/>
                <w:bCs/>
              </w:rPr>
            </w:pPr>
            <w:r w:rsidRPr="00A576D0">
              <w:rPr>
                <w:b/>
                <w:bCs/>
              </w:rPr>
              <w:t>Risk Factor 5: Non-compliance and registration renewal</w:t>
            </w:r>
          </w:p>
          <w:p w14:paraId="7AB9327F" w14:textId="6BC699E8" w:rsidR="00735D7C" w:rsidRPr="00301FEB" w:rsidRDefault="00735D7C" w:rsidP="00F3460C">
            <w:pPr>
              <w:pStyle w:val="Tablecontents"/>
              <w:spacing w:before="0"/>
            </w:pPr>
            <w:r w:rsidRPr="00A576D0">
              <w:t>Increase factor: 0.</w:t>
            </w:r>
            <w:r w:rsidR="00000648" w:rsidRPr="00A576D0">
              <w:t>9</w:t>
            </w:r>
            <w:r w:rsidR="002A48BE" w:rsidRPr="00A576D0">
              <w:t xml:space="preserve"> + 1.0</w:t>
            </w:r>
          </w:p>
          <w:p w14:paraId="2DD328F9" w14:textId="77777777" w:rsidR="00735D7C" w:rsidRPr="00301FEB" w:rsidRDefault="00735D7C" w:rsidP="00301FEB">
            <w:pPr>
              <w:pStyle w:val="Tablecontents"/>
              <w:spacing w:after="0"/>
              <w:rPr>
                <w:b/>
                <w:bCs/>
              </w:rPr>
            </w:pPr>
            <w:r w:rsidRPr="00301FEB">
              <w:rPr>
                <w:b/>
                <w:bCs/>
              </w:rPr>
              <w:t>Total increase factor</w:t>
            </w:r>
          </w:p>
          <w:p w14:paraId="18D7B598" w14:textId="548FF2D7" w:rsidR="00735D7C" w:rsidRPr="00301FEB" w:rsidRDefault="00735D7C" w:rsidP="00F3460C">
            <w:pPr>
              <w:pStyle w:val="Tablecontents"/>
              <w:spacing w:before="0"/>
            </w:pPr>
            <w:r w:rsidRPr="00301FEB">
              <w:t xml:space="preserve">1.0 + </w:t>
            </w:r>
            <w:r w:rsidR="00DC6150">
              <w:t xml:space="preserve">0.5 + </w:t>
            </w:r>
            <w:r w:rsidRPr="00301FEB">
              <w:t>0.</w:t>
            </w:r>
            <w:r w:rsidR="00000648" w:rsidRPr="00301FEB">
              <w:t>9</w:t>
            </w:r>
            <w:r w:rsidR="002A48BE" w:rsidRPr="00301FEB">
              <w:t xml:space="preserve"> + 1.0</w:t>
            </w:r>
            <w:r w:rsidRPr="00301FEB">
              <w:t xml:space="preserve"> = </w:t>
            </w:r>
            <w:r w:rsidR="00DC6150" w:rsidRPr="005E1A96">
              <w:t>3.4</w:t>
            </w:r>
          </w:p>
          <w:p w14:paraId="265E5998" w14:textId="3D9794F7" w:rsidR="00735D7C" w:rsidRPr="00301FEB" w:rsidRDefault="00735D7C" w:rsidP="00301FEB">
            <w:pPr>
              <w:pStyle w:val="Tablecontents"/>
              <w:spacing w:after="0"/>
              <w:rPr>
                <w:b/>
                <w:bCs/>
              </w:rPr>
            </w:pPr>
            <w:r w:rsidRPr="00301FEB">
              <w:rPr>
                <w:b/>
                <w:bCs/>
              </w:rPr>
              <w:t>Risk rated premium component calculation</w:t>
            </w:r>
          </w:p>
          <w:p w14:paraId="0C9FD9BD" w14:textId="6FFDEF7B" w:rsidR="00735D7C" w:rsidRPr="00301FEB" w:rsidRDefault="00735D7C" w:rsidP="00F3460C">
            <w:pPr>
              <w:pStyle w:val="Tablecontents"/>
              <w:spacing w:before="0"/>
            </w:pPr>
            <w:r w:rsidRPr="00301FEB">
              <w:t>(</w:t>
            </w:r>
            <w:r w:rsidRPr="00301FEB">
              <w:rPr>
                <w:b/>
                <w:bCs/>
              </w:rPr>
              <w:t>0.05%</w:t>
            </w:r>
            <w:r w:rsidRPr="00301FEB">
              <w:t xml:space="preserve"> x </w:t>
            </w:r>
            <w:r w:rsidR="00DC6150">
              <w:t>3.4</w:t>
            </w:r>
            <w:r w:rsidRPr="00301FEB">
              <w:t>) x $2</w:t>
            </w:r>
            <w:r w:rsidR="005A12A6" w:rsidRPr="00301FEB">
              <w:t>16</w:t>
            </w:r>
            <w:r w:rsidRPr="00301FEB">
              <w:t xml:space="preserve">,000 = </w:t>
            </w:r>
            <w:r w:rsidRPr="00F35551">
              <w:rPr>
                <w:color w:val="D6165F" w:themeColor="accent3"/>
              </w:rPr>
              <w:t>$</w:t>
            </w:r>
            <w:r w:rsidR="00253A90" w:rsidRPr="00F35551">
              <w:rPr>
                <w:color w:val="D6165F" w:themeColor="accent3"/>
              </w:rPr>
              <w:t>367.20</w:t>
            </w:r>
          </w:p>
        </w:tc>
      </w:tr>
      <w:tr w:rsidR="00735D7C" w:rsidRPr="00AE2C41" w14:paraId="32D11856" w14:textId="77777777" w:rsidTr="00BC0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07" w:type="pct"/>
            <w:tcBorders>
              <w:bottom w:val="single" w:sz="18" w:space="0" w:color="FFFFFF" w:themeColor="background1"/>
            </w:tcBorders>
            <w:vAlign w:val="center"/>
            <w:hideMark/>
          </w:tcPr>
          <w:p w14:paraId="644E76FB" w14:textId="77777777" w:rsidR="00735D7C" w:rsidRPr="00F36B9A" w:rsidRDefault="00735D7C" w:rsidP="001267C6">
            <w:pPr>
              <w:pStyle w:val="Tablecontents"/>
            </w:pPr>
            <w:r w:rsidRPr="00F36B9A">
              <w:t>Special tuition protection</w:t>
            </w:r>
          </w:p>
        </w:tc>
        <w:tc>
          <w:tcPr>
            <w:tcW w:w="3693" w:type="pct"/>
            <w:tcBorders>
              <w:bottom w:val="single" w:sz="18" w:space="0" w:color="FFFFFF" w:themeColor="background1"/>
            </w:tcBorders>
            <w:vAlign w:val="center"/>
            <w:hideMark/>
          </w:tcPr>
          <w:p w14:paraId="31375553" w14:textId="0CC6E655" w:rsidR="00735D7C" w:rsidRPr="00F36B9A" w:rsidRDefault="00735D7C" w:rsidP="001267C6">
            <w:pPr>
              <w:pStyle w:val="Tablecontents"/>
            </w:pPr>
            <w:r w:rsidRPr="00F36B9A">
              <w:t>$</w:t>
            </w:r>
            <w:r w:rsidR="00B77A9D">
              <w:t>216</w:t>
            </w:r>
            <w:r w:rsidRPr="00F36B9A">
              <w:t xml:space="preserve">,000 x </w:t>
            </w:r>
            <w:r w:rsidRPr="003A6D10">
              <w:rPr>
                <w:b/>
                <w:bCs/>
              </w:rPr>
              <w:t>0%</w:t>
            </w:r>
            <w:r w:rsidRPr="00F36B9A">
              <w:t xml:space="preserve"> = </w:t>
            </w:r>
            <w:r w:rsidRPr="00313763">
              <w:rPr>
                <w:color w:val="D6165F" w:themeColor="accent3"/>
              </w:rPr>
              <w:t>$0</w:t>
            </w:r>
            <w:r w:rsidR="00313763" w:rsidRPr="00313763">
              <w:rPr>
                <w:color w:val="D6165F" w:themeColor="accent3"/>
              </w:rPr>
              <w:t>.00</w:t>
            </w:r>
          </w:p>
        </w:tc>
      </w:tr>
      <w:tr w:rsidR="00735D7C" w:rsidRPr="00AE2C41" w14:paraId="5FF98012" w14:textId="77777777" w:rsidTr="00BC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07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1A9F6426" w14:textId="48344517" w:rsidR="00735D7C" w:rsidRPr="00037844" w:rsidRDefault="00735D7C" w:rsidP="00D26A6A">
            <w:pPr>
              <w:pStyle w:val="Tablecontents"/>
              <w:spacing w:before="120" w:after="120" w:line="240" w:lineRule="auto"/>
              <w:rPr>
                <w:b/>
                <w:bCs/>
              </w:rPr>
            </w:pPr>
            <w:r w:rsidRPr="00037844">
              <w:rPr>
                <w:b/>
                <w:bCs/>
              </w:rPr>
              <w:t xml:space="preserve">Total </w:t>
            </w:r>
            <w:r w:rsidR="00852EF0" w:rsidRPr="00037844">
              <w:rPr>
                <w:b/>
                <w:bCs/>
              </w:rPr>
              <w:t xml:space="preserve">2024 </w:t>
            </w:r>
            <w:r w:rsidRPr="00037844">
              <w:rPr>
                <w:b/>
                <w:bCs/>
              </w:rPr>
              <w:t>levy</w:t>
            </w:r>
          </w:p>
        </w:tc>
        <w:tc>
          <w:tcPr>
            <w:tcW w:w="3693" w:type="pct"/>
            <w:tcBorders>
              <w:top w:val="single" w:sz="18" w:space="0" w:color="FFFFFF" w:themeColor="background1"/>
            </w:tcBorders>
            <w:vAlign w:val="center"/>
            <w:hideMark/>
          </w:tcPr>
          <w:p w14:paraId="6FD1D587" w14:textId="03BA5A05" w:rsidR="00735D7C" w:rsidRPr="00037844" w:rsidRDefault="00735D7C" w:rsidP="00D26A6A">
            <w:pPr>
              <w:pStyle w:val="Tablecontents"/>
              <w:spacing w:before="120" w:after="120" w:line="240" w:lineRule="auto"/>
            </w:pPr>
            <w:r w:rsidRPr="00037844">
              <w:t>$1</w:t>
            </w:r>
            <w:r w:rsidR="00625BED" w:rsidRPr="00037844">
              <w:t>08.18</w:t>
            </w:r>
            <w:r w:rsidRPr="00037844">
              <w:t xml:space="preserve"> + $2</w:t>
            </w:r>
            <w:r w:rsidR="00625BED" w:rsidRPr="00037844">
              <w:t>21.68</w:t>
            </w:r>
            <w:r w:rsidRPr="00037844">
              <w:t xml:space="preserve"> + </w:t>
            </w:r>
            <w:r w:rsidR="00AF2FDC" w:rsidRPr="00037844">
              <w:t>$</w:t>
            </w:r>
            <w:r w:rsidR="00253A90" w:rsidRPr="00037844">
              <w:t>367.20</w:t>
            </w:r>
            <w:r w:rsidR="00AF2FDC" w:rsidRPr="00037844">
              <w:t xml:space="preserve"> </w:t>
            </w:r>
            <w:r w:rsidRPr="00037844">
              <w:t>+ $0</w:t>
            </w:r>
            <w:r w:rsidR="00313763">
              <w:t>.00</w:t>
            </w:r>
            <w:r w:rsidRPr="00037844">
              <w:t xml:space="preserve"> = </w:t>
            </w:r>
            <w:r w:rsidRPr="00F35551">
              <w:rPr>
                <w:b/>
                <w:bCs/>
                <w:color w:val="D6165F" w:themeColor="accent3"/>
              </w:rPr>
              <w:t>$</w:t>
            </w:r>
            <w:r w:rsidR="00625BED" w:rsidRPr="00F35551">
              <w:rPr>
                <w:b/>
                <w:bCs/>
                <w:color w:val="D6165F" w:themeColor="accent3"/>
              </w:rPr>
              <w:t>6</w:t>
            </w:r>
            <w:r w:rsidR="00AF2FDC" w:rsidRPr="00F35551">
              <w:rPr>
                <w:b/>
                <w:bCs/>
                <w:color w:val="D6165F" w:themeColor="accent3"/>
              </w:rPr>
              <w:t>75</w:t>
            </w:r>
            <w:r w:rsidR="00625BED" w:rsidRPr="00F35551">
              <w:rPr>
                <w:b/>
                <w:bCs/>
                <w:color w:val="D6165F" w:themeColor="accent3"/>
              </w:rPr>
              <w:t>.</w:t>
            </w:r>
            <w:r w:rsidR="00D360AF" w:rsidRPr="00F35551">
              <w:rPr>
                <w:b/>
                <w:bCs/>
                <w:color w:val="D6165F" w:themeColor="accent3"/>
              </w:rPr>
              <w:t>0</w:t>
            </w:r>
            <w:r w:rsidR="00625BED" w:rsidRPr="00F35551">
              <w:rPr>
                <w:b/>
                <w:bCs/>
                <w:color w:val="D6165F" w:themeColor="accent3"/>
              </w:rPr>
              <w:t>6</w:t>
            </w:r>
          </w:p>
        </w:tc>
      </w:tr>
    </w:tbl>
    <w:p w14:paraId="16462F76" w14:textId="1B7A5226" w:rsidR="00403ECA" w:rsidRPr="00D53306" w:rsidRDefault="00735D7C" w:rsidP="00D53306">
      <w:pPr>
        <w:pStyle w:val="Caption"/>
      </w:pPr>
      <w:r w:rsidRPr="00C465D5">
        <w:t xml:space="preserve">*Administrative fee </w:t>
      </w:r>
      <w:r>
        <w:t xml:space="preserve">and Base fee </w:t>
      </w:r>
      <w:r w:rsidRPr="00C465D5">
        <w:t xml:space="preserve">figures quoted </w:t>
      </w:r>
      <w:r>
        <w:t>were applied for the</w:t>
      </w:r>
      <w:r w:rsidRPr="00C465D5">
        <w:t xml:space="preserve"> 202</w:t>
      </w:r>
      <w:r>
        <w:t xml:space="preserve">3 levy </w:t>
      </w:r>
      <w:r w:rsidRPr="00C465D5">
        <w:t xml:space="preserve">and will be indexed for </w:t>
      </w:r>
      <w:r>
        <w:t xml:space="preserve">the </w:t>
      </w:r>
      <w:r w:rsidRPr="00C465D5">
        <w:t>202</w:t>
      </w:r>
      <w:r>
        <w:t>4 levy if the Minister decides not to make a legislative instrument specifying new amounts.</w:t>
      </w:r>
    </w:p>
    <w:sectPr w:rsidR="00403ECA" w:rsidRPr="00D53306" w:rsidSect="001E5EC8">
      <w:footerReference w:type="default" r:id="rId15"/>
      <w:headerReference w:type="first" r:id="rId16"/>
      <w:footerReference w:type="first" r:id="rId17"/>
      <w:pgSz w:w="11906" w:h="16838"/>
      <w:pgMar w:top="1021" w:right="1077" w:bottom="907" w:left="1077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344B" w14:textId="77777777" w:rsidR="00281F6C" w:rsidRDefault="00281F6C" w:rsidP="00185CBF">
      <w:pPr>
        <w:spacing w:after="0" w:line="240" w:lineRule="auto"/>
      </w:pPr>
      <w:r>
        <w:separator/>
      </w:r>
    </w:p>
  </w:endnote>
  <w:endnote w:type="continuationSeparator" w:id="0">
    <w:p w14:paraId="40573406" w14:textId="77777777" w:rsidR="00281F6C" w:rsidRDefault="00281F6C" w:rsidP="0018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ABE6" w14:textId="5FD4F788" w:rsidR="00FB359F" w:rsidRDefault="00684056" w:rsidP="00FB359F">
    <w:pPr>
      <w:pStyle w:val="Footer"/>
      <w:jc w:val="right"/>
    </w:pPr>
    <w:r>
      <w:rPr>
        <w:sz w:val="20"/>
        <w:szCs w:val="20"/>
      </w:rPr>
      <w:t>Fact Sheet – Draft 2024 International TPS Levy</w:t>
    </w:r>
    <w:r w:rsidR="00030B87">
      <w:rPr>
        <w:sz w:val="20"/>
        <w:szCs w:val="20"/>
      </w:rPr>
      <w:t xml:space="preserve"> Settings</w:t>
    </w:r>
    <w:r w:rsidR="00FB359F" w:rsidRPr="003B7BA3">
      <w:rPr>
        <w:sz w:val="20"/>
        <w:szCs w:val="20"/>
      </w:rPr>
      <w:t xml:space="preserve"> | </w:t>
    </w:r>
    <w:sdt>
      <w:sdtPr>
        <w:rPr>
          <w:sz w:val="20"/>
          <w:szCs w:val="20"/>
        </w:rPr>
        <w:id w:val="14798818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359F" w:rsidRPr="003B7BA3">
          <w:rPr>
            <w:sz w:val="20"/>
            <w:szCs w:val="20"/>
          </w:rPr>
          <w:fldChar w:fldCharType="begin"/>
        </w:r>
        <w:r w:rsidR="00FB359F" w:rsidRPr="003B7BA3">
          <w:rPr>
            <w:sz w:val="20"/>
            <w:szCs w:val="20"/>
          </w:rPr>
          <w:instrText xml:space="preserve"> PAGE   \* MERGEFORMAT </w:instrText>
        </w:r>
        <w:r w:rsidR="00FB359F" w:rsidRPr="003B7BA3">
          <w:rPr>
            <w:sz w:val="20"/>
            <w:szCs w:val="20"/>
          </w:rPr>
          <w:fldChar w:fldCharType="separate"/>
        </w:r>
        <w:r w:rsidR="00FB359F">
          <w:rPr>
            <w:sz w:val="20"/>
            <w:szCs w:val="20"/>
          </w:rPr>
          <w:t>1</w:t>
        </w:r>
        <w:r w:rsidR="00FB359F" w:rsidRPr="003B7BA3">
          <w:rPr>
            <w:noProof/>
            <w:sz w:val="20"/>
            <w:szCs w:val="20"/>
          </w:rPr>
          <w:fldChar w:fldCharType="end"/>
        </w:r>
      </w:sdtContent>
    </w:sdt>
    <w:r w:rsidR="00FB359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614656" wp14:editId="54D42FE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98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 w14:anchorId="08ED8AE3">
            <v:rect id="Rectangle 1" style="position:absolute;margin-left:0;margin-top:0;width:595.3pt;height:15.6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alt="&quot;&quot;" o:spid="_x0000_s1026" fillcolor="#4997a2" stroked="f" strokeweight="1pt" w14:anchorId="3F87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7685" w14:textId="53AA7D49" w:rsidR="00A023BC" w:rsidRDefault="00684056" w:rsidP="00FB359F">
    <w:pPr>
      <w:pStyle w:val="Footer"/>
      <w:jc w:val="right"/>
    </w:pPr>
    <w:r>
      <w:rPr>
        <w:sz w:val="20"/>
        <w:szCs w:val="20"/>
      </w:rPr>
      <w:t>Fact Sheet – Draft 2024 International TPS Levy</w:t>
    </w:r>
    <w:r w:rsidR="00030B87">
      <w:rPr>
        <w:sz w:val="20"/>
        <w:szCs w:val="20"/>
      </w:rPr>
      <w:t xml:space="preserve"> Settings</w:t>
    </w:r>
    <w:r w:rsidRPr="003B7BA3">
      <w:rPr>
        <w:sz w:val="20"/>
        <w:szCs w:val="20"/>
      </w:rPr>
      <w:t xml:space="preserve"> </w:t>
    </w:r>
    <w:r w:rsidR="00FB359F" w:rsidRPr="003B7BA3">
      <w:rPr>
        <w:sz w:val="20"/>
        <w:szCs w:val="20"/>
      </w:rPr>
      <w:t xml:space="preserve">| </w:t>
    </w:r>
    <w:sdt>
      <w:sdtPr>
        <w:rPr>
          <w:sz w:val="20"/>
          <w:szCs w:val="20"/>
        </w:rPr>
        <w:id w:val="12301235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359F" w:rsidRPr="003B7BA3">
          <w:rPr>
            <w:sz w:val="20"/>
            <w:szCs w:val="20"/>
          </w:rPr>
          <w:fldChar w:fldCharType="begin"/>
        </w:r>
        <w:r w:rsidR="00FB359F" w:rsidRPr="003B7BA3">
          <w:rPr>
            <w:sz w:val="20"/>
            <w:szCs w:val="20"/>
          </w:rPr>
          <w:instrText xml:space="preserve"> PAGE   \* MERGEFORMAT </w:instrText>
        </w:r>
        <w:r w:rsidR="00FB359F" w:rsidRPr="003B7BA3">
          <w:rPr>
            <w:sz w:val="20"/>
            <w:szCs w:val="20"/>
          </w:rPr>
          <w:fldChar w:fldCharType="separate"/>
        </w:r>
        <w:r w:rsidR="00FB359F">
          <w:rPr>
            <w:sz w:val="20"/>
            <w:szCs w:val="20"/>
          </w:rPr>
          <w:t>2</w:t>
        </w:r>
        <w:r w:rsidR="00FB359F" w:rsidRPr="003B7BA3">
          <w:rPr>
            <w:noProof/>
            <w:sz w:val="20"/>
            <w:szCs w:val="20"/>
          </w:rPr>
          <w:fldChar w:fldCharType="end"/>
        </w:r>
      </w:sdtContent>
    </w:sdt>
    <w:r w:rsidR="00A023B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140762" wp14:editId="704B99A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98000"/>
              <wp:effectExtent l="0" t="0" r="3175" b="0"/>
              <wp:wrapNone/>
              <wp:docPr id="12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 w14:anchorId="06A572AC">
            <v:rect id="Rectangle 12" style="position:absolute;margin-left:0;margin-top:0;width:595.3pt;height:15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alt="&quot;&quot;" o:spid="_x0000_s1026" fillcolor="#4997a2" stroked="f" strokeweight="1pt" w14:anchorId="725B6E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2EB7" w14:textId="77777777" w:rsidR="00281F6C" w:rsidRDefault="00281F6C" w:rsidP="00185CBF">
      <w:pPr>
        <w:spacing w:after="0" w:line="240" w:lineRule="auto"/>
      </w:pPr>
      <w:r>
        <w:separator/>
      </w:r>
    </w:p>
  </w:footnote>
  <w:footnote w:type="continuationSeparator" w:id="0">
    <w:p w14:paraId="4EFE7EFF" w14:textId="77777777" w:rsidR="00281F6C" w:rsidRDefault="00281F6C" w:rsidP="00185CBF">
      <w:pPr>
        <w:spacing w:after="0" w:line="240" w:lineRule="auto"/>
      </w:pPr>
      <w:r>
        <w:continuationSeparator/>
      </w:r>
    </w:p>
  </w:footnote>
  <w:footnote w:id="1">
    <w:p w14:paraId="390DA85C" w14:textId="77777777" w:rsidR="00776FE9" w:rsidRDefault="00776FE9" w:rsidP="00AF2FDC">
      <w:pPr>
        <w:pStyle w:val="Footnote"/>
      </w:pPr>
      <w:r>
        <w:rPr>
          <w:rStyle w:val="FootnoteReference"/>
        </w:rPr>
        <w:footnoteRef/>
      </w:r>
      <w:r>
        <w:t xml:space="preserve"> </w:t>
      </w:r>
      <w:r w:rsidRPr="00EA2853">
        <w:t>www.education.gov.au/tps/tuition-protection-service-advisory-board</w:t>
      </w:r>
    </w:p>
  </w:footnote>
  <w:footnote w:id="2">
    <w:p w14:paraId="43021653" w14:textId="1E14923A" w:rsidR="00776FE9" w:rsidRDefault="00776FE9" w:rsidP="00AF2FDC">
      <w:pPr>
        <w:pStyle w:val="Footnote"/>
      </w:pPr>
      <w:r>
        <w:rPr>
          <w:rStyle w:val="FootnoteReference"/>
        </w:rPr>
        <w:footnoteRef/>
      </w:r>
      <w:r>
        <w:t xml:space="preserve"> </w:t>
      </w:r>
      <w:r w:rsidRPr="007403E2">
        <w:t>www.legislation.gov.au/Series/C20</w:t>
      </w:r>
      <w:r w:rsidR="009573C1">
        <w:t>04</w:t>
      </w:r>
      <w:r w:rsidR="00F41D0F">
        <w:t>A00757</w:t>
      </w:r>
    </w:p>
  </w:footnote>
  <w:footnote w:id="3">
    <w:p w14:paraId="3161273A" w14:textId="77777777" w:rsidR="00C80146" w:rsidRDefault="00C80146" w:rsidP="00C80146">
      <w:pPr>
        <w:pStyle w:val="Footnote"/>
      </w:pPr>
      <w:r>
        <w:rPr>
          <w:rStyle w:val="FootnoteReference"/>
        </w:rPr>
        <w:footnoteRef/>
      </w:r>
      <w:r>
        <w:t xml:space="preserve"> </w:t>
      </w:r>
      <w:r w:rsidRPr="00471676">
        <w:t>www.legislation.gov.au/Series/F2022L01727</w:t>
      </w:r>
    </w:p>
  </w:footnote>
  <w:footnote w:id="4">
    <w:p w14:paraId="0A62789E" w14:textId="0598C486" w:rsidR="00B30D09" w:rsidRDefault="00B30D09" w:rsidP="002F6032">
      <w:pPr>
        <w:pStyle w:val="Footnote"/>
      </w:pPr>
      <w:r>
        <w:rPr>
          <w:rStyle w:val="FootnoteReference"/>
        </w:rPr>
        <w:footnoteRef/>
      </w:r>
      <w:r>
        <w:t xml:space="preserve"> </w:t>
      </w:r>
      <w:r w:rsidR="002F6032" w:rsidRPr="002F6032">
        <w:t>www.education.gov.au/tps/resources/draft-board-advice-2024-international-tps-levy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20CD" w14:textId="3C123E59" w:rsidR="00185CBF" w:rsidRPr="00A023BC" w:rsidRDefault="00185CBF" w:rsidP="00A023BC">
    <w:pPr>
      <w:pStyle w:val="Header"/>
    </w:pPr>
    <w:r w:rsidRPr="00A023BC">
      <w:drawing>
        <wp:anchor distT="0" distB="0" distL="114300" distR="114300" simplePos="0" relativeHeight="251659264" behindDoc="1" locked="0" layoutInCell="1" allowOverlap="1" wp14:anchorId="22EEB13A" wp14:editId="768B364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67200"/>
          <wp:effectExtent l="0" t="0" r="3175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3A6"/>
    <w:multiLevelType w:val="hybridMultilevel"/>
    <w:tmpl w:val="3D3C79D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0A60"/>
    <w:multiLevelType w:val="hybridMultilevel"/>
    <w:tmpl w:val="544686AC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27B35"/>
    <w:multiLevelType w:val="hybridMultilevel"/>
    <w:tmpl w:val="D2BC03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2589"/>
    <w:multiLevelType w:val="hybridMultilevel"/>
    <w:tmpl w:val="4380DA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B2FF2"/>
    <w:multiLevelType w:val="hybridMultilevel"/>
    <w:tmpl w:val="3F20FB42"/>
    <w:lvl w:ilvl="0" w:tplc="0C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5" w15:restartNumberingAfterBreak="0">
    <w:nsid w:val="2E303263"/>
    <w:multiLevelType w:val="hybridMultilevel"/>
    <w:tmpl w:val="932214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365B"/>
    <w:multiLevelType w:val="hybridMultilevel"/>
    <w:tmpl w:val="F5CC1520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160098"/>
    <w:multiLevelType w:val="hybridMultilevel"/>
    <w:tmpl w:val="E4624176"/>
    <w:lvl w:ilvl="0" w:tplc="0C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8" w15:restartNumberingAfterBreak="0">
    <w:nsid w:val="3454485A"/>
    <w:multiLevelType w:val="hybridMultilevel"/>
    <w:tmpl w:val="291EB688"/>
    <w:lvl w:ilvl="0" w:tplc="994434B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D3D83"/>
    <w:multiLevelType w:val="hybridMultilevel"/>
    <w:tmpl w:val="25F6C4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E65A0"/>
    <w:multiLevelType w:val="hybridMultilevel"/>
    <w:tmpl w:val="14F4219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84E34"/>
    <w:multiLevelType w:val="hybridMultilevel"/>
    <w:tmpl w:val="EA5A1C5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1EC6"/>
    <w:multiLevelType w:val="hybridMultilevel"/>
    <w:tmpl w:val="2D464AD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720CD"/>
    <w:multiLevelType w:val="hybridMultilevel"/>
    <w:tmpl w:val="27FAE4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C2D7C"/>
    <w:multiLevelType w:val="hybridMultilevel"/>
    <w:tmpl w:val="B0789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6317C"/>
    <w:multiLevelType w:val="hybridMultilevel"/>
    <w:tmpl w:val="1D5A5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26343"/>
    <w:multiLevelType w:val="hybridMultilevel"/>
    <w:tmpl w:val="8A987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30A4A"/>
    <w:multiLevelType w:val="hybridMultilevel"/>
    <w:tmpl w:val="D9008D24"/>
    <w:lvl w:ilvl="0" w:tplc="0C09001B">
      <w:start w:val="1"/>
      <w:numFmt w:val="lowerRoman"/>
      <w:lvlText w:val="%1."/>
      <w:lvlJc w:val="right"/>
      <w:pPr>
        <w:ind w:left="1267" w:hanging="360"/>
      </w:p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494636698">
    <w:abstractNumId w:val="15"/>
  </w:num>
  <w:num w:numId="2" w16cid:durableId="393742379">
    <w:abstractNumId w:val="2"/>
  </w:num>
  <w:num w:numId="3" w16cid:durableId="509687167">
    <w:abstractNumId w:val="3"/>
  </w:num>
  <w:num w:numId="4" w16cid:durableId="2087149539">
    <w:abstractNumId w:val="9"/>
  </w:num>
  <w:num w:numId="5" w16cid:durableId="1618174403">
    <w:abstractNumId w:val="5"/>
  </w:num>
  <w:num w:numId="6" w16cid:durableId="1265066999">
    <w:abstractNumId w:val="7"/>
  </w:num>
  <w:num w:numId="7" w16cid:durableId="537857810">
    <w:abstractNumId w:val="13"/>
  </w:num>
  <w:num w:numId="8" w16cid:durableId="343365923">
    <w:abstractNumId w:val="16"/>
  </w:num>
  <w:num w:numId="9" w16cid:durableId="544490127">
    <w:abstractNumId w:val="4"/>
  </w:num>
  <w:num w:numId="10" w16cid:durableId="13923630">
    <w:abstractNumId w:val="10"/>
  </w:num>
  <w:num w:numId="11" w16cid:durableId="1998268115">
    <w:abstractNumId w:val="6"/>
  </w:num>
  <w:num w:numId="12" w16cid:durableId="388385982">
    <w:abstractNumId w:val="14"/>
  </w:num>
  <w:num w:numId="13" w16cid:durableId="1713504755">
    <w:abstractNumId w:val="0"/>
  </w:num>
  <w:num w:numId="14" w16cid:durableId="796526228">
    <w:abstractNumId w:val="17"/>
  </w:num>
  <w:num w:numId="15" w16cid:durableId="890652319">
    <w:abstractNumId w:val="1"/>
  </w:num>
  <w:num w:numId="16" w16cid:durableId="676423598">
    <w:abstractNumId w:val="11"/>
  </w:num>
  <w:num w:numId="17" w16cid:durableId="681710360">
    <w:abstractNumId w:val="12"/>
  </w:num>
  <w:num w:numId="18" w16cid:durableId="2002737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F"/>
    <w:rsid w:val="00000648"/>
    <w:rsid w:val="000035FC"/>
    <w:rsid w:val="000048B2"/>
    <w:rsid w:val="00012B14"/>
    <w:rsid w:val="00026218"/>
    <w:rsid w:val="000266C3"/>
    <w:rsid w:val="0002671B"/>
    <w:rsid w:val="000270E5"/>
    <w:rsid w:val="00027D45"/>
    <w:rsid w:val="00030B87"/>
    <w:rsid w:val="0003217A"/>
    <w:rsid w:val="00032C2A"/>
    <w:rsid w:val="00037844"/>
    <w:rsid w:val="0005315D"/>
    <w:rsid w:val="000569D9"/>
    <w:rsid w:val="00062B5F"/>
    <w:rsid w:val="00063131"/>
    <w:rsid w:val="000708E9"/>
    <w:rsid w:val="00077A28"/>
    <w:rsid w:val="00086527"/>
    <w:rsid w:val="00092AD8"/>
    <w:rsid w:val="00094249"/>
    <w:rsid w:val="00096D2D"/>
    <w:rsid w:val="000A13BE"/>
    <w:rsid w:val="000A1DC8"/>
    <w:rsid w:val="000A4C60"/>
    <w:rsid w:val="000B0980"/>
    <w:rsid w:val="000B4B50"/>
    <w:rsid w:val="000B751F"/>
    <w:rsid w:val="000D25EF"/>
    <w:rsid w:val="000D45E2"/>
    <w:rsid w:val="000D4E72"/>
    <w:rsid w:val="000D5AD5"/>
    <w:rsid w:val="000D5D46"/>
    <w:rsid w:val="000E136B"/>
    <w:rsid w:val="000E3D1D"/>
    <w:rsid w:val="000F193C"/>
    <w:rsid w:val="000F1CF1"/>
    <w:rsid w:val="000F31F3"/>
    <w:rsid w:val="001011A6"/>
    <w:rsid w:val="001011CC"/>
    <w:rsid w:val="001016BD"/>
    <w:rsid w:val="00105392"/>
    <w:rsid w:val="00106583"/>
    <w:rsid w:val="00116B78"/>
    <w:rsid w:val="001252E0"/>
    <w:rsid w:val="001267C6"/>
    <w:rsid w:val="00127D2C"/>
    <w:rsid w:val="00130C81"/>
    <w:rsid w:val="00135D7A"/>
    <w:rsid w:val="00143536"/>
    <w:rsid w:val="0015605D"/>
    <w:rsid w:val="00163F5A"/>
    <w:rsid w:val="0017393B"/>
    <w:rsid w:val="001843A5"/>
    <w:rsid w:val="001846E3"/>
    <w:rsid w:val="00184A06"/>
    <w:rsid w:val="00185CBF"/>
    <w:rsid w:val="00190F51"/>
    <w:rsid w:val="001A349E"/>
    <w:rsid w:val="001A36C3"/>
    <w:rsid w:val="001B28E0"/>
    <w:rsid w:val="001B4DED"/>
    <w:rsid w:val="001D0DDE"/>
    <w:rsid w:val="001D0EE4"/>
    <w:rsid w:val="001D336D"/>
    <w:rsid w:val="001D71D7"/>
    <w:rsid w:val="001E2AB3"/>
    <w:rsid w:val="001E5EC8"/>
    <w:rsid w:val="001E75ED"/>
    <w:rsid w:val="001F21CA"/>
    <w:rsid w:val="001F2336"/>
    <w:rsid w:val="001F42C1"/>
    <w:rsid w:val="001F6E7B"/>
    <w:rsid w:val="00200995"/>
    <w:rsid w:val="00201E7D"/>
    <w:rsid w:val="00224953"/>
    <w:rsid w:val="00231EEF"/>
    <w:rsid w:val="002369D8"/>
    <w:rsid w:val="00241A93"/>
    <w:rsid w:val="002446B3"/>
    <w:rsid w:val="00253A90"/>
    <w:rsid w:val="00255C81"/>
    <w:rsid w:val="002605D2"/>
    <w:rsid w:val="00265D3A"/>
    <w:rsid w:val="00281F6C"/>
    <w:rsid w:val="0028780B"/>
    <w:rsid w:val="00291ED5"/>
    <w:rsid w:val="00292E5A"/>
    <w:rsid w:val="002A48BE"/>
    <w:rsid w:val="002C7543"/>
    <w:rsid w:val="002E0862"/>
    <w:rsid w:val="002E415B"/>
    <w:rsid w:val="002F0A9B"/>
    <w:rsid w:val="002F31D1"/>
    <w:rsid w:val="002F40E8"/>
    <w:rsid w:val="002F462D"/>
    <w:rsid w:val="002F6032"/>
    <w:rsid w:val="00301FEB"/>
    <w:rsid w:val="00304A66"/>
    <w:rsid w:val="00310A0E"/>
    <w:rsid w:val="00313763"/>
    <w:rsid w:val="0031645A"/>
    <w:rsid w:val="0032170F"/>
    <w:rsid w:val="0033316D"/>
    <w:rsid w:val="00340F09"/>
    <w:rsid w:val="00343162"/>
    <w:rsid w:val="0034337C"/>
    <w:rsid w:val="003506BC"/>
    <w:rsid w:val="003519B8"/>
    <w:rsid w:val="00354CD8"/>
    <w:rsid w:val="003623C7"/>
    <w:rsid w:val="00380D1F"/>
    <w:rsid w:val="003A2819"/>
    <w:rsid w:val="003A6D10"/>
    <w:rsid w:val="003B055A"/>
    <w:rsid w:val="003B4911"/>
    <w:rsid w:val="003C5353"/>
    <w:rsid w:val="003E0B4C"/>
    <w:rsid w:val="003E0F22"/>
    <w:rsid w:val="003E1775"/>
    <w:rsid w:val="003E270F"/>
    <w:rsid w:val="003E46EF"/>
    <w:rsid w:val="003E73BA"/>
    <w:rsid w:val="003F1F94"/>
    <w:rsid w:val="004003F2"/>
    <w:rsid w:val="00403ECA"/>
    <w:rsid w:val="004068BE"/>
    <w:rsid w:val="00413ECE"/>
    <w:rsid w:val="0041547E"/>
    <w:rsid w:val="00417A6B"/>
    <w:rsid w:val="00417B45"/>
    <w:rsid w:val="00421184"/>
    <w:rsid w:val="00432DEB"/>
    <w:rsid w:val="0043782A"/>
    <w:rsid w:val="00442458"/>
    <w:rsid w:val="00451E0B"/>
    <w:rsid w:val="00452CE2"/>
    <w:rsid w:val="004559A2"/>
    <w:rsid w:val="004569F1"/>
    <w:rsid w:val="00457075"/>
    <w:rsid w:val="004645FE"/>
    <w:rsid w:val="00471676"/>
    <w:rsid w:val="00497D98"/>
    <w:rsid w:val="004A0DDE"/>
    <w:rsid w:val="004A412C"/>
    <w:rsid w:val="004A57BA"/>
    <w:rsid w:val="004A758C"/>
    <w:rsid w:val="004B3AE9"/>
    <w:rsid w:val="004B5906"/>
    <w:rsid w:val="004C4797"/>
    <w:rsid w:val="004C5151"/>
    <w:rsid w:val="004D0466"/>
    <w:rsid w:val="004D2247"/>
    <w:rsid w:val="004D35CA"/>
    <w:rsid w:val="004E147B"/>
    <w:rsid w:val="004E1DBC"/>
    <w:rsid w:val="004F0D17"/>
    <w:rsid w:val="00503137"/>
    <w:rsid w:val="00503C75"/>
    <w:rsid w:val="005043D2"/>
    <w:rsid w:val="00507286"/>
    <w:rsid w:val="00511202"/>
    <w:rsid w:val="005155B4"/>
    <w:rsid w:val="00517E41"/>
    <w:rsid w:val="00525834"/>
    <w:rsid w:val="00525B36"/>
    <w:rsid w:val="0054214D"/>
    <w:rsid w:val="0055184B"/>
    <w:rsid w:val="00555267"/>
    <w:rsid w:val="0055647D"/>
    <w:rsid w:val="00560DA4"/>
    <w:rsid w:val="00580530"/>
    <w:rsid w:val="00583113"/>
    <w:rsid w:val="00585388"/>
    <w:rsid w:val="005910DD"/>
    <w:rsid w:val="00592C1C"/>
    <w:rsid w:val="00597ACE"/>
    <w:rsid w:val="005A12A6"/>
    <w:rsid w:val="005A12B7"/>
    <w:rsid w:val="005A20BF"/>
    <w:rsid w:val="005A22E5"/>
    <w:rsid w:val="005A29FB"/>
    <w:rsid w:val="005B1114"/>
    <w:rsid w:val="005B250F"/>
    <w:rsid w:val="005B4A14"/>
    <w:rsid w:val="005B61E2"/>
    <w:rsid w:val="005D1404"/>
    <w:rsid w:val="005D6F86"/>
    <w:rsid w:val="005D7923"/>
    <w:rsid w:val="005D7F21"/>
    <w:rsid w:val="005E1A96"/>
    <w:rsid w:val="005E2C25"/>
    <w:rsid w:val="005E3CA7"/>
    <w:rsid w:val="005F4A3D"/>
    <w:rsid w:val="0060365B"/>
    <w:rsid w:val="00611589"/>
    <w:rsid w:val="00625791"/>
    <w:rsid w:val="00625BED"/>
    <w:rsid w:val="0062743B"/>
    <w:rsid w:val="00627F8B"/>
    <w:rsid w:val="006351D7"/>
    <w:rsid w:val="006440DC"/>
    <w:rsid w:val="00647D66"/>
    <w:rsid w:val="00654997"/>
    <w:rsid w:val="006554F6"/>
    <w:rsid w:val="0066475B"/>
    <w:rsid w:val="00667C1B"/>
    <w:rsid w:val="00670001"/>
    <w:rsid w:val="00677037"/>
    <w:rsid w:val="006816FD"/>
    <w:rsid w:val="00681D28"/>
    <w:rsid w:val="00683DA4"/>
    <w:rsid w:val="00684056"/>
    <w:rsid w:val="00695869"/>
    <w:rsid w:val="006A008E"/>
    <w:rsid w:val="006A4C6E"/>
    <w:rsid w:val="006A7447"/>
    <w:rsid w:val="006B0595"/>
    <w:rsid w:val="006C1AA5"/>
    <w:rsid w:val="006C46D0"/>
    <w:rsid w:val="006C4F0D"/>
    <w:rsid w:val="006C6069"/>
    <w:rsid w:val="006C7EE6"/>
    <w:rsid w:val="006D11C0"/>
    <w:rsid w:val="006E6E7D"/>
    <w:rsid w:val="006F1605"/>
    <w:rsid w:val="006F4280"/>
    <w:rsid w:val="006F439E"/>
    <w:rsid w:val="006F5407"/>
    <w:rsid w:val="006F7468"/>
    <w:rsid w:val="0070038A"/>
    <w:rsid w:val="00702A82"/>
    <w:rsid w:val="00702D7D"/>
    <w:rsid w:val="00703851"/>
    <w:rsid w:val="00705D72"/>
    <w:rsid w:val="007104EA"/>
    <w:rsid w:val="007131B5"/>
    <w:rsid w:val="0071772B"/>
    <w:rsid w:val="00725354"/>
    <w:rsid w:val="00726EF6"/>
    <w:rsid w:val="00730D31"/>
    <w:rsid w:val="00733274"/>
    <w:rsid w:val="00735D7C"/>
    <w:rsid w:val="0073704B"/>
    <w:rsid w:val="0073732D"/>
    <w:rsid w:val="007417A5"/>
    <w:rsid w:val="0074494B"/>
    <w:rsid w:val="00746B4A"/>
    <w:rsid w:val="00747C0F"/>
    <w:rsid w:val="0075190F"/>
    <w:rsid w:val="00751B50"/>
    <w:rsid w:val="0075726E"/>
    <w:rsid w:val="007606BC"/>
    <w:rsid w:val="00765538"/>
    <w:rsid w:val="00770BA6"/>
    <w:rsid w:val="007733ED"/>
    <w:rsid w:val="007740AC"/>
    <w:rsid w:val="007751D3"/>
    <w:rsid w:val="00776FE9"/>
    <w:rsid w:val="007855A5"/>
    <w:rsid w:val="007911E4"/>
    <w:rsid w:val="0079452C"/>
    <w:rsid w:val="007A0CF1"/>
    <w:rsid w:val="007A161C"/>
    <w:rsid w:val="007A4DEE"/>
    <w:rsid w:val="007B1A93"/>
    <w:rsid w:val="007B355A"/>
    <w:rsid w:val="007B43A8"/>
    <w:rsid w:val="007B53DD"/>
    <w:rsid w:val="007B6BC1"/>
    <w:rsid w:val="007C2545"/>
    <w:rsid w:val="007C3229"/>
    <w:rsid w:val="007C3FB7"/>
    <w:rsid w:val="007C70BA"/>
    <w:rsid w:val="007C7154"/>
    <w:rsid w:val="007E0BA2"/>
    <w:rsid w:val="007E6A0F"/>
    <w:rsid w:val="007F23ED"/>
    <w:rsid w:val="007F7224"/>
    <w:rsid w:val="007F7993"/>
    <w:rsid w:val="00801409"/>
    <w:rsid w:val="00801DC9"/>
    <w:rsid w:val="00803F3A"/>
    <w:rsid w:val="00805A04"/>
    <w:rsid w:val="00806775"/>
    <w:rsid w:val="00812B36"/>
    <w:rsid w:val="008148AC"/>
    <w:rsid w:val="008312A7"/>
    <w:rsid w:val="00843373"/>
    <w:rsid w:val="00844D42"/>
    <w:rsid w:val="0085020A"/>
    <w:rsid w:val="00851DDC"/>
    <w:rsid w:val="00852EF0"/>
    <w:rsid w:val="00853ED8"/>
    <w:rsid w:val="008554CF"/>
    <w:rsid w:val="00857E2A"/>
    <w:rsid w:val="008645C1"/>
    <w:rsid w:val="00871D68"/>
    <w:rsid w:val="008834A2"/>
    <w:rsid w:val="00891E59"/>
    <w:rsid w:val="00892ED5"/>
    <w:rsid w:val="008A4DCE"/>
    <w:rsid w:val="008B1DAD"/>
    <w:rsid w:val="008C0B4F"/>
    <w:rsid w:val="008C383C"/>
    <w:rsid w:val="008C3F6D"/>
    <w:rsid w:val="008C455E"/>
    <w:rsid w:val="008C4C31"/>
    <w:rsid w:val="008C5263"/>
    <w:rsid w:val="008D25FF"/>
    <w:rsid w:val="008D306E"/>
    <w:rsid w:val="008E01C5"/>
    <w:rsid w:val="008E099D"/>
    <w:rsid w:val="008E3F2E"/>
    <w:rsid w:val="008F4116"/>
    <w:rsid w:val="00900B55"/>
    <w:rsid w:val="00901982"/>
    <w:rsid w:val="00902E1B"/>
    <w:rsid w:val="00904F4D"/>
    <w:rsid w:val="009071C3"/>
    <w:rsid w:val="009072C4"/>
    <w:rsid w:val="00913726"/>
    <w:rsid w:val="00917692"/>
    <w:rsid w:val="00922E37"/>
    <w:rsid w:val="009252C7"/>
    <w:rsid w:val="00933315"/>
    <w:rsid w:val="00936BCD"/>
    <w:rsid w:val="009435A6"/>
    <w:rsid w:val="0095512B"/>
    <w:rsid w:val="009567D7"/>
    <w:rsid w:val="009573C1"/>
    <w:rsid w:val="009632FB"/>
    <w:rsid w:val="00966B8A"/>
    <w:rsid w:val="0097113A"/>
    <w:rsid w:val="009764A0"/>
    <w:rsid w:val="009774B9"/>
    <w:rsid w:val="009775D7"/>
    <w:rsid w:val="00992DD6"/>
    <w:rsid w:val="00993855"/>
    <w:rsid w:val="0099613A"/>
    <w:rsid w:val="009A66C8"/>
    <w:rsid w:val="009A7EBC"/>
    <w:rsid w:val="009B22DD"/>
    <w:rsid w:val="009B69FD"/>
    <w:rsid w:val="009B6DC4"/>
    <w:rsid w:val="009C13DB"/>
    <w:rsid w:val="009C2308"/>
    <w:rsid w:val="009C5D49"/>
    <w:rsid w:val="009C7CEF"/>
    <w:rsid w:val="009D3ADF"/>
    <w:rsid w:val="009D7C7F"/>
    <w:rsid w:val="009E0D57"/>
    <w:rsid w:val="009E454E"/>
    <w:rsid w:val="009E4DB0"/>
    <w:rsid w:val="009F075F"/>
    <w:rsid w:val="00A001A9"/>
    <w:rsid w:val="00A023BC"/>
    <w:rsid w:val="00A03382"/>
    <w:rsid w:val="00A1133A"/>
    <w:rsid w:val="00A16E40"/>
    <w:rsid w:val="00A22360"/>
    <w:rsid w:val="00A24CC2"/>
    <w:rsid w:val="00A26D35"/>
    <w:rsid w:val="00A453C3"/>
    <w:rsid w:val="00A4591E"/>
    <w:rsid w:val="00A576D0"/>
    <w:rsid w:val="00A60975"/>
    <w:rsid w:val="00A61ECC"/>
    <w:rsid w:val="00A62738"/>
    <w:rsid w:val="00A664A2"/>
    <w:rsid w:val="00A67046"/>
    <w:rsid w:val="00A76BA7"/>
    <w:rsid w:val="00A87104"/>
    <w:rsid w:val="00A90986"/>
    <w:rsid w:val="00A91BBA"/>
    <w:rsid w:val="00A92FCA"/>
    <w:rsid w:val="00AA05FE"/>
    <w:rsid w:val="00AA3F52"/>
    <w:rsid w:val="00AA4694"/>
    <w:rsid w:val="00AA4E8A"/>
    <w:rsid w:val="00AA5D33"/>
    <w:rsid w:val="00AB2841"/>
    <w:rsid w:val="00AC09F8"/>
    <w:rsid w:val="00AC2AEA"/>
    <w:rsid w:val="00AC485F"/>
    <w:rsid w:val="00AD2FC7"/>
    <w:rsid w:val="00AD3379"/>
    <w:rsid w:val="00AD7D3A"/>
    <w:rsid w:val="00AE005C"/>
    <w:rsid w:val="00AE6848"/>
    <w:rsid w:val="00AE6E2C"/>
    <w:rsid w:val="00AF1859"/>
    <w:rsid w:val="00AF2D66"/>
    <w:rsid w:val="00AF2FDC"/>
    <w:rsid w:val="00AF436F"/>
    <w:rsid w:val="00AF67ED"/>
    <w:rsid w:val="00AF7A97"/>
    <w:rsid w:val="00B00D44"/>
    <w:rsid w:val="00B164A0"/>
    <w:rsid w:val="00B2080D"/>
    <w:rsid w:val="00B21F39"/>
    <w:rsid w:val="00B22C87"/>
    <w:rsid w:val="00B26598"/>
    <w:rsid w:val="00B30D09"/>
    <w:rsid w:val="00B333B2"/>
    <w:rsid w:val="00B35E73"/>
    <w:rsid w:val="00B401C5"/>
    <w:rsid w:val="00B4165A"/>
    <w:rsid w:val="00B50C9C"/>
    <w:rsid w:val="00B54F2B"/>
    <w:rsid w:val="00B553F5"/>
    <w:rsid w:val="00B570A3"/>
    <w:rsid w:val="00B6163F"/>
    <w:rsid w:val="00B6306F"/>
    <w:rsid w:val="00B66150"/>
    <w:rsid w:val="00B71E3B"/>
    <w:rsid w:val="00B7316E"/>
    <w:rsid w:val="00B744EE"/>
    <w:rsid w:val="00B74E86"/>
    <w:rsid w:val="00B77A9D"/>
    <w:rsid w:val="00B801DB"/>
    <w:rsid w:val="00B9133F"/>
    <w:rsid w:val="00B91453"/>
    <w:rsid w:val="00B956FD"/>
    <w:rsid w:val="00B9667C"/>
    <w:rsid w:val="00BA7A2B"/>
    <w:rsid w:val="00BB17D3"/>
    <w:rsid w:val="00BC060B"/>
    <w:rsid w:val="00BC24E5"/>
    <w:rsid w:val="00BC591E"/>
    <w:rsid w:val="00BD6072"/>
    <w:rsid w:val="00BE02ED"/>
    <w:rsid w:val="00BE075A"/>
    <w:rsid w:val="00BE651C"/>
    <w:rsid w:val="00BF0896"/>
    <w:rsid w:val="00C049EB"/>
    <w:rsid w:val="00C07BBA"/>
    <w:rsid w:val="00C10DE9"/>
    <w:rsid w:val="00C1194E"/>
    <w:rsid w:val="00C16B98"/>
    <w:rsid w:val="00C230AB"/>
    <w:rsid w:val="00C26F7E"/>
    <w:rsid w:val="00C273D9"/>
    <w:rsid w:val="00C313DC"/>
    <w:rsid w:val="00C3354A"/>
    <w:rsid w:val="00C40411"/>
    <w:rsid w:val="00C42E59"/>
    <w:rsid w:val="00C47CC4"/>
    <w:rsid w:val="00C51084"/>
    <w:rsid w:val="00C52FCE"/>
    <w:rsid w:val="00C6732B"/>
    <w:rsid w:val="00C7272C"/>
    <w:rsid w:val="00C75D4D"/>
    <w:rsid w:val="00C80146"/>
    <w:rsid w:val="00C804CA"/>
    <w:rsid w:val="00C815FD"/>
    <w:rsid w:val="00C94C44"/>
    <w:rsid w:val="00CA1B97"/>
    <w:rsid w:val="00CA1E9A"/>
    <w:rsid w:val="00CA211E"/>
    <w:rsid w:val="00CA5E96"/>
    <w:rsid w:val="00CB0C70"/>
    <w:rsid w:val="00CB12D4"/>
    <w:rsid w:val="00CB5D51"/>
    <w:rsid w:val="00CB721C"/>
    <w:rsid w:val="00CB759F"/>
    <w:rsid w:val="00CB771E"/>
    <w:rsid w:val="00CB7DCE"/>
    <w:rsid w:val="00CC02C5"/>
    <w:rsid w:val="00CE0E39"/>
    <w:rsid w:val="00CE28F3"/>
    <w:rsid w:val="00CE4076"/>
    <w:rsid w:val="00CE7E75"/>
    <w:rsid w:val="00CF0E36"/>
    <w:rsid w:val="00CF2FBF"/>
    <w:rsid w:val="00CF4872"/>
    <w:rsid w:val="00D00196"/>
    <w:rsid w:val="00D06559"/>
    <w:rsid w:val="00D15ECB"/>
    <w:rsid w:val="00D24D62"/>
    <w:rsid w:val="00D26A6A"/>
    <w:rsid w:val="00D30D33"/>
    <w:rsid w:val="00D33921"/>
    <w:rsid w:val="00D360AF"/>
    <w:rsid w:val="00D454A0"/>
    <w:rsid w:val="00D53306"/>
    <w:rsid w:val="00D565DD"/>
    <w:rsid w:val="00D720D8"/>
    <w:rsid w:val="00D74C48"/>
    <w:rsid w:val="00D75E6D"/>
    <w:rsid w:val="00D76F69"/>
    <w:rsid w:val="00D85125"/>
    <w:rsid w:val="00D85358"/>
    <w:rsid w:val="00D87A49"/>
    <w:rsid w:val="00D94685"/>
    <w:rsid w:val="00DA01E2"/>
    <w:rsid w:val="00DA36AD"/>
    <w:rsid w:val="00DB60EC"/>
    <w:rsid w:val="00DC09BD"/>
    <w:rsid w:val="00DC6150"/>
    <w:rsid w:val="00DD0BC7"/>
    <w:rsid w:val="00DD1160"/>
    <w:rsid w:val="00DD57A9"/>
    <w:rsid w:val="00DE0697"/>
    <w:rsid w:val="00DE1BE2"/>
    <w:rsid w:val="00DE2883"/>
    <w:rsid w:val="00DE326A"/>
    <w:rsid w:val="00DF1BEA"/>
    <w:rsid w:val="00E01C0B"/>
    <w:rsid w:val="00E0605D"/>
    <w:rsid w:val="00E113F0"/>
    <w:rsid w:val="00E1287A"/>
    <w:rsid w:val="00E15E96"/>
    <w:rsid w:val="00E2199D"/>
    <w:rsid w:val="00E2225D"/>
    <w:rsid w:val="00E31D81"/>
    <w:rsid w:val="00E32D33"/>
    <w:rsid w:val="00E404FB"/>
    <w:rsid w:val="00E52A4C"/>
    <w:rsid w:val="00E555FC"/>
    <w:rsid w:val="00E64D5B"/>
    <w:rsid w:val="00E66B77"/>
    <w:rsid w:val="00E7234F"/>
    <w:rsid w:val="00E72B9D"/>
    <w:rsid w:val="00E7598F"/>
    <w:rsid w:val="00E8106C"/>
    <w:rsid w:val="00E862FC"/>
    <w:rsid w:val="00E86D80"/>
    <w:rsid w:val="00E9025C"/>
    <w:rsid w:val="00E925FB"/>
    <w:rsid w:val="00E92EBB"/>
    <w:rsid w:val="00E94F0A"/>
    <w:rsid w:val="00E968EF"/>
    <w:rsid w:val="00EA0F17"/>
    <w:rsid w:val="00EA3928"/>
    <w:rsid w:val="00EB014F"/>
    <w:rsid w:val="00EB025B"/>
    <w:rsid w:val="00EB44A5"/>
    <w:rsid w:val="00EB6DD2"/>
    <w:rsid w:val="00EC2D88"/>
    <w:rsid w:val="00EC3696"/>
    <w:rsid w:val="00EC6006"/>
    <w:rsid w:val="00EC6D45"/>
    <w:rsid w:val="00EE064F"/>
    <w:rsid w:val="00EE404B"/>
    <w:rsid w:val="00F0771F"/>
    <w:rsid w:val="00F11849"/>
    <w:rsid w:val="00F15794"/>
    <w:rsid w:val="00F228C1"/>
    <w:rsid w:val="00F30DEA"/>
    <w:rsid w:val="00F33002"/>
    <w:rsid w:val="00F3460C"/>
    <w:rsid w:val="00F35551"/>
    <w:rsid w:val="00F3665B"/>
    <w:rsid w:val="00F40ABF"/>
    <w:rsid w:val="00F40CD9"/>
    <w:rsid w:val="00F41D0F"/>
    <w:rsid w:val="00F437CA"/>
    <w:rsid w:val="00F46135"/>
    <w:rsid w:val="00F51465"/>
    <w:rsid w:val="00F6394B"/>
    <w:rsid w:val="00F63D90"/>
    <w:rsid w:val="00F64D72"/>
    <w:rsid w:val="00F673FC"/>
    <w:rsid w:val="00F72B6C"/>
    <w:rsid w:val="00F73949"/>
    <w:rsid w:val="00F774D8"/>
    <w:rsid w:val="00F825C7"/>
    <w:rsid w:val="00F8375C"/>
    <w:rsid w:val="00F85928"/>
    <w:rsid w:val="00F85B74"/>
    <w:rsid w:val="00F90868"/>
    <w:rsid w:val="00F9524C"/>
    <w:rsid w:val="00FA2C79"/>
    <w:rsid w:val="00FA38BC"/>
    <w:rsid w:val="00FA64AB"/>
    <w:rsid w:val="00FA6B92"/>
    <w:rsid w:val="00FB359F"/>
    <w:rsid w:val="00FB58FD"/>
    <w:rsid w:val="00FC3A17"/>
    <w:rsid w:val="00FC67CB"/>
    <w:rsid w:val="00FD17AF"/>
    <w:rsid w:val="00FD4447"/>
    <w:rsid w:val="00FD699C"/>
    <w:rsid w:val="00FE2E20"/>
    <w:rsid w:val="00FF477C"/>
    <w:rsid w:val="00FF48EC"/>
    <w:rsid w:val="00FF7701"/>
    <w:rsid w:val="186F8941"/>
    <w:rsid w:val="1D72EC20"/>
    <w:rsid w:val="212E3018"/>
    <w:rsid w:val="23A7282F"/>
    <w:rsid w:val="23EC1A9F"/>
    <w:rsid w:val="479BBBFE"/>
    <w:rsid w:val="49378C5F"/>
    <w:rsid w:val="4FF94103"/>
    <w:rsid w:val="57C08AE9"/>
    <w:rsid w:val="5B519032"/>
    <w:rsid w:val="5D43F700"/>
    <w:rsid w:val="6887411F"/>
    <w:rsid w:val="6FA4CC0D"/>
    <w:rsid w:val="7AA7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B4613"/>
  <w15:chartTrackingRefBased/>
  <w15:docId w15:val="{B90B2310-EFF1-4BA5-9C8E-165DE851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93C"/>
    <w:pPr>
      <w:spacing w:before="80" w:after="200"/>
    </w:pPr>
  </w:style>
  <w:style w:type="paragraph" w:styleId="Heading1">
    <w:name w:val="heading 1"/>
    <w:next w:val="Normal"/>
    <w:link w:val="Heading1Char"/>
    <w:uiPriority w:val="9"/>
    <w:qFormat/>
    <w:rsid w:val="008F4116"/>
    <w:pPr>
      <w:spacing w:before="240" w:after="80"/>
      <w:outlineLvl w:val="0"/>
    </w:pPr>
    <w:rPr>
      <w:rFonts w:cstheme="minorHAnsi"/>
      <w:b/>
      <w:bCs/>
      <w:color w:val="4897A2" w:themeColor="accent1"/>
      <w:kern w:val="0"/>
      <w:sz w:val="30"/>
      <w:szCs w:val="30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A023BC"/>
    <w:pPr>
      <w:spacing w:before="120" w:after="80"/>
      <w:outlineLvl w:val="1"/>
    </w:pPr>
    <w:rPr>
      <w:b/>
      <w:bCs/>
      <w:kern w:val="0"/>
      <w:sz w:val="27"/>
      <w:szCs w:val="27"/>
      <w14:ligatures w14:val="non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0D17"/>
    <w:pPr>
      <w:outlineLvl w:val="2"/>
    </w:pPr>
    <w:rPr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A023BC"/>
    <w:pPr>
      <w:spacing w:after="20"/>
      <w:outlineLvl w:val="3"/>
    </w:pPr>
    <w:rPr>
      <w:b/>
      <w:bCs/>
      <w:color w:val="404040" w:themeColor="text1" w:themeTint="BF"/>
      <w:kern w:val="0"/>
      <w:sz w:val="23"/>
      <w:szCs w:val="23"/>
      <w14:ligatures w14:val="none"/>
    </w:rPr>
  </w:style>
  <w:style w:type="paragraph" w:styleId="Heading5">
    <w:name w:val="heading 5"/>
    <w:next w:val="Normal"/>
    <w:link w:val="Heading5Char"/>
    <w:uiPriority w:val="9"/>
    <w:unhideWhenUsed/>
    <w:qFormat/>
    <w:rsid w:val="00A023BC"/>
    <w:pPr>
      <w:outlineLvl w:val="4"/>
    </w:pPr>
    <w:rPr>
      <w:b/>
      <w:bCs/>
      <w:color w:val="595959" w:themeColor="text1" w:themeTint="A6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3BC"/>
    <w:pPr>
      <w:tabs>
        <w:tab w:val="center" w:pos="4513"/>
        <w:tab w:val="right" w:pos="9026"/>
      </w:tabs>
      <w:spacing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A023B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85C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BF"/>
  </w:style>
  <w:style w:type="paragraph" w:styleId="Title">
    <w:name w:val="Title"/>
    <w:next w:val="Normal"/>
    <w:link w:val="TitleChar"/>
    <w:uiPriority w:val="10"/>
    <w:qFormat/>
    <w:rsid w:val="002605D2"/>
    <w:pPr>
      <w:spacing w:before="600" w:line="276" w:lineRule="auto"/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605D2"/>
    <w:rPr>
      <w:b/>
      <w:bCs/>
      <w:sz w:val="44"/>
      <w:szCs w:val="44"/>
    </w:rPr>
  </w:style>
  <w:style w:type="paragraph" w:styleId="Subtitle">
    <w:name w:val="Subtitle"/>
    <w:next w:val="Normal"/>
    <w:link w:val="SubtitleChar"/>
    <w:uiPriority w:val="11"/>
    <w:qFormat/>
    <w:rsid w:val="002605D2"/>
    <w:pPr>
      <w:spacing w:after="360"/>
      <w:jc w:val="center"/>
    </w:pPr>
    <w:rPr>
      <w:color w:val="595959" w:themeColor="text1" w:themeTint="A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605D2"/>
    <w:rPr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23BC"/>
    <w:rPr>
      <w:b/>
      <w:bCs/>
      <w:kern w:val="0"/>
      <w:sz w:val="27"/>
      <w:szCs w:val="27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F0D17"/>
    <w:rPr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23BC"/>
    <w:rPr>
      <w:b/>
      <w:bCs/>
      <w:color w:val="404040" w:themeColor="text1" w:themeTint="BF"/>
      <w:kern w:val="0"/>
      <w:sz w:val="23"/>
      <w:szCs w:val="23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F4116"/>
    <w:rPr>
      <w:rFonts w:cstheme="minorHAnsi"/>
      <w:b/>
      <w:bCs/>
      <w:color w:val="4897A2" w:themeColor="accent1"/>
      <w:kern w:val="0"/>
      <w:sz w:val="30"/>
      <w:szCs w:val="3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A023BC"/>
    <w:rPr>
      <w:b/>
      <w:bCs/>
      <w:color w:val="595959" w:themeColor="text1" w:themeTint="A6"/>
      <w:kern w:val="0"/>
      <w14:ligatures w14:val="none"/>
    </w:rPr>
  </w:style>
  <w:style w:type="character" w:styleId="Hyperlink">
    <w:name w:val="Hyperlink"/>
    <w:uiPriority w:val="99"/>
    <w:unhideWhenUsed/>
    <w:qFormat/>
    <w:rsid w:val="00A023BC"/>
    <w:rPr>
      <w:color w:val="367079" w:themeColor="accent1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3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FE9"/>
    <w:pPr>
      <w:spacing w:line="276" w:lineRule="auto"/>
      <w:ind w:left="720"/>
      <w:contextualSpacing/>
    </w:pPr>
    <w:rPr>
      <w:rFonts w:ascii="Calibri" w:hAnsi="Calibri" w:cstheme="minorHAnsi"/>
      <w:color w:val="000000" w:themeColor="text1"/>
      <w:kern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6FE9"/>
    <w:pPr>
      <w:spacing w:after="0" w:line="240" w:lineRule="auto"/>
    </w:pPr>
    <w:rPr>
      <w:rFonts w:ascii="Calibri" w:hAnsi="Calibri" w:cstheme="minorHAnsi"/>
      <w:color w:val="000000" w:themeColor="text1"/>
      <w:kern w:val="24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FE9"/>
    <w:rPr>
      <w:rFonts w:ascii="Calibri" w:hAnsi="Calibri" w:cstheme="minorHAnsi"/>
      <w:color w:val="000000" w:themeColor="text1"/>
      <w:kern w:val="24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76F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6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F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FE9"/>
    <w:rPr>
      <w:b/>
      <w:bCs/>
      <w:sz w:val="20"/>
      <w:szCs w:val="20"/>
    </w:rPr>
  </w:style>
  <w:style w:type="table" w:customStyle="1" w:styleId="TPS">
    <w:name w:val="TPS"/>
    <w:basedOn w:val="TableNormal"/>
    <w:uiPriority w:val="99"/>
    <w:rsid w:val="00776FE9"/>
    <w:pPr>
      <w:spacing w:line="276" w:lineRule="auto"/>
      <w:ind w:left="-28"/>
    </w:pPr>
    <w:rPr>
      <w:rFonts w:ascii="Calibri" w:hAnsi="Calibri" w:cstheme="minorHAnsi"/>
      <w:color w:val="000000" w:themeColor="text1"/>
      <w:kern w:val="24"/>
      <w14:ligatures w14:val="none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40" w:beforeAutospacing="0" w:afterLines="0" w:after="40" w:afterAutospacing="0" w:line="276" w:lineRule="auto"/>
        <w:ind w:leftChars="0" w:left="-28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897A2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5DDE1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A5B4BB"/>
      </w:tcPr>
    </w:tblStylePr>
  </w:style>
  <w:style w:type="paragraph" w:customStyle="1" w:styleId="Tablecontents">
    <w:name w:val="Table contents"/>
    <w:basedOn w:val="Normal"/>
    <w:link w:val="TablecontentsChar"/>
    <w:qFormat/>
    <w:rsid w:val="001267C6"/>
    <w:pPr>
      <w:spacing w:before="60" w:after="60" w:line="276" w:lineRule="auto"/>
      <w:ind w:left="-28"/>
    </w:pPr>
    <w:rPr>
      <w:rFonts w:ascii="Calibri" w:hAnsi="Calibri" w:cstheme="minorHAnsi"/>
      <w:color w:val="000000" w:themeColor="text1"/>
      <w:kern w:val="24"/>
      <w14:ligatures w14:val="none"/>
    </w:rPr>
  </w:style>
  <w:style w:type="paragraph" w:customStyle="1" w:styleId="TableHeader">
    <w:name w:val="Table Header"/>
    <w:basedOn w:val="Normal"/>
    <w:link w:val="TableHeaderChar"/>
    <w:qFormat/>
    <w:rsid w:val="00507286"/>
    <w:pPr>
      <w:spacing w:before="60" w:after="60" w:line="240" w:lineRule="auto"/>
      <w:ind w:left="-28"/>
      <w:jc w:val="center"/>
    </w:pPr>
    <w:rPr>
      <w:rFonts w:ascii="Calibri" w:hAnsi="Calibri" w:cstheme="minorHAnsi"/>
      <w:color w:val="FFFFFF" w:themeColor="background1"/>
      <w:kern w:val="24"/>
      <w:sz w:val="24"/>
      <w14:ligatures w14:val="none"/>
    </w:rPr>
  </w:style>
  <w:style w:type="character" w:customStyle="1" w:styleId="TablecontentsChar">
    <w:name w:val="Table contents Char"/>
    <w:basedOn w:val="DefaultParagraphFont"/>
    <w:link w:val="Tablecontents"/>
    <w:rsid w:val="001267C6"/>
    <w:rPr>
      <w:rFonts w:ascii="Calibri" w:hAnsi="Calibri" w:cstheme="minorHAnsi"/>
      <w:color w:val="000000" w:themeColor="text1"/>
      <w:kern w:val="24"/>
      <w14:ligatures w14:val="none"/>
    </w:rPr>
  </w:style>
  <w:style w:type="character" w:customStyle="1" w:styleId="TableHeaderChar">
    <w:name w:val="Table Header Char"/>
    <w:basedOn w:val="DefaultParagraphFont"/>
    <w:link w:val="TableHeader"/>
    <w:rsid w:val="00507286"/>
    <w:rPr>
      <w:rFonts w:ascii="Calibri" w:hAnsi="Calibri" w:cstheme="minorHAnsi"/>
      <w:color w:val="FFFFFF" w:themeColor="background1"/>
      <w:kern w:val="24"/>
      <w:sz w:val="24"/>
      <w14:ligatures w14:val="none"/>
    </w:rPr>
  </w:style>
  <w:style w:type="table" w:customStyle="1" w:styleId="TPSLighter">
    <w:name w:val="TPS Lighter"/>
    <w:basedOn w:val="TableNormal"/>
    <w:uiPriority w:val="99"/>
    <w:rsid w:val="00776FE9"/>
    <w:pPr>
      <w:spacing w:line="240" w:lineRule="auto"/>
    </w:pPr>
    <w:rPr>
      <w:rFonts w:ascii="Calibri" w:hAnsi="Calibri" w:cstheme="minorHAnsi"/>
      <w:color w:val="000000" w:themeColor="text1"/>
      <w:kern w:val="24"/>
      <w14:ligatures w14:val="none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Calibri" w:hAnsi="Calibri"/>
        <w:b/>
        <w:color w:val="FFFFFF" w:themeColor="background1"/>
        <w:sz w:val="24"/>
      </w:rPr>
      <w:tblPr/>
      <w:tcPr>
        <w:tcBorders>
          <w:bottom w:val="single" w:sz="18" w:space="0" w:color="FFFFFF" w:themeColor="background1"/>
          <w:insideH w:val="nil"/>
        </w:tcBorders>
        <w:shd w:val="clear" w:color="auto" w:fill="4897A2"/>
      </w:tcPr>
    </w:tblStylePr>
    <w:tblStylePr w:type="band1Horz">
      <w:tblPr/>
      <w:tcPr>
        <w:shd w:val="clear" w:color="auto" w:fill="D5DDE1"/>
      </w:tcPr>
    </w:tblStylePr>
    <w:tblStylePr w:type="band2Horz">
      <w:tblPr/>
      <w:tcPr>
        <w:shd w:val="clear" w:color="auto" w:fill="E9EDEF"/>
      </w:tcPr>
    </w:tblStylePr>
  </w:style>
  <w:style w:type="paragraph" w:styleId="Caption">
    <w:name w:val="caption"/>
    <w:basedOn w:val="Normal"/>
    <w:next w:val="Normal"/>
    <w:uiPriority w:val="35"/>
    <w:qFormat/>
    <w:rsid w:val="007417A5"/>
    <w:pPr>
      <w:keepNext/>
      <w:spacing w:after="120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3354A"/>
    <w:rPr>
      <w:color w:val="808080"/>
    </w:rPr>
  </w:style>
  <w:style w:type="paragraph" w:customStyle="1" w:styleId="Footnote">
    <w:name w:val="Footnote"/>
    <w:basedOn w:val="FootnoteText"/>
    <w:qFormat/>
    <w:rsid w:val="00AF2FDC"/>
    <w:pPr>
      <w:spacing w:before="40"/>
    </w:pPr>
  </w:style>
  <w:style w:type="paragraph" w:styleId="Revision">
    <w:name w:val="Revision"/>
    <w:hidden/>
    <w:uiPriority w:val="99"/>
    <w:semiHidden/>
    <w:rsid w:val="00CA1B9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au/Series/F2022L0172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C2004A0075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gov.au/tps/tuition-protection-service-advisory-boar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tps/resources/draft-board-advice-2024-international-tps-lev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PS">
      <a:dk1>
        <a:sysClr val="windowText" lastClr="000000"/>
      </a:dk1>
      <a:lt1>
        <a:sysClr val="window" lastClr="FFFFFF"/>
      </a:lt1>
      <a:dk2>
        <a:srgbClr val="E8F3F4"/>
      </a:dk2>
      <a:lt2>
        <a:srgbClr val="FBFBFB"/>
      </a:lt2>
      <a:accent1>
        <a:srgbClr val="4897A2"/>
      </a:accent1>
      <a:accent2>
        <a:srgbClr val="F15A29"/>
      </a:accent2>
      <a:accent3>
        <a:srgbClr val="D6165F"/>
      </a:accent3>
      <a:accent4>
        <a:srgbClr val="FCEE6E"/>
      </a:accent4>
      <a:accent5>
        <a:srgbClr val="4DB3E6"/>
      </a:accent5>
      <a:accent6>
        <a:srgbClr val="8AB679"/>
      </a:accent6>
      <a:hlink>
        <a:srgbClr val="357179"/>
      </a:hlink>
      <a:folHlink>
        <a:srgbClr val="4897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34866-407e-4eb7-84a5-689e8997aac6">
      <Terms xmlns="http://schemas.microsoft.com/office/infopath/2007/PartnerControls"/>
    </lcf76f155ced4ddcb4097134ff3c332f>
    <TaxCatchAll xmlns="1d95c80d-1bfc-4284-8ead-90dee9a0b47f" xsi:nil="true"/>
    <LocationandLinks xmlns="21934866-407e-4eb7-84a5-689e8997aa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7" ma:contentTypeDescription="Create a new document." ma:contentTypeScope="" ma:versionID="223efadc7bdd1a24073ac170213ebea4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0b801e8f2ecd420a4b313102bab16939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Locationand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ocationandLinks" ma:index="24" nillable="true" ma:displayName="Location and Links" ma:description="Links are active in the O drive.  refer to document footer for location" ma:format="Dropdown" ma:internalName="LocationandLink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4E45F-D985-4F13-A723-2F95C5B29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9409F-C2CF-4E5C-8801-EAA47A3FE4BB}">
  <ds:schemaRefs>
    <ds:schemaRef ds:uri="http://schemas.microsoft.com/office/2006/metadata/properties"/>
    <ds:schemaRef ds:uri="http://schemas.microsoft.com/office/infopath/2007/PartnerControls"/>
    <ds:schemaRef ds:uri="21934866-407e-4eb7-84a5-689e8997aac6"/>
    <ds:schemaRef ds:uri="1d95c80d-1bfc-4284-8ead-90dee9a0b47f"/>
  </ds:schemaRefs>
</ds:datastoreItem>
</file>

<file path=customXml/itemProps3.xml><?xml version="1.0" encoding="utf-8"?>
<ds:datastoreItem xmlns:ds="http://schemas.openxmlformats.org/officeDocument/2006/customXml" ds:itemID="{7FCEE371-7149-4E01-BBA5-18613611B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B8B4EE-33D4-42B5-B0EE-2E344D94F1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10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BURT,Tegan</dc:creator>
  <cp:keywords/>
  <dc:description/>
  <cp:lastModifiedBy>BURT,Tegan</cp:lastModifiedBy>
  <cp:revision>553</cp:revision>
  <cp:lastPrinted>2023-08-25T03:46:00Z</cp:lastPrinted>
  <dcterms:created xsi:type="dcterms:W3CDTF">2023-08-11T02:17:00Z</dcterms:created>
  <dcterms:modified xsi:type="dcterms:W3CDTF">2023-08-25T03:59:00Z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2023-08-04T06:19:49Z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587f0545-4915-49ae-8d2c-3145ea4caa04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0x010100D0A9CCE9CD21384385A19063B05DA87A</vt:lpwstr>
  </property>
  <property fmtid="{D5CDD505-2E9C-101B-9397-08002B2CF9AE}" pid="10" name="MediaServiceImageTags">
    <vt:lpwstr/>
  </property>
</Properties>
</file>