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D8BCD" w14:textId="77777777" w:rsidR="00FA299A" w:rsidRDefault="00FA299A" w:rsidP="00941031">
      <w:pPr>
        <w:spacing w:before="0"/>
        <w:ind w:left="-567"/>
        <w:rPr>
          <w:rFonts w:cs="Arial"/>
          <w:color w:val="000000" w:themeColor="text1"/>
          <w:sz w:val="22"/>
          <w:szCs w:val="22"/>
        </w:rPr>
        <w:sectPr w:rsidR="00FA299A" w:rsidSect="00D66F10">
          <w:footerReference w:type="default" r:id="rId8"/>
          <w:footerReference w:type="first" r:id="rId9"/>
          <w:pgSz w:w="11906" w:h="16838" w:code="9"/>
          <w:pgMar w:top="567" w:right="1701" w:bottom="1560" w:left="1797" w:header="0" w:footer="709" w:gutter="0"/>
          <w:pgNumType w:start="0"/>
          <w:cols w:space="708"/>
          <w:titlePg/>
          <w:docGrid w:linePitch="360"/>
        </w:sectPr>
      </w:pPr>
      <w:r>
        <w:rPr>
          <w:noProof/>
        </w:rPr>
        <w:drawing>
          <wp:inline distT="0" distB="0" distL="0" distR="0" wp14:anchorId="18FF2A46" wp14:editId="1EC6EE86">
            <wp:extent cx="2333625" cy="714375"/>
            <wp:effectExtent l="0" t="0" r="9525" b="9525"/>
            <wp:docPr id="8" name="Picture 8"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Department of Education, Skills and Employ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3625" cy="714375"/>
                    </a:xfrm>
                    <a:prstGeom prst="rect">
                      <a:avLst/>
                    </a:prstGeom>
                    <a:noFill/>
                    <a:ln>
                      <a:noFill/>
                    </a:ln>
                  </pic:spPr>
                </pic:pic>
              </a:graphicData>
            </a:graphic>
          </wp:inline>
        </w:drawing>
      </w:r>
    </w:p>
    <w:p w14:paraId="3F7CF8C5" w14:textId="00D5AFFF" w:rsidR="00FA299A" w:rsidRDefault="00FA299A" w:rsidP="00FA299A">
      <w:pPr>
        <w:spacing w:before="480" w:after="0"/>
        <w:rPr>
          <w:rFonts w:cs="Arial"/>
          <w:color w:val="000000" w:themeColor="text1"/>
          <w:sz w:val="22"/>
          <w:szCs w:val="22"/>
        </w:rPr>
      </w:pPr>
      <w:r>
        <w:rPr>
          <w:noProof/>
        </w:rPr>
        <w:drawing>
          <wp:anchor distT="0" distB="0" distL="114300" distR="114300" simplePos="0" relativeHeight="251658240" behindDoc="1" locked="1" layoutInCell="1" allowOverlap="1" wp14:anchorId="2A83AFE2" wp14:editId="7B0C9BDC">
            <wp:simplePos x="0" y="0"/>
            <wp:positionH relativeFrom="page">
              <wp:align>left</wp:align>
            </wp:positionH>
            <wp:positionV relativeFrom="page">
              <wp:align>top</wp:align>
            </wp:positionV>
            <wp:extent cx="7592400" cy="2166964"/>
            <wp:effectExtent l="0" t="0" r="0" b="508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2400" cy="2166964"/>
                    </a:xfrm>
                    <a:prstGeom prst="rect">
                      <a:avLst/>
                    </a:prstGeom>
                    <a:noFill/>
                  </pic:spPr>
                </pic:pic>
              </a:graphicData>
            </a:graphic>
            <wp14:sizeRelH relativeFrom="page">
              <wp14:pctWidth>0</wp14:pctWidth>
            </wp14:sizeRelH>
            <wp14:sizeRelV relativeFrom="page">
              <wp14:pctHeight>0</wp14:pctHeight>
            </wp14:sizeRelV>
          </wp:anchor>
        </w:drawing>
      </w:r>
    </w:p>
    <w:p w14:paraId="6498A791" w14:textId="202F05F6" w:rsidR="00FA299A" w:rsidRDefault="00FA299A" w:rsidP="00FA299A">
      <w:pPr>
        <w:spacing w:before="2280"/>
        <w:jc w:val="center"/>
        <w:rPr>
          <w:rFonts w:cs="Arial"/>
          <w:color w:val="000000" w:themeColor="text1"/>
          <w:sz w:val="22"/>
          <w:szCs w:val="22"/>
        </w:rPr>
      </w:pPr>
      <w:r>
        <w:rPr>
          <w:noProof/>
        </w:rPr>
        <w:drawing>
          <wp:inline distT="0" distB="0" distL="0" distR="0" wp14:anchorId="1005899D" wp14:editId="1277FCEF">
            <wp:extent cx="2714625" cy="2038350"/>
            <wp:effectExtent l="0" t="0" r="9525" b="0"/>
            <wp:docPr id="7" name="Picture 7" descr="Australian Higher Education Graduation Stat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Higher Education Graduation Statement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4625" cy="2038350"/>
                    </a:xfrm>
                    <a:prstGeom prst="rect">
                      <a:avLst/>
                    </a:prstGeom>
                    <a:noFill/>
                    <a:ln>
                      <a:noFill/>
                    </a:ln>
                  </pic:spPr>
                </pic:pic>
              </a:graphicData>
            </a:graphic>
          </wp:inline>
        </w:drawing>
      </w:r>
    </w:p>
    <w:p w14:paraId="6045CBA5" w14:textId="19F84D12" w:rsidR="002070C7" w:rsidRPr="003103CE" w:rsidRDefault="002070C7" w:rsidP="00822ECA">
      <w:pPr>
        <w:pStyle w:val="Heading1"/>
      </w:pPr>
      <w:r w:rsidRPr="003103CE">
        <w:t>Guidelines for the Presentation of the</w:t>
      </w:r>
      <w:r w:rsidR="00822ECA">
        <w:t xml:space="preserve"> </w:t>
      </w:r>
      <w:r w:rsidR="00822ECA">
        <w:br/>
      </w:r>
      <w:r w:rsidRPr="003103CE">
        <w:t>Australian Higher Education Graduation Statement</w:t>
      </w:r>
    </w:p>
    <w:p w14:paraId="46E1DF88" w14:textId="3D711512" w:rsidR="0055416E" w:rsidRDefault="00153B16" w:rsidP="00FA299A">
      <w:pPr>
        <w:pStyle w:val="Subtitle"/>
        <w:spacing w:before="480"/>
        <w:rPr>
          <w:rFonts w:cs="Arial"/>
          <w:szCs w:val="22"/>
        </w:rPr>
      </w:pPr>
      <w:r w:rsidRPr="00FA299A">
        <w:rPr>
          <w:i w:val="0"/>
          <w:iCs w:val="0"/>
        </w:rPr>
        <w:t>February</w:t>
      </w:r>
      <w:r w:rsidR="00C36CAE" w:rsidRPr="00FA299A">
        <w:rPr>
          <w:i w:val="0"/>
          <w:iCs w:val="0"/>
        </w:rPr>
        <w:t xml:space="preserve"> 202</w:t>
      </w:r>
      <w:r w:rsidRPr="00FA299A">
        <w:rPr>
          <w:i w:val="0"/>
          <w:iCs w:val="0"/>
        </w:rPr>
        <w:t>2</w:t>
      </w:r>
      <w:r w:rsidR="0055416E">
        <w:rPr>
          <w:rFonts w:cs="Arial"/>
          <w:szCs w:val="22"/>
        </w:rPr>
        <w:br w:type="page"/>
      </w:r>
    </w:p>
    <w:p w14:paraId="62493EC5" w14:textId="7DB8F540" w:rsidR="002070C7" w:rsidRPr="003103CE" w:rsidRDefault="002070C7" w:rsidP="002070C7">
      <w:pPr>
        <w:pStyle w:val="Heading2"/>
        <w:rPr>
          <w:lang w:eastAsia="en-US"/>
        </w:rPr>
      </w:pPr>
      <w:r w:rsidRPr="003103CE">
        <w:rPr>
          <w:lang w:eastAsia="en-US"/>
        </w:rPr>
        <w:lastRenderedPageBreak/>
        <w:t>Introduction</w:t>
      </w:r>
    </w:p>
    <w:p w14:paraId="4438D493" w14:textId="77777777" w:rsidR="002070C7" w:rsidRPr="003103CE" w:rsidRDefault="002070C7" w:rsidP="002070C7">
      <w:r w:rsidRPr="003103CE">
        <w:t>The Australian Higher Education Graduation Statement (AHEGS) is the Australian equivalent of the European Diploma Supplement. It takes the form of a document provided to graduates by the awarding institution.</w:t>
      </w:r>
    </w:p>
    <w:p w14:paraId="53F15CB7" w14:textId="77777777" w:rsidR="002070C7" w:rsidRPr="003103CE" w:rsidRDefault="002070C7" w:rsidP="002070C7">
      <w:r w:rsidRPr="003103CE">
        <w:t xml:space="preserve">An AHEGS is issued in addition to other documentation, such as testamurs and academic transcripts. Its purpose is to describe a higher education qualification in an easily understandable way, providing greater transparency by including descriptions of the nature, level, </w:t>
      </w:r>
      <w:proofErr w:type="gramStart"/>
      <w:r w:rsidRPr="003103CE">
        <w:t>context</w:t>
      </w:r>
      <w:proofErr w:type="gramEnd"/>
      <w:r w:rsidRPr="003103CE">
        <w:t xml:space="preserve"> and status of the studies undertaken as well as information about the education system to which the qualification belongs.</w:t>
      </w:r>
    </w:p>
    <w:p w14:paraId="2FD98D7B" w14:textId="43C03CAA" w:rsidR="002070C7" w:rsidRPr="003103CE" w:rsidRDefault="002070C7" w:rsidP="002070C7">
      <w:r w:rsidRPr="003103CE">
        <w:t xml:space="preserve">The AHEGS is strongly supported by Australian universities, higher education providers and other stakeholders to assist students seeking employment or further studies both in Australia and abroad. It </w:t>
      </w:r>
      <w:r w:rsidR="00CE046E">
        <w:t>is intended</w:t>
      </w:r>
      <w:r w:rsidRPr="003103CE">
        <w:t xml:space="preserve"> to make Australian awards better understood internationally and thus enhance the international mobility of graduates and Australia’s competitiveness in the international higher education export market.</w:t>
      </w:r>
    </w:p>
    <w:p w14:paraId="06CEB8C5" w14:textId="77777777" w:rsidR="002070C7" w:rsidRPr="003103CE" w:rsidRDefault="002070C7" w:rsidP="002070C7">
      <w:pPr>
        <w:pStyle w:val="Heading2"/>
        <w:rPr>
          <w:lang w:eastAsia="en-US"/>
        </w:rPr>
      </w:pPr>
      <w:r w:rsidRPr="003103CE">
        <w:rPr>
          <w:lang w:eastAsia="en-US"/>
        </w:rPr>
        <w:t>Background</w:t>
      </w:r>
    </w:p>
    <w:p w14:paraId="7BAB688B" w14:textId="6A5C4EF3" w:rsidR="002070C7" w:rsidRPr="003103CE" w:rsidRDefault="002070C7" w:rsidP="002070C7">
      <w:r w:rsidRPr="003103CE">
        <w:t xml:space="preserve">In 2007, the Australian Government announced that a consortium of universities had been commissioned to develop a single agreed template for an Australian version of the European Diploma Supplement. The successful consortium was led by Professor Richard James, Director of the Centre for the Study of Higher Education (CSHE) at the University of Melbourne, and Professor Lynn Meek, Director of the Centre for Higher Education Management and Policy at the University of New England. The final report, </w:t>
      </w:r>
      <w:r w:rsidRPr="003103CE">
        <w:rPr>
          <w:i/>
        </w:rPr>
        <w:t>Proposal for an Australian Higher Education Graduation Statement</w:t>
      </w:r>
      <w:r w:rsidRPr="003103CE">
        <w:t xml:space="preserve"> was released in </w:t>
      </w:r>
      <w:r w:rsidR="00305F16" w:rsidRPr="003103CE">
        <w:t>mid-2008</w:t>
      </w:r>
      <w:r w:rsidRPr="003103CE">
        <w:t>.</w:t>
      </w:r>
    </w:p>
    <w:p w14:paraId="3A7CC2CF" w14:textId="77777777" w:rsidR="002070C7" w:rsidRPr="003103CE" w:rsidRDefault="002070C7" w:rsidP="002070C7">
      <w:r w:rsidRPr="003103CE">
        <w:t xml:space="preserve">Key recommendations from the report were that an Australian Diploma Supplement be named the Australian Higher Education Graduation Statement, that the Statement should be provided without cost to all higher education graduates and that implementation in Australian universities should be on a voluntary basis commencing as soon as practicable in 2008. </w:t>
      </w:r>
    </w:p>
    <w:p w14:paraId="4DD9DC30" w14:textId="77777777" w:rsidR="002070C7" w:rsidRPr="003103CE" w:rsidRDefault="002070C7" w:rsidP="002070C7">
      <w:pPr>
        <w:pStyle w:val="Heading2"/>
        <w:rPr>
          <w:lang w:eastAsia="en-US"/>
        </w:rPr>
      </w:pPr>
      <w:r w:rsidRPr="003103CE">
        <w:rPr>
          <w:lang w:eastAsia="en-US"/>
        </w:rPr>
        <w:t>General Information</w:t>
      </w:r>
    </w:p>
    <w:p w14:paraId="057E3BD9" w14:textId="77777777" w:rsidR="003154B7" w:rsidRDefault="002070C7" w:rsidP="002070C7">
      <w:r w:rsidRPr="003103CE">
        <w:t xml:space="preserve">It is recommended that these guidelines be read in conjunction with the report </w:t>
      </w:r>
      <w:r w:rsidRPr="003103CE">
        <w:rPr>
          <w:i/>
        </w:rPr>
        <w:t>Proposal for an Australian Higher Education Graduation Statement</w:t>
      </w:r>
      <w:r w:rsidRPr="003103CE">
        <w:t xml:space="preserve">. </w:t>
      </w:r>
    </w:p>
    <w:p w14:paraId="56CAB83E" w14:textId="77777777" w:rsidR="002070C7" w:rsidRPr="003103CE" w:rsidRDefault="001D09A5" w:rsidP="002070C7">
      <w:hyperlink r:id="rId13" w:history="1">
        <w:r w:rsidR="002070C7" w:rsidRPr="003103CE">
          <w:t>Pages 10-11</w:t>
        </w:r>
      </w:hyperlink>
      <w:r w:rsidR="002070C7" w:rsidRPr="003103CE">
        <w:t xml:space="preserve"> of the report outline the Guiding Principles for the AHEGS which should be followed in the development of your AHEGS.</w:t>
      </w:r>
    </w:p>
    <w:p w14:paraId="5191B831" w14:textId="204776DB" w:rsidR="002070C7" w:rsidRPr="003103CE" w:rsidRDefault="002070C7" w:rsidP="002070C7">
      <w:r w:rsidRPr="003103CE">
        <w:lastRenderedPageBreak/>
        <w:t>While each issuing higher education provider is expected to follow these guidelines and provide specified information under the five sections, the layout in each case will be determined according to institutional practice, with institutions making their own decisions with respect to optional elements. It is expected that each institution will follow its own style in presenting information and including information from academic transcripts.</w:t>
      </w:r>
      <w:r w:rsidR="00D602B4">
        <w:t xml:space="preserve"> It is acknowledged that some institutions may provide graduates with digital graduation documents, including the AHEGS.</w:t>
      </w:r>
    </w:p>
    <w:p w14:paraId="3ACFEDFF" w14:textId="77777777" w:rsidR="002070C7" w:rsidRPr="003103CE" w:rsidRDefault="002070C7" w:rsidP="002070C7">
      <w:pPr>
        <w:pStyle w:val="Heading2"/>
        <w:rPr>
          <w:lang w:eastAsia="en-US"/>
        </w:rPr>
      </w:pPr>
      <w:r w:rsidRPr="003103CE">
        <w:rPr>
          <w:lang w:eastAsia="en-US"/>
        </w:rPr>
        <w:t>Contact Details</w:t>
      </w:r>
    </w:p>
    <w:p w14:paraId="1487F083" w14:textId="77777777" w:rsidR="002070C7" w:rsidRPr="003103CE" w:rsidRDefault="002070C7" w:rsidP="002070C7">
      <w:r w:rsidRPr="003103CE">
        <w:t>For all queries regarding the Australian Higher Education Graduation Statement please contact:</w:t>
      </w:r>
    </w:p>
    <w:p w14:paraId="4D1871B1" w14:textId="5700EDB3" w:rsidR="002070C7" w:rsidRPr="003103CE" w:rsidRDefault="002070C7" w:rsidP="002070C7">
      <w:pPr>
        <w:contextualSpacing/>
        <w:rPr>
          <w:rFonts w:cs="Arial"/>
          <w:color w:val="000000" w:themeColor="text1"/>
          <w:szCs w:val="22"/>
        </w:rPr>
      </w:pPr>
      <w:r w:rsidRPr="003103CE">
        <w:rPr>
          <w:rFonts w:cs="Arial"/>
          <w:color w:val="000000" w:themeColor="text1"/>
          <w:szCs w:val="22"/>
        </w:rPr>
        <w:t xml:space="preserve">Email: </w:t>
      </w:r>
      <w:hyperlink r:id="rId14" w:history="1">
        <w:r w:rsidR="000A6F04" w:rsidRPr="000A6F04">
          <w:rPr>
            <w:rStyle w:val="Hyperlink"/>
            <w:szCs w:val="22"/>
          </w:rPr>
          <w:t>AHEGS@dese</w:t>
        </w:r>
        <w:r w:rsidR="000A6F04" w:rsidRPr="00BE678E">
          <w:rPr>
            <w:rStyle w:val="Hyperlink"/>
            <w:szCs w:val="22"/>
          </w:rPr>
          <w:t>.gov.au</w:t>
        </w:r>
      </w:hyperlink>
      <w:r>
        <w:rPr>
          <w:rStyle w:val="Hyperlink"/>
          <w:rFonts w:cs="Arial"/>
          <w:szCs w:val="22"/>
        </w:rPr>
        <w:t xml:space="preserve"> </w:t>
      </w:r>
    </w:p>
    <w:p w14:paraId="6EDA4675" w14:textId="77777777" w:rsidR="002070C7" w:rsidRPr="003103CE" w:rsidRDefault="002070C7" w:rsidP="002070C7">
      <w:pPr>
        <w:pStyle w:val="Heading2"/>
        <w:rPr>
          <w:lang w:eastAsia="en-US"/>
        </w:rPr>
      </w:pPr>
      <w:r w:rsidRPr="003103CE">
        <w:rPr>
          <w:lang w:eastAsia="en-US"/>
        </w:rPr>
        <w:t>Layout and Details</w:t>
      </w:r>
    </w:p>
    <w:p w14:paraId="635C5381" w14:textId="77777777" w:rsidR="002070C7" w:rsidRPr="003103CE" w:rsidRDefault="002070C7" w:rsidP="002070C7">
      <w:pPr>
        <w:contextualSpacing/>
        <w:rPr>
          <w:rFonts w:cs="Arial"/>
          <w:color w:val="000000" w:themeColor="text1"/>
          <w:szCs w:val="22"/>
        </w:rPr>
      </w:pPr>
      <w:r w:rsidRPr="003103CE">
        <w:rPr>
          <w:rFonts w:cs="Arial"/>
          <w:color w:val="000000" w:themeColor="text1"/>
          <w:szCs w:val="22"/>
        </w:rPr>
        <w:t xml:space="preserve">The AHEGS consists of five sections, with the first four including </w:t>
      </w:r>
      <w:proofErr w:type="gramStart"/>
      <w:r w:rsidRPr="003103CE">
        <w:rPr>
          <w:rFonts w:cs="Arial"/>
          <w:color w:val="000000" w:themeColor="text1"/>
          <w:szCs w:val="22"/>
        </w:rPr>
        <w:t>a number of</w:t>
      </w:r>
      <w:proofErr w:type="gramEnd"/>
      <w:r w:rsidRPr="003103CE">
        <w:rPr>
          <w:rFonts w:cs="Arial"/>
          <w:color w:val="000000" w:themeColor="text1"/>
          <w:szCs w:val="22"/>
        </w:rPr>
        <w:t xml:space="preserve"> elements. Details to be provided in these sections are outlined below. It is a requirement that the five sections of the AHEGS be presented in the following order:</w:t>
      </w:r>
    </w:p>
    <w:p w14:paraId="5BF40C90" w14:textId="77777777" w:rsidR="002070C7" w:rsidRPr="002305E9" w:rsidRDefault="002070C7" w:rsidP="002070C7">
      <w:pPr>
        <w:pStyle w:val="ListBullet"/>
      </w:pPr>
      <w:r w:rsidRPr="002305E9">
        <w:t>Section 1 – The Graduate</w:t>
      </w:r>
    </w:p>
    <w:p w14:paraId="3C92D385" w14:textId="77777777" w:rsidR="002070C7" w:rsidRPr="002305E9" w:rsidRDefault="002070C7" w:rsidP="002070C7">
      <w:pPr>
        <w:pStyle w:val="ListBullet"/>
      </w:pPr>
      <w:r w:rsidRPr="002305E9">
        <w:t>Section 2 – The Award</w:t>
      </w:r>
    </w:p>
    <w:p w14:paraId="67C95BAC" w14:textId="77777777" w:rsidR="002070C7" w:rsidRPr="002305E9" w:rsidRDefault="002070C7" w:rsidP="002070C7">
      <w:pPr>
        <w:pStyle w:val="ListBullet"/>
      </w:pPr>
      <w:r w:rsidRPr="002305E9">
        <w:t>Section 3 – The Awarding Institution</w:t>
      </w:r>
    </w:p>
    <w:p w14:paraId="32CEC4D4" w14:textId="77777777" w:rsidR="002070C7" w:rsidRPr="002305E9" w:rsidRDefault="002070C7" w:rsidP="002070C7">
      <w:pPr>
        <w:pStyle w:val="ListBullet"/>
      </w:pPr>
      <w:r w:rsidRPr="002305E9">
        <w:t>Section 4 – The Graduate’s Academic Achievements</w:t>
      </w:r>
    </w:p>
    <w:p w14:paraId="4161CFB5" w14:textId="77777777" w:rsidR="002070C7" w:rsidRPr="002305E9" w:rsidRDefault="002070C7" w:rsidP="002070C7">
      <w:pPr>
        <w:pStyle w:val="ListBullet"/>
      </w:pPr>
      <w:r w:rsidRPr="002305E9">
        <w:t>Section 5 – Description of the Australian higher education system</w:t>
      </w:r>
    </w:p>
    <w:p w14:paraId="606A32A9" w14:textId="77777777" w:rsidR="002070C7" w:rsidRPr="003103CE" w:rsidRDefault="002070C7" w:rsidP="002070C7">
      <w:pPr>
        <w:contextualSpacing/>
        <w:rPr>
          <w:rFonts w:cs="Arial"/>
          <w:color w:val="000000" w:themeColor="text1"/>
          <w:szCs w:val="22"/>
        </w:rPr>
      </w:pPr>
    </w:p>
    <w:p w14:paraId="65266A6A" w14:textId="77777777" w:rsidR="002070C7" w:rsidRDefault="002070C7" w:rsidP="002070C7">
      <w:pPr>
        <w:pStyle w:val="Heading1"/>
        <w:pBdr>
          <w:bottom w:val="single" w:sz="4" w:space="1" w:color="auto"/>
        </w:pBdr>
        <w:spacing w:before="0" w:after="0"/>
        <w:contextualSpacing/>
        <w:rPr>
          <w:sz w:val="22"/>
          <w:szCs w:val="22"/>
          <w:lang w:eastAsia="en-US"/>
        </w:rPr>
        <w:sectPr w:rsidR="002070C7" w:rsidSect="00FA299A">
          <w:type w:val="continuous"/>
          <w:pgSz w:w="11906" w:h="16838" w:code="9"/>
          <w:pgMar w:top="1440" w:right="1701" w:bottom="1560" w:left="1797" w:header="709" w:footer="709" w:gutter="0"/>
          <w:pgNumType w:start="0"/>
          <w:cols w:space="708"/>
          <w:titlePg/>
          <w:docGrid w:linePitch="360"/>
        </w:sectPr>
      </w:pPr>
    </w:p>
    <w:p w14:paraId="0DCD495D" w14:textId="77777777" w:rsidR="002070C7" w:rsidRPr="003103CE" w:rsidRDefault="002070C7" w:rsidP="002070C7">
      <w:pPr>
        <w:pStyle w:val="Heading2"/>
        <w:rPr>
          <w:lang w:eastAsia="en-US"/>
        </w:rPr>
      </w:pPr>
      <w:r w:rsidRPr="003103CE">
        <w:rPr>
          <w:lang w:eastAsia="en-US"/>
        </w:rPr>
        <w:lastRenderedPageBreak/>
        <w:t>First Page Details</w:t>
      </w:r>
    </w:p>
    <w:p w14:paraId="46D803AE" w14:textId="5CEEEBBA" w:rsidR="002070C7" w:rsidRDefault="002070C7" w:rsidP="002070C7">
      <w:pPr>
        <w:contextualSpacing/>
        <w:rPr>
          <w:rFonts w:cs="Arial"/>
          <w:color w:val="000000" w:themeColor="text1"/>
          <w:szCs w:val="22"/>
        </w:rPr>
      </w:pPr>
      <w:r w:rsidRPr="003103CE">
        <w:rPr>
          <w:rFonts w:cs="Arial"/>
          <w:color w:val="000000" w:themeColor="text1"/>
          <w:szCs w:val="22"/>
        </w:rPr>
        <w:t>The following information should appear on the front page of the AHEGS.</w:t>
      </w:r>
    </w:p>
    <w:p w14:paraId="16F5AF9A" w14:textId="77777777" w:rsidR="002070C7" w:rsidRPr="00383819" w:rsidRDefault="002070C7" w:rsidP="002070C7">
      <w:pPr>
        <w:pStyle w:val="Heading3"/>
      </w:pPr>
      <w:r w:rsidRPr="00383819">
        <w:t>Compulsory Items:</w:t>
      </w:r>
    </w:p>
    <w:tbl>
      <w:tblPr>
        <w:tblW w:w="0" w:type="auto"/>
        <w:tblLook w:val="01E0" w:firstRow="1" w:lastRow="1" w:firstColumn="1" w:lastColumn="1" w:noHBand="0" w:noVBand="0"/>
      </w:tblPr>
      <w:tblGrid>
        <w:gridCol w:w="4186"/>
        <w:gridCol w:w="4222"/>
      </w:tblGrid>
      <w:tr w:rsidR="002070C7" w:rsidRPr="003103CE" w14:paraId="08FC52DB" w14:textId="77777777" w:rsidTr="00EC5A1F">
        <w:tc>
          <w:tcPr>
            <w:tcW w:w="4186" w:type="dxa"/>
          </w:tcPr>
          <w:p w14:paraId="44ADC5A4" w14:textId="77777777" w:rsidR="002070C7" w:rsidRPr="003103CE" w:rsidRDefault="002070C7" w:rsidP="007711A9">
            <w:pPr>
              <w:pStyle w:val="ListNumber"/>
              <w:tabs>
                <w:tab w:val="clear" w:pos="360"/>
                <w:tab w:val="num" w:pos="301"/>
              </w:tabs>
              <w:ind w:hanging="465"/>
              <w:rPr>
                <w:b w:val="0"/>
              </w:rPr>
            </w:pPr>
            <w:r w:rsidRPr="003103CE">
              <w:t>The AHEGS Logo</w:t>
            </w:r>
          </w:p>
          <w:p w14:paraId="59840D67" w14:textId="77777777" w:rsidR="002070C7" w:rsidRPr="003103CE" w:rsidRDefault="002070C7" w:rsidP="007711A9">
            <w:pPr>
              <w:ind w:left="-105"/>
              <w:contextualSpacing/>
              <w:rPr>
                <w:rFonts w:cs="Arial"/>
                <w:color w:val="000000" w:themeColor="text1"/>
              </w:rPr>
            </w:pPr>
            <w:r w:rsidRPr="003103CE">
              <w:rPr>
                <w:rFonts w:cs="Arial"/>
                <w:color w:val="000000" w:themeColor="text1"/>
                <w:szCs w:val="22"/>
              </w:rPr>
              <w:t>The AHEGS logo must be included on the AHEGS.</w:t>
            </w:r>
          </w:p>
          <w:p w14:paraId="21240805" w14:textId="77777777" w:rsidR="002070C7" w:rsidRPr="003103CE" w:rsidRDefault="002070C7" w:rsidP="00D10A0D">
            <w:pPr>
              <w:contextualSpacing/>
              <w:rPr>
                <w:rFonts w:cs="Arial"/>
                <w:color w:val="000000" w:themeColor="text1"/>
              </w:rPr>
            </w:pPr>
          </w:p>
        </w:tc>
        <w:tc>
          <w:tcPr>
            <w:tcW w:w="4222" w:type="dxa"/>
          </w:tcPr>
          <w:p w14:paraId="7E54743D" w14:textId="4538E95E" w:rsidR="002070C7" w:rsidRPr="003103CE" w:rsidRDefault="000C46E4" w:rsidP="00D10A0D">
            <w:pPr>
              <w:contextualSpacing/>
              <w:jc w:val="center"/>
              <w:rPr>
                <w:rFonts w:cs="Arial"/>
                <w:color w:val="000000" w:themeColor="text1"/>
              </w:rPr>
            </w:pPr>
            <w:r>
              <w:rPr>
                <w:noProof/>
              </w:rPr>
              <w:drawing>
                <wp:inline distT="0" distB="0" distL="0" distR="0" wp14:anchorId="335D9AFC" wp14:editId="5554A08B">
                  <wp:extent cx="1775008" cy="952500"/>
                  <wp:effectExtent l="0" t="0" r="0" b="0"/>
                  <wp:docPr id="10" name="Picture 10" descr="Australian Higher Education Graduation Stat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Higher Education Graduation Statement Logo"/>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1780124" cy="95524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23DCF75" w14:textId="77777777" w:rsidR="002070C7" w:rsidRPr="000C46E4" w:rsidRDefault="002070C7" w:rsidP="000C46E4">
      <w:pPr>
        <w:pStyle w:val="Heading4"/>
      </w:pPr>
      <w:r w:rsidRPr="000C46E4">
        <w:t>Notes:</w:t>
      </w:r>
    </w:p>
    <w:p w14:paraId="584C93B1" w14:textId="77777777" w:rsidR="002070C7" w:rsidRPr="003103CE" w:rsidRDefault="002070C7" w:rsidP="002070C7">
      <w:pPr>
        <w:pStyle w:val="ListBullet"/>
      </w:pPr>
      <w:r w:rsidRPr="003103CE">
        <w:t xml:space="preserve">The logo should appear in colour on the first page in the top </w:t>
      </w:r>
      <w:proofErr w:type="gramStart"/>
      <w:r w:rsidRPr="003103CE">
        <w:t>right hand</w:t>
      </w:r>
      <w:proofErr w:type="gramEnd"/>
      <w:r w:rsidRPr="003103CE">
        <w:t xml:space="preserve"> corner.</w:t>
      </w:r>
    </w:p>
    <w:p w14:paraId="0CCAE57D" w14:textId="77777777" w:rsidR="002070C7" w:rsidRPr="003103CE" w:rsidRDefault="002070C7" w:rsidP="002070C7">
      <w:pPr>
        <w:pStyle w:val="ListBullet"/>
      </w:pPr>
      <w:r w:rsidRPr="003103CE">
        <w:t>The width should be exactly 45mm and the background transparent.</w:t>
      </w:r>
    </w:p>
    <w:p w14:paraId="5ED2AD5F" w14:textId="77777777" w:rsidR="002070C7" w:rsidRPr="003103CE" w:rsidRDefault="002070C7" w:rsidP="002070C7">
      <w:pPr>
        <w:pStyle w:val="ListBullet"/>
      </w:pPr>
      <w:r w:rsidRPr="003103CE">
        <w:t>The logo must contain the ® symbol.</w:t>
      </w:r>
    </w:p>
    <w:p w14:paraId="535201DB" w14:textId="5669A51F" w:rsidR="002070C7" w:rsidRPr="003103CE" w:rsidRDefault="002070C7" w:rsidP="002070C7">
      <w:pPr>
        <w:pStyle w:val="ListBullet"/>
      </w:pPr>
      <w:r w:rsidRPr="003103CE">
        <w:t xml:space="preserve">As the logo is a registered trademark, it is a legal requirement that ALL institutions be licensed to use it. Please contact the Department </w:t>
      </w:r>
      <w:r w:rsidR="00305F16">
        <w:t xml:space="preserve">of Education, Skills and Employment </w:t>
      </w:r>
      <w:r w:rsidRPr="003103CE">
        <w:t xml:space="preserve">to obtain a licence deed </w:t>
      </w:r>
      <w:r w:rsidRPr="00927C64">
        <w:t>(</w:t>
      </w:r>
      <w:hyperlink r:id="rId16" w:history="1">
        <w:r w:rsidR="00927C64" w:rsidRPr="00BE437F">
          <w:rPr>
            <w:rStyle w:val="Hyperlink"/>
          </w:rPr>
          <w:t>AHEGS@dese.gov.au</w:t>
        </w:r>
      </w:hyperlink>
      <w:r w:rsidRPr="00927C64">
        <w:t>).</w:t>
      </w:r>
    </w:p>
    <w:p w14:paraId="7AF51787" w14:textId="760EB06D" w:rsidR="002070C7" w:rsidRPr="00927C64" w:rsidRDefault="002070C7" w:rsidP="00927C64">
      <w:pPr>
        <w:pStyle w:val="ListBullet"/>
      </w:pPr>
      <w:r w:rsidRPr="003103CE">
        <w:t xml:space="preserve">For a copy of the AHEGS logo, please send in your request via the AHEGS inbox </w:t>
      </w:r>
      <w:r w:rsidRPr="00927C64">
        <w:t>(</w:t>
      </w:r>
      <w:hyperlink r:id="rId17" w:history="1">
        <w:r w:rsidR="00927C64" w:rsidRPr="00BE437F">
          <w:rPr>
            <w:rStyle w:val="Hyperlink"/>
          </w:rPr>
          <w:t>AHEGS@dese.gov.au</w:t>
        </w:r>
      </w:hyperlink>
      <w:r w:rsidRPr="00927C64">
        <w:t>).</w:t>
      </w:r>
    </w:p>
    <w:p w14:paraId="27949A71" w14:textId="77777777" w:rsidR="002070C7" w:rsidRPr="003103CE" w:rsidRDefault="002070C7" w:rsidP="00927C64">
      <w:pPr>
        <w:pStyle w:val="ListNumber"/>
        <w:spacing w:before="480"/>
      </w:pPr>
      <w:r w:rsidRPr="003103CE">
        <w:t>Statement on the Australian Higher Education Graduation Statement</w:t>
      </w:r>
    </w:p>
    <w:p w14:paraId="0AF5B965" w14:textId="77777777" w:rsidR="002070C7" w:rsidRPr="003103CE" w:rsidRDefault="002070C7" w:rsidP="002070C7">
      <w:r w:rsidRPr="003103CE">
        <w:t xml:space="preserve">The following statement is </w:t>
      </w:r>
      <w:proofErr w:type="gramStart"/>
      <w:r w:rsidRPr="003103CE">
        <w:t>compulsory</w:t>
      </w:r>
      <w:proofErr w:type="gramEnd"/>
      <w:r w:rsidRPr="003103CE">
        <w:t xml:space="preserve"> and the content is provided by the Australian Government. All information must be reported in its entirety, without amendments:</w:t>
      </w:r>
    </w:p>
    <w:p w14:paraId="225A5814" w14:textId="77777777" w:rsidR="002070C7" w:rsidRPr="003103CE" w:rsidRDefault="002070C7" w:rsidP="00000F75">
      <w:pPr>
        <w:ind w:left="720"/>
      </w:pPr>
      <w:r w:rsidRPr="003103CE">
        <w:t xml:space="preserve">The Australian Higher Education Graduation Statement is provided by Australian higher education institutions to graduating students on completion of the requirements for a particular higher education award. It provides a description of the nature, level, </w:t>
      </w:r>
      <w:proofErr w:type="gramStart"/>
      <w:r w:rsidRPr="003103CE">
        <w:t>context</w:t>
      </w:r>
      <w:proofErr w:type="gramEnd"/>
      <w:r w:rsidRPr="003103CE">
        <w:t xml:space="preserve"> and status of studies that were pursued by the individual named. Its purpose is to assist in both national and international recognition of Australian qualifications and to promote international mobility and professional recognition of graduates.</w:t>
      </w:r>
    </w:p>
    <w:p w14:paraId="1B12CB76" w14:textId="77777777" w:rsidR="002070C7" w:rsidRPr="00927C64" w:rsidRDefault="002070C7" w:rsidP="00927C64">
      <w:pPr>
        <w:pStyle w:val="Heading4"/>
      </w:pPr>
      <w:r w:rsidRPr="00927C64">
        <w:t>Notes:</w:t>
      </w:r>
    </w:p>
    <w:p w14:paraId="1BD1C58A" w14:textId="4BDFF70F" w:rsidR="000A6F04" w:rsidRPr="00927C64" w:rsidRDefault="002070C7" w:rsidP="007B685F">
      <w:pPr>
        <w:pStyle w:val="ListBullet"/>
        <w:spacing w:after="200"/>
      </w:pPr>
      <w:r w:rsidRPr="003103CE">
        <w:t>Preferred placement of the above statement is directly underneath the AHEGS logo. Exact placement of this paragraph is at the institution’s discretion, but it must appear on the first page.</w:t>
      </w:r>
      <w:r w:rsidR="000A6F04">
        <w:br w:type="page"/>
      </w:r>
    </w:p>
    <w:p w14:paraId="59940A0F" w14:textId="77777777" w:rsidR="002070C7" w:rsidRPr="003103CE" w:rsidRDefault="002070C7" w:rsidP="002070C7">
      <w:pPr>
        <w:pStyle w:val="ListNumber"/>
      </w:pPr>
      <w:r w:rsidRPr="003103CE">
        <w:lastRenderedPageBreak/>
        <w:t>Certification</w:t>
      </w:r>
    </w:p>
    <w:p w14:paraId="4796AD23" w14:textId="6B955F71" w:rsidR="002070C7" w:rsidRPr="003103CE" w:rsidRDefault="002070C7" w:rsidP="008010A4">
      <w:pPr>
        <w:contextualSpacing/>
        <w:rPr>
          <w:rFonts w:cs="Arial"/>
          <w:color w:val="000000" w:themeColor="text1"/>
          <w:szCs w:val="22"/>
        </w:rPr>
      </w:pPr>
      <w:r w:rsidRPr="003103CE">
        <w:rPr>
          <w:rFonts w:cs="Arial"/>
          <w:color w:val="000000" w:themeColor="text1"/>
          <w:szCs w:val="22"/>
        </w:rPr>
        <w:t xml:space="preserve">The AHEGS must include certification </w:t>
      </w:r>
      <w:r w:rsidR="00E33DFD">
        <w:rPr>
          <w:rFonts w:cs="Arial"/>
          <w:color w:val="000000" w:themeColor="text1"/>
          <w:szCs w:val="22"/>
        </w:rPr>
        <w:t xml:space="preserve">by the </w:t>
      </w:r>
      <w:r w:rsidR="00E33DFD" w:rsidRPr="007C6B1B">
        <w:rPr>
          <w:rFonts w:cs="Arial"/>
          <w:color w:val="000000" w:themeColor="text1"/>
          <w:szCs w:val="22"/>
        </w:rPr>
        <w:t>person authorised by the higher education provider to issue the documentation</w:t>
      </w:r>
      <w:r w:rsidR="00E33DFD">
        <w:rPr>
          <w:rFonts w:cs="Arial"/>
          <w:color w:val="000000" w:themeColor="text1"/>
          <w:szCs w:val="22"/>
        </w:rPr>
        <w:t>,</w:t>
      </w:r>
      <w:r w:rsidR="00E33DFD" w:rsidRPr="003103CE">
        <w:rPr>
          <w:rFonts w:cs="Arial"/>
          <w:color w:val="000000" w:themeColor="text1"/>
          <w:szCs w:val="22"/>
        </w:rPr>
        <w:t xml:space="preserve"> </w:t>
      </w:r>
      <w:r w:rsidRPr="003103CE">
        <w:rPr>
          <w:rFonts w:cs="Arial"/>
          <w:color w:val="000000" w:themeColor="text1"/>
          <w:szCs w:val="22"/>
        </w:rPr>
        <w:t>containing the following information:</w:t>
      </w:r>
    </w:p>
    <w:p w14:paraId="7A7CE81C" w14:textId="77777777" w:rsidR="002070C7" w:rsidRPr="003103CE" w:rsidRDefault="002070C7" w:rsidP="008010A4">
      <w:pPr>
        <w:ind w:left="709"/>
        <w:contextualSpacing/>
        <w:rPr>
          <w:rFonts w:cs="Arial"/>
          <w:color w:val="000000" w:themeColor="text1"/>
          <w:szCs w:val="22"/>
        </w:rPr>
      </w:pPr>
      <w:r w:rsidRPr="003103CE">
        <w:rPr>
          <w:rFonts w:cs="Arial"/>
          <w:color w:val="000000" w:themeColor="text1"/>
          <w:szCs w:val="22"/>
        </w:rPr>
        <w:t>Date:</w:t>
      </w:r>
    </w:p>
    <w:p w14:paraId="24E1768E" w14:textId="77777777" w:rsidR="002070C7" w:rsidRPr="003103CE" w:rsidRDefault="002070C7" w:rsidP="008010A4">
      <w:pPr>
        <w:ind w:left="709"/>
        <w:contextualSpacing/>
        <w:rPr>
          <w:rFonts w:cs="Arial"/>
          <w:color w:val="000000" w:themeColor="text1"/>
          <w:szCs w:val="22"/>
        </w:rPr>
      </w:pPr>
      <w:r w:rsidRPr="003103CE">
        <w:rPr>
          <w:rFonts w:cs="Arial"/>
          <w:color w:val="000000" w:themeColor="text1"/>
          <w:szCs w:val="22"/>
        </w:rPr>
        <w:t>Signature:</w:t>
      </w:r>
    </w:p>
    <w:p w14:paraId="788DED24" w14:textId="77777777" w:rsidR="002070C7" w:rsidRPr="003103CE" w:rsidRDefault="002070C7" w:rsidP="008010A4">
      <w:pPr>
        <w:ind w:left="709"/>
        <w:contextualSpacing/>
        <w:rPr>
          <w:rFonts w:cs="Arial"/>
          <w:color w:val="000000" w:themeColor="text1"/>
          <w:szCs w:val="22"/>
        </w:rPr>
      </w:pPr>
      <w:r w:rsidRPr="003103CE">
        <w:rPr>
          <w:rFonts w:cs="Arial"/>
          <w:color w:val="000000" w:themeColor="text1"/>
          <w:szCs w:val="22"/>
        </w:rPr>
        <w:t xml:space="preserve">Capacity: </w:t>
      </w:r>
    </w:p>
    <w:p w14:paraId="6B1BA548" w14:textId="77777777" w:rsidR="002070C7" w:rsidRPr="008010A4" w:rsidRDefault="002070C7" w:rsidP="008010A4">
      <w:pPr>
        <w:pStyle w:val="Heading4"/>
      </w:pPr>
      <w:r w:rsidRPr="008010A4">
        <w:t>Notes:</w:t>
      </w:r>
    </w:p>
    <w:p w14:paraId="1EA0AF13" w14:textId="77777777" w:rsidR="002070C7" w:rsidRPr="003103CE" w:rsidRDefault="002070C7" w:rsidP="002070C7">
      <w:pPr>
        <w:pStyle w:val="ListParagraph"/>
        <w:numPr>
          <w:ilvl w:val="0"/>
          <w:numId w:val="7"/>
        </w:numPr>
        <w:rPr>
          <w:rFonts w:cs="Arial"/>
          <w:color w:val="000000" w:themeColor="text1"/>
          <w:szCs w:val="22"/>
        </w:rPr>
      </w:pPr>
      <w:r w:rsidRPr="003103CE">
        <w:rPr>
          <w:rFonts w:cs="Arial"/>
          <w:color w:val="000000" w:themeColor="text1"/>
          <w:szCs w:val="22"/>
        </w:rPr>
        <w:t>Exact placement of the certification is at the institution’s discretion, but it must appear on the first page.</w:t>
      </w:r>
    </w:p>
    <w:p w14:paraId="7CE59DE8" w14:textId="77777777" w:rsidR="002070C7" w:rsidRPr="003103CE" w:rsidRDefault="002070C7" w:rsidP="008010A4">
      <w:pPr>
        <w:pStyle w:val="ListNumber"/>
        <w:spacing w:before="360"/>
      </w:pPr>
      <w:r w:rsidRPr="003103CE">
        <w:t>Institutional Logo</w:t>
      </w:r>
    </w:p>
    <w:p w14:paraId="0FE7CD0A" w14:textId="77777777" w:rsidR="002070C7" w:rsidRPr="003103CE" w:rsidRDefault="002070C7" w:rsidP="002070C7">
      <w:pPr>
        <w:contextualSpacing/>
        <w:rPr>
          <w:rFonts w:cs="Arial"/>
          <w:color w:val="000000" w:themeColor="text1"/>
          <w:szCs w:val="22"/>
        </w:rPr>
      </w:pPr>
      <w:r w:rsidRPr="003103CE">
        <w:rPr>
          <w:rFonts w:cs="Arial"/>
          <w:color w:val="000000" w:themeColor="text1"/>
          <w:szCs w:val="22"/>
        </w:rPr>
        <w:t>Your institutional logo should appear on the first page of the AHEGS.</w:t>
      </w:r>
    </w:p>
    <w:p w14:paraId="1B69D3C3" w14:textId="77777777" w:rsidR="002070C7" w:rsidRPr="008010A4" w:rsidRDefault="002070C7" w:rsidP="008010A4">
      <w:pPr>
        <w:pStyle w:val="Heading4"/>
      </w:pPr>
      <w:r w:rsidRPr="008010A4">
        <w:t>Notes:</w:t>
      </w:r>
    </w:p>
    <w:p w14:paraId="45EDA7B2" w14:textId="77777777" w:rsidR="002070C7" w:rsidRPr="003103CE" w:rsidRDefault="002070C7" w:rsidP="002070C7">
      <w:pPr>
        <w:numPr>
          <w:ilvl w:val="0"/>
          <w:numId w:val="1"/>
        </w:numPr>
        <w:contextualSpacing/>
        <w:rPr>
          <w:rFonts w:cs="Arial"/>
          <w:color w:val="000000" w:themeColor="text1"/>
          <w:szCs w:val="22"/>
        </w:rPr>
      </w:pPr>
      <w:r w:rsidRPr="003103CE">
        <w:rPr>
          <w:rFonts w:cs="Arial"/>
          <w:color w:val="000000" w:themeColor="text1"/>
          <w:szCs w:val="22"/>
        </w:rPr>
        <w:t xml:space="preserve">In the case of </w:t>
      </w:r>
      <w:proofErr w:type="gramStart"/>
      <w:r w:rsidRPr="003103CE">
        <w:rPr>
          <w:rFonts w:cs="Arial"/>
          <w:color w:val="000000" w:themeColor="text1"/>
          <w:szCs w:val="22"/>
        </w:rPr>
        <w:t>jointly-badged</w:t>
      </w:r>
      <w:proofErr w:type="gramEnd"/>
      <w:r w:rsidRPr="003103CE">
        <w:rPr>
          <w:rFonts w:cs="Arial"/>
          <w:color w:val="000000" w:themeColor="text1"/>
          <w:szCs w:val="22"/>
        </w:rPr>
        <w:t xml:space="preserve"> qualifications, institutions may choose to include both/all institutions’ logos.</w:t>
      </w:r>
    </w:p>
    <w:p w14:paraId="494738EC" w14:textId="77777777" w:rsidR="002070C7" w:rsidRPr="003103CE" w:rsidRDefault="002070C7" w:rsidP="002070C7">
      <w:pPr>
        <w:pStyle w:val="ListParagraph"/>
        <w:numPr>
          <w:ilvl w:val="0"/>
          <w:numId w:val="7"/>
        </w:numPr>
        <w:rPr>
          <w:rFonts w:cs="Arial"/>
          <w:color w:val="000000" w:themeColor="text1"/>
          <w:szCs w:val="22"/>
        </w:rPr>
      </w:pPr>
      <w:r w:rsidRPr="003103CE">
        <w:rPr>
          <w:rFonts w:cs="Arial"/>
          <w:color w:val="000000" w:themeColor="text1"/>
          <w:szCs w:val="22"/>
        </w:rPr>
        <w:t>Exact placement of the institutional logo is at the institution’s discretion, but it must appear on the first page.</w:t>
      </w:r>
    </w:p>
    <w:p w14:paraId="07C09B57" w14:textId="77777777" w:rsidR="002070C7" w:rsidRPr="003103CE" w:rsidRDefault="002070C7" w:rsidP="002070C7">
      <w:pPr>
        <w:pStyle w:val="Heading2"/>
        <w:rPr>
          <w:lang w:eastAsia="en-US"/>
        </w:rPr>
      </w:pPr>
      <w:r w:rsidRPr="003103CE">
        <w:rPr>
          <w:lang w:eastAsia="en-US"/>
        </w:rPr>
        <w:t>Section One – The Graduate</w:t>
      </w:r>
    </w:p>
    <w:p w14:paraId="3131E98C" w14:textId="77777777" w:rsidR="002070C7" w:rsidRPr="003103CE" w:rsidRDefault="002070C7" w:rsidP="002070C7">
      <w:pPr>
        <w:contextualSpacing/>
        <w:rPr>
          <w:rFonts w:cs="Arial"/>
          <w:color w:val="000000" w:themeColor="text1"/>
          <w:szCs w:val="22"/>
        </w:rPr>
      </w:pPr>
      <w:r w:rsidRPr="003103CE">
        <w:rPr>
          <w:rFonts w:cs="Arial"/>
          <w:color w:val="000000" w:themeColor="text1"/>
          <w:szCs w:val="22"/>
        </w:rPr>
        <w:t>Section one shows basic details of the student.</w:t>
      </w:r>
    </w:p>
    <w:p w14:paraId="490B1423" w14:textId="77777777" w:rsidR="002070C7" w:rsidRPr="00383819" w:rsidRDefault="002070C7" w:rsidP="002070C7">
      <w:pPr>
        <w:pStyle w:val="Heading3"/>
      </w:pPr>
      <w:r w:rsidRPr="00383819">
        <w:t>Compulsory Items:</w:t>
      </w:r>
    </w:p>
    <w:p w14:paraId="14CC98FA" w14:textId="77777777" w:rsidR="002070C7" w:rsidRPr="003103CE" w:rsidRDefault="002070C7" w:rsidP="002070C7">
      <w:pPr>
        <w:ind w:left="720"/>
        <w:contextualSpacing/>
        <w:rPr>
          <w:rFonts w:cs="Arial"/>
          <w:color w:val="000000" w:themeColor="text1"/>
          <w:szCs w:val="22"/>
        </w:rPr>
      </w:pPr>
      <w:r w:rsidRPr="003103CE">
        <w:rPr>
          <w:rFonts w:cs="Arial"/>
          <w:color w:val="000000" w:themeColor="text1"/>
          <w:szCs w:val="22"/>
        </w:rPr>
        <w:t>Family name</w:t>
      </w:r>
    </w:p>
    <w:p w14:paraId="081559FC" w14:textId="77777777" w:rsidR="002070C7" w:rsidRPr="003103CE" w:rsidRDefault="002070C7" w:rsidP="002070C7">
      <w:pPr>
        <w:ind w:left="720"/>
        <w:contextualSpacing/>
        <w:rPr>
          <w:rFonts w:cs="Arial"/>
          <w:color w:val="000000" w:themeColor="text1"/>
          <w:szCs w:val="22"/>
        </w:rPr>
      </w:pPr>
      <w:r w:rsidRPr="003103CE">
        <w:rPr>
          <w:rFonts w:cs="Arial"/>
          <w:color w:val="000000" w:themeColor="text1"/>
          <w:szCs w:val="22"/>
        </w:rPr>
        <w:t>Given name(s)</w:t>
      </w:r>
    </w:p>
    <w:p w14:paraId="3629BDA3" w14:textId="77777777" w:rsidR="002070C7" w:rsidRPr="003103CE" w:rsidRDefault="002070C7" w:rsidP="002070C7">
      <w:pPr>
        <w:ind w:left="720"/>
        <w:contextualSpacing/>
        <w:rPr>
          <w:rFonts w:cs="Arial"/>
          <w:color w:val="000000" w:themeColor="text1"/>
          <w:szCs w:val="22"/>
        </w:rPr>
      </w:pPr>
      <w:r w:rsidRPr="003103CE">
        <w:rPr>
          <w:rFonts w:cs="Arial"/>
          <w:color w:val="000000" w:themeColor="text1"/>
          <w:szCs w:val="22"/>
        </w:rPr>
        <w:t>Student Number</w:t>
      </w:r>
    </w:p>
    <w:p w14:paraId="59F0C094" w14:textId="77777777" w:rsidR="002070C7" w:rsidRPr="00383819" w:rsidRDefault="002070C7" w:rsidP="002070C7">
      <w:pPr>
        <w:pStyle w:val="Heading3"/>
      </w:pPr>
      <w:r w:rsidRPr="00383819">
        <w:t>Optional Items:</w:t>
      </w:r>
    </w:p>
    <w:p w14:paraId="44ABA29F" w14:textId="77777777" w:rsidR="002070C7" w:rsidRPr="003103CE" w:rsidRDefault="002070C7" w:rsidP="002070C7">
      <w:pPr>
        <w:ind w:left="720"/>
        <w:contextualSpacing/>
        <w:rPr>
          <w:rFonts w:cs="Arial"/>
          <w:color w:val="000000" w:themeColor="text1"/>
          <w:szCs w:val="22"/>
        </w:rPr>
      </w:pPr>
      <w:r w:rsidRPr="003103CE">
        <w:rPr>
          <w:rFonts w:cs="Arial"/>
          <w:color w:val="000000" w:themeColor="text1"/>
          <w:szCs w:val="22"/>
        </w:rPr>
        <w:t>Date of birth</w:t>
      </w:r>
    </w:p>
    <w:p w14:paraId="66870760" w14:textId="77777777" w:rsidR="002070C7" w:rsidRPr="008010A4" w:rsidRDefault="002070C7" w:rsidP="008010A4">
      <w:pPr>
        <w:pStyle w:val="Heading4"/>
      </w:pPr>
      <w:r w:rsidRPr="008010A4">
        <w:t>Notes:</w:t>
      </w:r>
    </w:p>
    <w:p w14:paraId="26A7E87C" w14:textId="2F5DF6C3" w:rsidR="00840382" w:rsidRPr="008010A4" w:rsidRDefault="002070C7" w:rsidP="00613E5C">
      <w:pPr>
        <w:pStyle w:val="ListBullet"/>
        <w:spacing w:after="200"/>
        <w:rPr>
          <w:rFonts w:eastAsiaTheme="majorEastAsia"/>
          <w:lang w:eastAsia="en-US"/>
        </w:rPr>
      </w:pPr>
      <w:r w:rsidRPr="003103CE">
        <w:t>Date of birth can be with or without verification based on citing birth certificate.</w:t>
      </w:r>
      <w:r w:rsidR="00840382">
        <w:rPr>
          <w:lang w:eastAsia="en-US"/>
        </w:rPr>
        <w:br w:type="page"/>
      </w:r>
    </w:p>
    <w:p w14:paraId="128E971F" w14:textId="77777777" w:rsidR="002070C7" w:rsidRPr="003103CE" w:rsidRDefault="002070C7" w:rsidP="002070C7">
      <w:pPr>
        <w:pStyle w:val="Heading2"/>
        <w:rPr>
          <w:lang w:eastAsia="en-US"/>
        </w:rPr>
      </w:pPr>
      <w:r w:rsidRPr="003103CE">
        <w:rPr>
          <w:lang w:eastAsia="en-US"/>
        </w:rPr>
        <w:lastRenderedPageBreak/>
        <w:t>Section Two – The Award</w:t>
      </w:r>
    </w:p>
    <w:p w14:paraId="02A55A78" w14:textId="77777777" w:rsidR="002070C7" w:rsidRPr="003103CE" w:rsidRDefault="002070C7" w:rsidP="002070C7">
      <w:pPr>
        <w:contextualSpacing/>
        <w:rPr>
          <w:rFonts w:cs="Arial"/>
          <w:color w:val="000000" w:themeColor="text1"/>
          <w:szCs w:val="22"/>
        </w:rPr>
      </w:pPr>
      <w:r w:rsidRPr="003103CE">
        <w:rPr>
          <w:rFonts w:cs="Arial"/>
          <w:color w:val="000000" w:themeColor="text1"/>
          <w:szCs w:val="22"/>
        </w:rPr>
        <w:t>Section two shows details of the award. The focus is on the award, as named, and not on the specific academic pathway or achievements of the individual graduate.</w:t>
      </w:r>
    </w:p>
    <w:p w14:paraId="4DE85591" w14:textId="77777777" w:rsidR="002070C7" w:rsidRPr="00383819" w:rsidRDefault="002070C7" w:rsidP="002070C7">
      <w:pPr>
        <w:pStyle w:val="Heading3"/>
      </w:pPr>
      <w:r w:rsidRPr="00383819">
        <w:t>Compulsory Items:</w:t>
      </w:r>
    </w:p>
    <w:p w14:paraId="35781EC4" w14:textId="77777777" w:rsidR="002070C7" w:rsidRPr="00000F75" w:rsidRDefault="002070C7" w:rsidP="00000F75">
      <w:pPr>
        <w:pStyle w:val="ListNumber"/>
        <w:numPr>
          <w:ilvl w:val="0"/>
          <w:numId w:val="15"/>
        </w:numPr>
      </w:pPr>
      <w:r w:rsidRPr="003103CE">
        <w:t>Name of the Award</w:t>
      </w:r>
    </w:p>
    <w:p w14:paraId="5C410903" w14:textId="77777777" w:rsidR="002070C7" w:rsidRPr="003103CE" w:rsidRDefault="002070C7" w:rsidP="002070C7">
      <w:pPr>
        <w:contextualSpacing/>
        <w:rPr>
          <w:rFonts w:cs="Arial"/>
          <w:color w:val="000000" w:themeColor="text1"/>
          <w:szCs w:val="22"/>
        </w:rPr>
      </w:pPr>
      <w:r w:rsidRPr="003103CE">
        <w:rPr>
          <w:rFonts w:cs="Arial"/>
          <w:color w:val="000000" w:themeColor="text1"/>
          <w:szCs w:val="22"/>
        </w:rPr>
        <w:t xml:space="preserve">Full name </w:t>
      </w:r>
      <w:r>
        <w:rPr>
          <w:rFonts w:cs="Arial"/>
          <w:color w:val="000000" w:themeColor="text1"/>
          <w:szCs w:val="22"/>
        </w:rPr>
        <w:t xml:space="preserve">of </w:t>
      </w:r>
      <w:r w:rsidRPr="003103CE">
        <w:rPr>
          <w:rFonts w:cs="Arial"/>
          <w:color w:val="000000" w:themeColor="text1"/>
          <w:szCs w:val="22"/>
        </w:rPr>
        <w:t>the award and the field or fields of specialisation, where appropriate.</w:t>
      </w:r>
    </w:p>
    <w:p w14:paraId="14386FA9" w14:textId="77777777" w:rsidR="002070C7" w:rsidRPr="003103CE" w:rsidRDefault="002070C7" w:rsidP="00000F75">
      <w:pPr>
        <w:pStyle w:val="ListNumber"/>
      </w:pPr>
      <w:r w:rsidRPr="003103CE">
        <w:t>Detail</w:t>
      </w:r>
    </w:p>
    <w:p w14:paraId="54205333" w14:textId="77777777" w:rsidR="002070C7" w:rsidRPr="003103CE" w:rsidRDefault="002070C7" w:rsidP="002070C7">
      <w:pPr>
        <w:contextualSpacing/>
        <w:rPr>
          <w:rFonts w:cs="Arial"/>
          <w:color w:val="000000" w:themeColor="text1"/>
          <w:szCs w:val="22"/>
        </w:rPr>
      </w:pPr>
      <w:r w:rsidRPr="003103CE">
        <w:rPr>
          <w:rFonts w:cs="Arial"/>
          <w:color w:val="000000" w:themeColor="text1"/>
          <w:szCs w:val="22"/>
        </w:rPr>
        <w:t>Summary details of the award, including admission requirements, normal duration of study, language of instruction and Australian Qualifications Framework level. This may be provided by a generic statement or with reference to a website. For example:</w:t>
      </w:r>
    </w:p>
    <w:p w14:paraId="577AEFB2" w14:textId="77777777" w:rsidR="002070C7" w:rsidRPr="003103CE" w:rsidRDefault="002070C7" w:rsidP="002070C7">
      <w:pPr>
        <w:ind w:left="720"/>
        <w:rPr>
          <w:rFonts w:cs="Arial"/>
          <w:color w:val="000000" w:themeColor="text1"/>
          <w:szCs w:val="22"/>
        </w:rPr>
      </w:pPr>
      <w:r w:rsidRPr="003103CE">
        <w:rPr>
          <w:rFonts w:cs="Arial"/>
          <w:color w:val="000000" w:themeColor="text1"/>
          <w:szCs w:val="22"/>
        </w:rPr>
        <w:t>The Bachelor of Arts is an undergraduate</w:t>
      </w:r>
      <w:r w:rsidR="007E0188">
        <w:rPr>
          <w:rFonts w:cs="Arial"/>
          <w:color w:val="000000" w:themeColor="text1"/>
          <w:szCs w:val="22"/>
        </w:rPr>
        <w:t xml:space="preserve"> qualification consisting of 24 </w:t>
      </w:r>
      <w:r w:rsidRPr="003103CE">
        <w:rPr>
          <w:rFonts w:cs="Arial"/>
          <w:color w:val="000000" w:themeColor="text1"/>
          <w:szCs w:val="22"/>
        </w:rPr>
        <w:t>units, taught in English, which normally takes three years of full-time study or part-time equivalent.</w:t>
      </w:r>
      <w:r>
        <w:rPr>
          <w:rFonts w:cs="Arial"/>
          <w:color w:val="000000" w:themeColor="text1"/>
          <w:szCs w:val="22"/>
        </w:rPr>
        <w:t xml:space="preserve"> </w:t>
      </w:r>
      <w:r w:rsidRPr="003103CE">
        <w:rPr>
          <w:rFonts w:cs="Arial"/>
          <w:color w:val="000000" w:themeColor="text1"/>
          <w:szCs w:val="22"/>
        </w:rPr>
        <w:t xml:space="preserve">The program structure requires successful completion of two arts majors of seven units each and elective courses. The Bachelor of Arts is located at Level 7 of the Australian Qualifications Framework. </w:t>
      </w:r>
      <w:r w:rsidRPr="003A5CFB">
        <w:rPr>
          <w:rFonts w:cs="Arial"/>
          <w:iCs/>
          <w:color w:val="000000" w:themeColor="text1"/>
          <w:szCs w:val="22"/>
        </w:rPr>
        <w:t xml:space="preserve">Most students are admitted </w:t>
      </w:r>
      <w:proofErr w:type="gramStart"/>
      <w:r w:rsidRPr="003A5CFB">
        <w:rPr>
          <w:rFonts w:cs="Arial"/>
          <w:iCs/>
          <w:color w:val="000000" w:themeColor="text1"/>
          <w:szCs w:val="22"/>
        </w:rPr>
        <w:t>on the basis of</w:t>
      </w:r>
      <w:proofErr w:type="gramEnd"/>
      <w:r w:rsidRPr="003A5CFB">
        <w:rPr>
          <w:rFonts w:cs="Arial"/>
          <w:iCs/>
          <w:color w:val="000000" w:themeColor="text1"/>
          <w:szCs w:val="22"/>
        </w:rPr>
        <w:t xml:space="preserve"> XXXX</w:t>
      </w:r>
      <w:r>
        <w:rPr>
          <w:rFonts w:cs="Arial"/>
          <w:iCs/>
          <w:color w:val="000000" w:themeColor="text1"/>
          <w:szCs w:val="22"/>
        </w:rPr>
        <w:t>.</w:t>
      </w:r>
    </w:p>
    <w:p w14:paraId="185B86EB" w14:textId="525E4B78" w:rsidR="002070C7" w:rsidRPr="003103CE" w:rsidRDefault="002070C7" w:rsidP="002070C7">
      <w:pPr>
        <w:ind w:left="720"/>
        <w:rPr>
          <w:rFonts w:cs="Arial"/>
          <w:color w:val="000000" w:themeColor="text1"/>
          <w:szCs w:val="22"/>
        </w:rPr>
      </w:pPr>
      <w:r w:rsidRPr="003103CE">
        <w:rPr>
          <w:rFonts w:cs="Arial"/>
          <w:color w:val="000000" w:themeColor="text1"/>
          <w:szCs w:val="22"/>
        </w:rPr>
        <w:t>The Graduate Diploma (Languages) is a specialist postgraduate qualification consisting of eight units, taught in English, which normally takes three years of study and is available on a part-time basis only. The program structure requires the successful completion of one language unit in each of two semesters in the first and second years followed by the successful completion of two units in each of two semesters in the third year. The Graduate Diploma (Languages) is located at Level 8 of the Australian Qualifications Framework.</w:t>
      </w:r>
      <w:r>
        <w:rPr>
          <w:rFonts w:cs="Arial"/>
          <w:color w:val="000000" w:themeColor="text1"/>
          <w:szCs w:val="22"/>
        </w:rPr>
        <w:t xml:space="preserve">  </w:t>
      </w:r>
      <w:r w:rsidRPr="003A5CFB">
        <w:rPr>
          <w:rFonts w:cs="Arial"/>
          <w:iCs/>
          <w:color w:val="000000" w:themeColor="text1"/>
          <w:szCs w:val="22"/>
        </w:rPr>
        <w:t xml:space="preserve">Most students are admitted </w:t>
      </w:r>
      <w:proofErr w:type="gramStart"/>
      <w:r w:rsidRPr="003A5CFB">
        <w:rPr>
          <w:rFonts w:cs="Arial"/>
          <w:iCs/>
          <w:color w:val="000000" w:themeColor="text1"/>
          <w:szCs w:val="22"/>
        </w:rPr>
        <w:t>on the basis of</w:t>
      </w:r>
      <w:proofErr w:type="gramEnd"/>
      <w:r w:rsidRPr="003A5CFB">
        <w:rPr>
          <w:rFonts w:cs="Arial"/>
          <w:iCs/>
          <w:color w:val="000000" w:themeColor="text1"/>
          <w:szCs w:val="22"/>
        </w:rPr>
        <w:t xml:space="preserve"> XXXX</w:t>
      </w:r>
      <w:r>
        <w:rPr>
          <w:rFonts w:cs="Arial"/>
          <w:iCs/>
          <w:color w:val="000000" w:themeColor="text1"/>
          <w:szCs w:val="22"/>
        </w:rPr>
        <w:t>.</w:t>
      </w:r>
    </w:p>
    <w:p w14:paraId="46A53147" w14:textId="77777777" w:rsidR="002070C7" w:rsidRPr="003103CE" w:rsidRDefault="002070C7" w:rsidP="002070C7">
      <w:pPr>
        <w:ind w:left="720"/>
        <w:rPr>
          <w:rFonts w:cs="Arial"/>
          <w:color w:val="000000" w:themeColor="text1"/>
          <w:szCs w:val="22"/>
        </w:rPr>
      </w:pPr>
      <w:r w:rsidRPr="003103CE">
        <w:rPr>
          <w:rFonts w:cs="Arial"/>
          <w:color w:val="000000" w:themeColor="text1"/>
          <w:szCs w:val="22"/>
        </w:rPr>
        <w:t xml:space="preserve">The Master of Pharmacy is a specialist postgraduate qualification, taught in English, open to students who are suitable, successful graduates of human biology or biomedical sciences. Student must have successfully completed subjects of human biology, chemistry, biochemistry, microbiology </w:t>
      </w:r>
      <w:proofErr w:type="gramStart"/>
      <w:r w:rsidRPr="003103CE">
        <w:rPr>
          <w:rFonts w:cs="Arial"/>
          <w:color w:val="000000" w:themeColor="text1"/>
          <w:szCs w:val="22"/>
        </w:rPr>
        <w:t>and,</w:t>
      </w:r>
      <w:proofErr w:type="gramEnd"/>
      <w:r w:rsidRPr="003103CE">
        <w:rPr>
          <w:rFonts w:cs="Arial"/>
          <w:color w:val="000000" w:themeColor="text1"/>
          <w:szCs w:val="22"/>
        </w:rPr>
        <w:t xml:space="preserve"> anatomy and physiology. The program consists of two-years of full-time study. Once a pre-registration year is completed within Australia, and local board exams are passed, the graduates are licensed to practise as Registered Pharmacists in Australia. The Master of Pharmacy is located at Level 9 of the Australian </w:t>
      </w:r>
      <w:r w:rsidRPr="003103CE">
        <w:rPr>
          <w:rFonts w:cs="Arial"/>
          <w:color w:val="000000" w:themeColor="text1"/>
          <w:szCs w:val="22"/>
        </w:rPr>
        <w:lastRenderedPageBreak/>
        <w:t xml:space="preserve">Qualifications Framework. </w:t>
      </w:r>
      <w:r w:rsidRPr="003A5CFB">
        <w:rPr>
          <w:rFonts w:cs="Arial"/>
          <w:iCs/>
          <w:color w:val="000000" w:themeColor="text1"/>
          <w:szCs w:val="22"/>
        </w:rPr>
        <w:t xml:space="preserve">Most students are admitted </w:t>
      </w:r>
      <w:proofErr w:type="gramStart"/>
      <w:r w:rsidRPr="003A5CFB">
        <w:rPr>
          <w:rFonts w:cs="Arial"/>
          <w:iCs/>
          <w:color w:val="000000" w:themeColor="text1"/>
          <w:szCs w:val="22"/>
        </w:rPr>
        <w:t>on the basis of</w:t>
      </w:r>
      <w:proofErr w:type="gramEnd"/>
      <w:r w:rsidRPr="003A5CFB">
        <w:rPr>
          <w:rFonts w:cs="Arial"/>
          <w:iCs/>
          <w:color w:val="000000" w:themeColor="text1"/>
          <w:szCs w:val="22"/>
        </w:rPr>
        <w:t xml:space="preserve"> XXXX</w:t>
      </w:r>
      <w:r>
        <w:rPr>
          <w:rFonts w:cs="Arial"/>
          <w:iCs/>
          <w:color w:val="000000" w:themeColor="text1"/>
          <w:szCs w:val="22"/>
        </w:rPr>
        <w:t>.</w:t>
      </w:r>
    </w:p>
    <w:p w14:paraId="6AB18840" w14:textId="77777777" w:rsidR="002070C7" w:rsidRPr="008010A4" w:rsidRDefault="002070C7" w:rsidP="008010A4">
      <w:pPr>
        <w:pStyle w:val="Heading4"/>
      </w:pPr>
      <w:r w:rsidRPr="008010A4">
        <w:t>Notes:</w:t>
      </w:r>
    </w:p>
    <w:p w14:paraId="37C4E2C1" w14:textId="77777777" w:rsidR="002070C7" w:rsidRPr="003103CE" w:rsidRDefault="002070C7" w:rsidP="002070C7">
      <w:pPr>
        <w:numPr>
          <w:ilvl w:val="0"/>
          <w:numId w:val="2"/>
        </w:numPr>
        <w:contextualSpacing/>
        <w:rPr>
          <w:rFonts w:cs="Arial"/>
          <w:color w:val="000000" w:themeColor="text1"/>
          <w:szCs w:val="22"/>
        </w:rPr>
      </w:pPr>
      <w:r w:rsidRPr="003103CE">
        <w:rPr>
          <w:rFonts w:cs="Arial"/>
          <w:color w:val="000000" w:themeColor="text1"/>
          <w:szCs w:val="22"/>
        </w:rPr>
        <w:t>Institutions may choose the level of detail they wish to provide for this section.</w:t>
      </w:r>
    </w:p>
    <w:p w14:paraId="173BE859" w14:textId="77777777" w:rsidR="002070C7" w:rsidRPr="003103CE" w:rsidRDefault="002070C7" w:rsidP="002070C7">
      <w:pPr>
        <w:numPr>
          <w:ilvl w:val="0"/>
          <w:numId w:val="2"/>
        </w:numPr>
        <w:contextualSpacing/>
        <w:rPr>
          <w:rFonts w:cs="Arial"/>
          <w:color w:val="000000" w:themeColor="text1"/>
          <w:szCs w:val="22"/>
        </w:rPr>
      </w:pPr>
      <w:r w:rsidRPr="003103CE">
        <w:rPr>
          <w:rFonts w:cs="Arial"/>
          <w:color w:val="000000" w:themeColor="text1"/>
          <w:szCs w:val="22"/>
        </w:rPr>
        <w:t>It is acceptable not to go into details of majors/specialisations in this section.</w:t>
      </w:r>
    </w:p>
    <w:p w14:paraId="704D56D3" w14:textId="77777777" w:rsidR="002070C7" w:rsidRDefault="002070C7" w:rsidP="002070C7">
      <w:pPr>
        <w:numPr>
          <w:ilvl w:val="0"/>
          <w:numId w:val="2"/>
        </w:numPr>
        <w:contextualSpacing/>
        <w:rPr>
          <w:rFonts w:cs="Arial"/>
          <w:color w:val="000000" w:themeColor="text1"/>
          <w:szCs w:val="22"/>
        </w:rPr>
      </w:pPr>
      <w:r w:rsidRPr="003103CE">
        <w:rPr>
          <w:rFonts w:cs="Arial"/>
          <w:color w:val="000000" w:themeColor="text1"/>
          <w:szCs w:val="22"/>
        </w:rPr>
        <w:t>Admission requirements should be relevant to the time of entry to the course, where possible.</w:t>
      </w:r>
    </w:p>
    <w:p w14:paraId="08CE5227" w14:textId="77777777" w:rsidR="002070C7" w:rsidRPr="00383819" w:rsidRDefault="002070C7" w:rsidP="002070C7">
      <w:pPr>
        <w:pStyle w:val="Heading3"/>
      </w:pPr>
      <w:r w:rsidRPr="00840382">
        <w:t>Optional Items:</w:t>
      </w:r>
    </w:p>
    <w:p w14:paraId="1F1D294F" w14:textId="77777777" w:rsidR="002070C7" w:rsidRPr="003103CE" w:rsidRDefault="002070C7" w:rsidP="002070C7">
      <w:pPr>
        <w:pStyle w:val="Heading4"/>
      </w:pPr>
      <w:r w:rsidRPr="003103CE">
        <w:t>Features</w:t>
      </w:r>
    </w:p>
    <w:p w14:paraId="3CC688A7" w14:textId="77777777" w:rsidR="002070C7" w:rsidRPr="003103CE" w:rsidRDefault="002070C7" w:rsidP="002070C7">
      <w:pPr>
        <w:contextualSpacing/>
        <w:rPr>
          <w:rFonts w:cs="Arial"/>
          <w:color w:val="000000" w:themeColor="text1"/>
          <w:szCs w:val="22"/>
        </w:rPr>
      </w:pPr>
      <w:r w:rsidRPr="003103CE">
        <w:rPr>
          <w:rFonts w:cs="Arial"/>
          <w:color w:val="000000" w:themeColor="text1"/>
          <w:szCs w:val="22"/>
        </w:rPr>
        <w:t xml:space="preserve">Institutions may include a brief description of distinguishing features of the course, such as professional placements, industry-based </w:t>
      </w:r>
      <w:proofErr w:type="gramStart"/>
      <w:r w:rsidRPr="003103CE">
        <w:rPr>
          <w:rFonts w:cs="Arial"/>
          <w:color w:val="000000" w:themeColor="text1"/>
          <w:szCs w:val="22"/>
        </w:rPr>
        <w:t>learning</w:t>
      </w:r>
      <w:proofErr w:type="gramEnd"/>
      <w:r w:rsidRPr="003103CE">
        <w:rPr>
          <w:rFonts w:cs="Arial"/>
          <w:color w:val="000000" w:themeColor="text1"/>
          <w:szCs w:val="22"/>
        </w:rPr>
        <w:t xml:space="preserve"> or overseas study.</w:t>
      </w:r>
    </w:p>
    <w:p w14:paraId="56CDB308" w14:textId="77777777" w:rsidR="002070C7" w:rsidRPr="003103CE" w:rsidRDefault="002070C7" w:rsidP="002070C7">
      <w:pPr>
        <w:contextualSpacing/>
        <w:rPr>
          <w:rFonts w:cs="Arial"/>
          <w:color w:val="000000" w:themeColor="text1"/>
          <w:szCs w:val="22"/>
        </w:rPr>
      </w:pPr>
      <w:r w:rsidRPr="003103CE">
        <w:rPr>
          <w:rFonts w:cs="Arial"/>
          <w:color w:val="000000" w:themeColor="text1"/>
          <w:szCs w:val="22"/>
        </w:rPr>
        <w:t>If work integrated learning is a key part of the award, it is advisable that details are provided in this section.</w:t>
      </w:r>
    </w:p>
    <w:p w14:paraId="16CE36E6" w14:textId="77777777" w:rsidR="002070C7" w:rsidRPr="003103CE" w:rsidRDefault="002070C7" w:rsidP="002070C7">
      <w:pPr>
        <w:pStyle w:val="Heading4"/>
      </w:pPr>
      <w:r w:rsidRPr="003103CE">
        <w:t>Pathway to further study</w:t>
      </w:r>
    </w:p>
    <w:p w14:paraId="001CC9DC" w14:textId="77777777" w:rsidR="002070C7" w:rsidRPr="003103CE" w:rsidRDefault="002070C7" w:rsidP="002070C7">
      <w:pPr>
        <w:contextualSpacing/>
        <w:rPr>
          <w:rFonts w:cs="Arial"/>
          <w:color w:val="000000" w:themeColor="text1"/>
          <w:szCs w:val="22"/>
        </w:rPr>
      </w:pPr>
      <w:r w:rsidRPr="003103CE">
        <w:rPr>
          <w:rFonts w:cs="Arial"/>
          <w:color w:val="000000" w:themeColor="text1"/>
          <w:szCs w:val="22"/>
        </w:rPr>
        <w:t>Institutions may include summary details on further or advanced higher education awards for which this award typically serves as preparation. Links to websites for detailed or additional information may be included.</w:t>
      </w:r>
    </w:p>
    <w:p w14:paraId="0ED7D8F5" w14:textId="77777777" w:rsidR="002070C7" w:rsidRPr="003103CE" w:rsidRDefault="002070C7" w:rsidP="002070C7">
      <w:pPr>
        <w:pStyle w:val="Heading4"/>
      </w:pPr>
      <w:r w:rsidRPr="003103CE">
        <w:t>Course Accreditation</w:t>
      </w:r>
    </w:p>
    <w:p w14:paraId="3D56D117" w14:textId="10F2A9FC" w:rsidR="00E911E8" w:rsidRPr="008010A4" w:rsidRDefault="002070C7" w:rsidP="008010A4">
      <w:pPr>
        <w:contextualSpacing/>
        <w:rPr>
          <w:rFonts w:cs="Arial"/>
          <w:color w:val="000000" w:themeColor="text1"/>
          <w:szCs w:val="22"/>
        </w:rPr>
      </w:pPr>
      <w:r w:rsidRPr="003103CE">
        <w:rPr>
          <w:rFonts w:cs="Arial"/>
          <w:color w:val="000000" w:themeColor="text1"/>
          <w:szCs w:val="22"/>
        </w:rPr>
        <w:t>Institutions may include a statement regarding relevant accreditation of the course by external organisations, for example, professional accreditation associations, detailing the agency and the date of most recent accreditation. If the qualification confers on the graduate rights to practice within particular jurisdiction, relevant information should be provided.</w:t>
      </w:r>
    </w:p>
    <w:p w14:paraId="18483C64" w14:textId="77777777" w:rsidR="002070C7" w:rsidRPr="003103CE" w:rsidRDefault="002070C7" w:rsidP="002070C7">
      <w:pPr>
        <w:pStyle w:val="Heading2"/>
        <w:rPr>
          <w:lang w:eastAsia="en-US"/>
        </w:rPr>
      </w:pPr>
      <w:r w:rsidRPr="003103CE">
        <w:rPr>
          <w:lang w:eastAsia="en-US"/>
        </w:rPr>
        <w:t>Section Three – The Awarding Institution</w:t>
      </w:r>
    </w:p>
    <w:p w14:paraId="3CA6F7EF" w14:textId="77777777" w:rsidR="002070C7" w:rsidRPr="003103CE" w:rsidRDefault="002070C7" w:rsidP="002070C7">
      <w:pPr>
        <w:contextualSpacing/>
        <w:rPr>
          <w:rFonts w:cs="Arial"/>
          <w:color w:val="000000" w:themeColor="text1"/>
          <w:szCs w:val="22"/>
        </w:rPr>
      </w:pPr>
      <w:r w:rsidRPr="003103CE">
        <w:rPr>
          <w:rFonts w:cs="Arial"/>
          <w:color w:val="000000" w:themeColor="text1"/>
          <w:szCs w:val="22"/>
        </w:rPr>
        <w:t xml:space="preserve">Section three shows details of the awarding institution. The text in this section will be the same for all graduates from the particular institution, with some exceptions (for example, </w:t>
      </w:r>
      <w:proofErr w:type="gramStart"/>
      <w:r w:rsidRPr="003103CE">
        <w:rPr>
          <w:rFonts w:cs="Arial"/>
          <w:color w:val="000000" w:themeColor="text1"/>
          <w:szCs w:val="22"/>
        </w:rPr>
        <w:t>jointly-badged</w:t>
      </w:r>
      <w:proofErr w:type="gramEnd"/>
      <w:r w:rsidRPr="003103CE">
        <w:rPr>
          <w:rFonts w:cs="Arial"/>
          <w:color w:val="000000" w:themeColor="text1"/>
          <w:szCs w:val="22"/>
        </w:rPr>
        <w:t xml:space="preserve"> awards and Open Universities Australia Awards).</w:t>
      </w:r>
    </w:p>
    <w:p w14:paraId="622F74AB" w14:textId="77777777" w:rsidR="002070C7" w:rsidRPr="00383819" w:rsidRDefault="002070C7" w:rsidP="002070C7">
      <w:pPr>
        <w:pStyle w:val="Heading3"/>
      </w:pPr>
      <w:r w:rsidRPr="00383819">
        <w:t>Compulsory Items:</w:t>
      </w:r>
    </w:p>
    <w:p w14:paraId="5D2C93D4" w14:textId="77777777" w:rsidR="002070C7" w:rsidRPr="003103CE" w:rsidRDefault="002070C7" w:rsidP="00000F75">
      <w:pPr>
        <w:pStyle w:val="ListNumber3"/>
        <w:tabs>
          <w:tab w:val="clear" w:pos="926"/>
        </w:tabs>
        <w:ind w:left="360"/>
      </w:pPr>
      <w:r w:rsidRPr="003103CE">
        <w:t>Awarding Institution</w:t>
      </w:r>
    </w:p>
    <w:p w14:paraId="12300269" w14:textId="2C1C973D" w:rsidR="002070C7" w:rsidRPr="008010A4" w:rsidRDefault="002070C7" w:rsidP="008010A4">
      <w:r w:rsidRPr="003103CE">
        <w:lastRenderedPageBreak/>
        <w:t>Include a brief description (preferably one or two sentences) of the institution including provider category, date of founding and legislation of establishment</w:t>
      </w:r>
      <w:r w:rsidR="00A70A7A">
        <w:t xml:space="preserve"> (if applicable)</w:t>
      </w:r>
      <w:r w:rsidRPr="003103CE">
        <w:t xml:space="preserve">. All institutions should provide information on their inclusion on the Tertiary Education Quality and Standard Agency’s National Register of Higher Education Providers. Institutions listed on the Commonwealth Register of Institutions and Courses for Overseas Students (CRICOS) should include their </w:t>
      </w:r>
      <w:r w:rsidRPr="008010A4">
        <w:t>registration number in this section.</w:t>
      </w:r>
    </w:p>
    <w:p w14:paraId="6699CDDA" w14:textId="77777777" w:rsidR="002070C7" w:rsidRPr="008010A4" w:rsidRDefault="002070C7" w:rsidP="008010A4">
      <w:r w:rsidRPr="008010A4">
        <w:t xml:space="preserve">For example, for Australian Universities: </w:t>
      </w:r>
    </w:p>
    <w:p w14:paraId="4BDD8084" w14:textId="541E2EA2" w:rsidR="002070C7" w:rsidRPr="008010A4" w:rsidRDefault="002070C7" w:rsidP="008010A4">
      <w:pPr>
        <w:ind w:left="709"/>
      </w:pPr>
      <w:r w:rsidRPr="008010A4">
        <w:t>The University of X is a public university recognised for excellence in teaching and learning. The University was established by an Act of the South Australian Parliament in 1984 and is listed as an Australian University on the Tertiary Education Quality and Standards Agency’s National Register of Higher Education Providers. The University’s Commonwealth Register of Institutions and Courses for Overseas Students number is 12345X.</w:t>
      </w:r>
    </w:p>
    <w:p w14:paraId="68520386" w14:textId="761EBF38" w:rsidR="002070C7" w:rsidRPr="008010A4" w:rsidRDefault="002070C7" w:rsidP="008010A4">
      <w:pPr>
        <w:ind w:left="709"/>
      </w:pPr>
      <w:r w:rsidRPr="008010A4">
        <w:t xml:space="preserve">Additional information can be found at </w:t>
      </w:r>
      <w:hyperlink r:id="rId18" w:history="1">
        <w:r w:rsidR="008010A4" w:rsidRPr="008010A4">
          <w:rPr>
            <w:rStyle w:val="Hyperlink"/>
          </w:rPr>
          <w:t>www.uniX.edu.au</w:t>
        </w:r>
      </w:hyperlink>
      <w:r w:rsidR="008010A4" w:rsidRPr="008010A4">
        <w:t>.</w:t>
      </w:r>
    </w:p>
    <w:p w14:paraId="10A0F075" w14:textId="52D56363" w:rsidR="002070C7" w:rsidRPr="008010A4" w:rsidRDefault="002070C7" w:rsidP="008010A4">
      <w:r w:rsidRPr="008010A4">
        <w:t xml:space="preserve">For example, for </w:t>
      </w:r>
      <w:r w:rsidR="00F14ADF" w:rsidRPr="008010A4">
        <w:t>other h</w:t>
      </w:r>
      <w:r w:rsidRPr="008010A4">
        <w:t xml:space="preserve">igher </w:t>
      </w:r>
      <w:r w:rsidR="00F14ADF" w:rsidRPr="008010A4">
        <w:t>e</w:t>
      </w:r>
      <w:r w:rsidRPr="008010A4">
        <w:t xml:space="preserve">ducation </w:t>
      </w:r>
      <w:r w:rsidR="00F14ADF" w:rsidRPr="008010A4">
        <w:t>p</w:t>
      </w:r>
      <w:r w:rsidRPr="008010A4">
        <w:t>roviders:</w:t>
      </w:r>
    </w:p>
    <w:p w14:paraId="63B29460" w14:textId="785F930C" w:rsidR="002070C7" w:rsidRPr="008010A4" w:rsidRDefault="002070C7" w:rsidP="008010A4">
      <w:pPr>
        <w:ind w:left="709"/>
      </w:pPr>
      <w:r w:rsidRPr="008010A4">
        <w:t>The Institute of X is a private higher education provider recognised for excellence in teaching and learning. The Institute was founded in Adelaide in 1984 and is listed as a</w:t>
      </w:r>
      <w:r w:rsidR="000A0AD8" w:rsidRPr="008010A4">
        <w:t>n Institute of Higher Education</w:t>
      </w:r>
      <w:r w:rsidRPr="008010A4">
        <w:t xml:space="preserve"> on the Tertiary Education Quality and Standards Agency’s National Register of Higher Education Providers. The Institute’s Commonwealth Register of Institutions and Courses for Overseas Students number is 12345X.</w:t>
      </w:r>
    </w:p>
    <w:p w14:paraId="0E2F2773" w14:textId="401D29C0" w:rsidR="00840382" w:rsidRPr="008010A4" w:rsidRDefault="002070C7" w:rsidP="008010A4">
      <w:pPr>
        <w:ind w:left="709"/>
      </w:pPr>
      <w:r w:rsidRPr="008010A4">
        <w:t xml:space="preserve">Additional information can be found at </w:t>
      </w:r>
      <w:hyperlink r:id="rId19" w:history="1">
        <w:r w:rsidR="008010A4" w:rsidRPr="00BE437F">
          <w:rPr>
            <w:rStyle w:val="Hyperlink"/>
          </w:rPr>
          <w:t>www.instituteX.edu.au</w:t>
        </w:r>
      </w:hyperlink>
      <w:r w:rsidRPr="008010A4">
        <w:t>.</w:t>
      </w:r>
    </w:p>
    <w:p w14:paraId="7568BCF1" w14:textId="77777777" w:rsidR="002070C7" w:rsidRPr="008010A4" w:rsidRDefault="002070C7" w:rsidP="008010A4">
      <w:pPr>
        <w:pStyle w:val="Heading4"/>
      </w:pPr>
      <w:r w:rsidRPr="008010A4">
        <w:t>Notes:</w:t>
      </w:r>
    </w:p>
    <w:p w14:paraId="4E25622F" w14:textId="77777777" w:rsidR="002070C7" w:rsidRPr="003103CE" w:rsidRDefault="002070C7" w:rsidP="002070C7">
      <w:pPr>
        <w:numPr>
          <w:ilvl w:val="0"/>
          <w:numId w:val="3"/>
        </w:numPr>
        <w:contextualSpacing/>
        <w:rPr>
          <w:rFonts w:cs="Arial"/>
          <w:color w:val="000000" w:themeColor="text1"/>
          <w:szCs w:val="22"/>
        </w:rPr>
      </w:pPr>
      <w:r w:rsidRPr="003103CE">
        <w:rPr>
          <w:rFonts w:cs="Arial"/>
          <w:color w:val="000000" w:themeColor="text1"/>
          <w:szCs w:val="22"/>
        </w:rPr>
        <w:t>Links to institutional websites may be provided for additional information.</w:t>
      </w:r>
    </w:p>
    <w:p w14:paraId="0B349000" w14:textId="77777777" w:rsidR="002070C7" w:rsidRPr="003103CE" w:rsidRDefault="002070C7" w:rsidP="002070C7">
      <w:pPr>
        <w:numPr>
          <w:ilvl w:val="0"/>
          <w:numId w:val="3"/>
        </w:numPr>
        <w:contextualSpacing/>
        <w:rPr>
          <w:rFonts w:cs="Arial"/>
          <w:color w:val="000000" w:themeColor="text1"/>
          <w:szCs w:val="22"/>
        </w:rPr>
      </w:pPr>
      <w:r w:rsidRPr="003103CE">
        <w:rPr>
          <w:rFonts w:cs="Arial"/>
          <w:color w:val="000000" w:themeColor="text1"/>
          <w:szCs w:val="22"/>
        </w:rPr>
        <w:t xml:space="preserve">Where the course is a </w:t>
      </w:r>
      <w:proofErr w:type="gramStart"/>
      <w:r w:rsidRPr="003103CE">
        <w:rPr>
          <w:rFonts w:cs="Arial"/>
          <w:color w:val="000000" w:themeColor="text1"/>
          <w:szCs w:val="22"/>
        </w:rPr>
        <w:t>jointly-badged</w:t>
      </w:r>
      <w:proofErr w:type="gramEnd"/>
      <w:r w:rsidRPr="003103CE">
        <w:rPr>
          <w:rFonts w:cs="Arial"/>
          <w:color w:val="000000" w:themeColor="text1"/>
          <w:szCs w:val="22"/>
        </w:rPr>
        <w:t xml:space="preserve"> award with another institution, or is delivered by another institution, including overseas institutions, details of the arrangement should be provided.</w:t>
      </w:r>
    </w:p>
    <w:p w14:paraId="7A850B31" w14:textId="1571955C" w:rsidR="002070C7" w:rsidRDefault="002070C7" w:rsidP="002070C7">
      <w:pPr>
        <w:numPr>
          <w:ilvl w:val="0"/>
          <w:numId w:val="3"/>
        </w:numPr>
        <w:contextualSpacing/>
        <w:rPr>
          <w:rFonts w:cs="Arial"/>
          <w:color w:val="000000" w:themeColor="text1"/>
          <w:szCs w:val="22"/>
        </w:rPr>
      </w:pPr>
      <w:r w:rsidRPr="003103CE">
        <w:rPr>
          <w:rFonts w:cs="Arial"/>
          <w:color w:val="000000" w:themeColor="text1"/>
          <w:szCs w:val="22"/>
        </w:rPr>
        <w:t>If the course was completed by Open Universities Australia, details of the arrangement should be provided in this section.</w:t>
      </w:r>
    </w:p>
    <w:p w14:paraId="5D0B43AC" w14:textId="77777777" w:rsidR="002070C7" w:rsidRPr="003103CE" w:rsidRDefault="002070C7" w:rsidP="002070C7">
      <w:pPr>
        <w:pStyle w:val="Heading2"/>
        <w:rPr>
          <w:lang w:eastAsia="en-US"/>
        </w:rPr>
      </w:pPr>
      <w:r w:rsidRPr="003103CE">
        <w:rPr>
          <w:lang w:eastAsia="en-US"/>
        </w:rPr>
        <w:t>Section Four – The Graduate’s Academic Achievements</w:t>
      </w:r>
    </w:p>
    <w:p w14:paraId="0EC2C1BE" w14:textId="77777777" w:rsidR="002070C7" w:rsidRPr="003103CE" w:rsidRDefault="002070C7" w:rsidP="002070C7">
      <w:pPr>
        <w:contextualSpacing/>
        <w:rPr>
          <w:rFonts w:cs="Arial"/>
          <w:color w:val="000000" w:themeColor="text1"/>
          <w:szCs w:val="22"/>
        </w:rPr>
      </w:pPr>
      <w:r w:rsidRPr="003103CE">
        <w:rPr>
          <w:rFonts w:cs="Arial"/>
          <w:color w:val="000000" w:themeColor="text1"/>
          <w:szCs w:val="22"/>
        </w:rPr>
        <w:t>Section Four shows details of the graduate’s academic achievements. This section is therefore unique to individual graduates.</w:t>
      </w:r>
    </w:p>
    <w:p w14:paraId="746B0083" w14:textId="77777777" w:rsidR="002070C7" w:rsidRPr="00383819" w:rsidRDefault="002070C7" w:rsidP="002070C7">
      <w:pPr>
        <w:pStyle w:val="Heading3"/>
      </w:pPr>
      <w:r w:rsidRPr="00383819">
        <w:lastRenderedPageBreak/>
        <w:t>Compulsory Items:</w:t>
      </w:r>
    </w:p>
    <w:p w14:paraId="35A0F27A" w14:textId="77777777" w:rsidR="002070C7" w:rsidRPr="003103CE" w:rsidRDefault="002070C7" w:rsidP="008010A4">
      <w:pPr>
        <w:pStyle w:val="ListNumber4"/>
        <w:keepNext/>
        <w:tabs>
          <w:tab w:val="clear" w:pos="1209"/>
          <w:tab w:val="num" w:pos="360"/>
        </w:tabs>
        <w:ind w:left="357" w:hanging="357"/>
      </w:pPr>
      <w:r w:rsidRPr="003103CE">
        <w:t>Course Details</w:t>
      </w:r>
    </w:p>
    <w:p w14:paraId="7A82F959" w14:textId="77777777" w:rsidR="002070C7" w:rsidRPr="008010A4" w:rsidRDefault="002070C7" w:rsidP="008010A4">
      <w:r w:rsidRPr="008010A4">
        <w:t xml:space="preserve">This section should contain relevant information pertaining to units of study undertaken toward this award, </w:t>
      </w:r>
      <w:proofErr w:type="gramStart"/>
      <w:r w:rsidRPr="008010A4">
        <w:t>whether or not</w:t>
      </w:r>
      <w:proofErr w:type="gramEnd"/>
      <w:r w:rsidRPr="008010A4">
        <w:t xml:space="preserve"> these were successfully completed. Included should be the </w:t>
      </w:r>
      <w:proofErr w:type="gramStart"/>
      <w:r w:rsidRPr="008010A4">
        <w:t>unit</w:t>
      </w:r>
      <w:proofErr w:type="gramEnd"/>
      <w:r w:rsidRPr="008010A4">
        <w:t xml:space="preserve"> name, institutional unit code, credit point value and grade.</w:t>
      </w:r>
    </w:p>
    <w:p w14:paraId="5237BD60" w14:textId="77777777" w:rsidR="002070C7" w:rsidRPr="008010A4" w:rsidRDefault="002070C7" w:rsidP="008010A4">
      <w:pPr>
        <w:pStyle w:val="Heading4"/>
      </w:pPr>
      <w:r w:rsidRPr="008010A4">
        <w:t>Notes:</w:t>
      </w:r>
    </w:p>
    <w:p w14:paraId="3F68FB72" w14:textId="77777777" w:rsidR="002070C7" w:rsidRPr="003103CE" w:rsidRDefault="002070C7" w:rsidP="002070C7">
      <w:pPr>
        <w:numPr>
          <w:ilvl w:val="0"/>
          <w:numId w:val="4"/>
        </w:numPr>
        <w:contextualSpacing/>
        <w:rPr>
          <w:rFonts w:cs="Arial"/>
          <w:color w:val="000000" w:themeColor="text1"/>
          <w:szCs w:val="22"/>
        </w:rPr>
      </w:pPr>
      <w:r w:rsidRPr="003103CE">
        <w:rPr>
          <w:rFonts w:cs="Arial"/>
          <w:color w:val="000000" w:themeColor="text1"/>
          <w:szCs w:val="22"/>
        </w:rPr>
        <w:t xml:space="preserve">All units of study contributing to the award should be included. </w:t>
      </w:r>
    </w:p>
    <w:p w14:paraId="398309A6" w14:textId="77777777" w:rsidR="002070C7" w:rsidRPr="003103CE" w:rsidRDefault="002070C7" w:rsidP="002070C7">
      <w:pPr>
        <w:numPr>
          <w:ilvl w:val="0"/>
          <w:numId w:val="4"/>
        </w:numPr>
        <w:contextualSpacing/>
        <w:rPr>
          <w:rFonts w:cs="Arial"/>
          <w:color w:val="000000" w:themeColor="text1"/>
          <w:szCs w:val="22"/>
        </w:rPr>
      </w:pPr>
      <w:r w:rsidRPr="003103CE">
        <w:rPr>
          <w:rFonts w:cs="Arial"/>
          <w:color w:val="000000" w:themeColor="text1"/>
          <w:szCs w:val="22"/>
        </w:rPr>
        <w:t>Details of credit or advanced standing given for previous study or study at other institutions should be provided.</w:t>
      </w:r>
    </w:p>
    <w:p w14:paraId="7315F8D9" w14:textId="77777777" w:rsidR="002070C7" w:rsidRPr="003103CE" w:rsidRDefault="002070C7" w:rsidP="002070C7">
      <w:pPr>
        <w:numPr>
          <w:ilvl w:val="0"/>
          <w:numId w:val="4"/>
        </w:numPr>
        <w:contextualSpacing/>
        <w:rPr>
          <w:rFonts w:cs="Arial"/>
          <w:color w:val="000000" w:themeColor="text1"/>
          <w:szCs w:val="22"/>
        </w:rPr>
      </w:pPr>
      <w:r w:rsidRPr="003103CE">
        <w:rPr>
          <w:rFonts w:cs="Arial"/>
          <w:color w:val="000000" w:themeColor="text1"/>
          <w:szCs w:val="22"/>
        </w:rPr>
        <w:t>Fail grades must be included.</w:t>
      </w:r>
    </w:p>
    <w:p w14:paraId="55F87342" w14:textId="2DD83093" w:rsidR="002070C7" w:rsidRPr="008010A4" w:rsidRDefault="002070C7" w:rsidP="008010A4">
      <w:pPr>
        <w:numPr>
          <w:ilvl w:val="0"/>
          <w:numId w:val="4"/>
        </w:numPr>
        <w:contextualSpacing/>
        <w:rPr>
          <w:rFonts w:cs="Arial"/>
          <w:color w:val="000000" w:themeColor="text1"/>
          <w:szCs w:val="22"/>
        </w:rPr>
      </w:pPr>
      <w:r w:rsidRPr="003103CE">
        <w:rPr>
          <w:rFonts w:cs="Arial"/>
          <w:color w:val="000000" w:themeColor="text1"/>
          <w:szCs w:val="22"/>
        </w:rPr>
        <w:t>For higher research qualifications, the thesis title and a 100-word abstract should be included.</w:t>
      </w:r>
    </w:p>
    <w:p w14:paraId="376A8E08" w14:textId="77777777" w:rsidR="002070C7" w:rsidRPr="003103CE" w:rsidRDefault="002070C7" w:rsidP="00000F75">
      <w:pPr>
        <w:pStyle w:val="ListNumber4"/>
        <w:tabs>
          <w:tab w:val="clear" w:pos="1209"/>
          <w:tab w:val="num" w:pos="360"/>
        </w:tabs>
        <w:ind w:left="360"/>
      </w:pPr>
      <w:r w:rsidRPr="003103CE">
        <w:t>Key to grading</w:t>
      </w:r>
    </w:p>
    <w:p w14:paraId="0DD7A7B2" w14:textId="59CC31D8" w:rsidR="002070C7" w:rsidRPr="008F599B" w:rsidRDefault="002070C7" w:rsidP="008F599B">
      <w:r w:rsidRPr="008F599B">
        <w:t>Provide details of the institutional system for grading units and, where appropriate, for grading the award. For example:</w:t>
      </w:r>
    </w:p>
    <w:tbl>
      <w:tblPr>
        <w:tblStyle w:val="TableGridLight"/>
        <w:tblW w:w="0" w:type="auto"/>
        <w:tblLook w:val="04A0" w:firstRow="1" w:lastRow="0" w:firstColumn="1" w:lastColumn="0" w:noHBand="0" w:noVBand="1"/>
      </w:tblPr>
      <w:tblGrid>
        <w:gridCol w:w="4199"/>
        <w:gridCol w:w="4199"/>
      </w:tblGrid>
      <w:tr w:rsidR="008F599B" w:rsidRPr="008F599B" w14:paraId="16E6D299" w14:textId="77777777" w:rsidTr="008F599B">
        <w:trPr>
          <w:tblHeader/>
        </w:trPr>
        <w:tc>
          <w:tcPr>
            <w:tcW w:w="4199" w:type="dxa"/>
            <w:shd w:val="clear" w:color="auto" w:fill="1A3D68"/>
          </w:tcPr>
          <w:p w14:paraId="156CA31C" w14:textId="1994A3B8" w:rsidR="008010A4" w:rsidRPr="008F599B" w:rsidRDefault="008010A4" w:rsidP="008F599B">
            <w:pPr>
              <w:spacing w:before="60" w:after="60"/>
              <w:rPr>
                <w:color w:val="FFFFFF" w:themeColor="background1"/>
              </w:rPr>
            </w:pPr>
            <w:r w:rsidRPr="008F599B">
              <w:rPr>
                <w:color w:val="FFFFFF" w:themeColor="background1"/>
              </w:rPr>
              <w:t>Grade</w:t>
            </w:r>
          </w:p>
        </w:tc>
        <w:tc>
          <w:tcPr>
            <w:tcW w:w="4199" w:type="dxa"/>
            <w:shd w:val="clear" w:color="auto" w:fill="1A3D68"/>
          </w:tcPr>
          <w:p w14:paraId="03BA233F" w14:textId="67C6FE60" w:rsidR="008010A4" w:rsidRPr="008F599B" w:rsidRDefault="008010A4" w:rsidP="008F599B">
            <w:pPr>
              <w:spacing w:before="60" w:after="60"/>
              <w:rPr>
                <w:color w:val="FFFFFF" w:themeColor="background1"/>
              </w:rPr>
            </w:pPr>
            <w:r w:rsidRPr="008F599B">
              <w:rPr>
                <w:color w:val="FFFFFF" w:themeColor="background1"/>
              </w:rPr>
              <w:t>Marking Criteria</w:t>
            </w:r>
          </w:p>
        </w:tc>
      </w:tr>
      <w:tr w:rsidR="008010A4" w14:paraId="4BD684B1" w14:textId="77777777" w:rsidTr="008F599B">
        <w:tc>
          <w:tcPr>
            <w:tcW w:w="4199" w:type="dxa"/>
          </w:tcPr>
          <w:p w14:paraId="3029FF97" w14:textId="327067E2" w:rsidR="008010A4" w:rsidRPr="008F599B" w:rsidRDefault="008010A4" w:rsidP="008F599B">
            <w:pPr>
              <w:spacing w:before="60" w:after="60"/>
            </w:pPr>
            <w:r w:rsidRPr="008F599B">
              <w:t>High Distinction (HD)</w:t>
            </w:r>
          </w:p>
        </w:tc>
        <w:tc>
          <w:tcPr>
            <w:tcW w:w="4199" w:type="dxa"/>
          </w:tcPr>
          <w:p w14:paraId="563F0CAF" w14:textId="56670D51" w:rsidR="008010A4" w:rsidRPr="008F599B" w:rsidRDefault="008010A4" w:rsidP="008F599B">
            <w:pPr>
              <w:spacing w:before="60" w:after="60"/>
            </w:pPr>
            <w:r w:rsidRPr="008F599B">
              <w:t>A mark between 85 and 100</w:t>
            </w:r>
          </w:p>
        </w:tc>
      </w:tr>
      <w:tr w:rsidR="008010A4" w14:paraId="4D6F3255" w14:textId="77777777" w:rsidTr="008F599B">
        <w:tc>
          <w:tcPr>
            <w:tcW w:w="4199" w:type="dxa"/>
          </w:tcPr>
          <w:p w14:paraId="7FAD6273" w14:textId="65B7EA4D" w:rsidR="008010A4" w:rsidRPr="008F599B" w:rsidRDefault="008010A4" w:rsidP="008F599B">
            <w:pPr>
              <w:spacing w:before="60" w:after="60"/>
            </w:pPr>
            <w:r w:rsidRPr="008F599B">
              <w:t>Distinction (D)</w:t>
            </w:r>
          </w:p>
        </w:tc>
        <w:tc>
          <w:tcPr>
            <w:tcW w:w="4199" w:type="dxa"/>
          </w:tcPr>
          <w:p w14:paraId="39A6C20D" w14:textId="21CA88B3" w:rsidR="008010A4" w:rsidRPr="008F599B" w:rsidRDefault="008010A4" w:rsidP="008F599B">
            <w:pPr>
              <w:spacing w:before="60" w:after="60"/>
            </w:pPr>
            <w:r w:rsidRPr="008F599B">
              <w:t>A mark between 75 and 84</w:t>
            </w:r>
          </w:p>
        </w:tc>
      </w:tr>
      <w:tr w:rsidR="008010A4" w14:paraId="36AD85AB" w14:textId="77777777" w:rsidTr="008F599B">
        <w:tc>
          <w:tcPr>
            <w:tcW w:w="4199" w:type="dxa"/>
          </w:tcPr>
          <w:p w14:paraId="3DEAB6E7" w14:textId="1F25784A" w:rsidR="008010A4" w:rsidRPr="008F599B" w:rsidRDefault="008010A4" w:rsidP="008F599B">
            <w:pPr>
              <w:spacing w:before="60" w:after="60"/>
            </w:pPr>
            <w:r w:rsidRPr="008F599B">
              <w:t>Credit (C)</w:t>
            </w:r>
          </w:p>
        </w:tc>
        <w:tc>
          <w:tcPr>
            <w:tcW w:w="4199" w:type="dxa"/>
          </w:tcPr>
          <w:p w14:paraId="70779574" w14:textId="13C71922" w:rsidR="008010A4" w:rsidRPr="008F599B" w:rsidRDefault="008010A4" w:rsidP="008F599B">
            <w:pPr>
              <w:spacing w:before="60" w:after="60"/>
            </w:pPr>
            <w:r w:rsidRPr="008F599B">
              <w:t>A mark between 65 and 74</w:t>
            </w:r>
          </w:p>
        </w:tc>
      </w:tr>
      <w:tr w:rsidR="008010A4" w14:paraId="1A801663" w14:textId="77777777" w:rsidTr="008F599B">
        <w:tc>
          <w:tcPr>
            <w:tcW w:w="4199" w:type="dxa"/>
          </w:tcPr>
          <w:p w14:paraId="39EDB4C8" w14:textId="0139C34C" w:rsidR="008010A4" w:rsidRPr="008F599B" w:rsidRDefault="008010A4" w:rsidP="008F599B">
            <w:pPr>
              <w:spacing w:before="60" w:after="60"/>
            </w:pPr>
            <w:r w:rsidRPr="008F599B">
              <w:t>Pass (P)</w:t>
            </w:r>
          </w:p>
        </w:tc>
        <w:tc>
          <w:tcPr>
            <w:tcW w:w="4199" w:type="dxa"/>
          </w:tcPr>
          <w:p w14:paraId="6F3D3751" w14:textId="5FCBE102" w:rsidR="008010A4" w:rsidRPr="008F599B" w:rsidRDefault="008010A4" w:rsidP="008F599B">
            <w:pPr>
              <w:spacing w:before="60" w:after="60"/>
            </w:pPr>
            <w:r w:rsidRPr="008F599B">
              <w:t>A mark between 50 and 64</w:t>
            </w:r>
          </w:p>
        </w:tc>
      </w:tr>
      <w:tr w:rsidR="008010A4" w14:paraId="5247D934" w14:textId="77777777" w:rsidTr="008F599B">
        <w:tc>
          <w:tcPr>
            <w:tcW w:w="4199" w:type="dxa"/>
          </w:tcPr>
          <w:p w14:paraId="0B7289A7" w14:textId="39E24FD1" w:rsidR="008010A4" w:rsidRPr="008F599B" w:rsidRDefault="008010A4" w:rsidP="008F599B">
            <w:pPr>
              <w:spacing w:before="60" w:after="60"/>
            </w:pPr>
            <w:r w:rsidRPr="008F599B">
              <w:t>Fail</w:t>
            </w:r>
          </w:p>
        </w:tc>
        <w:tc>
          <w:tcPr>
            <w:tcW w:w="4199" w:type="dxa"/>
          </w:tcPr>
          <w:p w14:paraId="4417709C" w14:textId="304D5033" w:rsidR="008010A4" w:rsidRPr="008F599B" w:rsidRDefault="008010A4" w:rsidP="008F599B">
            <w:pPr>
              <w:spacing w:before="60" w:after="60"/>
            </w:pPr>
            <w:r w:rsidRPr="008F599B">
              <w:t>A mark between 1 and 49</w:t>
            </w:r>
          </w:p>
        </w:tc>
      </w:tr>
      <w:tr w:rsidR="008010A4" w14:paraId="2DEBE4E5" w14:textId="77777777" w:rsidTr="008F599B">
        <w:tc>
          <w:tcPr>
            <w:tcW w:w="4199" w:type="dxa"/>
          </w:tcPr>
          <w:p w14:paraId="14E7C953" w14:textId="27067D41" w:rsidR="008010A4" w:rsidRPr="008F599B" w:rsidRDefault="008010A4" w:rsidP="008F599B">
            <w:pPr>
              <w:spacing w:before="60" w:after="60"/>
            </w:pPr>
            <w:r w:rsidRPr="008F599B">
              <w:t>Fail No Submission</w:t>
            </w:r>
          </w:p>
        </w:tc>
        <w:tc>
          <w:tcPr>
            <w:tcW w:w="4199" w:type="dxa"/>
          </w:tcPr>
          <w:p w14:paraId="1B232269" w14:textId="7193E0E7" w:rsidR="008010A4" w:rsidRPr="008F599B" w:rsidRDefault="008010A4" w:rsidP="008F599B">
            <w:pPr>
              <w:spacing w:before="60" w:after="60"/>
            </w:pPr>
            <w:r w:rsidRPr="008F599B">
              <w:t>No work submitted for assessment</w:t>
            </w:r>
          </w:p>
        </w:tc>
      </w:tr>
    </w:tbl>
    <w:p w14:paraId="509A66BE" w14:textId="7588E8F1" w:rsidR="002070C7" w:rsidRPr="008010A4" w:rsidRDefault="002070C7" w:rsidP="008010A4">
      <w:r w:rsidRPr="008010A4">
        <w:t>Explanations of honours grades should be included as appropriate.</w:t>
      </w:r>
    </w:p>
    <w:p w14:paraId="4E645FAA" w14:textId="77777777" w:rsidR="002070C7" w:rsidRPr="008010A4" w:rsidRDefault="002070C7" w:rsidP="008010A4">
      <w:pPr>
        <w:pStyle w:val="Heading4"/>
      </w:pPr>
      <w:r w:rsidRPr="008010A4">
        <w:t>Notes:</w:t>
      </w:r>
    </w:p>
    <w:p w14:paraId="7BB6D206" w14:textId="77777777" w:rsidR="002070C7" w:rsidRPr="003103CE" w:rsidRDefault="002070C7" w:rsidP="002070C7">
      <w:pPr>
        <w:numPr>
          <w:ilvl w:val="0"/>
          <w:numId w:val="5"/>
        </w:numPr>
        <w:contextualSpacing/>
        <w:rPr>
          <w:rFonts w:cs="Arial"/>
          <w:color w:val="000000" w:themeColor="text1"/>
          <w:szCs w:val="22"/>
        </w:rPr>
      </w:pPr>
      <w:r w:rsidRPr="003103CE">
        <w:rPr>
          <w:rFonts w:cs="Arial"/>
          <w:color w:val="000000" w:themeColor="text1"/>
          <w:szCs w:val="22"/>
        </w:rPr>
        <w:t>If appropriate, details may be provided of examination processes for research higher degrees. Names of examiners should not be included.</w:t>
      </w:r>
    </w:p>
    <w:p w14:paraId="2FA42525" w14:textId="77777777" w:rsidR="002070C7" w:rsidRPr="003103CE" w:rsidRDefault="002070C7" w:rsidP="002070C7">
      <w:pPr>
        <w:numPr>
          <w:ilvl w:val="0"/>
          <w:numId w:val="5"/>
        </w:numPr>
        <w:contextualSpacing/>
        <w:rPr>
          <w:rFonts w:cs="Arial"/>
          <w:color w:val="000000" w:themeColor="text1"/>
          <w:szCs w:val="22"/>
        </w:rPr>
      </w:pPr>
      <w:r w:rsidRPr="003103CE">
        <w:rPr>
          <w:rFonts w:cs="Arial"/>
          <w:color w:val="000000" w:themeColor="text1"/>
          <w:szCs w:val="22"/>
        </w:rPr>
        <w:t>For higher degree research awards with no coursework component at all, only the thesis title and abstract are required.</w:t>
      </w:r>
    </w:p>
    <w:p w14:paraId="4731C4BF" w14:textId="77777777" w:rsidR="002070C7" w:rsidRPr="003103CE" w:rsidRDefault="002070C7" w:rsidP="002070C7">
      <w:pPr>
        <w:numPr>
          <w:ilvl w:val="0"/>
          <w:numId w:val="5"/>
        </w:numPr>
        <w:contextualSpacing/>
        <w:rPr>
          <w:rFonts w:cs="Arial"/>
          <w:color w:val="000000" w:themeColor="text1"/>
          <w:szCs w:val="22"/>
        </w:rPr>
      </w:pPr>
      <w:r w:rsidRPr="003103CE">
        <w:rPr>
          <w:rFonts w:cs="Arial"/>
          <w:color w:val="000000" w:themeColor="text1"/>
          <w:szCs w:val="22"/>
        </w:rPr>
        <w:t>If a Grade Point Average (GPA) is included in the AHEGS, details should be provided, explaining how the GPA was calculated.</w:t>
      </w:r>
    </w:p>
    <w:p w14:paraId="028428FE" w14:textId="2980A54D" w:rsidR="002070C7" w:rsidRPr="008F599B" w:rsidRDefault="002070C7" w:rsidP="008F599B">
      <w:pPr>
        <w:pStyle w:val="ListParagraph"/>
        <w:numPr>
          <w:ilvl w:val="0"/>
          <w:numId w:val="5"/>
        </w:numPr>
        <w:rPr>
          <w:color w:val="000000" w:themeColor="text1"/>
          <w:szCs w:val="22"/>
        </w:rPr>
      </w:pPr>
      <w:r w:rsidRPr="003103CE">
        <w:rPr>
          <w:rFonts w:cs="Arial"/>
          <w:color w:val="000000" w:themeColor="text1"/>
          <w:szCs w:val="22"/>
        </w:rPr>
        <w:t>It is not acceptable to provide a link to the individual institution’s ‘Key to Grading’ web page, nor is it acceptable to provide the key as an attachment to the AHEGS.</w:t>
      </w:r>
    </w:p>
    <w:p w14:paraId="23255B90" w14:textId="77777777" w:rsidR="002070C7" w:rsidRPr="003103CE" w:rsidRDefault="002070C7" w:rsidP="002070C7">
      <w:pPr>
        <w:pStyle w:val="Heading3"/>
      </w:pPr>
      <w:r w:rsidRPr="003103CE">
        <w:lastRenderedPageBreak/>
        <w:t>Optional Items:</w:t>
      </w:r>
    </w:p>
    <w:p w14:paraId="1F53248F" w14:textId="77777777" w:rsidR="002070C7" w:rsidRPr="003103CE" w:rsidRDefault="002070C7" w:rsidP="002070C7">
      <w:pPr>
        <w:pStyle w:val="Heading4"/>
      </w:pPr>
      <w:r w:rsidRPr="003103CE">
        <w:t>Additional course details</w:t>
      </w:r>
    </w:p>
    <w:p w14:paraId="53AE4981" w14:textId="77777777" w:rsidR="002070C7" w:rsidRPr="003103CE" w:rsidRDefault="002070C7" w:rsidP="002070C7">
      <w:pPr>
        <w:contextualSpacing/>
        <w:rPr>
          <w:rFonts w:cs="Arial"/>
          <w:color w:val="000000" w:themeColor="text1"/>
          <w:szCs w:val="22"/>
        </w:rPr>
      </w:pPr>
      <w:r w:rsidRPr="003103CE">
        <w:rPr>
          <w:rFonts w:cs="Arial"/>
          <w:color w:val="000000" w:themeColor="text1"/>
          <w:szCs w:val="22"/>
        </w:rPr>
        <w:t xml:space="preserve">Specific details of </w:t>
      </w:r>
      <w:proofErr w:type="gramStart"/>
      <w:r w:rsidRPr="003103CE">
        <w:rPr>
          <w:rFonts w:cs="Arial"/>
          <w:color w:val="000000" w:themeColor="text1"/>
          <w:szCs w:val="22"/>
        </w:rPr>
        <w:t>particular course</w:t>
      </w:r>
      <w:proofErr w:type="gramEnd"/>
      <w:r w:rsidRPr="003103CE">
        <w:rPr>
          <w:rFonts w:cs="Arial"/>
          <w:color w:val="000000" w:themeColor="text1"/>
          <w:szCs w:val="22"/>
        </w:rPr>
        <w:t xml:space="preserve"> related achievements of the graduate may be included, such as: workplace learning; institutional organised study abroad or independent overseas study credited to the award; major practicum or professional training placements; and assessed competencies or graduate employability skills.</w:t>
      </w:r>
    </w:p>
    <w:p w14:paraId="1617D328" w14:textId="77777777" w:rsidR="002070C7" w:rsidRPr="003103CE" w:rsidRDefault="002070C7" w:rsidP="002070C7">
      <w:pPr>
        <w:pStyle w:val="Heading4"/>
      </w:pPr>
      <w:r w:rsidRPr="003103CE">
        <w:t xml:space="preserve">Special achievements, </w:t>
      </w:r>
      <w:proofErr w:type="gramStart"/>
      <w:r w:rsidRPr="003103CE">
        <w:t>recognition</w:t>
      </w:r>
      <w:proofErr w:type="gramEnd"/>
      <w:r w:rsidRPr="003103CE">
        <w:t xml:space="preserve"> and prizes</w:t>
      </w:r>
    </w:p>
    <w:p w14:paraId="2B0C6512" w14:textId="77777777" w:rsidR="002070C7" w:rsidRDefault="002070C7" w:rsidP="002070C7">
      <w:pPr>
        <w:contextualSpacing/>
        <w:rPr>
          <w:rFonts w:cs="Arial"/>
          <w:color w:val="000000" w:themeColor="text1"/>
          <w:szCs w:val="22"/>
        </w:rPr>
      </w:pPr>
      <w:r w:rsidRPr="003103CE">
        <w:rPr>
          <w:rFonts w:cs="Arial"/>
          <w:color w:val="000000" w:themeColor="text1"/>
          <w:szCs w:val="22"/>
        </w:rPr>
        <w:t xml:space="preserve">Academically related individual achievements may be included, such as: prizes; institution or faculty medals; special distinctions; and internally or </w:t>
      </w:r>
      <w:proofErr w:type="gramStart"/>
      <w:r w:rsidRPr="003103CE">
        <w:rPr>
          <w:rFonts w:cs="Arial"/>
          <w:color w:val="000000" w:themeColor="text1"/>
          <w:szCs w:val="22"/>
        </w:rPr>
        <w:t>externally-funded</w:t>
      </w:r>
      <w:proofErr w:type="gramEnd"/>
      <w:r w:rsidRPr="003103CE">
        <w:rPr>
          <w:rFonts w:cs="Arial"/>
          <w:color w:val="000000" w:themeColor="text1"/>
          <w:szCs w:val="22"/>
        </w:rPr>
        <w:t xml:space="preserve"> scholarships based on academic merit. Only information that can be authenticated by the institution should be included. Ideally, achievements shown should relate directly to the award.</w:t>
      </w:r>
    </w:p>
    <w:p w14:paraId="0D0381D8" w14:textId="77777777" w:rsidR="002070C7" w:rsidRPr="003103CE" w:rsidRDefault="002070C7" w:rsidP="002070C7">
      <w:pPr>
        <w:pStyle w:val="Heading2"/>
        <w:rPr>
          <w:szCs w:val="28"/>
          <w:lang w:eastAsia="en-US"/>
        </w:rPr>
      </w:pPr>
      <w:r w:rsidRPr="003103CE">
        <w:rPr>
          <w:szCs w:val="28"/>
          <w:lang w:eastAsia="en-US"/>
        </w:rPr>
        <w:t>Section Five – Description of the Australian Higher Education System</w:t>
      </w:r>
    </w:p>
    <w:p w14:paraId="39A039BD" w14:textId="77777777" w:rsidR="002070C7" w:rsidRPr="003103CE" w:rsidRDefault="002070C7" w:rsidP="002070C7">
      <w:pPr>
        <w:contextualSpacing/>
        <w:rPr>
          <w:rFonts w:cs="Arial"/>
          <w:color w:val="000000" w:themeColor="text1"/>
          <w:szCs w:val="22"/>
        </w:rPr>
      </w:pPr>
      <w:r w:rsidRPr="003103CE">
        <w:rPr>
          <w:rFonts w:cs="Arial"/>
          <w:color w:val="000000" w:themeColor="text1"/>
          <w:szCs w:val="22"/>
        </w:rPr>
        <w:t xml:space="preserve">The following section is </w:t>
      </w:r>
      <w:proofErr w:type="gramStart"/>
      <w:r w:rsidRPr="003103CE">
        <w:rPr>
          <w:rFonts w:cs="Arial"/>
          <w:color w:val="000000" w:themeColor="text1"/>
          <w:szCs w:val="22"/>
        </w:rPr>
        <w:t>compulsory</w:t>
      </w:r>
      <w:proofErr w:type="gramEnd"/>
      <w:r w:rsidRPr="003103CE">
        <w:rPr>
          <w:rFonts w:cs="Arial"/>
          <w:color w:val="000000" w:themeColor="text1"/>
          <w:szCs w:val="22"/>
        </w:rPr>
        <w:t xml:space="preserve"> and the content is provided by the Australian Government. All information must be reported in its entirety, without amendments:</w:t>
      </w:r>
    </w:p>
    <w:p w14:paraId="2670324F" w14:textId="77777777" w:rsidR="002070C7" w:rsidRPr="003103CE" w:rsidRDefault="002070C7" w:rsidP="002070C7">
      <w:pPr>
        <w:pStyle w:val="Heading3"/>
      </w:pPr>
      <w:r w:rsidRPr="003103CE">
        <w:t>Description of the Australian Higher Education System</w:t>
      </w:r>
    </w:p>
    <w:p w14:paraId="6E06F421" w14:textId="6CA11B8D" w:rsidR="002070C7" w:rsidRDefault="002070C7" w:rsidP="002070C7">
      <w:pPr>
        <w:pStyle w:val="Heading4"/>
      </w:pPr>
      <w:r w:rsidRPr="003103CE">
        <w:t>Introduction</w:t>
      </w:r>
    </w:p>
    <w:p w14:paraId="7BAAD91E" w14:textId="3768D276" w:rsidR="0039675B" w:rsidRPr="0039675B" w:rsidRDefault="0039675B" w:rsidP="0039675B">
      <w:pPr>
        <w:contextualSpacing/>
        <w:rPr>
          <w:rFonts w:cs="Arial"/>
          <w:color w:val="000000" w:themeColor="text1"/>
          <w:szCs w:val="22"/>
        </w:rPr>
      </w:pPr>
      <w:r w:rsidRPr="003103CE">
        <w:rPr>
          <w:rFonts w:cs="Arial"/>
          <w:color w:val="000000" w:themeColor="text1"/>
          <w:szCs w:val="22"/>
        </w:rPr>
        <w:t>The Australian higher education system consists of self-governing public and private universities and higher education institutions that award higher education qualifications.</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016"/>
      </w:tblGrid>
      <w:tr w:rsidR="00232184" w14:paraId="2675F04F" w14:textId="77777777" w:rsidTr="0039675B">
        <w:tc>
          <w:tcPr>
            <w:tcW w:w="5382" w:type="dxa"/>
          </w:tcPr>
          <w:p w14:paraId="267002F5" w14:textId="77777777" w:rsidR="0039675B" w:rsidRPr="003103CE" w:rsidRDefault="0039675B" w:rsidP="0039675B">
            <w:pPr>
              <w:pStyle w:val="Heading4"/>
              <w:outlineLvl w:val="3"/>
            </w:pPr>
            <w:r w:rsidRPr="003103CE">
              <w:t>The Australian Qualifications Framework</w:t>
            </w:r>
          </w:p>
          <w:p w14:paraId="322E4A2B" w14:textId="77777777" w:rsidR="0039675B" w:rsidRPr="003103CE" w:rsidRDefault="0039675B" w:rsidP="0039675B">
            <w:pPr>
              <w:contextualSpacing/>
              <w:rPr>
                <w:rFonts w:cs="Arial"/>
                <w:color w:val="000000" w:themeColor="text1"/>
                <w:szCs w:val="22"/>
              </w:rPr>
            </w:pPr>
            <w:r w:rsidRPr="003103CE">
              <w:rPr>
                <w:rFonts w:cs="Arial"/>
                <w:color w:val="000000" w:themeColor="text1"/>
                <w:szCs w:val="22"/>
              </w:rPr>
              <w:t>The Australian Qualifications Framework (AQF) is a single national, comprehensive system of qualifications offered by higher education institutions (including universities), vocational education and training institutions and secondary schools.</w:t>
            </w:r>
          </w:p>
          <w:p w14:paraId="5F9B811E" w14:textId="77777777" w:rsidR="00232184" w:rsidRDefault="00232184" w:rsidP="00232184"/>
        </w:tc>
        <w:tc>
          <w:tcPr>
            <w:tcW w:w="3016" w:type="dxa"/>
          </w:tcPr>
          <w:p w14:paraId="6BB55475" w14:textId="45A27626" w:rsidR="00232184" w:rsidRDefault="00232184" w:rsidP="00232184">
            <w:r w:rsidRPr="003103CE">
              <w:rPr>
                <w:rFonts w:cs="Arial"/>
                <w:noProof/>
                <w:color w:val="000000" w:themeColor="text1"/>
                <w:szCs w:val="22"/>
              </w:rPr>
              <w:drawing>
                <wp:inline distT="0" distB="0" distL="0" distR="0" wp14:anchorId="059B9389" wp14:editId="1434C26D">
                  <wp:extent cx="1774825" cy="914400"/>
                  <wp:effectExtent l="0" t="0" r="0" b="0"/>
                  <wp:docPr id="6" name="Picture 1" descr="Australian Qualifications Frame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qf.edu.au/Portals/0/Skins/AQF/images/AQF%20Colour%20Logo%20for%20website.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74825" cy="914400"/>
                          </a:xfrm>
                          <a:prstGeom prst="rect">
                            <a:avLst/>
                          </a:prstGeom>
                          <a:noFill/>
                        </pic:spPr>
                      </pic:pic>
                    </a:graphicData>
                  </a:graphic>
                </wp:inline>
              </w:drawing>
            </w:r>
          </w:p>
        </w:tc>
      </w:tr>
    </w:tbl>
    <w:p w14:paraId="08BA3F5B" w14:textId="361D0A3C" w:rsidR="002070C7" w:rsidRPr="003103CE" w:rsidRDefault="002070C7" w:rsidP="0039675B">
      <w:pPr>
        <w:spacing w:before="0"/>
        <w:rPr>
          <w:rFonts w:cs="Arial"/>
          <w:color w:val="000000" w:themeColor="text1"/>
          <w:szCs w:val="22"/>
        </w:rPr>
      </w:pPr>
      <w:r w:rsidRPr="003103CE">
        <w:rPr>
          <w:rFonts w:cs="Arial"/>
          <w:color w:val="000000" w:themeColor="text1"/>
          <w:szCs w:val="22"/>
        </w:rPr>
        <w:t xml:space="preserve">The AQF has 10 levels, each with defined criteria based on a taxonomy of learning outcomes. Higher education qualifications are placed between level 5 (the Diploma) and level 10 (the Doctoral Degree). The </w:t>
      </w:r>
      <w:proofErr w:type="gramStart"/>
      <w:r w:rsidRPr="003103CE">
        <w:rPr>
          <w:rFonts w:cs="Arial"/>
          <w:color w:val="000000" w:themeColor="text1"/>
          <w:szCs w:val="22"/>
        </w:rPr>
        <w:t>Bachelor Degree</w:t>
      </w:r>
      <w:proofErr w:type="gramEnd"/>
      <w:r w:rsidRPr="003103CE">
        <w:rPr>
          <w:rFonts w:cs="Arial"/>
          <w:color w:val="000000" w:themeColor="text1"/>
          <w:szCs w:val="22"/>
        </w:rPr>
        <w:t xml:space="preserve"> is at level 7. Each AQF qualification has a set of descriptors which define the type and complexity of knowledge, skills and application of the knowledge and skills </w:t>
      </w:r>
      <w:r w:rsidRPr="0039675B">
        <w:lastRenderedPageBreak/>
        <w:t xml:space="preserve">that a graduate who has been awarded that qualification has attained, and the typical volume of learning associated with that qualification type. The full set of levels criteria and qualification type descriptors can be found by visiting </w:t>
      </w:r>
      <w:hyperlink r:id="rId21" w:history="1">
        <w:r w:rsidR="0039675B" w:rsidRPr="0039675B">
          <w:rPr>
            <w:rStyle w:val="Hyperlink"/>
          </w:rPr>
          <w:t>www.aqf.edu.au</w:t>
        </w:r>
      </w:hyperlink>
      <w:r w:rsidR="0039675B" w:rsidRPr="0039675B">
        <w:t>.</w:t>
      </w:r>
    </w:p>
    <w:p w14:paraId="14282DC6" w14:textId="12403642" w:rsidR="002070C7" w:rsidRPr="0039675B" w:rsidRDefault="002070C7" w:rsidP="0039675B">
      <w:r w:rsidRPr="0039675B">
        <w:t xml:space="preserve">The main AQF qualifications awarded by higher education institutions are </w:t>
      </w:r>
      <w:proofErr w:type="gramStart"/>
      <w:r w:rsidRPr="0039675B">
        <w:t>Bachelor Degrees</w:t>
      </w:r>
      <w:proofErr w:type="gramEnd"/>
      <w:r w:rsidRPr="0039675B">
        <w:t xml:space="preserve">, Masters Degrees and Doctoral Degrees. There are also three qualifications at the sub-degree level: </w:t>
      </w:r>
      <w:proofErr w:type="gramStart"/>
      <w:r w:rsidRPr="0039675B">
        <w:t>the</w:t>
      </w:r>
      <w:proofErr w:type="gramEnd"/>
      <w:r w:rsidRPr="0039675B">
        <w:t xml:space="preserve"> Diploma, the Advanced Diploma and the Associate Degree. </w:t>
      </w:r>
      <w:r w:rsidRPr="0039675B" w:rsidDel="00B10DE5">
        <w:t xml:space="preserve">At the graduate level but below the </w:t>
      </w:r>
      <w:proofErr w:type="spellStart"/>
      <w:proofErr w:type="gramStart"/>
      <w:r w:rsidRPr="0039675B" w:rsidDel="00B10DE5">
        <w:t>Masters</w:t>
      </w:r>
      <w:proofErr w:type="spellEnd"/>
      <w:r w:rsidRPr="0039675B" w:rsidDel="00B10DE5">
        <w:t xml:space="preserve"> Degree</w:t>
      </w:r>
      <w:proofErr w:type="gramEnd"/>
      <w:r w:rsidRPr="0039675B" w:rsidDel="00B10DE5">
        <w:t xml:space="preserve"> are the Graduate Certificate and Graduate Diploma. </w:t>
      </w:r>
      <w:r w:rsidR="007C0222" w:rsidRPr="0039675B">
        <w:t>The </w:t>
      </w:r>
      <w:r w:rsidR="00840382" w:rsidRPr="0039675B">
        <w:t xml:space="preserve">Undergraduate Certificate, </w:t>
      </w:r>
      <w:r w:rsidR="007F0833" w:rsidRPr="0039675B">
        <w:t xml:space="preserve">which was </w:t>
      </w:r>
      <w:r w:rsidR="00840382" w:rsidRPr="0039675B">
        <w:t xml:space="preserve">added to the AQF in 2020, is </w:t>
      </w:r>
      <w:proofErr w:type="gramStart"/>
      <w:r w:rsidR="00840382" w:rsidRPr="0039675B">
        <w:t>a</w:t>
      </w:r>
      <w:r w:rsidR="007C0222" w:rsidRPr="0039675B">
        <w:t xml:space="preserve"> </w:t>
      </w:r>
      <w:r w:rsidR="00840382" w:rsidRPr="0039675B">
        <w:t xml:space="preserve"> higher</w:t>
      </w:r>
      <w:proofErr w:type="gramEnd"/>
      <w:r w:rsidR="00840382" w:rsidRPr="0039675B">
        <w:t xml:space="preserve"> education qualification </w:t>
      </w:r>
      <w:r w:rsidR="007F0833" w:rsidRPr="0039675B">
        <w:t>that</w:t>
      </w:r>
      <w:r w:rsidR="007C0222" w:rsidRPr="0039675B">
        <w:t xml:space="preserve"> is not allocated to a</w:t>
      </w:r>
      <w:r w:rsidR="007F0833" w:rsidRPr="0039675B">
        <w:t xml:space="preserve"> single</w:t>
      </w:r>
      <w:r w:rsidR="002B0252" w:rsidRPr="0039675B">
        <w:t xml:space="preserve"> </w:t>
      </w:r>
      <w:r w:rsidR="007C0222" w:rsidRPr="0039675B">
        <w:t xml:space="preserve">AQF level, but recognises completion of a short course, equivalent to half a year’s study </w:t>
      </w:r>
      <w:r w:rsidR="004A3549" w:rsidRPr="0039675B">
        <w:t>(0.5</w:t>
      </w:r>
      <w:r w:rsidR="007F0833" w:rsidRPr="0039675B">
        <w:t> </w:t>
      </w:r>
      <w:r w:rsidR="004A3549" w:rsidRPr="0039675B">
        <w:t xml:space="preserve">Equivalent Full Time Study Load) toward </w:t>
      </w:r>
      <w:r w:rsidR="007C0222" w:rsidRPr="0039675B">
        <w:t xml:space="preserve">an existing </w:t>
      </w:r>
      <w:r w:rsidR="004A3549" w:rsidRPr="0039675B">
        <w:t xml:space="preserve">qualification </w:t>
      </w:r>
      <w:r w:rsidR="007C0222" w:rsidRPr="0039675B">
        <w:t>at AQF</w:t>
      </w:r>
      <w:r w:rsidR="007F0833" w:rsidRPr="0039675B">
        <w:t> </w:t>
      </w:r>
      <w:r w:rsidR="007C0222" w:rsidRPr="0039675B">
        <w:t>level</w:t>
      </w:r>
      <w:r w:rsidR="007F0833" w:rsidRPr="0039675B">
        <w:t> </w:t>
      </w:r>
      <w:r w:rsidR="00840382" w:rsidRPr="0039675B">
        <w:t>5,</w:t>
      </w:r>
      <w:r w:rsidR="007F0833" w:rsidRPr="0039675B">
        <w:t> </w:t>
      </w:r>
      <w:r w:rsidR="00840382" w:rsidRPr="0039675B">
        <w:t>6</w:t>
      </w:r>
      <w:r w:rsidR="007F0833" w:rsidRPr="0039675B">
        <w:t> </w:t>
      </w:r>
      <w:r w:rsidR="00840382" w:rsidRPr="0039675B">
        <w:t>or</w:t>
      </w:r>
      <w:r w:rsidR="007F0833" w:rsidRPr="0039675B">
        <w:t> </w:t>
      </w:r>
      <w:r w:rsidR="00840382" w:rsidRPr="0039675B">
        <w:t>7</w:t>
      </w:r>
      <w:r w:rsidR="00253C2C" w:rsidRPr="0039675B">
        <w:t>.</w:t>
      </w:r>
    </w:p>
    <w:tbl>
      <w:tblPr>
        <w:tblW w:w="0" w:type="auto"/>
        <w:tblBorders>
          <w:insideH w:val="single" w:sz="4" w:space="0" w:color="auto"/>
          <w:insideV w:val="single" w:sz="4" w:space="0" w:color="auto"/>
        </w:tblBorders>
        <w:tblLook w:val="04A0" w:firstRow="1" w:lastRow="0" w:firstColumn="1" w:lastColumn="0" w:noHBand="0" w:noVBand="1"/>
        <w:tblCaption w:val="Levels VS summary and Qualification type"/>
        <w:tblDescription w:val="Levels 1-10"/>
      </w:tblPr>
      <w:tblGrid>
        <w:gridCol w:w="1022"/>
        <w:gridCol w:w="2099"/>
        <w:gridCol w:w="5243"/>
      </w:tblGrid>
      <w:tr w:rsidR="001D5330" w:rsidRPr="003103CE" w14:paraId="29AC849F" w14:textId="6B2E309B" w:rsidTr="0039675B">
        <w:trPr>
          <w:trHeight w:val="75"/>
          <w:tblHeader/>
        </w:trPr>
        <w:tc>
          <w:tcPr>
            <w:tcW w:w="1022" w:type="dxa"/>
            <w:tcBorders>
              <w:top w:val="nil"/>
              <w:bottom w:val="nil"/>
              <w:right w:val="nil"/>
            </w:tcBorders>
            <w:shd w:val="clear" w:color="auto" w:fill="000000" w:themeFill="text1"/>
            <w:vAlign w:val="bottom"/>
          </w:tcPr>
          <w:p w14:paraId="6470B807" w14:textId="77777777" w:rsidR="001D5330" w:rsidRPr="003103CE" w:rsidRDefault="001D5330" w:rsidP="001D5330">
            <w:pPr>
              <w:spacing w:before="60" w:after="60"/>
              <w:rPr>
                <w:rFonts w:cs="Arial"/>
                <w:b/>
                <w:color w:val="FFFFFF" w:themeColor="background1"/>
                <w:sz w:val="16"/>
                <w:szCs w:val="16"/>
              </w:rPr>
            </w:pPr>
            <w:r w:rsidRPr="003103CE">
              <w:rPr>
                <w:rFonts w:cs="Arial"/>
                <w:color w:val="000000" w:themeColor="text1"/>
                <w:szCs w:val="22"/>
              </w:rPr>
              <w:br w:type="page"/>
            </w:r>
            <w:r w:rsidRPr="003103CE">
              <w:rPr>
                <w:rFonts w:cs="Arial"/>
                <w:b/>
                <w:color w:val="FFFFFF" w:themeColor="background1"/>
                <w:sz w:val="16"/>
                <w:szCs w:val="16"/>
              </w:rPr>
              <w:t>Level</w:t>
            </w:r>
          </w:p>
        </w:tc>
        <w:tc>
          <w:tcPr>
            <w:tcW w:w="2099" w:type="dxa"/>
            <w:tcBorders>
              <w:top w:val="nil"/>
              <w:left w:val="nil"/>
              <w:bottom w:val="nil"/>
            </w:tcBorders>
            <w:shd w:val="clear" w:color="auto" w:fill="BFBFBF" w:themeFill="background1" w:themeFillShade="BF"/>
            <w:vAlign w:val="bottom"/>
          </w:tcPr>
          <w:p w14:paraId="60B20D13" w14:textId="77777777" w:rsidR="001D5330" w:rsidRPr="003103CE" w:rsidRDefault="001D5330" w:rsidP="001D5330">
            <w:pPr>
              <w:spacing w:before="60" w:after="60"/>
              <w:rPr>
                <w:rFonts w:cs="Arial"/>
                <w:b/>
                <w:color w:val="000000" w:themeColor="text1"/>
                <w:sz w:val="16"/>
                <w:szCs w:val="16"/>
              </w:rPr>
            </w:pPr>
            <w:r w:rsidRPr="003103CE">
              <w:rPr>
                <w:rFonts w:cs="Arial"/>
                <w:b/>
                <w:color w:val="000000" w:themeColor="text1"/>
                <w:sz w:val="16"/>
                <w:szCs w:val="16"/>
              </w:rPr>
              <w:t>Qualification Type</w:t>
            </w:r>
          </w:p>
        </w:tc>
        <w:tc>
          <w:tcPr>
            <w:tcW w:w="5243" w:type="dxa"/>
            <w:tcBorders>
              <w:top w:val="nil"/>
              <w:left w:val="nil"/>
              <w:bottom w:val="nil"/>
              <w:right w:val="nil"/>
            </w:tcBorders>
            <w:shd w:val="clear" w:color="auto" w:fill="D9D9D9" w:themeFill="background1" w:themeFillShade="D9"/>
            <w:vAlign w:val="bottom"/>
          </w:tcPr>
          <w:p w14:paraId="38E283B5" w14:textId="35FED189" w:rsidR="001D5330" w:rsidRPr="003103CE" w:rsidRDefault="001D5330" w:rsidP="001D5330">
            <w:pPr>
              <w:spacing w:before="60" w:after="60"/>
              <w:rPr>
                <w:rFonts w:cs="Arial"/>
                <w:b/>
                <w:color w:val="000000" w:themeColor="text1"/>
                <w:sz w:val="16"/>
                <w:szCs w:val="16"/>
              </w:rPr>
            </w:pPr>
            <w:r w:rsidRPr="003103CE">
              <w:rPr>
                <w:rFonts w:cs="Arial"/>
                <w:b/>
                <w:color w:val="000000" w:themeColor="text1"/>
                <w:sz w:val="16"/>
                <w:szCs w:val="16"/>
              </w:rPr>
              <w:t>Summary</w:t>
            </w:r>
          </w:p>
        </w:tc>
      </w:tr>
      <w:tr w:rsidR="001D5330" w:rsidRPr="003103CE" w14:paraId="7EFC5FA3" w14:textId="677F8202" w:rsidTr="0039628C">
        <w:tc>
          <w:tcPr>
            <w:tcW w:w="1022" w:type="dxa"/>
            <w:tcBorders>
              <w:top w:val="nil"/>
              <w:left w:val="nil"/>
              <w:bottom w:val="single" w:sz="4" w:space="0" w:color="BFBFBF" w:themeColor="background1" w:themeShade="BF"/>
              <w:right w:val="nil"/>
            </w:tcBorders>
          </w:tcPr>
          <w:p w14:paraId="78B1ECF4" w14:textId="77777777" w:rsidR="001D5330" w:rsidRPr="003103CE" w:rsidRDefault="001D5330" w:rsidP="004712DD">
            <w:pPr>
              <w:spacing w:before="60" w:after="60"/>
              <w:jc w:val="center"/>
              <w:rPr>
                <w:rFonts w:cs="Arial"/>
                <w:color w:val="000000" w:themeColor="text1"/>
                <w:sz w:val="16"/>
                <w:szCs w:val="16"/>
              </w:rPr>
            </w:pPr>
            <w:r w:rsidRPr="007330E6">
              <w:rPr>
                <w:rFonts w:cs="Arial"/>
                <w:color w:val="000000" w:themeColor="text1"/>
                <w:sz w:val="16"/>
                <w:szCs w:val="16"/>
              </w:rPr>
              <w:t>–</w:t>
            </w:r>
          </w:p>
        </w:tc>
        <w:tc>
          <w:tcPr>
            <w:tcW w:w="2099" w:type="dxa"/>
            <w:tcBorders>
              <w:top w:val="nil"/>
              <w:left w:val="nil"/>
              <w:bottom w:val="single" w:sz="4" w:space="0" w:color="BFBFBF" w:themeColor="background1" w:themeShade="BF"/>
              <w:right w:val="nil"/>
            </w:tcBorders>
            <w:vAlign w:val="center"/>
          </w:tcPr>
          <w:p w14:paraId="077A6EE1" w14:textId="21EC76AD" w:rsidR="001D5330" w:rsidRPr="003103CE" w:rsidRDefault="001D5330" w:rsidP="001D5330">
            <w:pPr>
              <w:spacing w:before="60" w:after="60"/>
              <w:rPr>
                <w:rFonts w:cs="Arial"/>
                <w:color w:val="000000" w:themeColor="text1"/>
                <w:sz w:val="16"/>
                <w:szCs w:val="16"/>
              </w:rPr>
            </w:pPr>
            <w:r w:rsidRPr="007330E6">
              <w:rPr>
                <w:rFonts w:cs="Arial"/>
                <w:color w:val="000000" w:themeColor="text1"/>
                <w:sz w:val="16"/>
                <w:szCs w:val="16"/>
              </w:rPr>
              <w:t>Senior Secondary Certificate of Education</w:t>
            </w:r>
          </w:p>
        </w:tc>
        <w:tc>
          <w:tcPr>
            <w:tcW w:w="5243" w:type="dxa"/>
            <w:tcBorders>
              <w:top w:val="nil"/>
              <w:left w:val="nil"/>
              <w:bottom w:val="single" w:sz="4" w:space="0" w:color="BFBFBF" w:themeColor="background1" w:themeShade="BF"/>
              <w:right w:val="nil"/>
            </w:tcBorders>
          </w:tcPr>
          <w:p w14:paraId="0AE3D53D" w14:textId="7D7941F7" w:rsidR="003E0907" w:rsidRPr="007330E6" w:rsidRDefault="001D5330" w:rsidP="003E0907">
            <w:pPr>
              <w:spacing w:before="60" w:after="60"/>
              <w:rPr>
                <w:rFonts w:cs="Arial"/>
                <w:color w:val="000000" w:themeColor="text1"/>
                <w:sz w:val="16"/>
                <w:szCs w:val="16"/>
              </w:rPr>
            </w:pPr>
            <w:r w:rsidRPr="007330E6">
              <w:rPr>
                <w:rFonts w:cs="Arial"/>
                <w:color w:val="000000" w:themeColor="text1"/>
                <w:sz w:val="16"/>
                <w:szCs w:val="16"/>
              </w:rPr>
              <w:t xml:space="preserve">Graduates </w:t>
            </w:r>
            <w:r>
              <w:rPr>
                <w:rFonts w:cs="Arial"/>
                <w:color w:val="000000" w:themeColor="text1"/>
                <w:sz w:val="16"/>
                <w:szCs w:val="16"/>
              </w:rPr>
              <w:t xml:space="preserve">with this qualification </w:t>
            </w:r>
            <w:r w:rsidRPr="007330E6">
              <w:rPr>
                <w:rFonts w:cs="Arial"/>
                <w:color w:val="000000" w:themeColor="text1"/>
                <w:sz w:val="16"/>
                <w:szCs w:val="16"/>
              </w:rPr>
              <w:t>will have knowledge</w:t>
            </w:r>
            <w:r w:rsidR="003E0907">
              <w:rPr>
                <w:rFonts w:cs="Arial"/>
                <w:color w:val="000000" w:themeColor="text1"/>
                <w:sz w:val="16"/>
                <w:szCs w:val="16"/>
              </w:rPr>
              <w:t>,</w:t>
            </w:r>
            <w:r w:rsidRPr="007330E6">
              <w:rPr>
                <w:rFonts w:cs="Arial"/>
                <w:color w:val="000000" w:themeColor="text1"/>
                <w:sz w:val="16"/>
                <w:szCs w:val="16"/>
              </w:rPr>
              <w:t xml:space="preserve"> </w:t>
            </w:r>
            <w:proofErr w:type="gramStart"/>
            <w:r w:rsidRPr="007330E6">
              <w:rPr>
                <w:rFonts w:cs="Arial"/>
                <w:color w:val="000000" w:themeColor="text1"/>
                <w:sz w:val="16"/>
                <w:szCs w:val="16"/>
              </w:rPr>
              <w:t>skills</w:t>
            </w:r>
            <w:proofErr w:type="gramEnd"/>
            <w:r w:rsidRPr="007330E6">
              <w:rPr>
                <w:rFonts w:cs="Arial"/>
                <w:color w:val="000000" w:themeColor="text1"/>
                <w:sz w:val="16"/>
                <w:szCs w:val="16"/>
              </w:rPr>
              <w:t xml:space="preserve"> </w:t>
            </w:r>
            <w:r w:rsidR="003E0907">
              <w:rPr>
                <w:rFonts w:cs="Arial"/>
                <w:color w:val="000000" w:themeColor="text1"/>
                <w:sz w:val="16"/>
                <w:szCs w:val="16"/>
              </w:rPr>
              <w:t xml:space="preserve">and values </w:t>
            </w:r>
            <w:r w:rsidRPr="007330E6">
              <w:rPr>
                <w:rFonts w:cs="Arial"/>
                <w:color w:val="000000" w:themeColor="text1"/>
                <w:sz w:val="16"/>
                <w:szCs w:val="16"/>
              </w:rPr>
              <w:t xml:space="preserve">for </w:t>
            </w:r>
            <w:r w:rsidR="003E0907">
              <w:rPr>
                <w:rFonts w:ascii="HelveticaNeue" w:hAnsi="HelveticaNeue" w:cs="HelveticaNeue"/>
                <w:color w:val="000000"/>
                <w:sz w:val="16"/>
                <w:lang w:val="x-none" w:eastAsia="en-US"/>
              </w:rPr>
              <w:t xml:space="preserve">diverse pathways to </w:t>
            </w:r>
            <w:r w:rsidRPr="007330E6">
              <w:rPr>
                <w:rFonts w:cs="Arial"/>
                <w:color w:val="000000" w:themeColor="text1"/>
                <w:sz w:val="16"/>
                <w:szCs w:val="16"/>
              </w:rPr>
              <w:t>further learning</w:t>
            </w:r>
            <w:r w:rsidR="003E0907">
              <w:rPr>
                <w:rFonts w:ascii="HelveticaNeue" w:hAnsi="HelveticaNeue" w:cs="HelveticaNeue"/>
                <w:color w:val="000000"/>
                <w:sz w:val="16"/>
                <w:lang w:val="x-none" w:eastAsia="en-US"/>
              </w:rPr>
              <w:t>, work and effective participation in civic life</w:t>
            </w:r>
          </w:p>
        </w:tc>
      </w:tr>
      <w:tr w:rsidR="001D5330" w:rsidRPr="003103CE" w14:paraId="44C90552" w14:textId="4AA69E2E" w:rsidTr="0039628C">
        <w:tc>
          <w:tcPr>
            <w:tcW w:w="1022" w:type="dxa"/>
            <w:tcBorders>
              <w:top w:val="nil"/>
              <w:left w:val="nil"/>
              <w:bottom w:val="single" w:sz="4" w:space="0" w:color="BFBFBF" w:themeColor="background1" w:themeShade="BF"/>
              <w:right w:val="nil"/>
            </w:tcBorders>
          </w:tcPr>
          <w:p w14:paraId="5A687EC2" w14:textId="77777777" w:rsidR="001D5330" w:rsidRPr="003103CE" w:rsidRDefault="001D5330" w:rsidP="001D5330">
            <w:pPr>
              <w:spacing w:before="60" w:after="60"/>
              <w:rPr>
                <w:rFonts w:cs="Arial"/>
                <w:color w:val="000000" w:themeColor="text1"/>
                <w:sz w:val="16"/>
                <w:szCs w:val="16"/>
              </w:rPr>
            </w:pPr>
            <w:proofErr w:type="gramStart"/>
            <w:r w:rsidRPr="003103CE">
              <w:rPr>
                <w:rFonts w:cs="Arial"/>
                <w:color w:val="000000" w:themeColor="text1"/>
                <w:sz w:val="16"/>
                <w:szCs w:val="16"/>
              </w:rPr>
              <w:t>Level  1</w:t>
            </w:r>
            <w:proofErr w:type="gramEnd"/>
          </w:p>
        </w:tc>
        <w:tc>
          <w:tcPr>
            <w:tcW w:w="2099" w:type="dxa"/>
            <w:tcBorders>
              <w:top w:val="nil"/>
              <w:left w:val="nil"/>
              <w:bottom w:val="single" w:sz="4" w:space="0" w:color="BFBFBF" w:themeColor="background1" w:themeShade="BF"/>
              <w:right w:val="nil"/>
            </w:tcBorders>
          </w:tcPr>
          <w:p w14:paraId="5749C9A1" w14:textId="77777777" w:rsidR="001D5330" w:rsidRPr="003103CE" w:rsidRDefault="001D5330" w:rsidP="001D5330">
            <w:pPr>
              <w:spacing w:before="60" w:after="60"/>
              <w:rPr>
                <w:rFonts w:cs="Arial"/>
                <w:color w:val="000000" w:themeColor="text1"/>
                <w:sz w:val="16"/>
                <w:szCs w:val="16"/>
              </w:rPr>
            </w:pPr>
            <w:r w:rsidRPr="003103CE">
              <w:rPr>
                <w:rFonts w:cs="Arial"/>
                <w:color w:val="000000" w:themeColor="text1"/>
                <w:sz w:val="16"/>
                <w:szCs w:val="16"/>
              </w:rPr>
              <w:t>Certificate I</w:t>
            </w:r>
          </w:p>
        </w:tc>
        <w:tc>
          <w:tcPr>
            <w:tcW w:w="5243" w:type="dxa"/>
            <w:tcBorders>
              <w:top w:val="nil"/>
              <w:left w:val="nil"/>
              <w:bottom w:val="single" w:sz="4" w:space="0" w:color="BFBFBF" w:themeColor="background1" w:themeShade="BF"/>
              <w:right w:val="nil"/>
            </w:tcBorders>
          </w:tcPr>
          <w:p w14:paraId="5A2D6D63" w14:textId="5D93D928" w:rsidR="001D5330" w:rsidRPr="003103CE" w:rsidRDefault="001D5330" w:rsidP="001D5330">
            <w:pPr>
              <w:spacing w:before="60" w:after="60"/>
              <w:rPr>
                <w:rFonts w:cs="Arial"/>
                <w:color w:val="000000" w:themeColor="text1"/>
                <w:sz w:val="16"/>
                <w:szCs w:val="16"/>
              </w:rPr>
            </w:pPr>
            <w:r w:rsidRPr="003103CE">
              <w:rPr>
                <w:rFonts w:cs="Arial"/>
                <w:color w:val="000000" w:themeColor="text1"/>
                <w:sz w:val="16"/>
                <w:szCs w:val="16"/>
              </w:rPr>
              <w:t>Graduates at this level will have knowledge and skills for initial work, community involvement and/or further learning</w:t>
            </w:r>
          </w:p>
        </w:tc>
      </w:tr>
      <w:tr w:rsidR="001D5330" w:rsidRPr="003103CE" w14:paraId="2DEDBBAB" w14:textId="5EE63ED1" w:rsidTr="0039628C">
        <w:tc>
          <w:tcPr>
            <w:tcW w:w="1022" w:type="dxa"/>
            <w:tcBorders>
              <w:top w:val="single" w:sz="4" w:space="0" w:color="BFBFBF" w:themeColor="background1" w:themeShade="BF"/>
              <w:left w:val="nil"/>
              <w:bottom w:val="single" w:sz="4" w:space="0" w:color="BFBFBF" w:themeColor="background1" w:themeShade="BF"/>
              <w:right w:val="nil"/>
            </w:tcBorders>
          </w:tcPr>
          <w:p w14:paraId="6EDE00D7" w14:textId="77777777" w:rsidR="001D5330" w:rsidRPr="003103CE" w:rsidRDefault="001D5330" w:rsidP="001D5330">
            <w:pPr>
              <w:spacing w:before="60" w:after="60"/>
              <w:rPr>
                <w:rFonts w:cs="Arial"/>
                <w:color w:val="000000" w:themeColor="text1"/>
                <w:sz w:val="16"/>
                <w:szCs w:val="16"/>
              </w:rPr>
            </w:pPr>
            <w:proofErr w:type="gramStart"/>
            <w:r w:rsidRPr="003103CE">
              <w:rPr>
                <w:rFonts w:cs="Arial"/>
                <w:color w:val="000000" w:themeColor="text1"/>
                <w:sz w:val="16"/>
                <w:szCs w:val="16"/>
              </w:rPr>
              <w:t>Level  2</w:t>
            </w:r>
            <w:proofErr w:type="gramEnd"/>
          </w:p>
        </w:tc>
        <w:tc>
          <w:tcPr>
            <w:tcW w:w="2099" w:type="dxa"/>
            <w:tcBorders>
              <w:top w:val="single" w:sz="4" w:space="0" w:color="BFBFBF" w:themeColor="background1" w:themeShade="BF"/>
              <w:left w:val="nil"/>
              <w:bottom w:val="single" w:sz="4" w:space="0" w:color="BFBFBF" w:themeColor="background1" w:themeShade="BF"/>
              <w:right w:val="nil"/>
            </w:tcBorders>
          </w:tcPr>
          <w:p w14:paraId="1FA8E88A" w14:textId="77777777" w:rsidR="001D5330" w:rsidRPr="003103CE" w:rsidRDefault="001D5330" w:rsidP="001D5330">
            <w:pPr>
              <w:spacing w:before="60" w:after="60"/>
              <w:rPr>
                <w:rFonts w:cs="Arial"/>
                <w:color w:val="000000" w:themeColor="text1"/>
                <w:sz w:val="16"/>
                <w:szCs w:val="16"/>
              </w:rPr>
            </w:pPr>
            <w:r w:rsidRPr="003103CE">
              <w:rPr>
                <w:rFonts w:cs="Arial"/>
                <w:color w:val="000000" w:themeColor="text1"/>
                <w:sz w:val="16"/>
                <w:szCs w:val="16"/>
              </w:rPr>
              <w:t>Certificate II</w:t>
            </w:r>
          </w:p>
        </w:tc>
        <w:tc>
          <w:tcPr>
            <w:tcW w:w="5243" w:type="dxa"/>
            <w:tcBorders>
              <w:top w:val="single" w:sz="4" w:space="0" w:color="BFBFBF" w:themeColor="background1" w:themeShade="BF"/>
              <w:left w:val="nil"/>
              <w:bottom w:val="single" w:sz="4" w:space="0" w:color="BFBFBF" w:themeColor="background1" w:themeShade="BF"/>
              <w:right w:val="nil"/>
            </w:tcBorders>
          </w:tcPr>
          <w:p w14:paraId="3E402B81" w14:textId="0BFEAB93" w:rsidR="001D5330" w:rsidRPr="003103CE" w:rsidRDefault="001D5330" w:rsidP="001D5330">
            <w:pPr>
              <w:spacing w:before="60" w:after="60"/>
              <w:rPr>
                <w:rFonts w:cs="Arial"/>
                <w:color w:val="000000" w:themeColor="text1"/>
                <w:sz w:val="16"/>
                <w:szCs w:val="16"/>
              </w:rPr>
            </w:pPr>
            <w:r w:rsidRPr="003103CE">
              <w:rPr>
                <w:rFonts w:cs="Arial"/>
                <w:color w:val="000000" w:themeColor="text1"/>
                <w:sz w:val="16"/>
                <w:szCs w:val="16"/>
              </w:rPr>
              <w:t>Graduates at this level will have knowledge and skills for work in a defined context and/or further learning</w:t>
            </w:r>
          </w:p>
        </w:tc>
      </w:tr>
      <w:tr w:rsidR="001D5330" w:rsidRPr="003103CE" w14:paraId="1D844AFD" w14:textId="4E1B04B6" w:rsidTr="0039628C">
        <w:tc>
          <w:tcPr>
            <w:tcW w:w="1022" w:type="dxa"/>
            <w:tcBorders>
              <w:top w:val="single" w:sz="4" w:space="0" w:color="BFBFBF" w:themeColor="background1" w:themeShade="BF"/>
              <w:left w:val="nil"/>
              <w:bottom w:val="single" w:sz="4" w:space="0" w:color="BFBFBF" w:themeColor="background1" w:themeShade="BF"/>
              <w:right w:val="nil"/>
            </w:tcBorders>
          </w:tcPr>
          <w:p w14:paraId="1445582E" w14:textId="77777777" w:rsidR="001D5330" w:rsidRPr="003103CE" w:rsidRDefault="001D5330" w:rsidP="001D5330">
            <w:pPr>
              <w:spacing w:before="60" w:after="60"/>
              <w:rPr>
                <w:rFonts w:cs="Arial"/>
                <w:color w:val="000000" w:themeColor="text1"/>
                <w:sz w:val="16"/>
                <w:szCs w:val="16"/>
              </w:rPr>
            </w:pPr>
            <w:proofErr w:type="gramStart"/>
            <w:r w:rsidRPr="003103CE">
              <w:rPr>
                <w:rFonts w:cs="Arial"/>
                <w:color w:val="000000" w:themeColor="text1"/>
                <w:sz w:val="16"/>
                <w:szCs w:val="16"/>
              </w:rPr>
              <w:t>Level  3</w:t>
            </w:r>
            <w:proofErr w:type="gramEnd"/>
          </w:p>
        </w:tc>
        <w:tc>
          <w:tcPr>
            <w:tcW w:w="2099" w:type="dxa"/>
            <w:tcBorders>
              <w:top w:val="single" w:sz="4" w:space="0" w:color="BFBFBF" w:themeColor="background1" w:themeShade="BF"/>
              <w:left w:val="nil"/>
              <w:bottom w:val="single" w:sz="4" w:space="0" w:color="BFBFBF" w:themeColor="background1" w:themeShade="BF"/>
              <w:right w:val="nil"/>
            </w:tcBorders>
          </w:tcPr>
          <w:p w14:paraId="1EBEEC84" w14:textId="77777777" w:rsidR="001D5330" w:rsidRPr="003103CE" w:rsidRDefault="001D5330" w:rsidP="001D5330">
            <w:pPr>
              <w:spacing w:before="60" w:after="60"/>
              <w:rPr>
                <w:rFonts w:cs="Arial"/>
                <w:color w:val="000000" w:themeColor="text1"/>
                <w:sz w:val="16"/>
                <w:szCs w:val="16"/>
              </w:rPr>
            </w:pPr>
            <w:r w:rsidRPr="003103CE">
              <w:rPr>
                <w:rFonts w:cs="Arial"/>
                <w:color w:val="000000" w:themeColor="text1"/>
                <w:sz w:val="16"/>
                <w:szCs w:val="16"/>
              </w:rPr>
              <w:t>Certificate III</w:t>
            </w:r>
          </w:p>
        </w:tc>
        <w:tc>
          <w:tcPr>
            <w:tcW w:w="5243" w:type="dxa"/>
            <w:tcBorders>
              <w:top w:val="single" w:sz="4" w:space="0" w:color="BFBFBF" w:themeColor="background1" w:themeShade="BF"/>
              <w:left w:val="nil"/>
              <w:bottom w:val="single" w:sz="4" w:space="0" w:color="BFBFBF" w:themeColor="background1" w:themeShade="BF"/>
              <w:right w:val="nil"/>
            </w:tcBorders>
          </w:tcPr>
          <w:p w14:paraId="0F889E31" w14:textId="4408EA4A" w:rsidR="001D5330" w:rsidRPr="003103CE" w:rsidRDefault="001D5330" w:rsidP="001D5330">
            <w:pPr>
              <w:spacing w:before="60" w:after="60"/>
              <w:rPr>
                <w:rFonts w:cs="Arial"/>
                <w:color w:val="000000" w:themeColor="text1"/>
                <w:sz w:val="16"/>
                <w:szCs w:val="16"/>
              </w:rPr>
            </w:pPr>
            <w:r w:rsidRPr="003103CE">
              <w:rPr>
                <w:rFonts w:cs="Arial"/>
                <w:color w:val="000000" w:themeColor="text1"/>
                <w:sz w:val="16"/>
                <w:szCs w:val="16"/>
              </w:rPr>
              <w:t>Graduates at this level will have theoretical and practical knowledge and skills for work and/or further learning</w:t>
            </w:r>
          </w:p>
        </w:tc>
      </w:tr>
      <w:tr w:rsidR="001D5330" w:rsidRPr="003103CE" w14:paraId="2254248E" w14:textId="31744E0D" w:rsidTr="0039628C">
        <w:tc>
          <w:tcPr>
            <w:tcW w:w="1022" w:type="dxa"/>
            <w:tcBorders>
              <w:top w:val="single" w:sz="4" w:space="0" w:color="BFBFBF" w:themeColor="background1" w:themeShade="BF"/>
              <w:left w:val="nil"/>
              <w:bottom w:val="single" w:sz="4" w:space="0" w:color="BFBFBF" w:themeColor="background1" w:themeShade="BF"/>
              <w:right w:val="nil"/>
            </w:tcBorders>
          </w:tcPr>
          <w:p w14:paraId="773D86E0" w14:textId="77777777" w:rsidR="001D5330" w:rsidRPr="003103CE" w:rsidRDefault="001D5330" w:rsidP="001D5330">
            <w:pPr>
              <w:spacing w:before="60" w:after="60"/>
              <w:rPr>
                <w:rFonts w:cs="Arial"/>
                <w:color w:val="000000" w:themeColor="text1"/>
                <w:sz w:val="16"/>
                <w:szCs w:val="16"/>
              </w:rPr>
            </w:pPr>
            <w:proofErr w:type="gramStart"/>
            <w:r w:rsidRPr="003103CE">
              <w:rPr>
                <w:rFonts w:cs="Arial"/>
                <w:color w:val="000000" w:themeColor="text1"/>
                <w:sz w:val="16"/>
                <w:szCs w:val="16"/>
              </w:rPr>
              <w:t>Level  4</w:t>
            </w:r>
            <w:proofErr w:type="gramEnd"/>
          </w:p>
        </w:tc>
        <w:tc>
          <w:tcPr>
            <w:tcW w:w="2099" w:type="dxa"/>
            <w:tcBorders>
              <w:top w:val="single" w:sz="4" w:space="0" w:color="BFBFBF" w:themeColor="background1" w:themeShade="BF"/>
              <w:left w:val="nil"/>
              <w:bottom w:val="single" w:sz="4" w:space="0" w:color="BFBFBF" w:themeColor="background1" w:themeShade="BF"/>
              <w:right w:val="nil"/>
            </w:tcBorders>
          </w:tcPr>
          <w:p w14:paraId="698805D1" w14:textId="77777777" w:rsidR="001D5330" w:rsidRPr="003103CE" w:rsidRDefault="001D5330" w:rsidP="001D5330">
            <w:pPr>
              <w:spacing w:before="60" w:after="60"/>
              <w:rPr>
                <w:rFonts w:cs="Arial"/>
                <w:color w:val="000000" w:themeColor="text1"/>
                <w:sz w:val="16"/>
                <w:szCs w:val="16"/>
              </w:rPr>
            </w:pPr>
            <w:r w:rsidRPr="003103CE">
              <w:rPr>
                <w:rFonts w:cs="Arial"/>
                <w:color w:val="000000" w:themeColor="text1"/>
                <w:sz w:val="16"/>
                <w:szCs w:val="16"/>
              </w:rPr>
              <w:t>Certificate IV</w:t>
            </w:r>
          </w:p>
        </w:tc>
        <w:tc>
          <w:tcPr>
            <w:tcW w:w="5243" w:type="dxa"/>
            <w:tcBorders>
              <w:top w:val="single" w:sz="4" w:space="0" w:color="BFBFBF" w:themeColor="background1" w:themeShade="BF"/>
              <w:left w:val="nil"/>
              <w:bottom w:val="single" w:sz="4" w:space="0" w:color="BFBFBF" w:themeColor="background1" w:themeShade="BF"/>
              <w:right w:val="nil"/>
            </w:tcBorders>
          </w:tcPr>
          <w:p w14:paraId="5A1F9728" w14:textId="2510E217" w:rsidR="001D5330" w:rsidRPr="003103CE" w:rsidRDefault="001D5330" w:rsidP="001D5330">
            <w:pPr>
              <w:spacing w:before="60" w:after="60"/>
              <w:rPr>
                <w:rFonts w:cs="Arial"/>
                <w:color w:val="000000" w:themeColor="text1"/>
                <w:sz w:val="16"/>
                <w:szCs w:val="16"/>
              </w:rPr>
            </w:pPr>
            <w:r w:rsidRPr="003103CE">
              <w:rPr>
                <w:rFonts w:cs="Arial"/>
                <w:color w:val="000000" w:themeColor="text1"/>
                <w:sz w:val="16"/>
                <w:szCs w:val="16"/>
              </w:rPr>
              <w:t>Graduates at this level will have theoretical and practical knowledge and skills for specialised and/or skilled work and/or further learning</w:t>
            </w:r>
          </w:p>
        </w:tc>
      </w:tr>
      <w:tr w:rsidR="001D5330" w:rsidRPr="003103CE" w14:paraId="0BB73FBB" w14:textId="060DBBDA" w:rsidTr="0039628C">
        <w:tc>
          <w:tcPr>
            <w:tcW w:w="1022" w:type="dxa"/>
            <w:tcBorders>
              <w:top w:val="single" w:sz="4" w:space="0" w:color="BFBFBF" w:themeColor="background1" w:themeShade="BF"/>
              <w:left w:val="nil"/>
              <w:bottom w:val="single" w:sz="4" w:space="0" w:color="BFBFBF" w:themeColor="background1" w:themeShade="BF"/>
              <w:right w:val="nil"/>
            </w:tcBorders>
          </w:tcPr>
          <w:p w14:paraId="110B1835" w14:textId="77777777" w:rsidR="001D5330" w:rsidRPr="003103CE" w:rsidRDefault="001D5330" w:rsidP="001D5330">
            <w:pPr>
              <w:spacing w:before="60" w:after="60"/>
              <w:rPr>
                <w:rFonts w:cs="Arial"/>
                <w:color w:val="000000" w:themeColor="text1"/>
                <w:sz w:val="16"/>
                <w:szCs w:val="16"/>
              </w:rPr>
            </w:pPr>
            <w:proofErr w:type="gramStart"/>
            <w:r w:rsidRPr="003103CE">
              <w:rPr>
                <w:rFonts w:cs="Arial"/>
                <w:color w:val="000000" w:themeColor="text1"/>
                <w:sz w:val="16"/>
                <w:szCs w:val="16"/>
              </w:rPr>
              <w:t>Level  5</w:t>
            </w:r>
            <w:proofErr w:type="gramEnd"/>
          </w:p>
        </w:tc>
        <w:tc>
          <w:tcPr>
            <w:tcW w:w="2099" w:type="dxa"/>
            <w:tcBorders>
              <w:top w:val="single" w:sz="4" w:space="0" w:color="BFBFBF" w:themeColor="background1" w:themeShade="BF"/>
              <w:left w:val="nil"/>
              <w:bottom w:val="single" w:sz="4" w:space="0" w:color="BFBFBF" w:themeColor="background1" w:themeShade="BF"/>
              <w:right w:val="nil"/>
            </w:tcBorders>
          </w:tcPr>
          <w:p w14:paraId="7C20A718" w14:textId="77777777" w:rsidR="001D5330" w:rsidRPr="003103CE" w:rsidRDefault="001D5330" w:rsidP="001D5330">
            <w:pPr>
              <w:spacing w:before="60" w:after="60"/>
              <w:rPr>
                <w:rFonts w:cs="Arial"/>
                <w:color w:val="000000" w:themeColor="text1"/>
                <w:sz w:val="16"/>
                <w:szCs w:val="16"/>
              </w:rPr>
            </w:pPr>
            <w:r w:rsidRPr="003103CE">
              <w:rPr>
                <w:rFonts w:cs="Arial"/>
                <w:color w:val="000000" w:themeColor="text1"/>
                <w:sz w:val="16"/>
                <w:szCs w:val="16"/>
              </w:rPr>
              <w:t>Diploma</w:t>
            </w:r>
          </w:p>
        </w:tc>
        <w:tc>
          <w:tcPr>
            <w:tcW w:w="5243" w:type="dxa"/>
            <w:tcBorders>
              <w:top w:val="single" w:sz="4" w:space="0" w:color="BFBFBF" w:themeColor="background1" w:themeShade="BF"/>
              <w:left w:val="nil"/>
              <w:bottom w:val="single" w:sz="4" w:space="0" w:color="BFBFBF" w:themeColor="background1" w:themeShade="BF"/>
              <w:right w:val="nil"/>
            </w:tcBorders>
          </w:tcPr>
          <w:p w14:paraId="7C4EC98A" w14:textId="77631F34" w:rsidR="001D5330" w:rsidRPr="003103CE" w:rsidRDefault="001D5330" w:rsidP="001D5330">
            <w:pPr>
              <w:spacing w:before="60" w:after="60"/>
              <w:rPr>
                <w:rFonts w:cs="Arial"/>
                <w:color w:val="000000" w:themeColor="text1"/>
                <w:sz w:val="16"/>
                <w:szCs w:val="16"/>
              </w:rPr>
            </w:pPr>
            <w:r w:rsidRPr="003103CE">
              <w:rPr>
                <w:rFonts w:cs="Arial"/>
                <w:color w:val="000000" w:themeColor="text1"/>
                <w:sz w:val="16"/>
                <w:szCs w:val="16"/>
              </w:rPr>
              <w:t>Graduates at this level will have specialised knowledge and skills for skilled/paraprofessional work and/or further learning</w:t>
            </w:r>
          </w:p>
        </w:tc>
      </w:tr>
      <w:tr w:rsidR="001D5330" w:rsidRPr="003103CE" w14:paraId="12943B0C" w14:textId="1CD76EE7" w:rsidTr="0039628C">
        <w:tc>
          <w:tcPr>
            <w:tcW w:w="1022" w:type="dxa"/>
            <w:tcBorders>
              <w:top w:val="single" w:sz="4" w:space="0" w:color="BFBFBF" w:themeColor="background1" w:themeShade="BF"/>
              <w:left w:val="nil"/>
              <w:bottom w:val="single" w:sz="4" w:space="0" w:color="BFBFBF" w:themeColor="background1" w:themeShade="BF"/>
              <w:right w:val="nil"/>
            </w:tcBorders>
          </w:tcPr>
          <w:p w14:paraId="10148DBA" w14:textId="77777777" w:rsidR="001D5330" w:rsidRPr="003103CE" w:rsidRDefault="001D5330" w:rsidP="001D5330">
            <w:pPr>
              <w:spacing w:before="60" w:after="60"/>
              <w:rPr>
                <w:rFonts w:cs="Arial"/>
                <w:color w:val="000000" w:themeColor="text1"/>
                <w:sz w:val="16"/>
                <w:szCs w:val="16"/>
              </w:rPr>
            </w:pPr>
            <w:proofErr w:type="gramStart"/>
            <w:r w:rsidRPr="003103CE">
              <w:rPr>
                <w:rFonts w:cs="Arial"/>
                <w:color w:val="000000" w:themeColor="text1"/>
                <w:sz w:val="16"/>
                <w:szCs w:val="16"/>
              </w:rPr>
              <w:t>Level  6</w:t>
            </w:r>
            <w:proofErr w:type="gramEnd"/>
          </w:p>
        </w:tc>
        <w:tc>
          <w:tcPr>
            <w:tcW w:w="2099" w:type="dxa"/>
            <w:tcBorders>
              <w:top w:val="single" w:sz="4" w:space="0" w:color="BFBFBF" w:themeColor="background1" w:themeShade="BF"/>
              <w:left w:val="nil"/>
              <w:bottom w:val="single" w:sz="4" w:space="0" w:color="BFBFBF" w:themeColor="background1" w:themeShade="BF"/>
              <w:right w:val="nil"/>
            </w:tcBorders>
          </w:tcPr>
          <w:p w14:paraId="7EEACDBE" w14:textId="77777777" w:rsidR="001D5330" w:rsidRPr="003103CE" w:rsidRDefault="001D5330" w:rsidP="001D5330">
            <w:pPr>
              <w:spacing w:before="60" w:after="60"/>
              <w:rPr>
                <w:rFonts w:cs="Arial"/>
                <w:color w:val="000000" w:themeColor="text1"/>
                <w:sz w:val="16"/>
                <w:szCs w:val="16"/>
              </w:rPr>
            </w:pPr>
            <w:r w:rsidRPr="003103CE">
              <w:rPr>
                <w:rFonts w:cs="Arial"/>
                <w:color w:val="000000" w:themeColor="text1"/>
                <w:sz w:val="16"/>
                <w:szCs w:val="16"/>
              </w:rPr>
              <w:t>Advanced Diploma</w:t>
            </w:r>
          </w:p>
          <w:p w14:paraId="10E3E9FD" w14:textId="77777777" w:rsidR="001D5330" w:rsidRPr="003103CE" w:rsidRDefault="001D5330" w:rsidP="001D5330">
            <w:pPr>
              <w:spacing w:before="60" w:after="60"/>
              <w:rPr>
                <w:rFonts w:cs="Arial"/>
                <w:color w:val="000000" w:themeColor="text1"/>
                <w:sz w:val="16"/>
                <w:szCs w:val="16"/>
              </w:rPr>
            </w:pPr>
            <w:r w:rsidRPr="003103CE">
              <w:rPr>
                <w:rFonts w:cs="Arial"/>
                <w:color w:val="000000" w:themeColor="text1"/>
                <w:sz w:val="16"/>
                <w:szCs w:val="16"/>
              </w:rPr>
              <w:t>Associate Degree</w:t>
            </w:r>
          </w:p>
        </w:tc>
        <w:tc>
          <w:tcPr>
            <w:tcW w:w="5243" w:type="dxa"/>
            <w:tcBorders>
              <w:top w:val="single" w:sz="4" w:space="0" w:color="BFBFBF" w:themeColor="background1" w:themeShade="BF"/>
              <w:left w:val="nil"/>
              <w:bottom w:val="single" w:sz="4" w:space="0" w:color="BFBFBF" w:themeColor="background1" w:themeShade="BF"/>
              <w:right w:val="nil"/>
            </w:tcBorders>
          </w:tcPr>
          <w:p w14:paraId="334226C8" w14:textId="3CEA1CC9" w:rsidR="001D5330" w:rsidRPr="003103CE" w:rsidRDefault="001D5330" w:rsidP="00D92B7C">
            <w:pPr>
              <w:spacing w:before="60" w:after="60"/>
              <w:rPr>
                <w:rFonts w:cs="Arial"/>
                <w:color w:val="000000" w:themeColor="text1"/>
                <w:sz w:val="16"/>
                <w:szCs w:val="16"/>
              </w:rPr>
            </w:pPr>
            <w:r w:rsidRPr="003103CE">
              <w:rPr>
                <w:rFonts w:cs="Arial"/>
                <w:color w:val="000000" w:themeColor="text1"/>
                <w:sz w:val="16"/>
                <w:szCs w:val="16"/>
              </w:rPr>
              <w:t>Graduates at this level will have broad knowledge and skills for paraprofessional/highly skilled work and/or further learning</w:t>
            </w:r>
          </w:p>
        </w:tc>
      </w:tr>
      <w:tr w:rsidR="001D5330" w:rsidRPr="003103CE" w14:paraId="2E61E45D" w14:textId="48AD1153" w:rsidTr="0039628C">
        <w:tc>
          <w:tcPr>
            <w:tcW w:w="1022" w:type="dxa"/>
            <w:tcBorders>
              <w:top w:val="single" w:sz="4" w:space="0" w:color="BFBFBF" w:themeColor="background1" w:themeShade="BF"/>
              <w:left w:val="nil"/>
              <w:bottom w:val="single" w:sz="4" w:space="0" w:color="BFBFBF" w:themeColor="background1" w:themeShade="BF"/>
              <w:right w:val="nil"/>
            </w:tcBorders>
          </w:tcPr>
          <w:p w14:paraId="5BA9EE4F" w14:textId="77777777" w:rsidR="001D5330" w:rsidRPr="003103CE" w:rsidRDefault="001D5330" w:rsidP="001D5330">
            <w:pPr>
              <w:spacing w:before="60" w:after="60"/>
              <w:rPr>
                <w:rFonts w:cs="Arial"/>
                <w:color w:val="000000" w:themeColor="text1"/>
                <w:sz w:val="16"/>
                <w:szCs w:val="16"/>
              </w:rPr>
            </w:pPr>
            <w:proofErr w:type="gramStart"/>
            <w:r w:rsidRPr="003103CE">
              <w:rPr>
                <w:rFonts w:cs="Arial"/>
                <w:color w:val="000000" w:themeColor="text1"/>
                <w:sz w:val="16"/>
                <w:szCs w:val="16"/>
              </w:rPr>
              <w:t>Level  7</w:t>
            </w:r>
            <w:proofErr w:type="gramEnd"/>
          </w:p>
        </w:tc>
        <w:tc>
          <w:tcPr>
            <w:tcW w:w="2099" w:type="dxa"/>
            <w:tcBorders>
              <w:top w:val="single" w:sz="4" w:space="0" w:color="BFBFBF" w:themeColor="background1" w:themeShade="BF"/>
              <w:left w:val="nil"/>
              <w:bottom w:val="single" w:sz="4" w:space="0" w:color="BFBFBF" w:themeColor="background1" w:themeShade="BF"/>
              <w:right w:val="nil"/>
            </w:tcBorders>
          </w:tcPr>
          <w:p w14:paraId="1F522BAA" w14:textId="77777777" w:rsidR="001D5330" w:rsidRPr="003103CE" w:rsidRDefault="001D5330" w:rsidP="001D5330">
            <w:pPr>
              <w:spacing w:before="60" w:after="60"/>
              <w:rPr>
                <w:rFonts w:cs="Arial"/>
                <w:color w:val="000000" w:themeColor="text1"/>
                <w:sz w:val="16"/>
                <w:szCs w:val="16"/>
              </w:rPr>
            </w:pPr>
            <w:proofErr w:type="gramStart"/>
            <w:r w:rsidRPr="003103CE">
              <w:rPr>
                <w:rFonts w:cs="Arial"/>
                <w:color w:val="000000" w:themeColor="text1"/>
                <w:sz w:val="16"/>
                <w:szCs w:val="16"/>
              </w:rPr>
              <w:t>Bachelor Degree</w:t>
            </w:r>
            <w:proofErr w:type="gramEnd"/>
          </w:p>
        </w:tc>
        <w:tc>
          <w:tcPr>
            <w:tcW w:w="5243" w:type="dxa"/>
            <w:tcBorders>
              <w:top w:val="single" w:sz="4" w:space="0" w:color="BFBFBF" w:themeColor="background1" w:themeShade="BF"/>
              <w:left w:val="nil"/>
              <w:bottom w:val="single" w:sz="4" w:space="0" w:color="BFBFBF" w:themeColor="background1" w:themeShade="BF"/>
              <w:right w:val="nil"/>
            </w:tcBorders>
          </w:tcPr>
          <w:p w14:paraId="4148974C" w14:textId="2B6FF433" w:rsidR="001D5330" w:rsidRPr="003103CE" w:rsidRDefault="001D5330" w:rsidP="001D5330">
            <w:pPr>
              <w:spacing w:before="60" w:after="60"/>
              <w:rPr>
                <w:rFonts w:cs="Arial"/>
                <w:color w:val="000000" w:themeColor="text1"/>
                <w:sz w:val="16"/>
                <w:szCs w:val="16"/>
              </w:rPr>
            </w:pPr>
            <w:r w:rsidRPr="003103CE">
              <w:rPr>
                <w:rFonts w:cs="Arial"/>
                <w:color w:val="000000" w:themeColor="text1"/>
                <w:sz w:val="16"/>
                <w:szCs w:val="16"/>
              </w:rPr>
              <w:t>Graduates at this level will have broad and coherent knowledge and skills for professional work and/or further learning</w:t>
            </w:r>
          </w:p>
        </w:tc>
      </w:tr>
      <w:tr w:rsidR="001D5330" w:rsidRPr="003103CE" w14:paraId="4AB763B3" w14:textId="373210C2" w:rsidTr="0039628C">
        <w:tc>
          <w:tcPr>
            <w:tcW w:w="1022" w:type="dxa"/>
            <w:tcBorders>
              <w:top w:val="single" w:sz="4" w:space="0" w:color="BFBFBF" w:themeColor="background1" w:themeShade="BF"/>
              <w:left w:val="nil"/>
              <w:bottom w:val="single" w:sz="4" w:space="0" w:color="BFBFBF" w:themeColor="background1" w:themeShade="BF"/>
              <w:right w:val="nil"/>
            </w:tcBorders>
            <w:vAlign w:val="center"/>
          </w:tcPr>
          <w:p w14:paraId="30D83D91" w14:textId="11B6FA40" w:rsidR="001D5330" w:rsidRPr="003103CE" w:rsidRDefault="001D5330" w:rsidP="001D5330">
            <w:pPr>
              <w:spacing w:before="60" w:after="60"/>
              <w:rPr>
                <w:rFonts w:cs="Arial"/>
                <w:color w:val="000000" w:themeColor="text1"/>
                <w:sz w:val="16"/>
                <w:szCs w:val="16"/>
              </w:rPr>
            </w:pPr>
            <w:proofErr w:type="gramStart"/>
            <w:r>
              <w:rPr>
                <w:rFonts w:cs="Arial"/>
                <w:color w:val="000000" w:themeColor="text1"/>
                <w:sz w:val="16"/>
                <w:szCs w:val="16"/>
              </w:rPr>
              <w:t>Level  5</w:t>
            </w:r>
            <w:proofErr w:type="gramEnd"/>
            <w:r>
              <w:rPr>
                <w:rFonts w:cs="Arial"/>
                <w:color w:val="000000" w:themeColor="text1"/>
                <w:sz w:val="16"/>
                <w:szCs w:val="16"/>
              </w:rPr>
              <w:t>-7</w:t>
            </w:r>
          </w:p>
        </w:tc>
        <w:tc>
          <w:tcPr>
            <w:tcW w:w="2099" w:type="dxa"/>
            <w:tcBorders>
              <w:top w:val="single" w:sz="4" w:space="0" w:color="BFBFBF" w:themeColor="background1" w:themeShade="BF"/>
              <w:left w:val="nil"/>
              <w:bottom w:val="single" w:sz="4" w:space="0" w:color="BFBFBF" w:themeColor="background1" w:themeShade="BF"/>
              <w:right w:val="nil"/>
            </w:tcBorders>
            <w:vAlign w:val="center"/>
          </w:tcPr>
          <w:p w14:paraId="1A7662C2" w14:textId="74AC1F3F" w:rsidR="001D5330" w:rsidRPr="003103CE" w:rsidRDefault="001D5330" w:rsidP="001D5330">
            <w:pPr>
              <w:spacing w:before="60" w:after="60"/>
              <w:rPr>
                <w:rFonts w:cs="Arial"/>
                <w:color w:val="000000" w:themeColor="text1"/>
                <w:sz w:val="16"/>
                <w:szCs w:val="16"/>
              </w:rPr>
            </w:pPr>
            <w:r w:rsidRPr="007330E6">
              <w:rPr>
                <w:rFonts w:cs="Arial"/>
                <w:color w:val="000000" w:themeColor="text1"/>
                <w:sz w:val="16"/>
                <w:szCs w:val="16"/>
              </w:rPr>
              <w:t>Undergraduate Certificate</w:t>
            </w:r>
            <w:r w:rsidR="00D10F88">
              <w:rPr>
                <w:rFonts w:cs="Arial"/>
                <w:color w:val="000000" w:themeColor="text1"/>
                <w:sz w:val="16"/>
                <w:szCs w:val="16"/>
              </w:rPr>
              <w:t>*</w:t>
            </w:r>
          </w:p>
        </w:tc>
        <w:tc>
          <w:tcPr>
            <w:tcW w:w="5243" w:type="dxa"/>
            <w:tcBorders>
              <w:top w:val="single" w:sz="4" w:space="0" w:color="BFBFBF" w:themeColor="background1" w:themeShade="BF"/>
              <w:left w:val="nil"/>
              <w:bottom w:val="single" w:sz="4" w:space="0" w:color="BFBFBF" w:themeColor="background1" w:themeShade="BF"/>
              <w:right w:val="nil"/>
            </w:tcBorders>
          </w:tcPr>
          <w:p w14:paraId="0B7727DA" w14:textId="47CDFB0A" w:rsidR="001D5330" w:rsidRPr="007330E6" w:rsidRDefault="001D5330" w:rsidP="0079221C">
            <w:pPr>
              <w:spacing w:before="60" w:after="60"/>
              <w:rPr>
                <w:rFonts w:cs="Arial"/>
                <w:color w:val="000000" w:themeColor="text1"/>
                <w:sz w:val="16"/>
                <w:szCs w:val="16"/>
              </w:rPr>
            </w:pPr>
            <w:r w:rsidRPr="00E911E8">
              <w:rPr>
                <w:rFonts w:cs="Arial"/>
                <w:color w:val="000000" w:themeColor="text1"/>
                <w:sz w:val="16"/>
                <w:szCs w:val="16"/>
              </w:rPr>
              <w:t xml:space="preserve">Graduates with this qualification will have </w:t>
            </w:r>
            <w:r w:rsidR="00D92B7C" w:rsidRPr="00E911E8">
              <w:rPr>
                <w:rFonts w:cs="Arial"/>
                <w:color w:val="000000" w:themeColor="text1"/>
                <w:sz w:val="16"/>
                <w:szCs w:val="16"/>
              </w:rPr>
              <w:t xml:space="preserve">foundational </w:t>
            </w:r>
            <w:r w:rsidRPr="00E911E8">
              <w:rPr>
                <w:rFonts w:cs="Arial"/>
                <w:color w:val="000000" w:themeColor="text1"/>
                <w:sz w:val="16"/>
                <w:szCs w:val="16"/>
              </w:rPr>
              <w:t xml:space="preserve">knowledge and skills </w:t>
            </w:r>
            <w:r w:rsidR="005666E8" w:rsidRPr="00E911E8">
              <w:rPr>
                <w:rFonts w:cs="Arial"/>
                <w:color w:val="000000" w:themeColor="text1"/>
                <w:sz w:val="16"/>
                <w:szCs w:val="16"/>
              </w:rPr>
              <w:t>for</w:t>
            </w:r>
            <w:r w:rsidR="0079221C" w:rsidRPr="00E911E8">
              <w:rPr>
                <w:rFonts w:cs="Arial"/>
                <w:color w:val="000000" w:themeColor="text1"/>
                <w:sz w:val="16"/>
                <w:szCs w:val="16"/>
              </w:rPr>
              <w:t xml:space="preserve"> </w:t>
            </w:r>
            <w:r w:rsidRPr="00E911E8">
              <w:rPr>
                <w:rFonts w:cs="Arial"/>
                <w:color w:val="000000" w:themeColor="text1"/>
                <w:sz w:val="16"/>
                <w:szCs w:val="16"/>
              </w:rPr>
              <w:t xml:space="preserve">further </w:t>
            </w:r>
            <w:r w:rsidR="00D92B7C" w:rsidRPr="00E911E8">
              <w:rPr>
                <w:rFonts w:cs="Arial"/>
                <w:color w:val="000000" w:themeColor="text1"/>
                <w:sz w:val="16"/>
                <w:szCs w:val="16"/>
              </w:rPr>
              <w:t>study</w:t>
            </w:r>
            <w:r w:rsidR="0079221C" w:rsidRPr="00E911E8">
              <w:rPr>
                <w:rFonts w:cs="Arial"/>
                <w:color w:val="000000" w:themeColor="text1"/>
                <w:sz w:val="16"/>
                <w:szCs w:val="16"/>
              </w:rPr>
              <w:t xml:space="preserve">, professional upskilling, </w:t>
            </w:r>
            <w:proofErr w:type="gramStart"/>
            <w:r w:rsidR="0079221C" w:rsidRPr="00E911E8">
              <w:rPr>
                <w:rFonts w:cs="Arial"/>
                <w:color w:val="000000" w:themeColor="text1"/>
                <w:sz w:val="16"/>
                <w:szCs w:val="16"/>
              </w:rPr>
              <w:t>work</w:t>
            </w:r>
            <w:proofErr w:type="gramEnd"/>
            <w:r w:rsidR="0079221C" w:rsidRPr="00E911E8">
              <w:rPr>
                <w:rFonts w:cs="Arial"/>
                <w:color w:val="000000" w:themeColor="text1"/>
                <w:sz w:val="16"/>
                <w:szCs w:val="16"/>
              </w:rPr>
              <w:t xml:space="preserve"> and participation in lifelong learning</w:t>
            </w:r>
          </w:p>
        </w:tc>
      </w:tr>
      <w:tr w:rsidR="001D5330" w:rsidRPr="003103CE" w14:paraId="67E87BDB" w14:textId="6E354433" w:rsidTr="0039628C">
        <w:tc>
          <w:tcPr>
            <w:tcW w:w="1022" w:type="dxa"/>
            <w:tcBorders>
              <w:top w:val="single" w:sz="4" w:space="0" w:color="BFBFBF" w:themeColor="background1" w:themeShade="BF"/>
              <w:left w:val="nil"/>
              <w:bottom w:val="single" w:sz="4" w:space="0" w:color="BFBFBF" w:themeColor="background1" w:themeShade="BF"/>
              <w:right w:val="nil"/>
            </w:tcBorders>
          </w:tcPr>
          <w:p w14:paraId="7C8281D3" w14:textId="77777777" w:rsidR="001D5330" w:rsidRPr="003103CE" w:rsidRDefault="001D5330" w:rsidP="001D5330">
            <w:pPr>
              <w:spacing w:before="60" w:after="60"/>
              <w:rPr>
                <w:rFonts w:cs="Arial"/>
                <w:color w:val="000000" w:themeColor="text1"/>
                <w:sz w:val="16"/>
                <w:szCs w:val="16"/>
              </w:rPr>
            </w:pPr>
            <w:proofErr w:type="gramStart"/>
            <w:r w:rsidRPr="003103CE">
              <w:rPr>
                <w:rFonts w:cs="Arial"/>
                <w:color w:val="000000" w:themeColor="text1"/>
                <w:sz w:val="16"/>
                <w:szCs w:val="16"/>
              </w:rPr>
              <w:t>Level  8</w:t>
            </w:r>
            <w:proofErr w:type="gramEnd"/>
          </w:p>
        </w:tc>
        <w:tc>
          <w:tcPr>
            <w:tcW w:w="2099" w:type="dxa"/>
            <w:tcBorders>
              <w:top w:val="single" w:sz="4" w:space="0" w:color="BFBFBF" w:themeColor="background1" w:themeShade="BF"/>
              <w:left w:val="nil"/>
              <w:bottom w:val="single" w:sz="4" w:space="0" w:color="BFBFBF" w:themeColor="background1" w:themeShade="BF"/>
              <w:right w:val="nil"/>
            </w:tcBorders>
          </w:tcPr>
          <w:p w14:paraId="7115FA23" w14:textId="77777777" w:rsidR="001D5330" w:rsidRPr="003103CE" w:rsidRDefault="001D5330" w:rsidP="001D5330">
            <w:pPr>
              <w:spacing w:before="60" w:after="60"/>
              <w:rPr>
                <w:rFonts w:cs="Arial"/>
                <w:color w:val="000000" w:themeColor="text1"/>
                <w:sz w:val="16"/>
                <w:szCs w:val="16"/>
              </w:rPr>
            </w:pPr>
            <w:r w:rsidRPr="003103CE">
              <w:rPr>
                <w:rFonts w:cs="Arial"/>
                <w:color w:val="000000" w:themeColor="text1"/>
                <w:sz w:val="16"/>
                <w:szCs w:val="16"/>
              </w:rPr>
              <w:t>Bachelor Honours Degree</w:t>
            </w:r>
          </w:p>
          <w:p w14:paraId="7329F45E" w14:textId="77777777" w:rsidR="001D5330" w:rsidRPr="003103CE" w:rsidRDefault="001D5330" w:rsidP="001D5330">
            <w:pPr>
              <w:spacing w:before="60" w:after="60"/>
              <w:rPr>
                <w:rFonts w:cs="Arial"/>
                <w:color w:val="000000" w:themeColor="text1"/>
                <w:sz w:val="16"/>
                <w:szCs w:val="16"/>
              </w:rPr>
            </w:pPr>
            <w:r w:rsidRPr="003103CE">
              <w:rPr>
                <w:rFonts w:cs="Arial"/>
                <w:color w:val="000000" w:themeColor="text1"/>
                <w:sz w:val="16"/>
                <w:szCs w:val="16"/>
              </w:rPr>
              <w:t>Graduate Certificate</w:t>
            </w:r>
          </w:p>
          <w:p w14:paraId="2B90AA78" w14:textId="77777777" w:rsidR="001D5330" w:rsidRPr="003103CE" w:rsidRDefault="001D5330" w:rsidP="001D5330">
            <w:pPr>
              <w:spacing w:before="60" w:after="60"/>
              <w:rPr>
                <w:rFonts w:cs="Arial"/>
                <w:color w:val="000000" w:themeColor="text1"/>
                <w:sz w:val="16"/>
                <w:szCs w:val="16"/>
              </w:rPr>
            </w:pPr>
            <w:r w:rsidRPr="003103CE">
              <w:rPr>
                <w:rFonts w:cs="Arial"/>
                <w:color w:val="000000" w:themeColor="text1"/>
                <w:sz w:val="16"/>
                <w:szCs w:val="16"/>
              </w:rPr>
              <w:t>Graduate Diploma</w:t>
            </w:r>
          </w:p>
        </w:tc>
        <w:tc>
          <w:tcPr>
            <w:tcW w:w="5243" w:type="dxa"/>
            <w:tcBorders>
              <w:top w:val="single" w:sz="4" w:space="0" w:color="BFBFBF" w:themeColor="background1" w:themeShade="BF"/>
              <w:left w:val="nil"/>
              <w:bottom w:val="single" w:sz="4" w:space="0" w:color="BFBFBF" w:themeColor="background1" w:themeShade="BF"/>
              <w:right w:val="nil"/>
            </w:tcBorders>
          </w:tcPr>
          <w:p w14:paraId="4B2A37E9" w14:textId="4A5C810B" w:rsidR="001D5330" w:rsidRPr="003103CE" w:rsidRDefault="001D5330" w:rsidP="001D5330">
            <w:pPr>
              <w:spacing w:before="60" w:after="60"/>
              <w:rPr>
                <w:rFonts w:cs="Arial"/>
                <w:color w:val="000000" w:themeColor="text1"/>
                <w:sz w:val="16"/>
                <w:szCs w:val="16"/>
              </w:rPr>
            </w:pPr>
            <w:r w:rsidRPr="003103CE">
              <w:rPr>
                <w:rFonts w:cs="Arial"/>
                <w:color w:val="000000" w:themeColor="text1"/>
                <w:sz w:val="16"/>
                <w:szCs w:val="16"/>
              </w:rPr>
              <w:t>Graduates at this level will have advanced knowledge and skills for professional highly skilled work and/or further learning</w:t>
            </w:r>
          </w:p>
        </w:tc>
      </w:tr>
      <w:tr w:rsidR="001D5330" w:rsidRPr="003103CE" w14:paraId="10500188" w14:textId="1688AC65" w:rsidTr="0039628C">
        <w:tc>
          <w:tcPr>
            <w:tcW w:w="1022" w:type="dxa"/>
            <w:tcBorders>
              <w:top w:val="single" w:sz="4" w:space="0" w:color="BFBFBF" w:themeColor="background1" w:themeShade="BF"/>
              <w:left w:val="nil"/>
              <w:bottom w:val="single" w:sz="4" w:space="0" w:color="BFBFBF" w:themeColor="background1" w:themeShade="BF"/>
              <w:right w:val="nil"/>
            </w:tcBorders>
          </w:tcPr>
          <w:p w14:paraId="5CE47E96" w14:textId="77777777" w:rsidR="001D5330" w:rsidRPr="003103CE" w:rsidRDefault="001D5330" w:rsidP="001D5330">
            <w:pPr>
              <w:spacing w:before="60" w:after="60"/>
              <w:rPr>
                <w:rFonts w:cs="Arial"/>
                <w:color w:val="000000" w:themeColor="text1"/>
                <w:sz w:val="16"/>
                <w:szCs w:val="16"/>
              </w:rPr>
            </w:pPr>
            <w:proofErr w:type="gramStart"/>
            <w:r w:rsidRPr="003103CE">
              <w:rPr>
                <w:rFonts w:cs="Arial"/>
                <w:color w:val="000000" w:themeColor="text1"/>
                <w:sz w:val="16"/>
                <w:szCs w:val="16"/>
              </w:rPr>
              <w:t>Level  9</w:t>
            </w:r>
            <w:proofErr w:type="gramEnd"/>
          </w:p>
        </w:tc>
        <w:tc>
          <w:tcPr>
            <w:tcW w:w="2099" w:type="dxa"/>
            <w:tcBorders>
              <w:top w:val="single" w:sz="4" w:space="0" w:color="BFBFBF" w:themeColor="background1" w:themeShade="BF"/>
              <w:left w:val="nil"/>
              <w:bottom w:val="single" w:sz="4" w:space="0" w:color="BFBFBF" w:themeColor="background1" w:themeShade="BF"/>
              <w:right w:val="nil"/>
            </w:tcBorders>
          </w:tcPr>
          <w:p w14:paraId="5AD09E26" w14:textId="77777777" w:rsidR="001D5330" w:rsidRPr="003103CE" w:rsidRDefault="001D5330" w:rsidP="001D5330">
            <w:pPr>
              <w:spacing w:before="60" w:after="60"/>
              <w:rPr>
                <w:rFonts w:cs="Arial"/>
                <w:color w:val="000000" w:themeColor="text1"/>
                <w:sz w:val="16"/>
                <w:szCs w:val="16"/>
              </w:rPr>
            </w:pPr>
            <w:proofErr w:type="gramStart"/>
            <w:r w:rsidRPr="003103CE">
              <w:rPr>
                <w:rFonts w:cs="Arial"/>
                <w:color w:val="000000" w:themeColor="text1"/>
                <w:sz w:val="16"/>
                <w:szCs w:val="16"/>
              </w:rPr>
              <w:t>Masters Degree</w:t>
            </w:r>
            <w:proofErr w:type="gramEnd"/>
          </w:p>
        </w:tc>
        <w:tc>
          <w:tcPr>
            <w:tcW w:w="5243" w:type="dxa"/>
            <w:tcBorders>
              <w:top w:val="single" w:sz="4" w:space="0" w:color="BFBFBF" w:themeColor="background1" w:themeShade="BF"/>
              <w:left w:val="nil"/>
              <w:bottom w:val="single" w:sz="4" w:space="0" w:color="BFBFBF" w:themeColor="background1" w:themeShade="BF"/>
              <w:right w:val="nil"/>
            </w:tcBorders>
          </w:tcPr>
          <w:p w14:paraId="4AA24619" w14:textId="59CF6A06" w:rsidR="001D5330" w:rsidRPr="003103CE" w:rsidRDefault="001D5330" w:rsidP="001D5330">
            <w:pPr>
              <w:spacing w:before="60" w:after="60"/>
              <w:rPr>
                <w:rFonts w:cs="Arial"/>
                <w:color w:val="000000" w:themeColor="text1"/>
                <w:sz w:val="16"/>
                <w:szCs w:val="16"/>
              </w:rPr>
            </w:pPr>
            <w:r w:rsidRPr="003103CE">
              <w:rPr>
                <w:rFonts w:cs="Arial"/>
                <w:color w:val="000000" w:themeColor="text1"/>
                <w:sz w:val="16"/>
                <w:szCs w:val="16"/>
              </w:rPr>
              <w:t>Graduates at this level will have specialised knowledge and skills for research, and/or professional practice and/or further learning</w:t>
            </w:r>
          </w:p>
        </w:tc>
      </w:tr>
      <w:tr w:rsidR="001D5330" w:rsidRPr="003103CE" w14:paraId="182453A2" w14:textId="0258EC22" w:rsidTr="0039628C">
        <w:tc>
          <w:tcPr>
            <w:tcW w:w="1022" w:type="dxa"/>
            <w:tcBorders>
              <w:top w:val="single" w:sz="4" w:space="0" w:color="BFBFBF" w:themeColor="background1" w:themeShade="BF"/>
              <w:left w:val="nil"/>
              <w:bottom w:val="single" w:sz="4" w:space="0" w:color="BFBFBF" w:themeColor="background1" w:themeShade="BF"/>
              <w:right w:val="nil"/>
            </w:tcBorders>
          </w:tcPr>
          <w:p w14:paraId="68577D32" w14:textId="77777777" w:rsidR="001D5330" w:rsidRPr="003103CE" w:rsidRDefault="001D5330" w:rsidP="001D5330">
            <w:pPr>
              <w:spacing w:before="60" w:after="60"/>
              <w:rPr>
                <w:rFonts w:cs="Arial"/>
                <w:color w:val="000000" w:themeColor="text1"/>
                <w:sz w:val="16"/>
                <w:szCs w:val="16"/>
              </w:rPr>
            </w:pPr>
            <w:proofErr w:type="gramStart"/>
            <w:r w:rsidRPr="003103CE">
              <w:rPr>
                <w:rFonts w:cs="Arial"/>
                <w:color w:val="000000" w:themeColor="text1"/>
                <w:sz w:val="16"/>
                <w:szCs w:val="16"/>
              </w:rPr>
              <w:t>Level  10</w:t>
            </w:r>
            <w:proofErr w:type="gramEnd"/>
          </w:p>
        </w:tc>
        <w:tc>
          <w:tcPr>
            <w:tcW w:w="2099" w:type="dxa"/>
            <w:tcBorders>
              <w:top w:val="single" w:sz="4" w:space="0" w:color="BFBFBF" w:themeColor="background1" w:themeShade="BF"/>
              <w:left w:val="nil"/>
              <w:bottom w:val="single" w:sz="4" w:space="0" w:color="BFBFBF" w:themeColor="background1" w:themeShade="BF"/>
              <w:right w:val="nil"/>
            </w:tcBorders>
          </w:tcPr>
          <w:p w14:paraId="3EB746CF" w14:textId="77777777" w:rsidR="001D5330" w:rsidRPr="003103CE" w:rsidRDefault="001D5330" w:rsidP="001D5330">
            <w:pPr>
              <w:spacing w:before="60" w:after="60"/>
              <w:rPr>
                <w:rFonts w:cs="Arial"/>
                <w:color w:val="000000" w:themeColor="text1"/>
                <w:sz w:val="16"/>
                <w:szCs w:val="16"/>
              </w:rPr>
            </w:pPr>
            <w:r w:rsidRPr="003103CE">
              <w:rPr>
                <w:rFonts w:cs="Arial"/>
                <w:color w:val="000000" w:themeColor="text1"/>
                <w:sz w:val="16"/>
                <w:szCs w:val="16"/>
              </w:rPr>
              <w:t>Doctoral Degree</w:t>
            </w:r>
          </w:p>
        </w:tc>
        <w:tc>
          <w:tcPr>
            <w:tcW w:w="5243" w:type="dxa"/>
            <w:tcBorders>
              <w:top w:val="single" w:sz="4" w:space="0" w:color="BFBFBF" w:themeColor="background1" w:themeShade="BF"/>
              <w:left w:val="nil"/>
              <w:bottom w:val="single" w:sz="4" w:space="0" w:color="BFBFBF" w:themeColor="background1" w:themeShade="BF"/>
              <w:right w:val="nil"/>
            </w:tcBorders>
          </w:tcPr>
          <w:p w14:paraId="07C19EB4" w14:textId="0523441F" w:rsidR="001D5330" w:rsidRPr="003103CE" w:rsidRDefault="001D5330" w:rsidP="001D5330">
            <w:pPr>
              <w:spacing w:before="60" w:after="60"/>
              <w:rPr>
                <w:rFonts w:cs="Arial"/>
                <w:color w:val="000000" w:themeColor="text1"/>
                <w:sz w:val="16"/>
                <w:szCs w:val="16"/>
              </w:rPr>
            </w:pPr>
            <w:r w:rsidRPr="003103CE">
              <w:rPr>
                <w:rFonts w:cs="Arial"/>
                <w:color w:val="000000" w:themeColor="text1"/>
                <w:sz w:val="16"/>
                <w:szCs w:val="16"/>
              </w:rPr>
              <w:t>Graduates at this level will have systematic and critical understanding of a complex field of learning and specialised research skills for the advancement of learning and/or for professional practice</w:t>
            </w:r>
          </w:p>
        </w:tc>
      </w:tr>
    </w:tbl>
    <w:p w14:paraId="44A93EED" w14:textId="6687F4B6" w:rsidR="002070C7" w:rsidRPr="003103CE" w:rsidRDefault="00D10F88" w:rsidP="002070C7">
      <w:pPr>
        <w:contextualSpacing/>
        <w:rPr>
          <w:rFonts w:cs="Arial"/>
          <w:color w:val="000000" w:themeColor="text1"/>
          <w:szCs w:val="22"/>
        </w:rPr>
      </w:pPr>
      <w:r w:rsidRPr="008C1F22">
        <w:rPr>
          <w:rFonts w:cs="Arial"/>
          <w:color w:val="000000" w:themeColor="text1"/>
          <w:sz w:val="16"/>
          <w:szCs w:val="16"/>
        </w:rPr>
        <w:t xml:space="preserve">* As at the publication </w:t>
      </w:r>
      <w:r>
        <w:rPr>
          <w:rFonts w:cs="Arial"/>
          <w:color w:val="000000" w:themeColor="text1"/>
          <w:sz w:val="16"/>
          <w:szCs w:val="16"/>
        </w:rPr>
        <w:t>of th</w:t>
      </w:r>
      <w:r w:rsidR="0024183C">
        <w:rPr>
          <w:rFonts w:cs="Arial"/>
          <w:color w:val="000000" w:themeColor="text1"/>
          <w:sz w:val="16"/>
          <w:szCs w:val="16"/>
        </w:rPr>
        <w:t>is document</w:t>
      </w:r>
      <w:r>
        <w:rPr>
          <w:rFonts w:cs="Arial"/>
          <w:color w:val="000000" w:themeColor="text1"/>
          <w:sz w:val="16"/>
          <w:szCs w:val="16"/>
        </w:rPr>
        <w:t xml:space="preserve">, the </w:t>
      </w:r>
      <w:r w:rsidR="007F0833">
        <w:rPr>
          <w:rFonts w:cs="Arial"/>
          <w:color w:val="000000" w:themeColor="text1"/>
          <w:sz w:val="16"/>
          <w:szCs w:val="16"/>
        </w:rPr>
        <w:t>Undergraduate</w:t>
      </w:r>
      <w:r w:rsidRPr="008C1F22">
        <w:rPr>
          <w:rFonts w:cs="Arial"/>
          <w:color w:val="000000" w:themeColor="text1"/>
          <w:sz w:val="16"/>
          <w:szCs w:val="16"/>
        </w:rPr>
        <w:t xml:space="preserve"> Certificate qualification </w:t>
      </w:r>
      <w:r w:rsidR="000F4D3C">
        <w:rPr>
          <w:rFonts w:cs="Arial"/>
          <w:color w:val="000000" w:themeColor="text1"/>
          <w:sz w:val="16"/>
          <w:szCs w:val="16"/>
        </w:rPr>
        <w:t xml:space="preserve">type </w:t>
      </w:r>
      <w:r>
        <w:rPr>
          <w:rFonts w:cs="Arial"/>
          <w:color w:val="000000" w:themeColor="text1"/>
          <w:sz w:val="16"/>
          <w:szCs w:val="16"/>
        </w:rPr>
        <w:t xml:space="preserve">must not be </w:t>
      </w:r>
      <w:r w:rsidR="00CD425C">
        <w:rPr>
          <w:rFonts w:cs="Arial"/>
          <w:color w:val="000000" w:themeColor="text1"/>
          <w:sz w:val="16"/>
          <w:szCs w:val="16"/>
        </w:rPr>
        <w:t>conferred</w:t>
      </w:r>
      <w:r>
        <w:rPr>
          <w:rFonts w:cs="Arial"/>
          <w:color w:val="000000" w:themeColor="text1"/>
          <w:sz w:val="16"/>
          <w:szCs w:val="16"/>
        </w:rPr>
        <w:t xml:space="preserve"> </w:t>
      </w:r>
      <w:r w:rsidRPr="00DD6051">
        <w:rPr>
          <w:rFonts w:cs="Arial"/>
          <w:color w:val="000000" w:themeColor="text1"/>
          <w:sz w:val="16"/>
          <w:szCs w:val="16"/>
        </w:rPr>
        <w:t>after 3</w:t>
      </w:r>
      <w:r w:rsidR="00CD425C">
        <w:rPr>
          <w:rFonts w:cs="Arial"/>
          <w:color w:val="000000" w:themeColor="text1"/>
          <w:sz w:val="16"/>
          <w:szCs w:val="16"/>
        </w:rPr>
        <w:t>0</w:t>
      </w:r>
      <w:r w:rsidRPr="00DD6051">
        <w:rPr>
          <w:rFonts w:cs="Arial"/>
          <w:color w:val="000000" w:themeColor="text1"/>
          <w:sz w:val="16"/>
          <w:szCs w:val="16"/>
        </w:rPr>
        <w:t> </w:t>
      </w:r>
      <w:r w:rsidR="00CD425C">
        <w:rPr>
          <w:rFonts w:cs="Arial"/>
          <w:color w:val="000000" w:themeColor="text1"/>
          <w:sz w:val="16"/>
          <w:szCs w:val="16"/>
        </w:rPr>
        <w:t xml:space="preserve">June </w:t>
      </w:r>
      <w:r w:rsidRPr="008C1F22">
        <w:rPr>
          <w:rFonts w:cs="Arial"/>
          <w:color w:val="000000" w:themeColor="text1"/>
          <w:sz w:val="16"/>
          <w:szCs w:val="16"/>
        </w:rPr>
        <w:t>202</w:t>
      </w:r>
      <w:r w:rsidR="00CD425C">
        <w:rPr>
          <w:rFonts w:cs="Arial"/>
          <w:color w:val="000000" w:themeColor="text1"/>
          <w:sz w:val="16"/>
          <w:szCs w:val="16"/>
        </w:rPr>
        <w:t>5</w:t>
      </w:r>
      <w:r>
        <w:rPr>
          <w:rFonts w:cs="Arial"/>
          <w:color w:val="000000" w:themeColor="text1"/>
          <w:sz w:val="16"/>
          <w:szCs w:val="16"/>
        </w:rPr>
        <w:t xml:space="preserve">. </w:t>
      </w:r>
      <w:r w:rsidRPr="00DD6051">
        <w:rPr>
          <w:rFonts w:cs="Arial"/>
          <w:color w:val="000000" w:themeColor="text1"/>
          <w:sz w:val="16"/>
          <w:szCs w:val="16"/>
        </w:rPr>
        <w:t xml:space="preserve">Undergraduate Certificates that have been </w:t>
      </w:r>
      <w:r w:rsidR="00CD425C">
        <w:rPr>
          <w:rFonts w:cs="Arial"/>
          <w:color w:val="000000" w:themeColor="text1"/>
          <w:sz w:val="16"/>
          <w:szCs w:val="16"/>
        </w:rPr>
        <w:t xml:space="preserve">conferred </w:t>
      </w:r>
      <w:r w:rsidRPr="00DD6051">
        <w:rPr>
          <w:rFonts w:cs="Arial"/>
          <w:color w:val="000000" w:themeColor="text1"/>
          <w:sz w:val="16"/>
          <w:szCs w:val="16"/>
        </w:rPr>
        <w:t>prior to this date will continue to be recognised as valid AQF qualifications.</w:t>
      </w:r>
    </w:p>
    <w:p w14:paraId="2BDFD21B" w14:textId="77777777" w:rsidR="002070C7" w:rsidRPr="003103CE" w:rsidRDefault="002070C7" w:rsidP="002070C7">
      <w:pPr>
        <w:pStyle w:val="Heading4"/>
      </w:pPr>
      <w:r w:rsidRPr="003103CE">
        <w:lastRenderedPageBreak/>
        <w:t>Admission</w:t>
      </w:r>
    </w:p>
    <w:p w14:paraId="448C1EA4" w14:textId="77777777" w:rsidR="002070C7" w:rsidRPr="003103CE" w:rsidRDefault="002070C7" w:rsidP="002070C7">
      <w:pPr>
        <w:contextualSpacing/>
        <w:rPr>
          <w:rFonts w:cs="Arial"/>
          <w:color w:val="000000" w:themeColor="text1"/>
          <w:szCs w:val="22"/>
        </w:rPr>
      </w:pPr>
      <w:r w:rsidRPr="003103CE">
        <w:rPr>
          <w:rFonts w:cs="Arial"/>
          <w:color w:val="000000" w:themeColor="text1"/>
          <w:szCs w:val="22"/>
        </w:rPr>
        <w:t xml:space="preserve">Requirements for admission to </w:t>
      </w:r>
      <w:proofErr w:type="gramStart"/>
      <w:r w:rsidRPr="003103CE">
        <w:rPr>
          <w:rFonts w:cs="Arial"/>
          <w:color w:val="000000" w:themeColor="text1"/>
          <w:szCs w:val="22"/>
        </w:rPr>
        <w:t>particular awards</w:t>
      </w:r>
      <w:proofErr w:type="gramEnd"/>
      <w:r w:rsidRPr="003103CE">
        <w:rPr>
          <w:rFonts w:cs="Arial"/>
          <w:color w:val="000000" w:themeColor="text1"/>
          <w:szCs w:val="22"/>
        </w:rPr>
        <w:t xml:space="preserve"> are set by higher education institutions and provide a range of routes for entry and only admit those students considered to have potential to complete an award successfully. Admission of school leavers to undergraduate awards is </w:t>
      </w:r>
      <w:r w:rsidRPr="006D6732">
        <w:rPr>
          <w:rFonts w:cs="Arial"/>
          <w:color w:val="000000" w:themeColor="text1"/>
          <w:szCs w:val="22"/>
        </w:rPr>
        <w:t xml:space="preserve">typically </w:t>
      </w:r>
      <w:proofErr w:type="gramStart"/>
      <w:r w:rsidRPr="006D6732">
        <w:rPr>
          <w:rFonts w:cs="Arial"/>
          <w:color w:val="000000" w:themeColor="text1"/>
          <w:szCs w:val="22"/>
        </w:rPr>
        <w:t>on the basis of</w:t>
      </w:r>
      <w:proofErr w:type="gramEnd"/>
      <w:r w:rsidRPr="006D6732">
        <w:rPr>
          <w:rFonts w:cs="Arial"/>
          <w:color w:val="000000" w:themeColor="text1"/>
          <w:szCs w:val="22"/>
        </w:rPr>
        <w:t xml:space="preserve"> the level of achievement in Year 12 secondary education</w:t>
      </w:r>
      <w:r w:rsidRPr="003103CE">
        <w:rPr>
          <w:rFonts w:cs="Arial"/>
          <w:color w:val="000000" w:themeColor="text1"/>
          <w:szCs w:val="22"/>
        </w:rPr>
        <w:t xml:space="preserve">, although some institutions and awards also use interviews, portfolios or demonstrated interest or aptitude. Most institutions also provide alternative entry provisions via bridging or foundation programs for mature age students or other special provisions, such as recognition of prior learning from previous study. Admission to post-graduate awards is generally based on the level of achievement in previous higher education studies and in most cases, admission to PhD awards is based on high achievement in a research </w:t>
      </w:r>
      <w:proofErr w:type="gramStart"/>
      <w:r w:rsidRPr="003103CE">
        <w:rPr>
          <w:rFonts w:cs="Arial"/>
          <w:color w:val="000000" w:themeColor="text1"/>
          <w:szCs w:val="22"/>
        </w:rPr>
        <w:t>Masters Degree</w:t>
      </w:r>
      <w:proofErr w:type="gramEnd"/>
      <w:r w:rsidRPr="003103CE">
        <w:rPr>
          <w:rFonts w:cs="Arial"/>
          <w:color w:val="000000" w:themeColor="text1"/>
          <w:szCs w:val="22"/>
        </w:rPr>
        <w:t xml:space="preserve"> or in a Bachelor Degree with first class honours or second class honours division A.</w:t>
      </w:r>
    </w:p>
    <w:p w14:paraId="297D9F08" w14:textId="77777777" w:rsidR="002070C7" w:rsidRPr="003103CE" w:rsidRDefault="002070C7" w:rsidP="002070C7">
      <w:pPr>
        <w:pStyle w:val="Heading4"/>
      </w:pPr>
      <w:r w:rsidRPr="003103CE">
        <w:t>Quality</w:t>
      </w:r>
    </w:p>
    <w:p w14:paraId="534ABBD0" w14:textId="7085B7D6" w:rsidR="002070C7" w:rsidRPr="003103CE" w:rsidRDefault="002070C7" w:rsidP="0039675B">
      <w:r w:rsidRPr="003103CE">
        <w:t>Quality assurance and stringent approval requirements for higher education institutions ensure that Australia has an international reputation for high quality education.</w:t>
      </w:r>
    </w:p>
    <w:p w14:paraId="1C48A5ED" w14:textId="54EA7079" w:rsidR="002070C7" w:rsidRPr="003103CE" w:rsidRDefault="002070C7" w:rsidP="0039675B">
      <w:r w:rsidRPr="003103CE">
        <w:t>The Tertiary Education Quality and Standards Agency (TEQSA) was established on 30 July 2011 as a new national regulator and quality assurance agency for higher education. TEQSA is an independent body with the powers to regulate university and non-univer</w:t>
      </w:r>
      <w:r>
        <w:t xml:space="preserve">sity higher education </w:t>
      </w:r>
      <w:r w:rsidR="00F14ADF">
        <w:t xml:space="preserve">institutions </w:t>
      </w:r>
      <w:r>
        <w:t>and</w:t>
      </w:r>
      <w:r w:rsidRPr="003103CE">
        <w:t xml:space="preserve"> monitor quality </w:t>
      </w:r>
      <w:r>
        <w:t>against</w:t>
      </w:r>
      <w:r w:rsidRPr="003103CE">
        <w:t xml:space="preserve"> standards.</w:t>
      </w:r>
      <w:r w:rsidR="00D92B7C">
        <w:t xml:space="preserve"> Its </w:t>
      </w:r>
      <w:r w:rsidR="00D92B7C" w:rsidRPr="00C34EF5">
        <w:t xml:space="preserve">purpose is to protect student interests and the reputation of Australia's higher education sector through a proportionate, risk-reflective approach to quality assurance that supports diversity, </w:t>
      </w:r>
      <w:proofErr w:type="gramStart"/>
      <w:r w:rsidR="00D92B7C" w:rsidRPr="00C34EF5">
        <w:t>innovation</w:t>
      </w:r>
      <w:proofErr w:type="gramEnd"/>
      <w:r w:rsidR="00D92B7C" w:rsidRPr="00C34EF5">
        <w:t xml:space="preserve"> and excellence</w:t>
      </w:r>
      <w:r w:rsidR="00D92B7C" w:rsidRPr="003103CE">
        <w:t xml:space="preserve">. </w:t>
      </w:r>
    </w:p>
    <w:p w14:paraId="1640DA5A" w14:textId="40E9A2CE" w:rsidR="002070C7" w:rsidRPr="00C26B23" w:rsidRDefault="002070C7" w:rsidP="0039675B">
      <w:r w:rsidRPr="00C26B23">
        <w:t>From 29 January 2012 TEQSA assumed responsibility for registering and re</w:t>
      </w:r>
      <w:r w:rsidR="00305F16">
        <w:noBreakHyphen/>
      </w:r>
      <w:r w:rsidRPr="00C26B23">
        <w:t xml:space="preserve">registering providers and accrediting and re-accrediting awards for higher education providers that do not have authority to accredit their own awards. At the time of registration, re-registration, accreditation and/or re-accreditation, TEQSA evaluates the performance of a higher education provider against the Higher Education Standards Framework. </w:t>
      </w:r>
      <w:r w:rsidR="00860C48" w:rsidRPr="00860C48">
        <w:t xml:space="preserve">The framework specifies the minimum standards that all higher education providers must meet and continue to meet </w:t>
      </w:r>
      <w:proofErr w:type="gramStart"/>
      <w:r w:rsidR="00860C48" w:rsidRPr="00860C48">
        <w:t>in order to</w:t>
      </w:r>
      <w:proofErr w:type="gramEnd"/>
      <w:r w:rsidR="00860C48" w:rsidRPr="00860C48">
        <w:t xml:space="preserve"> remain registered</w:t>
      </w:r>
      <w:r w:rsidRPr="00C26B23">
        <w:t xml:space="preserve">. </w:t>
      </w:r>
    </w:p>
    <w:p w14:paraId="58E42904" w14:textId="4954692A" w:rsidR="002070C7" w:rsidRPr="003103CE" w:rsidRDefault="002070C7" w:rsidP="0039675B">
      <w:r w:rsidRPr="003103CE">
        <w:t xml:space="preserve">TEQSA also </w:t>
      </w:r>
      <w:r w:rsidR="00D92B7C">
        <w:t xml:space="preserve">monitors provider risks and performance and identifies good practice to support continuous improvement within the sector, </w:t>
      </w:r>
      <w:r w:rsidRPr="003103CE">
        <w:t>guide sectoral quality enhancement and inform policy and research.</w:t>
      </w:r>
    </w:p>
    <w:p w14:paraId="440652E6" w14:textId="77777777" w:rsidR="002070C7" w:rsidRPr="003103CE" w:rsidRDefault="002070C7" w:rsidP="0039675B"/>
    <w:p w14:paraId="0EDF1CD0" w14:textId="77777777" w:rsidR="00D92B7C" w:rsidRPr="00C26B23" w:rsidRDefault="00D92B7C" w:rsidP="0039675B">
      <w:r w:rsidRPr="00C26B23">
        <w:lastRenderedPageBreak/>
        <w:t xml:space="preserve">The Higher Education Standards Panel, which is independent from TEQSA, is responsible for </w:t>
      </w:r>
      <w:r>
        <w:t xml:space="preserve">advising the Minister for Education and TEQSA on the </w:t>
      </w:r>
      <w:r w:rsidRPr="00C26B23">
        <w:t>develop</w:t>
      </w:r>
      <w:r>
        <w:t>ment,</w:t>
      </w:r>
      <w:r w:rsidRPr="00C26B23">
        <w:t xml:space="preserve"> </w:t>
      </w:r>
      <w:proofErr w:type="gramStart"/>
      <w:r w:rsidRPr="00C26B23">
        <w:t>monitoring</w:t>
      </w:r>
      <w:proofErr w:type="gramEnd"/>
      <w:r w:rsidRPr="00C26B23">
        <w:t xml:space="preserve"> </w:t>
      </w:r>
      <w:r>
        <w:t xml:space="preserve">and interpretation of </w:t>
      </w:r>
      <w:r w:rsidRPr="00C26B23">
        <w:t xml:space="preserve">the </w:t>
      </w:r>
      <w:r>
        <w:t xml:space="preserve">Higher Education </w:t>
      </w:r>
      <w:r w:rsidRPr="00C26B23">
        <w:t>Standards Framework.</w:t>
      </w:r>
    </w:p>
    <w:p w14:paraId="10ABFE5D" w14:textId="6580990C" w:rsidR="002070C7" w:rsidRPr="003103CE" w:rsidRDefault="002070C7" w:rsidP="0039675B">
      <w:r w:rsidRPr="003103CE">
        <w:t xml:space="preserve">All higher education institutions receiving Australian Government financial support must meet quality and accountability requirements that are set out in the </w:t>
      </w:r>
      <w:r w:rsidRPr="003103CE">
        <w:rPr>
          <w:i/>
        </w:rPr>
        <w:t>Higher Education Support Act 2003</w:t>
      </w:r>
      <w:r w:rsidRPr="003103CE">
        <w:t xml:space="preserve">. The Australian Government also uses a range of tools to measure and monitor the quality of outcomes, while the interests of international students are protected by the </w:t>
      </w:r>
      <w:r w:rsidRPr="003103CE">
        <w:rPr>
          <w:i/>
        </w:rPr>
        <w:t>Education Services for Overseas Students Act 2000</w:t>
      </w:r>
      <w:r w:rsidRPr="003103CE">
        <w:t xml:space="preserve"> and the Commonwealth Register of Institutions and Courses for Overseas Students (CRICOS), providing tuition assurance and ensuring that institutions listed on CRICOS meet defined minimum standards.</w:t>
      </w:r>
    </w:p>
    <w:p w14:paraId="5E1257FC" w14:textId="77777777" w:rsidR="002070C7" w:rsidRPr="0039675B" w:rsidRDefault="002070C7" w:rsidP="0039675B">
      <w:pPr>
        <w:pStyle w:val="Heading4"/>
      </w:pPr>
      <w:r w:rsidRPr="0039675B">
        <w:t>Notes:</w:t>
      </w:r>
    </w:p>
    <w:p w14:paraId="00C6426E" w14:textId="2BD0D0CF" w:rsidR="002070C7" w:rsidRPr="003103CE" w:rsidRDefault="002070C7" w:rsidP="002070C7">
      <w:pPr>
        <w:numPr>
          <w:ilvl w:val="0"/>
          <w:numId w:val="6"/>
        </w:numPr>
        <w:contextualSpacing/>
        <w:rPr>
          <w:rFonts w:cs="Arial"/>
          <w:color w:val="000000" w:themeColor="text1"/>
          <w:szCs w:val="22"/>
        </w:rPr>
      </w:pPr>
      <w:r w:rsidRPr="003103CE">
        <w:rPr>
          <w:rFonts w:cs="Arial"/>
          <w:color w:val="000000" w:themeColor="text1"/>
          <w:szCs w:val="22"/>
        </w:rPr>
        <w:t>The above text, table and AQF logo should be included unaltered and in its entirety on the AHEGS.</w:t>
      </w:r>
    </w:p>
    <w:p w14:paraId="50EF2E4E" w14:textId="77777777" w:rsidR="002070C7" w:rsidRPr="003103CE" w:rsidRDefault="002070C7" w:rsidP="002070C7">
      <w:pPr>
        <w:numPr>
          <w:ilvl w:val="0"/>
          <w:numId w:val="6"/>
        </w:numPr>
        <w:contextualSpacing/>
        <w:rPr>
          <w:rFonts w:cs="Arial"/>
          <w:color w:val="000000" w:themeColor="text1"/>
          <w:szCs w:val="22"/>
        </w:rPr>
      </w:pPr>
      <w:r w:rsidRPr="003103CE">
        <w:rPr>
          <w:rFonts w:cs="Arial"/>
          <w:color w:val="000000" w:themeColor="text1"/>
          <w:szCs w:val="22"/>
        </w:rPr>
        <w:t xml:space="preserve">The AQF table must appear in full on the same page. </w:t>
      </w:r>
    </w:p>
    <w:p w14:paraId="02D056F5" w14:textId="117C44A4" w:rsidR="002070C7" w:rsidRPr="003103CE" w:rsidRDefault="002070C7" w:rsidP="002070C7">
      <w:pPr>
        <w:numPr>
          <w:ilvl w:val="0"/>
          <w:numId w:val="6"/>
        </w:numPr>
        <w:contextualSpacing/>
        <w:rPr>
          <w:rFonts w:cs="Arial"/>
          <w:color w:val="000000" w:themeColor="text1"/>
          <w:szCs w:val="22"/>
        </w:rPr>
      </w:pPr>
      <w:r w:rsidRPr="003103CE">
        <w:rPr>
          <w:rFonts w:cs="Arial"/>
          <w:color w:val="000000" w:themeColor="text1"/>
          <w:szCs w:val="22"/>
        </w:rPr>
        <w:t xml:space="preserve">The full text has been approved by the Department </w:t>
      </w:r>
      <w:r w:rsidR="00427BDE">
        <w:rPr>
          <w:rFonts w:cs="Arial"/>
          <w:color w:val="000000" w:themeColor="text1"/>
          <w:szCs w:val="22"/>
        </w:rPr>
        <w:t>of Education, Skills and Employment</w:t>
      </w:r>
      <w:r w:rsidRPr="003103CE">
        <w:rPr>
          <w:rFonts w:cs="Arial"/>
          <w:color w:val="000000" w:themeColor="text1"/>
          <w:szCs w:val="22"/>
        </w:rPr>
        <w:t>.</w:t>
      </w:r>
    </w:p>
    <w:p w14:paraId="6A2D4264" w14:textId="2FAD4ABE" w:rsidR="002070C7" w:rsidRDefault="002070C7" w:rsidP="00E911E8">
      <w:pPr>
        <w:pStyle w:val="Heading2"/>
        <w:rPr>
          <w:szCs w:val="28"/>
          <w:lang w:eastAsia="en-US"/>
        </w:rPr>
      </w:pPr>
      <w:bookmarkStart w:id="0" w:name="OLE_LINK1"/>
      <w:r w:rsidRPr="00E911E8">
        <w:rPr>
          <w:szCs w:val="28"/>
          <w:lang w:eastAsia="en-US"/>
        </w:rPr>
        <w:t>Issues to Note</w:t>
      </w:r>
    </w:p>
    <w:bookmarkEnd w:id="0"/>
    <w:p w14:paraId="20DFA91E" w14:textId="77777777" w:rsidR="002070C7" w:rsidRPr="003103CE" w:rsidRDefault="002070C7" w:rsidP="002070C7">
      <w:pPr>
        <w:pStyle w:val="Heading3"/>
      </w:pPr>
      <w:r w:rsidRPr="003103CE">
        <w:t>Web links</w:t>
      </w:r>
    </w:p>
    <w:p w14:paraId="07AAC712" w14:textId="68B41976" w:rsidR="002070C7" w:rsidRPr="0039675B" w:rsidRDefault="002070C7" w:rsidP="0039675B">
      <w:pPr>
        <w:contextualSpacing/>
        <w:rPr>
          <w:rFonts w:cs="Arial"/>
          <w:color w:val="000000" w:themeColor="text1"/>
          <w:szCs w:val="22"/>
        </w:rPr>
      </w:pPr>
      <w:r w:rsidRPr="003103CE">
        <w:rPr>
          <w:rFonts w:cs="Arial"/>
          <w:color w:val="000000" w:themeColor="text1"/>
          <w:szCs w:val="22"/>
        </w:rPr>
        <w:t xml:space="preserve">Web links can be used on the AHEGS at the institution’s discretion. If using web links, it is recommended that they are at a basic level (for example: </w:t>
      </w:r>
      <w:hyperlink r:id="rId22" w:history="1">
        <w:r w:rsidR="0039675B" w:rsidRPr="00BE437F">
          <w:rPr>
            <w:rStyle w:val="Hyperlink"/>
          </w:rPr>
          <w:t>www.uniX.edu.au</w:t>
        </w:r>
      </w:hyperlink>
      <w:r w:rsidRPr="003103CE">
        <w:rPr>
          <w:rFonts w:cs="Arial"/>
          <w:color w:val="000000" w:themeColor="text1"/>
          <w:szCs w:val="22"/>
        </w:rPr>
        <w:t>) to prevent outdated links. It is not compulsory, but you may find it useful to create an AHEGS dedicated page on your institution’s website to communicate more easily with students and employers.</w:t>
      </w:r>
    </w:p>
    <w:p w14:paraId="3DA3BF07" w14:textId="77777777" w:rsidR="002070C7" w:rsidRPr="003103CE" w:rsidRDefault="002070C7" w:rsidP="002070C7">
      <w:pPr>
        <w:pStyle w:val="Heading3"/>
      </w:pPr>
      <w:r w:rsidRPr="003103CE">
        <w:t>AHEGS paper</w:t>
      </w:r>
    </w:p>
    <w:p w14:paraId="4DE43FF1" w14:textId="77777777" w:rsidR="002070C7" w:rsidRDefault="002070C7" w:rsidP="002070C7">
      <w:r w:rsidRPr="003103CE">
        <w:t xml:space="preserve">There is no requirement to use secure paper for the </w:t>
      </w:r>
      <w:proofErr w:type="gramStart"/>
      <w:r w:rsidRPr="003103CE">
        <w:t>AHEGS</w:t>
      </w:r>
      <w:proofErr w:type="gramEnd"/>
      <w:r w:rsidRPr="003103CE">
        <w:t xml:space="preserve"> but many institutions are choosing to use the same paper as the testamur/academic transcript which may include watermarks and/or holograms.</w:t>
      </w:r>
    </w:p>
    <w:p w14:paraId="6BB56698" w14:textId="77777777" w:rsidR="002070C7" w:rsidRPr="003103CE" w:rsidRDefault="002070C7" w:rsidP="002070C7">
      <w:pPr>
        <w:pStyle w:val="Heading3"/>
      </w:pPr>
      <w:proofErr w:type="gramStart"/>
      <w:r w:rsidRPr="003103CE">
        <w:t>Jointly-badged</w:t>
      </w:r>
      <w:proofErr w:type="gramEnd"/>
      <w:r w:rsidRPr="003103CE">
        <w:t xml:space="preserve"> qualifications</w:t>
      </w:r>
    </w:p>
    <w:p w14:paraId="5B50A55C" w14:textId="45E07587" w:rsidR="002070C7" w:rsidRPr="003103CE" w:rsidRDefault="002070C7" w:rsidP="0039675B">
      <w:pPr>
        <w:contextualSpacing/>
        <w:rPr>
          <w:rFonts w:cs="Arial"/>
          <w:color w:val="000000" w:themeColor="text1"/>
          <w:szCs w:val="22"/>
        </w:rPr>
      </w:pPr>
      <w:proofErr w:type="gramStart"/>
      <w:r w:rsidRPr="003103CE">
        <w:rPr>
          <w:rFonts w:cs="Arial"/>
          <w:color w:val="000000" w:themeColor="text1"/>
          <w:szCs w:val="22"/>
        </w:rPr>
        <w:t>Jointly-badged</w:t>
      </w:r>
      <w:proofErr w:type="gramEnd"/>
      <w:r w:rsidRPr="003103CE">
        <w:rPr>
          <w:rFonts w:cs="Arial"/>
          <w:color w:val="000000" w:themeColor="text1"/>
          <w:szCs w:val="22"/>
        </w:rPr>
        <w:t xml:space="preserve"> qualifications are those that involve more than one institution, where the partner institution may be domestic or overseas. Regardless of the nature of the arrangement, the AHEGS should acknowledge that the qualification was delivered by two (or more) institutions.</w:t>
      </w:r>
    </w:p>
    <w:p w14:paraId="3FE4AE43" w14:textId="77777777" w:rsidR="002070C7" w:rsidRPr="0039675B" w:rsidRDefault="002070C7" w:rsidP="0039675B">
      <w:r w:rsidRPr="0039675B">
        <w:lastRenderedPageBreak/>
        <w:t>If the partnership is with an overseas institution, the Australian institution will be the only provider issuing an AHEGS.</w:t>
      </w:r>
    </w:p>
    <w:p w14:paraId="2830F48B" w14:textId="24D6D9C0" w:rsidR="002070C7" w:rsidRPr="0039675B" w:rsidRDefault="002070C7" w:rsidP="0039675B">
      <w:r w:rsidRPr="0039675B">
        <w:t xml:space="preserve">If the partnership is with a domestic institution, the institutions may either agree on which one will provide the AHEGS or they may both provide AHEGS, </w:t>
      </w:r>
      <w:proofErr w:type="gramStart"/>
      <w:r w:rsidRPr="0039675B">
        <w:t>as long as</w:t>
      </w:r>
      <w:proofErr w:type="gramEnd"/>
      <w:r w:rsidRPr="0039675B">
        <w:t xml:space="preserve"> the arrangement is acknowledged on the AHEGS.</w:t>
      </w:r>
      <w:r w:rsidR="00CE046E" w:rsidRPr="0039675B">
        <w:t xml:space="preserve"> If an institution has third-party delivery or articulation arrangements, it can decide whether to acknowledge such arrangements in its AHEGS.</w:t>
      </w:r>
    </w:p>
    <w:p w14:paraId="2F7C3B71" w14:textId="77777777" w:rsidR="002070C7" w:rsidRPr="003103CE" w:rsidRDefault="002070C7" w:rsidP="002070C7">
      <w:pPr>
        <w:pStyle w:val="Heading3"/>
      </w:pPr>
      <w:r w:rsidRPr="003103CE">
        <w:t>Nested Degrees</w:t>
      </w:r>
    </w:p>
    <w:p w14:paraId="4C011BB7" w14:textId="77777777" w:rsidR="002070C7" w:rsidRPr="003103CE" w:rsidRDefault="002070C7" w:rsidP="002070C7">
      <w:pPr>
        <w:contextualSpacing/>
        <w:rPr>
          <w:rFonts w:cs="Arial"/>
          <w:color w:val="000000" w:themeColor="text1"/>
          <w:szCs w:val="22"/>
        </w:rPr>
      </w:pPr>
      <w:r w:rsidRPr="003103CE">
        <w:rPr>
          <w:rFonts w:cs="Arial"/>
          <w:color w:val="000000" w:themeColor="text1"/>
          <w:szCs w:val="22"/>
        </w:rPr>
        <w:t>For nested degrees, such as where students first complete a Graduate Certificate, followed by a Graduate Diploma and/or followed by a Masters, institutions should follow the same practices that they use for issuing awards. For example,</w:t>
      </w:r>
      <w:r w:rsidRPr="003103CE" w:rsidDel="0062044C">
        <w:rPr>
          <w:rFonts w:cs="Arial"/>
          <w:color w:val="000000" w:themeColor="text1"/>
          <w:szCs w:val="22"/>
        </w:rPr>
        <w:t xml:space="preserve"> </w:t>
      </w:r>
      <w:r w:rsidRPr="003103CE">
        <w:rPr>
          <w:rFonts w:cs="Arial"/>
          <w:color w:val="000000" w:themeColor="text1"/>
          <w:szCs w:val="22"/>
        </w:rPr>
        <w:t>if an institution grants a testamur at each stage, it should issue an AHEGS at each stage but if the institution only grants the award at the end of the studies, it should issue an AHEGS at that point only.</w:t>
      </w:r>
    </w:p>
    <w:p w14:paraId="18BD3C01" w14:textId="77777777" w:rsidR="002070C7" w:rsidRPr="003103CE" w:rsidRDefault="002070C7" w:rsidP="002070C7">
      <w:pPr>
        <w:pStyle w:val="Heading3"/>
      </w:pPr>
      <w:r w:rsidRPr="003103CE">
        <w:t>Double/combined Degrees</w:t>
      </w:r>
    </w:p>
    <w:p w14:paraId="2EB3A6D1" w14:textId="77777777" w:rsidR="002070C7" w:rsidRPr="0039675B" w:rsidRDefault="002070C7" w:rsidP="0039675B">
      <w:r w:rsidRPr="0039675B">
        <w:t xml:space="preserve">A double degree is an award where a student receives two separate awards, </w:t>
      </w:r>
      <w:proofErr w:type="gramStart"/>
      <w:r w:rsidRPr="0039675B">
        <w:t>i.e.</w:t>
      </w:r>
      <w:proofErr w:type="gramEnd"/>
      <w:r w:rsidRPr="0039675B">
        <w:t xml:space="preserve"> two </w:t>
      </w:r>
      <w:proofErr w:type="spellStart"/>
      <w:r w:rsidRPr="0039675B">
        <w:t>testamurs</w:t>
      </w:r>
      <w:proofErr w:type="spellEnd"/>
      <w:r w:rsidRPr="0039675B">
        <w:t>. A separate AHEGS should be provided for each qualification. For example: Bachelor of Business/Bachelor of Arts in International Studies.</w:t>
      </w:r>
    </w:p>
    <w:p w14:paraId="2A4DDE43" w14:textId="77777777" w:rsidR="002070C7" w:rsidRPr="0039675B" w:rsidRDefault="002070C7" w:rsidP="0039675B">
      <w:r w:rsidRPr="0039675B">
        <w:t xml:space="preserve">A combined degree is an award for which a student receives a single </w:t>
      </w:r>
      <w:proofErr w:type="spellStart"/>
      <w:r w:rsidRPr="0039675B">
        <w:t>testamur</w:t>
      </w:r>
      <w:proofErr w:type="spellEnd"/>
      <w:r w:rsidRPr="0039675B">
        <w:t>. Only one AHEGS should be provided for a combined degree. For example: Bachelor of Arts/Asian Studies.</w:t>
      </w:r>
    </w:p>
    <w:p w14:paraId="2D432406" w14:textId="77777777" w:rsidR="002070C7" w:rsidRPr="003103CE" w:rsidRDefault="002070C7" w:rsidP="002070C7">
      <w:pPr>
        <w:pStyle w:val="Heading3"/>
      </w:pPr>
      <w:r w:rsidRPr="003103CE">
        <w:t>Reissuing of an AHEGS</w:t>
      </w:r>
    </w:p>
    <w:p w14:paraId="03C9C6D6" w14:textId="77777777" w:rsidR="002070C7" w:rsidRPr="0039675B" w:rsidRDefault="002070C7" w:rsidP="0039675B">
      <w:r w:rsidRPr="0039675B">
        <w:t xml:space="preserve">Ideally, a reissued AHEGS should be provided in identical form to the original version. If this is not possible due to </w:t>
      </w:r>
      <w:proofErr w:type="gramStart"/>
      <w:r w:rsidRPr="0039675B">
        <w:t>out of date</w:t>
      </w:r>
      <w:proofErr w:type="gramEnd"/>
      <w:r w:rsidRPr="0039675B">
        <w:t xml:space="preserve"> stock paper, it is acceptable to reproduce the AHEGS on different paper, but the information contained in the AHEGS should remain as originally issued.</w:t>
      </w:r>
    </w:p>
    <w:p w14:paraId="4925E90B" w14:textId="77777777" w:rsidR="002070C7" w:rsidRPr="0039675B" w:rsidRDefault="002070C7" w:rsidP="0039675B">
      <w:r w:rsidRPr="0039675B">
        <w:t xml:space="preserve">Institutions must provide one copy of the AHEGS free of charge but may charge for the reissuing if it is standard procedure to do so for </w:t>
      </w:r>
      <w:proofErr w:type="spellStart"/>
      <w:r w:rsidRPr="0039675B">
        <w:t>testamurs</w:t>
      </w:r>
      <w:proofErr w:type="spellEnd"/>
      <w:r w:rsidRPr="0039675B">
        <w:t xml:space="preserve"> and academic transcripts.</w:t>
      </w:r>
    </w:p>
    <w:p w14:paraId="58F738B5" w14:textId="77777777" w:rsidR="002070C7" w:rsidRPr="003103CE" w:rsidRDefault="002070C7" w:rsidP="002070C7">
      <w:pPr>
        <w:pStyle w:val="Heading3"/>
      </w:pPr>
      <w:r w:rsidRPr="003103CE">
        <w:t>Storage of the AHEGS</w:t>
      </w:r>
    </w:p>
    <w:p w14:paraId="0E6E01C1" w14:textId="1AA2DC51" w:rsidR="002070C7" w:rsidRPr="0039675B" w:rsidRDefault="002070C7" w:rsidP="0039675B">
      <w:pPr>
        <w:contextualSpacing/>
        <w:rPr>
          <w:rFonts w:cs="Arial"/>
          <w:color w:val="000000" w:themeColor="text1"/>
          <w:szCs w:val="22"/>
        </w:rPr>
      </w:pPr>
      <w:r w:rsidRPr="003103CE">
        <w:rPr>
          <w:rFonts w:cs="Arial"/>
          <w:color w:val="000000" w:themeColor="text1"/>
          <w:szCs w:val="22"/>
        </w:rPr>
        <w:t xml:space="preserve">The Department </w:t>
      </w:r>
      <w:r w:rsidR="00305F16">
        <w:t>of Education, Skills and Employment</w:t>
      </w:r>
      <w:r w:rsidR="00305F16" w:rsidRPr="003103CE">
        <w:t xml:space="preserve"> </w:t>
      </w:r>
      <w:r w:rsidRPr="003103CE">
        <w:rPr>
          <w:rFonts w:cs="Arial"/>
          <w:color w:val="000000" w:themeColor="text1"/>
          <w:szCs w:val="22"/>
        </w:rPr>
        <w:t>does not have a policy on the storage of the AHEGS and institutions should select a method of storage to suit available resources.</w:t>
      </w:r>
    </w:p>
    <w:p w14:paraId="2D4611B8" w14:textId="77777777" w:rsidR="002070C7" w:rsidRPr="003103CE" w:rsidRDefault="002070C7" w:rsidP="002070C7">
      <w:pPr>
        <w:pStyle w:val="Heading3"/>
      </w:pPr>
      <w:r w:rsidRPr="003103CE">
        <w:lastRenderedPageBreak/>
        <w:t>Other frequently asked questions</w:t>
      </w:r>
    </w:p>
    <w:p w14:paraId="6E7CFF99" w14:textId="5E84E482" w:rsidR="00EF250D" w:rsidRDefault="002070C7" w:rsidP="0039675B">
      <w:r w:rsidRPr="003103CE">
        <w:t xml:space="preserve">A list of frequently asked questions </w:t>
      </w:r>
      <w:r>
        <w:t>i</w:t>
      </w:r>
      <w:r w:rsidRPr="003103CE">
        <w:t xml:space="preserve">s available from the </w:t>
      </w:r>
      <w:hyperlink r:id="rId23" w:history="1">
        <w:r w:rsidRPr="0039675B">
          <w:rPr>
            <w:rStyle w:val="Hyperlink"/>
          </w:rPr>
          <w:t>Department of Education</w:t>
        </w:r>
        <w:r w:rsidR="00427BDE" w:rsidRPr="0039675B">
          <w:rPr>
            <w:rStyle w:val="Hyperlink"/>
          </w:rPr>
          <w:t>, Skills and Employment</w:t>
        </w:r>
      </w:hyperlink>
      <w:r w:rsidRPr="003103CE">
        <w:t xml:space="preserve"> website.</w:t>
      </w:r>
      <w:r w:rsidRPr="00984067">
        <w:t xml:space="preserve"> </w:t>
      </w:r>
    </w:p>
    <w:sectPr w:rsidR="00EF250D" w:rsidSect="00147CB9">
      <w:footerReference w:type="first" r:id="rId24"/>
      <w:pgSz w:w="11906" w:h="16838" w:code="9"/>
      <w:pgMar w:top="1440" w:right="1701" w:bottom="156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F742F" w14:textId="77777777" w:rsidR="001D09A5" w:rsidRDefault="001D09A5">
      <w:r>
        <w:separator/>
      </w:r>
    </w:p>
  </w:endnote>
  <w:endnote w:type="continuationSeparator" w:id="0">
    <w:p w14:paraId="653A2818" w14:textId="77777777" w:rsidR="001D09A5" w:rsidRDefault="001D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imes-Roman">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E0D23" w14:textId="77777777" w:rsidR="0055416E" w:rsidRDefault="0055416E" w:rsidP="0055416E">
    <w:pPr>
      <w:pStyle w:val="Footer"/>
      <w:rPr>
        <w:rStyle w:val="PageNumber"/>
      </w:rPr>
    </w:pPr>
  </w:p>
  <w:p w14:paraId="503ACCFC" w14:textId="60F37A45" w:rsidR="0055416E" w:rsidRPr="0019082B" w:rsidRDefault="0055416E" w:rsidP="0055416E">
    <w:pPr>
      <w:pStyle w:val="Footer"/>
      <w:ind w:right="360"/>
      <w:rPr>
        <w:rStyle w:val="PageNumber"/>
        <w:rFonts w:cs="Arial"/>
        <w:sz w:val="16"/>
        <w:szCs w:val="16"/>
      </w:rPr>
    </w:pPr>
    <w:r w:rsidRPr="004E06C3">
      <w:rPr>
        <w:rStyle w:val="PageNumber"/>
        <w:rFonts w:cs="Arial"/>
        <w:color w:val="671D3E"/>
        <w:sz w:val="16"/>
        <w:szCs w:val="16"/>
      </w:rPr>
      <w:t>Guidelines for the Presentation of the</w:t>
    </w:r>
    <w:r w:rsidR="003F0B7D">
      <w:rPr>
        <w:rStyle w:val="PageNumber"/>
        <w:rFonts w:cs="Arial"/>
        <w:color w:val="671D3E"/>
        <w:sz w:val="16"/>
        <w:szCs w:val="16"/>
      </w:rPr>
      <w:t xml:space="preserve"> </w:t>
    </w:r>
    <w:r w:rsidR="003F0B7D" w:rsidRPr="004E06C3">
      <w:rPr>
        <w:rStyle w:val="PageNumber"/>
        <w:rFonts w:cs="Arial"/>
        <w:color w:val="671D3E"/>
        <w:sz w:val="16"/>
        <w:szCs w:val="16"/>
      </w:rPr>
      <w:t>Australian Higher Education Graduation Statement</w:t>
    </w:r>
    <w:r w:rsidR="003F0B7D">
      <w:rPr>
        <w:rStyle w:val="PageNumber"/>
        <w:rFonts w:cs="Arial"/>
        <w:sz w:val="16"/>
        <w:szCs w:val="16"/>
      </w:rPr>
      <w:t xml:space="preserve"> </w:t>
    </w:r>
    <w:r w:rsidR="003F0B7D">
      <w:rPr>
        <w:rStyle w:val="PageNumber"/>
        <w:rFonts w:cs="Arial"/>
        <w:sz w:val="16"/>
        <w:szCs w:val="16"/>
      </w:rPr>
      <w:tab/>
    </w:r>
    <w:r w:rsidR="00153B16">
      <w:rPr>
        <w:rStyle w:val="PageNumber"/>
        <w:rFonts w:cs="Arial"/>
        <w:sz w:val="16"/>
        <w:szCs w:val="16"/>
      </w:rPr>
      <w:t>February</w:t>
    </w:r>
    <w:r w:rsidR="00854F51">
      <w:rPr>
        <w:rStyle w:val="PageNumber"/>
        <w:rFonts w:cs="Arial"/>
        <w:sz w:val="16"/>
        <w:szCs w:val="16"/>
      </w:rPr>
      <w:t xml:space="preserve"> 202</w:t>
    </w:r>
    <w:r w:rsidR="00153B16">
      <w:rPr>
        <w:rStyle w:val="PageNumber"/>
        <w:rFonts w:cs="Arial"/>
        <w:sz w:val="16"/>
        <w:szCs w:val="16"/>
      </w:rPr>
      <w:t>2</w:t>
    </w:r>
  </w:p>
  <w:p w14:paraId="7AD6AE25" w14:textId="4D150C21" w:rsidR="0055416E" w:rsidRPr="00984067" w:rsidRDefault="003F0B7D" w:rsidP="003F0B7D">
    <w:pPr>
      <w:pStyle w:val="Footer"/>
      <w:tabs>
        <w:tab w:val="clear" w:pos="4153"/>
        <w:tab w:val="center" w:pos="8048"/>
      </w:tabs>
      <w:ind w:right="360"/>
      <w:rPr>
        <w:rFonts w:cs="Arial"/>
        <w:sz w:val="16"/>
        <w:szCs w:val="16"/>
      </w:rPr>
    </w:pPr>
    <w:r>
      <w:rPr>
        <w:rStyle w:val="PageNumber"/>
        <w:rFonts w:cs="Arial"/>
        <w:color w:val="671D3E"/>
        <w:sz w:val="16"/>
        <w:szCs w:val="16"/>
      </w:rPr>
      <w:tab/>
    </w:r>
    <w:r w:rsidR="0055416E" w:rsidRPr="00984067">
      <w:rPr>
        <w:rStyle w:val="PageNumber"/>
        <w:rFonts w:cs="Arial"/>
        <w:sz w:val="16"/>
        <w:szCs w:val="16"/>
      </w:rPr>
      <w:t xml:space="preserve">Page </w:t>
    </w:r>
    <w:r w:rsidR="0055416E" w:rsidRPr="00984067">
      <w:rPr>
        <w:rStyle w:val="PageNumber"/>
        <w:rFonts w:cs="Arial"/>
        <w:sz w:val="16"/>
        <w:szCs w:val="16"/>
      </w:rPr>
      <w:fldChar w:fldCharType="begin"/>
    </w:r>
    <w:r w:rsidR="0055416E" w:rsidRPr="00984067">
      <w:rPr>
        <w:rStyle w:val="PageNumber"/>
        <w:rFonts w:cs="Arial"/>
        <w:sz w:val="16"/>
        <w:szCs w:val="16"/>
      </w:rPr>
      <w:instrText xml:space="preserve"> PAGE </w:instrText>
    </w:r>
    <w:r w:rsidR="0055416E" w:rsidRPr="00984067">
      <w:rPr>
        <w:rStyle w:val="PageNumber"/>
        <w:rFonts w:cs="Arial"/>
        <w:sz w:val="16"/>
        <w:szCs w:val="16"/>
      </w:rPr>
      <w:fldChar w:fldCharType="separate"/>
    </w:r>
    <w:r w:rsidR="0055416E">
      <w:rPr>
        <w:rStyle w:val="PageNumber"/>
        <w:rFonts w:cs="Arial"/>
        <w:sz w:val="16"/>
        <w:szCs w:val="16"/>
      </w:rPr>
      <w:t>1</w:t>
    </w:r>
    <w:r w:rsidR="0055416E" w:rsidRPr="00984067">
      <w:rPr>
        <w:rStyle w:val="PageNumbe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7A50F" w14:textId="77777777" w:rsidR="001E0660" w:rsidRDefault="001E0660" w:rsidP="00147CB9">
    <w:pPr>
      <w:pStyle w:val="Footer"/>
      <w:framePr w:wrap="around" w:vAnchor="text" w:hAnchor="margin" w:xAlign="right" w:y="1"/>
      <w:rPr>
        <w:rStyle w:val="PageNumber"/>
      </w:rPr>
    </w:pPr>
  </w:p>
  <w:p w14:paraId="7E1DB096" w14:textId="70EC5403" w:rsidR="001E0660" w:rsidRPr="00984067" w:rsidRDefault="001E0660" w:rsidP="0055416E">
    <w:pPr>
      <w:pStyle w:val="Footer"/>
      <w:rPr>
        <w:rFonts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C4E1" w14:textId="021C5DFF" w:rsidR="001E0660" w:rsidRPr="0019082B" w:rsidRDefault="001E0660" w:rsidP="001E0660">
    <w:pPr>
      <w:pStyle w:val="Footer"/>
      <w:ind w:right="360"/>
      <w:rPr>
        <w:rStyle w:val="PageNumber"/>
        <w:rFonts w:cs="Arial"/>
        <w:sz w:val="16"/>
        <w:szCs w:val="16"/>
      </w:rPr>
    </w:pPr>
    <w:r w:rsidRPr="004E06C3">
      <w:rPr>
        <w:rStyle w:val="PageNumber"/>
        <w:rFonts w:cs="Arial"/>
        <w:color w:val="671D3E"/>
        <w:sz w:val="16"/>
        <w:szCs w:val="16"/>
      </w:rPr>
      <w:t>Guidelines for the Presentation of the</w:t>
    </w:r>
    <w:r>
      <w:rPr>
        <w:rStyle w:val="PageNumber"/>
        <w:rFonts w:cs="Arial"/>
        <w:sz w:val="16"/>
        <w:szCs w:val="16"/>
      </w:rPr>
      <w:tab/>
    </w:r>
    <w:r>
      <w:rPr>
        <w:rStyle w:val="PageNumber"/>
        <w:rFonts w:cs="Arial"/>
        <w:sz w:val="16"/>
        <w:szCs w:val="16"/>
      </w:rPr>
      <w:tab/>
    </w:r>
    <w:r w:rsidR="0055416E">
      <w:rPr>
        <w:rStyle w:val="PageNumber"/>
        <w:rFonts w:cs="Arial"/>
        <w:sz w:val="16"/>
        <w:szCs w:val="16"/>
      </w:rPr>
      <w:t>Dec</w:t>
    </w:r>
    <w:r w:rsidR="004F6A60">
      <w:rPr>
        <w:rStyle w:val="PageNumber"/>
        <w:rFonts w:cs="Arial"/>
        <w:sz w:val="16"/>
        <w:szCs w:val="16"/>
      </w:rPr>
      <w:t>ember</w:t>
    </w:r>
    <w:r>
      <w:rPr>
        <w:rStyle w:val="PageNumber"/>
        <w:rFonts w:cs="Arial"/>
        <w:sz w:val="16"/>
        <w:szCs w:val="16"/>
      </w:rPr>
      <w:t xml:space="preserve"> 2020</w:t>
    </w:r>
  </w:p>
  <w:p w14:paraId="347CCE1F" w14:textId="30E7B9F9" w:rsidR="001E0660" w:rsidRPr="00984067" w:rsidRDefault="001E0660" w:rsidP="001E0660">
    <w:pPr>
      <w:pStyle w:val="Footer"/>
      <w:ind w:right="360"/>
      <w:rPr>
        <w:rFonts w:cs="Arial"/>
        <w:sz w:val="16"/>
        <w:szCs w:val="16"/>
      </w:rPr>
    </w:pPr>
    <w:r w:rsidRPr="004E06C3">
      <w:rPr>
        <w:rStyle w:val="PageNumber"/>
        <w:rFonts w:cs="Arial"/>
        <w:color w:val="671D3E"/>
        <w:sz w:val="16"/>
        <w:szCs w:val="16"/>
      </w:rPr>
      <w:t>Australian Higher Education Graduation Statement</w:t>
    </w:r>
    <w:r>
      <w:rPr>
        <w:rStyle w:val="PageNumber"/>
        <w:rFonts w:cs="Arial"/>
        <w:sz w:val="16"/>
        <w:szCs w:val="16"/>
      </w:rPr>
      <w:tab/>
    </w:r>
    <w:r>
      <w:rPr>
        <w:rStyle w:val="PageNumber"/>
        <w:rFonts w:cs="Arial"/>
        <w:sz w:val="16"/>
        <w:szCs w:val="16"/>
      </w:rPr>
      <w:tab/>
    </w:r>
    <w:r w:rsidRPr="00984067">
      <w:rPr>
        <w:rStyle w:val="PageNumber"/>
        <w:rFonts w:cs="Arial"/>
        <w:sz w:val="16"/>
        <w:szCs w:val="16"/>
      </w:rPr>
      <w:t xml:space="preserve">Page </w:t>
    </w:r>
    <w:r w:rsidRPr="00984067">
      <w:rPr>
        <w:rStyle w:val="PageNumber"/>
        <w:rFonts w:cs="Arial"/>
        <w:sz w:val="16"/>
        <w:szCs w:val="16"/>
      </w:rPr>
      <w:fldChar w:fldCharType="begin"/>
    </w:r>
    <w:r w:rsidRPr="00984067">
      <w:rPr>
        <w:rStyle w:val="PageNumber"/>
        <w:rFonts w:cs="Arial"/>
        <w:sz w:val="16"/>
        <w:szCs w:val="16"/>
      </w:rPr>
      <w:instrText xml:space="preserve"> PAGE </w:instrText>
    </w:r>
    <w:r w:rsidRPr="00984067">
      <w:rPr>
        <w:rStyle w:val="PageNumber"/>
        <w:rFonts w:cs="Arial"/>
        <w:sz w:val="16"/>
        <w:szCs w:val="16"/>
      </w:rPr>
      <w:fldChar w:fldCharType="separate"/>
    </w:r>
    <w:r w:rsidR="005575D0">
      <w:rPr>
        <w:rStyle w:val="PageNumber"/>
        <w:rFonts w:cs="Arial"/>
        <w:noProof/>
        <w:sz w:val="16"/>
        <w:szCs w:val="16"/>
      </w:rPr>
      <w:t>4</w:t>
    </w:r>
    <w:r w:rsidRPr="00984067">
      <w:rPr>
        <w:rStyle w:val="PageNumbe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75669" w14:textId="77777777" w:rsidR="001D09A5" w:rsidRDefault="001D09A5">
      <w:r>
        <w:separator/>
      </w:r>
    </w:p>
  </w:footnote>
  <w:footnote w:type="continuationSeparator" w:id="0">
    <w:p w14:paraId="5365593E" w14:textId="77777777" w:rsidR="001D09A5" w:rsidRDefault="001D0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B8AE892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0A8AE6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F69A2424"/>
    <w:lvl w:ilvl="0">
      <w:start w:val="1"/>
      <w:numFmt w:val="decimal"/>
      <w:pStyle w:val="ListNumber2"/>
      <w:lvlText w:val="%1."/>
      <w:lvlJc w:val="left"/>
      <w:pPr>
        <w:tabs>
          <w:tab w:val="num" w:pos="643"/>
        </w:tabs>
        <w:ind w:left="643" w:hanging="360"/>
      </w:pPr>
      <w:rPr>
        <w:b/>
      </w:rPr>
    </w:lvl>
  </w:abstractNum>
  <w:abstractNum w:abstractNumId="3" w15:restartNumberingAfterBreak="0">
    <w:nsid w:val="FFFFFF88"/>
    <w:multiLevelType w:val="singleLevel"/>
    <w:tmpl w:val="437A23AA"/>
    <w:lvl w:ilvl="0">
      <w:start w:val="1"/>
      <w:numFmt w:val="decimal"/>
      <w:pStyle w:val="ListNumber"/>
      <w:lvlText w:val="%1."/>
      <w:lvlJc w:val="left"/>
      <w:pPr>
        <w:tabs>
          <w:tab w:val="num" w:pos="360"/>
        </w:tabs>
        <w:ind w:left="360" w:hanging="360"/>
      </w:pPr>
      <w:rPr>
        <w:b/>
      </w:rPr>
    </w:lvl>
  </w:abstractNum>
  <w:abstractNum w:abstractNumId="4" w15:restartNumberingAfterBreak="0">
    <w:nsid w:val="FFFFFF89"/>
    <w:multiLevelType w:val="singleLevel"/>
    <w:tmpl w:val="24E81FEC"/>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4432652"/>
    <w:multiLevelType w:val="hybridMultilevel"/>
    <w:tmpl w:val="C2ACFB0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6D4061"/>
    <w:multiLevelType w:val="hybridMultilevel"/>
    <w:tmpl w:val="FCFE4F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EE35E9"/>
    <w:multiLevelType w:val="hybridMultilevel"/>
    <w:tmpl w:val="C70250F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DD20B40"/>
    <w:multiLevelType w:val="hybridMultilevel"/>
    <w:tmpl w:val="A59CC57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801895"/>
    <w:multiLevelType w:val="hybridMultilevel"/>
    <w:tmpl w:val="1D5CA71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F912472"/>
    <w:multiLevelType w:val="hybridMultilevel"/>
    <w:tmpl w:val="B258744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7230462"/>
    <w:multiLevelType w:val="hybridMultilevel"/>
    <w:tmpl w:val="3336FBB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9"/>
  </w:num>
  <w:num w:numId="3">
    <w:abstractNumId w:val="7"/>
  </w:num>
  <w:num w:numId="4">
    <w:abstractNumId w:val="8"/>
  </w:num>
  <w:num w:numId="5">
    <w:abstractNumId w:val="11"/>
  </w:num>
  <w:num w:numId="6">
    <w:abstractNumId w:val="5"/>
  </w:num>
  <w:num w:numId="7">
    <w:abstractNumId w:val="6"/>
  </w:num>
  <w:num w:numId="8">
    <w:abstractNumId w:val="4"/>
  </w:num>
  <w:num w:numId="9">
    <w:abstractNumId w:val="3"/>
  </w:num>
  <w:num w:numId="10">
    <w:abstractNumId w:val="2"/>
  </w:num>
  <w:num w:numId="11">
    <w:abstractNumId w:val="1"/>
  </w:num>
  <w:num w:numId="12">
    <w:abstractNumId w:val="0"/>
  </w:num>
  <w:num w:numId="13">
    <w:abstractNumId w:val="3"/>
  </w:num>
  <w:num w:numId="14">
    <w:abstractNumId w:val="3"/>
  </w:num>
  <w:num w:numId="15">
    <w:abstractNumId w:val="3"/>
    <w:lvlOverride w:ilvl="0">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0C7"/>
    <w:rsid w:val="00000F75"/>
    <w:rsid w:val="0007645B"/>
    <w:rsid w:val="000A0AD8"/>
    <w:rsid w:val="000A5E86"/>
    <w:rsid w:val="000A6F04"/>
    <w:rsid w:val="000B36AF"/>
    <w:rsid w:val="000C46E4"/>
    <w:rsid w:val="000F4D3C"/>
    <w:rsid w:val="001378E1"/>
    <w:rsid w:val="00153B16"/>
    <w:rsid w:val="00162C83"/>
    <w:rsid w:val="001B1C4F"/>
    <w:rsid w:val="001D019D"/>
    <w:rsid w:val="001D09A5"/>
    <w:rsid w:val="001D5330"/>
    <w:rsid w:val="001E0660"/>
    <w:rsid w:val="002070C7"/>
    <w:rsid w:val="00232184"/>
    <w:rsid w:val="0024183C"/>
    <w:rsid w:val="00253C2C"/>
    <w:rsid w:val="002B0252"/>
    <w:rsid w:val="002B32F7"/>
    <w:rsid w:val="002C6B93"/>
    <w:rsid w:val="002D34BE"/>
    <w:rsid w:val="00305F16"/>
    <w:rsid w:val="003154B7"/>
    <w:rsid w:val="003338E0"/>
    <w:rsid w:val="003418D5"/>
    <w:rsid w:val="00350240"/>
    <w:rsid w:val="0039628C"/>
    <w:rsid w:val="0039675B"/>
    <w:rsid w:val="00397B12"/>
    <w:rsid w:val="003A0378"/>
    <w:rsid w:val="003E0907"/>
    <w:rsid w:val="003F0B7D"/>
    <w:rsid w:val="00400FDC"/>
    <w:rsid w:val="00404E82"/>
    <w:rsid w:val="00427BDE"/>
    <w:rsid w:val="00455608"/>
    <w:rsid w:val="00455620"/>
    <w:rsid w:val="004712DD"/>
    <w:rsid w:val="004A1BAC"/>
    <w:rsid w:val="004A3549"/>
    <w:rsid w:val="004C2C89"/>
    <w:rsid w:val="004C601D"/>
    <w:rsid w:val="004F6A60"/>
    <w:rsid w:val="005065E6"/>
    <w:rsid w:val="0055416E"/>
    <w:rsid w:val="005575D0"/>
    <w:rsid w:val="005666E8"/>
    <w:rsid w:val="005672FB"/>
    <w:rsid w:val="005C0A6C"/>
    <w:rsid w:val="00624A44"/>
    <w:rsid w:val="006A3B21"/>
    <w:rsid w:val="006C3AB5"/>
    <w:rsid w:val="006D6732"/>
    <w:rsid w:val="00753835"/>
    <w:rsid w:val="00764660"/>
    <w:rsid w:val="007711A9"/>
    <w:rsid w:val="0079221C"/>
    <w:rsid w:val="007A7D9D"/>
    <w:rsid w:val="007C0222"/>
    <w:rsid w:val="007C0AC3"/>
    <w:rsid w:val="007E0188"/>
    <w:rsid w:val="007E6306"/>
    <w:rsid w:val="007F0833"/>
    <w:rsid w:val="008010A4"/>
    <w:rsid w:val="00812FF7"/>
    <w:rsid w:val="00822ECA"/>
    <w:rsid w:val="00826473"/>
    <w:rsid w:val="00840382"/>
    <w:rsid w:val="00854F51"/>
    <w:rsid w:val="00860C48"/>
    <w:rsid w:val="008A4961"/>
    <w:rsid w:val="008E27F4"/>
    <w:rsid w:val="008F599B"/>
    <w:rsid w:val="009072F7"/>
    <w:rsid w:val="00927C64"/>
    <w:rsid w:val="00941031"/>
    <w:rsid w:val="009450C7"/>
    <w:rsid w:val="009844A7"/>
    <w:rsid w:val="009A4750"/>
    <w:rsid w:val="009E0602"/>
    <w:rsid w:val="00A02B78"/>
    <w:rsid w:val="00A2014E"/>
    <w:rsid w:val="00A70A7A"/>
    <w:rsid w:val="00A81BE9"/>
    <w:rsid w:val="00A92452"/>
    <w:rsid w:val="00A95CBC"/>
    <w:rsid w:val="00AA71E2"/>
    <w:rsid w:val="00AC191B"/>
    <w:rsid w:val="00B10DE5"/>
    <w:rsid w:val="00BA1132"/>
    <w:rsid w:val="00BB35FF"/>
    <w:rsid w:val="00BC3570"/>
    <w:rsid w:val="00C0240A"/>
    <w:rsid w:val="00C36CAE"/>
    <w:rsid w:val="00C73D50"/>
    <w:rsid w:val="00CD0F48"/>
    <w:rsid w:val="00CD425C"/>
    <w:rsid w:val="00CE046E"/>
    <w:rsid w:val="00D10F88"/>
    <w:rsid w:val="00D40ECE"/>
    <w:rsid w:val="00D602B4"/>
    <w:rsid w:val="00D66F10"/>
    <w:rsid w:val="00D92B7C"/>
    <w:rsid w:val="00DC3E4C"/>
    <w:rsid w:val="00E33DFD"/>
    <w:rsid w:val="00E53687"/>
    <w:rsid w:val="00E7460A"/>
    <w:rsid w:val="00E86AE4"/>
    <w:rsid w:val="00E911E8"/>
    <w:rsid w:val="00EC5A1F"/>
    <w:rsid w:val="00F14ADF"/>
    <w:rsid w:val="00F17DE3"/>
    <w:rsid w:val="00F37371"/>
    <w:rsid w:val="00F41479"/>
    <w:rsid w:val="00F66D38"/>
    <w:rsid w:val="00F8645D"/>
    <w:rsid w:val="00FA299A"/>
    <w:rsid w:val="00FF6B6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3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A1F"/>
    <w:pPr>
      <w:spacing w:before="120" w:after="120"/>
    </w:pPr>
    <w:rPr>
      <w:rFonts w:ascii="Arial" w:eastAsia="Times New Roman" w:hAnsi="Arial" w:cs="Times New Roman"/>
      <w:sz w:val="24"/>
      <w:szCs w:val="24"/>
      <w:lang w:eastAsia="en-AU"/>
    </w:rPr>
  </w:style>
  <w:style w:type="paragraph" w:styleId="Heading1">
    <w:name w:val="heading 1"/>
    <w:basedOn w:val="Normal"/>
    <w:next w:val="Normal"/>
    <w:link w:val="Heading1Char"/>
    <w:qFormat/>
    <w:rsid w:val="002070C7"/>
    <w:pPr>
      <w:keepNext/>
      <w:spacing w:before="240" w:after="60"/>
      <w:jc w:val="center"/>
      <w:outlineLvl w:val="0"/>
    </w:pPr>
    <w:rPr>
      <w:rFonts w:cs="Arial"/>
      <w:b/>
      <w:bCs/>
      <w:color w:val="671D3E"/>
      <w:kern w:val="32"/>
      <w:sz w:val="32"/>
      <w:szCs w:val="32"/>
    </w:rPr>
  </w:style>
  <w:style w:type="paragraph" w:styleId="Heading2">
    <w:name w:val="heading 2"/>
    <w:basedOn w:val="Normal"/>
    <w:next w:val="Normal"/>
    <w:link w:val="Heading2Char"/>
    <w:qFormat/>
    <w:rsid w:val="00EC5A1F"/>
    <w:pPr>
      <w:keepNext/>
      <w:keepLines/>
      <w:spacing w:before="360"/>
      <w:outlineLvl w:val="1"/>
    </w:pPr>
    <w:rPr>
      <w:rFonts w:eastAsiaTheme="majorEastAsia" w:cstheme="majorBidi"/>
      <w:b/>
      <w:bCs/>
      <w:color w:val="671D3E"/>
      <w:sz w:val="28"/>
      <w:szCs w:val="26"/>
    </w:rPr>
  </w:style>
  <w:style w:type="paragraph" w:styleId="Heading3">
    <w:name w:val="heading 3"/>
    <w:basedOn w:val="Normal"/>
    <w:next w:val="Normal"/>
    <w:link w:val="Heading3Char"/>
    <w:qFormat/>
    <w:rsid w:val="002070C7"/>
    <w:pPr>
      <w:keepNext/>
      <w:spacing w:before="240" w:after="60"/>
      <w:outlineLvl w:val="2"/>
    </w:pPr>
    <w:rPr>
      <w:rFonts w:cs="Arial"/>
      <w:b/>
      <w:bCs/>
      <w:sz w:val="26"/>
      <w:szCs w:val="26"/>
    </w:rPr>
  </w:style>
  <w:style w:type="paragraph" w:styleId="Heading4">
    <w:name w:val="heading 4"/>
    <w:basedOn w:val="Normal"/>
    <w:next w:val="Normal"/>
    <w:link w:val="Heading4Char"/>
    <w:qFormat/>
    <w:rsid w:val="00FA299A"/>
    <w:pPr>
      <w:keepNext/>
      <w:keepLines/>
      <w:spacing w:before="200"/>
      <w:outlineLvl w:val="3"/>
    </w:pPr>
    <w:rPr>
      <w:rFonts w:eastAsiaTheme="majorEastAsia" w:cstheme="majorBidi"/>
      <w:bCs/>
      <w:iCs/>
      <w:color w:val="671D3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70C7"/>
    <w:rPr>
      <w:rFonts w:ascii="Arial" w:eastAsia="Times New Roman" w:hAnsi="Arial" w:cs="Arial"/>
      <w:b/>
      <w:bCs/>
      <w:color w:val="671D3E"/>
      <w:kern w:val="32"/>
      <w:sz w:val="32"/>
      <w:szCs w:val="32"/>
      <w:lang w:eastAsia="en-AU"/>
    </w:rPr>
  </w:style>
  <w:style w:type="character" w:customStyle="1" w:styleId="Heading2Char">
    <w:name w:val="Heading 2 Char"/>
    <w:basedOn w:val="DefaultParagraphFont"/>
    <w:link w:val="Heading2"/>
    <w:rsid w:val="00EC5A1F"/>
    <w:rPr>
      <w:rFonts w:ascii="Arial" w:eastAsiaTheme="majorEastAsia" w:hAnsi="Arial" w:cstheme="majorBidi"/>
      <w:b/>
      <w:bCs/>
      <w:color w:val="671D3E"/>
      <w:sz w:val="28"/>
      <w:szCs w:val="26"/>
      <w:lang w:eastAsia="en-AU"/>
    </w:rPr>
  </w:style>
  <w:style w:type="character" w:customStyle="1" w:styleId="Heading3Char">
    <w:name w:val="Heading 3 Char"/>
    <w:basedOn w:val="DefaultParagraphFont"/>
    <w:link w:val="Heading3"/>
    <w:rsid w:val="002070C7"/>
    <w:rPr>
      <w:rFonts w:ascii="Arial" w:eastAsia="Times New Roman" w:hAnsi="Arial" w:cs="Arial"/>
      <w:b/>
      <w:bCs/>
      <w:sz w:val="26"/>
      <w:szCs w:val="26"/>
      <w:lang w:eastAsia="en-AU"/>
    </w:rPr>
  </w:style>
  <w:style w:type="character" w:customStyle="1" w:styleId="Heading4Char">
    <w:name w:val="Heading 4 Char"/>
    <w:basedOn w:val="DefaultParagraphFont"/>
    <w:link w:val="Heading4"/>
    <w:rsid w:val="00FA299A"/>
    <w:rPr>
      <w:rFonts w:ascii="Arial" w:eastAsiaTheme="majorEastAsia" w:hAnsi="Arial" w:cstheme="majorBidi"/>
      <w:bCs/>
      <w:iCs/>
      <w:color w:val="671D3E"/>
      <w:sz w:val="24"/>
      <w:szCs w:val="24"/>
      <w:lang w:eastAsia="en-AU"/>
    </w:rPr>
  </w:style>
  <w:style w:type="character" w:styleId="Hyperlink">
    <w:name w:val="Hyperlink"/>
    <w:basedOn w:val="DefaultParagraphFont"/>
    <w:rsid w:val="002070C7"/>
    <w:rPr>
      <w:color w:val="0000FF"/>
      <w:u w:val="single"/>
    </w:rPr>
  </w:style>
  <w:style w:type="paragraph" w:customStyle="1" w:styleId="NormalParagraphStyle">
    <w:name w:val="NormalParagraphStyle"/>
    <w:basedOn w:val="Normal"/>
    <w:rsid w:val="002070C7"/>
    <w:pPr>
      <w:widowControl w:val="0"/>
      <w:autoSpaceDE w:val="0"/>
      <w:autoSpaceDN w:val="0"/>
      <w:adjustRightInd w:val="0"/>
      <w:spacing w:line="288" w:lineRule="auto"/>
      <w:textAlignment w:val="center"/>
    </w:pPr>
    <w:rPr>
      <w:rFonts w:ascii="Times-Roman" w:eastAsia="Cambria" w:hAnsi="Times-Roman" w:cs="Times-Roman"/>
      <w:color w:val="000000"/>
      <w:lang w:val="en-GB" w:eastAsia="en-US"/>
    </w:rPr>
  </w:style>
  <w:style w:type="paragraph" w:styleId="Footer">
    <w:name w:val="footer"/>
    <w:basedOn w:val="Normal"/>
    <w:link w:val="FooterChar"/>
    <w:uiPriority w:val="99"/>
    <w:rsid w:val="002070C7"/>
    <w:pPr>
      <w:tabs>
        <w:tab w:val="center" w:pos="4153"/>
        <w:tab w:val="right" w:pos="8306"/>
      </w:tabs>
    </w:pPr>
  </w:style>
  <w:style w:type="character" w:customStyle="1" w:styleId="FooterChar">
    <w:name w:val="Footer Char"/>
    <w:basedOn w:val="DefaultParagraphFont"/>
    <w:link w:val="Footer"/>
    <w:uiPriority w:val="99"/>
    <w:rsid w:val="002070C7"/>
    <w:rPr>
      <w:rFonts w:ascii="Arial" w:eastAsia="Times New Roman" w:hAnsi="Arial" w:cs="Times New Roman"/>
      <w:sz w:val="24"/>
      <w:szCs w:val="24"/>
      <w:lang w:eastAsia="en-AU"/>
    </w:rPr>
  </w:style>
  <w:style w:type="character" w:styleId="PageNumber">
    <w:name w:val="page number"/>
    <w:basedOn w:val="DefaultParagraphFont"/>
    <w:rsid w:val="002070C7"/>
  </w:style>
  <w:style w:type="paragraph" w:styleId="ListParagraph">
    <w:name w:val="List Paragraph"/>
    <w:basedOn w:val="Normal"/>
    <w:uiPriority w:val="34"/>
    <w:qFormat/>
    <w:rsid w:val="002070C7"/>
    <w:pPr>
      <w:ind w:left="720"/>
      <w:contextualSpacing/>
    </w:pPr>
  </w:style>
  <w:style w:type="paragraph" w:styleId="Subtitle">
    <w:name w:val="Subtitle"/>
    <w:basedOn w:val="Normal"/>
    <w:next w:val="Normal"/>
    <w:link w:val="SubtitleChar"/>
    <w:uiPriority w:val="11"/>
    <w:qFormat/>
    <w:rsid w:val="002070C7"/>
    <w:pPr>
      <w:numPr>
        <w:ilvl w:val="1"/>
      </w:numPr>
      <w:jc w:val="center"/>
    </w:pPr>
    <w:rPr>
      <w:rFonts w:eastAsiaTheme="majorEastAsia" w:cstheme="majorBidi"/>
      <w:i/>
      <w:iCs/>
      <w:color w:val="671D3E"/>
      <w:spacing w:val="15"/>
    </w:rPr>
  </w:style>
  <w:style w:type="character" w:customStyle="1" w:styleId="SubtitleChar">
    <w:name w:val="Subtitle Char"/>
    <w:basedOn w:val="DefaultParagraphFont"/>
    <w:link w:val="Subtitle"/>
    <w:uiPriority w:val="11"/>
    <w:rsid w:val="002070C7"/>
    <w:rPr>
      <w:rFonts w:ascii="Arial" w:eastAsiaTheme="majorEastAsia" w:hAnsi="Arial" w:cstheme="majorBidi"/>
      <w:i/>
      <w:iCs/>
      <w:color w:val="671D3E"/>
      <w:spacing w:val="15"/>
      <w:sz w:val="24"/>
      <w:szCs w:val="24"/>
      <w:lang w:eastAsia="en-AU"/>
    </w:rPr>
  </w:style>
  <w:style w:type="paragraph" w:styleId="ListBullet">
    <w:name w:val="List Bullet"/>
    <w:basedOn w:val="Normal"/>
    <w:uiPriority w:val="99"/>
    <w:unhideWhenUsed/>
    <w:rsid w:val="002070C7"/>
    <w:pPr>
      <w:numPr>
        <w:numId w:val="8"/>
      </w:numPr>
      <w:contextualSpacing/>
    </w:pPr>
  </w:style>
  <w:style w:type="paragraph" w:styleId="ListNumber">
    <w:name w:val="List Number"/>
    <w:basedOn w:val="Normal"/>
    <w:uiPriority w:val="99"/>
    <w:unhideWhenUsed/>
    <w:rsid w:val="002070C7"/>
    <w:pPr>
      <w:numPr>
        <w:numId w:val="9"/>
      </w:numPr>
      <w:contextualSpacing/>
    </w:pPr>
    <w:rPr>
      <w:b/>
      <w:color w:val="671D3E"/>
    </w:rPr>
  </w:style>
  <w:style w:type="paragraph" w:styleId="ListNumber2">
    <w:name w:val="List Number 2"/>
    <w:basedOn w:val="Normal"/>
    <w:uiPriority w:val="99"/>
    <w:unhideWhenUsed/>
    <w:rsid w:val="002070C7"/>
    <w:pPr>
      <w:numPr>
        <w:numId w:val="10"/>
      </w:numPr>
      <w:contextualSpacing/>
    </w:pPr>
    <w:rPr>
      <w:b/>
      <w:color w:val="671D3E"/>
    </w:rPr>
  </w:style>
  <w:style w:type="character" w:styleId="Emphasis">
    <w:name w:val="Emphasis"/>
    <w:basedOn w:val="DefaultParagraphFont"/>
    <w:uiPriority w:val="20"/>
    <w:qFormat/>
    <w:rsid w:val="002070C7"/>
    <w:rPr>
      <w:i/>
      <w:iCs/>
    </w:rPr>
  </w:style>
  <w:style w:type="paragraph" w:styleId="ListNumber3">
    <w:name w:val="List Number 3"/>
    <w:basedOn w:val="Normal"/>
    <w:uiPriority w:val="99"/>
    <w:unhideWhenUsed/>
    <w:rsid w:val="002070C7"/>
    <w:pPr>
      <w:numPr>
        <w:numId w:val="11"/>
      </w:numPr>
      <w:contextualSpacing/>
    </w:pPr>
    <w:rPr>
      <w:b/>
      <w:color w:val="671D3E"/>
    </w:rPr>
  </w:style>
  <w:style w:type="paragraph" w:styleId="ListNumber4">
    <w:name w:val="List Number 4"/>
    <w:basedOn w:val="Normal"/>
    <w:uiPriority w:val="99"/>
    <w:unhideWhenUsed/>
    <w:rsid w:val="002070C7"/>
    <w:pPr>
      <w:numPr>
        <w:numId w:val="12"/>
      </w:numPr>
      <w:contextualSpacing/>
    </w:pPr>
    <w:rPr>
      <w:b/>
      <w:color w:val="671D3E"/>
    </w:rPr>
  </w:style>
  <w:style w:type="paragraph" w:styleId="BalloonText">
    <w:name w:val="Balloon Text"/>
    <w:basedOn w:val="Normal"/>
    <w:link w:val="BalloonTextChar"/>
    <w:uiPriority w:val="99"/>
    <w:semiHidden/>
    <w:unhideWhenUsed/>
    <w:rsid w:val="002070C7"/>
    <w:rPr>
      <w:rFonts w:ascii="Tahoma" w:hAnsi="Tahoma" w:cs="Tahoma"/>
      <w:sz w:val="16"/>
      <w:szCs w:val="16"/>
    </w:rPr>
  </w:style>
  <w:style w:type="character" w:customStyle="1" w:styleId="BalloonTextChar">
    <w:name w:val="Balloon Text Char"/>
    <w:basedOn w:val="DefaultParagraphFont"/>
    <w:link w:val="BalloonText"/>
    <w:uiPriority w:val="99"/>
    <w:semiHidden/>
    <w:rsid w:val="002070C7"/>
    <w:rPr>
      <w:rFonts w:ascii="Tahoma" w:eastAsia="Times New Roman" w:hAnsi="Tahoma" w:cs="Tahoma"/>
      <w:sz w:val="16"/>
      <w:szCs w:val="16"/>
      <w:lang w:eastAsia="en-AU"/>
    </w:rPr>
  </w:style>
  <w:style w:type="paragraph" w:styleId="Header">
    <w:name w:val="header"/>
    <w:basedOn w:val="Normal"/>
    <w:link w:val="HeaderChar"/>
    <w:uiPriority w:val="99"/>
    <w:unhideWhenUsed/>
    <w:rsid w:val="000A6F04"/>
    <w:pPr>
      <w:tabs>
        <w:tab w:val="center" w:pos="4513"/>
        <w:tab w:val="right" w:pos="9026"/>
      </w:tabs>
    </w:pPr>
  </w:style>
  <w:style w:type="character" w:customStyle="1" w:styleId="HeaderChar">
    <w:name w:val="Header Char"/>
    <w:basedOn w:val="DefaultParagraphFont"/>
    <w:link w:val="Header"/>
    <w:uiPriority w:val="99"/>
    <w:rsid w:val="000A6F04"/>
    <w:rPr>
      <w:rFonts w:ascii="Arial" w:eastAsia="Times New Roman" w:hAnsi="Arial" w:cs="Times New Roman"/>
      <w:sz w:val="24"/>
      <w:szCs w:val="24"/>
      <w:lang w:eastAsia="en-AU"/>
    </w:rPr>
  </w:style>
  <w:style w:type="character" w:styleId="CommentReference">
    <w:name w:val="annotation reference"/>
    <w:basedOn w:val="DefaultParagraphFont"/>
    <w:uiPriority w:val="99"/>
    <w:semiHidden/>
    <w:unhideWhenUsed/>
    <w:rsid w:val="001B1C4F"/>
    <w:rPr>
      <w:sz w:val="16"/>
      <w:szCs w:val="16"/>
    </w:rPr>
  </w:style>
  <w:style w:type="paragraph" w:styleId="CommentText">
    <w:name w:val="annotation text"/>
    <w:basedOn w:val="Normal"/>
    <w:link w:val="CommentTextChar"/>
    <w:uiPriority w:val="99"/>
    <w:semiHidden/>
    <w:unhideWhenUsed/>
    <w:rsid w:val="001B1C4F"/>
    <w:rPr>
      <w:sz w:val="20"/>
      <w:szCs w:val="20"/>
    </w:rPr>
  </w:style>
  <w:style w:type="character" w:customStyle="1" w:styleId="CommentTextChar">
    <w:name w:val="Comment Text Char"/>
    <w:basedOn w:val="DefaultParagraphFont"/>
    <w:link w:val="CommentText"/>
    <w:uiPriority w:val="99"/>
    <w:semiHidden/>
    <w:rsid w:val="001B1C4F"/>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B1C4F"/>
    <w:rPr>
      <w:b/>
      <w:bCs/>
    </w:rPr>
  </w:style>
  <w:style w:type="character" w:customStyle="1" w:styleId="CommentSubjectChar">
    <w:name w:val="Comment Subject Char"/>
    <w:basedOn w:val="CommentTextChar"/>
    <w:link w:val="CommentSubject"/>
    <w:uiPriority w:val="99"/>
    <w:semiHidden/>
    <w:rsid w:val="001B1C4F"/>
    <w:rPr>
      <w:rFonts w:ascii="Arial" w:eastAsia="Times New Roman" w:hAnsi="Arial" w:cs="Times New Roman"/>
      <w:b/>
      <w:bCs/>
      <w:sz w:val="20"/>
      <w:szCs w:val="20"/>
      <w:lang w:eastAsia="en-AU"/>
    </w:rPr>
  </w:style>
  <w:style w:type="character" w:styleId="PlaceholderText">
    <w:name w:val="Placeholder Text"/>
    <w:basedOn w:val="DefaultParagraphFont"/>
    <w:uiPriority w:val="99"/>
    <w:semiHidden/>
    <w:rsid w:val="002B0252"/>
    <w:rPr>
      <w:color w:val="808080"/>
    </w:rPr>
  </w:style>
  <w:style w:type="paragraph" w:styleId="Revision">
    <w:name w:val="Revision"/>
    <w:hidden/>
    <w:uiPriority w:val="99"/>
    <w:semiHidden/>
    <w:rsid w:val="009072F7"/>
    <w:pPr>
      <w:spacing w:after="0" w:line="240" w:lineRule="auto"/>
    </w:pPr>
    <w:rPr>
      <w:rFonts w:ascii="Arial" w:eastAsia="Times New Roman" w:hAnsi="Arial" w:cs="Times New Roman"/>
      <w:sz w:val="24"/>
      <w:szCs w:val="24"/>
      <w:lang w:eastAsia="en-AU"/>
    </w:rPr>
  </w:style>
  <w:style w:type="character" w:styleId="UnresolvedMention">
    <w:name w:val="Unresolved Mention"/>
    <w:basedOn w:val="DefaultParagraphFont"/>
    <w:uiPriority w:val="99"/>
    <w:semiHidden/>
    <w:unhideWhenUsed/>
    <w:rsid w:val="00927C64"/>
    <w:rPr>
      <w:color w:val="605E5C"/>
      <w:shd w:val="clear" w:color="auto" w:fill="E1DFDD"/>
    </w:rPr>
  </w:style>
  <w:style w:type="table" w:styleId="TableGrid">
    <w:name w:val="Table Grid"/>
    <w:basedOn w:val="TableNormal"/>
    <w:uiPriority w:val="59"/>
    <w:rsid w:val="00801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F599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9916836">
      <w:bodyDiv w:val="1"/>
      <w:marLeft w:val="0"/>
      <w:marRight w:val="0"/>
      <w:marTop w:val="0"/>
      <w:marBottom w:val="0"/>
      <w:divBdr>
        <w:top w:val="none" w:sz="0" w:space="0" w:color="auto"/>
        <w:left w:val="none" w:sz="0" w:space="0" w:color="auto"/>
        <w:bottom w:val="none" w:sz="0" w:space="0" w:color="auto"/>
        <w:right w:val="none" w:sz="0" w:space="0" w:color="auto"/>
      </w:divBdr>
    </w:div>
    <w:div w:id="204826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eewr.gov.au/HigherEducation/Programs/Quality/QualityAssurance/Pages/GraduationStatement.aspx%20.%20Page%2010-11" TargetMode="External"/><Relationship Id="rId18" Type="http://schemas.openxmlformats.org/officeDocument/2006/relationships/hyperlink" Target="http://www.uniX.edu.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qf.edu.au"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AHEGS@dese.gov.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HEGS@dese.gov.au"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dese.gov.au/" TargetMode="External"/><Relationship Id="rId10" Type="http://schemas.openxmlformats.org/officeDocument/2006/relationships/image" Target="media/image1.png"/><Relationship Id="rId19" Type="http://schemas.openxmlformats.org/officeDocument/2006/relationships/hyperlink" Target="http://www.instituteX.edu.a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AHEGS@dese.gov.au" TargetMode="External"/><Relationship Id="rId22" Type="http://schemas.openxmlformats.org/officeDocument/2006/relationships/hyperlink" Target="http://www.uniX.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83520-952E-4B1E-AC6F-5EE3035B3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3876</Words>
  <Characters>22097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Presentation of the Australian Higher Education Graduation Statement</dc:title>
  <dc:creator/>
  <cp:lastModifiedBy/>
  <cp:revision>1</cp:revision>
  <dcterms:created xsi:type="dcterms:W3CDTF">2022-02-15T22:44:00Z</dcterms:created>
  <dcterms:modified xsi:type="dcterms:W3CDTF">2022-02-15T22:47:00Z</dcterms:modified>
</cp:coreProperties>
</file>