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D4B" w14:textId="77E5C0B9" w:rsidR="00067075" w:rsidRDefault="00D649A8" w:rsidP="35533698">
      <w:pPr>
        <w:pStyle w:val="Title"/>
        <w:spacing w:before="120"/>
        <w:ind w:left="426" w:right="-1136" w:hanging="426"/>
      </w:pPr>
      <w:r>
        <w:rPr>
          <w:noProof/>
          <w:lang w:eastAsia="en-AU"/>
        </w:rPr>
        <w:drawing>
          <wp:inline distT="0" distB="0" distL="0" distR="0" wp14:anchorId="638236DA" wp14:editId="157F37B8">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2513D99D">
        <w:t xml:space="preserve">            </w:t>
      </w:r>
      <w:r w:rsidR="072A8043">
        <w:t xml:space="preserve"> </w:t>
      </w:r>
      <w:r w:rsidR="0028379B">
        <w:rPr>
          <w:noProof/>
          <w:lang w:eastAsia="en-AU"/>
        </w:rPr>
        <w:drawing>
          <wp:inline distT="0" distB="0" distL="0" distR="0" wp14:anchorId="7020C9F1" wp14:editId="30F58D20">
            <wp:extent cx="2533650" cy="544667"/>
            <wp:effectExtent l="19050" t="19050" r="19050" b="27305"/>
            <wp:docPr id="6" name="Picture 6" descr="C:\Users\nam.nguyen1\AppData\Local\Microsoft\Windows\INetCache\Content.Word\ASA_Landscap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m.nguyen1\AppData\Local\Microsoft\Windows\INetCache\Content.Word\ASA_Landscape_black.png"/>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trans="0"/>
                              </a14:imgEffect>
                            </a14:imgLayer>
                          </a14:imgProps>
                        </a:ext>
                        <a:ext uri="{28A0092B-C50C-407E-A947-70E740481C1C}">
                          <a14:useLocalDpi xmlns:a14="http://schemas.microsoft.com/office/drawing/2010/main" val="0"/>
                        </a:ext>
                      </a:extLst>
                    </a:blip>
                    <a:srcRect/>
                    <a:stretch>
                      <a:fillRect/>
                    </a:stretch>
                  </pic:blipFill>
                  <pic:spPr bwMode="auto">
                    <a:xfrm>
                      <a:off x="0" y="0"/>
                      <a:ext cx="2543194" cy="546719"/>
                    </a:xfrm>
                    <a:prstGeom prst="rect">
                      <a:avLst/>
                    </a:prstGeom>
                    <a:noFill/>
                    <a:ln>
                      <a:solidFill>
                        <a:schemeClr val="accent1"/>
                      </a:solidFill>
                    </a:ln>
                  </pic:spPr>
                </pic:pic>
              </a:graphicData>
            </a:graphic>
          </wp:inline>
        </w:drawing>
      </w:r>
      <w:r>
        <w:rPr>
          <w:noProof/>
          <w:lang w:eastAsia="en-AU"/>
        </w:rPr>
        <w:drawing>
          <wp:anchor distT="0" distB="0" distL="114300" distR="114300" simplePos="0" relativeHeight="251658240" behindDoc="1" locked="0" layoutInCell="1" allowOverlap="1" wp14:anchorId="4C893E3F" wp14:editId="4825DDC3">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4"/>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1224C4CF" w14:textId="0AE2612D" w:rsidR="006D154E" w:rsidRPr="005D702C" w:rsidRDefault="009E2536" w:rsidP="005D702C">
      <w:pPr>
        <w:pStyle w:val="Title"/>
      </w:pPr>
      <w:r>
        <w:t xml:space="preserve">Program </w:t>
      </w:r>
      <w:r w:rsidR="00111460">
        <w:t>Guidelines</w:t>
      </w:r>
    </w:p>
    <w:p w14:paraId="279EF585" w14:textId="34C9E681" w:rsidR="002B1CE5" w:rsidRPr="00E044E6" w:rsidRDefault="00360DB6" w:rsidP="006D154E">
      <w:pPr>
        <w:pStyle w:val="Subtitle"/>
        <w:rPr>
          <w:sz w:val="36"/>
          <w:szCs w:val="36"/>
        </w:rPr>
      </w:pPr>
      <w:r w:rsidRPr="04511539">
        <w:rPr>
          <w:sz w:val="36"/>
          <w:szCs w:val="36"/>
        </w:rPr>
        <w:t>Nuc</w:t>
      </w:r>
      <w:r w:rsidR="00512EBB" w:rsidRPr="04511539">
        <w:rPr>
          <w:sz w:val="36"/>
          <w:szCs w:val="36"/>
        </w:rPr>
        <w:t>lear-Powered Submarine</w:t>
      </w:r>
      <w:r w:rsidR="00472C4F" w:rsidRPr="04511539">
        <w:rPr>
          <w:sz w:val="36"/>
          <w:szCs w:val="36"/>
        </w:rPr>
        <w:t xml:space="preserve"> Student Pathway</w:t>
      </w:r>
      <w:r w:rsidR="00B67F41" w:rsidRPr="04511539">
        <w:rPr>
          <w:sz w:val="36"/>
          <w:szCs w:val="36"/>
        </w:rPr>
        <w:t>s</w:t>
      </w:r>
    </w:p>
    <w:p w14:paraId="06288842" w14:textId="0DB19C27" w:rsidR="00ED3446" w:rsidRPr="006E5FC6" w:rsidRDefault="00ED3446" w:rsidP="006E5FC6">
      <w:pPr>
        <w:pStyle w:val="Heading2"/>
        <w:numPr>
          <w:ilvl w:val="0"/>
          <w:numId w:val="21"/>
        </w:numPr>
        <w:spacing w:before="0"/>
        <w:ind w:left="357" w:hanging="357"/>
        <w:rPr>
          <w:color w:val="002C3F"/>
          <w:sz w:val="32"/>
          <w:szCs w:val="32"/>
        </w:rPr>
      </w:pPr>
      <w:bookmarkStart w:id="0" w:name="_Toc30065223"/>
      <w:r w:rsidRPr="006E5FC6">
        <w:rPr>
          <w:color w:val="002C3F"/>
          <w:sz w:val="32"/>
          <w:szCs w:val="32"/>
        </w:rPr>
        <w:t>Program overview</w:t>
      </w:r>
      <w:r w:rsidR="00D71146" w:rsidRPr="006E5FC6">
        <w:rPr>
          <w:color w:val="002C3F"/>
          <w:sz w:val="32"/>
          <w:szCs w:val="32"/>
        </w:rPr>
        <w:t xml:space="preserve"> and objectives</w:t>
      </w:r>
    </w:p>
    <w:p w14:paraId="6547B8B9" w14:textId="54F26713" w:rsidR="00F3618D" w:rsidRDefault="7575AD07" w:rsidP="00315D55">
      <w:r>
        <w:t xml:space="preserve">The </w:t>
      </w:r>
      <w:r w:rsidR="64DE869F">
        <w:t xml:space="preserve">Australian </w:t>
      </w:r>
      <w:r>
        <w:t xml:space="preserve">Government will invest </w:t>
      </w:r>
      <w:r w:rsidR="1B720177">
        <w:t xml:space="preserve">$128.5 </w:t>
      </w:r>
      <w:r w:rsidR="145CBD80">
        <w:t xml:space="preserve">million to </w:t>
      </w:r>
      <w:r w:rsidR="6029E20D">
        <w:t>s</w:t>
      </w:r>
      <w:r w:rsidR="145CBD80">
        <w:t xml:space="preserve">upport </w:t>
      </w:r>
      <w:r w:rsidR="6029E20D">
        <w:t>4</w:t>
      </w:r>
      <w:r w:rsidR="145CBD80">
        <w:t>,000 commencing Commonwealth supported places (CSPs)</w:t>
      </w:r>
      <w:r w:rsidR="6029E20D">
        <w:t xml:space="preserve"> over the next four years</w:t>
      </w:r>
      <w:r w:rsidR="25BDCADF">
        <w:t xml:space="preserve"> to </w:t>
      </w:r>
      <w:r w:rsidR="72442204">
        <w:t xml:space="preserve">develop a pipeline of </w:t>
      </w:r>
      <w:r w:rsidR="00423333">
        <w:t>highly skilled</w:t>
      </w:r>
      <w:r w:rsidR="72442204">
        <w:t xml:space="preserve"> </w:t>
      </w:r>
      <w:r w:rsidR="64DE869F">
        <w:t xml:space="preserve">science, technology, </w:t>
      </w:r>
      <w:proofErr w:type="gramStart"/>
      <w:r w:rsidR="64DE869F">
        <w:t>engineering</w:t>
      </w:r>
      <w:proofErr w:type="gramEnd"/>
      <w:r w:rsidR="64DE869F">
        <w:t xml:space="preserve"> and mathematics (</w:t>
      </w:r>
      <w:r w:rsidR="72442204">
        <w:t>STEM</w:t>
      </w:r>
      <w:r w:rsidR="64DE869F">
        <w:t>)</w:t>
      </w:r>
      <w:r w:rsidR="72442204">
        <w:t xml:space="preserve"> graduates who will strengthen Australia’s sovereign capabilities,</w:t>
      </w:r>
      <w:r w:rsidR="6C4CBE6C">
        <w:t xml:space="preserve"> and</w:t>
      </w:r>
      <w:r w:rsidR="72442204">
        <w:t xml:space="preserve"> support Nuclear-Powered Submarine</w:t>
      </w:r>
      <w:r w:rsidR="09A91333">
        <w:t xml:space="preserve"> (NPS)</w:t>
      </w:r>
      <w:r w:rsidR="72442204">
        <w:t xml:space="preserve"> Program initiatives, industry and the economy. </w:t>
      </w:r>
    </w:p>
    <w:p w14:paraId="4C21E806" w14:textId="419096EF" w:rsidR="00263836" w:rsidRDefault="26405C72" w:rsidP="35533698">
      <w:pPr>
        <w:spacing w:line="252" w:lineRule="auto"/>
      </w:pPr>
      <w:r>
        <w:t>Of these places, 800 (200 each year from 2024 to 2027) will be allocated to South Australian universities in line with the public announcement of the Commonwealth and South Australian Government Cooperation Agreement in March 2023.</w:t>
      </w:r>
    </w:p>
    <w:p w14:paraId="71882343" w14:textId="3E56D94D" w:rsidR="00252FE0" w:rsidRDefault="7F5C278A">
      <w:r>
        <w:t xml:space="preserve">The 4,000 additional CSPs </w:t>
      </w:r>
      <w:r w:rsidR="16506E95">
        <w:t>will</w:t>
      </w:r>
      <w:r w:rsidR="28E492BA">
        <w:t xml:space="preserve"> be</w:t>
      </w:r>
      <w:r w:rsidR="16506E95">
        <w:t xml:space="preserve"> </w:t>
      </w:r>
      <w:r w:rsidR="2AD7E360">
        <w:t xml:space="preserve">specifically </w:t>
      </w:r>
      <w:r w:rsidR="28E492BA">
        <w:t xml:space="preserve">targeted to deliver graduates from STEM disciplines, including </w:t>
      </w:r>
      <w:r w:rsidR="005E36E0">
        <w:t xml:space="preserve">accredited </w:t>
      </w:r>
      <w:r w:rsidR="28E492BA">
        <w:t xml:space="preserve">engineering, mathematics, </w:t>
      </w:r>
      <w:proofErr w:type="gramStart"/>
      <w:r w:rsidR="28E492BA">
        <w:t>chemistry</w:t>
      </w:r>
      <w:proofErr w:type="gramEnd"/>
      <w:r w:rsidR="28E492BA">
        <w:t xml:space="preserve"> and physics</w:t>
      </w:r>
      <w:r w:rsidR="05559E14">
        <w:t xml:space="preserve"> to grow Australia’s excellence in STEM disciplines</w:t>
      </w:r>
      <w:r w:rsidR="3244939B">
        <w:t>.</w:t>
      </w:r>
      <w:r w:rsidR="26405C72">
        <w:t xml:space="preserve"> </w:t>
      </w:r>
    </w:p>
    <w:p w14:paraId="1E0181A4" w14:textId="24DB445A" w:rsidR="00263836" w:rsidRPr="00252FE0" w:rsidRDefault="00263836" w:rsidP="04511539">
      <w:pPr>
        <w:spacing w:line="252" w:lineRule="auto"/>
      </w:pPr>
      <w:r>
        <w:t xml:space="preserve">South Australian </w:t>
      </w:r>
      <w:r w:rsidR="00156287">
        <w:t>u</w:t>
      </w:r>
      <w:r>
        <w:t xml:space="preserve">niversities can also apply for additional places in computer science, </w:t>
      </w:r>
      <w:proofErr w:type="gramStart"/>
      <w:r>
        <w:t>psychology</w:t>
      </w:r>
      <w:proofErr w:type="gramEnd"/>
      <w:r>
        <w:t xml:space="preserve"> and management. Places in these </w:t>
      </w:r>
      <w:r w:rsidR="000B2A97">
        <w:t xml:space="preserve">fields of </w:t>
      </w:r>
      <w:r>
        <w:t>education are available to South Australian universities only.</w:t>
      </w:r>
    </w:p>
    <w:p w14:paraId="053A36A0" w14:textId="2B2CCF45" w:rsidR="00746928" w:rsidRDefault="2048AF19" w:rsidP="04511539">
      <w:r>
        <w:t>Support for these places is</w:t>
      </w:r>
      <w:r w:rsidR="1C3301E0">
        <w:t xml:space="preserve"> in addition to </w:t>
      </w:r>
      <w:r w:rsidR="482FF45F">
        <w:t xml:space="preserve">the </w:t>
      </w:r>
      <w:r w:rsidR="1C3301E0">
        <w:t xml:space="preserve">20,000 Commonwealth </w:t>
      </w:r>
      <w:r w:rsidR="1308DE35">
        <w:t>s</w:t>
      </w:r>
      <w:r w:rsidR="1C3301E0">
        <w:t xml:space="preserve">upported </w:t>
      </w:r>
      <w:r w:rsidR="1308DE35">
        <w:t>p</w:t>
      </w:r>
      <w:r w:rsidR="1C3301E0">
        <w:t xml:space="preserve">laces already </w:t>
      </w:r>
      <w:r w:rsidR="4FA8ECBA">
        <w:t>allocated</w:t>
      </w:r>
      <w:r w:rsidR="1C3301E0">
        <w:t xml:space="preserve"> by the Government to address skills shortages in areas of national priority, and to provide more opportunities for students from under-represented backgrounds.</w:t>
      </w:r>
    </w:p>
    <w:p w14:paraId="74823642" w14:textId="5F6BBB02" w:rsidR="00744A27" w:rsidRDefault="2CF960DD" w:rsidP="00315D55">
      <w:r>
        <w:t>The 4,000 additional CSPs under this measure</w:t>
      </w:r>
      <w:r w:rsidR="16506E95">
        <w:t xml:space="preserve"> will be provided </w:t>
      </w:r>
      <w:r w:rsidR="70036994">
        <w:t>for</w:t>
      </w:r>
      <w:r w:rsidR="3FE4740F">
        <w:t xml:space="preserve"> bachelor level courses</w:t>
      </w:r>
      <w:r w:rsidR="16506E95">
        <w:t xml:space="preserve"> </w:t>
      </w:r>
      <w:r w:rsidR="70036994">
        <w:t>only</w:t>
      </w:r>
      <w:r w:rsidR="16506E95">
        <w:t xml:space="preserve">. </w:t>
      </w:r>
      <w:r w:rsidR="2ED5AB98">
        <w:t>Places will not be provided for</w:t>
      </w:r>
      <w:r w:rsidR="6C4CBE6C">
        <w:t xml:space="preserve"> sub</w:t>
      </w:r>
      <w:r w:rsidR="6DA81715">
        <w:t>-</w:t>
      </w:r>
      <w:r w:rsidR="6C4CBE6C">
        <w:t>bachelor</w:t>
      </w:r>
      <w:r w:rsidR="6DA81715">
        <w:t xml:space="preserve"> or</w:t>
      </w:r>
      <w:r w:rsidR="2ED5AB98">
        <w:t xml:space="preserve"> postgraduate courses.</w:t>
      </w:r>
    </w:p>
    <w:p w14:paraId="43DCE9A4" w14:textId="3325DE94" w:rsidR="00D71146" w:rsidRPr="006E5FC6" w:rsidRDefault="00D71146" w:rsidP="006E5FC6">
      <w:pPr>
        <w:pStyle w:val="Heading2"/>
        <w:numPr>
          <w:ilvl w:val="0"/>
          <w:numId w:val="21"/>
        </w:numPr>
        <w:spacing w:before="0"/>
        <w:ind w:left="357" w:hanging="357"/>
        <w:rPr>
          <w:color w:val="002C3F"/>
          <w:sz w:val="32"/>
          <w:szCs w:val="32"/>
        </w:rPr>
      </w:pPr>
      <w:r w:rsidRPr="006E5FC6">
        <w:rPr>
          <w:color w:val="002C3F"/>
          <w:sz w:val="32"/>
          <w:szCs w:val="32"/>
        </w:rPr>
        <w:t>Grant amount and grant period</w:t>
      </w:r>
    </w:p>
    <w:p w14:paraId="1B006A93" w14:textId="43F68015" w:rsidR="00E044E6" w:rsidRDefault="00D71146" w:rsidP="00BC6B71">
      <w:r>
        <w:t xml:space="preserve">Funding is provided under </w:t>
      </w:r>
      <w:r w:rsidR="004E1BBC">
        <w:t xml:space="preserve">section </w:t>
      </w:r>
      <w:r>
        <w:t xml:space="preserve">30-1 of the </w:t>
      </w:r>
      <w:r w:rsidRPr="04511539">
        <w:rPr>
          <w:i/>
          <w:iCs/>
        </w:rPr>
        <w:t>Higher Education Support Act 2003</w:t>
      </w:r>
      <w:r>
        <w:t>.</w:t>
      </w:r>
      <w:r w:rsidR="00E044E6">
        <w:t xml:space="preserve"> </w:t>
      </w:r>
    </w:p>
    <w:p w14:paraId="1843FA0C" w14:textId="03535442" w:rsidR="001D67F6" w:rsidRDefault="00A8266B" w:rsidP="00BC6B71">
      <w:r>
        <w:t>Funding is</w:t>
      </w:r>
      <w:r w:rsidR="00D71146">
        <w:t xml:space="preserve"> </w:t>
      </w:r>
      <w:r w:rsidR="00E044E6">
        <w:t>provided</w:t>
      </w:r>
      <w:r w:rsidR="00D71146">
        <w:t xml:space="preserve"> through the Commonwealth Grant Scheme (CGS)</w:t>
      </w:r>
      <w:r w:rsidR="00E044E6">
        <w:t xml:space="preserve"> for </w:t>
      </w:r>
      <w:r w:rsidR="002A66BF">
        <w:t>1,000</w:t>
      </w:r>
      <w:r w:rsidR="00E044E6">
        <w:t xml:space="preserve"> commencing CSPs </w:t>
      </w:r>
      <w:r w:rsidR="001B2510">
        <w:t>each year from 2024 to 2027</w:t>
      </w:r>
      <w:r w:rsidR="00BC6B71">
        <w:t>.</w:t>
      </w:r>
      <w:r w:rsidR="001D67F6">
        <w:t xml:space="preserve"> These places are non-ongoing and funding</w:t>
      </w:r>
      <w:r w:rsidR="003B04A6">
        <w:t xml:space="preserve"> for these</w:t>
      </w:r>
      <w:r w:rsidR="001D67F6">
        <w:t xml:space="preserve"> places will terminate by 20</w:t>
      </w:r>
      <w:r w:rsidR="001B2510">
        <w:t>3</w:t>
      </w:r>
      <w:r w:rsidR="00835F5A">
        <w:t>1</w:t>
      </w:r>
      <w:r w:rsidR="001D67F6">
        <w:t xml:space="preserve">. </w:t>
      </w:r>
    </w:p>
    <w:p w14:paraId="2ED42798" w14:textId="1A85721A" w:rsidR="006C2500" w:rsidRDefault="006C2500" w:rsidP="00BC6B71">
      <w:r>
        <w:t>This program does not include research funding</w:t>
      </w:r>
      <w:r w:rsidR="00C8769D">
        <w:t>.</w:t>
      </w:r>
      <w:r>
        <w:t xml:space="preserve"> </w:t>
      </w:r>
      <w:r w:rsidR="00C8769D">
        <w:t>T</w:t>
      </w:r>
      <w:r>
        <w:t xml:space="preserve">he Australian Submarine Agency (ASA) will engage the higher education sector separately on potential ASA-related research support. </w:t>
      </w:r>
    </w:p>
    <w:p w14:paraId="6BCA6726" w14:textId="223D34F2" w:rsidR="00ED3446" w:rsidRPr="006E5FC6" w:rsidRDefault="00D71146" w:rsidP="006E5FC6">
      <w:pPr>
        <w:pStyle w:val="Heading2"/>
        <w:numPr>
          <w:ilvl w:val="0"/>
          <w:numId w:val="21"/>
        </w:numPr>
        <w:spacing w:before="0"/>
        <w:ind w:left="357" w:hanging="357"/>
        <w:rPr>
          <w:color w:val="002C3F"/>
          <w:sz w:val="32"/>
          <w:szCs w:val="32"/>
        </w:rPr>
      </w:pPr>
      <w:r w:rsidRPr="006E5FC6">
        <w:rPr>
          <w:color w:val="002C3F"/>
          <w:sz w:val="32"/>
          <w:szCs w:val="32"/>
        </w:rPr>
        <w:lastRenderedPageBreak/>
        <w:t>E</w:t>
      </w:r>
      <w:r w:rsidR="00ED3446" w:rsidRPr="006E5FC6">
        <w:rPr>
          <w:color w:val="002C3F"/>
          <w:sz w:val="32"/>
          <w:szCs w:val="32"/>
        </w:rPr>
        <w:t>ligibility</w:t>
      </w:r>
    </w:p>
    <w:p w14:paraId="22CE6AF0" w14:textId="1DE74614" w:rsidR="005F2673" w:rsidRDefault="26711F66" w:rsidP="00744A27">
      <w:r>
        <w:t xml:space="preserve">Only </w:t>
      </w:r>
      <w:r w:rsidR="4129BABB">
        <w:t>higher education providers</w:t>
      </w:r>
      <w:r>
        <w:t xml:space="preserve"> listed on Table A of the </w:t>
      </w:r>
      <w:r w:rsidRPr="35533698">
        <w:rPr>
          <w:i/>
          <w:iCs/>
        </w:rPr>
        <w:t>Higher Education Support Act 2003</w:t>
      </w:r>
      <w:r>
        <w:t xml:space="preserve"> will be eligible</w:t>
      </w:r>
      <w:r w:rsidR="3013F4E9">
        <w:t xml:space="preserve"> to receive an allocation of places.</w:t>
      </w:r>
      <w:r w:rsidR="50D49047">
        <w:t xml:space="preserve"> </w:t>
      </w:r>
      <w:r w:rsidR="12D187B1">
        <w:t xml:space="preserve">Higher education providers who </w:t>
      </w:r>
      <w:r w:rsidR="3899C2DF">
        <w:t>are not a</w:t>
      </w:r>
      <w:r w:rsidR="2F232238">
        <w:t xml:space="preserve"> </w:t>
      </w:r>
      <w:r w:rsidR="3899C2DF">
        <w:t>Table A provider</w:t>
      </w:r>
      <w:r w:rsidR="12D187B1">
        <w:t xml:space="preserve"> are not </w:t>
      </w:r>
      <w:r w:rsidR="4C6A9941">
        <w:t>eligible</w:t>
      </w:r>
      <w:r w:rsidR="12D187B1">
        <w:t xml:space="preserve"> to apply. </w:t>
      </w:r>
    </w:p>
    <w:p w14:paraId="55638EB6" w14:textId="5E4F4F20" w:rsidR="009B24A9" w:rsidRDefault="4D1D25F8" w:rsidP="00EB16C6">
      <w:r>
        <w:t>The Department recognises</w:t>
      </w:r>
      <w:r w:rsidR="0405AFFF">
        <w:t xml:space="preserve"> that some organisations may want to join as a group to deliver a</w:t>
      </w:r>
      <w:r w:rsidR="41CD5884" w:rsidRPr="35533698">
        <w:t>dditional places</w:t>
      </w:r>
      <w:r w:rsidR="0405AFFF">
        <w:t xml:space="preserve">. In these circumstances, </w:t>
      </w:r>
      <w:r w:rsidR="41FA0145">
        <w:t>applicants</w:t>
      </w:r>
      <w:r w:rsidR="0405AFFF">
        <w:t xml:space="preserve"> must appoint a ‘lead organisation’. Only the lead organisation will enter into a grant agreement with the </w:t>
      </w:r>
      <w:r w:rsidR="25461938">
        <w:t xml:space="preserve">Department of Education </w:t>
      </w:r>
      <w:r w:rsidR="0405AFFF">
        <w:t xml:space="preserve">and will be responsible for </w:t>
      </w:r>
      <w:proofErr w:type="gramStart"/>
      <w:r w:rsidR="0405AFFF">
        <w:t>submitting an application</w:t>
      </w:r>
      <w:proofErr w:type="gramEnd"/>
      <w:r w:rsidR="0405AFFF">
        <w:t xml:space="preserve"> on behalf of the </w:t>
      </w:r>
      <w:r w:rsidR="7E87BAE4">
        <w:t>c</w:t>
      </w:r>
      <w:r w:rsidR="0405AFFF">
        <w:t>onsortium, the lead organisation must have the authority to do so on behalf of the consortium members. The application must identify all other members of the proposed group and a formal agreement must be in place between all consortium members and provided to the department in the form of a letter of support, during the application submission period.</w:t>
      </w:r>
      <w:r w:rsidR="588B379B">
        <w:t xml:space="preserve"> </w:t>
      </w:r>
    </w:p>
    <w:p w14:paraId="46E6BBC8" w14:textId="69927B1A" w:rsidR="009B24A9" w:rsidRDefault="0405AFFF" w:rsidP="35533698">
      <w:pPr>
        <w:spacing w:after="0"/>
      </w:pPr>
      <w:r w:rsidRPr="35533698">
        <w:t>Each letter of support should include:</w:t>
      </w:r>
      <w:r>
        <w:t xml:space="preserve"> </w:t>
      </w:r>
    </w:p>
    <w:p w14:paraId="6E460B2D" w14:textId="52447166" w:rsidR="009B24A9" w:rsidRDefault="65987CEE" w:rsidP="35533698">
      <w:pPr>
        <w:pStyle w:val="ListParagraph"/>
        <w:numPr>
          <w:ilvl w:val="0"/>
          <w:numId w:val="2"/>
        </w:numPr>
        <w:spacing w:line="276" w:lineRule="auto"/>
      </w:pPr>
      <w:r w:rsidRPr="35533698">
        <w:t>D</w:t>
      </w:r>
      <w:r w:rsidR="44A927AE" w:rsidRPr="35533698">
        <w:t>etails of the partner organisation</w:t>
      </w:r>
      <w:r w:rsidR="750C5291" w:rsidRPr="35533698">
        <w:t>.</w:t>
      </w:r>
    </w:p>
    <w:p w14:paraId="1B6EAC55" w14:textId="2C222CF6" w:rsidR="009B24A9" w:rsidRDefault="6EFC3C38" w:rsidP="35533698">
      <w:pPr>
        <w:pStyle w:val="ListParagraph"/>
        <w:numPr>
          <w:ilvl w:val="0"/>
          <w:numId w:val="2"/>
        </w:numPr>
        <w:spacing w:line="276" w:lineRule="auto"/>
      </w:pPr>
      <w:r w:rsidRPr="35533698">
        <w:t>A</w:t>
      </w:r>
      <w:r w:rsidR="44A927AE" w:rsidRPr="35533698">
        <w:t xml:space="preserve">n overview of how the partner organisation will work with the lead organisation and any other partner organisations in the group to successfully </w:t>
      </w:r>
      <w:r w:rsidR="69349427" w:rsidRPr="35533698">
        <w:t>deliver places</w:t>
      </w:r>
      <w:r w:rsidR="44A927AE" w:rsidRPr="35533698">
        <w:t>.</w:t>
      </w:r>
    </w:p>
    <w:p w14:paraId="0A325A3E" w14:textId="0855B59B" w:rsidR="009B24A9" w:rsidRDefault="2E1E927D" w:rsidP="35533698">
      <w:pPr>
        <w:pStyle w:val="ListParagraph"/>
        <w:numPr>
          <w:ilvl w:val="0"/>
          <w:numId w:val="2"/>
        </w:numPr>
        <w:spacing w:line="276" w:lineRule="auto"/>
      </w:pPr>
      <w:r w:rsidRPr="35533698">
        <w:t>A</w:t>
      </w:r>
      <w:r w:rsidR="44A927AE" w:rsidRPr="35533698">
        <w:t>n outline of the relevant experience and/or expertise the partner organisation will bring to the group</w:t>
      </w:r>
      <w:r w:rsidR="52EEBD40" w:rsidRPr="35533698">
        <w:t>.</w:t>
      </w:r>
    </w:p>
    <w:p w14:paraId="1F2B69D8" w14:textId="4B1E01AF" w:rsidR="009B24A9" w:rsidRDefault="6B31F0C6" w:rsidP="35533698">
      <w:pPr>
        <w:pStyle w:val="ListParagraph"/>
        <w:numPr>
          <w:ilvl w:val="0"/>
          <w:numId w:val="2"/>
        </w:numPr>
        <w:spacing w:line="276" w:lineRule="auto"/>
      </w:pPr>
      <w:r w:rsidRPr="35533698">
        <w:t>T</w:t>
      </w:r>
      <w:r w:rsidR="44A927AE" w:rsidRPr="35533698">
        <w:t>he roles</w:t>
      </w:r>
      <w:r w:rsidR="205CD6C1" w:rsidRPr="35533698">
        <w:t xml:space="preserve"> and </w:t>
      </w:r>
      <w:r w:rsidR="44A927AE" w:rsidRPr="35533698">
        <w:t xml:space="preserve">responsibilities of the partner organisation and the resources they will contribute including number of CSPs proposed to </w:t>
      </w:r>
      <w:r w:rsidR="0175410A" w:rsidRPr="35533698">
        <w:t>be d</w:t>
      </w:r>
      <w:r w:rsidR="65CB610F" w:rsidRPr="35533698">
        <w:t>elivered on behalf of the</w:t>
      </w:r>
      <w:r w:rsidR="44A927AE" w:rsidRPr="35533698">
        <w:t xml:space="preserve"> lead organisation</w:t>
      </w:r>
      <w:r w:rsidR="5CE3E53D" w:rsidRPr="35533698">
        <w:t>.</w:t>
      </w:r>
      <w:r w:rsidR="44A927AE" w:rsidRPr="35533698">
        <w:t xml:space="preserve"> </w:t>
      </w:r>
    </w:p>
    <w:p w14:paraId="254F78EC" w14:textId="2295830F" w:rsidR="009B24A9" w:rsidRDefault="7421A20D" w:rsidP="35533698">
      <w:pPr>
        <w:pStyle w:val="ListParagraph"/>
        <w:numPr>
          <w:ilvl w:val="0"/>
          <w:numId w:val="2"/>
        </w:numPr>
        <w:spacing w:line="276" w:lineRule="auto"/>
      </w:pPr>
      <w:r w:rsidRPr="35533698">
        <w:t>D</w:t>
      </w:r>
      <w:r w:rsidR="44A927AE" w:rsidRPr="35533698">
        <w:t>etails of a nominated management level contact officer.</w:t>
      </w:r>
    </w:p>
    <w:p w14:paraId="59F8E568" w14:textId="7A82C545" w:rsidR="009B24A9" w:rsidRDefault="165E2068" w:rsidP="35533698">
      <w:r w:rsidRPr="35533698">
        <w:t>I</w:t>
      </w:r>
      <w:r w:rsidR="44A927AE" w:rsidRPr="35533698">
        <w:t xml:space="preserve">t is the responsibility of the lead organisation to ensure that all parties and subcontractors </w:t>
      </w:r>
      <w:r w:rsidR="487C4C2A" w:rsidRPr="35533698">
        <w:t>c</w:t>
      </w:r>
      <w:r w:rsidR="44A927AE" w:rsidRPr="35533698">
        <w:t>omply with the relevant aspects of the written agreement.</w:t>
      </w:r>
      <w:r w:rsidR="74DB1D0A" w:rsidRPr="35533698">
        <w:t xml:space="preserve"> </w:t>
      </w:r>
      <w:r w:rsidR="5B8D8D67" w:rsidRPr="35533698">
        <w:t>A formal agreement must be in place between all consortium members and provided to the department if requested, prior to the execution of the grant agreement.</w:t>
      </w:r>
    </w:p>
    <w:p w14:paraId="064C3832" w14:textId="7C7D12A2" w:rsidR="009B24A9" w:rsidRDefault="658711E7" w:rsidP="006E5FC6">
      <w:r>
        <w:t xml:space="preserve">Organisations applying as a consortium must also be aware that </w:t>
      </w:r>
      <w:r w:rsidR="7281CAF7">
        <w:t xml:space="preserve">all </w:t>
      </w:r>
      <w:r w:rsidR="7F4CAB78">
        <w:t>additional funding</w:t>
      </w:r>
      <w:r w:rsidR="311A6749">
        <w:t xml:space="preserve"> will be provided to the lead university and all funding will be reconciled against lead university student data. Program reporting will also only refer to the lead university rather than multiple institutions.</w:t>
      </w:r>
    </w:p>
    <w:p w14:paraId="6708D634" w14:textId="7DEAA214" w:rsidR="009E2536" w:rsidRPr="00051BEE" w:rsidRDefault="12D187B1" w:rsidP="00051BEE">
      <w:pPr>
        <w:pStyle w:val="Heading2"/>
        <w:numPr>
          <w:ilvl w:val="0"/>
          <w:numId w:val="21"/>
        </w:numPr>
        <w:spacing w:before="0"/>
        <w:ind w:left="357" w:hanging="357"/>
        <w:rPr>
          <w:color w:val="002C3F"/>
          <w:sz w:val="32"/>
          <w:szCs w:val="32"/>
        </w:rPr>
      </w:pPr>
      <w:r w:rsidRPr="00051BEE">
        <w:rPr>
          <w:color w:val="002C3F"/>
          <w:sz w:val="32"/>
          <w:szCs w:val="32"/>
        </w:rPr>
        <w:t>Selection process</w:t>
      </w:r>
    </w:p>
    <w:p w14:paraId="13C03FD5" w14:textId="1E812A54" w:rsidR="009E2536" w:rsidRDefault="005D56D8" w:rsidP="000478DC">
      <w:r>
        <w:t>A</w:t>
      </w:r>
      <w:r w:rsidR="00111460">
        <w:t xml:space="preserve">llocation of </w:t>
      </w:r>
      <w:r>
        <w:t xml:space="preserve">places </w:t>
      </w:r>
      <w:r w:rsidR="00111460">
        <w:t xml:space="preserve">will be determined </w:t>
      </w:r>
      <w:r>
        <w:t>based on the outcomes of a</w:t>
      </w:r>
      <w:r w:rsidR="001D67F6">
        <w:t xml:space="preserve"> </w:t>
      </w:r>
      <w:r w:rsidR="009E2536">
        <w:t>competitive selection process</w:t>
      </w:r>
      <w:r w:rsidR="00750E86">
        <w:t xml:space="preserve">, </w:t>
      </w:r>
      <w:r w:rsidR="00750E86" w:rsidRPr="00E420E9">
        <w:t xml:space="preserve">with distribution of places </w:t>
      </w:r>
      <w:r w:rsidR="00F21740" w:rsidRPr="00E420E9">
        <w:t xml:space="preserve">also </w:t>
      </w:r>
      <w:proofErr w:type="gramStart"/>
      <w:r w:rsidR="00750E86" w:rsidRPr="00E420E9">
        <w:t>taking into account</w:t>
      </w:r>
      <w:proofErr w:type="gramEnd"/>
      <w:r w:rsidR="00750E86" w:rsidRPr="00E420E9">
        <w:t xml:space="preserve"> the overarching objectives of the </w:t>
      </w:r>
      <w:r w:rsidR="00F21740" w:rsidRPr="00E420E9">
        <w:t>program in section 1 above</w:t>
      </w:r>
      <w:r w:rsidR="009E2536" w:rsidRPr="00E420E9">
        <w:t>.</w:t>
      </w:r>
    </w:p>
    <w:p w14:paraId="3EA6904C" w14:textId="4A4C9701" w:rsidR="006953F1" w:rsidRDefault="3C38C983" w:rsidP="000478DC">
      <w:r>
        <w:t>There are 1,000 commencing places</w:t>
      </w:r>
      <w:r w:rsidR="38D482EB">
        <w:t xml:space="preserve"> to be allocated each year from 2024 to 2027. Of these</w:t>
      </w:r>
      <w:r w:rsidR="136ED4C1">
        <w:t>, 200</w:t>
      </w:r>
      <w:r w:rsidR="46C264AB">
        <w:t xml:space="preserve"> </w:t>
      </w:r>
      <w:r w:rsidR="672D4C5C">
        <w:t xml:space="preserve">places </w:t>
      </w:r>
      <w:r w:rsidR="136ED4C1">
        <w:t>in each year</w:t>
      </w:r>
      <w:r w:rsidR="5C79F978">
        <w:t xml:space="preserve"> must be allocated to South Australian universities in line with</w:t>
      </w:r>
      <w:r w:rsidR="5DBABD67">
        <w:t xml:space="preserve"> the</w:t>
      </w:r>
      <w:r w:rsidR="5C79F978">
        <w:t xml:space="preserve"> </w:t>
      </w:r>
      <w:r w:rsidR="5DBABD67">
        <w:t>Commonwealth and South Australian Government Cooperation Agreement</w:t>
      </w:r>
      <w:r w:rsidR="5C79F978">
        <w:t>.</w:t>
      </w:r>
    </w:p>
    <w:p w14:paraId="78C242EE" w14:textId="1F0F5828" w:rsidR="009E2536" w:rsidRDefault="009E2536" w:rsidP="000478DC">
      <w:r>
        <w:t>Applications will be assessed against criteria</w:t>
      </w:r>
      <w:r w:rsidR="00D67272">
        <w:t xml:space="preserve"> developed</w:t>
      </w:r>
      <w:r>
        <w:t xml:space="preserve"> </w:t>
      </w:r>
      <w:r w:rsidR="00790C5E">
        <w:t xml:space="preserve">jointly </w:t>
      </w:r>
      <w:r>
        <w:t>by the Department of Education</w:t>
      </w:r>
      <w:r w:rsidR="00790C5E">
        <w:t xml:space="preserve"> and </w:t>
      </w:r>
      <w:r w:rsidR="00D67272">
        <w:t xml:space="preserve">the </w:t>
      </w:r>
      <w:r w:rsidR="009A1B21">
        <w:t>Australian Submarine Agency</w:t>
      </w:r>
      <w:r>
        <w:t>.</w:t>
      </w:r>
      <w:r w:rsidR="00EB16C6">
        <w:t xml:space="preserve"> </w:t>
      </w:r>
      <w:r w:rsidR="12D187B1">
        <w:t xml:space="preserve">The </w:t>
      </w:r>
      <w:r w:rsidR="009A1B21" w:rsidRPr="009A1B21">
        <w:t>Department of Education and the Australian Submarine Agency</w:t>
      </w:r>
      <w:r w:rsidR="12D187B1">
        <w:t xml:space="preserve"> will </w:t>
      </w:r>
      <w:r w:rsidR="76ECE8A7">
        <w:t xml:space="preserve">then </w:t>
      </w:r>
      <w:r w:rsidR="12D187B1">
        <w:t xml:space="preserve">make recommendations to the Minister for Education on proposed allocations of places </w:t>
      </w:r>
      <w:r w:rsidR="2AD7E360">
        <w:t xml:space="preserve">for approved courses for </w:t>
      </w:r>
      <w:r w:rsidR="12D187B1">
        <w:t xml:space="preserve">individual providers. </w:t>
      </w:r>
      <w:r w:rsidR="49A8397A">
        <w:t>Final</w:t>
      </w:r>
      <w:r w:rsidR="12D187B1">
        <w:t xml:space="preserve"> allocations will be determined by the Minister for Education</w:t>
      </w:r>
      <w:r w:rsidR="00423333">
        <w:t>,</w:t>
      </w:r>
      <w:r w:rsidR="3A7DA699">
        <w:t xml:space="preserve"> following consultation with the Minister</w:t>
      </w:r>
      <w:r w:rsidR="5E4EADD3">
        <w:t xml:space="preserve"> for Defence</w:t>
      </w:r>
      <w:r w:rsidR="6A106FCB">
        <w:t>.</w:t>
      </w:r>
    </w:p>
    <w:p w14:paraId="6C525742" w14:textId="77777777" w:rsidR="009E2536" w:rsidRPr="00051BEE" w:rsidRDefault="12D187B1" w:rsidP="00051BEE">
      <w:pPr>
        <w:pStyle w:val="Heading2"/>
        <w:numPr>
          <w:ilvl w:val="0"/>
          <w:numId w:val="21"/>
        </w:numPr>
        <w:spacing w:before="0"/>
        <w:ind w:left="357" w:hanging="357"/>
        <w:rPr>
          <w:color w:val="002C3F"/>
          <w:sz w:val="32"/>
          <w:szCs w:val="32"/>
        </w:rPr>
      </w:pPr>
      <w:r w:rsidRPr="00051BEE">
        <w:rPr>
          <w:color w:val="002C3F"/>
          <w:sz w:val="32"/>
          <w:szCs w:val="32"/>
        </w:rPr>
        <w:lastRenderedPageBreak/>
        <w:t>Selection criteria</w:t>
      </w:r>
    </w:p>
    <w:p w14:paraId="7F9812FF" w14:textId="66410523" w:rsidR="00B14571" w:rsidRDefault="6850392E" w:rsidP="000478DC">
      <w:r>
        <w:t xml:space="preserve">The application template requires providers to identify proposed courses, requested places </w:t>
      </w:r>
      <w:r w:rsidR="12D187B1">
        <w:t xml:space="preserve">of commencing </w:t>
      </w:r>
      <w:r w:rsidR="7AF71702">
        <w:t>CSPs</w:t>
      </w:r>
      <w:r w:rsidR="12D187B1">
        <w:t xml:space="preserve"> for delivery in each year </w:t>
      </w:r>
      <w:r w:rsidR="5E4EADD3">
        <w:t>from 2024 to 2027</w:t>
      </w:r>
      <w:r w:rsidR="12D187B1">
        <w:t xml:space="preserve"> for </w:t>
      </w:r>
      <w:r w:rsidR="50E837D6">
        <w:t>individual courses, and a written statement against</w:t>
      </w:r>
      <w:r w:rsidR="45A11770">
        <w:t xml:space="preserve"> five</w:t>
      </w:r>
      <w:r w:rsidR="50E837D6">
        <w:t xml:space="preserve"> criteria to demonstrate intended delivery against program objectives.</w:t>
      </w:r>
    </w:p>
    <w:p w14:paraId="2A38D7F9" w14:textId="31DADC88" w:rsidR="00B14571" w:rsidRDefault="00B14571" w:rsidP="04511539">
      <w:pPr>
        <w:spacing w:after="0"/>
      </w:pPr>
      <w:r>
        <w:t>The</w:t>
      </w:r>
      <w:r w:rsidR="00652771">
        <w:t xml:space="preserve"> selection criteria </w:t>
      </w:r>
      <w:r w:rsidR="00077C11">
        <w:t>are</w:t>
      </w:r>
      <w:r>
        <w:t>:</w:t>
      </w:r>
    </w:p>
    <w:p w14:paraId="1A45E93D" w14:textId="0ADA0152" w:rsidR="00652771" w:rsidRPr="009B24A9" w:rsidRDefault="3F898498" w:rsidP="35533698">
      <w:pPr>
        <w:pStyle w:val="ListParagraph"/>
        <w:numPr>
          <w:ilvl w:val="0"/>
          <w:numId w:val="24"/>
        </w:numPr>
        <w:spacing w:line="276" w:lineRule="auto"/>
        <w:ind w:left="567" w:hanging="283"/>
      </w:pPr>
      <w:r>
        <w:t>Delivery of places in STEM disciplines and areas</w:t>
      </w:r>
      <w:r w:rsidR="53826225">
        <w:t xml:space="preserve"> </w:t>
      </w:r>
      <w:r>
        <w:t>that</w:t>
      </w:r>
      <w:r w:rsidR="53826225">
        <w:t xml:space="preserve"> will meet the priorities of the </w:t>
      </w:r>
      <w:r w:rsidR="55F7C9F4">
        <w:t>Australia</w:t>
      </w:r>
      <w:r w:rsidR="6850392E">
        <w:t>n</w:t>
      </w:r>
      <w:r w:rsidR="55F7C9F4">
        <w:t xml:space="preserve"> Submarine Agency</w:t>
      </w:r>
      <w:r w:rsidR="45A11770">
        <w:t xml:space="preserve"> (ASA)</w:t>
      </w:r>
      <w:r w:rsidR="53826225">
        <w:t xml:space="preserve"> for future workforce needs and how </w:t>
      </w:r>
      <w:r w:rsidR="4F5F4F3D">
        <w:t>an</w:t>
      </w:r>
      <w:r w:rsidR="53826225">
        <w:t xml:space="preserve"> institution has demonstrable graduate results in th</w:t>
      </w:r>
      <w:r w:rsidR="55F7C9F4">
        <w:t>ose</w:t>
      </w:r>
      <w:r w:rsidR="53826225">
        <w:t xml:space="preserve"> respective fields</w:t>
      </w:r>
      <w:r w:rsidR="2D0626A1">
        <w:t>.</w:t>
      </w:r>
    </w:p>
    <w:p w14:paraId="04EB706C" w14:textId="1C5DDCA6" w:rsidR="00273A56" w:rsidRPr="00B14571" w:rsidRDefault="5BB5DDA1" w:rsidP="35533698">
      <w:pPr>
        <w:pStyle w:val="ListParagraph"/>
        <w:numPr>
          <w:ilvl w:val="0"/>
          <w:numId w:val="24"/>
        </w:numPr>
        <w:spacing w:line="276" w:lineRule="auto"/>
        <w:ind w:left="567" w:hanging="283"/>
      </w:pPr>
      <w:r>
        <w:t>Evidence-based</w:t>
      </w:r>
      <w:r w:rsidR="45A11770">
        <w:t xml:space="preserve"> strategies for maximising student academic success as well as graduate success rates for specific course fields. </w:t>
      </w:r>
    </w:p>
    <w:p w14:paraId="2456CD4B" w14:textId="6026F26F" w:rsidR="00F379C2" w:rsidRDefault="3B01802A" w:rsidP="35533698">
      <w:pPr>
        <w:pStyle w:val="ListParagraph"/>
        <w:numPr>
          <w:ilvl w:val="0"/>
          <w:numId w:val="24"/>
        </w:numPr>
        <w:spacing w:line="276" w:lineRule="auto"/>
        <w:ind w:left="567" w:hanging="283"/>
      </w:pPr>
      <w:r>
        <w:t xml:space="preserve">Membership </w:t>
      </w:r>
      <w:r w:rsidR="00CC4D95">
        <w:t>of the Defence Industry Security Program</w:t>
      </w:r>
      <w:r w:rsidR="45A11770">
        <w:t>.</w:t>
      </w:r>
    </w:p>
    <w:p w14:paraId="13F5611A" w14:textId="5491B54E" w:rsidR="00B14571" w:rsidRDefault="53826225" w:rsidP="35533698">
      <w:pPr>
        <w:pStyle w:val="ListParagraph"/>
        <w:numPr>
          <w:ilvl w:val="0"/>
          <w:numId w:val="24"/>
        </w:numPr>
        <w:spacing w:line="276" w:lineRule="auto"/>
        <w:ind w:left="567" w:hanging="283"/>
      </w:pPr>
      <w:r>
        <w:t>Provider capacity and student demand including the ab</w:t>
      </w:r>
      <w:r w:rsidR="360C78D9">
        <w:t>ility of the provider to</w:t>
      </w:r>
      <w:r w:rsidR="04A0D9CE">
        <w:t xml:space="preserve"> deliver increased numbers of foundational engineering and science graduates</w:t>
      </w:r>
      <w:r w:rsidR="26405C72">
        <w:t>.</w:t>
      </w:r>
      <w:r w:rsidR="45A11770">
        <w:t xml:space="preserve"> </w:t>
      </w:r>
    </w:p>
    <w:p w14:paraId="1A1C5482" w14:textId="2905AFE9" w:rsidR="00B14571" w:rsidRPr="0081566C" w:rsidRDefault="45A11770" w:rsidP="35533698">
      <w:pPr>
        <w:pStyle w:val="ListParagraph"/>
        <w:numPr>
          <w:ilvl w:val="0"/>
          <w:numId w:val="24"/>
        </w:numPr>
        <w:spacing w:after="0" w:line="276" w:lineRule="auto"/>
        <w:ind w:left="567" w:hanging="283"/>
      </w:pPr>
      <w:r>
        <w:t xml:space="preserve">Student </w:t>
      </w:r>
      <w:r w:rsidR="0F2A92F4">
        <w:t>s</w:t>
      </w:r>
      <w:r>
        <w:t>upport and equity</w:t>
      </w:r>
      <w:r w:rsidR="663FCB1C">
        <w:t xml:space="preserve"> p</w:t>
      </w:r>
      <w:r>
        <w:t>olicies and programs in place to attract</w:t>
      </w:r>
      <w:r w:rsidR="5C72EF5D">
        <w:t>,</w:t>
      </w:r>
      <w:r>
        <w:t xml:space="preserve"> </w:t>
      </w:r>
      <w:r w:rsidR="5C72EF5D">
        <w:t>r</w:t>
      </w:r>
      <w:r>
        <w:t>etain</w:t>
      </w:r>
      <w:r w:rsidR="5C72EF5D">
        <w:t xml:space="preserve"> </w:t>
      </w:r>
      <w:r w:rsidR="32C44E40">
        <w:t>and</w:t>
      </w:r>
      <w:r>
        <w:t xml:space="preserve"> support students </w:t>
      </w:r>
      <w:r w:rsidR="7F3B0F6B">
        <w:t xml:space="preserve">from under-represented backgrounds </w:t>
      </w:r>
      <w:r>
        <w:t>whilst studying</w:t>
      </w:r>
      <w:r w:rsidR="32C44E40">
        <w:t>,</w:t>
      </w:r>
      <w:r>
        <w:t xml:space="preserve"> including </w:t>
      </w:r>
      <w:r w:rsidR="007D4580">
        <w:t xml:space="preserve">wrap-around services and flexible learning modes, to </w:t>
      </w:r>
      <w:r>
        <w:t>improv</w:t>
      </w:r>
      <w:r w:rsidR="007D4580">
        <w:t>e</w:t>
      </w:r>
      <w:r>
        <w:t xml:space="preserve"> academic participation and </w:t>
      </w:r>
      <w:r w:rsidR="2770D052">
        <w:t xml:space="preserve">student </w:t>
      </w:r>
      <w:r>
        <w:t>success</w:t>
      </w:r>
      <w:r w:rsidR="295FB36B">
        <w:t>.</w:t>
      </w:r>
    </w:p>
    <w:p w14:paraId="51E2C03A" w14:textId="1B81332E" w:rsidR="00000A91" w:rsidRDefault="0BD4A4C3" w:rsidP="00E25227">
      <w:pPr>
        <w:spacing w:before="120"/>
      </w:pPr>
      <w:r>
        <w:t xml:space="preserve">Scores </w:t>
      </w:r>
      <w:r w:rsidR="619D7DD0">
        <w:t xml:space="preserve">will be </w:t>
      </w:r>
      <w:r>
        <w:t>determined</w:t>
      </w:r>
      <w:r w:rsidR="619D7DD0">
        <w:t xml:space="preserve"> based on assessment of written statements and consideration of data collected through CGS estimates and TCSI data collection processes related to </w:t>
      </w:r>
      <w:r w:rsidR="2839D78D">
        <w:t xml:space="preserve">enrolment trends, </w:t>
      </w:r>
      <w:r w:rsidR="619D7DD0">
        <w:t>performance</w:t>
      </w:r>
      <w:r w:rsidR="2839D78D">
        <w:t>,</w:t>
      </w:r>
      <w:r w:rsidR="619D7DD0">
        <w:t xml:space="preserve"> and progress supporting students from </w:t>
      </w:r>
      <w:r w:rsidR="7AF71702">
        <w:t>under</w:t>
      </w:r>
      <w:r w:rsidR="020747CB">
        <w:t>-</w:t>
      </w:r>
      <w:r w:rsidR="7AF71702">
        <w:t>represented</w:t>
      </w:r>
      <w:r w:rsidR="00D47CA8">
        <w:t xml:space="preserve"> and educationally disadvantaged</w:t>
      </w:r>
      <w:r w:rsidR="619D7DD0">
        <w:t xml:space="preserve"> groups</w:t>
      </w:r>
      <w:r w:rsidR="51A49904">
        <w:t xml:space="preserve">, such as </w:t>
      </w:r>
      <w:r w:rsidR="00837508">
        <w:t xml:space="preserve">First Nations people, students from </w:t>
      </w:r>
      <w:r w:rsidR="51A49904">
        <w:t>low SES</w:t>
      </w:r>
      <w:r w:rsidR="00837508">
        <w:t xml:space="preserve"> backgrounds</w:t>
      </w:r>
      <w:r w:rsidR="51A49904">
        <w:t>, regional</w:t>
      </w:r>
      <w:r w:rsidR="00837508">
        <w:t>, rural</w:t>
      </w:r>
      <w:r w:rsidR="51A49904">
        <w:t xml:space="preserve"> and remote</w:t>
      </w:r>
      <w:r w:rsidR="00837508">
        <w:t xml:space="preserve"> students</w:t>
      </w:r>
      <w:r w:rsidR="7533FFD8">
        <w:t>,</w:t>
      </w:r>
      <w:r w:rsidR="51A49904">
        <w:t xml:space="preserve"> people with a disability</w:t>
      </w:r>
      <w:r w:rsidR="00EB1A67">
        <w:t>,</w:t>
      </w:r>
      <w:r w:rsidR="7533FFD8">
        <w:t xml:space="preserve"> first in family to study</w:t>
      </w:r>
      <w:r w:rsidR="00837508">
        <w:t xml:space="preserve"> at university</w:t>
      </w:r>
      <w:r w:rsidR="00EB1A67">
        <w:t>, and women in non-traditional areas</w:t>
      </w:r>
      <w:r w:rsidR="619D7DD0">
        <w:t>.</w:t>
      </w:r>
    </w:p>
    <w:p w14:paraId="78F2FAE7" w14:textId="69EAEF55" w:rsidR="002B1CE5" w:rsidRPr="00D634B8" w:rsidRDefault="69E202B1" w:rsidP="35533698">
      <w:pPr>
        <w:spacing w:after="120"/>
        <w:rPr>
          <w:rFonts w:ascii="Calibri" w:eastAsiaTheme="majorEastAsia" w:hAnsi="Calibri" w:cstheme="majorBidi"/>
          <w:b/>
          <w:bCs/>
          <w:color w:val="002C3F"/>
          <w:sz w:val="24"/>
          <w:szCs w:val="24"/>
        </w:rPr>
      </w:pPr>
      <w:r w:rsidRPr="35533698">
        <w:rPr>
          <w:rFonts w:ascii="Calibri" w:eastAsiaTheme="majorEastAsia" w:hAnsi="Calibri" w:cstheme="majorBidi"/>
          <w:b/>
          <w:bCs/>
          <w:color w:val="002C3F"/>
          <w:sz w:val="24"/>
          <w:szCs w:val="24"/>
        </w:rPr>
        <w:t xml:space="preserve">5.1 </w:t>
      </w:r>
      <w:r w:rsidR="2ED5AB98" w:rsidRPr="35533698">
        <w:rPr>
          <w:rFonts w:ascii="Calibri" w:eastAsiaTheme="majorEastAsia" w:hAnsi="Calibri" w:cstheme="majorBidi"/>
          <w:b/>
          <w:bCs/>
          <w:color w:val="002C3F"/>
          <w:sz w:val="24"/>
          <w:szCs w:val="24"/>
        </w:rPr>
        <w:t>Delivery of places in</w:t>
      </w:r>
      <w:bookmarkEnd w:id="0"/>
      <w:r w:rsidR="2ED5AB98" w:rsidRPr="35533698">
        <w:rPr>
          <w:rFonts w:ascii="Calibri" w:eastAsiaTheme="majorEastAsia" w:hAnsi="Calibri" w:cstheme="majorBidi"/>
          <w:b/>
          <w:bCs/>
          <w:color w:val="002C3F"/>
          <w:sz w:val="24"/>
          <w:szCs w:val="24"/>
        </w:rPr>
        <w:t xml:space="preserve"> </w:t>
      </w:r>
      <w:r w:rsidR="2FE59BAA" w:rsidRPr="35533698">
        <w:rPr>
          <w:rFonts w:ascii="Calibri" w:eastAsiaTheme="majorEastAsia" w:hAnsi="Calibri" w:cstheme="majorBidi"/>
          <w:b/>
          <w:bCs/>
          <w:color w:val="002C3F"/>
          <w:sz w:val="24"/>
          <w:szCs w:val="24"/>
        </w:rPr>
        <w:t>STEM disciplines and areas that support the NPS program</w:t>
      </w:r>
      <w:r w:rsidR="009D2644" w:rsidRPr="009D2644">
        <w:t xml:space="preserve"> </w:t>
      </w:r>
      <w:r w:rsidR="009D2644" w:rsidRPr="009D2644">
        <w:rPr>
          <w:rFonts w:ascii="Calibri" w:eastAsiaTheme="majorEastAsia" w:hAnsi="Calibri" w:cstheme="majorBidi"/>
          <w:b/>
          <w:bCs/>
          <w:color w:val="002C3F"/>
          <w:sz w:val="24"/>
          <w:szCs w:val="24"/>
        </w:rPr>
        <w:t xml:space="preserve">and ASA enterprise workforce </w:t>
      </w:r>
      <w:proofErr w:type="gramStart"/>
      <w:r w:rsidR="009D2644" w:rsidRPr="009D2644">
        <w:rPr>
          <w:rFonts w:ascii="Calibri" w:eastAsiaTheme="majorEastAsia" w:hAnsi="Calibri" w:cstheme="majorBidi"/>
          <w:b/>
          <w:bCs/>
          <w:color w:val="002C3F"/>
          <w:sz w:val="24"/>
          <w:szCs w:val="24"/>
        </w:rPr>
        <w:t>requirements</w:t>
      </w:r>
      <w:proofErr w:type="gramEnd"/>
    </w:p>
    <w:p w14:paraId="51B07ADD" w14:textId="3453FD58" w:rsidR="00B07F5D" w:rsidRDefault="000B12A6" w:rsidP="004242B5">
      <w:bookmarkStart w:id="1" w:name="_Toc30065224"/>
      <w:r>
        <w:t xml:space="preserve">Places will only be allocated to courses which </w:t>
      </w:r>
      <w:r w:rsidR="00575C14">
        <w:t xml:space="preserve">deliver </w:t>
      </w:r>
      <w:r w:rsidR="00FA5048">
        <w:t xml:space="preserve">STEM </w:t>
      </w:r>
      <w:r w:rsidR="00575C14">
        <w:t xml:space="preserve">graduates which will grow Australia’s capabilities in STEM disciplines </w:t>
      </w:r>
      <w:r w:rsidR="00FA5048">
        <w:t xml:space="preserve">that </w:t>
      </w:r>
      <w:r w:rsidR="00575C14">
        <w:t xml:space="preserve">support the </w:t>
      </w:r>
      <w:r w:rsidR="00FA5048">
        <w:t>Australian Submarine Agency enterprise workforce requirements</w:t>
      </w:r>
      <w:r w:rsidR="00575C14">
        <w:t xml:space="preserve">. </w:t>
      </w:r>
      <w:r w:rsidR="00C8769D">
        <w:t>The</w:t>
      </w:r>
      <w:r w:rsidR="00B07F5D">
        <w:t xml:space="preserve"> overall allocation of places will have regard to the span of places across </w:t>
      </w:r>
      <w:r w:rsidR="00C8769D">
        <w:t>study areas</w:t>
      </w:r>
      <w:r w:rsidR="00B07F5D">
        <w:t xml:space="preserve"> outlined below. </w:t>
      </w:r>
    </w:p>
    <w:p w14:paraId="01519EA3" w14:textId="7A14AB50" w:rsidR="00730D92" w:rsidRDefault="00315D55" w:rsidP="35533698">
      <w:pPr>
        <w:spacing w:after="0"/>
      </w:pPr>
      <w:r>
        <w:t>Th</w:t>
      </w:r>
      <w:r w:rsidR="00B07F5D">
        <w:t>e courses eligible for this funding</w:t>
      </w:r>
      <w:r>
        <w:t xml:space="preserve"> include, but </w:t>
      </w:r>
      <w:r w:rsidR="00B07F5D">
        <w:t>are</w:t>
      </w:r>
      <w:r>
        <w:t xml:space="preserve"> not</w:t>
      </w:r>
      <w:r w:rsidR="00896DCD">
        <w:t xml:space="preserve"> necessarily</w:t>
      </w:r>
      <w:r>
        <w:t xml:space="preserve"> limited to, courses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30D92" w14:paraId="418A1505" w14:textId="77777777" w:rsidTr="005C5781">
        <w:tc>
          <w:tcPr>
            <w:tcW w:w="4530" w:type="dxa"/>
          </w:tcPr>
          <w:p w14:paraId="113BA2B3" w14:textId="0F40469B" w:rsidR="00730D92" w:rsidRDefault="00730D92" w:rsidP="00730D92">
            <w:pPr>
              <w:pStyle w:val="ListParagraph"/>
              <w:numPr>
                <w:ilvl w:val="0"/>
                <w:numId w:val="28"/>
              </w:numPr>
              <w:spacing w:after="0" w:line="276" w:lineRule="auto"/>
            </w:pPr>
            <w:bookmarkStart w:id="2" w:name="_Hlk139549715"/>
            <w:r>
              <w:t>Physics</w:t>
            </w:r>
          </w:p>
        </w:tc>
        <w:tc>
          <w:tcPr>
            <w:tcW w:w="4530" w:type="dxa"/>
          </w:tcPr>
          <w:p w14:paraId="37DD581D" w14:textId="1CC54ABE" w:rsidR="00730D92" w:rsidRDefault="00730D92" w:rsidP="00730D92">
            <w:pPr>
              <w:pStyle w:val="ListParagraph"/>
              <w:numPr>
                <w:ilvl w:val="0"/>
                <w:numId w:val="28"/>
              </w:numPr>
              <w:spacing w:after="0" w:line="276" w:lineRule="auto"/>
            </w:pPr>
            <w:r>
              <w:t>Mechanical Engineering</w:t>
            </w:r>
          </w:p>
        </w:tc>
      </w:tr>
      <w:tr w:rsidR="00730D92" w14:paraId="5025C5B0" w14:textId="77777777" w:rsidTr="005C5781">
        <w:tc>
          <w:tcPr>
            <w:tcW w:w="4530" w:type="dxa"/>
          </w:tcPr>
          <w:p w14:paraId="69553B67" w14:textId="22DD9C75" w:rsidR="00730D92" w:rsidRDefault="00730D92" w:rsidP="00730D92">
            <w:pPr>
              <w:pStyle w:val="ListParagraph"/>
              <w:numPr>
                <w:ilvl w:val="0"/>
                <w:numId w:val="28"/>
              </w:numPr>
              <w:spacing w:after="0" w:line="276" w:lineRule="auto"/>
            </w:pPr>
            <w:r>
              <w:t>Chemistry</w:t>
            </w:r>
          </w:p>
        </w:tc>
        <w:tc>
          <w:tcPr>
            <w:tcW w:w="4530" w:type="dxa"/>
          </w:tcPr>
          <w:p w14:paraId="05D4CF6A" w14:textId="4A61849D" w:rsidR="00730D92" w:rsidRDefault="00730D92" w:rsidP="00730D92">
            <w:pPr>
              <w:pStyle w:val="ListParagraph"/>
              <w:numPr>
                <w:ilvl w:val="0"/>
                <w:numId w:val="28"/>
              </w:numPr>
              <w:spacing w:after="0" w:line="276" w:lineRule="auto"/>
            </w:pPr>
            <w:r>
              <w:t>Electrical Engineering</w:t>
            </w:r>
          </w:p>
        </w:tc>
      </w:tr>
      <w:tr w:rsidR="00730D92" w14:paraId="52853F99" w14:textId="77777777" w:rsidTr="005C5781">
        <w:tc>
          <w:tcPr>
            <w:tcW w:w="4530" w:type="dxa"/>
          </w:tcPr>
          <w:p w14:paraId="541DC2E8" w14:textId="02D7E746" w:rsidR="00730D92" w:rsidRDefault="00730D92" w:rsidP="00730D92">
            <w:pPr>
              <w:pStyle w:val="ListParagraph"/>
              <w:numPr>
                <w:ilvl w:val="0"/>
                <w:numId w:val="28"/>
              </w:numPr>
              <w:spacing w:after="0" w:line="276" w:lineRule="auto"/>
            </w:pPr>
            <w:r>
              <w:t>Material Science</w:t>
            </w:r>
          </w:p>
        </w:tc>
        <w:tc>
          <w:tcPr>
            <w:tcW w:w="4530" w:type="dxa"/>
          </w:tcPr>
          <w:p w14:paraId="14CB338C" w14:textId="5867A336" w:rsidR="00730D92" w:rsidRDefault="00730D92" w:rsidP="00730D92">
            <w:pPr>
              <w:pStyle w:val="ListParagraph"/>
              <w:numPr>
                <w:ilvl w:val="0"/>
                <w:numId w:val="28"/>
              </w:numPr>
              <w:spacing w:after="0" w:line="276" w:lineRule="auto"/>
            </w:pPr>
            <w:r>
              <w:t>Chemical Engineering</w:t>
            </w:r>
          </w:p>
        </w:tc>
      </w:tr>
      <w:tr w:rsidR="00730D92" w14:paraId="462B620F" w14:textId="77777777" w:rsidTr="005C5781">
        <w:tc>
          <w:tcPr>
            <w:tcW w:w="4530" w:type="dxa"/>
          </w:tcPr>
          <w:p w14:paraId="5CE5C432" w14:textId="671E6FFF" w:rsidR="00730D92" w:rsidRDefault="00730D92" w:rsidP="00730D92">
            <w:pPr>
              <w:pStyle w:val="ListParagraph"/>
              <w:numPr>
                <w:ilvl w:val="0"/>
                <w:numId w:val="28"/>
              </w:numPr>
              <w:spacing w:after="0" w:line="276" w:lineRule="auto"/>
            </w:pPr>
            <w:r>
              <w:t>Naval Architecture</w:t>
            </w:r>
          </w:p>
        </w:tc>
        <w:tc>
          <w:tcPr>
            <w:tcW w:w="4530" w:type="dxa"/>
          </w:tcPr>
          <w:p w14:paraId="75A4966A" w14:textId="46C4273E" w:rsidR="00730D92" w:rsidRDefault="00730D92" w:rsidP="00730D92">
            <w:pPr>
              <w:pStyle w:val="ListParagraph"/>
              <w:numPr>
                <w:ilvl w:val="0"/>
                <w:numId w:val="28"/>
              </w:numPr>
              <w:spacing w:after="0" w:line="276" w:lineRule="auto"/>
            </w:pPr>
            <w:r>
              <w:t>Nuclear Engineering</w:t>
            </w:r>
          </w:p>
        </w:tc>
      </w:tr>
      <w:tr w:rsidR="00730D92" w14:paraId="003A5CB3" w14:textId="77777777" w:rsidTr="005C5781">
        <w:tc>
          <w:tcPr>
            <w:tcW w:w="4530" w:type="dxa"/>
          </w:tcPr>
          <w:p w14:paraId="095DB58A" w14:textId="182406BA" w:rsidR="00730D92" w:rsidRDefault="00730D92" w:rsidP="00730D92">
            <w:pPr>
              <w:pStyle w:val="ListParagraph"/>
              <w:numPr>
                <w:ilvl w:val="0"/>
                <w:numId w:val="28"/>
              </w:numPr>
              <w:spacing w:after="0" w:line="276" w:lineRule="auto"/>
            </w:pPr>
            <w:r>
              <w:t>Mathematics</w:t>
            </w:r>
          </w:p>
        </w:tc>
        <w:tc>
          <w:tcPr>
            <w:tcW w:w="4530" w:type="dxa"/>
          </w:tcPr>
          <w:p w14:paraId="6B0A2BAC" w14:textId="56FA039E" w:rsidR="00730D92" w:rsidRDefault="00120C89" w:rsidP="005C5781">
            <w:pPr>
              <w:pStyle w:val="ListParagraph"/>
              <w:numPr>
                <w:ilvl w:val="0"/>
                <w:numId w:val="28"/>
              </w:numPr>
              <w:spacing w:after="0"/>
            </w:pPr>
            <w:r>
              <w:t>Nuclear Science</w:t>
            </w:r>
          </w:p>
        </w:tc>
      </w:tr>
      <w:bookmarkEnd w:id="2"/>
    </w:tbl>
    <w:p w14:paraId="27024745" w14:textId="77777777" w:rsidR="00730D92" w:rsidRDefault="00730D92" w:rsidP="35533698">
      <w:pPr>
        <w:spacing w:after="0"/>
      </w:pPr>
    </w:p>
    <w:p w14:paraId="6D78C23F" w14:textId="3FA963A1" w:rsidR="00730D92" w:rsidRDefault="133BABC3" w:rsidP="00730D92">
      <w:pPr>
        <w:spacing w:after="0"/>
      </w:pPr>
      <w:r>
        <w:t xml:space="preserve">South Australian universities </w:t>
      </w:r>
      <w:r w:rsidR="0009610E">
        <w:t>may also</w:t>
      </w:r>
      <w:r w:rsidR="00CC4D95">
        <w:t xml:space="preserve"> apply for places in the following fields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30D92" w14:paraId="255C01FE" w14:textId="77777777" w:rsidTr="00730D92">
        <w:tc>
          <w:tcPr>
            <w:tcW w:w="4530" w:type="dxa"/>
          </w:tcPr>
          <w:p w14:paraId="3218FF7B" w14:textId="181AC670" w:rsidR="00730D92" w:rsidRDefault="00730D92" w:rsidP="00730D92">
            <w:pPr>
              <w:pStyle w:val="ListParagraph"/>
              <w:numPr>
                <w:ilvl w:val="0"/>
                <w:numId w:val="28"/>
              </w:numPr>
              <w:tabs>
                <w:tab w:val="left" w:pos="567"/>
              </w:tabs>
              <w:spacing w:after="0" w:line="276" w:lineRule="auto"/>
            </w:pPr>
            <w:bookmarkStart w:id="3" w:name="_Hlk139549878"/>
            <w:r>
              <w:t>Psychology</w:t>
            </w:r>
          </w:p>
        </w:tc>
        <w:tc>
          <w:tcPr>
            <w:tcW w:w="4530" w:type="dxa"/>
          </w:tcPr>
          <w:p w14:paraId="040DED7A" w14:textId="57FCC9FD" w:rsidR="00730D92" w:rsidRDefault="00730D92" w:rsidP="00730D92">
            <w:pPr>
              <w:pStyle w:val="ListParagraph"/>
              <w:numPr>
                <w:ilvl w:val="0"/>
                <w:numId w:val="28"/>
              </w:numPr>
              <w:tabs>
                <w:tab w:val="left" w:pos="567"/>
              </w:tabs>
              <w:spacing w:after="0" w:line="276" w:lineRule="auto"/>
            </w:pPr>
            <w:r>
              <w:t>Management</w:t>
            </w:r>
          </w:p>
        </w:tc>
      </w:tr>
      <w:tr w:rsidR="00730D92" w14:paraId="798A60B0" w14:textId="77777777" w:rsidTr="00730D92">
        <w:tc>
          <w:tcPr>
            <w:tcW w:w="4530" w:type="dxa"/>
          </w:tcPr>
          <w:p w14:paraId="55C5283E" w14:textId="46698FB3" w:rsidR="00730D92" w:rsidRDefault="00730D92" w:rsidP="00730D92">
            <w:pPr>
              <w:pStyle w:val="ListParagraph"/>
              <w:numPr>
                <w:ilvl w:val="0"/>
                <w:numId w:val="28"/>
              </w:numPr>
              <w:tabs>
                <w:tab w:val="left" w:pos="567"/>
              </w:tabs>
              <w:spacing w:after="0" w:line="276" w:lineRule="auto"/>
            </w:pPr>
            <w:r>
              <w:t>Computer science</w:t>
            </w:r>
          </w:p>
        </w:tc>
        <w:tc>
          <w:tcPr>
            <w:tcW w:w="4530" w:type="dxa"/>
          </w:tcPr>
          <w:p w14:paraId="07A5AA7E" w14:textId="77777777" w:rsidR="00730D92" w:rsidRDefault="00730D92" w:rsidP="00730D92">
            <w:pPr>
              <w:tabs>
                <w:tab w:val="left" w:pos="567"/>
              </w:tabs>
              <w:spacing w:after="0"/>
              <w:ind w:left="360"/>
            </w:pPr>
          </w:p>
        </w:tc>
      </w:tr>
    </w:tbl>
    <w:bookmarkEnd w:id="3"/>
    <w:p w14:paraId="09D0C748" w14:textId="32516509" w:rsidR="000B12A6" w:rsidRDefault="000A3AE1" w:rsidP="35533698">
      <w:pPr>
        <w:tabs>
          <w:tab w:val="left" w:pos="567"/>
        </w:tabs>
        <w:spacing w:after="0"/>
      </w:pPr>
      <w:r>
        <w:br/>
      </w:r>
      <w:r w:rsidR="2ED5AB98">
        <w:t>P</w:t>
      </w:r>
      <w:r w:rsidR="49A8397A">
        <w:t>roviders may nominate courses from areas related to, but not directly</w:t>
      </w:r>
      <w:r w:rsidR="2C4DB09C">
        <w:t xml:space="preserve"> listed above. H</w:t>
      </w:r>
      <w:r w:rsidR="0BD4A4C3">
        <w:t>owever</w:t>
      </w:r>
      <w:r w:rsidR="602C12FB">
        <w:t>, where they do, compelling evidenced based analysis as to how the proposed courses</w:t>
      </w:r>
      <w:r w:rsidR="0BD4A4C3">
        <w:t xml:space="preserve"> support </w:t>
      </w:r>
      <w:r w:rsidR="295FB36B">
        <w:t>ASA objectives</w:t>
      </w:r>
      <w:r w:rsidR="602C12FB">
        <w:t xml:space="preserve"> must be provided. </w:t>
      </w:r>
    </w:p>
    <w:p w14:paraId="1ACB6C69" w14:textId="77777777" w:rsidR="00EB16C6" w:rsidRDefault="00EB16C6" w:rsidP="35533698">
      <w:pPr>
        <w:tabs>
          <w:tab w:val="left" w:pos="567"/>
        </w:tabs>
        <w:spacing w:after="0"/>
      </w:pPr>
    </w:p>
    <w:p w14:paraId="773FC027" w14:textId="5B65C0B0" w:rsidR="00AE7465" w:rsidRDefault="000B12A6" w:rsidP="04511539">
      <w:r>
        <w:lastRenderedPageBreak/>
        <w:t>The application template requires providers to identify proposed courses, requested places</w:t>
      </w:r>
      <w:r w:rsidR="00B87970">
        <w:t>, and</w:t>
      </w:r>
      <w:r>
        <w:t xml:space="preserve"> </w:t>
      </w:r>
      <w:r w:rsidR="005F2673">
        <w:t>provide written statement</w:t>
      </w:r>
      <w:r w:rsidR="00A919BD">
        <w:t>s</w:t>
      </w:r>
      <w:r w:rsidR="005F2673">
        <w:t xml:space="preserve"> of up to </w:t>
      </w:r>
      <w:r w:rsidR="001B0455">
        <w:t>1,0</w:t>
      </w:r>
      <w:r w:rsidR="00952F22">
        <w:t xml:space="preserve">00 </w:t>
      </w:r>
      <w:r w:rsidR="005F2673">
        <w:t xml:space="preserve">words </w:t>
      </w:r>
      <w:r w:rsidR="004B401F">
        <w:t>demonstrating</w:t>
      </w:r>
      <w:r w:rsidR="005F2673">
        <w:t xml:space="preserve"> </w:t>
      </w:r>
      <w:r w:rsidR="00AE7465">
        <w:t xml:space="preserve">how the proposed </w:t>
      </w:r>
      <w:r w:rsidR="00E55B44">
        <w:t xml:space="preserve">courses </w:t>
      </w:r>
      <w:r w:rsidR="00AE7465">
        <w:t xml:space="preserve">will meet the priorities of the NPS future workforce needs and how </w:t>
      </w:r>
      <w:r w:rsidR="00E55B44">
        <w:t xml:space="preserve">the </w:t>
      </w:r>
      <w:r w:rsidR="00AE7465">
        <w:t xml:space="preserve">institution has demonstrable graduate results in the respective fields that will benefit the </w:t>
      </w:r>
      <w:r w:rsidR="00952F22">
        <w:t>ASA.</w:t>
      </w:r>
      <w:r w:rsidR="00AE7465">
        <w:t xml:space="preserve"> </w:t>
      </w:r>
    </w:p>
    <w:p w14:paraId="5930F9C6" w14:textId="7C416525" w:rsidR="000B12A6" w:rsidRDefault="00AE7465" w:rsidP="004242B5">
      <w:r>
        <w:t>Responses should include how these courses represent modern and innovative approaches in their respective field as well as how these courses can be shaped (</w:t>
      </w:r>
      <w:proofErr w:type="gramStart"/>
      <w:r>
        <w:t>i</w:t>
      </w:r>
      <w:r w:rsidR="00273A56">
        <w:t>.</w:t>
      </w:r>
      <w:r>
        <w:t>e</w:t>
      </w:r>
      <w:r w:rsidR="00C8769D">
        <w:t>.</w:t>
      </w:r>
      <w:proofErr w:type="gramEnd"/>
      <w:r>
        <w:t xml:space="preserve"> content, structure and mode of delivery, expertise, exposure to </w:t>
      </w:r>
      <w:r w:rsidR="00273A56">
        <w:t xml:space="preserve">work integrated learning (WIL) </w:t>
      </w:r>
      <w:r>
        <w:t>opportunities etc) to deliver ASA</w:t>
      </w:r>
      <w:r w:rsidR="00730D92">
        <w:noBreakHyphen/>
      </w:r>
      <w:r>
        <w:t xml:space="preserve">specific experiences through </w:t>
      </w:r>
      <w:r w:rsidR="00273A56">
        <w:t>WIL</w:t>
      </w:r>
      <w:r>
        <w:t xml:space="preserve"> and other courseware. </w:t>
      </w:r>
    </w:p>
    <w:tbl>
      <w:tblPr>
        <w:tblStyle w:val="TableGrid"/>
        <w:tblW w:w="0" w:type="auto"/>
        <w:tblLook w:val="04A0" w:firstRow="1" w:lastRow="0" w:firstColumn="1" w:lastColumn="0" w:noHBand="0" w:noVBand="1"/>
      </w:tblPr>
      <w:tblGrid>
        <w:gridCol w:w="1555"/>
        <w:gridCol w:w="7505"/>
      </w:tblGrid>
      <w:tr w:rsidR="000A3AE1" w14:paraId="4C0F6203" w14:textId="77777777" w:rsidTr="35533698">
        <w:tc>
          <w:tcPr>
            <w:tcW w:w="1555" w:type="dxa"/>
          </w:tcPr>
          <w:p w14:paraId="42AE14B9" w14:textId="3645E10D" w:rsidR="000A3AE1" w:rsidRPr="000F05BF" w:rsidRDefault="000A3AE1" w:rsidP="004242B5">
            <w:pPr>
              <w:rPr>
                <w:i/>
                <w:iCs/>
              </w:rPr>
            </w:pPr>
            <w:r w:rsidRPr="000F05BF">
              <w:rPr>
                <w:i/>
                <w:iCs/>
              </w:rPr>
              <w:t>Highly suitable</w:t>
            </w:r>
          </w:p>
        </w:tc>
        <w:tc>
          <w:tcPr>
            <w:tcW w:w="7505" w:type="dxa"/>
          </w:tcPr>
          <w:p w14:paraId="4F560995" w14:textId="779DD7AB" w:rsidR="000A3AE1" w:rsidRDefault="000A3AE1" w:rsidP="000A3AE1">
            <w:r>
              <w:t>Courses are explicitly linked to</w:t>
            </w:r>
            <w:r w:rsidR="004B401F">
              <w:t xml:space="preserve"> the</w:t>
            </w:r>
            <w:r>
              <w:t xml:space="preserve"> </w:t>
            </w:r>
            <w:r w:rsidR="004B401F">
              <w:t xml:space="preserve">identified target study </w:t>
            </w:r>
            <w:r w:rsidR="001541C8">
              <w:t xml:space="preserve">areas </w:t>
            </w:r>
            <w:r w:rsidR="004B401F">
              <w:t>supporting the STEM disciplines</w:t>
            </w:r>
            <w:r w:rsidR="00FA5048">
              <w:t xml:space="preserve"> and ASA enterprise workforce requirements</w:t>
            </w:r>
            <w:r w:rsidR="004B401F">
              <w:t xml:space="preserve">. </w:t>
            </w:r>
          </w:p>
          <w:p w14:paraId="10E6F27C" w14:textId="605FDE4B" w:rsidR="006F25CF" w:rsidRDefault="00273A56" w:rsidP="000A3AE1">
            <w:r>
              <w:t xml:space="preserve">Course design and delivery </w:t>
            </w:r>
            <w:r w:rsidR="006F25CF">
              <w:t xml:space="preserve">based on </w:t>
            </w:r>
            <w:r>
              <w:t>innovative, modern</w:t>
            </w:r>
            <w:r w:rsidR="006F25CF">
              <w:t xml:space="preserve"> approaches that are grounded in strong research and academic performance. </w:t>
            </w:r>
          </w:p>
          <w:p w14:paraId="0B52C6A9" w14:textId="1109AD8A" w:rsidR="00273A56" w:rsidRDefault="006F25CF" w:rsidP="000A3AE1">
            <w:r>
              <w:t xml:space="preserve">Courses and institutions </w:t>
            </w:r>
            <w:r w:rsidR="00273A56">
              <w:t>integrate the delivery</w:t>
            </w:r>
            <w:r>
              <w:t xml:space="preserve"> of</w:t>
            </w:r>
            <w:r w:rsidR="00273A56">
              <w:t xml:space="preserve"> ASA specific</w:t>
            </w:r>
            <w:r w:rsidR="00952F22">
              <w:t xml:space="preserve"> WIL opportunities.</w:t>
            </w:r>
          </w:p>
          <w:p w14:paraId="2B5DE463" w14:textId="23C177DC" w:rsidR="000A3AE1" w:rsidRDefault="39A3FB74" w:rsidP="00D634B8">
            <w:r>
              <w:t>W</w:t>
            </w:r>
            <w:r w:rsidR="79E40607">
              <w:t>r</w:t>
            </w:r>
            <w:r>
              <w:t xml:space="preserve">itten statement provides strong claims to demonstrate courses </w:t>
            </w:r>
            <w:r w:rsidR="0AA55591">
              <w:t xml:space="preserve">will directly benefit the Nuclear-Powered Submarine (NPS) Program initiatives, </w:t>
            </w:r>
            <w:proofErr w:type="gramStart"/>
            <w:r w:rsidR="0AA55591">
              <w:t>industry</w:t>
            </w:r>
            <w:proofErr w:type="gramEnd"/>
            <w:r w:rsidR="0AA55591">
              <w:t xml:space="preserve"> and the economy</w:t>
            </w:r>
            <w:r>
              <w:t>.</w:t>
            </w:r>
          </w:p>
        </w:tc>
      </w:tr>
      <w:tr w:rsidR="000A3AE1" w14:paraId="6CCC732C" w14:textId="77777777" w:rsidTr="35533698">
        <w:tc>
          <w:tcPr>
            <w:tcW w:w="1555" w:type="dxa"/>
            <w:shd w:val="clear" w:color="auto" w:fill="auto"/>
          </w:tcPr>
          <w:p w14:paraId="052FE1D6" w14:textId="1E4604FD" w:rsidR="000A3AE1" w:rsidRPr="000F05BF" w:rsidRDefault="000A3AE1" w:rsidP="004242B5">
            <w:pPr>
              <w:rPr>
                <w:i/>
                <w:iCs/>
              </w:rPr>
            </w:pPr>
            <w:r w:rsidRPr="000F05BF">
              <w:rPr>
                <w:i/>
                <w:iCs/>
              </w:rPr>
              <w:t>Suitable</w:t>
            </w:r>
          </w:p>
        </w:tc>
        <w:tc>
          <w:tcPr>
            <w:tcW w:w="7505" w:type="dxa"/>
            <w:shd w:val="clear" w:color="auto" w:fill="auto"/>
          </w:tcPr>
          <w:p w14:paraId="08803296" w14:textId="36108E90" w:rsidR="00952F22" w:rsidRPr="0081130D" w:rsidRDefault="1FE5FA77" w:rsidP="001541C8">
            <w:r>
              <w:t xml:space="preserve">Courses are explicitly linked to </w:t>
            </w:r>
            <w:r w:rsidR="2C4DB09C">
              <w:t xml:space="preserve">STEM disciplines and support the </w:t>
            </w:r>
            <w:r w:rsidR="00FA5048" w:rsidRPr="00FA5048">
              <w:t>ASA enterprise workforce requirements</w:t>
            </w:r>
            <w:r w:rsidR="2C4DB09C">
              <w:t>.</w:t>
            </w:r>
          </w:p>
          <w:p w14:paraId="6C0EED54" w14:textId="173FB585" w:rsidR="00952F22" w:rsidRDefault="00952F22" w:rsidP="00952F22">
            <w:r>
              <w:t xml:space="preserve">Course design and delivery are modern and </w:t>
            </w:r>
            <w:proofErr w:type="gramStart"/>
            <w:r>
              <w:t>are able to</w:t>
            </w:r>
            <w:proofErr w:type="gramEnd"/>
            <w:r>
              <w:t xml:space="preserve"> integrate the delivery of relevant WIL opportunities.</w:t>
            </w:r>
          </w:p>
          <w:p w14:paraId="18F792EE" w14:textId="299ABAAF" w:rsidR="000A3AE1" w:rsidRPr="0081130D" w:rsidRDefault="001541C8" w:rsidP="04511539">
            <w:r>
              <w:t>W</w:t>
            </w:r>
            <w:r w:rsidR="705D46B4">
              <w:t>r</w:t>
            </w:r>
            <w:r>
              <w:t xml:space="preserve">itten statement provides claims to </w:t>
            </w:r>
            <w:r w:rsidR="00880402">
              <w:t xml:space="preserve">demonstrate </w:t>
            </w:r>
            <w:r w:rsidR="004B401F">
              <w:t xml:space="preserve">courses will benefit the national STEM capabilities, </w:t>
            </w:r>
            <w:proofErr w:type="gramStart"/>
            <w:r w:rsidR="004B401F">
              <w:t>industry</w:t>
            </w:r>
            <w:proofErr w:type="gramEnd"/>
            <w:r w:rsidR="004B401F">
              <w:t xml:space="preserve"> and the economy.</w:t>
            </w:r>
          </w:p>
        </w:tc>
      </w:tr>
      <w:tr w:rsidR="000A3AE1" w14:paraId="00E5C1C8" w14:textId="77777777" w:rsidTr="35533698">
        <w:tc>
          <w:tcPr>
            <w:tcW w:w="1555" w:type="dxa"/>
          </w:tcPr>
          <w:p w14:paraId="7A6B6075" w14:textId="7C8D87D7" w:rsidR="000A3AE1" w:rsidRPr="000F05BF" w:rsidRDefault="000A3AE1" w:rsidP="004242B5">
            <w:pPr>
              <w:rPr>
                <w:i/>
                <w:iCs/>
              </w:rPr>
            </w:pPr>
            <w:r w:rsidRPr="000F05BF">
              <w:rPr>
                <w:i/>
                <w:iCs/>
              </w:rPr>
              <w:t>Not suitable</w:t>
            </w:r>
          </w:p>
        </w:tc>
        <w:tc>
          <w:tcPr>
            <w:tcW w:w="7505" w:type="dxa"/>
          </w:tcPr>
          <w:p w14:paraId="628E394F" w14:textId="343A062D" w:rsidR="001541C8" w:rsidRDefault="001541C8" w:rsidP="004242B5">
            <w:r>
              <w:t xml:space="preserve">Courses are not in </w:t>
            </w:r>
            <w:r w:rsidR="00880402">
              <w:t xml:space="preserve">STEM disciplines and do support the </w:t>
            </w:r>
            <w:r w:rsidR="00FA5048" w:rsidRPr="00FA5048">
              <w:t>ASA enterprise workforce requirements</w:t>
            </w:r>
            <w:r>
              <w:t>.</w:t>
            </w:r>
          </w:p>
          <w:p w14:paraId="046063EA" w14:textId="299ABAAF" w:rsidR="000A3AE1" w:rsidRDefault="001541C8" w:rsidP="04511539">
            <w:r>
              <w:t xml:space="preserve">No written </w:t>
            </w:r>
            <w:r w:rsidR="00D634B8">
              <w:t>statement</w:t>
            </w:r>
            <w:r>
              <w:t xml:space="preserve"> provided. </w:t>
            </w:r>
          </w:p>
        </w:tc>
      </w:tr>
    </w:tbl>
    <w:p w14:paraId="22EB97C1" w14:textId="4C1A052E" w:rsidR="00AE7465" w:rsidRPr="005A6A27" w:rsidRDefault="004B401F" w:rsidP="00AE7465">
      <w:pPr>
        <w:spacing w:after="120"/>
        <w:rPr>
          <w:sz w:val="24"/>
          <w:szCs w:val="24"/>
        </w:rPr>
      </w:pPr>
      <w:r>
        <w:br/>
      </w:r>
      <w:r w:rsidR="2D0626A1" w:rsidRPr="35533698">
        <w:rPr>
          <w:rFonts w:ascii="Calibri" w:eastAsiaTheme="majorEastAsia" w:hAnsi="Calibri" w:cstheme="majorBidi"/>
          <w:b/>
          <w:bCs/>
          <w:color w:val="002C3F"/>
          <w:sz w:val="24"/>
          <w:szCs w:val="24"/>
        </w:rPr>
        <w:t xml:space="preserve">5.2 </w:t>
      </w:r>
      <w:r w:rsidR="32F8465F" w:rsidRPr="35533698">
        <w:rPr>
          <w:rFonts w:ascii="Calibri" w:eastAsiaTheme="majorEastAsia" w:hAnsi="Calibri" w:cstheme="majorBidi"/>
          <w:b/>
          <w:bCs/>
          <w:color w:val="002C3F"/>
          <w:sz w:val="24"/>
          <w:szCs w:val="24"/>
        </w:rPr>
        <w:t>Evidence-based</w:t>
      </w:r>
      <w:r w:rsidR="295FB36B" w:rsidRPr="35533698">
        <w:rPr>
          <w:rFonts w:ascii="Calibri" w:eastAsiaTheme="majorEastAsia" w:hAnsi="Calibri" w:cstheme="majorBidi"/>
          <w:b/>
          <w:bCs/>
          <w:color w:val="002C3F"/>
          <w:sz w:val="24"/>
          <w:szCs w:val="24"/>
        </w:rPr>
        <w:t xml:space="preserve"> strategies for maximising student academic success as well as graduate success rates for specific course fields</w:t>
      </w:r>
    </w:p>
    <w:p w14:paraId="432996B0" w14:textId="699DF44E" w:rsidR="00AE7465" w:rsidRDefault="2D0626A1" w:rsidP="00AE7465">
      <w:r>
        <w:t xml:space="preserve">Places will be allocated to providers </w:t>
      </w:r>
      <w:r w:rsidR="2BCA4953">
        <w:t>that</w:t>
      </w:r>
      <w:r>
        <w:t xml:space="preserve"> </w:t>
      </w:r>
      <w:r w:rsidR="5B229D54">
        <w:t xml:space="preserve">can </w:t>
      </w:r>
      <w:r>
        <w:t xml:space="preserve">demonstrate </w:t>
      </w:r>
      <w:r w:rsidR="2C81AB5B">
        <w:t>a strong level of support for</w:t>
      </w:r>
      <w:r w:rsidR="697533AD">
        <w:t xml:space="preserve"> </w:t>
      </w:r>
      <w:r w:rsidR="6668AE1F">
        <w:t>proposed</w:t>
      </w:r>
      <w:r w:rsidR="6B0C8709">
        <w:t xml:space="preserve"> </w:t>
      </w:r>
      <w:r w:rsidR="2C81AB5B">
        <w:t>courses and det</w:t>
      </w:r>
      <w:r w:rsidR="2C2BCC32">
        <w:t>ail</w:t>
      </w:r>
      <w:r w:rsidR="266D809F">
        <w:t xml:space="preserve"> strategies </w:t>
      </w:r>
      <w:r w:rsidR="007D4580">
        <w:t xml:space="preserve">and timelines </w:t>
      </w:r>
      <w:r w:rsidR="266D809F">
        <w:t>for</w:t>
      </w:r>
      <w:r w:rsidR="2C2BCC32">
        <w:t xml:space="preserve"> how additional funding</w:t>
      </w:r>
      <w:r w:rsidR="5919E399">
        <w:t xml:space="preserve"> will be used</w:t>
      </w:r>
      <w:r w:rsidR="2C2BCC32">
        <w:t xml:space="preserve"> </w:t>
      </w:r>
      <w:r w:rsidR="72255B20">
        <w:t>to</w:t>
      </w:r>
      <w:r w:rsidR="2C2BCC32">
        <w:t xml:space="preserve"> enhance teaching and engagement in </w:t>
      </w:r>
      <w:r w:rsidR="00A132E5">
        <w:t>ASA</w:t>
      </w:r>
      <w:r w:rsidR="2C2BCC32">
        <w:t xml:space="preserve"> and wider AUKUS related priority areas</w:t>
      </w:r>
      <w:r w:rsidR="0A376FFA">
        <w:t xml:space="preserve"> to maximise student success</w:t>
      </w:r>
      <w:r w:rsidR="2C2BCC32">
        <w:t>.</w:t>
      </w:r>
      <w:r w:rsidR="01DBBE76">
        <w:t xml:space="preserve"> </w:t>
      </w:r>
    </w:p>
    <w:p w14:paraId="2D86B408" w14:textId="73D08059" w:rsidR="00AE7465" w:rsidRDefault="44289A67" w:rsidP="35533698">
      <w:r>
        <w:t xml:space="preserve">Providers should outline </w:t>
      </w:r>
      <w:r w:rsidR="4A6D2A0E">
        <w:t xml:space="preserve">their </w:t>
      </w:r>
      <w:r>
        <w:t>planned investments</w:t>
      </w:r>
      <w:r w:rsidR="130CD647">
        <w:t xml:space="preserve"> to engage </w:t>
      </w:r>
      <w:r>
        <w:t xml:space="preserve">quality teachers who can </w:t>
      </w:r>
      <w:r w:rsidR="40B0BC60">
        <w:t>inspire students</w:t>
      </w:r>
      <w:r w:rsidR="5C7B946B">
        <w:t xml:space="preserve"> to succeed</w:t>
      </w:r>
      <w:r w:rsidR="19599932">
        <w:t xml:space="preserve"> </w:t>
      </w:r>
      <w:r w:rsidR="28AE6049">
        <w:t xml:space="preserve">in these courses </w:t>
      </w:r>
      <w:r>
        <w:t>and</w:t>
      </w:r>
      <w:r w:rsidR="4399CFA5">
        <w:t xml:space="preserve"> </w:t>
      </w:r>
      <w:r w:rsidR="6DE4EB93">
        <w:t xml:space="preserve">to </w:t>
      </w:r>
      <w:r w:rsidR="5E4E624C">
        <w:t xml:space="preserve">utilise </w:t>
      </w:r>
      <w:r w:rsidR="4399CFA5">
        <w:t>evidence-based</w:t>
      </w:r>
      <w:r>
        <w:t xml:space="preserve"> resources that are constantly informed by new developments in educational practice and research.</w:t>
      </w:r>
      <w:r w:rsidR="6C15C742">
        <w:t xml:space="preserve"> Applicants </w:t>
      </w:r>
      <w:r w:rsidR="5FD1827D">
        <w:t>shoul</w:t>
      </w:r>
      <w:r w:rsidR="2C38BC07">
        <w:t xml:space="preserve">d </w:t>
      </w:r>
      <w:r w:rsidR="6C15C742">
        <w:t>provide details on graduate outcomes</w:t>
      </w:r>
      <w:r w:rsidR="3E27AE39">
        <w:t xml:space="preserve"> </w:t>
      </w:r>
      <w:r w:rsidR="03CA6800">
        <w:t xml:space="preserve">and professional body linkages </w:t>
      </w:r>
      <w:r w:rsidR="487A31DE">
        <w:t>to demonstrate prior commitment to student success in these study areas.</w:t>
      </w:r>
    </w:p>
    <w:tbl>
      <w:tblPr>
        <w:tblStyle w:val="TableGrid"/>
        <w:tblW w:w="0" w:type="auto"/>
        <w:tblLook w:val="04A0" w:firstRow="1" w:lastRow="0" w:firstColumn="1" w:lastColumn="0" w:noHBand="0" w:noVBand="1"/>
      </w:tblPr>
      <w:tblGrid>
        <w:gridCol w:w="1838"/>
        <w:gridCol w:w="7222"/>
      </w:tblGrid>
      <w:tr w:rsidR="00AE7465" w14:paraId="383758B7" w14:textId="77777777" w:rsidTr="35533698">
        <w:trPr>
          <w:trHeight w:val="300"/>
        </w:trPr>
        <w:tc>
          <w:tcPr>
            <w:tcW w:w="1838" w:type="dxa"/>
          </w:tcPr>
          <w:p w14:paraId="01011497" w14:textId="77777777" w:rsidR="00AE7465" w:rsidRPr="000F05BF" w:rsidRDefault="00AE7465" w:rsidP="04511539">
            <w:pPr>
              <w:rPr>
                <w:i/>
                <w:iCs/>
              </w:rPr>
            </w:pPr>
            <w:r w:rsidRPr="04511539">
              <w:rPr>
                <w:i/>
                <w:iCs/>
              </w:rPr>
              <w:lastRenderedPageBreak/>
              <w:t>Highly suitable</w:t>
            </w:r>
          </w:p>
        </w:tc>
        <w:tc>
          <w:tcPr>
            <w:tcW w:w="7222" w:type="dxa"/>
          </w:tcPr>
          <w:p w14:paraId="47EAEA12" w14:textId="6BB24267" w:rsidR="00AE7465" w:rsidRDefault="015D84B6" w:rsidP="008E4A0A">
            <w:r>
              <w:t xml:space="preserve">Written statement provides strong claims </w:t>
            </w:r>
            <w:r w:rsidR="09BEC83D">
              <w:t>of</w:t>
            </w:r>
            <w:r>
              <w:t xml:space="preserve"> </w:t>
            </w:r>
            <w:r w:rsidR="2474C6D2">
              <w:t xml:space="preserve">the </w:t>
            </w:r>
            <w:r w:rsidR="15468CEC">
              <w:t xml:space="preserve">provider’s commitment to enhancing </w:t>
            </w:r>
            <w:r w:rsidR="5B9A758B">
              <w:t xml:space="preserve">teaching and </w:t>
            </w:r>
            <w:r w:rsidR="3C8CF4E6">
              <w:t xml:space="preserve">engagement in </w:t>
            </w:r>
            <w:r w:rsidR="00A132E5">
              <w:t>ASA</w:t>
            </w:r>
            <w:r w:rsidR="3C8CF4E6">
              <w:t xml:space="preserve"> and wider AUKUS related study areas</w:t>
            </w:r>
            <w:r w:rsidR="7FCC07E0">
              <w:t xml:space="preserve"> to maximise student success</w:t>
            </w:r>
            <w:r w:rsidR="5370C618">
              <w:t xml:space="preserve">. </w:t>
            </w:r>
          </w:p>
          <w:p w14:paraId="217FA05A" w14:textId="23421F8F" w:rsidR="00AE7465" w:rsidRDefault="4C4E32FD" w:rsidP="008E4A0A">
            <w:r>
              <w:t xml:space="preserve">Provider </w:t>
            </w:r>
            <w:r w:rsidR="5370C618">
              <w:t xml:space="preserve">details investments that will be made </w:t>
            </w:r>
            <w:r w:rsidR="7CDE080F">
              <w:t xml:space="preserve">to provide </w:t>
            </w:r>
            <w:r w:rsidR="225F7115">
              <w:t>specialised teaching staff and high-quality learning resources</w:t>
            </w:r>
            <w:r w:rsidR="7B34CFB0">
              <w:t xml:space="preserve"> in these courses</w:t>
            </w:r>
            <w:r w:rsidR="225F7115">
              <w:t xml:space="preserve">. Provider outlines </w:t>
            </w:r>
            <w:r w:rsidR="3D2D5083">
              <w:t>evidence</w:t>
            </w:r>
            <w:r w:rsidR="55DB7B98">
              <w:t xml:space="preserve"> of </w:t>
            </w:r>
            <w:r w:rsidR="2B371865">
              <w:t xml:space="preserve">strong historical </w:t>
            </w:r>
            <w:r w:rsidR="55DB7B98">
              <w:t>graduate outcomes and student success.</w:t>
            </w:r>
          </w:p>
        </w:tc>
      </w:tr>
      <w:tr w:rsidR="00AE7465" w14:paraId="615AF1DB" w14:textId="77777777" w:rsidTr="35533698">
        <w:trPr>
          <w:trHeight w:val="300"/>
        </w:trPr>
        <w:tc>
          <w:tcPr>
            <w:tcW w:w="1838" w:type="dxa"/>
          </w:tcPr>
          <w:p w14:paraId="3E53366A" w14:textId="77777777" w:rsidR="00AE7465" w:rsidRPr="000F05BF" w:rsidRDefault="00AE7465" w:rsidP="04511539">
            <w:pPr>
              <w:rPr>
                <w:i/>
                <w:iCs/>
              </w:rPr>
            </w:pPr>
            <w:r w:rsidRPr="04511539">
              <w:rPr>
                <w:i/>
                <w:iCs/>
              </w:rPr>
              <w:t>Suitable</w:t>
            </w:r>
          </w:p>
        </w:tc>
        <w:tc>
          <w:tcPr>
            <w:tcW w:w="7222" w:type="dxa"/>
          </w:tcPr>
          <w:p w14:paraId="497DE583" w14:textId="30AA631A" w:rsidR="00AE7465" w:rsidRDefault="1C1A1C3F" w:rsidP="008E4A0A">
            <w:r>
              <w:t xml:space="preserve">Written statement provides claims of the plans to enhance teaching and engagement in </w:t>
            </w:r>
            <w:r w:rsidR="00A132E5">
              <w:t xml:space="preserve">ASA </w:t>
            </w:r>
            <w:r>
              <w:t xml:space="preserve">and wider AUKUS related study areas.  </w:t>
            </w:r>
          </w:p>
          <w:p w14:paraId="195B5F12" w14:textId="09D91E05" w:rsidR="00AE7465" w:rsidRDefault="1C1A1C3F" w:rsidP="35533698">
            <w:r>
              <w:t xml:space="preserve">Provider details investments that will be made to provide </w:t>
            </w:r>
            <w:r w:rsidR="77BCA790">
              <w:t xml:space="preserve">additional </w:t>
            </w:r>
            <w:r>
              <w:t>teaching staff or learning resources</w:t>
            </w:r>
            <w:r w:rsidR="25AE2BB0">
              <w:t xml:space="preserve"> in these courses</w:t>
            </w:r>
            <w:r>
              <w:t>.</w:t>
            </w:r>
            <w:r w:rsidR="214AD4C0">
              <w:t xml:space="preserve"> Provider outlines evidence of g</w:t>
            </w:r>
            <w:r w:rsidR="35533698">
              <w:t>r</w:t>
            </w:r>
            <w:r w:rsidR="214AD4C0">
              <w:t>aduate outcomes and student success.</w:t>
            </w:r>
          </w:p>
        </w:tc>
      </w:tr>
      <w:tr w:rsidR="00AE7465" w14:paraId="0677E0AF" w14:textId="77777777" w:rsidTr="35533698">
        <w:trPr>
          <w:trHeight w:val="300"/>
        </w:trPr>
        <w:tc>
          <w:tcPr>
            <w:tcW w:w="1838" w:type="dxa"/>
          </w:tcPr>
          <w:p w14:paraId="78FD40DD" w14:textId="77777777" w:rsidR="00AE7465" w:rsidRPr="000F05BF" w:rsidRDefault="00AE7465" w:rsidP="04511539">
            <w:pPr>
              <w:rPr>
                <w:i/>
                <w:iCs/>
              </w:rPr>
            </w:pPr>
            <w:r w:rsidRPr="04511539">
              <w:rPr>
                <w:i/>
                <w:iCs/>
              </w:rPr>
              <w:t>Not suitable</w:t>
            </w:r>
          </w:p>
        </w:tc>
        <w:tc>
          <w:tcPr>
            <w:tcW w:w="7222" w:type="dxa"/>
          </w:tcPr>
          <w:p w14:paraId="26AE441D" w14:textId="349363B4" w:rsidR="00AE7465" w:rsidRDefault="2AB5DE00" w:rsidP="008E4A0A">
            <w:r>
              <w:t xml:space="preserve">No written statement provided.   </w:t>
            </w:r>
          </w:p>
        </w:tc>
      </w:tr>
    </w:tbl>
    <w:p w14:paraId="3FF34C60" w14:textId="77777777" w:rsidR="00AE7465" w:rsidRDefault="00AE7465" w:rsidP="00AE7465">
      <w:pPr>
        <w:pStyle w:val="Heading2"/>
        <w:spacing w:before="0"/>
        <w:ind w:left="357"/>
        <w:rPr>
          <w:color w:val="002D3F"/>
          <w:sz w:val="32"/>
          <w:szCs w:val="32"/>
        </w:rPr>
      </w:pPr>
    </w:p>
    <w:p w14:paraId="5EF58DEB" w14:textId="3B533238" w:rsidR="000A3AE1" w:rsidRDefault="69E202B1" w:rsidP="04511539">
      <w:pPr>
        <w:spacing w:after="120"/>
        <w:rPr>
          <w:rFonts w:ascii="Calibri" w:eastAsiaTheme="majorEastAsia" w:hAnsi="Calibri" w:cstheme="majorBidi"/>
          <w:b/>
          <w:bCs/>
          <w:color w:val="002D3F"/>
          <w:sz w:val="24"/>
          <w:szCs w:val="24"/>
        </w:rPr>
      </w:pPr>
      <w:r w:rsidRPr="35533698">
        <w:rPr>
          <w:rFonts w:ascii="Calibri" w:eastAsiaTheme="majorEastAsia" w:hAnsi="Calibri" w:cstheme="majorBidi"/>
          <w:b/>
          <w:bCs/>
          <w:color w:val="002C3F"/>
          <w:sz w:val="24"/>
          <w:szCs w:val="24"/>
        </w:rPr>
        <w:t>5.</w:t>
      </w:r>
      <w:r w:rsidR="2D0626A1" w:rsidRPr="35533698">
        <w:rPr>
          <w:rFonts w:ascii="Calibri" w:eastAsiaTheme="majorEastAsia" w:hAnsi="Calibri" w:cstheme="majorBidi"/>
          <w:b/>
          <w:bCs/>
          <w:color w:val="002C3F"/>
          <w:sz w:val="24"/>
          <w:szCs w:val="24"/>
        </w:rPr>
        <w:t xml:space="preserve">3 </w:t>
      </w:r>
      <w:r w:rsidR="295FB36B" w:rsidRPr="35533698">
        <w:rPr>
          <w:rFonts w:ascii="Calibri" w:eastAsiaTheme="majorEastAsia" w:hAnsi="Calibri" w:cstheme="majorBidi"/>
          <w:b/>
          <w:bCs/>
          <w:color w:val="002C3F"/>
          <w:sz w:val="24"/>
          <w:szCs w:val="24"/>
        </w:rPr>
        <w:t xml:space="preserve">Membership and adherence to </w:t>
      </w:r>
      <w:r w:rsidR="00AF4B86">
        <w:rPr>
          <w:rFonts w:ascii="Calibri" w:eastAsiaTheme="majorEastAsia" w:hAnsi="Calibri" w:cstheme="majorBidi"/>
          <w:b/>
          <w:bCs/>
          <w:color w:val="002C3F"/>
          <w:sz w:val="24"/>
          <w:szCs w:val="24"/>
        </w:rPr>
        <w:t>Defence Industry Security Program (DISP)</w:t>
      </w:r>
    </w:p>
    <w:p w14:paraId="0A9A4660" w14:textId="62E86C68" w:rsidR="61F6F547" w:rsidRPr="00B81AC8" w:rsidRDefault="48CE81B4" w:rsidP="35533698">
      <w:r>
        <w:t xml:space="preserve">Applicants </w:t>
      </w:r>
      <w:r w:rsidR="4692FDB2">
        <w:t>must</w:t>
      </w:r>
      <w:r>
        <w:t xml:space="preserve"> demonstrate their membership and adherence to </w:t>
      </w:r>
      <w:r w:rsidR="2697252D">
        <w:t>the</w:t>
      </w:r>
      <w:r w:rsidR="00AF4B86" w:rsidRPr="00AF4B86">
        <w:rPr>
          <w:rFonts w:ascii="Calibri" w:eastAsiaTheme="majorEastAsia" w:hAnsi="Calibri" w:cstheme="majorBidi"/>
          <w:b/>
          <w:bCs/>
          <w:color w:val="002C3F"/>
          <w:sz w:val="24"/>
          <w:szCs w:val="24"/>
        </w:rPr>
        <w:t xml:space="preserve"> </w:t>
      </w:r>
      <w:r w:rsidR="00AF4B86" w:rsidRPr="00AF4B86">
        <w:rPr>
          <w:b/>
          <w:bCs/>
        </w:rPr>
        <w:t>Defence Industry Security Program (DISP)</w:t>
      </w:r>
      <w:r>
        <w:t xml:space="preserve">. </w:t>
      </w:r>
      <w:r w:rsidR="03B07E90">
        <w:t xml:space="preserve">The enhanced security arrangements </w:t>
      </w:r>
      <w:r w:rsidR="00AF4B86">
        <w:t>to demonstrate capability</w:t>
      </w:r>
      <w:r w:rsidR="03B07E90">
        <w:t xml:space="preserve"> to safeguard sensitive research, </w:t>
      </w:r>
      <w:proofErr w:type="gramStart"/>
      <w:r w:rsidR="03B07E90">
        <w:t>technologies</w:t>
      </w:r>
      <w:proofErr w:type="gramEnd"/>
      <w:r w:rsidR="03B07E90">
        <w:t xml:space="preserve"> and capabilities early in the research and innovation cycles.</w:t>
      </w:r>
      <w:r>
        <w:t xml:space="preserve"> </w:t>
      </w:r>
      <w:r w:rsidR="619D7DD0">
        <w:t xml:space="preserve"> </w:t>
      </w:r>
    </w:p>
    <w:tbl>
      <w:tblPr>
        <w:tblStyle w:val="TableGrid"/>
        <w:tblW w:w="0" w:type="auto"/>
        <w:tblLook w:val="04A0" w:firstRow="1" w:lastRow="0" w:firstColumn="1" w:lastColumn="0" w:noHBand="0" w:noVBand="1"/>
      </w:tblPr>
      <w:tblGrid>
        <w:gridCol w:w="1838"/>
        <w:gridCol w:w="7222"/>
      </w:tblGrid>
      <w:tr w:rsidR="00DA1274" w14:paraId="03053F20" w14:textId="77777777" w:rsidTr="35533698">
        <w:tc>
          <w:tcPr>
            <w:tcW w:w="1838" w:type="dxa"/>
          </w:tcPr>
          <w:p w14:paraId="78E805BB" w14:textId="2D215E24" w:rsidR="00DA1274" w:rsidRPr="000F05BF" w:rsidRDefault="00DA1274" w:rsidP="004242B5">
            <w:pPr>
              <w:rPr>
                <w:i/>
                <w:iCs/>
              </w:rPr>
            </w:pPr>
            <w:r>
              <w:rPr>
                <w:i/>
                <w:iCs/>
              </w:rPr>
              <w:t>Highly Suitable</w:t>
            </w:r>
          </w:p>
        </w:tc>
        <w:tc>
          <w:tcPr>
            <w:tcW w:w="7222" w:type="dxa"/>
          </w:tcPr>
          <w:p w14:paraId="7830CBBE" w14:textId="1C428E36" w:rsidR="00DA1274" w:rsidRDefault="00DA1274" w:rsidP="000B449A">
            <w:r>
              <w:t>Applicant has demonstrated achievement of DISP Level 2 performance.</w:t>
            </w:r>
          </w:p>
        </w:tc>
      </w:tr>
      <w:tr w:rsidR="001541C8" w14:paraId="6B12E44B" w14:textId="77777777" w:rsidTr="35533698">
        <w:tc>
          <w:tcPr>
            <w:tcW w:w="1838" w:type="dxa"/>
          </w:tcPr>
          <w:p w14:paraId="1EC06C4B" w14:textId="77777777" w:rsidR="001541C8" w:rsidRPr="000F05BF" w:rsidRDefault="001541C8" w:rsidP="004242B5">
            <w:pPr>
              <w:rPr>
                <w:i/>
                <w:iCs/>
              </w:rPr>
            </w:pPr>
            <w:r w:rsidRPr="000F05BF">
              <w:rPr>
                <w:i/>
                <w:iCs/>
              </w:rPr>
              <w:t>Suitable</w:t>
            </w:r>
          </w:p>
        </w:tc>
        <w:tc>
          <w:tcPr>
            <w:tcW w:w="7222" w:type="dxa"/>
          </w:tcPr>
          <w:p w14:paraId="4C762269" w14:textId="14722E12" w:rsidR="001541C8" w:rsidRDefault="3D3C77A6" w:rsidP="000B449A">
            <w:r>
              <w:t xml:space="preserve">Applicant has demonstrated their membership and adherence to the </w:t>
            </w:r>
            <w:r w:rsidR="000B449A">
              <w:t>DISP</w:t>
            </w:r>
            <w:r>
              <w:t xml:space="preserve"> Program.</w:t>
            </w:r>
          </w:p>
        </w:tc>
      </w:tr>
      <w:tr w:rsidR="001541C8" w14:paraId="196235A7" w14:textId="77777777" w:rsidTr="35533698">
        <w:tc>
          <w:tcPr>
            <w:tcW w:w="1838" w:type="dxa"/>
          </w:tcPr>
          <w:p w14:paraId="4ECCFC65" w14:textId="77777777" w:rsidR="001541C8" w:rsidRPr="000F05BF" w:rsidRDefault="001541C8" w:rsidP="004242B5">
            <w:pPr>
              <w:rPr>
                <w:i/>
                <w:iCs/>
              </w:rPr>
            </w:pPr>
            <w:r w:rsidRPr="000F05BF">
              <w:rPr>
                <w:i/>
                <w:iCs/>
              </w:rPr>
              <w:t>Not suitable</w:t>
            </w:r>
          </w:p>
        </w:tc>
        <w:tc>
          <w:tcPr>
            <w:tcW w:w="7222" w:type="dxa"/>
          </w:tcPr>
          <w:p w14:paraId="5341ABA2" w14:textId="7B5E11F9" w:rsidR="00D634B8" w:rsidRDefault="2840FFE6" w:rsidP="000B449A">
            <w:r>
              <w:t xml:space="preserve">Applicant has failed to demonstrate their membership and adherence to the </w:t>
            </w:r>
            <w:r w:rsidR="000B449A">
              <w:t>DISP</w:t>
            </w:r>
            <w:r>
              <w:t xml:space="preserve"> Program.  </w:t>
            </w:r>
          </w:p>
        </w:tc>
      </w:tr>
    </w:tbl>
    <w:bookmarkEnd w:id="1"/>
    <w:p w14:paraId="3803196A" w14:textId="68BF67C4" w:rsidR="002B1CE5" w:rsidRPr="005A6A27" w:rsidRDefault="00775AD0" w:rsidP="35533698">
      <w:pPr>
        <w:spacing w:after="120"/>
        <w:rPr>
          <w:sz w:val="24"/>
          <w:szCs w:val="24"/>
        </w:rPr>
      </w:pPr>
      <w:r>
        <w:br/>
      </w:r>
      <w:r w:rsidR="69E202B1" w:rsidRPr="35533698">
        <w:rPr>
          <w:rFonts w:ascii="Calibri" w:eastAsiaTheme="majorEastAsia" w:hAnsi="Calibri" w:cstheme="majorBidi"/>
          <w:b/>
          <w:bCs/>
          <w:color w:val="002C3F"/>
          <w:sz w:val="24"/>
          <w:szCs w:val="24"/>
        </w:rPr>
        <w:t>5.</w:t>
      </w:r>
      <w:r w:rsidR="295FB36B" w:rsidRPr="35533698">
        <w:rPr>
          <w:rFonts w:ascii="Calibri" w:eastAsiaTheme="majorEastAsia" w:hAnsi="Calibri" w:cstheme="majorBidi"/>
          <w:b/>
          <w:bCs/>
          <w:color w:val="002C3F"/>
          <w:sz w:val="24"/>
          <w:szCs w:val="24"/>
        </w:rPr>
        <w:t>4</w:t>
      </w:r>
      <w:r w:rsidR="69E202B1" w:rsidRPr="35533698">
        <w:rPr>
          <w:rFonts w:ascii="Calibri" w:eastAsiaTheme="majorEastAsia" w:hAnsi="Calibri" w:cstheme="majorBidi"/>
          <w:b/>
          <w:bCs/>
          <w:color w:val="002C3F"/>
          <w:sz w:val="24"/>
          <w:szCs w:val="24"/>
        </w:rPr>
        <w:t xml:space="preserve"> </w:t>
      </w:r>
      <w:r w:rsidR="2ACE477C" w:rsidRPr="35533698">
        <w:rPr>
          <w:rFonts w:ascii="Calibri" w:eastAsiaTheme="majorEastAsia" w:hAnsi="Calibri" w:cstheme="majorBidi"/>
          <w:b/>
          <w:bCs/>
          <w:color w:val="002C3F"/>
          <w:sz w:val="24"/>
          <w:szCs w:val="24"/>
        </w:rPr>
        <w:t>Provider capacity and student demand</w:t>
      </w:r>
    </w:p>
    <w:p w14:paraId="1281EC47" w14:textId="77777777" w:rsidR="0074036C" w:rsidRDefault="0074036C" w:rsidP="0074036C">
      <w:pPr>
        <w:spacing w:after="120"/>
      </w:pPr>
      <w:r>
        <w:t>Places will be allocated to providers who can demonstrate clear, unmet demand for places in proposed courses and an ability to expand current enrolment levels in target study areas.</w:t>
      </w:r>
    </w:p>
    <w:p w14:paraId="1D522C13" w14:textId="77777777" w:rsidR="0074036C" w:rsidRDefault="0074036C" w:rsidP="0074036C">
      <w:pPr>
        <w:spacing w:after="120"/>
      </w:pPr>
      <w:r>
        <w:t xml:space="preserve">The application template includes a requirement to provide a written statement of up to 300 words detailing expected levels of unmet demand from students, plans to support expansion of current enrolment levels, and why current CGS funding provided under their Maximum Basic Grant Amount (MBGA) cannot meet this demand. </w:t>
      </w:r>
    </w:p>
    <w:p w14:paraId="0BCE6F1F" w14:textId="6FDD1AAA" w:rsidR="00EB16C6" w:rsidRDefault="1CAEB862" w:rsidP="003F1AC3">
      <w:r>
        <w:t>The Department of Education will consider data collected through CGS estimates and TCSI data collection processes to demonstrate delivery across the target courses. As applicable, the Department will also consider providers’ history of under or over-enrolments and anticipated enrolment levels based on CGS estimates and enrolments.</w:t>
      </w:r>
    </w:p>
    <w:p w14:paraId="1054E153" w14:textId="77777777" w:rsidR="00EB16C6" w:rsidRDefault="00EB16C6">
      <w:pPr>
        <w:spacing w:after="160" w:line="259" w:lineRule="auto"/>
      </w:pPr>
      <w:r>
        <w:br w:type="page"/>
      </w:r>
    </w:p>
    <w:tbl>
      <w:tblPr>
        <w:tblStyle w:val="TableGrid"/>
        <w:tblW w:w="0" w:type="auto"/>
        <w:tblLook w:val="04A0" w:firstRow="1" w:lastRow="0" w:firstColumn="1" w:lastColumn="0" w:noHBand="0" w:noVBand="1"/>
      </w:tblPr>
      <w:tblGrid>
        <w:gridCol w:w="1838"/>
        <w:gridCol w:w="7222"/>
      </w:tblGrid>
      <w:tr w:rsidR="0074036C" w14:paraId="538996DC" w14:textId="77777777" w:rsidTr="04511539">
        <w:tc>
          <w:tcPr>
            <w:tcW w:w="1838" w:type="dxa"/>
          </w:tcPr>
          <w:p w14:paraId="7FC3CE99" w14:textId="3942F3DA" w:rsidR="0074036C" w:rsidRPr="000F05BF" w:rsidRDefault="0074036C" w:rsidP="04511539">
            <w:pPr>
              <w:rPr>
                <w:i/>
                <w:iCs/>
              </w:rPr>
            </w:pPr>
            <w:r w:rsidRPr="04511539">
              <w:rPr>
                <w:i/>
                <w:iCs/>
              </w:rPr>
              <w:lastRenderedPageBreak/>
              <w:t>Highly suitable</w:t>
            </w:r>
          </w:p>
        </w:tc>
        <w:tc>
          <w:tcPr>
            <w:tcW w:w="7222" w:type="dxa"/>
          </w:tcPr>
          <w:p w14:paraId="70AA624A" w14:textId="20AB8C80" w:rsidR="0074036C" w:rsidRDefault="0074036C" w:rsidP="0074036C">
            <w:r>
              <w:t xml:space="preserve">Written statement provides strong claims to demonstrate unmet demand from students and strong capacity to grow enrolments in target study areas. Data demonstrates history of persistent demand, ongoing </w:t>
            </w:r>
            <w:proofErr w:type="gramStart"/>
            <w:r>
              <w:t>demand</w:t>
            </w:r>
            <w:proofErr w:type="gramEnd"/>
            <w:r>
              <w:t xml:space="preserve"> and a capacity to deliver additional places.</w:t>
            </w:r>
          </w:p>
        </w:tc>
      </w:tr>
      <w:tr w:rsidR="0074036C" w14:paraId="6B2398B6" w14:textId="77777777" w:rsidTr="04511539">
        <w:tc>
          <w:tcPr>
            <w:tcW w:w="1838" w:type="dxa"/>
          </w:tcPr>
          <w:p w14:paraId="606D5800" w14:textId="142A538D" w:rsidR="0074036C" w:rsidRPr="000F05BF" w:rsidRDefault="0074036C" w:rsidP="04511539">
            <w:pPr>
              <w:rPr>
                <w:i/>
                <w:iCs/>
              </w:rPr>
            </w:pPr>
            <w:r w:rsidRPr="04511539">
              <w:rPr>
                <w:i/>
                <w:iCs/>
              </w:rPr>
              <w:t>Suitable</w:t>
            </w:r>
          </w:p>
        </w:tc>
        <w:tc>
          <w:tcPr>
            <w:tcW w:w="7222" w:type="dxa"/>
          </w:tcPr>
          <w:p w14:paraId="7349A3F3" w14:textId="71A68968" w:rsidR="0074036C" w:rsidRDefault="0074036C" w:rsidP="0074036C">
            <w:r>
              <w:t>Written statement provides some claims to demonstrate unmet demand from students in target study areas. Data demonstrates some history of demand and potential to deliver additional places.</w:t>
            </w:r>
          </w:p>
        </w:tc>
      </w:tr>
      <w:tr w:rsidR="0074036C" w14:paraId="50A03D3D" w14:textId="77777777" w:rsidTr="04511539">
        <w:tc>
          <w:tcPr>
            <w:tcW w:w="1838" w:type="dxa"/>
          </w:tcPr>
          <w:p w14:paraId="4FA66CA3" w14:textId="0E78C3A5" w:rsidR="0074036C" w:rsidRPr="000F05BF" w:rsidRDefault="0074036C" w:rsidP="04511539">
            <w:pPr>
              <w:rPr>
                <w:i/>
                <w:iCs/>
              </w:rPr>
            </w:pPr>
            <w:r w:rsidRPr="04511539">
              <w:rPr>
                <w:i/>
                <w:iCs/>
              </w:rPr>
              <w:t>Not suitable</w:t>
            </w:r>
          </w:p>
        </w:tc>
        <w:tc>
          <w:tcPr>
            <w:tcW w:w="7222" w:type="dxa"/>
          </w:tcPr>
          <w:p w14:paraId="7B1786ED" w14:textId="33424B6F" w:rsidR="0074036C" w:rsidRDefault="0074036C" w:rsidP="0074036C">
            <w:r>
              <w:t>No written statement provided. Data suggests history of low enrolments or under-enrolment.</w:t>
            </w:r>
          </w:p>
        </w:tc>
      </w:tr>
    </w:tbl>
    <w:p w14:paraId="6D57F895" w14:textId="77777777" w:rsidR="00B81AC8" w:rsidRDefault="00B81AC8" w:rsidP="35533698">
      <w:pPr>
        <w:rPr>
          <w:rFonts w:ascii="Calibri" w:eastAsiaTheme="majorEastAsia" w:hAnsi="Calibri" w:cstheme="majorBidi"/>
          <w:b/>
          <w:bCs/>
          <w:color w:val="002C3F"/>
          <w:sz w:val="24"/>
          <w:szCs w:val="24"/>
        </w:rPr>
      </w:pPr>
    </w:p>
    <w:p w14:paraId="2C1F05CF" w14:textId="2A53D67B" w:rsidR="00952F22" w:rsidRPr="009B24A9" w:rsidRDefault="295FB36B" w:rsidP="35533698">
      <w:r w:rsidRPr="35533698">
        <w:rPr>
          <w:rFonts w:ascii="Calibri" w:eastAsiaTheme="majorEastAsia" w:hAnsi="Calibri" w:cstheme="majorBidi"/>
          <w:b/>
          <w:bCs/>
          <w:color w:val="002C3F"/>
          <w:sz w:val="24"/>
          <w:szCs w:val="24"/>
        </w:rPr>
        <w:t>5.5 Student Support and equity</w:t>
      </w:r>
    </w:p>
    <w:p w14:paraId="0DFC575A" w14:textId="21D63B56" w:rsidR="00BD0062" w:rsidRDefault="295FB36B" w:rsidP="00952F22">
      <w:r>
        <w:t xml:space="preserve">Allocations of places will be prioritised towards providers </w:t>
      </w:r>
      <w:r w:rsidR="61F034BC">
        <w:t>that invest in</w:t>
      </w:r>
      <w:r>
        <w:t xml:space="preserve"> </w:t>
      </w:r>
      <w:r w:rsidR="75064EA5">
        <w:t xml:space="preserve">policies and programs in place to attract, retain and support students </w:t>
      </w:r>
      <w:r w:rsidR="35DA6C4A">
        <w:t>in the</w:t>
      </w:r>
      <w:r w:rsidR="000B449A">
        <w:t xml:space="preserve"> designated STEM fields</w:t>
      </w:r>
      <w:r w:rsidR="75064EA5">
        <w:t xml:space="preserve">. </w:t>
      </w:r>
    </w:p>
    <w:p w14:paraId="5ACFD130" w14:textId="21BF4A85" w:rsidR="00BD0062" w:rsidRDefault="7C2C87BA" w:rsidP="00952F22">
      <w:r>
        <w:t xml:space="preserve">Providers should outline and describe </w:t>
      </w:r>
      <w:r w:rsidR="00DC5950">
        <w:t>any existing initiatives they participate in as well as any further</w:t>
      </w:r>
      <w:r>
        <w:t xml:space="preserve"> steps</w:t>
      </w:r>
      <w:r w:rsidR="00BD0062">
        <w:t xml:space="preserve"> they will take</w:t>
      </w:r>
      <w:r>
        <w:t xml:space="preserve"> </w:t>
      </w:r>
      <w:r w:rsidR="61CFC071">
        <w:t>to increase the participation</w:t>
      </w:r>
      <w:r w:rsidR="00BD0062">
        <w:t xml:space="preserve"> of students from under-represented backgrounds in the target study areas including:</w:t>
      </w:r>
    </w:p>
    <w:p w14:paraId="78EF2A60" w14:textId="1E1B1DA7" w:rsidR="00BC45F1" w:rsidRDefault="00BC45F1">
      <w:pPr>
        <w:pStyle w:val="ListParagraph"/>
        <w:numPr>
          <w:ilvl w:val="0"/>
          <w:numId w:val="28"/>
        </w:numPr>
      </w:pPr>
      <w:bookmarkStart w:id="4" w:name="_Hlk139634626"/>
      <w:bookmarkStart w:id="5" w:name="_Hlk139634676"/>
      <w:r>
        <w:t>First Nations students</w:t>
      </w:r>
    </w:p>
    <w:p w14:paraId="22178418" w14:textId="77777777" w:rsidR="00BC45F1" w:rsidRPr="00BC45F1" w:rsidRDefault="00BC45F1" w:rsidP="00BC45F1">
      <w:pPr>
        <w:pStyle w:val="ListParagraph"/>
        <w:numPr>
          <w:ilvl w:val="0"/>
          <w:numId w:val="28"/>
        </w:numPr>
      </w:pPr>
      <w:r w:rsidRPr="00BC45F1">
        <w:t>students with disability</w:t>
      </w:r>
    </w:p>
    <w:p w14:paraId="7A6ECCF2" w14:textId="77777777" w:rsidR="00BC45F1" w:rsidRPr="00BC45F1" w:rsidRDefault="00BC45F1" w:rsidP="00BC45F1">
      <w:pPr>
        <w:pStyle w:val="ListParagraph"/>
        <w:numPr>
          <w:ilvl w:val="0"/>
          <w:numId w:val="28"/>
        </w:numPr>
      </w:pPr>
      <w:r w:rsidRPr="00BC45F1">
        <w:t>students from low SES backgrounds</w:t>
      </w:r>
    </w:p>
    <w:p w14:paraId="0166BB9A" w14:textId="77777777" w:rsidR="00905DF4" w:rsidRDefault="00BC45F1" w:rsidP="00BC45F1">
      <w:pPr>
        <w:pStyle w:val="ListParagraph"/>
        <w:numPr>
          <w:ilvl w:val="0"/>
          <w:numId w:val="28"/>
        </w:numPr>
      </w:pPr>
      <w:r>
        <w:t xml:space="preserve">students from </w:t>
      </w:r>
      <w:r w:rsidRPr="00BC45F1">
        <w:t>regional, rural, and remote areas</w:t>
      </w:r>
    </w:p>
    <w:p w14:paraId="7143D3E2" w14:textId="54522A50" w:rsidR="00BC45F1" w:rsidRDefault="00905DF4" w:rsidP="00BC45F1">
      <w:pPr>
        <w:pStyle w:val="ListParagraph"/>
        <w:numPr>
          <w:ilvl w:val="0"/>
          <w:numId w:val="28"/>
        </w:numPr>
      </w:pPr>
      <w:r>
        <w:t>first in family to study at university</w:t>
      </w:r>
      <w:r w:rsidR="00BC45F1">
        <w:t>; and</w:t>
      </w:r>
    </w:p>
    <w:p w14:paraId="6CBF797D" w14:textId="6DE850C6" w:rsidR="00BD0062" w:rsidRDefault="00BD0062" w:rsidP="00E76C89">
      <w:pPr>
        <w:pStyle w:val="ListParagraph"/>
        <w:numPr>
          <w:ilvl w:val="0"/>
          <w:numId w:val="28"/>
        </w:numPr>
      </w:pPr>
      <w:r>
        <w:t>women studying in non-traditional areas</w:t>
      </w:r>
      <w:bookmarkEnd w:id="4"/>
      <w:r w:rsidR="00423333">
        <w:t>.</w:t>
      </w:r>
    </w:p>
    <w:bookmarkEnd w:id="5"/>
    <w:p w14:paraId="5CA2BC12" w14:textId="645EB730" w:rsidR="00952F22" w:rsidRDefault="00BD0062" w:rsidP="00BD0062">
      <w:r>
        <w:t xml:space="preserve">Applications should include how these initiatives </w:t>
      </w:r>
      <w:r w:rsidR="7C2C87BA">
        <w:t>will be measure</w:t>
      </w:r>
      <w:r w:rsidR="3E6BFD6D">
        <w:t>d</w:t>
      </w:r>
      <w:r w:rsidR="7C2C87BA">
        <w:t xml:space="preserve"> and </w:t>
      </w:r>
      <w:r w:rsidR="62D0F457">
        <w:t>evaluated.</w:t>
      </w:r>
    </w:p>
    <w:p w14:paraId="5642DBDB" w14:textId="210975E8" w:rsidR="00952F22" w:rsidRDefault="78208F42" w:rsidP="35533698">
      <w:r>
        <w:t xml:space="preserve">Providers should also </w:t>
      </w:r>
      <w:r w:rsidR="65FD22FC">
        <w:t xml:space="preserve">detail specific programs to support </w:t>
      </w:r>
      <w:r w:rsidR="00EB1A67">
        <w:t xml:space="preserve">under-represented and educationally disadvantaged groups, such as First Nations people, students from low SES backgrounds, regional, </w:t>
      </w:r>
      <w:proofErr w:type="gramStart"/>
      <w:r w:rsidR="00EB1A67">
        <w:t>rural</w:t>
      </w:r>
      <w:proofErr w:type="gramEnd"/>
      <w:r w:rsidR="00EB1A67">
        <w:t xml:space="preserve"> and remote students, people with a disability, first in family to study at university, and women in non-traditional areas</w:t>
      </w:r>
      <w:r w:rsidR="65FD22FC">
        <w:t xml:space="preserve">.  </w:t>
      </w:r>
    </w:p>
    <w:p w14:paraId="4E65418F" w14:textId="1DE1F481" w:rsidR="00EB16C6" w:rsidRDefault="295FB36B" w:rsidP="00210EF4">
      <w:r>
        <w:t xml:space="preserve">The Department of Education will consider data collected through TCSI data collection processes related to performance and progress supporting students from equity groups. </w:t>
      </w:r>
    </w:p>
    <w:p w14:paraId="006DC658" w14:textId="77777777" w:rsidR="00EB16C6" w:rsidRDefault="00EB16C6">
      <w:pPr>
        <w:spacing w:after="160" w:line="259" w:lineRule="auto"/>
      </w:pPr>
      <w:r>
        <w:br w:type="page"/>
      </w:r>
    </w:p>
    <w:tbl>
      <w:tblPr>
        <w:tblStyle w:val="TableGrid"/>
        <w:tblW w:w="0" w:type="auto"/>
        <w:tblLook w:val="04A0" w:firstRow="1" w:lastRow="0" w:firstColumn="1" w:lastColumn="0" w:noHBand="0" w:noVBand="1"/>
      </w:tblPr>
      <w:tblGrid>
        <w:gridCol w:w="1838"/>
        <w:gridCol w:w="7222"/>
      </w:tblGrid>
      <w:tr w:rsidR="00952F22" w14:paraId="1659EDA7" w14:textId="77777777" w:rsidTr="35533698">
        <w:trPr>
          <w:trHeight w:val="300"/>
        </w:trPr>
        <w:tc>
          <w:tcPr>
            <w:tcW w:w="1838" w:type="dxa"/>
          </w:tcPr>
          <w:p w14:paraId="7F710C96" w14:textId="77777777" w:rsidR="00952F22" w:rsidRPr="000F05BF" w:rsidRDefault="00952F22" w:rsidP="04511539">
            <w:pPr>
              <w:rPr>
                <w:i/>
                <w:iCs/>
              </w:rPr>
            </w:pPr>
            <w:r w:rsidRPr="04511539">
              <w:rPr>
                <w:i/>
                <w:iCs/>
              </w:rPr>
              <w:lastRenderedPageBreak/>
              <w:t>Highly suitable</w:t>
            </w:r>
          </w:p>
        </w:tc>
        <w:tc>
          <w:tcPr>
            <w:tcW w:w="7222" w:type="dxa"/>
          </w:tcPr>
          <w:p w14:paraId="2EFCCB15" w14:textId="72DE177B" w:rsidR="00952F22" w:rsidRDefault="295FB36B" w:rsidP="008E4A0A">
            <w:r>
              <w:t xml:space="preserve">Written statement provides strong </w:t>
            </w:r>
            <w:r w:rsidR="0C860BEA">
              <w:t>investment in</w:t>
            </w:r>
            <w:r>
              <w:t xml:space="preserve"> </w:t>
            </w:r>
            <w:r w:rsidR="1A924161">
              <w:t xml:space="preserve">policies and programs in place to attract, retain and support students in </w:t>
            </w:r>
            <w:r>
              <w:t xml:space="preserve">proposed courses. </w:t>
            </w:r>
            <w:r w:rsidR="6B62857A">
              <w:t>Provider has also outlined clear steps to increase the participation in target study areas and how outcomes will be measure</w:t>
            </w:r>
            <w:r w:rsidR="0FC073A9">
              <w:t>d</w:t>
            </w:r>
            <w:r w:rsidR="6B62857A">
              <w:t xml:space="preserve"> and evaluated</w:t>
            </w:r>
            <w:r w:rsidR="4EBA77F6">
              <w:t>.</w:t>
            </w:r>
          </w:p>
          <w:p w14:paraId="6FB231B3" w14:textId="502C6911" w:rsidR="00952F22" w:rsidRDefault="1DBE7006" w:rsidP="35533698">
            <w:r>
              <w:t xml:space="preserve">Written statement also highlights success of provider to increase participation of students who are first-in-family and may face other compounding barriers to access higher education, specifically in target study areas. </w:t>
            </w:r>
          </w:p>
          <w:p w14:paraId="49066B94" w14:textId="58D4716F" w:rsidR="00952F22" w:rsidRDefault="295FB36B" w:rsidP="35533698">
            <w:r>
              <w:t xml:space="preserve">Data demonstrates provider’s clear record of success to increase participation of </w:t>
            </w:r>
            <w:r w:rsidR="00EB1A67" w:rsidRPr="00EB1A67">
              <w:t xml:space="preserve">under-represented and educationally disadvantaged groups, such as First Nations people, students from low SES backgrounds, regional, </w:t>
            </w:r>
            <w:proofErr w:type="gramStart"/>
            <w:r w:rsidR="00EB1A67" w:rsidRPr="00EB1A67">
              <w:t>rural</w:t>
            </w:r>
            <w:proofErr w:type="gramEnd"/>
            <w:r w:rsidR="00EB1A67" w:rsidRPr="00EB1A67">
              <w:t xml:space="preserve"> and remote students, people with a disability, first in family to study at university, and women in non-traditional areas</w:t>
            </w:r>
            <w:r>
              <w:t>.</w:t>
            </w:r>
          </w:p>
        </w:tc>
      </w:tr>
      <w:tr w:rsidR="00952F22" w14:paraId="237104EE" w14:textId="77777777" w:rsidTr="35533698">
        <w:trPr>
          <w:trHeight w:val="300"/>
        </w:trPr>
        <w:tc>
          <w:tcPr>
            <w:tcW w:w="1838" w:type="dxa"/>
          </w:tcPr>
          <w:p w14:paraId="12FECDD4" w14:textId="77777777" w:rsidR="00952F22" w:rsidRPr="000F05BF" w:rsidRDefault="00952F22" w:rsidP="04511539">
            <w:pPr>
              <w:rPr>
                <w:i/>
                <w:iCs/>
              </w:rPr>
            </w:pPr>
            <w:r w:rsidRPr="04511539">
              <w:rPr>
                <w:i/>
                <w:iCs/>
              </w:rPr>
              <w:t>Suitable</w:t>
            </w:r>
          </w:p>
        </w:tc>
        <w:tc>
          <w:tcPr>
            <w:tcW w:w="7222" w:type="dxa"/>
          </w:tcPr>
          <w:p w14:paraId="0732DC90" w14:textId="43E4F465" w:rsidR="00952F22" w:rsidRDefault="09DE0F67" w:rsidP="008E4A0A">
            <w:r>
              <w:t>Written statement outlines policies and programs in place to attract, retain and support students in proposed courses. Provider has also outlined steps to increase the participation in target study areas and how outcomes will be measured and evaluated.</w:t>
            </w:r>
          </w:p>
          <w:p w14:paraId="55C50939" w14:textId="119768E3" w:rsidR="00952F22" w:rsidRDefault="09DE0F67" w:rsidP="35533698">
            <w:r>
              <w:t xml:space="preserve">Written statement also highlights </w:t>
            </w:r>
            <w:r w:rsidR="5863D992">
              <w:t>intention</w:t>
            </w:r>
            <w:r>
              <w:t xml:space="preserve"> to increase participation of students who are first-in-family and may face other compounding barriers to access higher education, specifically in target study areas. </w:t>
            </w:r>
          </w:p>
          <w:p w14:paraId="0DDE47B1" w14:textId="002A63C3" w:rsidR="00952F22" w:rsidRDefault="09DE0F67" w:rsidP="35533698">
            <w:r>
              <w:t xml:space="preserve">Data demonstrates provider’s </w:t>
            </w:r>
            <w:r w:rsidR="216ED0CD">
              <w:t>efforts</w:t>
            </w:r>
            <w:r>
              <w:t xml:space="preserve"> to increase participation of </w:t>
            </w:r>
            <w:r w:rsidR="00EB1A67" w:rsidRPr="00EB1A67">
              <w:t xml:space="preserve">under-represented and educationally disadvantaged groups, such as First Nations people, students from low SES backgrounds, regional, </w:t>
            </w:r>
            <w:proofErr w:type="gramStart"/>
            <w:r w:rsidR="00EB1A67" w:rsidRPr="00EB1A67">
              <w:t>rural</w:t>
            </w:r>
            <w:proofErr w:type="gramEnd"/>
            <w:r w:rsidR="00EB1A67" w:rsidRPr="00EB1A67">
              <w:t xml:space="preserve"> and remote students, people with a disability, first in family to study at university, and women in non-traditional areas</w:t>
            </w:r>
            <w:r>
              <w:t>.</w:t>
            </w:r>
          </w:p>
        </w:tc>
      </w:tr>
      <w:tr w:rsidR="00952F22" w14:paraId="1DBB6BE5" w14:textId="77777777" w:rsidTr="35533698">
        <w:trPr>
          <w:trHeight w:val="300"/>
        </w:trPr>
        <w:tc>
          <w:tcPr>
            <w:tcW w:w="1838" w:type="dxa"/>
          </w:tcPr>
          <w:p w14:paraId="41D6D7B5" w14:textId="77777777" w:rsidR="00952F22" w:rsidRPr="000F05BF" w:rsidRDefault="00952F22" w:rsidP="04511539">
            <w:pPr>
              <w:rPr>
                <w:i/>
                <w:iCs/>
              </w:rPr>
            </w:pPr>
            <w:r w:rsidRPr="04511539">
              <w:rPr>
                <w:i/>
                <w:iCs/>
              </w:rPr>
              <w:t>Not suitable</w:t>
            </w:r>
          </w:p>
        </w:tc>
        <w:tc>
          <w:tcPr>
            <w:tcW w:w="7222" w:type="dxa"/>
          </w:tcPr>
          <w:p w14:paraId="6A1E0BE6" w14:textId="69AED601" w:rsidR="00952F22" w:rsidRDefault="00952F22" w:rsidP="008E4A0A">
            <w:r>
              <w:t xml:space="preserve">No written statement provided. Data does not demonstrate provider’s commitment to increase participation of </w:t>
            </w:r>
            <w:r w:rsidR="00EB1A67" w:rsidRPr="00EB1A67">
              <w:t xml:space="preserve">under-represented and educationally disadvantaged groups, such as First Nations people, students from low SES backgrounds, regional, </w:t>
            </w:r>
            <w:proofErr w:type="gramStart"/>
            <w:r w:rsidR="00EB1A67" w:rsidRPr="00EB1A67">
              <w:t>rural</w:t>
            </w:r>
            <w:proofErr w:type="gramEnd"/>
            <w:r w:rsidR="00EB1A67" w:rsidRPr="00EB1A67">
              <w:t xml:space="preserve"> and remote students, people with a disability, first in family to study at university, and women in non-traditional areas</w:t>
            </w:r>
            <w:r>
              <w:t>.</w:t>
            </w:r>
          </w:p>
        </w:tc>
      </w:tr>
    </w:tbl>
    <w:p w14:paraId="49034293" w14:textId="77777777" w:rsidR="00051BEE" w:rsidRPr="00051BEE" w:rsidRDefault="00051BEE" w:rsidP="00051BEE">
      <w:pPr>
        <w:pStyle w:val="Heading2"/>
        <w:spacing w:before="0"/>
        <w:rPr>
          <w:color w:val="002C3F"/>
          <w:sz w:val="22"/>
          <w:szCs w:val="22"/>
        </w:rPr>
      </w:pPr>
    </w:p>
    <w:p w14:paraId="5194F192" w14:textId="2F256793" w:rsidR="004520ED" w:rsidRPr="00051BEE" w:rsidRDefault="34A51CC7" w:rsidP="00051BEE">
      <w:pPr>
        <w:pStyle w:val="Heading2"/>
        <w:numPr>
          <w:ilvl w:val="0"/>
          <w:numId w:val="21"/>
        </w:numPr>
        <w:spacing w:before="0"/>
        <w:ind w:left="357" w:hanging="357"/>
        <w:rPr>
          <w:color w:val="002C3F"/>
          <w:sz w:val="32"/>
          <w:szCs w:val="32"/>
        </w:rPr>
      </w:pPr>
      <w:r w:rsidRPr="00051BEE">
        <w:rPr>
          <w:color w:val="002C3F"/>
          <w:sz w:val="32"/>
          <w:szCs w:val="32"/>
        </w:rPr>
        <w:t xml:space="preserve">Application submission </w:t>
      </w:r>
    </w:p>
    <w:p w14:paraId="0A34D1A5" w14:textId="2268ADA9" w:rsidR="0081130D" w:rsidRDefault="00631226" w:rsidP="00631226">
      <w:r>
        <w:t xml:space="preserve">Applications will open on </w:t>
      </w:r>
      <w:r w:rsidR="001E4840">
        <w:t>1</w:t>
      </w:r>
      <w:r w:rsidR="0081130D">
        <w:t xml:space="preserve"> </w:t>
      </w:r>
      <w:r w:rsidR="001E4840">
        <w:t>September</w:t>
      </w:r>
      <w:r w:rsidR="00BC5B87">
        <w:t xml:space="preserve"> </w:t>
      </w:r>
      <w:r w:rsidR="0081130D">
        <w:t>202</w:t>
      </w:r>
      <w:r w:rsidR="00BC5B87">
        <w:t>3</w:t>
      </w:r>
      <w:r>
        <w:t xml:space="preserve"> and close on </w:t>
      </w:r>
      <w:r w:rsidR="00355D4F">
        <w:t>2</w:t>
      </w:r>
      <w:r w:rsidR="001E4840">
        <w:t>8</w:t>
      </w:r>
      <w:r w:rsidR="00BC5B87">
        <w:t xml:space="preserve"> </w:t>
      </w:r>
      <w:r w:rsidR="00E420E9">
        <w:t>September</w:t>
      </w:r>
      <w:r w:rsidR="00BC5B87">
        <w:t xml:space="preserve"> </w:t>
      </w:r>
      <w:r w:rsidR="0081130D">
        <w:t>20</w:t>
      </w:r>
      <w:r w:rsidR="00BC5B87">
        <w:t>23</w:t>
      </w:r>
      <w:r>
        <w:t xml:space="preserve">. </w:t>
      </w:r>
    </w:p>
    <w:p w14:paraId="3BB723E2" w14:textId="7A2A1F36" w:rsidR="00A8266B" w:rsidRDefault="5CDECE34" w:rsidP="35533698">
      <w:r>
        <w:t xml:space="preserve">Applications must be submitted to </w:t>
      </w:r>
      <w:r w:rsidR="239EEB23" w:rsidRPr="35533698">
        <w:rPr>
          <w:rStyle w:val="Hyperlink"/>
        </w:rPr>
        <w:t>NPSpathways@education.gov.au.</w:t>
      </w:r>
    </w:p>
    <w:p w14:paraId="67B38F00" w14:textId="7354D9EC" w:rsidR="00631226" w:rsidRDefault="00000A91" w:rsidP="00631226">
      <w:r>
        <w:t>The Department</w:t>
      </w:r>
      <w:r w:rsidR="00EB2C57">
        <w:t xml:space="preserve"> of Education and the Australian Submarine Agency</w:t>
      </w:r>
      <w:r w:rsidR="00BC5B87">
        <w:t xml:space="preserve">, </w:t>
      </w:r>
      <w:r>
        <w:t>at</w:t>
      </w:r>
      <w:r w:rsidR="00BC5B87">
        <w:t xml:space="preserve"> their</w:t>
      </w:r>
      <w:r>
        <w:t xml:space="preserve"> discretion, may seek additional information, or allow applicants to remedy minor errors, but will not accept responsibility for any misunderstanding arising from the failure by an applicant to comply with the requirements set out in these guidelines, or arising from any ambiguity, discrepancy, inconsistency, </w:t>
      </w:r>
      <w:proofErr w:type="gramStart"/>
      <w:r>
        <w:t>error</w:t>
      </w:r>
      <w:proofErr w:type="gramEnd"/>
      <w:r>
        <w:t xml:space="preserve"> or omission contained in the application.</w:t>
      </w:r>
    </w:p>
    <w:p w14:paraId="4A574D2B" w14:textId="4CADC376" w:rsidR="0081130D" w:rsidRDefault="0081130D" w:rsidP="00631226">
      <w:r w:rsidRPr="00422DD1">
        <w:t>Late applications will not be considered.</w:t>
      </w:r>
    </w:p>
    <w:p w14:paraId="28039446" w14:textId="50BBB239" w:rsidR="00000A91" w:rsidRPr="00051BEE" w:rsidRDefault="454EC98F" w:rsidP="00051BEE">
      <w:pPr>
        <w:pStyle w:val="Heading2"/>
        <w:numPr>
          <w:ilvl w:val="0"/>
          <w:numId w:val="21"/>
        </w:numPr>
        <w:spacing w:before="0"/>
        <w:ind w:left="357" w:hanging="357"/>
        <w:rPr>
          <w:color w:val="002C3F"/>
          <w:sz w:val="32"/>
          <w:szCs w:val="32"/>
        </w:rPr>
      </w:pPr>
      <w:r w:rsidRPr="00051BEE">
        <w:rPr>
          <w:color w:val="002C3F"/>
          <w:sz w:val="32"/>
          <w:szCs w:val="32"/>
        </w:rPr>
        <w:lastRenderedPageBreak/>
        <w:t>Selection process</w:t>
      </w:r>
    </w:p>
    <w:p w14:paraId="3F23AF05" w14:textId="104DBB3A" w:rsidR="00BC2DA2" w:rsidRDefault="00000A91" w:rsidP="00000A91">
      <w:r>
        <w:t>The Department</w:t>
      </w:r>
      <w:r w:rsidR="00EB2C57">
        <w:t xml:space="preserve"> of Education and the Australian Submarine Agency</w:t>
      </w:r>
      <w:r>
        <w:t xml:space="preserve"> will assess the information detailed in the applications</w:t>
      </w:r>
      <w:r w:rsidR="00F21740">
        <w:t xml:space="preserve">. </w:t>
      </w:r>
    </w:p>
    <w:p w14:paraId="733F9B52" w14:textId="78A0E5BA" w:rsidR="00000A91" w:rsidRDefault="00000A91" w:rsidP="00000A91">
      <w:r>
        <w:t xml:space="preserve">Recommendations </w:t>
      </w:r>
      <w:r w:rsidR="00BC2DA2">
        <w:t xml:space="preserve">on allocations </w:t>
      </w:r>
      <w:r>
        <w:t>will be considered by the Deputy Secretary, Higher Education, Research and International</w:t>
      </w:r>
      <w:r w:rsidR="00CB1A68">
        <w:t>,</w:t>
      </w:r>
      <w:r>
        <w:t xml:space="preserve"> and the</w:t>
      </w:r>
      <w:r w:rsidR="00DE385E">
        <w:t xml:space="preserve"> </w:t>
      </w:r>
      <w:r w:rsidR="00EB2C57">
        <w:t>Director General of the Australian Submarine Agency</w:t>
      </w:r>
      <w:r>
        <w:t xml:space="preserve">. </w:t>
      </w:r>
    </w:p>
    <w:p w14:paraId="24A66519" w14:textId="4F5DAC14" w:rsidR="00000A91" w:rsidRDefault="00000A91" w:rsidP="00000A91">
      <w:r>
        <w:t xml:space="preserve">Recommendations will </w:t>
      </w:r>
      <w:r w:rsidR="00DE385E">
        <w:t xml:space="preserve">then </w:t>
      </w:r>
      <w:r>
        <w:t xml:space="preserve">be made to the Minister for Education on which providers should receive funding for approved courses and </w:t>
      </w:r>
      <w:r w:rsidR="00CB1A68">
        <w:t xml:space="preserve">a proposed </w:t>
      </w:r>
      <w:r>
        <w:t>number of places.</w:t>
      </w:r>
      <w:r w:rsidR="00DE385E">
        <w:t xml:space="preserve"> The Minister for Education will then consult with </w:t>
      </w:r>
      <w:r w:rsidR="00CB1A68">
        <w:t>Minister</w:t>
      </w:r>
      <w:r>
        <w:t xml:space="preserve"> </w:t>
      </w:r>
      <w:r w:rsidR="000002F4">
        <w:t>for</w:t>
      </w:r>
      <w:r w:rsidR="00CB1A68">
        <w:t xml:space="preserve"> Defence </w:t>
      </w:r>
      <w:r w:rsidR="005F3502">
        <w:t>prior to</w:t>
      </w:r>
      <w:r w:rsidR="00CB1A68">
        <w:t xml:space="preserve"> deciding a final allocation of places</w:t>
      </w:r>
      <w:r w:rsidR="00BC2DA2">
        <w:t>.</w:t>
      </w:r>
    </w:p>
    <w:p w14:paraId="49EC0403" w14:textId="71165897" w:rsidR="00BB6E11" w:rsidRPr="001B7737" w:rsidRDefault="00000A91" w:rsidP="04511539">
      <w:pPr>
        <w:shd w:val="clear" w:color="auto" w:fill="FFFFFF" w:themeFill="background1"/>
        <w:spacing w:line="240" w:lineRule="auto"/>
      </w:pPr>
      <w:r>
        <w:t xml:space="preserve">While a provider’s application may be rated highly suitable or suitable, it does not guarantee that the provider will receive </w:t>
      </w:r>
      <w:r w:rsidR="00CB1A68">
        <w:t>an</w:t>
      </w:r>
      <w:r>
        <w:t xml:space="preserve"> allocation of places</w:t>
      </w:r>
      <w:r w:rsidR="00CB1A68">
        <w:t xml:space="preserve"> under this measure. </w:t>
      </w:r>
      <w:r w:rsidR="00BB6E11">
        <w:t>After providers have been ranked in the competitive process, the allocation of places will consider the following factors:</w:t>
      </w:r>
    </w:p>
    <w:p w14:paraId="2E67D26F" w14:textId="5BBE023F" w:rsidR="00BB6E11" w:rsidRPr="00E420E9" w:rsidRDefault="00F21740" w:rsidP="00BB6E11">
      <w:pPr>
        <w:pStyle w:val="ListParagraph"/>
        <w:numPr>
          <w:ilvl w:val="0"/>
          <w:numId w:val="24"/>
        </w:numPr>
        <w:spacing w:line="276" w:lineRule="auto"/>
      </w:pPr>
      <w:r w:rsidRPr="00E420E9">
        <w:t xml:space="preserve">How the allocation of places overall will meet the overarching objectives of the program in section 1 above, including </w:t>
      </w:r>
      <w:r w:rsidR="009913CD" w:rsidRPr="00E420E9">
        <w:t>the aim of growing Australia’s excellence in STEM disciplines across the nation.</w:t>
      </w:r>
    </w:p>
    <w:p w14:paraId="587D0294" w14:textId="77777777" w:rsidR="00750E86" w:rsidRPr="001B7737" w:rsidRDefault="00750E86" w:rsidP="00750E86">
      <w:pPr>
        <w:pStyle w:val="ListParagraph"/>
        <w:numPr>
          <w:ilvl w:val="0"/>
          <w:numId w:val="24"/>
        </w:numPr>
        <w:spacing w:line="276" w:lineRule="auto"/>
      </w:pPr>
      <w:r>
        <w:t>The provider’s aggregate score in the assessment process and ability to support NPS program objectives.</w:t>
      </w:r>
    </w:p>
    <w:p w14:paraId="46226571" w14:textId="77777777" w:rsidR="00750E86" w:rsidRDefault="00750E86" w:rsidP="00750E86">
      <w:pPr>
        <w:pStyle w:val="ListParagraph"/>
        <w:numPr>
          <w:ilvl w:val="0"/>
          <w:numId w:val="24"/>
        </w:numPr>
        <w:spacing w:line="276" w:lineRule="auto"/>
      </w:pPr>
      <w:r>
        <w:t xml:space="preserve">High level of interest – if the total number of requested places is above 4,000, then high scoring applications will be prioritised over lower scoring applications. Depending on the level of oversubscription, high scoring providers may also be granted a higher proportion of their requested places compared to lower scoring providers, while some providers may not receive an allocation at all. </w:t>
      </w:r>
    </w:p>
    <w:p w14:paraId="6000C39D" w14:textId="5E3EF9AB" w:rsidR="00BB6E11" w:rsidRDefault="445C9286" w:rsidP="00BB6E11">
      <w:pPr>
        <w:pStyle w:val="ListParagraph"/>
        <w:numPr>
          <w:ilvl w:val="0"/>
          <w:numId w:val="24"/>
        </w:numPr>
        <w:spacing w:line="276" w:lineRule="auto"/>
      </w:pPr>
      <w:r>
        <w:t xml:space="preserve">Course priority, as ranked by the provider in their application. If funding is </w:t>
      </w:r>
      <w:r w:rsidR="2292552B">
        <w:t>significantly oversubscribed</w:t>
      </w:r>
      <w:r w:rsidR="51A49904">
        <w:t>,</w:t>
      </w:r>
      <w:r>
        <w:t xml:space="preserve"> funding to</w:t>
      </w:r>
      <w:r w:rsidR="76FC63F5">
        <w:t xml:space="preserve"> successful</w:t>
      </w:r>
      <w:r>
        <w:t xml:space="preserve"> providers may be based on the ‘Course Priority’ rank that the provider has given each course</w:t>
      </w:r>
      <w:r w:rsidR="76FC63F5">
        <w:t xml:space="preserve"> in line with consideration of NPS program priorities.</w:t>
      </w:r>
      <w:r w:rsidR="51A49904">
        <w:t xml:space="preserve"> </w:t>
      </w:r>
      <w:r>
        <w:t>In this instance, more places may be allocated to courses which the provider has ranked highly, and they may receive a lower allocation for the courses they have ranked lower.</w:t>
      </w:r>
    </w:p>
    <w:p w14:paraId="06FD7CBB" w14:textId="5A5119BD" w:rsidR="00000A91" w:rsidRPr="00051BEE" w:rsidRDefault="454EC98F" w:rsidP="00051BEE">
      <w:pPr>
        <w:pStyle w:val="Heading2"/>
        <w:numPr>
          <w:ilvl w:val="0"/>
          <w:numId w:val="21"/>
        </w:numPr>
        <w:spacing w:before="0"/>
        <w:ind w:left="357" w:hanging="357"/>
        <w:rPr>
          <w:color w:val="002C3F"/>
          <w:sz w:val="32"/>
          <w:szCs w:val="32"/>
        </w:rPr>
      </w:pPr>
      <w:r w:rsidRPr="00051BEE">
        <w:rPr>
          <w:color w:val="002C3F"/>
          <w:sz w:val="32"/>
          <w:szCs w:val="32"/>
        </w:rPr>
        <w:t>Successful providers</w:t>
      </w:r>
    </w:p>
    <w:p w14:paraId="7C0618D9" w14:textId="4164C6A0" w:rsidR="001D67F6" w:rsidRDefault="51A49904" w:rsidP="001D67F6">
      <w:r>
        <w:t>Funding will be allocated to</w:t>
      </w:r>
      <w:r w:rsidR="00F21740">
        <w:t xml:space="preserve"> successful</w:t>
      </w:r>
      <w:r>
        <w:t xml:space="preserve"> providers for each respective commencing place in an approved course, pipelined for the duration of the course based on the standard 75 per cent costing methodology. The use of a 75 per cent pipeline is consistent with the provision of additional Commonwealth supported places. </w:t>
      </w:r>
    </w:p>
    <w:p w14:paraId="670732BE" w14:textId="4D53C70B" w:rsidR="00F96387" w:rsidRDefault="454EC98F" w:rsidP="00000A91">
      <w:r>
        <w:t xml:space="preserve">Funding will be reflected in </w:t>
      </w:r>
      <w:r w:rsidR="3A1C2356">
        <w:t xml:space="preserve">successful </w:t>
      </w:r>
      <w:r>
        <w:t>providers’ CGS funding agreement</w:t>
      </w:r>
      <w:r w:rsidR="1E24C981">
        <w:t>s</w:t>
      </w:r>
      <w:r w:rsidR="6B810FC5">
        <w:t xml:space="preserve"> via</w:t>
      </w:r>
      <w:r w:rsidR="3A1C2356">
        <w:t xml:space="preserve"> a</w:t>
      </w:r>
      <w:r>
        <w:t xml:space="preserve"> list </w:t>
      </w:r>
      <w:r w:rsidR="6B810FC5">
        <w:t xml:space="preserve">of the </w:t>
      </w:r>
      <w:r>
        <w:t xml:space="preserve">approved courses and </w:t>
      </w:r>
      <w:r w:rsidR="6DBE540C">
        <w:t xml:space="preserve">combined </w:t>
      </w:r>
      <w:r>
        <w:t xml:space="preserve">total funding provided for courses for </w:t>
      </w:r>
      <w:r w:rsidR="3A1C2356">
        <w:t>each program year</w:t>
      </w:r>
      <w:r w:rsidR="6B810FC5">
        <w:t xml:space="preserve"> (as a funding envelope)</w:t>
      </w:r>
      <w:r w:rsidR="6DBE540C">
        <w:t xml:space="preserve"> </w:t>
      </w:r>
      <w:r w:rsidR="6B810FC5">
        <w:t>within the funding agreement period</w:t>
      </w:r>
      <w:r w:rsidR="42ADD32E">
        <w:t xml:space="preserve">. </w:t>
      </w:r>
    </w:p>
    <w:p w14:paraId="341F41AB" w14:textId="2AA92009" w:rsidR="0020522C" w:rsidRDefault="6DBE540C" w:rsidP="35533698">
      <w:r>
        <w:t>If a cost</w:t>
      </w:r>
      <w:r w:rsidR="4234460D">
        <w:t xml:space="preserve"> </w:t>
      </w:r>
      <w:r>
        <w:t>neutral reallocation of funding (to another approved course) is required, the provider will need to contact the Department</w:t>
      </w:r>
      <w:r w:rsidR="3A1C2356">
        <w:t xml:space="preserve">s </w:t>
      </w:r>
      <w:r>
        <w:t>who will assess the reallocation accordingly.</w:t>
      </w:r>
    </w:p>
    <w:p w14:paraId="3B2AC19C" w14:textId="0E5ECA68" w:rsidR="00000A91" w:rsidRPr="00051BEE" w:rsidRDefault="6DBE540C" w:rsidP="00051BEE">
      <w:pPr>
        <w:pStyle w:val="Heading2"/>
        <w:numPr>
          <w:ilvl w:val="0"/>
          <w:numId w:val="21"/>
        </w:numPr>
        <w:spacing w:before="0"/>
        <w:ind w:left="357" w:hanging="357"/>
        <w:rPr>
          <w:color w:val="002C3F"/>
          <w:sz w:val="32"/>
          <w:szCs w:val="32"/>
        </w:rPr>
      </w:pPr>
      <w:r w:rsidRPr="00051BEE">
        <w:rPr>
          <w:color w:val="002C3F"/>
          <w:sz w:val="32"/>
          <w:szCs w:val="32"/>
        </w:rPr>
        <w:t>R</w:t>
      </w:r>
      <w:r w:rsidR="454EC98F" w:rsidRPr="00051BEE">
        <w:rPr>
          <w:color w:val="002C3F"/>
          <w:sz w:val="32"/>
          <w:szCs w:val="32"/>
        </w:rPr>
        <w:t xml:space="preserve">econciliation of funding </w:t>
      </w:r>
    </w:p>
    <w:p w14:paraId="07A3A033" w14:textId="605CE406" w:rsidR="0020522C" w:rsidRDefault="6DBE540C" w:rsidP="00EB16C6">
      <w:r>
        <w:t xml:space="preserve">Funding will be provided for </w:t>
      </w:r>
      <w:r w:rsidR="74591FB1">
        <w:t>1</w:t>
      </w:r>
      <w:r w:rsidR="3A2356CD">
        <w:t>,</w:t>
      </w:r>
      <w:r w:rsidR="74591FB1">
        <w:t>000</w:t>
      </w:r>
      <w:r w:rsidR="0AEDE747">
        <w:t xml:space="preserve"> </w:t>
      </w:r>
      <w:r>
        <w:t xml:space="preserve">commencing students </w:t>
      </w:r>
      <w:r w:rsidR="0AEDE747">
        <w:t>each year from</w:t>
      </w:r>
      <w:r>
        <w:t xml:space="preserve"> 2024 </w:t>
      </w:r>
      <w:r w:rsidR="0AEDE747">
        <w:t xml:space="preserve">to 2027 </w:t>
      </w:r>
      <w:r>
        <w:t xml:space="preserve">only. Funding must be </w:t>
      </w:r>
      <w:r w:rsidR="1E24C981">
        <w:t>used</w:t>
      </w:r>
      <w:r>
        <w:t xml:space="preserve"> for </w:t>
      </w:r>
      <w:r w:rsidR="1E24C981">
        <w:t>CSPs</w:t>
      </w:r>
      <w:r>
        <w:t xml:space="preserve"> in approved courses only.</w:t>
      </w:r>
      <w:r w:rsidR="1371D039">
        <w:t xml:space="preserve"> </w:t>
      </w:r>
      <w:r w:rsidR="00EB16C6">
        <w:t xml:space="preserve"> </w:t>
      </w:r>
      <w:r>
        <w:t>Funding distributed as part of this measure will be subject to reconciliation processes in future years. While the funding will be included in a provider’s total</w:t>
      </w:r>
      <w:r w:rsidR="7FABB029">
        <w:t xml:space="preserve"> Maximum Basic Grant Amounts (MBGA)</w:t>
      </w:r>
      <w:r>
        <w:t>, it does not fall under a provider’s base MBGA and w</w:t>
      </w:r>
      <w:r w:rsidR="7FABB029">
        <w:t>ill</w:t>
      </w:r>
      <w:r>
        <w:t xml:space="preserve"> not be subject to the Higher Education Continuity Guarantee in 2</w:t>
      </w:r>
      <w:r w:rsidR="5AC65F88">
        <w:t>024 or 2025</w:t>
      </w:r>
      <w:r>
        <w:t xml:space="preserve">. </w:t>
      </w:r>
    </w:p>
    <w:p w14:paraId="5B07135C" w14:textId="10130489" w:rsidR="00835F48" w:rsidRDefault="1E21D401" w:rsidP="0020522C">
      <w:r>
        <w:lastRenderedPageBreak/>
        <w:t xml:space="preserve">Funding under this measure is dependent on </w:t>
      </w:r>
      <w:r w:rsidR="20C44842">
        <w:t xml:space="preserve">successful universities first exhausting their higher education course funding under their </w:t>
      </w:r>
      <w:r w:rsidR="34BC2016">
        <w:t>MBGA</w:t>
      </w:r>
      <w:r w:rsidR="79A38043">
        <w:t xml:space="preserve">. If a </w:t>
      </w:r>
      <w:r w:rsidR="34BC2016">
        <w:t xml:space="preserve">university allocated funding under this measure does not exhaust its </w:t>
      </w:r>
      <w:r w:rsidR="6040CA14">
        <w:t xml:space="preserve">higher education course advance </w:t>
      </w:r>
      <w:r w:rsidR="34BC2016">
        <w:t xml:space="preserve">for </w:t>
      </w:r>
      <w:r w:rsidR="6040CA14">
        <w:t>any year in which funding for this measure has been allocated, then all additional</w:t>
      </w:r>
      <w:r w:rsidR="3AB8AD15">
        <w:t xml:space="preserve"> funding under this measure will be recouped.</w:t>
      </w:r>
    </w:p>
    <w:p w14:paraId="619EE6A8" w14:textId="6F0C6C4A" w:rsidR="009913CD" w:rsidRDefault="6DBE540C" w:rsidP="00631226">
      <w:r>
        <w:t>Providers will be required to submit estimates of utilisation of these places as per usual CGS estimates collection processes.</w:t>
      </w:r>
      <w:r w:rsidR="05F4DF12">
        <w:t xml:space="preserve"> </w:t>
      </w:r>
      <w:r w:rsidR="5D415CEB">
        <w:t>F</w:t>
      </w:r>
      <w:r w:rsidR="05F4DF12">
        <w:t>unding</w:t>
      </w:r>
      <w:r w:rsidR="5D415CEB">
        <w:t xml:space="preserve"> provided under this measure</w:t>
      </w:r>
      <w:r w:rsidR="05F4DF12">
        <w:t xml:space="preserve"> may be considered</w:t>
      </w:r>
      <w:r w:rsidR="5D415CEB">
        <w:t xml:space="preserve"> for reallocation</w:t>
      </w:r>
      <w:r w:rsidR="05F4DF12">
        <w:t xml:space="preserve"> in instances where providers are unable</w:t>
      </w:r>
      <w:r w:rsidR="5D415CEB">
        <w:t xml:space="preserve"> to deliver additional places.</w:t>
      </w:r>
    </w:p>
    <w:p w14:paraId="2580F9C5" w14:textId="013499CF" w:rsidR="0014132C" w:rsidRPr="0020522C" w:rsidRDefault="6DBE540C" w:rsidP="35533698">
      <w:pPr>
        <w:pStyle w:val="Heading2"/>
        <w:numPr>
          <w:ilvl w:val="0"/>
          <w:numId w:val="21"/>
        </w:numPr>
        <w:spacing w:before="0"/>
        <w:ind w:left="357" w:hanging="357"/>
        <w:rPr>
          <w:color w:val="002C3F"/>
          <w:sz w:val="32"/>
          <w:szCs w:val="32"/>
        </w:rPr>
      </w:pPr>
      <w:r w:rsidRPr="35533698">
        <w:rPr>
          <w:color w:val="002C3F"/>
          <w:sz w:val="32"/>
          <w:szCs w:val="32"/>
        </w:rPr>
        <w:t>Accountability and monitoring</w:t>
      </w:r>
    </w:p>
    <w:p w14:paraId="3ACEB1B0" w14:textId="4721CA87" w:rsidR="0020522C" w:rsidRDefault="7AF71702" w:rsidP="0020522C">
      <w:r>
        <w:t>These places are intended to result in an increase in enrolments of students</w:t>
      </w:r>
      <w:r w:rsidR="302DDF32">
        <w:t xml:space="preserve"> in</w:t>
      </w:r>
      <w:r>
        <w:t xml:space="preserve"> </w:t>
      </w:r>
      <w:r w:rsidR="302DDF32">
        <w:t xml:space="preserve">STEM disciplines which will grow Australia’s capabilities in STEM disciplines and support the </w:t>
      </w:r>
      <w:r w:rsidR="00675589">
        <w:t>Australian Submarine Agency enterprise</w:t>
      </w:r>
      <w:r w:rsidR="302DDF32">
        <w:t xml:space="preserve">. </w:t>
      </w:r>
      <w:r w:rsidR="6DBE540C">
        <w:t xml:space="preserve">The Department of Education will track the progress of providers in meeting the objectives of the measure. </w:t>
      </w:r>
    </w:p>
    <w:p w14:paraId="6EC0313C" w14:textId="1030D54D" w:rsidR="0020522C" w:rsidRDefault="6DBE540C" w:rsidP="0020522C">
      <w:r>
        <w:t xml:space="preserve">This will include additional reporting as part of standard estimates process, where providers will be required to report </w:t>
      </w:r>
      <w:r w:rsidR="302DDF32">
        <w:t xml:space="preserve">on the number </w:t>
      </w:r>
      <w:r>
        <w:t xml:space="preserve">of students enrolled in </w:t>
      </w:r>
      <w:r w:rsidR="302DDF32">
        <w:t>approved courses</w:t>
      </w:r>
      <w:r>
        <w:t>. This is to ensure th</w:t>
      </w:r>
      <w:r w:rsidR="6522F96E">
        <w:t xml:space="preserve">at </w:t>
      </w:r>
      <w:r w:rsidR="302DDF32">
        <w:t>providers are meeting their commitments to expand existing enrolment numbers</w:t>
      </w:r>
      <w:r w:rsidR="6B810FC5">
        <w:t>.</w:t>
      </w:r>
      <w:r>
        <w:t xml:space="preserve"> </w:t>
      </w:r>
    </w:p>
    <w:p w14:paraId="118C25B6" w14:textId="601E2460" w:rsidR="00772718" w:rsidRDefault="004242B5" w:rsidP="0014132C">
      <w:r>
        <w:t>The Department of Education will also engage with providers regularly to seek advice on the providers’ utilisation of these places</w:t>
      </w:r>
      <w:r w:rsidR="006415F3">
        <w:t xml:space="preserve"> to ensure it is in line with </w:t>
      </w:r>
      <w:r w:rsidR="00E57568">
        <w:t>program</w:t>
      </w:r>
      <w:r w:rsidR="006415F3">
        <w:t xml:space="preserve"> objectives</w:t>
      </w:r>
      <w:r w:rsidR="00561ACF">
        <w:t xml:space="preserve"> and may request additional information as part of the condition of grant</w:t>
      </w:r>
      <w:r>
        <w:t>.</w:t>
      </w:r>
    </w:p>
    <w:p w14:paraId="23F1E11A" w14:textId="5FA458BB" w:rsidR="00631226" w:rsidRPr="00051BEE" w:rsidRDefault="52F3CFCA" w:rsidP="00051BEE">
      <w:pPr>
        <w:pStyle w:val="Heading2"/>
        <w:numPr>
          <w:ilvl w:val="0"/>
          <w:numId w:val="21"/>
        </w:numPr>
        <w:spacing w:before="0"/>
        <w:ind w:left="357" w:hanging="357"/>
        <w:rPr>
          <w:color w:val="002C3F"/>
          <w:sz w:val="32"/>
          <w:szCs w:val="32"/>
        </w:rPr>
      </w:pPr>
      <w:r w:rsidRPr="00051BEE">
        <w:rPr>
          <w:color w:val="002C3F"/>
          <w:sz w:val="32"/>
          <w:szCs w:val="32"/>
        </w:rPr>
        <w:t>Roles and responsibilities</w:t>
      </w:r>
    </w:p>
    <w:p w14:paraId="168C3E9E" w14:textId="2E992668" w:rsidR="00631226" w:rsidRDefault="00631226" w:rsidP="00631226">
      <w:r>
        <w:t xml:space="preserve">The Minister for Education has overall responsibility for the program and will make decisions including which provider will receive </w:t>
      </w:r>
      <w:r w:rsidR="004C08C5">
        <w:t xml:space="preserve">an allocation of </w:t>
      </w:r>
      <w:r>
        <w:t xml:space="preserve">funding and the level of funding </w:t>
      </w:r>
      <w:r w:rsidR="004C08C5">
        <w:t>provided</w:t>
      </w:r>
      <w:r>
        <w:t>.</w:t>
      </w:r>
    </w:p>
    <w:p w14:paraId="648CD86E" w14:textId="0A853BC4" w:rsidR="00631226" w:rsidRDefault="52F3CFCA" w:rsidP="00631226">
      <w:r>
        <w:t>The Department</w:t>
      </w:r>
      <w:r w:rsidR="1A9AFB58">
        <w:t>s</w:t>
      </w:r>
      <w:r w:rsidR="2B0D341C">
        <w:t xml:space="preserve"> and relevant officials</w:t>
      </w:r>
      <w:r>
        <w:t xml:space="preserve"> will assess applications and provide advice to the Minister</w:t>
      </w:r>
      <w:r w:rsidR="1A9AFB58">
        <w:t xml:space="preserve"> for Education</w:t>
      </w:r>
      <w:r>
        <w:t xml:space="preserve"> on which proposals</w:t>
      </w:r>
      <w:r w:rsidR="0E886003">
        <w:t xml:space="preserve"> from providers</w:t>
      </w:r>
      <w:r>
        <w:t xml:space="preserve"> (including courses and number of CSPs) should receive funding. </w:t>
      </w:r>
      <w:r w:rsidR="1A9AFB58">
        <w:t>The Minister of Education will consult with the Minister of Defence prior to making final allocations.</w:t>
      </w:r>
    </w:p>
    <w:p w14:paraId="077E06BF" w14:textId="64E3046A" w:rsidR="007F1351" w:rsidRPr="00631226" w:rsidRDefault="52F3CFCA" w:rsidP="00631226">
      <w:r>
        <w:t xml:space="preserve">The Department of Education will also develop conditions of grant for each successful provider, to be reflected in the provider’s CGS funding agreement. </w:t>
      </w:r>
    </w:p>
    <w:p w14:paraId="4C174815" w14:textId="1D42FA1B" w:rsidR="003F1AC3" w:rsidRPr="00051BEE" w:rsidRDefault="69E202B1" w:rsidP="00051BEE">
      <w:pPr>
        <w:pStyle w:val="Heading2"/>
        <w:numPr>
          <w:ilvl w:val="0"/>
          <w:numId w:val="21"/>
        </w:numPr>
        <w:spacing w:before="0"/>
        <w:ind w:left="357" w:hanging="357"/>
        <w:rPr>
          <w:color w:val="002C3F"/>
          <w:sz w:val="32"/>
          <w:szCs w:val="32"/>
        </w:rPr>
      </w:pPr>
      <w:r w:rsidRPr="00051BEE">
        <w:rPr>
          <w:color w:val="002C3F"/>
          <w:sz w:val="32"/>
          <w:szCs w:val="32"/>
        </w:rPr>
        <w:t>Additional information</w:t>
      </w:r>
    </w:p>
    <w:p w14:paraId="14BD3947" w14:textId="255B9C74" w:rsidR="00E57568" w:rsidRDefault="00631226" w:rsidP="003F1AC3">
      <w:r>
        <w:t>In general, the information contained in applications will reflect publicly available information regarding the provider’s strategies and courses, or publicly available as part of the Department of Education suite of provider and student enrolment data. The Department of Education will not disclose data relating to CGS estimates</w:t>
      </w:r>
      <w:r w:rsidR="00E57568">
        <w:t xml:space="preserve"> for individual providers</w:t>
      </w:r>
      <w:r>
        <w:t xml:space="preserve">. </w:t>
      </w:r>
    </w:p>
    <w:p w14:paraId="56A0B94B" w14:textId="54B91743" w:rsidR="00631226" w:rsidRDefault="1371D039" w:rsidP="003F1AC3">
      <w:r>
        <w:t xml:space="preserve">Providers’ Commonwealth Grant Scheme funding agreements will be published on the Department of Education’s website. This will include details of allocated funding, approved courses, and number of places.  </w:t>
      </w:r>
    </w:p>
    <w:p w14:paraId="0F3D9436" w14:textId="6F30DF83" w:rsidR="003F1AC3" w:rsidRDefault="69E202B1" w:rsidP="35533698">
      <w:r>
        <w:t xml:space="preserve">Questions on the program </w:t>
      </w:r>
      <w:r w:rsidR="2AD7E360">
        <w:t xml:space="preserve">and application process </w:t>
      </w:r>
      <w:r>
        <w:t xml:space="preserve">can be submitted via email to </w:t>
      </w:r>
      <w:r w:rsidR="6774FF77" w:rsidRPr="35533698">
        <w:rPr>
          <w:rStyle w:val="Hyperlink"/>
        </w:rPr>
        <w:t>NPSpathways@education.gov.au.</w:t>
      </w:r>
    </w:p>
    <w:sectPr w:rsidR="003F1AC3" w:rsidSect="00730D92">
      <w:footerReference w:type="default" r:id="rId15"/>
      <w:footerReference w:type="first" r:id="rId16"/>
      <w:type w:val="continuous"/>
      <w:pgSz w:w="11906" w:h="16838"/>
      <w:pgMar w:top="964" w:right="1418"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A64B" w14:textId="77777777" w:rsidR="00E979E6" w:rsidRDefault="00E979E6" w:rsidP="0051352E">
      <w:pPr>
        <w:spacing w:after="0" w:line="240" w:lineRule="auto"/>
      </w:pPr>
      <w:r>
        <w:separator/>
      </w:r>
    </w:p>
  </w:endnote>
  <w:endnote w:type="continuationSeparator" w:id="0">
    <w:p w14:paraId="1683A453" w14:textId="77777777" w:rsidR="00E979E6" w:rsidRDefault="00E979E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6A60" w14:textId="77777777" w:rsidR="00662A42" w:rsidRDefault="00662A42">
    <w:pPr>
      <w:pStyle w:val="Footer"/>
    </w:pPr>
    <w:r>
      <w:rPr>
        <w:noProof/>
        <w:lang w:eastAsia="en-AU"/>
      </w:rPr>
      <mc:AlternateContent>
        <mc:Choice Requires="wps">
          <w:drawing>
            <wp:anchor distT="0" distB="0" distL="114300" distR="114300" simplePos="0" relativeHeight="251661312" behindDoc="0" locked="0" layoutInCell="1" allowOverlap="1" wp14:anchorId="0B4B546D" wp14:editId="63F28C3F">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6576EA93">
            <v:rect id="Rectangle 5"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14C23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D73C" w14:textId="77777777" w:rsidR="00662A42" w:rsidRDefault="00662A42">
    <w:pPr>
      <w:pStyle w:val="Footer"/>
    </w:pPr>
    <w:r>
      <w:rPr>
        <w:noProof/>
        <w:lang w:eastAsia="en-AU"/>
      </w:rPr>
      <mc:AlternateContent>
        <mc:Choice Requires="wps">
          <w:drawing>
            <wp:anchor distT="0" distB="0" distL="114300" distR="114300" simplePos="0" relativeHeight="251659264" behindDoc="0" locked="0" layoutInCell="1" allowOverlap="1" wp14:anchorId="6AFB44FF" wp14:editId="4492CAFF">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07745EEA">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47355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AEF1" w14:textId="77777777" w:rsidR="00E979E6" w:rsidRDefault="00E979E6" w:rsidP="0051352E">
      <w:pPr>
        <w:spacing w:after="0" w:line="240" w:lineRule="auto"/>
      </w:pPr>
      <w:r>
        <w:separator/>
      </w:r>
    </w:p>
  </w:footnote>
  <w:footnote w:type="continuationSeparator" w:id="0">
    <w:p w14:paraId="27628DA7" w14:textId="77777777" w:rsidR="00E979E6" w:rsidRDefault="00E979E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581E"/>
    <w:multiLevelType w:val="multilevel"/>
    <w:tmpl w:val="8A04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D7AFEB"/>
    <w:multiLevelType w:val="hybridMultilevel"/>
    <w:tmpl w:val="38C0B14C"/>
    <w:lvl w:ilvl="0" w:tplc="420EA38E">
      <w:start w:val="1"/>
      <w:numFmt w:val="bullet"/>
      <w:lvlText w:val=""/>
      <w:lvlJc w:val="left"/>
      <w:pPr>
        <w:ind w:left="720" w:hanging="360"/>
      </w:pPr>
      <w:rPr>
        <w:rFonts w:ascii="Symbol" w:hAnsi="Symbol" w:hint="default"/>
      </w:rPr>
    </w:lvl>
    <w:lvl w:ilvl="1" w:tplc="0A70A826">
      <w:start w:val="1"/>
      <w:numFmt w:val="bullet"/>
      <w:lvlText w:val="o"/>
      <w:lvlJc w:val="left"/>
      <w:pPr>
        <w:ind w:left="1440" w:hanging="360"/>
      </w:pPr>
      <w:rPr>
        <w:rFonts w:ascii="Courier New" w:hAnsi="Courier New" w:hint="default"/>
      </w:rPr>
    </w:lvl>
    <w:lvl w:ilvl="2" w:tplc="66A2C8A8">
      <w:start w:val="1"/>
      <w:numFmt w:val="bullet"/>
      <w:lvlText w:val=""/>
      <w:lvlJc w:val="left"/>
      <w:pPr>
        <w:ind w:left="2160" w:hanging="360"/>
      </w:pPr>
      <w:rPr>
        <w:rFonts w:ascii="Wingdings" w:hAnsi="Wingdings" w:hint="default"/>
      </w:rPr>
    </w:lvl>
    <w:lvl w:ilvl="3" w:tplc="89A05D46">
      <w:start w:val="1"/>
      <w:numFmt w:val="bullet"/>
      <w:lvlText w:val=""/>
      <w:lvlJc w:val="left"/>
      <w:pPr>
        <w:ind w:left="2880" w:hanging="360"/>
      </w:pPr>
      <w:rPr>
        <w:rFonts w:ascii="Symbol" w:hAnsi="Symbol" w:hint="default"/>
      </w:rPr>
    </w:lvl>
    <w:lvl w:ilvl="4" w:tplc="BA70107C">
      <w:start w:val="1"/>
      <w:numFmt w:val="bullet"/>
      <w:lvlText w:val="o"/>
      <w:lvlJc w:val="left"/>
      <w:pPr>
        <w:ind w:left="3600" w:hanging="360"/>
      </w:pPr>
      <w:rPr>
        <w:rFonts w:ascii="Courier New" w:hAnsi="Courier New" w:hint="default"/>
      </w:rPr>
    </w:lvl>
    <w:lvl w:ilvl="5" w:tplc="DAB0515C">
      <w:start w:val="1"/>
      <w:numFmt w:val="bullet"/>
      <w:lvlText w:val=""/>
      <w:lvlJc w:val="left"/>
      <w:pPr>
        <w:ind w:left="4320" w:hanging="360"/>
      </w:pPr>
      <w:rPr>
        <w:rFonts w:ascii="Wingdings" w:hAnsi="Wingdings" w:hint="default"/>
      </w:rPr>
    </w:lvl>
    <w:lvl w:ilvl="6" w:tplc="9CC26474">
      <w:start w:val="1"/>
      <w:numFmt w:val="bullet"/>
      <w:lvlText w:val=""/>
      <w:lvlJc w:val="left"/>
      <w:pPr>
        <w:ind w:left="5040" w:hanging="360"/>
      </w:pPr>
      <w:rPr>
        <w:rFonts w:ascii="Symbol" w:hAnsi="Symbol" w:hint="default"/>
      </w:rPr>
    </w:lvl>
    <w:lvl w:ilvl="7" w:tplc="3CE0B3C6">
      <w:start w:val="1"/>
      <w:numFmt w:val="bullet"/>
      <w:lvlText w:val="o"/>
      <w:lvlJc w:val="left"/>
      <w:pPr>
        <w:ind w:left="5760" w:hanging="360"/>
      </w:pPr>
      <w:rPr>
        <w:rFonts w:ascii="Courier New" w:hAnsi="Courier New" w:hint="default"/>
      </w:rPr>
    </w:lvl>
    <w:lvl w:ilvl="8" w:tplc="2D347BB8">
      <w:start w:val="1"/>
      <w:numFmt w:val="bullet"/>
      <w:lvlText w:val=""/>
      <w:lvlJc w:val="left"/>
      <w:pPr>
        <w:ind w:left="6480" w:hanging="360"/>
      </w:pPr>
      <w:rPr>
        <w:rFonts w:ascii="Wingdings" w:hAnsi="Wingdings" w:hint="default"/>
      </w:rPr>
    </w:lvl>
  </w:abstractNum>
  <w:abstractNum w:abstractNumId="12" w15:restartNumberingAfterBreak="0">
    <w:nsid w:val="100138DE"/>
    <w:multiLevelType w:val="hybridMultilevel"/>
    <w:tmpl w:val="331E94F8"/>
    <w:lvl w:ilvl="0" w:tplc="5F4ECFF0">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493278"/>
    <w:multiLevelType w:val="hybridMultilevel"/>
    <w:tmpl w:val="C712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508E5"/>
    <w:multiLevelType w:val="hybridMultilevel"/>
    <w:tmpl w:val="C562C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A5929"/>
    <w:multiLevelType w:val="multilevel"/>
    <w:tmpl w:val="76C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4D64AB"/>
    <w:multiLevelType w:val="hybridMultilevel"/>
    <w:tmpl w:val="706A0D30"/>
    <w:lvl w:ilvl="0" w:tplc="DED8AE6C">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F7158F"/>
    <w:multiLevelType w:val="hybridMultilevel"/>
    <w:tmpl w:val="6CDEE1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CDC140B"/>
    <w:multiLevelType w:val="hybridMultilevel"/>
    <w:tmpl w:val="4A0E5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9A1CBF"/>
    <w:multiLevelType w:val="hybridMultilevel"/>
    <w:tmpl w:val="EED85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D8B8CC"/>
    <w:multiLevelType w:val="hybridMultilevel"/>
    <w:tmpl w:val="A2841AA4"/>
    <w:lvl w:ilvl="0" w:tplc="4B764864">
      <w:start w:val="1"/>
      <w:numFmt w:val="decimal"/>
      <w:lvlText w:val="%1."/>
      <w:lvlJc w:val="left"/>
      <w:pPr>
        <w:ind w:left="360" w:hanging="360"/>
      </w:pPr>
    </w:lvl>
    <w:lvl w:ilvl="1" w:tplc="70225766">
      <w:start w:val="1"/>
      <w:numFmt w:val="lowerLetter"/>
      <w:lvlText w:val="%2."/>
      <w:lvlJc w:val="left"/>
      <w:pPr>
        <w:ind w:left="1440" w:hanging="360"/>
      </w:pPr>
    </w:lvl>
    <w:lvl w:ilvl="2" w:tplc="441E960C">
      <w:start w:val="1"/>
      <w:numFmt w:val="lowerRoman"/>
      <w:lvlText w:val="%3."/>
      <w:lvlJc w:val="right"/>
      <w:pPr>
        <w:ind w:left="2160" w:hanging="180"/>
      </w:pPr>
    </w:lvl>
    <w:lvl w:ilvl="3" w:tplc="BC3017AC">
      <w:start w:val="1"/>
      <w:numFmt w:val="decimal"/>
      <w:lvlText w:val="%4."/>
      <w:lvlJc w:val="left"/>
      <w:pPr>
        <w:ind w:left="2880" w:hanging="360"/>
      </w:pPr>
    </w:lvl>
    <w:lvl w:ilvl="4" w:tplc="74705CD8">
      <w:start w:val="1"/>
      <w:numFmt w:val="lowerLetter"/>
      <w:lvlText w:val="%5."/>
      <w:lvlJc w:val="left"/>
      <w:pPr>
        <w:ind w:left="3600" w:hanging="360"/>
      </w:pPr>
    </w:lvl>
    <w:lvl w:ilvl="5" w:tplc="5D18FA6A">
      <w:start w:val="1"/>
      <w:numFmt w:val="lowerRoman"/>
      <w:lvlText w:val="%6."/>
      <w:lvlJc w:val="right"/>
      <w:pPr>
        <w:ind w:left="4320" w:hanging="180"/>
      </w:pPr>
    </w:lvl>
    <w:lvl w:ilvl="6" w:tplc="4550882C">
      <w:start w:val="1"/>
      <w:numFmt w:val="decimal"/>
      <w:lvlText w:val="%7."/>
      <w:lvlJc w:val="left"/>
      <w:pPr>
        <w:ind w:left="5040" w:hanging="360"/>
      </w:pPr>
    </w:lvl>
    <w:lvl w:ilvl="7" w:tplc="71BEE110">
      <w:start w:val="1"/>
      <w:numFmt w:val="lowerLetter"/>
      <w:lvlText w:val="%8."/>
      <w:lvlJc w:val="left"/>
      <w:pPr>
        <w:ind w:left="5760" w:hanging="360"/>
      </w:pPr>
    </w:lvl>
    <w:lvl w:ilvl="8" w:tplc="DBD61CCC">
      <w:start w:val="1"/>
      <w:numFmt w:val="lowerRoman"/>
      <w:lvlText w:val="%9."/>
      <w:lvlJc w:val="right"/>
      <w:pPr>
        <w:ind w:left="6480" w:hanging="180"/>
      </w:pPr>
    </w:lvl>
  </w:abstractNum>
  <w:abstractNum w:abstractNumId="24" w15:restartNumberingAfterBreak="0">
    <w:nsid w:val="5203AF81"/>
    <w:multiLevelType w:val="hybridMultilevel"/>
    <w:tmpl w:val="A2D0A3FA"/>
    <w:lvl w:ilvl="0" w:tplc="50A0876A">
      <w:start w:val="1"/>
      <w:numFmt w:val="bullet"/>
      <w:lvlText w:val=""/>
      <w:lvlJc w:val="left"/>
      <w:pPr>
        <w:ind w:left="720" w:hanging="360"/>
      </w:pPr>
      <w:rPr>
        <w:rFonts w:ascii="Symbol" w:hAnsi="Symbol" w:hint="default"/>
      </w:rPr>
    </w:lvl>
    <w:lvl w:ilvl="1" w:tplc="8E0E2DFC">
      <w:start w:val="1"/>
      <w:numFmt w:val="bullet"/>
      <w:lvlText w:val="o"/>
      <w:lvlJc w:val="left"/>
      <w:pPr>
        <w:ind w:left="1440" w:hanging="360"/>
      </w:pPr>
      <w:rPr>
        <w:rFonts w:ascii="Courier New" w:hAnsi="Courier New" w:hint="default"/>
      </w:rPr>
    </w:lvl>
    <w:lvl w:ilvl="2" w:tplc="98C4170A">
      <w:start w:val="1"/>
      <w:numFmt w:val="bullet"/>
      <w:lvlText w:val=""/>
      <w:lvlJc w:val="left"/>
      <w:pPr>
        <w:ind w:left="2160" w:hanging="360"/>
      </w:pPr>
      <w:rPr>
        <w:rFonts w:ascii="Wingdings" w:hAnsi="Wingdings" w:hint="default"/>
      </w:rPr>
    </w:lvl>
    <w:lvl w:ilvl="3" w:tplc="38B835A0">
      <w:start w:val="1"/>
      <w:numFmt w:val="bullet"/>
      <w:lvlText w:val=""/>
      <w:lvlJc w:val="left"/>
      <w:pPr>
        <w:ind w:left="2880" w:hanging="360"/>
      </w:pPr>
      <w:rPr>
        <w:rFonts w:ascii="Symbol" w:hAnsi="Symbol" w:hint="default"/>
      </w:rPr>
    </w:lvl>
    <w:lvl w:ilvl="4" w:tplc="A1721A7C">
      <w:start w:val="1"/>
      <w:numFmt w:val="bullet"/>
      <w:lvlText w:val="o"/>
      <w:lvlJc w:val="left"/>
      <w:pPr>
        <w:ind w:left="3600" w:hanging="360"/>
      </w:pPr>
      <w:rPr>
        <w:rFonts w:ascii="Courier New" w:hAnsi="Courier New" w:hint="default"/>
      </w:rPr>
    </w:lvl>
    <w:lvl w:ilvl="5" w:tplc="7A940956">
      <w:start w:val="1"/>
      <w:numFmt w:val="bullet"/>
      <w:lvlText w:val=""/>
      <w:lvlJc w:val="left"/>
      <w:pPr>
        <w:ind w:left="4320" w:hanging="360"/>
      </w:pPr>
      <w:rPr>
        <w:rFonts w:ascii="Wingdings" w:hAnsi="Wingdings" w:hint="default"/>
      </w:rPr>
    </w:lvl>
    <w:lvl w:ilvl="6" w:tplc="A03CBB32">
      <w:start w:val="1"/>
      <w:numFmt w:val="bullet"/>
      <w:lvlText w:val=""/>
      <w:lvlJc w:val="left"/>
      <w:pPr>
        <w:ind w:left="5040" w:hanging="360"/>
      </w:pPr>
      <w:rPr>
        <w:rFonts w:ascii="Symbol" w:hAnsi="Symbol" w:hint="default"/>
      </w:rPr>
    </w:lvl>
    <w:lvl w:ilvl="7" w:tplc="1F8450FC">
      <w:start w:val="1"/>
      <w:numFmt w:val="bullet"/>
      <w:lvlText w:val="o"/>
      <w:lvlJc w:val="left"/>
      <w:pPr>
        <w:ind w:left="5760" w:hanging="360"/>
      </w:pPr>
      <w:rPr>
        <w:rFonts w:ascii="Courier New" w:hAnsi="Courier New" w:hint="default"/>
      </w:rPr>
    </w:lvl>
    <w:lvl w:ilvl="8" w:tplc="61DEE3C4">
      <w:start w:val="1"/>
      <w:numFmt w:val="bullet"/>
      <w:lvlText w:val=""/>
      <w:lvlJc w:val="left"/>
      <w:pPr>
        <w:ind w:left="6480" w:hanging="360"/>
      </w:pPr>
      <w:rPr>
        <w:rFonts w:ascii="Wingdings" w:hAnsi="Wingdings" w:hint="default"/>
      </w:rPr>
    </w:lvl>
  </w:abstractNum>
  <w:abstractNum w:abstractNumId="25" w15:restartNumberingAfterBreak="0">
    <w:nsid w:val="5A5AA21E"/>
    <w:multiLevelType w:val="hybridMultilevel"/>
    <w:tmpl w:val="49525894"/>
    <w:lvl w:ilvl="0" w:tplc="9CD8904C">
      <w:start w:val="1"/>
      <w:numFmt w:val="decimal"/>
      <w:lvlText w:val="%1."/>
      <w:lvlJc w:val="left"/>
      <w:pPr>
        <w:ind w:left="360" w:hanging="360"/>
      </w:pPr>
    </w:lvl>
    <w:lvl w:ilvl="1" w:tplc="3D6EFD60">
      <w:start w:val="1"/>
      <w:numFmt w:val="lowerLetter"/>
      <w:lvlText w:val="%2."/>
      <w:lvlJc w:val="left"/>
      <w:pPr>
        <w:ind w:left="1440" w:hanging="360"/>
      </w:pPr>
    </w:lvl>
    <w:lvl w:ilvl="2" w:tplc="DE0AB95A">
      <w:start w:val="1"/>
      <w:numFmt w:val="lowerRoman"/>
      <w:lvlText w:val="%3."/>
      <w:lvlJc w:val="right"/>
      <w:pPr>
        <w:ind w:left="2160" w:hanging="180"/>
      </w:pPr>
    </w:lvl>
    <w:lvl w:ilvl="3" w:tplc="47EC9FF4">
      <w:start w:val="1"/>
      <w:numFmt w:val="decimal"/>
      <w:lvlText w:val="%4."/>
      <w:lvlJc w:val="left"/>
      <w:pPr>
        <w:ind w:left="2880" w:hanging="360"/>
      </w:pPr>
    </w:lvl>
    <w:lvl w:ilvl="4" w:tplc="D694622E">
      <w:start w:val="1"/>
      <w:numFmt w:val="lowerLetter"/>
      <w:lvlText w:val="%5."/>
      <w:lvlJc w:val="left"/>
      <w:pPr>
        <w:ind w:left="3600" w:hanging="360"/>
      </w:pPr>
    </w:lvl>
    <w:lvl w:ilvl="5" w:tplc="14DE065E">
      <w:start w:val="1"/>
      <w:numFmt w:val="lowerRoman"/>
      <w:lvlText w:val="%6."/>
      <w:lvlJc w:val="right"/>
      <w:pPr>
        <w:ind w:left="4320" w:hanging="180"/>
      </w:pPr>
    </w:lvl>
    <w:lvl w:ilvl="6" w:tplc="BE78AB14">
      <w:start w:val="1"/>
      <w:numFmt w:val="decimal"/>
      <w:lvlText w:val="%7."/>
      <w:lvlJc w:val="left"/>
      <w:pPr>
        <w:ind w:left="5040" w:hanging="360"/>
      </w:pPr>
    </w:lvl>
    <w:lvl w:ilvl="7" w:tplc="BDEEFAF4">
      <w:start w:val="1"/>
      <w:numFmt w:val="lowerLetter"/>
      <w:lvlText w:val="%8."/>
      <w:lvlJc w:val="left"/>
      <w:pPr>
        <w:ind w:left="5760" w:hanging="360"/>
      </w:pPr>
    </w:lvl>
    <w:lvl w:ilvl="8" w:tplc="0EC2672C">
      <w:start w:val="1"/>
      <w:numFmt w:val="lowerRoman"/>
      <w:lvlText w:val="%9."/>
      <w:lvlJc w:val="right"/>
      <w:pPr>
        <w:ind w:left="6480" w:hanging="180"/>
      </w:pPr>
    </w:lvl>
  </w:abstractNum>
  <w:abstractNum w:abstractNumId="26" w15:restartNumberingAfterBreak="0">
    <w:nsid w:val="5E80202A"/>
    <w:multiLevelType w:val="hybridMultilevel"/>
    <w:tmpl w:val="6BECD908"/>
    <w:lvl w:ilvl="0" w:tplc="75CEFCA2">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1869DC9"/>
    <w:multiLevelType w:val="multilevel"/>
    <w:tmpl w:val="25241D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3CBD5C"/>
    <w:multiLevelType w:val="multilevel"/>
    <w:tmpl w:val="AB74F4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3094"/>
    <w:multiLevelType w:val="multilevel"/>
    <w:tmpl w:val="6092264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BD37F8"/>
    <w:multiLevelType w:val="hybridMultilevel"/>
    <w:tmpl w:val="0C5A15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EE0B1B"/>
    <w:multiLevelType w:val="hybridMultilevel"/>
    <w:tmpl w:val="4B66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F372C2"/>
    <w:multiLevelType w:val="multilevel"/>
    <w:tmpl w:val="F7401E6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2791856">
    <w:abstractNumId w:val="24"/>
  </w:num>
  <w:num w:numId="2" w16cid:durableId="137381280">
    <w:abstractNumId w:val="11"/>
  </w:num>
  <w:num w:numId="3" w16cid:durableId="1416626717">
    <w:abstractNumId w:val="23"/>
  </w:num>
  <w:num w:numId="4" w16cid:durableId="734740311">
    <w:abstractNumId w:val="28"/>
  </w:num>
  <w:num w:numId="5" w16cid:durableId="2136096055">
    <w:abstractNumId w:val="25"/>
  </w:num>
  <w:num w:numId="6" w16cid:durableId="344868802">
    <w:abstractNumId w:val="27"/>
  </w:num>
  <w:num w:numId="7" w16cid:durableId="2137215768">
    <w:abstractNumId w:val="32"/>
  </w:num>
  <w:num w:numId="8" w16cid:durableId="436563958">
    <w:abstractNumId w:val="9"/>
  </w:num>
  <w:num w:numId="9" w16cid:durableId="55401619">
    <w:abstractNumId w:val="7"/>
  </w:num>
  <w:num w:numId="10" w16cid:durableId="2135370579">
    <w:abstractNumId w:val="6"/>
  </w:num>
  <w:num w:numId="11" w16cid:durableId="1564828305">
    <w:abstractNumId w:val="5"/>
  </w:num>
  <w:num w:numId="12" w16cid:durableId="2137025455">
    <w:abstractNumId w:val="4"/>
  </w:num>
  <w:num w:numId="13" w16cid:durableId="848526299">
    <w:abstractNumId w:val="8"/>
  </w:num>
  <w:num w:numId="14" w16cid:durableId="1261179850">
    <w:abstractNumId w:val="3"/>
  </w:num>
  <w:num w:numId="15" w16cid:durableId="1642150442">
    <w:abstractNumId w:val="2"/>
  </w:num>
  <w:num w:numId="16" w16cid:durableId="17053314">
    <w:abstractNumId w:val="1"/>
  </w:num>
  <w:num w:numId="17" w16cid:durableId="936016767">
    <w:abstractNumId w:val="0"/>
  </w:num>
  <w:num w:numId="18" w16cid:durableId="410279959">
    <w:abstractNumId w:val="13"/>
  </w:num>
  <w:num w:numId="19" w16cid:durableId="1453136510">
    <w:abstractNumId w:val="17"/>
  </w:num>
  <w:num w:numId="20" w16cid:durableId="2057271441">
    <w:abstractNumId w:val="18"/>
  </w:num>
  <w:num w:numId="21" w16cid:durableId="2002082960">
    <w:abstractNumId w:val="29"/>
  </w:num>
  <w:num w:numId="22" w16cid:durableId="1692297995">
    <w:abstractNumId w:val="12"/>
  </w:num>
  <w:num w:numId="23" w16cid:durableId="1658993317">
    <w:abstractNumId w:val="20"/>
  </w:num>
  <w:num w:numId="24" w16cid:durableId="219025589">
    <w:abstractNumId w:val="15"/>
  </w:num>
  <w:num w:numId="25" w16cid:durableId="934479174">
    <w:abstractNumId w:val="19"/>
  </w:num>
  <w:num w:numId="26" w16cid:durableId="2069381819">
    <w:abstractNumId w:val="26"/>
  </w:num>
  <w:num w:numId="27" w16cid:durableId="1959950451">
    <w:abstractNumId w:val="14"/>
  </w:num>
  <w:num w:numId="28" w16cid:durableId="740374683">
    <w:abstractNumId w:val="31"/>
  </w:num>
  <w:num w:numId="29" w16cid:durableId="228924809">
    <w:abstractNumId w:val="10"/>
  </w:num>
  <w:num w:numId="30" w16cid:durableId="1638800178">
    <w:abstractNumId w:val="16"/>
  </w:num>
  <w:num w:numId="31" w16cid:durableId="1096440565">
    <w:abstractNumId w:val="22"/>
  </w:num>
  <w:num w:numId="32" w16cid:durableId="1960212893">
    <w:abstractNumId w:val="21"/>
  </w:num>
  <w:num w:numId="33" w16cid:durableId="20227053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2F4"/>
    <w:rsid w:val="00000A91"/>
    <w:rsid w:val="00006E2A"/>
    <w:rsid w:val="000248A1"/>
    <w:rsid w:val="00045C97"/>
    <w:rsid w:val="000478DC"/>
    <w:rsid w:val="00051BEE"/>
    <w:rsid w:val="00052BBC"/>
    <w:rsid w:val="00066FDA"/>
    <w:rsid w:val="00067075"/>
    <w:rsid w:val="0007136D"/>
    <w:rsid w:val="00077C11"/>
    <w:rsid w:val="0009610E"/>
    <w:rsid w:val="000A0164"/>
    <w:rsid w:val="000A3AE1"/>
    <w:rsid w:val="000A453D"/>
    <w:rsid w:val="000A5044"/>
    <w:rsid w:val="000A7EDC"/>
    <w:rsid w:val="000B0A59"/>
    <w:rsid w:val="000B12A6"/>
    <w:rsid w:val="000B2A97"/>
    <w:rsid w:val="000B449A"/>
    <w:rsid w:val="000E4BC4"/>
    <w:rsid w:val="000F05BF"/>
    <w:rsid w:val="000F37B1"/>
    <w:rsid w:val="000F3CC0"/>
    <w:rsid w:val="000F468B"/>
    <w:rsid w:val="00111085"/>
    <w:rsid w:val="00111460"/>
    <w:rsid w:val="00112B6B"/>
    <w:rsid w:val="00120C89"/>
    <w:rsid w:val="00133E64"/>
    <w:rsid w:val="0014132C"/>
    <w:rsid w:val="00150E8F"/>
    <w:rsid w:val="001541C8"/>
    <w:rsid w:val="00156287"/>
    <w:rsid w:val="00157F35"/>
    <w:rsid w:val="00160233"/>
    <w:rsid w:val="001728C4"/>
    <w:rsid w:val="001743A9"/>
    <w:rsid w:val="00181C99"/>
    <w:rsid w:val="001861A3"/>
    <w:rsid w:val="001947DA"/>
    <w:rsid w:val="001A156D"/>
    <w:rsid w:val="001B0455"/>
    <w:rsid w:val="001B2510"/>
    <w:rsid w:val="001B7828"/>
    <w:rsid w:val="001C1200"/>
    <w:rsid w:val="001CAE92"/>
    <w:rsid w:val="001D67F6"/>
    <w:rsid w:val="001E4840"/>
    <w:rsid w:val="001E712C"/>
    <w:rsid w:val="001F79EA"/>
    <w:rsid w:val="002049DC"/>
    <w:rsid w:val="00204C9B"/>
    <w:rsid w:val="0020522C"/>
    <w:rsid w:val="00210EF4"/>
    <w:rsid w:val="00215482"/>
    <w:rsid w:val="00217EAB"/>
    <w:rsid w:val="00220179"/>
    <w:rsid w:val="0022498C"/>
    <w:rsid w:val="0022626C"/>
    <w:rsid w:val="002348FE"/>
    <w:rsid w:val="00243A7E"/>
    <w:rsid w:val="00252FE0"/>
    <w:rsid w:val="00260470"/>
    <w:rsid w:val="00262407"/>
    <w:rsid w:val="00262563"/>
    <w:rsid w:val="00263836"/>
    <w:rsid w:val="002724D0"/>
    <w:rsid w:val="00273A56"/>
    <w:rsid w:val="0028379B"/>
    <w:rsid w:val="002A0B96"/>
    <w:rsid w:val="002A1B02"/>
    <w:rsid w:val="002A3C4C"/>
    <w:rsid w:val="002A62C3"/>
    <w:rsid w:val="002A66BF"/>
    <w:rsid w:val="002A7840"/>
    <w:rsid w:val="002B1B8E"/>
    <w:rsid w:val="002B1CE5"/>
    <w:rsid w:val="002D1A4A"/>
    <w:rsid w:val="002D1C61"/>
    <w:rsid w:val="002D2473"/>
    <w:rsid w:val="002D3C83"/>
    <w:rsid w:val="002F3560"/>
    <w:rsid w:val="002F4DB3"/>
    <w:rsid w:val="00304A2A"/>
    <w:rsid w:val="00310245"/>
    <w:rsid w:val="00315D55"/>
    <w:rsid w:val="00331255"/>
    <w:rsid w:val="00343085"/>
    <w:rsid w:val="00350FFA"/>
    <w:rsid w:val="00355D4F"/>
    <w:rsid w:val="00360DB6"/>
    <w:rsid w:val="003729A4"/>
    <w:rsid w:val="00382F07"/>
    <w:rsid w:val="0039670A"/>
    <w:rsid w:val="003B04A6"/>
    <w:rsid w:val="003B0550"/>
    <w:rsid w:val="003B0BA0"/>
    <w:rsid w:val="003B1AC3"/>
    <w:rsid w:val="003D1A7C"/>
    <w:rsid w:val="003F1AC3"/>
    <w:rsid w:val="003F42F9"/>
    <w:rsid w:val="003F4875"/>
    <w:rsid w:val="004015CB"/>
    <w:rsid w:val="004121A6"/>
    <w:rsid w:val="00414677"/>
    <w:rsid w:val="004204FB"/>
    <w:rsid w:val="00422DD1"/>
    <w:rsid w:val="00423333"/>
    <w:rsid w:val="004242B5"/>
    <w:rsid w:val="00430F0B"/>
    <w:rsid w:val="00432D9F"/>
    <w:rsid w:val="00442BB6"/>
    <w:rsid w:val="004520ED"/>
    <w:rsid w:val="00453C04"/>
    <w:rsid w:val="00472C4F"/>
    <w:rsid w:val="004749EE"/>
    <w:rsid w:val="004805B3"/>
    <w:rsid w:val="00486DF5"/>
    <w:rsid w:val="004928CF"/>
    <w:rsid w:val="00497764"/>
    <w:rsid w:val="004B401F"/>
    <w:rsid w:val="004C08C5"/>
    <w:rsid w:val="004C54E4"/>
    <w:rsid w:val="004D588F"/>
    <w:rsid w:val="004E1BBC"/>
    <w:rsid w:val="004E46D4"/>
    <w:rsid w:val="004E60F9"/>
    <w:rsid w:val="004F0D72"/>
    <w:rsid w:val="00510754"/>
    <w:rsid w:val="00512EBB"/>
    <w:rsid w:val="0051352E"/>
    <w:rsid w:val="00517DA7"/>
    <w:rsid w:val="00520A33"/>
    <w:rsid w:val="00527AE4"/>
    <w:rsid w:val="00552297"/>
    <w:rsid w:val="0055569D"/>
    <w:rsid w:val="005569C5"/>
    <w:rsid w:val="00561ACF"/>
    <w:rsid w:val="00561D20"/>
    <w:rsid w:val="00573D6A"/>
    <w:rsid w:val="00575C14"/>
    <w:rsid w:val="005867B9"/>
    <w:rsid w:val="00590DAF"/>
    <w:rsid w:val="00596A88"/>
    <w:rsid w:val="005A63C8"/>
    <w:rsid w:val="005A6A27"/>
    <w:rsid w:val="005C5781"/>
    <w:rsid w:val="005D56D8"/>
    <w:rsid w:val="005D702C"/>
    <w:rsid w:val="005D7CE7"/>
    <w:rsid w:val="005E36E0"/>
    <w:rsid w:val="005F2673"/>
    <w:rsid w:val="005F3502"/>
    <w:rsid w:val="00610A38"/>
    <w:rsid w:val="00630DDF"/>
    <w:rsid w:val="00631226"/>
    <w:rsid w:val="006415F3"/>
    <w:rsid w:val="00652157"/>
    <w:rsid w:val="00652771"/>
    <w:rsid w:val="00653EB2"/>
    <w:rsid w:val="0066266D"/>
    <w:rsid w:val="00662A42"/>
    <w:rsid w:val="00675589"/>
    <w:rsid w:val="0068007C"/>
    <w:rsid w:val="006930D5"/>
    <w:rsid w:val="006953F1"/>
    <w:rsid w:val="00697033"/>
    <w:rsid w:val="006A061C"/>
    <w:rsid w:val="006B7FA7"/>
    <w:rsid w:val="006C2500"/>
    <w:rsid w:val="006D154E"/>
    <w:rsid w:val="006D28E8"/>
    <w:rsid w:val="006E5D6E"/>
    <w:rsid w:val="006E5FC6"/>
    <w:rsid w:val="006F25CF"/>
    <w:rsid w:val="007016A1"/>
    <w:rsid w:val="00721B03"/>
    <w:rsid w:val="00730D92"/>
    <w:rsid w:val="0073756F"/>
    <w:rsid w:val="0074036C"/>
    <w:rsid w:val="00741801"/>
    <w:rsid w:val="00744A27"/>
    <w:rsid w:val="00746928"/>
    <w:rsid w:val="00750E86"/>
    <w:rsid w:val="00754A82"/>
    <w:rsid w:val="007570DC"/>
    <w:rsid w:val="00757D15"/>
    <w:rsid w:val="00766D79"/>
    <w:rsid w:val="00772718"/>
    <w:rsid w:val="00774A8C"/>
    <w:rsid w:val="00775AD0"/>
    <w:rsid w:val="00790C5E"/>
    <w:rsid w:val="007935AD"/>
    <w:rsid w:val="0079367A"/>
    <w:rsid w:val="007B1ABA"/>
    <w:rsid w:val="007B74C5"/>
    <w:rsid w:val="007D444D"/>
    <w:rsid w:val="007D4580"/>
    <w:rsid w:val="007F1351"/>
    <w:rsid w:val="0081130D"/>
    <w:rsid w:val="00812270"/>
    <w:rsid w:val="00813765"/>
    <w:rsid w:val="0081566C"/>
    <w:rsid w:val="00820FFF"/>
    <w:rsid w:val="00823122"/>
    <w:rsid w:val="00835F48"/>
    <w:rsid w:val="00835F5A"/>
    <w:rsid w:val="00837508"/>
    <w:rsid w:val="00842C50"/>
    <w:rsid w:val="008507C1"/>
    <w:rsid w:val="00853273"/>
    <w:rsid w:val="00861934"/>
    <w:rsid w:val="00880402"/>
    <w:rsid w:val="00887FB6"/>
    <w:rsid w:val="0089307C"/>
    <w:rsid w:val="00896DCD"/>
    <w:rsid w:val="00897721"/>
    <w:rsid w:val="008A00A2"/>
    <w:rsid w:val="008A1C1A"/>
    <w:rsid w:val="008B401F"/>
    <w:rsid w:val="008B711C"/>
    <w:rsid w:val="008C2453"/>
    <w:rsid w:val="008C6F51"/>
    <w:rsid w:val="008D15AE"/>
    <w:rsid w:val="008E22BA"/>
    <w:rsid w:val="008E603D"/>
    <w:rsid w:val="008E616A"/>
    <w:rsid w:val="008F0AC9"/>
    <w:rsid w:val="008F406F"/>
    <w:rsid w:val="00900F7F"/>
    <w:rsid w:val="00901962"/>
    <w:rsid w:val="00902B8E"/>
    <w:rsid w:val="00905DF4"/>
    <w:rsid w:val="00910A99"/>
    <w:rsid w:val="009126A0"/>
    <w:rsid w:val="009221F0"/>
    <w:rsid w:val="009318CC"/>
    <w:rsid w:val="0093396C"/>
    <w:rsid w:val="0093473D"/>
    <w:rsid w:val="009411D6"/>
    <w:rsid w:val="00944ECC"/>
    <w:rsid w:val="00952F22"/>
    <w:rsid w:val="009567FF"/>
    <w:rsid w:val="0096252B"/>
    <w:rsid w:val="00972F57"/>
    <w:rsid w:val="00976929"/>
    <w:rsid w:val="00984695"/>
    <w:rsid w:val="009913CD"/>
    <w:rsid w:val="00995280"/>
    <w:rsid w:val="009A1B21"/>
    <w:rsid w:val="009B24A9"/>
    <w:rsid w:val="009D00B3"/>
    <w:rsid w:val="009D2644"/>
    <w:rsid w:val="009E2536"/>
    <w:rsid w:val="009E7D5A"/>
    <w:rsid w:val="00A132E5"/>
    <w:rsid w:val="00A22082"/>
    <w:rsid w:val="00A24E6E"/>
    <w:rsid w:val="00A43694"/>
    <w:rsid w:val="00A524FA"/>
    <w:rsid w:val="00A5513C"/>
    <w:rsid w:val="00A564C0"/>
    <w:rsid w:val="00A56C5D"/>
    <w:rsid w:val="00A56FC7"/>
    <w:rsid w:val="00A571EB"/>
    <w:rsid w:val="00A668BF"/>
    <w:rsid w:val="00A67687"/>
    <w:rsid w:val="00A7047A"/>
    <w:rsid w:val="00A72575"/>
    <w:rsid w:val="00A74071"/>
    <w:rsid w:val="00A751F7"/>
    <w:rsid w:val="00A754E4"/>
    <w:rsid w:val="00A8266B"/>
    <w:rsid w:val="00A84E1F"/>
    <w:rsid w:val="00A919BD"/>
    <w:rsid w:val="00A96866"/>
    <w:rsid w:val="00AA124A"/>
    <w:rsid w:val="00AA2A96"/>
    <w:rsid w:val="00AB3AED"/>
    <w:rsid w:val="00AC061F"/>
    <w:rsid w:val="00AC6B29"/>
    <w:rsid w:val="00AE7465"/>
    <w:rsid w:val="00AF4B86"/>
    <w:rsid w:val="00B04141"/>
    <w:rsid w:val="00B07F5D"/>
    <w:rsid w:val="00B100CC"/>
    <w:rsid w:val="00B14571"/>
    <w:rsid w:val="00B43976"/>
    <w:rsid w:val="00B456C5"/>
    <w:rsid w:val="00B54402"/>
    <w:rsid w:val="00B658BA"/>
    <w:rsid w:val="00B6689D"/>
    <w:rsid w:val="00B67C11"/>
    <w:rsid w:val="00B67F41"/>
    <w:rsid w:val="00B72368"/>
    <w:rsid w:val="00B76420"/>
    <w:rsid w:val="00B81AC8"/>
    <w:rsid w:val="00B81BA6"/>
    <w:rsid w:val="00B84E2D"/>
    <w:rsid w:val="00B85F24"/>
    <w:rsid w:val="00B87970"/>
    <w:rsid w:val="00B934D3"/>
    <w:rsid w:val="00BA15E0"/>
    <w:rsid w:val="00BB0658"/>
    <w:rsid w:val="00BB085A"/>
    <w:rsid w:val="00BB1AA3"/>
    <w:rsid w:val="00BB6E11"/>
    <w:rsid w:val="00BC1730"/>
    <w:rsid w:val="00BC2DA2"/>
    <w:rsid w:val="00BC35E6"/>
    <w:rsid w:val="00BC45F1"/>
    <w:rsid w:val="00BC52D6"/>
    <w:rsid w:val="00BC5B87"/>
    <w:rsid w:val="00BC6B71"/>
    <w:rsid w:val="00BC7152"/>
    <w:rsid w:val="00BD0062"/>
    <w:rsid w:val="00BE1EF4"/>
    <w:rsid w:val="00BE3808"/>
    <w:rsid w:val="00BF15EF"/>
    <w:rsid w:val="00BF2C6C"/>
    <w:rsid w:val="00C0329A"/>
    <w:rsid w:val="00C10630"/>
    <w:rsid w:val="00C2638E"/>
    <w:rsid w:val="00C307B7"/>
    <w:rsid w:val="00C52802"/>
    <w:rsid w:val="00C54D58"/>
    <w:rsid w:val="00C573E1"/>
    <w:rsid w:val="00C60222"/>
    <w:rsid w:val="00C61064"/>
    <w:rsid w:val="00C736D3"/>
    <w:rsid w:val="00C74065"/>
    <w:rsid w:val="00C74F32"/>
    <w:rsid w:val="00C8769D"/>
    <w:rsid w:val="00C93CC8"/>
    <w:rsid w:val="00C94E80"/>
    <w:rsid w:val="00C95DF6"/>
    <w:rsid w:val="00C9693F"/>
    <w:rsid w:val="00CA79C0"/>
    <w:rsid w:val="00CB1A68"/>
    <w:rsid w:val="00CB3F22"/>
    <w:rsid w:val="00CB4C14"/>
    <w:rsid w:val="00CB5B37"/>
    <w:rsid w:val="00CC3BA4"/>
    <w:rsid w:val="00CC4D95"/>
    <w:rsid w:val="00CE48BC"/>
    <w:rsid w:val="00CF35E6"/>
    <w:rsid w:val="00CF649F"/>
    <w:rsid w:val="00D061E3"/>
    <w:rsid w:val="00D241A4"/>
    <w:rsid w:val="00D27A6A"/>
    <w:rsid w:val="00D27BD7"/>
    <w:rsid w:val="00D30296"/>
    <w:rsid w:val="00D36A4D"/>
    <w:rsid w:val="00D419CE"/>
    <w:rsid w:val="00D47CA8"/>
    <w:rsid w:val="00D55ECD"/>
    <w:rsid w:val="00D634B8"/>
    <w:rsid w:val="00D649A8"/>
    <w:rsid w:val="00D66120"/>
    <w:rsid w:val="00D67272"/>
    <w:rsid w:val="00D71146"/>
    <w:rsid w:val="00D76C2E"/>
    <w:rsid w:val="00D777E9"/>
    <w:rsid w:val="00D95C74"/>
    <w:rsid w:val="00DA1274"/>
    <w:rsid w:val="00DA1B7B"/>
    <w:rsid w:val="00DA5428"/>
    <w:rsid w:val="00DA5E5D"/>
    <w:rsid w:val="00DB79DF"/>
    <w:rsid w:val="00DC3D79"/>
    <w:rsid w:val="00DC5950"/>
    <w:rsid w:val="00DD260A"/>
    <w:rsid w:val="00DD6776"/>
    <w:rsid w:val="00DE2992"/>
    <w:rsid w:val="00DE385E"/>
    <w:rsid w:val="00E02099"/>
    <w:rsid w:val="00E044E6"/>
    <w:rsid w:val="00E14F1F"/>
    <w:rsid w:val="00E25227"/>
    <w:rsid w:val="00E420E9"/>
    <w:rsid w:val="00E52865"/>
    <w:rsid w:val="00E55B44"/>
    <w:rsid w:val="00E57568"/>
    <w:rsid w:val="00E67289"/>
    <w:rsid w:val="00E67901"/>
    <w:rsid w:val="00E76C89"/>
    <w:rsid w:val="00E979E6"/>
    <w:rsid w:val="00EA32F7"/>
    <w:rsid w:val="00EB16C6"/>
    <w:rsid w:val="00EB1A67"/>
    <w:rsid w:val="00EB2C57"/>
    <w:rsid w:val="00EB45C0"/>
    <w:rsid w:val="00EC6A53"/>
    <w:rsid w:val="00ED3446"/>
    <w:rsid w:val="00EE5509"/>
    <w:rsid w:val="00EE5EEB"/>
    <w:rsid w:val="00EF3703"/>
    <w:rsid w:val="00EF74CF"/>
    <w:rsid w:val="00F21740"/>
    <w:rsid w:val="00F230CD"/>
    <w:rsid w:val="00F3618D"/>
    <w:rsid w:val="00F3744E"/>
    <w:rsid w:val="00F379C2"/>
    <w:rsid w:val="00F43241"/>
    <w:rsid w:val="00F45B74"/>
    <w:rsid w:val="00F51C18"/>
    <w:rsid w:val="00F61614"/>
    <w:rsid w:val="00F66D43"/>
    <w:rsid w:val="00F84D86"/>
    <w:rsid w:val="00F952B1"/>
    <w:rsid w:val="00F96387"/>
    <w:rsid w:val="00F9782D"/>
    <w:rsid w:val="00FA31E2"/>
    <w:rsid w:val="00FA5048"/>
    <w:rsid w:val="00FA66B7"/>
    <w:rsid w:val="00FC0E43"/>
    <w:rsid w:val="00FC4865"/>
    <w:rsid w:val="00FC7A7B"/>
    <w:rsid w:val="00FD1AFA"/>
    <w:rsid w:val="00FF5B70"/>
    <w:rsid w:val="00FF5BB9"/>
    <w:rsid w:val="014FEE15"/>
    <w:rsid w:val="015D84B6"/>
    <w:rsid w:val="0175410A"/>
    <w:rsid w:val="01DBBE76"/>
    <w:rsid w:val="01FE62F0"/>
    <w:rsid w:val="020747CB"/>
    <w:rsid w:val="03B07E90"/>
    <w:rsid w:val="03CA6800"/>
    <w:rsid w:val="03FBDF92"/>
    <w:rsid w:val="0405AFFF"/>
    <w:rsid w:val="041C8BB6"/>
    <w:rsid w:val="042E431E"/>
    <w:rsid w:val="04511539"/>
    <w:rsid w:val="04A0D9CE"/>
    <w:rsid w:val="04C230AC"/>
    <w:rsid w:val="05559E14"/>
    <w:rsid w:val="05F4DF12"/>
    <w:rsid w:val="072A8043"/>
    <w:rsid w:val="072FC6B5"/>
    <w:rsid w:val="09A91333"/>
    <w:rsid w:val="09BEC83D"/>
    <w:rsid w:val="09DE0F67"/>
    <w:rsid w:val="0A376FFA"/>
    <w:rsid w:val="0AA55591"/>
    <w:rsid w:val="0AA5F0BB"/>
    <w:rsid w:val="0AEDE747"/>
    <w:rsid w:val="0BD4A4C3"/>
    <w:rsid w:val="0BDFA6BC"/>
    <w:rsid w:val="0C3D889F"/>
    <w:rsid w:val="0C626AE2"/>
    <w:rsid w:val="0C860BEA"/>
    <w:rsid w:val="0DEBB0B9"/>
    <w:rsid w:val="0E886003"/>
    <w:rsid w:val="0F056A97"/>
    <w:rsid w:val="0F2A92F4"/>
    <w:rsid w:val="0F78E34B"/>
    <w:rsid w:val="0FAFB2C4"/>
    <w:rsid w:val="0FB71E28"/>
    <w:rsid w:val="0FC073A9"/>
    <w:rsid w:val="12D187B1"/>
    <w:rsid w:val="12F91169"/>
    <w:rsid w:val="1308DE35"/>
    <w:rsid w:val="130CD647"/>
    <w:rsid w:val="1328E4E3"/>
    <w:rsid w:val="133BABC3"/>
    <w:rsid w:val="136ED4C1"/>
    <w:rsid w:val="1371D039"/>
    <w:rsid w:val="142FECF9"/>
    <w:rsid w:val="145CBD80"/>
    <w:rsid w:val="151B4794"/>
    <w:rsid w:val="15468CEC"/>
    <w:rsid w:val="15AAC4D6"/>
    <w:rsid w:val="16506E95"/>
    <w:rsid w:val="165833A7"/>
    <w:rsid w:val="165E2068"/>
    <w:rsid w:val="16A4F000"/>
    <w:rsid w:val="17005D07"/>
    <w:rsid w:val="19599932"/>
    <w:rsid w:val="19727252"/>
    <w:rsid w:val="1A45CAF1"/>
    <w:rsid w:val="1A924161"/>
    <w:rsid w:val="1A9AFB58"/>
    <w:rsid w:val="1ADE680D"/>
    <w:rsid w:val="1B720177"/>
    <w:rsid w:val="1C1A1C3F"/>
    <w:rsid w:val="1C3301E0"/>
    <w:rsid w:val="1C4CDBC5"/>
    <w:rsid w:val="1C8C0FAF"/>
    <w:rsid w:val="1CAEB862"/>
    <w:rsid w:val="1D032515"/>
    <w:rsid w:val="1D4B6A70"/>
    <w:rsid w:val="1DBE7006"/>
    <w:rsid w:val="1E1DD656"/>
    <w:rsid w:val="1E21D401"/>
    <w:rsid w:val="1E24C981"/>
    <w:rsid w:val="1F39FD24"/>
    <w:rsid w:val="1F75EE0C"/>
    <w:rsid w:val="1FE5FA77"/>
    <w:rsid w:val="202223DF"/>
    <w:rsid w:val="203AC5D7"/>
    <w:rsid w:val="2048AF19"/>
    <w:rsid w:val="205CD6C1"/>
    <w:rsid w:val="20C44842"/>
    <w:rsid w:val="214AD4C0"/>
    <w:rsid w:val="216ED0CD"/>
    <w:rsid w:val="21BDF023"/>
    <w:rsid w:val="21DE2239"/>
    <w:rsid w:val="225F7115"/>
    <w:rsid w:val="2292552B"/>
    <w:rsid w:val="2294A4D5"/>
    <w:rsid w:val="23269336"/>
    <w:rsid w:val="239EEB23"/>
    <w:rsid w:val="2474C6D2"/>
    <w:rsid w:val="2513D99D"/>
    <w:rsid w:val="25461938"/>
    <w:rsid w:val="2596955E"/>
    <w:rsid w:val="25AE2BB0"/>
    <w:rsid w:val="25BDCADF"/>
    <w:rsid w:val="26405C72"/>
    <w:rsid w:val="266D809F"/>
    <w:rsid w:val="26711F66"/>
    <w:rsid w:val="2697252D"/>
    <w:rsid w:val="2770D052"/>
    <w:rsid w:val="277A4673"/>
    <w:rsid w:val="27DD541C"/>
    <w:rsid w:val="2839D78D"/>
    <w:rsid w:val="2840FFE6"/>
    <w:rsid w:val="28AE6049"/>
    <w:rsid w:val="28CE3620"/>
    <w:rsid w:val="28E492BA"/>
    <w:rsid w:val="295FB36B"/>
    <w:rsid w:val="2AB48D16"/>
    <w:rsid w:val="2AB5DE00"/>
    <w:rsid w:val="2ACE477C"/>
    <w:rsid w:val="2AD7E360"/>
    <w:rsid w:val="2B0D341C"/>
    <w:rsid w:val="2B371865"/>
    <w:rsid w:val="2BCA4953"/>
    <w:rsid w:val="2C2BCC32"/>
    <w:rsid w:val="2C38BC07"/>
    <w:rsid w:val="2C4DB09C"/>
    <w:rsid w:val="2C589979"/>
    <w:rsid w:val="2C81AB5B"/>
    <w:rsid w:val="2CF960DD"/>
    <w:rsid w:val="2D0626A1"/>
    <w:rsid w:val="2E1E927D"/>
    <w:rsid w:val="2E8D7CB0"/>
    <w:rsid w:val="2E9CFA6E"/>
    <w:rsid w:val="2ED5AB98"/>
    <w:rsid w:val="2F232238"/>
    <w:rsid w:val="2FE59BAA"/>
    <w:rsid w:val="3013F4E9"/>
    <w:rsid w:val="302DDF32"/>
    <w:rsid w:val="30A11C82"/>
    <w:rsid w:val="311A6749"/>
    <w:rsid w:val="31A5CAD5"/>
    <w:rsid w:val="320B05E8"/>
    <w:rsid w:val="3244939B"/>
    <w:rsid w:val="32751866"/>
    <w:rsid w:val="32B1D0F5"/>
    <w:rsid w:val="32C44E40"/>
    <w:rsid w:val="32F8465F"/>
    <w:rsid w:val="331FEED6"/>
    <w:rsid w:val="33A21CA0"/>
    <w:rsid w:val="33F443EE"/>
    <w:rsid w:val="34A51CC7"/>
    <w:rsid w:val="34BC2016"/>
    <w:rsid w:val="35533698"/>
    <w:rsid w:val="35DA6C4A"/>
    <w:rsid w:val="360340E0"/>
    <w:rsid w:val="360C78D9"/>
    <w:rsid w:val="3710594A"/>
    <w:rsid w:val="37488989"/>
    <w:rsid w:val="3779E7C1"/>
    <w:rsid w:val="37F35FF9"/>
    <w:rsid w:val="3893060A"/>
    <w:rsid w:val="3899C2DF"/>
    <w:rsid w:val="38B3ED39"/>
    <w:rsid w:val="38D482EB"/>
    <w:rsid w:val="39A3FB74"/>
    <w:rsid w:val="39D81CDD"/>
    <w:rsid w:val="3A1C2356"/>
    <w:rsid w:val="3A2356CD"/>
    <w:rsid w:val="3A2ED66B"/>
    <w:rsid w:val="3A7DA699"/>
    <w:rsid w:val="3AB8AD15"/>
    <w:rsid w:val="3AB9C485"/>
    <w:rsid w:val="3B014251"/>
    <w:rsid w:val="3B01802A"/>
    <w:rsid w:val="3BB8081C"/>
    <w:rsid w:val="3BCC21DA"/>
    <w:rsid w:val="3C38C983"/>
    <w:rsid w:val="3C77E356"/>
    <w:rsid w:val="3C8CF4E6"/>
    <w:rsid w:val="3CA89F7E"/>
    <w:rsid w:val="3D2D5083"/>
    <w:rsid w:val="3D3C77A6"/>
    <w:rsid w:val="3DC56A5F"/>
    <w:rsid w:val="3E27AE39"/>
    <w:rsid w:val="3E6BFD6D"/>
    <w:rsid w:val="3F898498"/>
    <w:rsid w:val="3FE4740F"/>
    <w:rsid w:val="40AC7494"/>
    <w:rsid w:val="40B0BC60"/>
    <w:rsid w:val="4128B78D"/>
    <w:rsid w:val="4129BABB"/>
    <w:rsid w:val="415015B9"/>
    <w:rsid w:val="4189AC32"/>
    <w:rsid w:val="41CD5884"/>
    <w:rsid w:val="41FA0145"/>
    <w:rsid w:val="42148CFA"/>
    <w:rsid w:val="4234460D"/>
    <w:rsid w:val="42ADD32E"/>
    <w:rsid w:val="4399CFA5"/>
    <w:rsid w:val="43D2B450"/>
    <w:rsid w:val="4427DD55"/>
    <w:rsid w:val="44289A67"/>
    <w:rsid w:val="445C9286"/>
    <w:rsid w:val="44A927AE"/>
    <w:rsid w:val="45135ACB"/>
    <w:rsid w:val="454EC98F"/>
    <w:rsid w:val="45A11770"/>
    <w:rsid w:val="4692FDB2"/>
    <w:rsid w:val="46BEA349"/>
    <w:rsid w:val="46C264AB"/>
    <w:rsid w:val="47C8A8DF"/>
    <w:rsid w:val="47D98B69"/>
    <w:rsid w:val="482FF45F"/>
    <w:rsid w:val="487A31DE"/>
    <w:rsid w:val="487C4C2A"/>
    <w:rsid w:val="48CE81B4"/>
    <w:rsid w:val="495D2F8C"/>
    <w:rsid w:val="497B95BA"/>
    <w:rsid w:val="49A8397A"/>
    <w:rsid w:val="49C3AB9D"/>
    <w:rsid w:val="49D52043"/>
    <w:rsid w:val="4A6D2A0E"/>
    <w:rsid w:val="4BAAF99A"/>
    <w:rsid w:val="4C4E32FD"/>
    <w:rsid w:val="4C6A9941"/>
    <w:rsid w:val="4CB028DD"/>
    <w:rsid w:val="4D1D25F8"/>
    <w:rsid w:val="4D3380BB"/>
    <w:rsid w:val="4D7BE706"/>
    <w:rsid w:val="4DDEE36C"/>
    <w:rsid w:val="4EBA77F6"/>
    <w:rsid w:val="4F5F4F3D"/>
    <w:rsid w:val="4F89E299"/>
    <w:rsid w:val="4FA8ECBA"/>
    <w:rsid w:val="4FB873B2"/>
    <w:rsid w:val="4FC3E8F0"/>
    <w:rsid w:val="4FF34357"/>
    <w:rsid w:val="50D49047"/>
    <w:rsid w:val="50E837D6"/>
    <w:rsid w:val="511B1C71"/>
    <w:rsid w:val="5125B2FA"/>
    <w:rsid w:val="51544413"/>
    <w:rsid w:val="518E9525"/>
    <w:rsid w:val="519E2FD7"/>
    <w:rsid w:val="51A49904"/>
    <w:rsid w:val="52614235"/>
    <w:rsid w:val="52C1835B"/>
    <w:rsid w:val="52EEBD40"/>
    <w:rsid w:val="52F3CFCA"/>
    <w:rsid w:val="5370C618"/>
    <w:rsid w:val="53826225"/>
    <w:rsid w:val="54089F62"/>
    <w:rsid w:val="55DB7B98"/>
    <w:rsid w:val="55F7C9F4"/>
    <w:rsid w:val="56ECE710"/>
    <w:rsid w:val="5751F123"/>
    <w:rsid w:val="5804C63B"/>
    <w:rsid w:val="5863D992"/>
    <w:rsid w:val="588B379B"/>
    <w:rsid w:val="5919E399"/>
    <w:rsid w:val="596B2962"/>
    <w:rsid w:val="5999A70A"/>
    <w:rsid w:val="5AC65F88"/>
    <w:rsid w:val="5B229D54"/>
    <w:rsid w:val="5B35776B"/>
    <w:rsid w:val="5B8D8D67"/>
    <w:rsid w:val="5B9A758B"/>
    <w:rsid w:val="5BB5DDA1"/>
    <w:rsid w:val="5BC05833"/>
    <w:rsid w:val="5C4C2AD1"/>
    <w:rsid w:val="5C72EF5D"/>
    <w:rsid w:val="5C79F978"/>
    <w:rsid w:val="5C7B946B"/>
    <w:rsid w:val="5CB46585"/>
    <w:rsid w:val="5CDE6DD6"/>
    <w:rsid w:val="5CDECE34"/>
    <w:rsid w:val="5CE3E53D"/>
    <w:rsid w:val="5D415CEB"/>
    <w:rsid w:val="5D64DB4B"/>
    <w:rsid w:val="5DBABD67"/>
    <w:rsid w:val="5DF74D2C"/>
    <w:rsid w:val="5E4E624C"/>
    <w:rsid w:val="5E4EADD3"/>
    <w:rsid w:val="5E7DEDE7"/>
    <w:rsid w:val="5F398B4D"/>
    <w:rsid w:val="5FD1827D"/>
    <w:rsid w:val="6029E20D"/>
    <w:rsid w:val="602C12FB"/>
    <w:rsid w:val="6040CA14"/>
    <w:rsid w:val="608A6CD5"/>
    <w:rsid w:val="60DB959E"/>
    <w:rsid w:val="619D7DD0"/>
    <w:rsid w:val="61CFC071"/>
    <w:rsid w:val="61F034BC"/>
    <w:rsid w:val="61F6F547"/>
    <w:rsid w:val="6223E96E"/>
    <w:rsid w:val="625077B1"/>
    <w:rsid w:val="62A911EF"/>
    <w:rsid w:val="62D0F457"/>
    <w:rsid w:val="63635B6B"/>
    <w:rsid w:val="6380E383"/>
    <w:rsid w:val="63D3A61A"/>
    <w:rsid w:val="64BF776A"/>
    <w:rsid w:val="64DE869F"/>
    <w:rsid w:val="64FF2BCC"/>
    <w:rsid w:val="6522F96E"/>
    <w:rsid w:val="658711E7"/>
    <w:rsid w:val="65987CEE"/>
    <w:rsid w:val="65B3B52F"/>
    <w:rsid w:val="65B6F447"/>
    <w:rsid w:val="65CB610F"/>
    <w:rsid w:val="65FD22FC"/>
    <w:rsid w:val="66070D22"/>
    <w:rsid w:val="663FCB1C"/>
    <w:rsid w:val="66652D8F"/>
    <w:rsid w:val="6668AE1F"/>
    <w:rsid w:val="672D4C5C"/>
    <w:rsid w:val="6774FF77"/>
    <w:rsid w:val="67DE6AA1"/>
    <w:rsid w:val="681DA431"/>
    <w:rsid w:val="6850392E"/>
    <w:rsid w:val="69349427"/>
    <w:rsid w:val="697533AD"/>
    <w:rsid w:val="69E202B1"/>
    <w:rsid w:val="6A106FCB"/>
    <w:rsid w:val="6A5B8996"/>
    <w:rsid w:val="6A935819"/>
    <w:rsid w:val="6B0C8709"/>
    <w:rsid w:val="6B31F0C6"/>
    <w:rsid w:val="6B62857A"/>
    <w:rsid w:val="6B764A2B"/>
    <w:rsid w:val="6B810FC5"/>
    <w:rsid w:val="6B9CF43B"/>
    <w:rsid w:val="6C15C742"/>
    <w:rsid w:val="6C4CBE6C"/>
    <w:rsid w:val="6D27C5C9"/>
    <w:rsid w:val="6D2D4F39"/>
    <w:rsid w:val="6D43B728"/>
    <w:rsid w:val="6DA81715"/>
    <w:rsid w:val="6DBE540C"/>
    <w:rsid w:val="6DE4EB93"/>
    <w:rsid w:val="6EDE7867"/>
    <w:rsid w:val="6EFC3C38"/>
    <w:rsid w:val="6F0CD611"/>
    <w:rsid w:val="70036994"/>
    <w:rsid w:val="705D46B4"/>
    <w:rsid w:val="70773B16"/>
    <w:rsid w:val="70862E3A"/>
    <w:rsid w:val="70B1A2BD"/>
    <w:rsid w:val="70F9A6EE"/>
    <w:rsid w:val="720BFD6C"/>
    <w:rsid w:val="7217284B"/>
    <w:rsid w:val="72255B20"/>
    <w:rsid w:val="72442204"/>
    <w:rsid w:val="7281CAF7"/>
    <w:rsid w:val="7421A20D"/>
    <w:rsid w:val="74591FB1"/>
    <w:rsid w:val="74DB1D0A"/>
    <w:rsid w:val="75064EA5"/>
    <w:rsid w:val="750C5291"/>
    <w:rsid w:val="7533FFD8"/>
    <w:rsid w:val="7575AD07"/>
    <w:rsid w:val="760D7244"/>
    <w:rsid w:val="76ECE8A7"/>
    <w:rsid w:val="76FC63F5"/>
    <w:rsid w:val="77BCA790"/>
    <w:rsid w:val="77FCD600"/>
    <w:rsid w:val="78208F42"/>
    <w:rsid w:val="78A3C42E"/>
    <w:rsid w:val="78B87C25"/>
    <w:rsid w:val="78EB9076"/>
    <w:rsid w:val="79225FEF"/>
    <w:rsid w:val="79451306"/>
    <w:rsid w:val="79A38043"/>
    <w:rsid w:val="79E40607"/>
    <w:rsid w:val="7A3DEACD"/>
    <w:rsid w:val="7A6E25A8"/>
    <w:rsid w:val="7AF71702"/>
    <w:rsid w:val="7B33A5FE"/>
    <w:rsid w:val="7B34CFB0"/>
    <w:rsid w:val="7BAA06B8"/>
    <w:rsid w:val="7BFF4CA9"/>
    <w:rsid w:val="7C09F609"/>
    <w:rsid w:val="7C2C87BA"/>
    <w:rsid w:val="7C94DC7E"/>
    <w:rsid w:val="7CDE080F"/>
    <w:rsid w:val="7D45D719"/>
    <w:rsid w:val="7D625EF5"/>
    <w:rsid w:val="7DEB9A74"/>
    <w:rsid w:val="7E80DE30"/>
    <w:rsid w:val="7E87BAE4"/>
    <w:rsid w:val="7EE1A77A"/>
    <w:rsid w:val="7F2B7B4E"/>
    <w:rsid w:val="7F3B0F6B"/>
    <w:rsid w:val="7F4CAB78"/>
    <w:rsid w:val="7F5C278A"/>
    <w:rsid w:val="7FABB029"/>
    <w:rsid w:val="7FCC07E0"/>
    <w:rsid w:val="7FCD7CE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89EE3"/>
  <w14:defaultImageDpi w14:val="330"/>
  <w15:chartTrackingRefBased/>
  <w15:docId w15:val="{7AB605D3-4A36-4C57-AF92-59B4778B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L,List Paragraph1,List Paragraph11,bullet point list,F5 List Paragraph,Dot pt,CV text,Table text,List Paragraph111,Medium Grid 1 - Accent 21,Numbered Paragraph,List Paragraph2,Bulleted Para,NFP GP Bulleted List,FooterText,b"/>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8"/>
      </w:numPr>
    </w:pPr>
  </w:style>
  <w:style w:type="paragraph" w:styleId="ListBullet">
    <w:name w:val="List Bullet"/>
    <w:basedOn w:val="ListParagraph"/>
    <w:uiPriority w:val="99"/>
    <w:unhideWhenUsed/>
    <w:qFormat/>
    <w:rsid w:val="00067075"/>
    <w:pPr>
      <w:numPr>
        <w:numId w:val="19"/>
      </w:numPr>
    </w:pPr>
  </w:style>
  <w:style w:type="paragraph" w:styleId="List">
    <w:name w:val="List"/>
    <w:basedOn w:val="ListBullet"/>
    <w:uiPriority w:val="99"/>
    <w:unhideWhenUsed/>
    <w:qFormat/>
    <w:rsid w:val="00067075"/>
    <w:pPr>
      <w:numPr>
        <w:numId w:val="20"/>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UnresolvedMention2">
    <w:name w:val="Unresolved Mention2"/>
    <w:basedOn w:val="DefaultParagraphFont"/>
    <w:uiPriority w:val="99"/>
    <w:semiHidden/>
    <w:unhideWhenUsed/>
    <w:rsid w:val="009E7D5A"/>
    <w:rPr>
      <w:color w:val="605E5C"/>
      <w:shd w:val="clear" w:color="auto" w:fill="E1DFDD"/>
    </w:rPr>
  </w:style>
  <w:style w:type="character" w:styleId="CommentReference">
    <w:name w:val="annotation reference"/>
    <w:basedOn w:val="DefaultParagraphFont"/>
    <w:uiPriority w:val="99"/>
    <w:semiHidden/>
    <w:unhideWhenUsed/>
    <w:rsid w:val="00066FDA"/>
    <w:rPr>
      <w:sz w:val="16"/>
      <w:szCs w:val="16"/>
    </w:rPr>
  </w:style>
  <w:style w:type="paragraph" w:styleId="CommentText">
    <w:name w:val="annotation text"/>
    <w:basedOn w:val="Normal"/>
    <w:link w:val="CommentTextChar"/>
    <w:uiPriority w:val="99"/>
    <w:unhideWhenUsed/>
    <w:rsid w:val="00066FDA"/>
    <w:pPr>
      <w:spacing w:line="240" w:lineRule="auto"/>
    </w:pPr>
    <w:rPr>
      <w:sz w:val="20"/>
      <w:szCs w:val="20"/>
    </w:rPr>
  </w:style>
  <w:style w:type="character" w:customStyle="1" w:styleId="CommentTextChar">
    <w:name w:val="Comment Text Char"/>
    <w:basedOn w:val="DefaultParagraphFont"/>
    <w:link w:val="CommentText"/>
    <w:uiPriority w:val="99"/>
    <w:rsid w:val="00066FDA"/>
    <w:rPr>
      <w:sz w:val="20"/>
      <w:szCs w:val="20"/>
    </w:rPr>
  </w:style>
  <w:style w:type="paragraph" w:styleId="CommentSubject">
    <w:name w:val="annotation subject"/>
    <w:basedOn w:val="CommentText"/>
    <w:next w:val="CommentText"/>
    <w:link w:val="CommentSubjectChar"/>
    <w:uiPriority w:val="99"/>
    <w:semiHidden/>
    <w:unhideWhenUsed/>
    <w:rsid w:val="00066FDA"/>
    <w:rPr>
      <w:b/>
      <w:bCs/>
    </w:rPr>
  </w:style>
  <w:style w:type="character" w:customStyle="1" w:styleId="CommentSubjectChar">
    <w:name w:val="Comment Subject Char"/>
    <w:basedOn w:val="CommentTextChar"/>
    <w:link w:val="CommentSubject"/>
    <w:uiPriority w:val="99"/>
    <w:semiHidden/>
    <w:rsid w:val="00066FDA"/>
    <w:rPr>
      <w:b/>
      <w:bCs/>
      <w:sz w:val="20"/>
      <w:szCs w:val="20"/>
    </w:rPr>
  </w:style>
  <w:style w:type="paragraph" w:styleId="NormalWeb">
    <w:name w:val="Normal (Web)"/>
    <w:basedOn w:val="Normal"/>
    <w:uiPriority w:val="99"/>
    <w:semiHidden/>
    <w:unhideWhenUsed/>
    <w:rsid w:val="00BB6E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D00B3"/>
    <w:pPr>
      <w:spacing w:after="0" w:line="240" w:lineRule="auto"/>
    </w:pPr>
  </w:style>
  <w:style w:type="character" w:customStyle="1" w:styleId="ListParagraphChar">
    <w:name w:val="List Paragraph Char"/>
    <w:aliases w:val="Recommendation Char,L Char,List Paragraph1 Char,List Paragraph11 Char,bullet point list Char,F5 List Paragraph Char,Dot pt Char,CV text Char,Table text Char,List Paragraph111 Char,Medium Grid 1 - Accent 21 Char,List Paragraph2 Char"/>
    <w:basedOn w:val="DefaultParagraphFont"/>
    <w:link w:val="ListParagraph"/>
    <w:uiPriority w:val="34"/>
    <w:locked/>
    <w:rsid w:val="0026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10588">
      <w:bodyDiv w:val="1"/>
      <w:marLeft w:val="0"/>
      <w:marRight w:val="0"/>
      <w:marTop w:val="0"/>
      <w:marBottom w:val="0"/>
      <w:divBdr>
        <w:top w:val="none" w:sz="0" w:space="0" w:color="auto"/>
        <w:left w:val="none" w:sz="0" w:space="0" w:color="auto"/>
        <w:bottom w:val="none" w:sz="0" w:space="0" w:color="auto"/>
        <w:right w:val="none" w:sz="0" w:space="0" w:color="auto"/>
      </w:divBdr>
    </w:div>
    <w:div w:id="650796539">
      <w:bodyDiv w:val="1"/>
      <w:marLeft w:val="0"/>
      <w:marRight w:val="0"/>
      <w:marTop w:val="0"/>
      <w:marBottom w:val="0"/>
      <w:divBdr>
        <w:top w:val="none" w:sz="0" w:space="0" w:color="auto"/>
        <w:left w:val="none" w:sz="0" w:space="0" w:color="auto"/>
        <w:bottom w:val="none" w:sz="0" w:space="0" w:color="auto"/>
        <w:right w:val="none" w:sz="0" w:space="0" w:color="auto"/>
      </w:divBdr>
    </w:div>
    <w:div w:id="899679071">
      <w:bodyDiv w:val="1"/>
      <w:marLeft w:val="0"/>
      <w:marRight w:val="0"/>
      <w:marTop w:val="0"/>
      <w:marBottom w:val="0"/>
      <w:divBdr>
        <w:top w:val="none" w:sz="0" w:space="0" w:color="auto"/>
        <w:left w:val="none" w:sz="0" w:space="0" w:color="auto"/>
        <w:bottom w:val="none" w:sz="0" w:space="0" w:color="auto"/>
        <w:right w:val="none" w:sz="0" w:space="0" w:color="auto"/>
      </w:divBdr>
    </w:div>
    <w:div w:id="1028798353">
      <w:bodyDiv w:val="1"/>
      <w:marLeft w:val="0"/>
      <w:marRight w:val="0"/>
      <w:marTop w:val="0"/>
      <w:marBottom w:val="0"/>
      <w:divBdr>
        <w:top w:val="none" w:sz="0" w:space="0" w:color="auto"/>
        <w:left w:val="none" w:sz="0" w:space="0" w:color="auto"/>
        <w:bottom w:val="none" w:sz="0" w:space="0" w:color="auto"/>
        <w:right w:val="none" w:sz="0" w:space="0" w:color="auto"/>
      </w:divBdr>
    </w:div>
    <w:div w:id="1115712566">
      <w:bodyDiv w:val="1"/>
      <w:marLeft w:val="0"/>
      <w:marRight w:val="0"/>
      <w:marTop w:val="0"/>
      <w:marBottom w:val="0"/>
      <w:divBdr>
        <w:top w:val="none" w:sz="0" w:space="0" w:color="auto"/>
        <w:left w:val="none" w:sz="0" w:space="0" w:color="auto"/>
        <w:bottom w:val="none" w:sz="0" w:space="0" w:color="auto"/>
        <w:right w:val="none" w:sz="0" w:space="0" w:color="auto"/>
      </w:divBdr>
    </w:div>
    <w:div w:id="1122262074">
      <w:bodyDiv w:val="1"/>
      <w:marLeft w:val="0"/>
      <w:marRight w:val="0"/>
      <w:marTop w:val="0"/>
      <w:marBottom w:val="0"/>
      <w:divBdr>
        <w:top w:val="none" w:sz="0" w:space="0" w:color="auto"/>
        <w:left w:val="none" w:sz="0" w:space="0" w:color="auto"/>
        <w:bottom w:val="none" w:sz="0" w:space="0" w:color="auto"/>
        <w:right w:val="none" w:sz="0" w:space="0" w:color="auto"/>
      </w:divBdr>
    </w:div>
    <w:div w:id="1422069714">
      <w:bodyDiv w:val="1"/>
      <w:marLeft w:val="0"/>
      <w:marRight w:val="0"/>
      <w:marTop w:val="0"/>
      <w:marBottom w:val="0"/>
      <w:divBdr>
        <w:top w:val="none" w:sz="0" w:space="0" w:color="auto"/>
        <w:left w:val="none" w:sz="0" w:space="0" w:color="auto"/>
        <w:bottom w:val="none" w:sz="0" w:space="0" w:color="auto"/>
        <w:right w:val="none" w:sz="0" w:space="0" w:color="auto"/>
      </w:divBdr>
    </w:div>
    <w:div w:id="1609199587">
      <w:bodyDiv w:val="1"/>
      <w:marLeft w:val="0"/>
      <w:marRight w:val="0"/>
      <w:marTop w:val="0"/>
      <w:marBottom w:val="0"/>
      <w:divBdr>
        <w:top w:val="none" w:sz="0" w:space="0" w:color="auto"/>
        <w:left w:val="none" w:sz="0" w:space="0" w:color="auto"/>
        <w:bottom w:val="none" w:sz="0" w:space="0" w:color="auto"/>
        <w:right w:val="none" w:sz="0" w:space="0" w:color="auto"/>
      </w:divBdr>
    </w:div>
    <w:div w:id="1651903384">
      <w:bodyDiv w:val="1"/>
      <w:marLeft w:val="0"/>
      <w:marRight w:val="0"/>
      <w:marTop w:val="0"/>
      <w:marBottom w:val="0"/>
      <w:divBdr>
        <w:top w:val="none" w:sz="0" w:space="0" w:color="auto"/>
        <w:left w:val="none" w:sz="0" w:space="0" w:color="auto"/>
        <w:bottom w:val="none" w:sz="0" w:space="0" w:color="auto"/>
        <w:right w:val="none" w:sz="0" w:space="0" w:color="auto"/>
      </w:divBdr>
    </w:div>
    <w:div w:id="18115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55BB74E0E682E45AFF5B8A324DE45B8" ma:contentTypeVersion="" ma:contentTypeDescription="PDMS Document Site Content Type" ma:contentTypeScope="" ma:versionID="aefbe5f7eaaa40b9c1c04b86293445bf">
  <xsd:schema xmlns:xsd="http://www.w3.org/2001/XMLSchema" xmlns:xs="http://www.w3.org/2001/XMLSchema" xmlns:p="http://schemas.microsoft.com/office/2006/metadata/properties" xmlns:ns2="C8835A06-A579-4DC6-8085-774ADBC21361" targetNamespace="http://schemas.microsoft.com/office/2006/metadata/properties" ma:root="true" ma:fieldsID="b71910723621cbff5691682b7775c488" ns2:_="">
    <xsd:import namespace="C8835A06-A579-4DC6-8085-774ADBC2136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35A06-A579-4DC6-8085-774ADBC2136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8835A06-A579-4DC6-8085-774ADBC21361" xsi:nil="true"/>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C03AAE5-D878-4682-B246-5DDC31438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35A06-A579-4DC6-8085-774ADBC2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47451-7AC7-47EA-AC0A-78E5A3BAB0E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8835A06-A579-4DC6-8085-774ADBC213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9</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JONES,Thomas</cp:lastModifiedBy>
  <cp:revision>25</cp:revision>
  <dcterms:created xsi:type="dcterms:W3CDTF">2023-07-06T04:46:00Z</dcterms:created>
  <dcterms:modified xsi:type="dcterms:W3CDTF">2023-08-30T23:51:00Z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0x010100266966F133664895A6EE3632470D45F500455BB74E0E682E45AFF5B8A324DE45B8</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2022-08-10T01:56:02Z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2ab2d7c8-cd08-4962-9c4a-9dce5672810d</vt:lpwstr>
  </property>
  <property fmtid="{D5CDD505-2E9C-101B-9397-08002B2CF9AE}" pid="12" name="MSIP_Label_79d889eb-932f-4752-8739-64d25806ef64_ContentBits">
    <vt:lpwstr>0</vt:lpwstr>
  </property>
  <property fmtid="{D5CDD505-2E9C-101B-9397-08002B2CF9AE}" pid="13" name="Objective-Id">
    <vt:lpwstr>BN67189242</vt:lpwstr>
  </property>
  <property fmtid="{D5CDD505-2E9C-101B-9397-08002B2CF9AE}" pid="14" name="Objective-Title">
    <vt:lpwstr>Draft NPS Places Program Guidelines - Vol 4 28 June</vt:lpwstr>
  </property>
  <property fmtid="{D5CDD505-2E9C-101B-9397-08002B2CF9AE}" pid="15" name="Objective-Comment">
    <vt:lpwstr/>
  </property>
  <property fmtid="{D5CDD505-2E9C-101B-9397-08002B2CF9AE}" pid="16" name="Objective-CreationStamp">
    <vt:filetime>2023-06-29T01:26:25Z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2023-06-29T02:40:42Z</vt:filetime>
  </property>
  <property fmtid="{D5CDD505-2E9C-101B-9397-08002B2CF9AE}" pid="20" name="Objective-ModificationStamp">
    <vt:filetime>2023-06-29T14:08:38Z</vt:filetime>
  </property>
  <property fmtid="{D5CDD505-2E9C-101B-9397-08002B2CF9AE}" pid="21" name="Objective-Owner">
    <vt:lpwstr>Defence</vt:lpwstr>
  </property>
  <property fmtid="{D5CDD505-2E9C-101B-9397-08002B2CF9AE}" pid="22" name="Objective-Path">
    <vt:lpwstr>Objective Global Folder - PROD:Defence Business Units:Australian Submarine Agency:ASA : Australian Submarine Agency:NPSTF Information Structure - For Reference Only:zNPSTF Divisions:NPSTF - Nuclear Powered Submarines - Technology Division - 2021-2023:Tech</vt:lpwstr>
  </property>
  <property fmtid="{D5CDD505-2E9C-101B-9397-08002B2CF9AE}" pid="23" name="Objective-Parent">
    <vt:lpwstr>DoE Guidelines drafts</vt:lpwstr>
  </property>
  <property fmtid="{D5CDD505-2E9C-101B-9397-08002B2CF9AE}" pid="24" name="Objective-State">
    <vt:lpwstr>Published</vt:lpwstr>
  </property>
  <property fmtid="{D5CDD505-2E9C-101B-9397-08002B2CF9AE}" pid="25" name="Objective-Version">
    <vt:lpwstr>2.0</vt:lpwstr>
  </property>
  <property fmtid="{D5CDD505-2E9C-101B-9397-08002B2CF9AE}" pid="26" name="Objective-VersionNumber">
    <vt:i4>3</vt:i4>
  </property>
  <property fmtid="{D5CDD505-2E9C-101B-9397-08002B2CF9AE}" pid="27" name="Objective-VersionComment">
    <vt:lpwstr/>
  </property>
  <property fmtid="{D5CDD505-2E9C-101B-9397-08002B2CF9AE}" pid="28" name="Objective-FileNumber">
    <vt:lpwstr>2022/1009934</vt:lpwstr>
  </property>
  <property fmtid="{D5CDD505-2E9C-101B-9397-08002B2CF9AE}" pid="29" name="Objective-Classification">
    <vt:lpwstr>[Inherited - Protected]</vt:lpwstr>
  </property>
  <property fmtid="{D5CDD505-2E9C-101B-9397-08002B2CF9AE}" pid="30" name="Objective-Caveats">
    <vt:lpwstr/>
  </property>
  <property fmtid="{D5CDD505-2E9C-101B-9397-08002B2CF9AE}" pid="31" name="Objective-Document Type [system]">
    <vt:lpwstr/>
  </property>
  <property fmtid="{D5CDD505-2E9C-101B-9397-08002B2CF9AE}" pid="32" name="Objective-Reason for Security Classification Change [system]">
    <vt:lpwstr/>
  </property>
</Properties>
</file>