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CDB3E" w14:textId="72701D41" w:rsidR="000241EA" w:rsidRDefault="005A3E4F" w:rsidP="000241EA">
      <w:pPr>
        <w:pStyle w:val="Cover-ClientName"/>
        <w:jc w:val="left"/>
      </w:pPr>
      <w:r w:rsidRPr="00023516">
        <w:rPr>
          <w:noProof/>
        </w:rPr>
        <w:drawing>
          <wp:anchor distT="0" distB="0" distL="114300" distR="114300" simplePos="0" relativeHeight="251658241" behindDoc="1" locked="0" layoutInCell="1" allowOverlap="1" wp14:anchorId="3527C7C0" wp14:editId="4B315BE8">
            <wp:simplePos x="0" y="0"/>
            <wp:positionH relativeFrom="page">
              <wp:posOffset>89522</wp:posOffset>
            </wp:positionH>
            <wp:positionV relativeFrom="paragraph">
              <wp:posOffset>-888511</wp:posOffset>
            </wp:positionV>
            <wp:extent cx="7514590" cy="10637520"/>
            <wp:effectExtent l="0" t="0" r="0" b="0"/>
            <wp:wrapNone/>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srcRect/>
                    <a:stretch>
                      <a:fillRect/>
                    </a:stretch>
                  </pic:blipFill>
                  <pic:spPr bwMode="auto">
                    <a:xfrm>
                      <a:off x="0" y="0"/>
                      <a:ext cx="7514590" cy="10637520"/>
                    </a:xfrm>
                    <a:prstGeom prst="rect">
                      <a:avLst/>
                    </a:prstGeom>
                    <a:noFill/>
                    <a:ln w="9525">
                      <a:noFill/>
                      <a:miter lim="800000"/>
                      <a:headEnd/>
                      <a:tailEnd/>
                    </a:ln>
                  </pic:spPr>
                </pic:pic>
              </a:graphicData>
            </a:graphic>
          </wp:anchor>
        </w:drawing>
      </w:r>
      <w:r w:rsidR="000241EA">
        <w:t>Department of Education</w:t>
      </w:r>
      <w:r w:rsidR="00AD2197">
        <w:t>,</w:t>
      </w:r>
      <w:r w:rsidR="000241EA">
        <w:t xml:space="preserve"> Skills and Employment </w:t>
      </w:r>
    </w:p>
    <w:p w14:paraId="0AED5FAD" w14:textId="41040692" w:rsidR="00C208CD" w:rsidRPr="00DE0A6F" w:rsidRDefault="000241EA" w:rsidP="000241EA">
      <w:pPr>
        <w:pStyle w:val="Cover-ClientName"/>
        <w:jc w:val="left"/>
      </w:pPr>
      <w:r>
        <w:t>Review of the National Disability Coordination Officer Program</w:t>
      </w:r>
      <w:r w:rsidRPr="00DE0A6F">
        <w:t xml:space="preserve"> </w:t>
      </w:r>
    </w:p>
    <w:p w14:paraId="7A9BB76E" w14:textId="590CAC62" w:rsidR="000241EA" w:rsidRPr="00DE0A6F" w:rsidRDefault="003B1E91" w:rsidP="00962331">
      <w:pPr>
        <w:pStyle w:val="Cover-ClientName"/>
        <w:jc w:val="left"/>
      </w:pPr>
      <w:r>
        <w:t xml:space="preserve">Primary Report </w:t>
      </w:r>
      <w:r w:rsidR="00AD2197">
        <w:t xml:space="preserve">– February </w:t>
      </w:r>
      <w:r w:rsidR="00A36F13">
        <w:t>2022</w:t>
      </w:r>
    </w:p>
    <w:p w14:paraId="50E9A3C7" w14:textId="77777777" w:rsidR="004E241C" w:rsidRPr="00AB4651" w:rsidRDefault="004E241C" w:rsidP="00AB4651">
      <w:pPr>
        <w:pStyle w:val="Cover-OtherDescription"/>
        <w:sectPr w:rsidR="004E241C" w:rsidRPr="00AB4651" w:rsidSect="00181D7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709" w:left="1440" w:header="708" w:footer="708" w:gutter="0"/>
          <w:cols w:space="708"/>
          <w:titlePg/>
          <w:docGrid w:linePitch="360"/>
        </w:sectPr>
      </w:pPr>
    </w:p>
    <w:sdt>
      <w:sdtPr>
        <w:rPr>
          <w:b w:val="0"/>
          <w:noProof w:val="0"/>
          <w:color w:val="auto"/>
          <w:sz w:val="22"/>
          <w:szCs w:val="22"/>
        </w:rPr>
        <w:id w:val="-741531"/>
        <w:docPartObj>
          <w:docPartGallery w:val="Table of Contents"/>
          <w:docPartUnique/>
        </w:docPartObj>
      </w:sdtPr>
      <w:sdtEndPr>
        <w:rPr>
          <w:b/>
          <w:bCs/>
          <w:noProof/>
          <w:color w:val="172983"/>
          <w:sz w:val="28"/>
          <w:szCs w:val="28"/>
        </w:rPr>
      </w:sdtEndPr>
      <w:sdtContent>
        <w:p w14:paraId="2E3CEF6C" w14:textId="77777777" w:rsidR="00872986" w:rsidRDefault="00872986">
          <w:pPr>
            <w:pStyle w:val="TOCHeading"/>
          </w:pPr>
          <w:r>
            <w:t>Contents</w:t>
          </w:r>
        </w:p>
        <w:p w14:paraId="0E64C5AE" w14:textId="17495995" w:rsidR="000E2AF7" w:rsidRDefault="00AB4651" w:rsidP="00265D88">
          <w:pPr>
            <w:pStyle w:val="TOC1"/>
            <w:rPr>
              <w:rFonts w:asciiTheme="minorHAnsi" w:eastAsiaTheme="minorEastAsia" w:hAnsiTheme="minorHAnsi" w:cstheme="minorBidi"/>
              <w:color w:val="auto"/>
              <w:sz w:val="22"/>
              <w:szCs w:val="22"/>
            </w:rPr>
          </w:pPr>
          <w:r>
            <w:fldChar w:fldCharType="begin"/>
          </w:r>
          <w:r>
            <w:instrText xml:space="preserve"> TOC \o "1-3" \h \z \u </w:instrText>
          </w:r>
          <w:r>
            <w:fldChar w:fldCharType="separate"/>
          </w:r>
          <w:hyperlink w:anchor="_Toc95836721" w:history="1">
            <w:r w:rsidR="000E2AF7" w:rsidRPr="00C14E49">
              <w:rPr>
                <w:rStyle w:val="Hyperlink"/>
              </w:rPr>
              <w:t>I.</w:t>
            </w:r>
            <w:r w:rsidR="000E2AF7">
              <w:rPr>
                <w:rFonts w:asciiTheme="minorHAnsi" w:eastAsiaTheme="minorEastAsia" w:hAnsiTheme="minorHAnsi" w:cstheme="minorBidi"/>
                <w:color w:val="auto"/>
                <w:sz w:val="22"/>
                <w:szCs w:val="22"/>
              </w:rPr>
              <w:tab/>
            </w:r>
            <w:r w:rsidR="000E2AF7" w:rsidRPr="00C14E49">
              <w:rPr>
                <w:rStyle w:val="Hyperlink"/>
              </w:rPr>
              <w:t>Executive Summary</w:t>
            </w:r>
            <w:r w:rsidR="000E2AF7">
              <w:rPr>
                <w:webHidden/>
              </w:rPr>
              <w:tab/>
            </w:r>
            <w:r w:rsidR="000E2AF7">
              <w:rPr>
                <w:webHidden/>
              </w:rPr>
              <w:fldChar w:fldCharType="begin"/>
            </w:r>
            <w:r w:rsidR="000E2AF7">
              <w:rPr>
                <w:webHidden/>
              </w:rPr>
              <w:instrText xml:space="preserve"> PAGEREF _Toc95836721 \h </w:instrText>
            </w:r>
            <w:r w:rsidR="000E2AF7">
              <w:rPr>
                <w:webHidden/>
              </w:rPr>
            </w:r>
            <w:r w:rsidR="000E2AF7">
              <w:rPr>
                <w:webHidden/>
              </w:rPr>
              <w:fldChar w:fldCharType="separate"/>
            </w:r>
            <w:r w:rsidR="00F52694">
              <w:rPr>
                <w:webHidden/>
              </w:rPr>
              <w:t>1</w:t>
            </w:r>
            <w:r w:rsidR="000E2AF7">
              <w:rPr>
                <w:webHidden/>
              </w:rPr>
              <w:fldChar w:fldCharType="end"/>
            </w:r>
          </w:hyperlink>
        </w:p>
        <w:p w14:paraId="4B006459" w14:textId="71CC5279" w:rsidR="000E2AF7" w:rsidRDefault="00F52694" w:rsidP="00265D88">
          <w:pPr>
            <w:pStyle w:val="TOC1"/>
            <w:rPr>
              <w:rFonts w:asciiTheme="minorHAnsi" w:eastAsiaTheme="minorEastAsia" w:hAnsiTheme="minorHAnsi" w:cstheme="minorBidi"/>
              <w:color w:val="auto"/>
              <w:sz w:val="22"/>
              <w:szCs w:val="22"/>
            </w:rPr>
          </w:pPr>
          <w:hyperlink w:anchor="_Toc95836722" w:history="1">
            <w:r w:rsidR="000E2AF7" w:rsidRPr="00C14E49">
              <w:rPr>
                <w:rStyle w:val="Hyperlink"/>
              </w:rPr>
              <w:t>II.</w:t>
            </w:r>
            <w:r w:rsidR="000E2AF7">
              <w:rPr>
                <w:rFonts w:asciiTheme="minorHAnsi" w:eastAsiaTheme="minorEastAsia" w:hAnsiTheme="minorHAnsi" w:cstheme="minorBidi"/>
                <w:color w:val="auto"/>
                <w:sz w:val="22"/>
                <w:szCs w:val="22"/>
              </w:rPr>
              <w:tab/>
            </w:r>
            <w:r w:rsidR="000E2AF7" w:rsidRPr="00C14E49">
              <w:rPr>
                <w:rStyle w:val="Hyperlink"/>
              </w:rPr>
              <w:t>Introduction</w:t>
            </w:r>
            <w:r w:rsidR="000E2AF7">
              <w:rPr>
                <w:webHidden/>
              </w:rPr>
              <w:tab/>
            </w:r>
            <w:r w:rsidR="000E2AF7">
              <w:rPr>
                <w:webHidden/>
              </w:rPr>
              <w:fldChar w:fldCharType="begin"/>
            </w:r>
            <w:r w:rsidR="000E2AF7">
              <w:rPr>
                <w:webHidden/>
              </w:rPr>
              <w:instrText xml:space="preserve"> PAGEREF _Toc95836722 \h </w:instrText>
            </w:r>
            <w:r w:rsidR="000E2AF7">
              <w:rPr>
                <w:webHidden/>
              </w:rPr>
            </w:r>
            <w:r w:rsidR="000E2AF7">
              <w:rPr>
                <w:webHidden/>
              </w:rPr>
              <w:fldChar w:fldCharType="separate"/>
            </w:r>
            <w:r>
              <w:rPr>
                <w:webHidden/>
              </w:rPr>
              <w:t>5</w:t>
            </w:r>
            <w:r w:rsidR="000E2AF7">
              <w:rPr>
                <w:webHidden/>
              </w:rPr>
              <w:fldChar w:fldCharType="end"/>
            </w:r>
          </w:hyperlink>
        </w:p>
        <w:p w14:paraId="691696C0" w14:textId="7436B4B5" w:rsidR="000E2AF7" w:rsidRDefault="00F52694" w:rsidP="000E2AF7">
          <w:pPr>
            <w:pStyle w:val="TOC2"/>
            <w:rPr>
              <w:rFonts w:asciiTheme="minorHAnsi" w:eastAsiaTheme="minorEastAsia" w:hAnsiTheme="minorHAnsi" w:cstheme="minorBidi"/>
              <w:color w:val="auto"/>
              <w:sz w:val="22"/>
              <w:szCs w:val="22"/>
            </w:rPr>
          </w:pPr>
          <w:hyperlink w:anchor="_Toc95836723" w:history="1">
            <w:r w:rsidR="000E2AF7" w:rsidRPr="00C14E49">
              <w:rPr>
                <w:rStyle w:val="Hyperlink"/>
                <w:bCs/>
              </w:rPr>
              <w:t>A.</w:t>
            </w:r>
            <w:r w:rsidR="000E2AF7">
              <w:rPr>
                <w:rFonts w:asciiTheme="minorHAnsi" w:eastAsiaTheme="minorEastAsia" w:hAnsiTheme="minorHAnsi" w:cstheme="minorBidi"/>
                <w:color w:val="auto"/>
                <w:sz w:val="22"/>
                <w:szCs w:val="22"/>
              </w:rPr>
              <w:tab/>
            </w:r>
            <w:r w:rsidR="000E2AF7" w:rsidRPr="00C14E49">
              <w:rPr>
                <w:rStyle w:val="Hyperlink"/>
              </w:rPr>
              <w:t>Project background and objectives</w:t>
            </w:r>
            <w:r w:rsidR="000E2AF7">
              <w:rPr>
                <w:webHidden/>
              </w:rPr>
              <w:tab/>
            </w:r>
            <w:r w:rsidR="000E2AF7">
              <w:rPr>
                <w:webHidden/>
              </w:rPr>
              <w:fldChar w:fldCharType="begin"/>
            </w:r>
            <w:r w:rsidR="000E2AF7">
              <w:rPr>
                <w:webHidden/>
              </w:rPr>
              <w:instrText xml:space="preserve"> PAGEREF _Toc95836723 \h </w:instrText>
            </w:r>
            <w:r w:rsidR="000E2AF7">
              <w:rPr>
                <w:webHidden/>
              </w:rPr>
            </w:r>
            <w:r w:rsidR="000E2AF7">
              <w:rPr>
                <w:webHidden/>
              </w:rPr>
              <w:fldChar w:fldCharType="separate"/>
            </w:r>
            <w:r>
              <w:rPr>
                <w:webHidden/>
              </w:rPr>
              <w:t>5</w:t>
            </w:r>
            <w:r w:rsidR="000E2AF7">
              <w:rPr>
                <w:webHidden/>
              </w:rPr>
              <w:fldChar w:fldCharType="end"/>
            </w:r>
          </w:hyperlink>
        </w:p>
        <w:p w14:paraId="22A23D96" w14:textId="5A924732" w:rsidR="000E2AF7" w:rsidRDefault="00F52694" w:rsidP="00265D88">
          <w:pPr>
            <w:pStyle w:val="TOC3"/>
            <w:rPr>
              <w:rFonts w:asciiTheme="minorHAnsi" w:eastAsiaTheme="minorEastAsia" w:hAnsiTheme="minorHAnsi" w:cstheme="minorBidi"/>
              <w:color w:val="auto"/>
            </w:rPr>
          </w:pPr>
          <w:hyperlink w:anchor="_Toc95836724" w:history="1">
            <w:r w:rsidR="000E2AF7" w:rsidRPr="00C14E49">
              <w:rPr>
                <w:rStyle w:val="Hyperlink"/>
              </w:rPr>
              <w:t>NDCO program aims and outcomes</w:t>
            </w:r>
            <w:r w:rsidR="000E2AF7">
              <w:rPr>
                <w:webHidden/>
              </w:rPr>
              <w:tab/>
            </w:r>
            <w:r w:rsidR="000E2AF7">
              <w:rPr>
                <w:webHidden/>
              </w:rPr>
              <w:fldChar w:fldCharType="begin"/>
            </w:r>
            <w:r w:rsidR="000E2AF7">
              <w:rPr>
                <w:webHidden/>
              </w:rPr>
              <w:instrText xml:space="preserve"> PAGEREF _Toc95836724 \h </w:instrText>
            </w:r>
            <w:r w:rsidR="000E2AF7">
              <w:rPr>
                <w:webHidden/>
              </w:rPr>
            </w:r>
            <w:r w:rsidR="000E2AF7">
              <w:rPr>
                <w:webHidden/>
              </w:rPr>
              <w:fldChar w:fldCharType="separate"/>
            </w:r>
            <w:r>
              <w:rPr>
                <w:webHidden/>
              </w:rPr>
              <w:t>5</w:t>
            </w:r>
            <w:r w:rsidR="000E2AF7">
              <w:rPr>
                <w:webHidden/>
              </w:rPr>
              <w:fldChar w:fldCharType="end"/>
            </w:r>
          </w:hyperlink>
        </w:p>
        <w:p w14:paraId="4521644E" w14:textId="0D830F7C" w:rsidR="000E2AF7" w:rsidRDefault="00F52694" w:rsidP="00265D88">
          <w:pPr>
            <w:pStyle w:val="TOC3"/>
            <w:rPr>
              <w:rFonts w:asciiTheme="minorHAnsi" w:eastAsiaTheme="minorEastAsia" w:hAnsiTheme="minorHAnsi" w:cstheme="minorBidi"/>
              <w:color w:val="auto"/>
            </w:rPr>
          </w:pPr>
          <w:hyperlink w:anchor="_Toc95836725" w:history="1">
            <w:r w:rsidR="000E2AF7" w:rsidRPr="00C14E49">
              <w:rPr>
                <w:rStyle w:val="Hyperlink"/>
              </w:rPr>
              <w:t>Review objectives</w:t>
            </w:r>
            <w:r w:rsidR="000E2AF7">
              <w:rPr>
                <w:webHidden/>
              </w:rPr>
              <w:tab/>
            </w:r>
            <w:r w:rsidR="000E2AF7">
              <w:rPr>
                <w:webHidden/>
              </w:rPr>
              <w:fldChar w:fldCharType="begin"/>
            </w:r>
            <w:r w:rsidR="000E2AF7">
              <w:rPr>
                <w:webHidden/>
              </w:rPr>
              <w:instrText xml:space="preserve"> PAGEREF _Toc95836725 \h </w:instrText>
            </w:r>
            <w:r w:rsidR="000E2AF7">
              <w:rPr>
                <w:webHidden/>
              </w:rPr>
            </w:r>
            <w:r w:rsidR="000E2AF7">
              <w:rPr>
                <w:webHidden/>
              </w:rPr>
              <w:fldChar w:fldCharType="separate"/>
            </w:r>
            <w:r>
              <w:rPr>
                <w:webHidden/>
              </w:rPr>
              <w:t>6</w:t>
            </w:r>
            <w:r w:rsidR="000E2AF7">
              <w:rPr>
                <w:webHidden/>
              </w:rPr>
              <w:fldChar w:fldCharType="end"/>
            </w:r>
          </w:hyperlink>
        </w:p>
        <w:p w14:paraId="2D11E2BF" w14:textId="27E02419" w:rsidR="000E2AF7" w:rsidRDefault="00F52694" w:rsidP="00265D88">
          <w:pPr>
            <w:pStyle w:val="TOC3"/>
            <w:rPr>
              <w:rFonts w:asciiTheme="minorHAnsi" w:eastAsiaTheme="minorEastAsia" w:hAnsiTheme="minorHAnsi" w:cstheme="minorBidi"/>
              <w:color w:val="auto"/>
            </w:rPr>
          </w:pPr>
          <w:hyperlink w:anchor="_Toc95836726" w:history="1">
            <w:r w:rsidR="000E2AF7" w:rsidRPr="00C14E49">
              <w:rPr>
                <w:rStyle w:val="Hyperlink"/>
              </w:rPr>
              <w:t>Overview of the research methodology</w:t>
            </w:r>
            <w:r w:rsidR="000E2AF7">
              <w:rPr>
                <w:webHidden/>
              </w:rPr>
              <w:tab/>
            </w:r>
            <w:r w:rsidR="000E2AF7">
              <w:rPr>
                <w:webHidden/>
              </w:rPr>
              <w:fldChar w:fldCharType="begin"/>
            </w:r>
            <w:r w:rsidR="000E2AF7">
              <w:rPr>
                <w:webHidden/>
              </w:rPr>
              <w:instrText xml:space="preserve"> PAGEREF _Toc95836726 \h </w:instrText>
            </w:r>
            <w:r w:rsidR="000E2AF7">
              <w:rPr>
                <w:webHidden/>
              </w:rPr>
            </w:r>
            <w:r w:rsidR="000E2AF7">
              <w:rPr>
                <w:webHidden/>
              </w:rPr>
              <w:fldChar w:fldCharType="separate"/>
            </w:r>
            <w:r>
              <w:rPr>
                <w:webHidden/>
              </w:rPr>
              <w:t>7</w:t>
            </w:r>
            <w:r w:rsidR="000E2AF7">
              <w:rPr>
                <w:webHidden/>
              </w:rPr>
              <w:fldChar w:fldCharType="end"/>
            </w:r>
          </w:hyperlink>
        </w:p>
        <w:p w14:paraId="22348E22" w14:textId="07F0DE1B" w:rsidR="000E2AF7" w:rsidRDefault="00F52694" w:rsidP="00265D88">
          <w:pPr>
            <w:pStyle w:val="TOC1"/>
            <w:rPr>
              <w:rFonts w:asciiTheme="minorHAnsi" w:eastAsiaTheme="minorEastAsia" w:hAnsiTheme="minorHAnsi" w:cstheme="minorBidi"/>
              <w:color w:val="auto"/>
              <w:sz w:val="22"/>
              <w:szCs w:val="22"/>
            </w:rPr>
          </w:pPr>
          <w:hyperlink w:anchor="_Toc95836727" w:history="1">
            <w:r w:rsidR="000E2AF7" w:rsidRPr="00C14E49">
              <w:rPr>
                <w:rStyle w:val="Hyperlink"/>
              </w:rPr>
              <w:t>III.</w:t>
            </w:r>
            <w:r w:rsidR="000E2AF7">
              <w:rPr>
                <w:rFonts w:asciiTheme="minorHAnsi" w:eastAsiaTheme="minorEastAsia" w:hAnsiTheme="minorHAnsi" w:cstheme="minorBidi"/>
                <w:color w:val="auto"/>
                <w:sz w:val="22"/>
                <w:szCs w:val="22"/>
              </w:rPr>
              <w:tab/>
            </w:r>
            <w:r w:rsidR="000E2AF7" w:rsidRPr="00C14E49">
              <w:rPr>
                <w:rStyle w:val="Hyperlink"/>
              </w:rPr>
              <w:t>Key insights on current and emerging needs of students</w:t>
            </w:r>
            <w:r w:rsidR="00265D88">
              <w:rPr>
                <w:rStyle w:val="Hyperlink"/>
              </w:rPr>
              <w:t xml:space="preserve">                         </w:t>
            </w:r>
            <w:r w:rsidR="000E2AF7">
              <w:rPr>
                <w:webHidden/>
              </w:rPr>
              <w:fldChar w:fldCharType="begin"/>
            </w:r>
            <w:r w:rsidR="000E2AF7">
              <w:rPr>
                <w:webHidden/>
              </w:rPr>
              <w:instrText xml:space="preserve"> PAGEREF _Toc95836727 \h </w:instrText>
            </w:r>
            <w:r w:rsidR="000E2AF7">
              <w:rPr>
                <w:webHidden/>
              </w:rPr>
            </w:r>
            <w:r w:rsidR="000E2AF7">
              <w:rPr>
                <w:webHidden/>
              </w:rPr>
              <w:fldChar w:fldCharType="separate"/>
            </w:r>
            <w:r>
              <w:rPr>
                <w:webHidden/>
              </w:rPr>
              <w:t>13</w:t>
            </w:r>
            <w:r w:rsidR="000E2AF7">
              <w:rPr>
                <w:webHidden/>
              </w:rPr>
              <w:fldChar w:fldCharType="end"/>
            </w:r>
          </w:hyperlink>
        </w:p>
        <w:p w14:paraId="553D7289" w14:textId="1F1B2CBA" w:rsidR="000E2AF7" w:rsidRDefault="00F52694" w:rsidP="000E2AF7">
          <w:pPr>
            <w:pStyle w:val="TOC2"/>
            <w:rPr>
              <w:rFonts w:asciiTheme="minorHAnsi" w:eastAsiaTheme="minorEastAsia" w:hAnsiTheme="minorHAnsi" w:cstheme="minorBidi"/>
              <w:color w:val="auto"/>
              <w:sz w:val="22"/>
              <w:szCs w:val="22"/>
            </w:rPr>
          </w:pPr>
          <w:hyperlink w:anchor="_Toc95836728" w:history="1">
            <w:r w:rsidR="000E2AF7" w:rsidRPr="00C14E49">
              <w:rPr>
                <w:rStyle w:val="Hyperlink"/>
                <w:bCs/>
              </w:rPr>
              <w:t>A.</w:t>
            </w:r>
            <w:r w:rsidR="000E2AF7">
              <w:rPr>
                <w:rFonts w:asciiTheme="minorHAnsi" w:eastAsiaTheme="minorEastAsia" w:hAnsiTheme="minorHAnsi" w:cstheme="minorBidi"/>
                <w:color w:val="auto"/>
                <w:sz w:val="22"/>
                <w:szCs w:val="22"/>
              </w:rPr>
              <w:tab/>
            </w:r>
            <w:r w:rsidR="000E2AF7" w:rsidRPr="00C14E49">
              <w:rPr>
                <w:rStyle w:val="Hyperlink"/>
              </w:rPr>
              <w:t>Barriers and needs of students with disability accessing tertiary education and subsequent employment</w:t>
            </w:r>
            <w:r w:rsidR="000E2AF7">
              <w:rPr>
                <w:webHidden/>
              </w:rPr>
              <w:tab/>
            </w:r>
            <w:r w:rsidR="000E2AF7">
              <w:rPr>
                <w:webHidden/>
              </w:rPr>
              <w:fldChar w:fldCharType="begin"/>
            </w:r>
            <w:r w:rsidR="000E2AF7">
              <w:rPr>
                <w:webHidden/>
              </w:rPr>
              <w:instrText xml:space="preserve"> PAGEREF _Toc95836728 \h </w:instrText>
            </w:r>
            <w:r w:rsidR="000E2AF7">
              <w:rPr>
                <w:webHidden/>
              </w:rPr>
            </w:r>
            <w:r w:rsidR="000E2AF7">
              <w:rPr>
                <w:webHidden/>
              </w:rPr>
              <w:fldChar w:fldCharType="separate"/>
            </w:r>
            <w:r>
              <w:rPr>
                <w:webHidden/>
              </w:rPr>
              <w:t>13</w:t>
            </w:r>
            <w:r w:rsidR="000E2AF7">
              <w:rPr>
                <w:webHidden/>
              </w:rPr>
              <w:fldChar w:fldCharType="end"/>
            </w:r>
          </w:hyperlink>
        </w:p>
        <w:p w14:paraId="315FD6D9" w14:textId="51FBE82A" w:rsidR="000E2AF7" w:rsidRDefault="00F52694" w:rsidP="00265D88">
          <w:pPr>
            <w:pStyle w:val="TOC3"/>
            <w:rPr>
              <w:rFonts w:asciiTheme="minorHAnsi" w:eastAsiaTheme="minorEastAsia" w:hAnsiTheme="minorHAnsi" w:cstheme="minorBidi"/>
              <w:color w:val="auto"/>
            </w:rPr>
          </w:pPr>
          <w:hyperlink w:anchor="_Toc95836729" w:history="1">
            <w:r w:rsidR="000E2AF7" w:rsidRPr="00C14E49">
              <w:rPr>
                <w:rStyle w:val="Hyperlink"/>
              </w:rPr>
              <w:t>A key opportunity to drive greater entry into tertiary education lies in building career ambition</w:t>
            </w:r>
            <w:r w:rsidR="000E2AF7">
              <w:rPr>
                <w:webHidden/>
              </w:rPr>
              <w:tab/>
            </w:r>
            <w:r w:rsidR="000E2AF7">
              <w:rPr>
                <w:webHidden/>
              </w:rPr>
              <w:fldChar w:fldCharType="begin"/>
            </w:r>
            <w:r w:rsidR="000E2AF7">
              <w:rPr>
                <w:webHidden/>
              </w:rPr>
              <w:instrText xml:space="preserve"> PAGEREF _Toc95836729 \h </w:instrText>
            </w:r>
            <w:r w:rsidR="000E2AF7">
              <w:rPr>
                <w:webHidden/>
              </w:rPr>
            </w:r>
            <w:r w:rsidR="000E2AF7">
              <w:rPr>
                <w:webHidden/>
              </w:rPr>
              <w:fldChar w:fldCharType="separate"/>
            </w:r>
            <w:r>
              <w:rPr>
                <w:webHidden/>
              </w:rPr>
              <w:t>13</w:t>
            </w:r>
            <w:r w:rsidR="000E2AF7">
              <w:rPr>
                <w:webHidden/>
              </w:rPr>
              <w:fldChar w:fldCharType="end"/>
            </w:r>
          </w:hyperlink>
        </w:p>
        <w:p w14:paraId="44C21DF2" w14:textId="39D926A7" w:rsidR="000E2AF7" w:rsidRDefault="00F52694" w:rsidP="00265D88">
          <w:pPr>
            <w:pStyle w:val="TOC3"/>
            <w:rPr>
              <w:rFonts w:asciiTheme="minorHAnsi" w:eastAsiaTheme="minorEastAsia" w:hAnsiTheme="minorHAnsi" w:cstheme="minorBidi"/>
              <w:color w:val="auto"/>
            </w:rPr>
          </w:pPr>
          <w:hyperlink w:anchor="_Toc95836730" w:history="1">
            <w:r w:rsidR="000E2AF7" w:rsidRPr="00C14E49">
              <w:rPr>
                <w:rStyle w:val="Hyperlink"/>
              </w:rPr>
              <w:t>Improvements in tertiary study access and completion rates are likely to flow from flipping the switch on self-reporting disability</w:t>
            </w:r>
            <w:r w:rsidR="000E2AF7">
              <w:rPr>
                <w:webHidden/>
              </w:rPr>
              <w:tab/>
            </w:r>
            <w:r w:rsidR="000E2AF7">
              <w:rPr>
                <w:webHidden/>
              </w:rPr>
              <w:fldChar w:fldCharType="begin"/>
            </w:r>
            <w:r w:rsidR="000E2AF7">
              <w:rPr>
                <w:webHidden/>
              </w:rPr>
              <w:instrText xml:space="preserve"> PAGEREF _Toc95836730 \h </w:instrText>
            </w:r>
            <w:r w:rsidR="000E2AF7">
              <w:rPr>
                <w:webHidden/>
              </w:rPr>
            </w:r>
            <w:r w:rsidR="000E2AF7">
              <w:rPr>
                <w:webHidden/>
              </w:rPr>
              <w:fldChar w:fldCharType="separate"/>
            </w:r>
            <w:r>
              <w:rPr>
                <w:webHidden/>
              </w:rPr>
              <w:t>14</w:t>
            </w:r>
            <w:r w:rsidR="000E2AF7">
              <w:rPr>
                <w:webHidden/>
              </w:rPr>
              <w:fldChar w:fldCharType="end"/>
            </w:r>
          </w:hyperlink>
        </w:p>
        <w:p w14:paraId="6603A1F5" w14:textId="2A4B69F5" w:rsidR="000E2AF7" w:rsidRDefault="00F52694" w:rsidP="00265D88">
          <w:pPr>
            <w:pStyle w:val="TOC3"/>
            <w:rPr>
              <w:rFonts w:asciiTheme="minorHAnsi" w:eastAsiaTheme="minorEastAsia" w:hAnsiTheme="minorHAnsi" w:cstheme="minorBidi"/>
              <w:color w:val="auto"/>
            </w:rPr>
          </w:pPr>
          <w:hyperlink w:anchor="_Toc95836731" w:history="1">
            <w:r w:rsidR="000E2AF7" w:rsidRPr="00C14E49">
              <w:rPr>
                <w:rStyle w:val="Hyperlink"/>
              </w:rPr>
              <w:t>The experience of adjustments in tertiary settings remains patchy</w:t>
            </w:r>
            <w:r w:rsidR="000E2AF7">
              <w:rPr>
                <w:webHidden/>
              </w:rPr>
              <w:tab/>
            </w:r>
            <w:r w:rsidR="000E2AF7">
              <w:rPr>
                <w:webHidden/>
              </w:rPr>
              <w:fldChar w:fldCharType="begin"/>
            </w:r>
            <w:r w:rsidR="000E2AF7">
              <w:rPr>
                <w:webHidden/>
              </w:rPr>
              <w:instrText xml:space="preserve"> PAGEREF _Toc95836731 \h </w:instrText>
            </w:r>
            <w:r w:rsidR="000E2AF7">
              <w:rPr>
                <w:webHidden/>
              </w:rPr>
            </w:r>
            <w:r w:rsidR="000E2AF7">
              <w:rPr>
                <w:webHidden/>
              </w:rPr>
              <w:fldChar w:fldCharType="separate"/>
            </w:r>
            <w:r>
              <w:rPr>
                <w:webHidden/>
              </w:rPr>
              <w:t>14</w:t>
            </w:r>
            <w:r w:rsidR="000E2AF7">
              <w:rPr>
                <w:webHidden/>
              </w:rPr>
              <w:fldChar w:fldCharType="end"/>
            </w:r>
          </w:hyperlink>
        </w:p>
        <w:p w14:paraId="34691410" w14:textId="30528755" w:rsidR="000E2AF7" w:rsidRDefault="00F52694" w:rsidP="00265D88">
          <w:pPr>
            <w:pStyle w:val="TOC3"/>
            <w:rPr>
              <w:rFonts w:asciiTheme="minorHAnsi" w:eastAsiaTheme="minorEastAsia" w:hAnsiTheme="minorHAnsi" w:cstheme="minorBidi"/>
              <w:color w:val="auto"/>
            </w:rPr>
          </w:pPr>
          <w:hyperlink w:anchor="_Toc95836732" w:history="1">
            <w:r w:rsidR="000E2AF7" w:rsidRPr="00C14E49">
              <w:rPr>
                <w:rStyle w:val="Hyperlink"/>
              </w:rPr>
              <w:t xml:space="preserve">Transition </w:t>
            </w:r>
            <w:r w:rsidRPr="00F52694">
              <w:rPr>
                <w:rStyle w:val="Hyperlink"/>
              </w:rPr>
              <w:t>from tertiary providers into employment is a gap</w:t>
            </w:r>
            <w:r w:rsidR="000E2AF7">
              <w:rPr>
                <w:webHidden/>
              </w:rPr>
              <w:tab/>
            </w:r>
            <w:r w:rsidR="000E2AF7">
              <w:rPr>
                <w:webHidden/>
              </w:rPr>
              <w:fldChar w:fldCharType="begin"/>
            </w:r>
            <w:r w:rsidR="000E2AF7">
              <w:rPr>
                <w:webHidden/>
              </w:rPr>
              <w:instrText xml:space="preserve"> PAGEREF _Toc95836732 \h </w:instrText>
            </w:r>
            <w:r w:rsidR="000E2AF7">
              <w:rPr>
                <w:webHidden/>
              </w:rPr>
            </w:r>
            <w:r w:rsidR="000E2AF7">
              <w:rPr>
                <w:webHidden/>
              </w:rPr>
              <w:fldChar w:fldCharType="separate"/>
            </w:r>
            <w:r>
              <w:rPr>
                <w:webHidden/>
              </w:rPr>
              <w:t>15</w:t>
            </w:r>
            <w:r w:rsidR="000E2AF7">
              <w:rPr>
                <w:webHidden/>
              </w:rPr>
              <w:fldChar w:fldCharType="end"/>
            </w:r>
          </w:hyperlink>
        </w:p>
        <w:p w14:paraId="3E337E68" w14:textId="551A0D9C" w:rsidR="000E2AF7" w:rsidRDefault="00F52694" w:rsidP="00265D88">
          <w:pPr>
            <w:pStyle w:val="TOC3"/>
            <w:rPr>
              <w:rFonts w:asciiTheme="minorHAnsi" w:eastAsiaTheme="minorEastAsia" w:hAnsiTheme="minorHAnsi" w:cstheme="minorBidi"/>
              <w:color w:val="auto"/>
            </w:rPr>
          </w:pPr>
          <w:hyperlink w:anchor="_Toc95836733" w:history="1">
            <w:r w:rsidR="000E2AF7" w:rsidRPr="00C14E49">
              <w:rPr>
                <w:rStyle w:val="Hyperlink"/>
              </w:rPr>
              <w:t>Design with us not for us</w:t>
            </w:r>
            <w:r w:rsidR="000E2AF7">
              <w:rPr>
                <w:webHidden/>
              </w:rPr>
              <w:tab/>
            </w:r>
            <w:r w:rsidR="000E2AF7">
              <w:rPr>
                <w:webHidden/>
              </w:rPr>
              <w:fldChar w:fldCharType="begin"/>
            </w:r>
            <w:r w:rsidR="000E2AF7">
              <w:rPr>
                <w:webHidden/>
              </w:rPr>
              <w:instrText xml:space="preserve"> PAGEREF _Toc95836733 \h </w:instrText>
            </w:r>
            <w:r w:rsidR="000E2AF7">
              <w:rPr>
                <w:webHidden/>
              </w:rPr>
            </w:r>
            <w:r w:rsidR="000E2AF7">
              <w:rPr>
                <w:webHidden/>
              </w:rPr>
              <w:fldChar w:fldCharType="separate"/>
            </w:r>
            <w:r>
              <w:rPr>
                <w:webHidden/>
              </w:rPr>
              <w:t>16</w:t>
            </w:r>
            <w:r w:rsidR="000E2AF7">
              <w:rPr>
                <w:webHidden/>
              </w:rPr>
              <w:fldChar w:fldCharType="end"/>
            </w:r>
          </w:hyperlink>
        </w:p>
        <w:p w14:paraId="58853864" w14:textId="1A769D4C" w:rsidR="000E2AF7" w:rsidRDefault="00F52694" w:rsidP="000E2AF7">
          <w:pPr>
            <w:pStyle w:val="TOC2"/>
            <w:tabs>
              <w:tab w:val="clear" w:pos="8789"/>
            </w:tabs>
            <w:rPr>
              <w:rFonts w:asciiTheme="minorHAnsi" w:eastAsiaTheme="minorEastAsia" w:hAnsiTheme="minorHAnsi" w:cstheme="minorBidi"/>
              <w:color w:val="auto"/>
              <w:sz w:val="22"/>
              <w:szCs w:val="22"/>
            </w:rPr>
          </w:pPr>
          <w:hyperlink w:anchor="_Toc95836734" w:history="1">
            <w:r w:rsidR="000E2AF7" w:rsidRPr="00C14E49">
              <w:rPr>
                <w:rStyle w:val="Hyperlink"/>
                <w:bCs/>
              </w:rPr>
              <w:t>B.</w:t>
            </w:r>
            <w:r w:rsidR="000E2AF7">
              <w:rPr>
                <w:rFonts w:asciiTheme="minorHAnsi" w:eastAsiaTheme="minorEastAsia" w:hAnsiTheme="minorHAnsi" w:cstheme="minorBidi"/>
                <w:color w:val="auto"/>
                <w:sz w:val="22"/>
                <w:szCs w:val="22"/>
              </w:rPr>
              <w:tab/>
            </w:r>
            <w:r w:rsidR="000E2AF7" w:rsidRPr="00C14E49">
              <w:rPr>
                <w:rStyle w:val="Hyperlink"/>
              </w:rPr>
              <w:t>Gaps and opportunities at local, program and strategic levels</w:t>
            </w:r>
            <w:r w:rsidR="00265D88">
              <w:rPr>
                <w:rStyle w:val="Hyperlink"/>
              </w:rPr>
              <w:t>………………</w:t>
            </w:r>
            <w:r w:rsidR="00265D88">
              <w:rPr>
                <w:webHidden/>
              </w:rPr>
              <w:t>……………</w:t>
            </w:r>
            <w:r w:rsidR="000E2AF7">
              <w:rPr>
                <w:webHidden/>
              </w:rPr>
              <w:fldChar w:fldCharType="begin"/>
            </w:r>
            <w:r w:rsidR="000E2AF7">
              <w:rPr>
                <w:webHidden/>
              </w:rPr>
              <w:instrText xml:space="preserve"> PAGEREF _Toc95836734 \h </w:instrText>
            </w:r>
            <w:r w:rsidR="000E2AF7">
              <w:rPr>
                <w:webHidden/>
              </w:rPr>
            </w:r>
            <w:r w:rsidR="000E2AF7">
              <w:rPr>
                <w:webHidden/>
              </w:rPr>
              <w:fldChar w:fldCharType="separate"/>
            </w:r>
            <w:r>
              <w:rPr>
                <w:webHidden/>
              </w:rPr>
              <w:t>17</w:t>
            </w:r>
            <w:r w:rsidR="000E2AF7">
              <w:rPr>
                <w:webHidden/>
              </w:rPr>
              <w:fldChar w:fldCharType="end"/>
            </w:r>
          </w:hyperlink>
        </w:p>
        <w:p w14:paraId="09D141A7" w14:textId="01D78295" w:rsidR="000E2AF7" w:rsidRDefault="00F52694" w:rsidP="000E2AF7">
          <w:pPr>
            <w:pStyle w:val="TOC2"/>
            <w:rPr>
              <w:rFonts w:asciiTheme="minorHAnsi" w:eastAsiaTheme="minorEastAsia" w:hAnsiTheme="minorHAnsi" w:cstheme="minorBidi"/>
              <w:color w:val="auto"/>
              <w:sz w:val="22"/>
              <w:szCs w:val="22"/>
            </w:rPr>
          </w:pPr>
          <w:hyperlink w:anchor="_Toc95836735" w:history="1">
            <w:r w:rsidR="000E2AF7" w:rsidRPr="00C14E49">
              <w:rPr>
                <w:rStyle w:val="Hyperlink"/>
                <w:bCs/>
              </w:rPr>
              <w:t>C.</w:t>
            </w:r>
            <w:r w:rsidR="000E2AF7">
              <w:rPr>
                <w:rFonts w:asciiTheme="minorHAnsi" w:eastAsiaTheme="minorEastAsia" w:hAnsiTheme="minorHAnsi" w:cstheme="minorBidi"/>
                <w:color w:val="auto"/>
                <w:sz w:val="22"/>
                <w:szCs w:val="22"/>
              </w:rPr>
              <w:tab/>
            </w:r>
            <w:r w:rsidR="000E2AF7" w:rsidRPr="00C14E49">
              <w:rPr>
                <w:rStyle w:val="Hyperlink"/>
              </w:rPr>
              <w:t>Stakeholder perceptions of the program</w:t>
            </w:r>
            <w:r w:rsidR="000E2AF7">
              <w:rPr>
                <w:webHidden/>
              </w:rPr>
              <w:tab/>
            </w:r>
            <w:r w:rsidR="000E2AF7">
              <w:rPr>
                <w:webHidden/>
              </w:rPr>
              <w:fldChar w:fldCharType="begin"/>
            </w:r>
            <w:r w:rsidR="000E2AF7">
              <w:rPr>
                <w:webHidden/>
              </w:rPr>
              <w:instrText xml:space="preserve"> PAGEREF _Toc95836735 \h </w:instrText>
            </w:r>
            <w:r w:rsidR="000E2AF7">
              <w:rPr>
                <w:webHidden/>
              </w:rPr>
            </w:r>
            <w:r w:rsidR="000E2AF7">
              <w:rPr>
                <w:webHidden/>
              </w:rPr>
              <w:fldChar w:fldCharType="separate"/>
            </w:r>
            <w:r>
              <w:rPr>
                <w:webHidden/>
              </w:rPr>
              <w:t>21</w:t>
            </w:r>
            <w:r w:rsidR="000E2AF7">
              <w:rPr>
                <w:webHidden/>
              </w:rPr>
              <w:fldChar w:fldCharType="end"/>
            </w:r>
          </w:hyperlink>
        </w:p>
        <w:p w14:paraId="3BD057AB" w14:textId="357E2454" w:rsidR="000E2AF7" w:rsidRDefault="00F52694" w:rsidP="00265D88">
          <w:pPr>
            <w:pStyle w:val="TOC3"/>
            <w:rPr>
              <w:rFonts w:asciiTheme="minorHAnsi" w:eastAsiaTheme="minorEastAsia" w:hAnsiTheme="minorHAnsi" w:cstheme="minorBidi"/>
              <w:color w:val="auto"/>
            </w:rPr>
          </w:pPr>
          <w:hyperlink w:anchor="_Toc95836736" w:history="1">
            <w:r w:rsidR="000E2AF7" w:rsidRPr="00C14E49">
              <w:rPr>
                <w:rStyle w:val="Hyperlink"/>
              </w:rPr>
              <w:t>The effectiveness of the broader equity ecosystem</w:t>
            </w:r>
            <w:r w:rsidR="000E2AF7">
              <w:rPr>
                <w:webHidden/>
              </w:rPr>
              <w:tab/>
            </w:r>
            <w:r w:rsidR="000E2AF7">
              <w:rPr>
                <w:webHidden/>
              </w:rPr>
              <w:fldChar w:fldCharType="begin"/>
            </w:r>
            <w:r w:rsidR="000E2AF7">
              <w:rPr>
                <w:webHidden/>
              </w:rPr>
              <w:instrText xml:space="preserve"> PAGEREF _Toc95836736 \h </w:instrText>
            </w:r>
            <w:r w:rsidR="000E2AF7">
              <w:rPr>
                <w:webHidden/>
              </w:rPr>
            </w:r>
            <w:r w:rsidR="000E2AF7">
              <w:rPr>
                <w:webHidden/>
              </w:rPr>
              <w:fldChar w:fldCharType="separate"/>
            </w:r>
            <w:r>
              <w:rPr>
                <w:webHidden/>
              </w:rPr>
              <w:t>21</w:t>
            </w:r>
            <w:r w:rsidR="000E2AF7">
              <w:rPr>
                <w:webHidden/>
              </w:rPr>
              <w:fldChar w:fldCharType="end"/>
            </w:r>
          </w:hyperlink>
        </w:p>
        <w:p w14:paraId="42C01735" w14:textId="34FB5B3A" w:rsidR="000E2AF7" w:rsidRDefault="00F52694" w:rsidP="00265D88">
          <w:pPr>
            <w:pStyle w:val="TOC3"/>
            <w:rPr>
              <w:rFonts w:asciiTheme="minorHAnsi" w:eastAsiaTheme="minorEastAsia" w:hAnsiTheme="minorHAnsi" w:cstheme="minorBidi"/>
              <w:color w:val="auto"/>
            </w:rPr>
          </w:pPr>
          <w:hyperlink w:anchor="_Toc95836737" w:history="1">
            <w:r w:rsidR="000E2AF7" w:rsidRPr="00C14E49">
              <w:rPr>
                <w:rStyle w:val="Hyperlink"/>
              </w:rPr>
              <w:t>Perspectives on the program’s impact and barriers to achieving outcomes</w:t>
            </w:r>
            <w:r w:rsidR="000E2AF7">
              <w:rPr>
                <w:webHidden/>
              </w:rPr>
              <w:tab/>
            </w:r>
            <w:r w:rsidR="000E2AF7">
              <w:rPr>
                <w:webHidden/>
              </w:rPr>
              <w:fldChar w:fldCharType="begin"/>
            </w:r>
            <w:r w:rsidR="000E2AF7">
              <w:rPr>
                <w:webHidden/>
              </w:rPr>
              <w:instrText xml:space="preserve"> PAGEREF _Toc95836737 \h </w:instrText>
            </w:r>
            <w:r w:rsidR="000E2AF7">
              <w:rPr>
                <w:webHidden/>
              </w:rPr>
            </w:r>
            <w:r w:rsidR="000E2AF7">
              <w:rPr>
                <w:webHidden/>
              </w:rPr>
              <w:fldChar w:fldCharType="separate"/>
            </w:r>
            <w:r>
              <w:rPr>
                <w:webHidden/>
              </w:rPr>
              <w:t>21</w:t>
            </w:r>
            <w:r w:rsidR="000E2AF7">
              <w:rPr>
                <w:webHidden/>
              </w:rPr>
              <w:fldChar w:fldCharType="end"/>
            </w:r>
          </w:hyperlink>
        </w:p>
        <w:p w14:paraId="5E472F28" w14:textId="314B1C62" w:rsidR="000E2AF7" w:rsidRDefault="00F52694" w:rsidP="00265D88">
          <w:pPr>
            <w:pStyle w:val="TOC3"/>
            <w:rPr>
              <w:rFonts w:asciiTheme="minorHAnsi" w:eastAsiaTheme="minorEastAsia" w:hAnsiTheme="minorHAnsi" w:cstheme="minorBidi"/>
              <w:color w:val="auto"/>
            </w:rPr>
          </w:pPr>
          <w:hyperlink w:anchor="_Toc95836738" w:history="1">
            <w:r w:rsidR="000E2AF7" w:rsidRPr="00C14E49">
              <w:rPr>
                <w:rStyle w:val="Hyperlink"/>
              </w:rPr>
              <w:t>Value of the program structure</w:t>
            </w:r>
            <w:r w:rsidR="000E2AF7">
              <w:rPr>
                <w:webHidden/>
              </w:rPr>
              <w:tab/>
            </w:r>
            <w:r w:rsidR="000E2AF7">
              <w:rPr>
                <w:webHidden/>
              </w:rPr>
              <w:fldChar w:fldCharType="begin"/>
            </w:r>
            <w:r w:rsidR="000E2AF7">
              <w:rPr>
                <w:webHidden/>
              </w:rPr>
              <w:instrText xml:space="preserve"> PAGEREF _Toc95836738 \h </w:instrText>
            </w:r>
            <w:r w:rsidR="000E2AF7">
              <w:rPr>
                <w:webHidden/>
              </w:rPr>
            </w:r>
            <w:r w:rsidR="000E2AF7">
              <w:rPr>
                <w:webHidden/>
              </w:rPr>
              <w:fldChar w:fldCharType="separate"/>
            </w:r>
            <w:r>
              <w:rPr>
                <w:webHidden/>
              </w:rPr>
              <w:t>22</w:t>
            </w:r>
            <w:r w:rsidR="000E2AF7">
              <w:rPr>
                <w:webHidden/>
              </w:rPr>
              <w:fldChar w:fldCharType="end"/>
            </w:r>
          </w:hyperlink>
        </w:p>
        <w:p w14:paraId="6BE908BD" w14:textId="14B7F1A2" w:rsidR="000E2AF7" w:rsidRDefault="00F52694" w:rsidP="00265D88">
          <w:pPr>
            <w:pStyle w:val="TOC3"/>
            <w:rPr>
              <w:rFonts w:asciiTheme="minorHAnsi" w:eastAsiaTheme="minorEastAsia" w:hAnsiTheme="minorHAnsi" w:cstheme="minorBidi"/>
              <w:color w:val="auto"/>
            </w:rPr>
          </w:pPr>
          <w:hyperlink w:anchor="_Toc95836739" w:history="1">
            <w:r w:rsidR="000E2AF7" w:rsidRPr="00C14E49">
              <w:rPr>
                <w:rStyle w:val="Hyperlink"/>
              </w:rPr>
              <w:t>Future focus</w:t>
            </w:r>
            <w:r w:rsidR="000E2AF7">
              <w:rPr>
                <w:webHidden/>
              </w:rPr>
              <w:tab/>
            </w:r>
            <w:r w:rsidR="000E2AF7">
              <w:rPr>
                <w:webHidden/>
              </w:rPr>
              <w:fldChar w:fldCharType="begin"/>
            </w:r>
            <w:r w:rsidR="000E2AF7">
              <w:rPr>
                <w:webHidden/>
              </w:rPr>
              <w:instrText xml:space="preserve"> PAGEREF _Toc95836739 \h </w:instrText>
            </w:r>
            <w:r w:rsidR="000E2AF7">
              <w:rPr>
                <w:webHidden/>
              </w:rPr>
            </w:r>
            <w:r w:rsidR="000E2AF7">
              <w:rPr>
                <w:webHidden/>
              </w:rPr>
              <w:fldChar w:fldCharType="separate"/>
            </w:r>
            <w:r>
              <w:rPr>
                <w:webHidden/>
              </w:rPr>
              <w:t>23</w:t>
            </w:r>
            <w:r w:rsidR="000E2AF7">
              <w:rPr>
                <w:webHidden/>
              </w:rPr>
              <w:fldChar w:fldCharType="end"/>
            </w:r>
          </w:hyperlink>
        </w:p>
        <w:p w14:paraId="66013A7C" w14:textId="562585DE" w:rsidR="000E2AF7" w:rsidRDefault="00F52694" w:rsidP="00265D88">
          <w:pPr>
            <w:pStyle w:val="TOC1"/>
            <w:rPr>
              <w:rFonts w:asciiTheme="minorHAnsi" w:eastAsiaTheme="minorEastAsia" w:hAnsiTheme="minorHAnsi" w:cstheme="minorBidi"/>
              <w:color w:val="auto"/>
              <w:sz w:val="22"/>
              <w:szCs w:val="22"/>
            </w:rPr>
          </w:pPr>
          <w:hyperlink w:anchor="_Toc95836740" w:history="1">
            <w:r w:rsidR="000E2AF7" w:rsidRPr="00C14E49">
              <w:rPr>
                <w:rStyle w:val="Hyperlink"/>
              </w:rPr>
              <w:t>IV.</w:t>
            </w:r>
            <w:r w:rsidR="000E2AF7">
              <w:rPr>
                <w:rFonts w:asciiTheme="minorHAnsi" w:eastAsiaTheme="minorEastAsia" w:hAnsiTheme="minorHAnsi" w:cstheme="minorBidi"/>
                <w:color w:val="auto"/>
                <w:sz w:val="22"/>
                <w:szCs w:val="22"/>
              </w:rPr>
              <w:tab/>
            </w:r>
            <w:r w:rsidR="000E2AF7" w:rsidRPr="00C14E49">
              <w:rPr>
                <w:rStyle w:val="Hyperlink"/>
              </w:rPr>
              <w:t>Recommendations on program reform to ensure that it delivers strategic outcomes that meet the needs of students with disability</w:t>
            </w:r>
            <w:r w:rsidR="00265D88">
              <w:rPr>
                <w:rStyle w:val="Hyperlink"/>
              </w:rPr>
              <w:t xml:space="preserve">   </w:t>
            </w:r>
            <w:r w:rsidR="00265D88">
              <w:rPr>
                <w:webHidden/>
              </w:rPr>
              <w:t xml:space="preserve">  </w:t>
            </w:r>
            <w:r w:rsidR="000E2AF7">
              <w:rPr>
                <w:webHidden/>
              </w:rPr>
              <w:fldChar w:fldCharType="begin"/>
            </w:r>
            <w:r w:rsidR="000E2AF7">
              <w:rPr>
                <w:webHidden/>
              </w:rPr>
              <w:instrText xml:space="preserve"> PAGEREF _Toc95836740 \h </w:instrText>
            </w:r>
            <w:r w:rsidR="000E2AF7">
              <w:rPr>
                <w:webHidden/>
              </w:rPr>
            </w:r>
            <w:r w:rsidR="000E2AF7">
              <w:rPr>
                <w:webHidden/>
              </w:rPr>
              <w:fldChar w:fldCharType="separate"/>
            </w:r>
            <w:r>
              <w:rPr>
                <w:webHidden/>
              </w:rPr>
              <w:t>24</w:t>
            </w:r>
            <w:r w:rsidR="000E2AF7">
              <w:rPr>
                <w:webHidden/>
              </w:rPr>
              <w:fldChar w:fldCharType="end"/>
            </w:r>
          </w:hyperlink>
        </w:p>
        <w:p w14:paraId="582DA2C1" w14:textId="648DA4FF" w:rsidR="000E2AF7" w:rsidRDefault="00F52694" w:rsidP="000E2AF7">
          <w:pPr>
            <w:pStyle w:val="TOC2"/>
            <w:rPr>
              <w:rFonts w:asciiTheme="minorHAnsi" w:eastAsiaTheme="minorEastAsia" w:hAnsiTheme="minorHAnsi" w:cstheme="minorBidi"/>
              <w:color w:val="auto"/>
              <w:sz w:val="22"/>
              <w:szCs w:val="22"/>
            </w:rPr>
          </w:pPr>
          <w:hyperlink w:anchor="_Toc95836741" w:history="1">
            <w:r w:rsidR="000E2AF7" w:rsidRPr="00C14E49">
              <w:rPr>
                <w:rStyle w:val="Hyperlink"/>
                <w:bCs/>
              </w:rPr>
              <w:t>A.</w:t>
            </w:r>
            <w:r w:rsidR="000E2AF7">
              <w:rPr>
                <w:rFonts w:asciiTheme="minorHAnsi" w:eastAsiaTheme="minorEastAsia" w:hAnsiTheme="minorHAnsi" w:cstheme="minorBidi"/>
                <w:color w:val="auto"/>
                <w:sz w:val="22"/>
                <w:szCs w:val="22"/>
              </w:rPr>
              <w:tab/>
            </w:r>
            <w:r w:rsidR="000E2AF7" w:rsidRPr="00C14E49">
              <w:rPr>
                <w:rStyle w:val="Hyperlink"/>
              </w:rPr>
              <w:t>A strategic and targeted approach to better respond to student needs</w:t>
            </w:r>
            <w:r w:rsidR="000E2AF7">
              <w:rPr>
                <w:webHidden/>
              </w:rPr>
              <w:tab/>
            </w:r>
            <w:r w:rsidR="000E2AF7">
              <w:rPr>
                <w:webHidden/>
              </w:rPr>
              <w:fldChar w:fldCharType="begin"/>
            </w:r>
            <w:r w:rsidR="000E2AF7">
              <w:rPr>
                <w:webHidden/>
              </w:rPr>
              <w:instrText xml:space="preserve"> PAGEREF _Toc95836741 \h </w:instrText>
            </w:r>
            <w:r w:rsidR="000E2AF7">
              <w:rPr>
                <w:webHidden/>
              </w:rPr>
            </w:r>
            <w:r w:rsidR="000E2AF7">
              <w:rPr>
                <w:webHidden/>
              </w:rPr>
              <w:fldChar w:fldCharType="separate"/>
            </w:r>
            <w:r>
              <w:rPr>
                <w:webHidden/>
              </w:rPr>
              <w:t>24</w:t>
            </w:r>
            <w:r w:rsidR="000E2AF7">
              <w:rPr>
                <w:webHidden/>
              </w:rPr>
              <w:fldChar w:fldCharType="end"/>
            </w:r>
          </w:hyperlink>
        </w:p>
        <w:p w14:paraId="69C99BAE" w14:textId="72BD2955" w:rsidR="000E2AF7" w:rsidRDefault="00F52694" w:rsidP="000E2AF7">
          <w:pPr>
            <w:pStyle w:val="TOC2"/>
            <w:rPr>
              <w:rFonts w:asciiTheme="minorHAnsi" w:eastAsiaTheme="minorEastAsia" w:hAnsiTheme="minorHAnsi" w:cstheme="minorBidi"/>
              <w:color w:val="auto"/>
              <w:sz w:val="22"/>
              <w:szCs w:val="22"/>
            </w:rPr>
          </w:pPr>
          <w:hyperlink w:anchor="_Toc95836742" w:history="1">
            <w:r w:rsidR="000E2AF7" w:rsidRPr="00C14E49">
              <w:rPr>
                <w:rStyle w:val="Hyperlink"/>
                <w:bCs/>
              </w:rPr>
              <w:t>B.</w:t>
            </w:r>
            <w:r w:rsidR="000E2AF7">
              <w:rPr>
                <w:rFonts w:asciiTheme="minorHAnsi" w:eastAsiaTheme="minorEastAsia" w:hAnsiTheme="minorHAnsi" w:cstheme="minorBidi"/>
                <w:color w:val="auto"/>
                <w:sz w:val="22"/>
                <w:szCs w:val="22"/>
              </w:rPr>
              <w:tab/>
            </w:r>
            <w:r w:rsidR="000E2AF7" w:rsidRPr="00C14E49">
              <w:rPr>
                <w:rStyle w:val="Hyperlink"/>
              </w:rPr>
              <w:t>Strategic connection and leadership within the tertiary disability equity ecosystem</w:t>
            </w:r>
            <w:r w:rsidR="000E2AF7">
              <w:rPr>
                <w:webHidden/>
              </w:rPr>
              <w:tab/>
            </w:r>
            <w:r w:rsidR="00265D88">
              <w:rPr>
                <w:webHidden/>
              </w:rPr>
              <w:t>………………………………………………………………………………………………………………………….</w:t>
            </w:r>
            <w:r w:rsidR="000E2AF7">
              <w:rPr>
                <w:webHidden/>
              </w:rPr>
              <w:fldChar w:fldCharType="begin"/>
            </w:r>
            <w:r w:rsidR="000E2AF7">
              <w:rPr>
                <w:webHidden/>
              </w:rPr>
              <w:instrText xml:space="preserve"> PAGEREF _Toc95836742 \h </w:instrText>
            </w:r>
            <w:r w:rsidR="000E2AF7">
              <w:rPr>
                <w:webHidden/>
              </w:rPr>
            </w:r>
            <w:r w:rsidR="000E2AF7">
              <w:rPr>
                <w:webHidden/>
              </w:rPr>
              <w:fldChar w:fldCharType="separate"/>
            </w:r>
            <w:r>
              <w:rPr>
                <w:webHidden/>
              </w:rPr>
              <w:t>26</w:t>
            </w:r>
            <w:r w:rsidR="000E2AF7">
              <w:rPr>
                <w:webHidden/>
              </w:rPr>
              <w:fldChar w:fldCharType="end"/>
            </w:r>
          </w:hyperlink>
        </w:p>
        <w:p w14:paraId="76664CAE" w14:textId="1AF4095C" w:rsidR="000E2AF7" w:rsidRDefault="00F52694" w:rsidP="000E2AF7">
          <w:pPr>
            <w:pStyle w:val="TOC2"/>
            <w:rPr>
              <w:rFonts w:asciiTheme="minorHAnsi" w:eastAsiaTheme="minorEastAsia" w:hAnsiTheme="minorHAnsi" w:cstheme="minorBidi"/>
              <w:color w:val="auto"/>
              <w:sz w:val="22"/>
              <w:szCs w:val="22"/>
            </w:rPr>
          </w:pPr>
          <w:hyperlink w:anchor="_Toc95836743" w:history="1">
            <w:r w:rsidR="000E2AF7" w:rsidRPr="00C14E49">
              <w:rPr>
                <w:rStyle w:val="Hyperlink"/>
                <w:bCs/>
              </w:rPr>
              <w:t>C.</w:t>
            </w:r>
            <w:r w:rsidR="000E2AF7">
              <w:rPr>
                <w:rFonts w:asciiTheme="minorHAnsi" w:eastAsiaTheme="minorEastAsia" w:hAnsiTheme="minorHAnsi" w:cstheme="minorBidi"/>
                <w:color w:val="auto"/>
                <w:sz w:val="22"/>
                <w:szCs w:val="22"/>
              </w:rPr>
              <w:tab/>
            </w:r>
            <w:r w:rsidR="000E2AF7" w:rsidRPr="00C14E49">
              <w:rPr>
                <w:rStyle w:val="Hyperlink"/>
              </w:rPr>
              <w:t>Suggested priorities for the next three years</w:t>
            </w:r>
            <w:r w:rsidR="000E2AF7">
              <w:rPr>
                <w:webHidden/>
              </w:rPr>
              <w:tab/>
            </w:r>
            <w:r w:rsidR="000E2AF7">
              <w:rPr>
                <w:webHidden/>
              </w:rPr>
              <w:fldChar w:fldCharType="begin"/>
            </w:r>
            <w:r w:rsidR="000E2AF7">
              <w:rPr>
                <w:webHidden/>
              </w:rPr>
              <w:instrText xml:space="preserve"> PAGEREF _Toc95836743 \h </w:instrText>
            </w:r>
            <w:r w:rsidR="000E2AF7">
              <w:rPr>
                <w:webHidden/>
              </w:rPr>
            </w:r>
            <w:r w:rsidR="000E2AF7">
              <w:rPr>
                <w:webHidden/>
              </w:rPr>
              <w:fldChar w:fldCharType="separate"/>
            </w:r>
            <w:r>
              <w:rPr>
                <w:webHidden/>
              </w:rPr>
              <w:t>28</w:t>
            </w:r>
            <w:r w:rsidR="000E2AF7">
              <w:rPr>
                <w:webHidden/>
              </w:rPr>
              <w:fldChar w:fldCharType="end"/>
            </w:r>
          </w:hyperlink>
        </w:p>
        <w:p w14:paraId="4D98B3AF" w14:textId="7064A478" w:rsidR="000E2AF7" w:rsidRDefault="00F52694" w:rsidP="000E2AF7">
          <w:pPr>
            <w:pStyle w:val="TOC2"/>
            <w:rPr>
              <w:rFonts w:asciiTheme="minorHAnsi" w:eastAsiaTheme="minorEastAsia" w:hAnsiTheme="minorHAnsi" w:cstheme="minorBidi"/>
              <w:color w:val="auto"/>
              <w:sz w:val="22"/>
              <w:szCs w:val="22"/>
            </w:rPr>
          </w:pPr>
          <w:hyperlink w:anchor="_Toc95836744" w:history="1">
            <w:r w:rsidR="000E2AF7" w:rsidRPr="00C14E49">
              <w:rPr>
                <w:rStyle w:val="Hyperlink"/>
                <w:bCs/>
              </w:rPr>
              <w:t>D.</w:t>
            </w:r>
            <w:r w:rsidR="000E2AF7">
              <w:rPr>
                <w:rFonts w:asciiTheme="minorHAnsi" w:eastAsiaTheme="minorEastAsia" w:hAnsiTheme="minorHAnsi" w:cstheme="minorBidi"/>
                <w:color w:val="auto"/>
                <w:sz w:val="22"/>
                <w:szCs w:val="22"/>
              </w:rPr>
              <w:tab/>
            </w:r>
            <w:r w:rsidR="000E2AF7" w:rsidRPr="00C14E49">
              <w:rPr>
                <w:rStyle w:val="Hyperlink"/>
              </w:rPr>
              <w:t>Improve the operational efficiency through one-program-one-plan</w:t>
            </w:r>
            <w:r w:rsidR="000E2AF7">
              <w:rPr>
                <w:webHidden/>
              </w:rPr>
              <w:tab/>
            </w:r>
            <w:r w:rsidR="000E2AF7">
              <w:rPr>
                <w:webHidden/>
              </w:rPr>
              <w:fldChar w:fldCharType="begin"/>
            </w:r>
            <w:r w:rsidR="000E2AF7">
              <w:rPr>
                <w:webHidden/>
              </w:rPr>
              <w:instrText xml:space="preserve"> PAGEREF _Toc95836744 \h </w:instrText>
            </w:r>
            <w:r w:rsidR="000E2AF7">
              <w:rPr>
                <w:webHidden/>
              </w:rPr>
            </w:r>
            <w:r w:rsidR="000E2AF7">
              <w:rPr>
                <w:webHidden/>
              </w:rPr>
              <w:fldChar w:fldCharType="separate"/>
            </w:r>
            <w:r>
              <w:rPr>
                <w:webHidden/>
              </w:rPr>
              <w:t>33</w:t>
            </w:r>
            <w:r w:rsidR="000E2AF7">
              <w:rPr>
                <w:webHidden/>
              </w:rPr>
              <w:fldChar w:fldCharType="end"/>
            </w:r>
          </w:hyperlink>
        </w:p>
        <w:p w14:paraId="76321FCE" w14:textId="767F7A29" w:rsidR="000E2AF7" w:rsidRDefault="00F52694" w:rsidP="00265D88">
          <w:pPr>
            <w:pStyle w:val="TOC1"/>
            <w:rPr>
              <w:rFonts w:asciiTheme="minorHAnsi" w:eastAsiaTheme="minorEastAsia" w:hAnsiTheme="minorHAnsi" w:cstheme="minorBidi"/>
              <w:color w:val="auto"/>
              <w:sz w:val="22"/>
              <w:szCs w:val="22"/>
            </w:rPr>
          </w:pPr>
          <w:hyperlink w:anchor="_Toc95836745" w:history="1">
            <w:r w:rsidR="000E2AF7" w:rsidRPr="00C14E49">
              <w:rPr>
                <w:rStyle w:val="Hyperlink"/>
              </w:rPr>
              <w:t>V.</w:t>
            </w:r>
            <w:r w:rsidR="000E2AF7">
              <w:rPr>
                <w:rFonts w:asciiTheme="minorHAnsi" w:eastAsiaTheme="minorEastAsia" w:hAnsiTheme="minorHAnsi" w:cstheme="minorBidi"/>
                <w:color w:val="auto"/>
                <w:sz w:val="22"/>
                <w:szCs w:val="22"/>
              </w:rPr>
              <w:tab/>
            </w:r>
            <w:r w:rsidR="000E2AF7" w:rsidRPr="00C14E49">
              <w:rPr>
                <w:rStyle w:val="Hyperlink"/>
              </w:rPr>
              <w:t>Revised program logic based on the recommendations</w:t>
            </w:r>
            <w:r w:rsidR="00265D88">
              <w:rPr>
                <w:rStyle w:val="Hyperlink"/>
              </w:rPr>
              <w:t xml:space="preserve">                           </w:t>
            </w:r>
            <w:r w:rsidR="000E2AF7">
              <w:rPr>
                <w:webHidden/>
              </w:rPr>
              <w:fldChar w:fldCharType="begin"/>
            </w:r>
            <w:r w:rsidR="000E2AF7">
              <w:rPr>
                <w:webHidden/>
              </w:rPr>
              <w:instrText xml:space="preserve"> PAGEREF _Toc95836745 \h </w:instrText>
            </w:r>
            <w:r w:rsidR="000E2AF7">
              <w:rPr>
                <w:webHidden/>
              </w:rPr>
            </w:r>
            <w:r w:rsidR="000E2AF7">
              <w:rPr>
                <w:webHidden/>
              </w:rPr>
              <w:fldChar w:fldCharType="separate"/>
            </w:r>
            <w:r>
              <w:rPr>
                <w:webHidden/>
              </w:rPr>
              <w:t>34</w:t>
            </w:r>
            <w:r w:rsidR="000E2AF7">
              <w:rPr>
                <w:webHidden/>
              </w:rPr>
              <w:fldChar w:fldCharType="end"/>
            </w:r>
          </w:hyperlink>
        </w:p>
        <w:p w14:paraId="356C7A07" w14:textId="72AE3BA3" w:rsidR="00872986" w:rsidRDefault="00F52694" w:rsidP="00265D88">
          <w:pPr>
            <w:pStyle w:val="TOC1"/>
          </w:pPr>
          <w:hyperlink w:anchor="_Toc95836746" w:history="1">
            <w:r w:rsidR="000E2AF7" w:rsidRPr="00C14E49">
              <w:rPr>
                <w:rStyle w:val="Hyperlink"/>
              </w:rPr>
              <w:t>VI.</w:t>
            </w:r>
            <w:r w:rsidR="000E2AF7">
              <w:rPr>
                <w:rFonts w:asciiTheme="minorHAnsi" w:eastAsiaTheme="minorEastAsia" w:hAnsiTheme="minorHAnsi" w:cstheme="minorBidi"/>
                <w:color w:val="auto"/>
                <w:sz w:val="22"/>
                <w:szCs w:val="22"/>
              </w:rPr>
              <w:tab/>
            </w:r>
            <w:r w:rsidR="000E2AF7" w:rsidRPr="00C14E49">
              <w:rPr>
                <w:rStyle w:val="Hyperlink"/>
              </w:rPr>
              <w:t>Examples of partnership structures</w:t>
            </w:r>
            <w:r w:rsidR="00265D88">
              <w:rPr>
                <w:rStyle w:val="Hyperlink"/>
              </w:rPr>
              <w:t xml:space="preserve">                                                               </w:t>
            </w:r>
            <w:r w:rsidR="000E2AF7">
              <w:rPr>
                <w:webHidden/>
              </w:rPr>
              <w:fldChar w:fldCharType="begin"/>
            </w:r>
            <w:r w:rsidR="000E2AF7">
              <w:rPr>
                <w:webHidden/>
              </w:rPr>
              <w:instrText xml:space="preserve"> PAGEREF _Toc95836746 \h </w:instrText>
            </w:r>
            <w:r w:rsidR="000E2AF7">
              <w:rPr>
                <w:webHidden/>
              </w:rPr>
            </w:r>
            <w:r w:rsidR="000E2AF7">
              <w:rPr>
                <w:webHidden/>
              </w:rPr>
              <w:fldChar w:fldCharType="separate"/>
            </w:r>
            <w:r>
              <w:rPr>
                <w:webHidden/>
              </w:rPr>
              <w:t>38</w:t>
            </w:r>
            <w:r w:rsidR="000E2AF7">
              <w:rPr>
                <w:webHidden/>
              </w:rPr>
              <w:fldChar w:fldCharType="end"/>
            </w:r>
          </w:hyperlink>
          <w:r w:rsidR="00AB4651">
            <w:fldChar w:fldCharType="end"/>
          </w:r>
        </w:p>
      </w:sdtContent>
    </w:sdt>
    <w:p w14:paraId="0A8F2A67" w14:textId="041737A4" w:rsidR="006F0B65" w:rsidRDefault="006F0B65" w:rsidP="006F0B65">
      <w:pPr>
        <w:pStyle w:val="TOC4"/>
        <w:sectPr w:rsidR="006F0B65" w:rsidSect="006F0B65">
          <w:headerReference w:type="default" r:id="rId18"/>
          <w:pgSz w:w="11906" w:h="16838"/>
          <w:pgMar w:top="1440" w:right="1133" w:bottom="1440" w:left="1440" w:header="708" w:footer="708" w:gutter="0"/>
          <w:cols w:space="708"/>
          <w:docGrid w:linePitch="360"/>
        </w:sectPr>
      </w:pPr>
    </w:p>
    <w:p w14:paraId="315A6BB7" w14:textId="77777777" w:rsidR="006F0B65" w:rsidRDefault="006F0B65" w:rsidP="006F0B65">
      <w:pPr>
        <w:sectPr w:rsidR="006F0B65" w:rsidSect="009B2579">
          <w:headerReference w:type="default" r:id="rId19"/>
          <w:type w:val="continuous"/>
          <w:pgSz w:w="11906" w:h="16838"/>
          <w:pgMar w:top="1440" w:right="1440" w:bottom="1440" w:left="1440" w:header="708" w:footer="708" w:gutter="0"/>
          <w:pgNumType w:start="1"/>
          <w:cols w:space="708"/>
          <w:docGrid w:linePitch="360"/>
        </w:sectPr>
      </w:pPr>
    </w:p>
    <w:p w14:paraId="74E30B17" w14:textId="134EE0A9" w:rsidR="00A3245F" w:rsidRDefault="000241EA" w:rsidP="001C4803">
      <w:pPr>
        <w:pStyle w:val="Heading1"/>
      </w:pPr>
      <w:bookmarkStart w:id="0" w:name="_Toc95836721"/>
      <w:r>
        <w:t>Executive Summary</w:t>
      </w:r>
      <w:bookmarkEnd w:id="0"/>
    </w:p>
    <w:p w14:paraId="3F9BC6C0" w14:textId="0CCFCB95" w:rsidR="005929C8" w:rsidRDefault="007569F5" w:rsidP="007569F5">
      <w:pPr>
        <w:spacing w:before="0"/>
        <w:rPr>
          <w:rFonts w:asciiTheme="minorHAnsi" w:hAnsiTheme="minorHAnsi" w:cstheme="minorHAnsi"/>
        </w:rPr>
      </w:pPr>
      <w:r w:rsidRPr="007569F5">
        <w:rPr>
          <w:rFonts w:asciiTheme="minorHAnsi" w:hAnsiTheme="minorHAnsi" w:cstheme="minorHAnsi"/>
        </w:rPr>
        <w:t xml:space="preserve">The Department of Education, Skills and Employment (the </w:t>
      </w:r>
      <w:r w:rsidR="008569FC">
        <w:rPr>
          <w:rFonts w:asciiTheme="minorHAnsi" w:hAnsiTheme="minorHAnsi" w:cstheme="minorHAnsi"/>
        </w:rPr>
        <w:t>d</w:t>
      </w:r>
      <w:r w:rsidRPr="007569F5">
        <w:rPr>
          <w:rFonts w:asciiTheme="minorHAnsi" w:hAnsiTheme="minorHAnsi" w:cstheme="minorHAnsi"/>
        </w:rPr>
        <w:t>epartment) works to ensure Australians can experience the social wellbeing and economic benefit that quality education, training and employment provide, by actively supporting ministers to deliver Australian Government policies and priorities.</w:t>
      </w:r>
      <w:r>
        <w:rPr>
          <w:rFonts w:asciiTheme="minorHAnsi" w:hAnsiTheme="minorHAnsi" w:cstheme="minorHAnsi"/>
        </w:rPr>
        <w:t xml:space="preserve"> </w:t>
      </w:r>
      <w:r w:rsidRPr="007569F5">
        <w:rPr>
          <w:rFonts w:asciiTheme="minorHAnsi" w:hAnsiTheme="minorHAnsi" w:cstheme="minorHAnsi"/>
        </w:rPr>
        <w:t>A Government priority area is to ensure students with disability can access and participate in education on the same basis as students without disability</w:t>
      </w:r>
      <w:r w:rsidR="00F62103">
        <w:rPr>
          <w:rFonts w:asciiTheme="minorHAnsi" w:hAnsiTheme="minorHAnsi" w:cstheme="minorHAnsi"/>
        </w:rPr>
        <w:t xml:space="preserve">. </w:t>
      </w:r>
    </w:p>
    <w:p w14:paraId="6BEC2D46" w14:textId="77777777" w:rsidR="00F62103" w:rsidRDefault="00F62103" w:rsidP="007569F5">
      <w:pPr>
        <w:spacing w:before="0"/>
        <w:rPr>
          <w:rFonts w:asciiTheme="minorHAnsi" w:hAnsiTheme="minorHAnsi" w:cstheme="minorHAnsi"/>
        </w:rPr>
      </w:pPr>
    </w:p>
    <w:p w14:paraId="665437FC" w14:textId="16D046C7" w:rsidR="00E603D4" w:rsidRPr="00E603D4" w:rsidRDefault="00F62103" w:rsidP="00E603D4">
      <w:pPr>
        <w:spacing w:before="0"/>
        <w:rPr>
          <w:rFonts w:asciiTheme="minorHAnsi" w:hAnsiTheme="minorHAnsi" w:cstheme="minorHAnsi"/>
        </w:rPr>
      </w:pPr>
      <w:r>
        <w:rPr>
          <w:rFonts w:asciiTheme="minorHAnsi" w:hAnsiTheme="minorHAnsi" w:cstheme="minorHAnsi"/>
        </w:rPr>
        <w:t xml:space="preserve">The </w:t>
      </w:r>
      <w:r w:rsidR="008569FC">
        <w:rPr>
          <w:rFonts w:asciiTheme="minorHAnsi" w:hAnsiTheme="minorHAnsi" w:cstheme="minorHAnsi"/>
        </w:rPr>
        <w:t>Department</w:t>
      </w:r>
      <w:r>
        <w:rPr>
          <w:rFonts w:asciiTheme="minorHAnsi" w:hAnsiTheme="minorHAnsi" w:cstheme="minorHAnsi"/>
        </w:rPr>
        <w:t xml:space="preserve"> fund</w:t>
      </w:r>
      <w:r w:rsidR="000B1A18">
        <w:rPr>
          <w:rFonts w:asciiTheme="minorHAnsi" w:hAnsiTheme="minorHAnsi" w:cstheme="minorHAnsi"/>
        </w:rPr>
        <w:t>s</w:t>
      </w:r>
      <w:r>
        <w:rPr>
          <w:rFonts w:asciiTheme="minorHAnsi" w:hAnsiTheme="minorHAnsi" w:cstheme="minorHAnsi"/>
        </w:rPr>
        <w:t xml:space="preserve"> </w:t>
      </w:r>
      <w:r w:rsidR="00395892">
        <w:rPr>
          <w:rFonts w:asciiTheme="minorHAnsi" w:hAnsiTheme="minorHAnsi" w:cstheme="minorHAnsi"/>
        </w:rPr>
        <w:t>the N</w:t>
      </w:r>
      <w:r w:rsidR="008562E6">
        <w:rPr>
          <w:rFonts w:asciiTheme="minorHAnsi" w:hAnsiTheme="minorHAnsi" w:cstheme="minorHAnsi"/>
        </w:rPr>
        <w:t>ational Disability Coordination Officers</w:t>
      </w:r>
      <w:r w:rsidR="00E603D4">
        <w:rPr>
          <w:rFonts w:asciiTheme="minorHAnsi" w:hAnsiTheme="minorHAnsi" w:cstheme="minorHAnsi"/>
        </w:rPr>
        <w:t xml:space="preserve"> (NDCO)</w:t>
      </w:r>
      <w:r w:rsidR="008562E6">
        <w:rPr>
          <w:rFonts w:asciiTheme="minorHAnsi" w:hAnsiTheme="minorHAnsi" w:cstheme="minorHAnsi"/>
        </w:rPr>
        <w:t xml:space="preserve"> </w:t>
      </w:r>
      <w:r w:rsidR="00A60247">
        <w:rPr>
          <w:rFonts w:asciiTheme="minorHAnsi" w:hAnsiTheme="minorHAnsi" w:cstheme="minorHAnsi"/>
        </w:rPr>
        <w:t xml:space="preserve">program that </w:t>
      </w:r>
      <w:r w:rsidR="00E603D4" w:rsidRPr="00E603D4">
        <w:rPr>
          <w:rFonts w:asciiTheme="minorHAnsi" w:hAnsiTheme="minorHAnsi" w:cstheme="minorHAnsi"/>
        </w:rPr>
        <w:t xml:space="preserve">works </w:t>
      </w:r>
    </w:p>
    <w:p w14:paraId="34B3FCA2" w14:textId="57432F33" w:rsidR="00431153" w:rsidRDefault="00E603D4" w:rsidP="00EC650B">
      <w:pPr>
        <w:spacing w:before="0"/>
        <w:rPr>
          <w:rFonts w:asciiTheme="minorHAnsi" w:hAnsiTheme="minorHAnsi" w:cstheme="minorHAnsi"/>
        </w:rPr>
      </w:pPr>
      <w:r w:rsidRPr="00E603D4">
        <w:rPr>
          <w:rFonts w:asciiTheme="minorHAnsi" w:hAnsiTheme="minorHAnsi" w:cstheme="minorHAnsi"/>
        </w:rPr>
        <w:t>strategically to ensure people with disability are provided with an equitable opportunity to access and participate in tertiary education and to reach their graduate employment goals.</w:t>
      </w:r>
      <w:r w:rsidR="00EC650B">
        <w:rPr>
          <w:rFonts w:asciiTheme="minorHAnsi" w:hAnsiTheme="minorHAnsi" w:cstheme="minorHAnsi"/>
        </w:rPr>
        <w:t xml:space="preserve"> </w:t>
      </w:r>
      <w:r w:rsidR="00EC650B" w:rsidRPr="00EC650B">
        <w:rPr>
          <w:rFonts w:asciiTheme="minorHAnsi" w:hAnsiTheme="minorHAnsi" w:cstheme="minorHAnsi"/>
        </w:rPr>
        <w:t>A national network of 30 NDCOs</w:t>
      </w:r>
      <w:r w:rsidR="00745229">
        <w:rPr>
          <w:rFonts w:asciiTheme="minorHAnsi" w:hAnsiTheme="minorHAnsi" w:cstheme="minorHAnsi"/>
        </w:rPr>
        <w:t>, supported by 15 Host Providers,</w:t>
      </w:r>
      <w:r w:rsidR="00EC650B" w:rsidRPr="00EC650B">
        <w:rPr>
          <w:rFonts w:asciiTheme="minorHAnsi" w:hAnsiTheme="minorHAnsi" w:cstheme="minorHAnsi"/>
        </w:rPr>
        <w:t xml:space="preserve"> work with a range of stakeholders (schools, TAFE institutes, employment agencies and disability services) to improve coordination and collaboration among service providers and build their capability to support people with disability.</w:t>
      </w:r>
      <w:r w:rsidR="00FF15CF">
        <w:rPr>
          <w:rFonts w:asciiTheme="minorHAnsi" w:hAnsiTheme="minorHAnsi" w:cstheme="minorHAnsi"/>
        </w:rPr>
        <w:t xml:space="preserve"> </w:t>
      </w:r>
      <w:r w:rsidR="00EC650B" w:rsidRPr="00EC650B">
        <w:rPr>
          <w:rFonts w:asciiTheme="minorHAnsi" w:hAnsiTheme="minorHAnsi" w:cstheme="minorHAnsi"/>
        </w:rPr>
        <w:t xml:space="preserve"> </w:t>
      </w:r>
    </w:p>
    <w:p w14:paraId="41958A67" w14:textId="77777777" w:rsidR="00431153" w:rsidRDefault="00431153" w:rsidP="00EC650B">
      <w:pPr>
        <w:spacing w:before="0"/>
        <w:rPr>
          <w:rFonts w:asciiTheme="minorHAnsi" w:hAnsiTheme="minorHAnsi" w:cstheme="minorHAnsi"/>
        </w:rPr>
      </w:pPr>
    </w:p>
    <w:p w14:paraId="48E6B5B1" w14:textId="42B7F552" w:rsidR="00B963F2" w:rsidRDefault="00431153" w:rsidP="00EC650B">
      <w:pPr>
        <w:spacing w:before="0"/>
        <w:rPr>
          <w:rFonts w:asciiTheme="minorHAnsi" w:hAnsiTheme="minorHAnsi" w:cstheme="minorHAnsi"/>
        </w:rPr>
      </w:pPr>
      <w:r>
        <w:rPr>
          <w:rFonts w:asciiTheme="minorHAnsi" w:hAnsiTheme="minorHAnsi" w:cstheme="minorHAnsi"/>
        </w:rPr>
        <w:t>ORIMA Research</w:t>
      </w:r>
      <w:r w:rsidR="00E27891">
        <w:rPr>
          <w:rFonts w:asciiTheme="minorHAnsi" w:hAnsiTheme="minorHAnsi" w:cstheme="minorHAnsi"/>
        </w:rPr>
        <w:t xml:space="preserve"> </w:t>
      </w:r>
      <w:r w:rsidR="000B1A18">
        <w:rPr>
          <w:rFonts w:asciiTheme="minorHAnsi" w:hAnsiTheme="minorHAnsi" w:cstheme="minorHAnsi"/>
        </w:rPr>
        <w:t xml:space="preserve">was </w:t>
      </w:r>
      <w:r w:rsidR="00325A95">
        <w:rPr>
          <w:rFonts w:asciiTheme="minorHAnsi" w:hAnsiTheme="minorHAnsi" w:cstheme="minorHAnsi"/>
        </w:rPr>
        <w:t xml:space="preserve">engaged to </w:t>
      </w:r>
      <w:r w:rsidR="00362445">
        <w:rPr>
          <w:rFonts w:asciiTheme="minorHAnsi" w:hAnsiTheme="minorHAnsi" w:cstheme="minorHAnsi"/>
        </w:rPr>
        <w:t xml:space="preserve">review the </w:t>
      </w:r>
      <w:r w:rsidR="00F35B31">
        <w:rPr>
          <w:rFonts w:asciiTheme="minorHAnsi" w:hAnsiTheme="minorHAnsi" w:cstheme="minorHAnsi"/>
        </w:rPr>
        <w:t xml:space="preserve">NDCO </w:t>
      </w:r>
      <w:r w:rsidR="00362445">
        <w:rPr>
          <w:rFonts w:asciiTheme="minorHAnsi" w:hAnsiTheme="minorHAnsi" w:cstheme="minorHAnsi"/>
        </w:rPr>
        <w:t>program</w:t>
      </w:r>
      <w:r w:rsidR="00F35B31">
        <w:rPr>
          <w:rFonts w:asciiTheme="minorHAnsi" w:hAnsiTheme="minorHAnsi" w:cstheme="minorHAnsi"/>
        </w:rPr>
        <w:t xml:space="preserve"> and provide advice on </w:t>
      </w:r>
      <w:r w:rsidR="002E3BAA">
        <w:rPr>
          <w:rFonts w:asciiTheme="minorHAnsi" w:hAnsiTheme="minorHAnsi" w:cstheme="minorHAnsi"/>
        </w:rPr>
        <w:t xml:space="preserve">maximising </w:t>
      </w:r>
      <w:r w:rsidR="00632676">
        <w:rPr>
          <w:rFonts w:asciiTheme="minorHAnsi" w:hAnsiTheme="minorHAnsi" w:cstheme="minorHAnsi"/>
        </w:rPr>
        <w:t>its</w:t>
      </w:r>
      <w:r w:rsidR="002E3BAA">
        <w:rPr>
          <w:rFonts w:asciiTheme="minorHAnsi" w:hAnsiTheme="minorHAnsi" w:cstheme="minorHAnsi"/>
        </w:rPr>
        <w:t xml:space="preserve"> strategic impact based on the </w:t>
      </w:r>
      <w:r w:rsidR="00362445">
        <w:rPr>
          <w:rFonts w:asciiTheme="minorHAnsi" w:hAnsiTheme="minorHAnsi" w:cstheme="minorHAnsi"/>
        </w:rPr>
        <w:t xml:space="preserve">emerging needs of students, </w:t>
      </w:r>
      <w:r w:rsidR="002E3BAA">
        <w:rPr>
          <w:rFonts w:asciiTheme="minorHAnsi" w:hAnsiTheme="minorHAnsi" w:cstheme="minorHAnsi"/>
        </w:rPr>
        <w:t xml:space="preserve">stakeholder feedback and </w:t>
      </w:r>
      <w:r w:rsidR="00225555">
        <w:rPr>
          <w:rFonts w:asciiTheme="minorHAnsi" w:hAnsiTheme="minorHAnsi" w:cstheme="minorHAnsi"/>
        </w:rPr>
        <w:t xml:space="preserve">review of the broader </w:t>
      </w:r>
      <w:r w:rsidR="000A2F1F">
        <w:rPr>
          <w:rFonts w:asciiTheme="minorHAnsi" w:hAnsiTheme="minorHAnsi" w:cstheme="minorHAnsi"/>
        </w:rPr>
        <w:t xml:space="preserve">policy context including </w:t>
      </w:r>
      <w:r w:rsidR="000B1A18">
        <w:rPr>
          <w:rFonts w:asciiTheme="minorHAnsi" w:hAnsiTheme="minorHAnsi" w:cstheme="minorHAnsi"/>
        </w:rPr>
        <w:t xml:space="preserve">the </w:t>
      </w:r>
      <w:r w:rsidR="000A2F1F">
        <w:rPr>
          <w:rFonts w:asciiTheme="minorHAnsi" w:hAnsiTheme="minorHAnsi" w:cstheme="minorHAnsi"/>
        </w:rPr>
        <w:t xml:space="preserve">impact of other </w:t>
      </w:r>
      <w:r w:rsidR="00C63F48">
        <w:rPr>
          <w:rFonts w:asciiTheme="minorHAnsi" w:hAnsiTheme="minorHAnsi" w:cstheme="minorHAnsi"/>
        </w:rPr>
        <w:t xml:space="preserve">government </w:t>
      </w:r>
      <w:r w:rsidR="000A2F1F">
        <w:rPr>
          <w:rFonts w:asciiTheme="minorHAnsi" w:hAnsiTheme="minorHAnsi" w:cstheme="minorHAnsi"/>
        </w:rPr>
        <w:t>reforms</w:t>
      </w:r>
      <w:r w:rsidR="001138E3">
        <w:rPr>
          <w:rFonts w:asciiTheme="minorHAnsi" w:hAnsiTheme="minorHAnsi" w:cstheme="minorHAnsi"/>
        </w:rPr>
        <w:t>.</w:t>
      </w:r>
      <w:r w:rsidR="007D3A39">
        <w:rPr>
          <w:rFonts w:asciiTheme="minorHAnsi" w:hAnsiTheme="minorHAnsi" w:cstheme="minorHAnsi"/>
        </w:rPr>
        <w:t xml:space="preserve"> </w:t>
      </w:r>
    </w:p>
    <w:p w14:paraId="6E8A3B0C" w14:textId="77777777" w:rsidR="00B963F2" w:rsidRDefault="00B963F2" w:rsidP="00EC650B">
      <w:pPr>
        <w:spacing w:before="0"/>
        <w:rPr>
          <w:rFonts w:asciiTheme="minorHAnsi" w:hAnsiTheme="minorHAnsi" w:cstheme="minorHAnsi"/>
        </w:rPr>
      </w:pPr>
    </w:p>
    <w:p w14:paraId="251C3993" w14:textId="69B46A79" w:rsidR="00EC650B" w:rsidRPr="00EC650B" w:rsidRDefault="007D3A39" w:rsidP="00EC650B">
      <w:pPr>
        <w:spacing w:before="0"/>
        <w:rPr>
          <w:rFonts w:asciiTheme="minorHAnsi" w:hAnsiTheme="minorHAnsi" w:cstheme="minorHAnsi"/>
        </w:rPr>
      </w:pPr>
      <w:r>
        <w:rPr>
          <w:rFonts w:asciiTheme="minorHAnsi" w:hAnsiTheme="minorHAnsi" w:cstheme="minorHAnsi"/>
        </w:rPr>
        <w:t xml:space="preserve">ORIMA Research engaged </w:t>
      </w:r>
      <w:r w:rsidRPr="00BE76E1">
        <w:rPr>
          <w:rFonts w:asciiTheme="minorHAnsi" w:hAnsiTheme="minorHAnsi" w:cstheme="minorHAnsi"/>
        </w:rPr>
        <w:t>over</w:t>
      </w:r>
      <w:r w:rsidR="001138E3" w:rsidRPr="00BE76E1">
        <w:rPr>
          <w:rFonts w:asciiTheme="minorHAnsi" w:hAnsiTheme="minorHAnsi" w:cstheme="minorHAnsi"/>
        </w:rPr>
        <w:t xml:space="preserve"> </w:t>
      </w:r>
      <w:r w:rsidR="00BE76E1" w:rsidRPr="00BE76E1">
        <w:rPr>
          <w:rFonts w:asciiTheme="minorHAnsi" w:hAnsiTheme="minorHAnsi" w:cstheme="minorHAnsi"/>
        </w:rPr>
        <w:t>750</w:t>
      </w:r>
      <w:r w:rsidR="001138E3" w:rsidRPr="00BE76E1">
        <w:rPr>
          <w:rFonts w:asciiTheme="minorHAnsi" w:hAnsiTheme="minorHAnsi" w:cstheme="minorHAnsi"/>
        </w:rPr>
        <w:t xml:space="preserve"> people </w:t>
      </w:r>
      <w:r w:rsidR="001138E3">
        <w:rPr>
          <w:rFonts w:asciiTheme="minorHAnsi" w:hAnsiTheme="minorHAnsi" w:cstheme="minorHAnsi"/>
        </w:rPr>
        <w:t xml:space="preserve">with a lived experience </w:t>
      </w:r>
      <w:r w:rsidR="00483BBE">
        <w:rPr>
          <w:rFonts w:asciiTheme="minorHAnsi" w:hAnsiTheme="minorHAnsi" w:cstheme="minorHAnsi"/>
        </w:rPr>
        <w:t>of disability</w:t>
      </w:r>
      <w:r w:rsidR="000E7A45">
        <w:rPr>
          <w:rFonts w:asciiTheme="minorHAnsi" w:hAnsiTheme="minorHAnsi" w:cstheme="minorHAnsi"/>
        </w:rPr>
        <w:t>,</w:t>
      </w:r>
      <w:r w:rsidR="00483BBE">
        <w:rPr>
          <w:rFonts w:asciiTheme="minorHAnsi" w:hAnsiTheme="minorHAnsi" w:cstheme="minorHAnsi"/>
        </w:rPr>
        <w:t xml:space="preserve"> </w:t>
      </w:r>
      <w:r w:rsidR="000E7A45">
        <w:rPr>
          <w:rFonts w:asciiTheme="minorHAnsi" w:hAnsiTheme="minorHAnsi" w:cstheme="minorHAnsi"/>
        </w:rPr>
        <w:t xml:space="preserve">and multiple </w:t>
      </w:r>
      <w:r w:rsidR="00C63F48">
        <w:rPr>
          <w:rFonts w:asciiTheme="minorHAnsi" w:hAnsiTheme="minorHAnsi" w:cstheme="minorHAnsi"/>
        </w:rPr>
        <w:t xml:space="preserve">program and external </w:t>
      </w:r>
      <w:r w:rsidR="000E7A45">
        <w:rPr>
          <w:rFonts w:asciiTheme="minorHAnsi" w:hAnsiTheme="minorHAnsi" w:cstheme="minorHAnsi"/>
        </w:rPr>
        <w:t xml:space="preserve">stakeholders through </w:t>
      </w:r>
      <w:r w:rsidR="00192232">
        <w:rPr>
          <w:rFonts w:asciiTheme="minorHAnsi" w:hAnsiTheme="minorHAnsi" w:cstheme="minorHAnsi"/>
        </w:rPr>
        <w:t xml:space="preserve">online </w:t>
      </w:r>
      <w:r w:rsidR="000E7A45">
        <w:rPr>
          <w:rFonts w:asciiTheme="minorHAnsi" w:hAnsiTheme="minorHAnsi" w:cstheme="minorHAnsi"/>
        </w:rPr>
        <w:t>focus groups</w:t>
      </w:r>
      <w:r w:rsidR="00192232">
        <w:rPr>
          <w:rFonts w:asciiTheme="minorHAnsi" w:hAnsiTheme="minorHAnsi" w:cstheme="minorHAnsi"/>
        </w:rPr>
        <w:t>,</w:t>
      </w:r>
      <w:r w:rsidR="000E7A45">
        <w:rPr>
          <w:rFonts w:asciiTheme="minorHAnsi" w:hAnsiTheme="minorHAnsi" w:cstheme="minorHAnsi"/>
        </w:rPr>
        <w:t xml:space="preserve"> </w:t>
      </w:r>
      <w:r w:rsidR="00D504F6">
        <w:rPr>
          <w:rFonts w:asciiTheme="minorHAnsi" w:hAnsiTheme="minorHAnsi" w:cstheme="minorHAnsi"/>
        </w:rPr>
        <w:t xml:space="preserve">in-depth </w:t>
      </w:r>
      <w:r w:rsidR="000E7A45">
        <w:rPr>
          <w:rFonts w:asciiTheme="minorHAnsi" w:hAnsiTheme="minorHAnsi" w:cstheme="minorHAnsi"/>
        </w:rPr>
        <w:t>interviews</w:t>
      </w:r>
      <w:r w:rsidR="00D504F6">
        <w:rPr>
          <w:rFonts w:asciiTheme="minorHAnsi" w:hAnsiTheme="minorHAnsi" w:cstheme="minorHAnsi"/>
        </w:rPr>
        <w:t xml:space="preserve"> and </w:t>
      </w:r>
      <w:r w:rsidR="0038128E">
        <w:rPr>
          <w:rFonts w:asciiTheme="minorHAnsi" w:hAnsiTheme="minorHAnsi" w:cstheme="minorHAnsi"/>
        </w:rPr>
        <w:t>survey</w:t>
      </w:r>
      <w:r w:rsidR="000B1A18">
        <w:rPr>
          <w:rFonts w:asciiTheme="minorHAnsi" w:hAnsiTheme="minorHAnsi" w:cstheme="minorHAnsi"/>
        </w:rPr>
        <w:t>s</w:t>
      </w:r>
      <w:r w:rsidR="00D7322D">
        <w:rPr>
          <w:rFonts w:asciiTheme="minorHAnsi" w:hAnsiTheme="minorHAnsi" w:cstheme="minorHAnsi"/>
        </w:rPr>
        <w:t xml:space="preserve">. </w:t>
      </w:r>
      <w:r w:rsidR="006C145C">
        <w:rPr>
          <w:rFonts w:asciiTheme="minorHAnsi" w:hAnsiTheme="minorHAnsi" w:cstheme="minorHAnsi"/>
        </w:rPr>
        <w:t>F</w:t>
      </w:r>
      <w:r w:rsidR="00192232">
        <w:rPr>
          <w:rFonts w:asciiTheme="minorHAnsi" w:hAnsiTheme="minorHAnsi" w:cstheme="minorHAnsi"/>
        </w:rPr>
        <w:t xml:space="preserve">our </w:t>
      </w:r>
      <w:r w:rsidR="003E4452">
        <w:rPr>
          <w:rFonts w:asciiTheme="minorHAnsi" w:hAnsiTheme="minorHAnsi" w:cstheme="minorHAnsi"/>
        </w:rPr>
        <w:t>co</w:t>
      </w:r>
      <w:r w:rsidR="007C12D9">
        <w:rPr>
          <w:rFonts w:asciiTheme="minorHAnsi" w:hAnsiTheme="minorHAnsi" w:cstheme="minorHAnsi"/>
        </w:rPr>
        <w:t>-</w:t>
      </w:r>
      <w:r w:rsidR="003E4452">
        <w:rPr>
          <w:rFonts w:asciiTheme="minorHAnsi" w:hAnsiTheme="minorHAnsi" w:cstheme="minorHAnsi"/>
        </w:rPr>
        <w:t>creation workshops</w:t>
      </w:r>
      <w:r w:rsidR="00192232">
        <w:rPr>
          <w:rFonts w:asciiTheme="minorHAnsi" w:hAnsiTheme="minorHAnsi" w:cstheme="minorHAnsi"/>
        </w:rPr>
        <w:t xml:space="preserve"> were facilitated to test emerging ideas</w:t>
      </w:r>
      <w:r w:rsidR="00FA5C8B">
        <w:rPr>
          <w:rFonts w:asciiTheme="minorHAnsi" w:hAnsiTheme="minorHAnsi" w:cstheme="minorHAnsi"/>
        </w:rPr>
        <w:t xml:space="preserve"> to support improved </w:t>
      </w:r>
      <w:r w:rsidR="00D24E5A">
        <w:rPr>
          <w:rFonts w:asciiTheme="minorHAnsi" w:hAnsiTheme="minorHAnsi" w:cstheme="minorHAnsi"/>
        </w:rPr>
        <w:t xml:space="preserve">tertiary </w:t>
      </w:r>
      <w:r w:rsidR="00ED435F">
        <w:rPr>
          <w:rFonts w:asciiTheme="minorHAnsi" w:hAnsiTheme="minorHAnsi" w:cstheme="minorHAnsi"/>
        </w:rPr>
        <w:t xml:space="preserve">participation and </w:t>
      </w:r>
      <w:r w:rsidR="00D24E5A">
        <w:rPr>
          <w:rFonts w:asciiTheme="minorHAnsi" w:hAnsiTheme="minorHAnsi" w:cstheme="minorHAnsi"/>
        </w:rPr>
        <w:t>pathway</w:t>
      </w:r>
      <w:r w:rsidR="00F76B61">
        <w:rPr>
          <w:rFonts w:asciiTheme="minorHAnsi" w:hAnsiTheme="minorHAnsi" w:cstheme="minorHAnsi"/>
        </w:rPr>
        <w:t xml:space="preserve"> outcomes for people </w:t>
      </w:r>
      <w:r w:rsidR="00991256">
        <w:rPr>
          <w:rFonts w:asciiTheme="minorHAnsi" w:hAnsiTheme="minorHAnsi" w:cstheme="minorHAnsi"/>
        </w:rPr>
        <w:t>with disability</w:t>
      </w:r>
      <w:r w:rsidR="007C12D9">
        <w:rPr>
          <w:rFonts w:asciiTheme="minorHAnsi" w:hAnsiTheme="minorHAnsi" w:cstheme="minorHAnsi"/>
        </w:rPr>
        <w:t xml:space="preserve"> under a future program</w:t>
      </w:r>
      <w:r w:rsidR="00F76B61">
        <w:rPr>
          <w:rFonts w:asciiTheme="minorHAnsi" w:hAnsiTheme="minorHAnsi" w:cstheme="minorHAnsi"/>
        </w:rPr>
        <w:t xml:space="preserve">. </w:t>
      </w:r>
    </w:p>
    <w:p w14:paraId="421AE4DD" w14:textId="483C26F5" w:rsidR="000241EA" w:rsidRPr="00D03793" w:rsidRDefault="00701D3E" w:rsidP="00DC1C9D">
      <w:pPr>
        <w:pStyle w:val="Heading5"/>
      </w:pPr>
      <w:r w:rsidRPr="00701D3E">
        <w:t>Key insights on current and emerging needs of students</w:t>
      </w:r>
    </w:p>
    <w:p w14:paraId="3B78F6B6" w14:textId="59AFBF1E" w:rsidR="000241EA" w:rsidRPr="00030757" w:rsidRDefault="000B1A18" w:rsidP="000241EA">
      <w:pPr>
        <w:spacing w:before="0"/>
        <w:rPr>
          <w:rFonts w:asciiTheme="minorHAnsi" w:hAnsiTheme="minorHAnsi" w:cstheme="minorHAnsi"/>
        </w:rPr>
      </w:pPr>
      <w:r>
        <w:t>A number of k</w:t>
      </w:r>
      <w:r w:rsidR="00FC1486">
        <w:t xml:space="preserve">ey insights were </w:t>
      </w:r>
      <w:r w:rsidR="00AD46F0">
        <w:t>obtained from</w:t>
      </w:r>
      <w:r w:rsidR="00FC1486">
        <w:t xml:space="preserve"> the </w:t>
      </w:r>
      <w:r w:rsidR="00FC1486" w:rsidRPr="005B797B">
        <w:t>extensive desktop, qualitative and quantitative research conducted</w:t>
      </w:r>
      <w:r w:rsidR="00AD46F0">
        <w:t xml:space="preserve"> as part of the review.</w:t>
      </w:r>
    </w:p>
    <w:p w14:paraId="2A9D6A67" w14:textId="7A53F938" w:rsidR="000241EA" w:rsidRPr="007C12D9" w:rsidRDefault="009402AB" w:rsidP="00E14791">
      <w:pPr>
        <w:pStyle w:val="ListBullet"/>
        <w:rPr>
          <w:rStyle w:val="Strong"/>
          <w:color w:val="1F497D" w:themeColor="text2"/>
        </w:rPr>
      </w:pPr>
      <w:r w:rsidRPr="007C12D9">
        <w:rPr>
          <w:rStyle w:val="Strong"/>
          <w:color w:val="1F497D" w:themeColor="text2"/>
        </w:rPr>
        <w:t xml:space="preserve">A </w:t>
      </w:r>
      <w:r w:rsidR="00BD465D" w:rsidRPr="007C12D9">
        <w:rPr>
          <w:rStyle w:val="Strong"/>
          <w:color w:val="1F497D" w:themeColor="text2"/>
        </w:rPr>
        <w:t>key opportunity to drive greater</w:t>
      </w:r>
      <w:r w:rsidRPr="007C12D9">
        <w:rPr>
          <w:rStyle w:val="Strong"/>
          <w:color w:val="1F497D" w:themeColor="text2"/>
        </w:rPr>
        <w:t xml:space="preserve"> entry into tertiary education </w:t>
      </w:r>
      <w:r w:rsidR="00BD465D" w:rsidRPr="007C12D9">
        <w:rPr>
          <w:rStyle w:val="Strong"/>
          <w:color w:val="1F497D" w:themeColor="text2"/>
        </w:rPr>
        <w:t xml:space="preserve">lies in building </w:t>
      </w:r>
      <w:r w:rsidRPr="007C12D9">
        <w:rPr>
          <w:rStyle w:val="Strong"/>
          <w:color w:val="1F497D" w:themeColor="text2"/>
        </w:rPr>
        <w:t>career ambition</w:t>
      </w:r>
    </w:p>
    <w:p w14:paraId="37C555BC" w14:textId="06E77D55" w:rsidR="002B7226" w:rsidRPr="00D66066" w:rsidRDefault="00A07A18" w:rsidP="00E14791">
      <w:pPr>
        <w:pStyle w:val="ListBullet"/>
        <w:numPr>
          <w:ilvl w:val="0"/>
          <w:numId w:val="0"/>
        </w:numPr>
      </w:pPr>
      <w:r w:rsidRPr="002B7226">
        <w:t xml:space="preserve">Our research with </w:t>
      </w:r>
      <w:r>
        <w:t xml:space="preserve">secondary </w:t>
      </w:r>
      <w:r w:rsidRPr="002B7226">
        <w:t>school, tertiary and tertiary-graduated students indicate</w:t>
      </w:r>
      <w:r>
        <w:t xml:space="preserve">s that </w:t>
      </w:r>
      <w:r w:rsidR="003451A7">
        <w:t>the</w:t>
      </w:r>
      <w:r>
        <w:t xml:space="preserve"> </w:t>
      </w:r>
      <w:r w:rsidRPr="002B7226">
        <w:t xml:space="preserve">primary </w:t>
      </w:r>
      <w:r w:rsidR="003451A7">
        <w:t>motivation</w:t>
      </w:r>
      <w:r w:rsidRPr="002B7226">
        <w:t xml:space="preserve"> for </w:t>
      </w:r>
      <w:r w:rsidRPr="00FB5A14">
        <w:t xml:space="preserve">entering tertiary education is to obtain a </w:t>
      </w:r>
      <w:r w:rsidR="00140CB0" w:rsidRPr="00FB5A14">
        <w:t xml:space="preserve">good </w:t>
      </w:r>
      <w:r w:rsidRPr="00FB5A14">
        <w:t xml:space="preserve">job. This aligns with the aspiration of </w:t>
      </w:r>
      <w:r w:rsidR="003451A7" w:rsidRPr="00FB5A14">
        <w:t>the NDCO</w:t>
      </w:r>
      <w:r w:rsidRPr="00FB5A14">
        <w:t xml:space="preserve"> program </w:t>
      </w:r>
      <w:r w:rsidR="003451A7" w:rsidRPr="00FB5A14">
        <w:t>to achieve growth in</w:t>
      </w:r>
      <w:r w:rsidRPr="00FB5A14">
        <w:t xml:space="preserve"> employment related to tertiary studies.</w:t>
      </w:r>
      <w:r w:rsidR="003451A7" w:rsidRPr="00FB5A14">
        <w:t xml:space="preserve">  However, o</w:t>
      </w:r>
      <w:r w:rsidR="00AD46F0" w:rsidRPr="00FB5A14">
        <w:t xml:space="preserve">n average, </w:t>
      </w:r>
      <w:r w:rsidR="00AD46F0" w:rsidRPr="00D66066">
        <w:t>s</w:t>
      </w:r>
      <w:r w:rsidR="002B7226" w:rsidRPr="00D66066">
        <w:t>tudents with disability are disengaging with the education system earlier than their peers</w:t>
      </w:r>
      <w:r w:rsidR="0007538F" w:rsidRPr="00D66066">
        <w:t xml:space="preserve"> and are less likely to progress to tertiary education</w:t>
      </w:r>
      <w:r w:rsidR="002B7226" w:rsidRPr="00D66066">
        <w:t>.</w:t>
      </w:r>
      <w:r w:rsidR="002B7226" w:rsidRPr="00FB5A14">
        <w:t xml:space="preserve"> </w:t>
      </w:r>
      <w:r w:rsidR="003451A7" w:rsidRPr="00D66066">
        <w:t>This largely reflects</w:t>
      </w:r>
      <w:r w:rsidR="002B7226" w:rsidRPr="00D66066">
        <w:t xml:space="preserve"> </w:t>
      </w:r>
      <w:r w:rsidR="0007538F" w:rsidRPr="00D66066">
        <w:t>factors</w:t>
      </w:r>
      <w:r w:rsidR="008E55CA" w:rsidRPr="00D66066">
        <w:t xml:space="preserve"> </w:t>
      </w:r>
      <w:r w:rsidR="002B7226" w:rsidRPr="00D66066">
        <w:t>relate</w:t>
      </w:r>
      <w:r w:rsidR="00A52676" w:rsidRPr="00D66066">
        <w:t>d</w:t>
      </w:r>
      <w:r w:rsidR="002B7226" w:rsidRPr="00D66066">
        <w:t xml:space="preserve"> to pre-tertiary access decisions</w:t>
      </w:r>
      <w:r w:rsidR="00AD46F0" w:rsidRPr="00D66066">
        <w:t>,</w:t>
      </w:r>
      <w:r w:rsidR="002B7226" w:rsidRPr="00D66066">
        <w:t xml:space="preserve"> </w:t>
      </w:r>
      <w:r w:rsidR="00DC5A04" w:rsidRPr="00D66066">
        <w:t>including</w:t>
      </w:r>
      <w:r w:rsidR="002B7226" w:rsidRPr="00D66066">
        <w:t xml:space="preserve"> low aspirations and expectations </w:t>
      </w:r>
      <w:r w:rsidRPr="00D66066">
        <w:t xml:space="preserve">of </w:t>
      </w:r>
      <w:r w:rsidR="002B7226" w:rsidRPr="00D66066">
        <w:t xml:space="preserve">students with disability, and ineffective career planning and advice.  </w:t>
      </w:r>
    </w:p>
    <w:p w14:paraId="3897950C" w14:textId="77777777" w:rsidR="00220A0D" w:rsidRPr="00030757" w:rsidRDefault="00220A0D" w:rsidP="00E14791">
      <w:pPr>
        <w:pStyle w:val="ListBullet"/>
        <w:numPr>
          <w:ilvl w:val="0"/>
          <w:numId w:val="0"/>
        </w:numPr>
      </w:pPr>
    </w:p>
    <w:p w14:paraId="7407B36D" w14:textId="28F2B610" w:rsidR="000241EA" w:rsidRPr="007C12D9" w:rsidRDefault="00383D50" w:rsidP="00E14791">
      <w:pPr>
        <w:pStyle w:val="ListBullet"/>
        <w:rPr>
          <w:rStyle w:val="Strong"/>
          <w:color w:val="1F497D" w:themeColor="text2"/>
        </w:rPr>
      </w:pPr>
      <w:r w:rsidRPr="007C12D9">
        <w:rPr>
          <w:rStyle w:val="Strong"/>
          <w:color w:val="1F497D" w:themeColor="text2"/>
        </w:rPr>
        <w:t>Improvements in tertiary study access and completion rates are likely to flow from f</w:t>
      </w:r>
      <w:r w:rsidR="00BD4E99" w:rsidRPr="007C12D9">
        <w:rPr>
          <w:rStyle w:val="Strong"/>
          <w:color w:val="1F497D" w:themeColor="text2"/>
        </w:rPr>
        <w:t>lipping the switch on self-reporting disability</w:t>
      </w:r>
    </w:p>
    <w:p w14:paraId="6B86D8ED" w14:textId="72488BDA" w:rsidR="0057202A" w:rsidRPr="0057202A" w:rsidRDefault="00E44A6B" w:rsidP="00E14791">
      <w:pPr>
        <w:pStyle w:val="ListBullet"/>
        <w:numPr>
          <w:ilvl w:val="0"/>
          <w:numId w:val="0"/>
        </w:numPr>
      </w:pPr>
      <w:r>
        <w:t>There a</w:t>
      </w:r>
      <w:r w:rsidR="00B32166">
        <w:t>re</w:t>
      </w:r>
      <w:r>
        <w:t xml:space="preserve"> multiple barriers to students identifying or choosing to disclose a disability, including a </w:t>
      </w:r>
      <w:r w:rsidR="0097623D">
        <w:t xml:space="preserve">reluctance to disclose personal </w:t>
      </w:r>
      <w:r w:rsidR="002567C9">
        <w:t>information</w:t>
      </w:r>
      <w:r w:rsidR="00A16DED">
        <w:t xml:space="preserve"> </w:t>
      </w:r>
      <w:r w:rsidR="00383D50">
        <w:t>(</w:t>
      </w:r>
      <w:r w:rsidR="00A16DED">
        <w:t xml:space="preserve">particularly if </w:t>
      </w:r>
      <w:r w:rsidR="00902DD0">
        <w:t xml:space="preserve">there is </w:t>
      </w:r>
      <w:r w:rsidR="00A16DED">
        <w:t xml:space="preserve">little </w:t>
      </w:r>
      <w:r w:rsidR="00902DD0">
        <w:t xml:space="preserve">perceived </w:t>
      </w:r>
      <w:r w:rsidR="00A16DED">
        <w:t xml:space="preserve">benefit due to </w:t>
      </w:r>
      <w:r w:rsidR="00B32166" w:rsidRPr="005E4E0C">
        <w:t>ri</w:t>
      </w:r>
      <w:r w:rsidR="00471DA4" w:rsidRPr="005E4E0C">
        <w:t>sk of discrimination</w:t>
      </w:r>
      <w:r w:rsidR="00B32166" w:rsidRPr="005E4E0C">
        <w:t xml:space="preserve"> or </w:t>
      </w:r>
      <w:r w:rsidR="00902DD0">
        <w:t xml:space="preserve">not knowing </w:t>
      </w:r>
      <w:r w:rsidR="00492019">
        <w:t xml:space="preserve">what </w:t>
      </w:r>
      <w:r w:rsidR="00492019" w:rsidRPr="00FB5A14">
        <w:t>s</w:t>
      </w:r>
      <w:r w:rsidR="00B32166" w:rsidRPr="00FB5A14">
        <w:t>upport</w:t>
      </w:r>
      <w:r w:rsidR="00902DD0" w:rsidRPr="00FB5A14">
        <w:t xml:space="preserve"> </w:t>
      </w:r>
      <w:r w:rsidR="00492019" w:rsidRPr="00FB5A14">
        <w:t xml:space="preserve">is </w:t>
      </w:r>
      <w:r w:rsidR="00B32166" w:rsidRPr="00FB5A14">
        <w:t>available</w:t>
      </w:r>
      <w:r w:rsidR="00383D50" w:rsidRPr="00FB5A14">
        <w:t>)</w:t>
      </w:r>
      <w:r w:rsidR="00B32166" w:rsidRPr="00FB5A14">
        <w:t xml:space="preserve">. </w:t>
      </w:r>
      <w:r w:rsidR="00B32166" w:rsidRPr="00D66066">
        <w:t xml:space="preserve">Students and </w:t>
      </w:r>
      <w:r w:rsidR="007C12D9" w:rsidRPr="00D66066">
        <w:t xml:space="preserve">their </w:t>
      </w:r>
      <w:r w:rsidRPr="00D66066">
        <w:t>famil</w:t>
      </w:r>
      <w:r w:rsidR="007C12D9" w:rsidRPr="00D66066">
        <w:t>ies</w:t>
      </w:r>
      <w:r w:rsidRPr="00D66066">
        <w:t xml:space="preserve"> </w:t>
      </w:r>
      <w:r w:rsidR="00B32166" w:rsidRPr="00D66066">
        <w:t xml:space="preserve">argued </w:t>
      </w:r>
      <w:r w:rsidR="006B29C4" w:rsidRPr="00D66066">
        <w:t xml:space="preserve">for a </w:t>
      </w:r>
      <w:r w:rsidRPr="00D66066">
        <w:t xml:space="preserve">shift in responsibility from the student </w:t>
      </w:r>
      <w:r w:rsidR="000D7395" w:rsidRPr="00D66066">
        <w:t xml:space="preserve">having </w:t>
      </w:r>
      <w:r w:rsidRPr="00D66066">
        <w:t xml:space="preserve">to disclose to the </w:t>
      </w:r>
      <w:r w:rsidR="00492019" w:rsidRPr="00D66066">
        <w:t>tertiary providers being pr</w:t>
      </w:r>
      <w:r w:rsidRPr="00D66066">
        <w:t>oactive in demonstrating their inclusiveness.</w:t>
      </w:r>
      <w:r w:rsidRPr="00FB5A14">
        <w:t xml:space="preserve"> </w:t>
      </w:r>
      <w:r w:rsidR="00CC5DA8" w:rsidRPr="00FB5A14">
        <w:t>In particular, students and family considered that it would be</w:t>
      </w:r>
      <w:r w:rsidR="00CC5DA8" w:rsidRPr="0057202A">
        <w:t xml:space="preserve"> beneficial for tertiary institutions to provide more information that</w:t>
      </w:r>
      <w:r w:rsidR="00084BA5" w:rsidRPr="0057202A">
        <w:t xml:space="preserve"> </w:t>
      </w:r>
      <w:r w:rsidR="004C0500" w:rsidRPr="0057202A">
        <w:t>portray</w:t>
      </w:r>
      <w:r w:rsidR="00CC5DA8" w:rsidRPr="0057202A">
        <w:t>ed</w:t>
      </w:r>
      <w:r w:rsidR="004C0500" w:rsidRPr="0057202A">
        <w:t xml:space="preserve"> </w:t>
      </w:r>
      <w:r w:rsidRPr="0057202A">
        <w:t xml:space="preserve">acceptance of diversity, </w:t>
      </w:r>
      <w:r w:rsidR="00D767DB" w:rsidRPr="0057202A">
        <w:t xml:space="preserve">as well as </w:t>
      </w:r>
      <w:r w:rsidRPr="0057202A">
        <w:t>rais</w:t>
      </w:r>
      <w:r w:rsidR="0057202A" w:rsidRPr="0057202A">
        <w:t>ing</w:t>
      </w:r>
      <w:r w:rsidRPr="0057202A">
        <w:t xml:space="preserve"> awareness about possible adjustments and the benefits of supports</w:t>
      </w:r>
      <w:r w:rsidR="004C0500" w:rsidRPr="0057202A">
        <w:t xml:space="preserve">. </w:t>
      </w:r>
    </w:p>
    <w:p w14:paraId="62B23BC3" w14:textId="1394B3D0" w:rsidR="00E44A6B" w:rsidRPr="007C12D9" w:rsidRDefault="00845F1B" w:rsidP="00E14791">
      <w:pPr>
        <w:pStyle w:val="ListBullet"/>
        <w:numPr>
          <w:ilvl w:val="0"/>
          <w:numId w:val="0"/>
        </w:numPr>
      </w:pPr>
      <w:r>
        <w:t>Along</w:t>
      </w:r>
      <w:r w:rsidR="005E4E0C">
        <w:t xml:space="preserve"> with </w:t>
      </w:r>
      <w:r w:rsidR="00D767DB">
        <w:t xml:space="preserve">promoting </w:t>
      </w:r>
      <w:r w:rsidR="005E4E0C">
        <w:t xml:space="preserve">a </w:t>
      </w:r>
      <w:r w:rsidR="00E44A6B">
        <w:t xml:space="preserve">safer </w:t>
      </w:r>
      <w:r w:rsidR="0025521C">
        <w:t xml:space="preserve">environment </w:t>
      </w:r>
      <w:r w:rsidR="00E44A6B">
        <w:t>for student</w:t>
      </w:r>
      <w:r w:rsidR="005E4E0C">
        <w:t>s</w:t>
      </w:r>
      <w:r w:rsidR="00E44A6B">
        <w:t xml:space="preserve"> </w:t>
      </w:r>
      <w:r w:rsidR="00D767DB">
        <w:t xml:space="preserve">to </w:t>
      </w:r>
      <w:r w:rsidR="00E44A6B">
        <w:t>report disability</w:t>
      </w:r>
      <w:r w:rsidR="009B6BE3">
        <w:t>,</w:t>
      </w:r>
      <w:r>
        <w:t xml:space="preserve"> students saw this as valuable </w:t>
      </w:r>
      <w:r w:rsidR="007F7D0A">
        <w:t>information in</w:t>
      </w:r>
      <w:r w:rsidR="00D767DB">
        <w:t xml:space="preserve"> their decision making </w:t>
      </w:r>
      <w:r w:rsidR="00B04EAC">
        <w:t>about enrolling</w:t>
      </w:r>
      <w:r w:rsidR="00D767DB">
        <w:t xml:space="preserve"> at </w:t>
      </w:r>
      <w:r w:rsidR="00E44A6B">
        <w:t xml:space="preserve">a tertiary institution </w:t>
      </w:r>
      <w:r w:rsidR="005E4E0C">
        <w:t xml:space="preserve">as it </w:t>
      </w:r>
      <w:r w:rsidR="00D767DB">
        <w:t xml:space="preserve">would </w:t>
      </w:r>
      <w:r w:rsidR="00D845E0">
        <w:t>provid</w:t>
      </w:r>
      <w:r w:rsidR="005E4E0C">
        <w:t xml:space="preserve">e </w:t>
      </w:r>
      <w:r w:rsidR="00E44A6B">
        <w:t xml:space="preserve">greater confidence </w:t>
      </w:r>
      <w:r w:rsidR="005E4E0C">
        <w:t>in</w:t>
      </w:r>
      <w:r w:rsidR="00E44A6B">
        <w:t xml:space="preserve"> course success</w:t>
      </w:r>
      <w:r w:rsidR="00E44A6B" w:rsidRPr="007C12D9">
        <w:t xml:space="preserve">. </w:t>
      </w:r>
      <w:r w:rsidR="0057202A" w:rsidRPr="00FB5A14">
        <w:t>A</w:t>
      </w:r>
      <w:r w:rsidR="0050673B" w:rsidRPr="00FB5A14">
        <w:t xml:space="preserve"> </w:t>
      </w:r>
      <w:r w:rsidR="00E44A6B" w:rsidRPr="00FB5A14">
        <w:t xml:space="preserve">reframing of disclosure </w:t>
      </w:r>
      <w:r w:rsidR="0050673B" w:rsidRPr="00FB5A14">
        <w:t>should be more broadly beneficial for</w:t>
      </w:r>
      <w:r w:rsidR="00E44A6B" w:rsidRPr="00FB5A14">
        <w:t xml:space="preserve"> higher education institutions given the funding model of</w:t>
      </w:r>
      <w:r w:rsidR="007C12D9" w:rsidRPr="00FB5A14">
        <w:t xml:space="preserve"> other government programs such as</w:t>
      </w:r>
      <w:r w:rsidR="00E44A6B" w:rsidRPr="00FB5A14">
        <w:t xml:space="preserve"> the Disability Support Program</w:t>
      </w:r>
      <w:r w:rsidR="00397AFE" w:rsidRPr="007C12D9">
        <w:t xml:space="preserve">, </w:t>
      </w:r>
      <w:r w:rsidR="00D00EE6">
        <w:t xml:space="preserve">in the higher education sector </w:t>
      </w:r>
      <w:r w:rsidR="00397AFE" w:rsidRPr="007C12D9">
        <w:t>which is</w:t>
      </w:r>
      <w:r w:rsidR="00E44A6B" w:rsidRPr="007C12D9">
        <w:t xml:space="preserve"> </w:t>
      </w:r>
      <w:r w:rsidR="00CB1017" w:rsidRPr="007C12D9">
        <w:t xml:space="preserve">based on </w:t>
      </w:r>
      <w:r w:rsidR="00E44A6B" w:rsidRPr="007C12D9">
        <w:t xml:space="preserve">the </w:t>
      </w:r>
      <w:r w:rsidR="00D00EE6">
        <w:t xml:space="preserve">proportion </w:t>
      </w:r>
      <w:r w:rsidR="00E44A6B" w:rsidRPr="007C12D9">
        <w:t>of students with disability enrolled</w:t>
      </w:r>
      <w:r w:rsidR="00991256">
        <w:t xml:space="preserve"> at each eligible provider</w:t>
      </w:r>
      <w:r w:rsidR="00E44A6B" w:rsidRPr="007C12D9">
        <w:t xml:space="preserve">. </w:t>
      </w:r>
    </w:p>
    <w:p w14:paraId="00D8B52E" w14:textId="77777777" w:rsidR="00600D44" w:rsidRDefault="00600D44" w:rsidP="00E14791">
      <w:pPr>
        <w:pStyle w:val="ListBullet"/>
        <w:numPr>
          <w:ilvl w:val="0"/>
          <w:numId w:val="0"/>
        </w:numPr>
      </w:pPr>
    </w:p>
    <w:p w14:paraId="3E86A862" w14:textId="23E97BD9" w:rsidR="00BD4E99" w:rsidRPr="007C12D9" w:rsidRDefault="003A596F" w:rsidP="00E14791">
      <w:pPr>
        <w:pStyle w:val="ListBullet"/>
        <w:rPr>
          <w:rStyle w:val="Strong"/>
          <w:color w:val="1F497D" w:themeColor="text2"/>
        </w:rPr>
      </w:pPr>
      <w:r w:rsidRPr="007C12D9">
        <w:rPr>
          <w:rStyle w:val="Strong"/>
          <w:color w:val="1F497D" w:themeColor="text2"/>
        </w:rPr>
        <w:t>The experience</w:t>
      </w:r>
      <w:r w:rsidR="00166B84" w:rsidRPr="007C12D9">
        <w:rPr>
          <w:rStyle w:val="Strong"/>
          <w:color w:val="1F497D" w:themeColor="text2"/>
        </w:rPr>
        <w:t xml:space="preserve"> of adjustments in tertiary setting</w:t>
      </w:r>
      <w:r w:rsidR="00543487" w:rsidRPr="007C12D9">
        <w:rPr>
          <w:rStyle w:val="Strong"/>
          <w:color w:val="1F497D" w:themeColor="text2"/>
        </w:rPr>
        <w:t>s</w:t>
      </w:r>
      <w:r w:rsidR="00166B84" w:rsidRPr="007C12D9">
        <w:rPr>
          <w:rStyle w:val="Strong"/>
          <w:color w:val="1F497D" w:themeColor="text2"/>
        </w:rPr>
        <w:t xml:space="preserve"> remains patchy</w:t>
      </w:r>
    </w:p>
    <w:p w14:paraId="1D084A38" w14:textId="642A3004" w:rsidR="004F0A44" w:rsidRDefault="00A005F9" w:rsidP="00E14791">
      <w:pPr>
        <w:pStyle w:val="ListBullet"/>
        <w:numPr>
          <w:ilvl w:val="0"/>
          <w:numId w:val="0"/>
        </w:numPr>
      </w:pPr>
      <w:r w:rsidRPr="00A005F9">
        <w:t>There remains a need to continue to improve the experience of students participating in tertiary education</w:t>
      </w:r>
      <w:r w:rsidR="00A15C6A">
        <w:t xml:space="preserve"> given </w:t>
      </w:r>
      <w:r w:rsidRPr="00A005F9">
        <w:t xml:space="preserve">a significant proportion </w:t>
      </w:r>
      <w:r w:rsidR="00CA0D63">
        <w:t>who relayed</w:t>
      </w:r>
      <w:r w:rsidR="000F5852">
        <w:t xml:space="preserve"> they </w:t>
      </w:r>
      <w:r w:rsidRPr="00A005F9">
        <w:t>have experienced challenges in having their learning needs met.</w:t>
      </w:r>
      <w:r w:rsidR="00255619">
        <w:t xml:space="preserve"> </w:t>
      </w:r>
      <w:r w:rsidR="00384581">
        <w:t>P</w:t>
      </w:r>
      <w:r w:rsidR="00084F8C">
        <w:t xml:space="preserve">rominent themes </w:t>
      </w:r>
      <w:r w:rsidR="00384581" w:rsidRPr="00FB5A14">
        <w:t xml:space="preserve">that </w:t>
      </w:r>
      <w:r w:rsidR="00084F8C" w:rsidRPr="00FB5A14">
        <w:t>emerged includ</w:t>
      </w:r>
      <w:r w:rsidR="005322E3" w:rsidRPr="00FB5A14">
        <w:t>ed</w:t>
      </w:r>
      <w:r w:rsidR="00084F8C" w:rsidRPr="00FB5A14">
        <w:t xml:space="preserve"> </w:t>
      </w:r>
      <w:r w:rsidR="00084F8C" w:rsidRPr="00D66066">
        <w:t>the l</w:t>
      </w:r>
      <w:r w:rsidR="004F0A44" w:rsidRPr="00D66066">
        <w:t>ack of knowledge of available adjustments</w:t>
      </w:r>
      <w:r w:rsidR="00084F8C" w:rsidRPr="00FB5A14">
        <w:t xml:space="preserve"> (by students and educators), </w:t>
      </w:r>
      <w:r w:rsidR="004F0A44" w:rsidRPr="00D66066">
        <w:t xml:space="preserve">the </w:t>
      </w:r>
      <w:r w:rsidR="005322E3" w:rsidRPr="00D66066">
        <w:t xml:space="preserve">limited </w:t>
      </w:r>
      <w:r w:rsidR="004F0A44" w:rsidRPr="00D66066">
        <w:t xml:space="preserve">capability of staff to </w:t>
      </w:r>
      <w:r w:rsidR="00217D48" w:rsidRPr="00D66066">
        <w:t>execute adjustments consistently and proactively</w:t>
      </w:r>
      <w:r w:rsidR="00941F47" w:rsidRPr="00D66066">
        <w:t>, students being</w:t>
      </w:r>
      <w:r w:rsidR="00384581" w:rsidRPr="00D66066">
        <w:t xml:space="preserve"> </w:t>
      </w:r>
      <w:r w:rsidR="004F0A44" w:rsidRPr="00D66066">
        <w:t>unprepared for tertiary settings</w:t>
      </w:r>
      <w:r w:rsidR="0049299D" w:rsidRPr="00D66066">
        <w:t xml:space="preserve"> and dif</w:t>
      </w:r>
      <w:r w:rsidR="00350C71" w:rsidRPr="00D66066">
        <w:t xml:space="preserve">ferences in experience for visible and </w:t>
      </w:r>
      <w:r w:rsidR="004654C2" w:rsidRPr="00D66066">
        <w:t>invisible</w:t>
      </w:r>
      <w:r w:rsidR="00350C71" w:rsidRPr="00D66066">
        <w:t xml:space="preserve"> disability</w:t>
      </w:r>
      <w:r w:rsidR="00384581" w:rsidRPr="00D66066">
        <w:t>.</w:t>
      </w:r>
      <w:r w:rsidR="00384581" w:rsidRPr="00FB5A14">
        <w:t xml:space="preserve"> </w:t>
      </w:r>
      <w:r w:rsidR="005322E3" w:rsidRPr="00FB5A14">
        <w:t>In</w:t>
      </w:r>
      <w:r w:rsidR="005322E3">
        <w:t xml:space="preserve"> this regard, there was a positive impact flowing from institutions’ responses to</w:t>
      </w:r>
      <w:r w:rsidR="004F0A44">
        <w:t xml:space="preserve"> </w:t>
      </w:r>
      <w:r w:rsidR="004F0A44" w:rsidRPr="00011BDB">
        <w:t>COVID</w:t>
      </w:r>
      <w:r w:rsidR="004F0A44">
        <w:t>-19</w:t>
      </w:r>
      <w:r w:rsidR="005322E3">
        <w:t>, which</w:t>
      </w:r>
      <w:r w:rsidR="004F0A44">
        <w:t xml:space="preserve"> resulted in increased access to technology and online study options</w:t>
      </w:r>
      <w:r w:rsidR="005322E3">
        <w:t xml:space="preserve"> (</w:t>
      </w:r>
      <w:r w:rsidR="004F0A44">
        <w:t xml:space="preserve">a primary consideration </w:t>
      </w:r>
      <w:r w:rsidR="005322E3">
        <w:t xml:space="preserve">for many students </w:t>
      </w:r>
      <w:r w:rsidR="00D00EE6">
        <w:t xml:space="preserve">with disability </w:t>
      </w:r>
      <w:r w:rsidR="004F0A44">
        <w:t>in their choice of a tertiary provider</w:t>
      </w:r>
      <w:r w:rsidR="005322E3">
        <w:t>)</w:t>
      </w:r>
      <w:r w:rsidR="004F0A44">
        <w:t xml:space="preserve">. </w:t>
      </w:r>
      <w:r w:rsidR="004654C2">
        <w:t>A</w:t>
      </w:r>
      <w:r w:rsidR="004F0A44">
        <w:t xml:space="preserve"> more systematic approach to building educators’ </w:t>
      </w:r>
      <w:r w:rsidR="004F0A44" w:rsidRPr="004654C2">
        <w:t xml:space="preserve">awareness and capacity for </w:t>
      </w:r>
      <w:r w:rsidR="00617F3B">
        <w:t xml:space="preserve">implementing </w:t>
      </w:r>
      <w:r w:rsidR="004F0A44" w:rsidRPr="004654C2">
        <w:t>reasonable adjustment</w:t>
      </w:r>
      <w:r w:rsidR="0045760A">
        <w:t>s</w:t>
      </w:r>
      <w:r w:rsidR="004F0A44" w:rsidRPr="004654C2">
        <w:t xml:space="preserve"> was seen as important, </w:t>
      </w:r>
      <w:r w:rsidR="00217D48">
        <w:t xml:space="preserve">ensuring this is designed </w:t>
      </w:r>
      <w:r w:rsidR="005322E3">
        <w:t xml:space="preserve">together </w:t>
      </w:r>
      <w:r w:rsidR="00217D48">
        <w:t>with th</w:t>
      </w:r>
      <w:r w:rsidR="004F0A44" w:rsidRPr="004654C2">
        <w:t xml:space="preserve">e </w:t>
      </w:r>
      <w:r w:rsidR="004654C2" w:rsidRPr="004654C2">
        <w:t>voice</w:t>
      </w:r>
      <w:r w:rsidR="004654C2">
        <w:t xml:space="preserve"> of </w:t>
      </w:r>
      <w:r w:rsidR="004F0A44">
        <w:t>student</w:t>
      </w:r>
      <w:r w:rsidR="004654C2">
        <w:t>s</w:t>
      </w:r>
      <w:r w:rsidR="00B40069">
        <w:t xml:space="preserve"> </w:t>
      </w:r>
      <w:r w:rsidR="00991256">
        <w:t>with disability</w:t>
      </w:r>
      <w:r w:rsidR="00F915D6">
        <w:t>.</w:t>
      </w:r>
      <w:r w:rsidR="00617F3B">
        <w:t xml:space="preserve"> </w:t>
      </w:r>
      <w:r w:rsidR="00617F3B" w:rsidRPr="00D66066">
        <w:t xml:space="preserve">Students suggested greater accountability of tertiary providers </w:t>
      </w:r>
      <w:r w:rsidR="005E7AC4" w:rsidRPr="00D66066">
        <w:t>was</w:t>
      </w:r>
      <w:r w:rsidR="00617F3B" w:rsidRPr="00D66066">
        <w:t xml:space="preserve"> needed </w:t>
      </w:r>
      <w:r w:rsidR="005621FE" w:rsidRPr="00D66066">
        <w:t>rather than the responsibility being on students. A</w:t>
      </w:r>
      <w:r w:rsidR="00617F3B" w:rsidRPr="00D66066">
        <w:t xml:space="preserve">udit or </w:t>
      </w:r>
      <w:r w:rsidR="005621FE" w:rsidRPr="00D66066">
        <w:t xml:space="preserve">independent </w:t>
      </w:r>
      <w:r w:rsidR="00617F3B" w:rsidRPr="00D66066">
        <w:t>assessment functions</w:t>
      </w:r>
      <w:r w:rsidR="005621FE" w:rsidRPr="00D66066">
        <w:t xml:space="preserve"> were seen as a possible solution</w:t>
      </w:r>
      <w:r w:rsidR="00617F3B" w:rsidRPr="00D66066">
        <w:t>.</w:t>
      </w:r>
      <w:r w:rsidR="00617F3B" w:rsidRPr="007C12D9">
        <w:rPr>
          <w:b/>
          <w:bCs/>
        </w:rPr>
        <w:t xml:space="preserve"> </w:t>
      </w:r>
      <w:r w:rsidR="00617F3B">
        <w:t xml:space="preserve">Many stakeholders in the review promoted universal design for learning as an opportunity to improve participation of all students, not just those </w:t>
      </w:r>
      <w:r w:rsidR="00991256">
        <w:t>with disability</w:t>
      </w:r>
      <w:r w:rsidR="005E7AC4">
        <w:t xml:space="preserve"> – however recognised this would not negate the need for tailored approaches </w:t>
      </w:r>
      <w:r w:rsidR="005621FE">
        <w:t xml:space="preserve">designed with </w:t>
      </w:r>
      <w:r w:rsidR="005E7AC4">
        <w:t xml:space="preserve">individuals. </w:t>
      </w:r>
    </w:p>
    <w:p w14:paraId="3C731E93" w14:textId="77777777" w:rsidR="00220A0D" w:rsidRDefault="00220A0D" w:rsidP="00E14791">
      <w:pPr>
        <w:pStyle w:val="ListBullet"/>
        <w:numPr>
          <w:ilvl w:val="0"/>
          <w:numId w:val="0"/>
        </w:numPr>
      </w:pPr>
    </w:p>
    <w:p w14:paraId="28C8E2FB" w14:textId="1BA115FA" w:rsidR="00166B84" w:rsidRPr="007C12D9" w:rsidRDefault="00FB73F3" w:rsidP="00E14791">
      <w:pPr>
        <w:pStyle w:val="ListBullet"/>
        <w:rPr>
          <w:rStyle w:val="Strong"/>
          <w:color w:val="1F497D" w:themeColor="text2"/>
        </w:rPr>
      </w:pPr>
      <w:r w:rsidRPr="007C12D9">
        <w:rPr>
          <w:rStyle w:val="Strong"/>
          <w:color w:val="1F497D" w:themeColor="text2"/>
        </w:rPr>
        <w:t>Transition</w:t>
      </w:r>
      <w:r w:rsidR="001224A6">
        <w:rPr>
          <w:rStyle w:val="Strong"/>
          <w:color w:val="1F497D" w:themeColor="text2"/>
        </w:rPr>
        <w:t xml:space="preserve"> </w:t>
      </w:r>
      <w:bookmarkStart w:id="1" w:name="_Hlk97897767"/>
      <w:r w:rsidR="001224A6">
        <w:rPr>
          <w:rStyle w:val="Strong"/>
          <w:color w:val="1F497D" w:themeColor="text2"/>
        </w:rPr>
        <w:t>from tertiary providers in</w:t>
      </w:r>
      <w:r w:rsidRPr="007C12D9">
        <w:rPr>
          <w:rStyle w:val="Strong"/>
          <w:color w:val="1F497D" w:themeColor="text2"/>
        </w:rPr>
        <w:t xml:space="preserve">to </w:t>
      </w:r>
      <w:bookmarkEnd w:id="1"/>
      <w:r w:rsidRPr="007C12D9">
        <w:rPr>
          <w:rStyle w:val="Strong"/>
          <w:color w:val="1F497D" w:themeColor="text2"/>
        </w:rPr>
        <w:t>employment is a gap</w:t>
      </w:r>
    </w:p>
    <w:p w14:paraId="667B5DC6" w14:textId="371AD66E" w:rsidR="000241EA" w:rsidRDefault="00F80472" w:rsidP="00E14791">
      <w:pPr>
        <w:pStyle w:val="ListBullet"/>
        <w:numPr>
          <w:ilvl w:val="0"/>
          <w:numId w:val="0"/>
        </w:numPr>
      </w:pPr>
      <w:r>
        <w:t>O</w:t>
      </w:r>
      <w:r w:rsidRPr="00F80472">
        <w:t xml:space="preserve">btaining employment related to a student’s qualifications was seen as </w:t>
      </w:r>
      <w:r w:rsidR="00DC084F">
        <w:t>the</w:t>
      </w:r>
      <w:r w:rsidRPr="00F80472">
        <w:t xml:space="preserve"> most challenging transition point for students</w:t>
      </w:r>
      <w:r w:rsidR="0006591C">
        <w:t xml:space="preserve"> </w:t>
      </w:r>
      <w:r w:rsidR="001F36FE">
        <w:t>b</w:t>
      </w:r>
      <w:r w:rsidRPr="00F80472">
        <w:t xml:space="preserve">y all stakeholders engaged in </w:t>
      </w:r>
      <w:r w:rsidR="005322E3">
        <w:t>our</w:t>
      </w:r>
      <w:r w:rsidR="005322E3" w:rsidRPr="00F80472">
        <w:t xml:space="preserve"> </w:t>
      </w:r>
      <w:r w:rsidRPr="00F80472">
        <w:t xml:space="preserve">research. </w:t>
      </w:r>
      <w:r w:rsidRPr="00FB5A14">
        <w:t xml:space="preserve">Two </w:t>
      </w:r>
      <w:r w:rsidR="00A42F91" w:rsidRPr="00FB5A14">
        <w:t xml:space="preserve">key </w:t>
      </w:r>
      <w:r w:rsidRPr="00FB5A14">
        <w:t>themes emerged</w:t>
      </w:r>
      <w:r w:rsidR="001F36FE" w:rsidRPr="00FB5A14">
        <w:t>:</w:t>
      </w:r>
      <w:r w:rsidRPr="00FB5A14">
        <w:t xml:space="preserve"> </w:t>
      </w:r>
      <w:r w:rsidR="00A42F91" w:rsidRPr="00FB5A14">
        <w:t xml:space="preserve">issues with </w:t>
      </w:r>
      <w:r w:rsidRPr="00FB5A14">
        <w:t>pathways from tertiary institutions into employment</w:t>
      </w:r>
      <w:r w:rsidR="001F36FE" w:rsidRPr="00FB5A14">
        <w:t>;</w:t>
      </w:r>
      <w:r w:rsidRPr="00FB5A14">
        <w:t xml:space="preserve"> and </w:t>
      </w:r>
      <w:r w:rsidR="00A42F91" w:rsidRPr="00FB5A14">
        <w:t xml:space="preserve">barriers flowing from the </w:t>
      </w:r>
      <w:r w:rsidRPr="00FB5A14">
        <w:t xml:space="preserve">attitudes of employers </w:t>
      </w:r>
      <w:r w:rsidR="00A42F91" w:rsidRPr="00FB5A14">
        <w:t xml:space="preserve">towards </w:t>
      </w:r>
      <w:r w:rsidRPr="00FB5A14">
        <w:t xml:space="preserve">hiring tertiary graduates </w:t>
      </w:r>
      <w:r w:rsidR="00991256" w:rsidRPr="00FB5A14">
        <w:t>with disability</w:t>
      </w:r>
      <w:r w:rsidRPr="00FB5A14">
        <w:t>.</w:t>
      </w:r>
      <w:r w:rsidR="001F36FE" w:rsidRPr="00FB5A14">
        <w:t xml:space="preserve"> C</w:t>
      </w:r>
      <w:r w:rsidRPr="00FB5A14">
        <w:t>ourse work placements that provide exposure to employers and acquisition of job</w:t>
      </w:r>
      <w:r w:rsidR="00A42F91" w:rsidRPr="00FB5A14">
        <w:t xml:space="preserve"> </w:t>
      </w:r>
      <w:r w:rsidRPr="00FB5A14">
        <w:t xml:space="preserve">skills </w:t>
      </w:r>
      <w:r w:rsidR="00A42F91" w:rsidRPr="00FB5A14">
        <w:t xml:space="preserve">were </w:t>
      </w:r>
      <w:r w:rsidRPr="00FB5A14">
        <w:t>seen</w:t>
      </w:r>
      <w:r w:rsidRPr="00F80472">
        <w:t xml:space="preserve"> as inflexible and poorly planned</w:t>
      </w:r>
      <w:r w:rsidR="005F44D6">
        <w:t xml:space="preserve">. </w:t>
      </w:r>
      <w:r w:rsidRPr="00F80472">
        <w:t xml:space="preserve">Confidence of tertiary students in obtaining a course-related job was low, particularly </w:t>
      </w:r>
      <w:r w:rsidR="00A42F91">
        <w:t>for</w:t>
      </w:r>
      <w:r w:rsidR="00A42F91" w:rsidRPr="00F80472">
        <w:t xml:space="preserve"> </w:t>
      </w:r>
      <w:r w:rsidRPr="00F80472">
        <w:t xml:space="preserve">university students </w:t>
      </w:r>
      <w:r w:rsidR="00A42F91">
        <w:t>(</w:t>
      </w:r>
      <w:r w:rsidRPr="00F80472">
        <w:t>where employment opportunities are more commonly identified post</w:t>
      </w:r>
      <w:r w:rsidR="00A42F91">
        <w:t>-</w:t>
      </w:r>
      <w:r w:rsidRPr="00F80472">
        <w:t>education</w:t>
      </w:r>
      <w:r w:rsidR="00A42F91">
        <w:t>)</w:t>
      </w:r>
      <w:r w:rsidRPr="00F80472">
        <w:t xml:space="preserve">. </w:t>
      </w:r>
      <w:r w:rsidR="001F6ABD" w:rsidRPr="00FC15EE">
        <w:t xml:space="preserve">The need </w:t>
      </w:r>
      <w:r w:rsidR="001F6ABD">
        <w:t>for tertiary providers to</w:t>
      </w:r>
      <w:r w:rsidR="001F6ABD" w:rsidRPr="00FC15EE">
        <w:t xml:space="preserve"> provide more active support </w:t>
      </w:r>
      <w:r w:rsidRPr="001523B2">
        <w:t>to graduates to find work was highlighted, includ</w:t>
      </w:r>
      <w:r w:rsidR="003F741F">
        <w:t>ing</w:t>
      </w:r>
      <w:r w:rsidRPr="001523B2">
        <w:t xml:space="preserve"> the need to start earlier </w:t>
      </w:r>
      <w:r w:rsidR="000B2C8F">
        <w:t>and</w:t>
      </w:r>
      <w:r w:rsidR="00CD57AA">
        <w:t xml:space="preserve"> through </w:t>
      </w:r>
      <w:r w:rsidRPr="001523B2">
        <w:t>linkages for work placement and building relationships with prospective employers.</w:t>
      </w:r>
      <w:r w:rsidR="001F6ABD">
        <w:t xml:space="preserve"> </w:t>
      </w:r>
      <w:r w:rsidRPr="001523B2">
        <w:t xml:space="preserve">The perceived biases and misconceptions of employers in hiring graduates </w:t>
      </w:r>
      <w:r w:rsidR="00991256">
        <w:t>with disability</w:t>
      </w:r>
      <w:r w:rsidRPr="001523B2">
        <w:t xml:space="preserve"> was commonly raised as a challenge in obtaining </w:t>
      </w:r>
      <w:r w:rsidR="00F179CF">
        <w:t>graduate</w:t>
      </w:r>
      <w:r w:rsidRPr="001523B2">
        <w:t xml:space="preserve"> employment</w:t>
      </w:r>
      <w:r w:rsidR="00086EA5">
        <w:t xml:space="preserve"> related to their stud</w:t>
      </w:r>
      <w:r w:rsidR="0042283C">
        <w:t>ies</w:t>
      </w:r>
      <w:r w:rsidRPr="001523B2">
        <w:t>.</w:t>
      </w:r>
    </w:p>
    <w:p w14:paraId="37BA2369" w14:textId="4D9E8CC5" w:rsidR="000241EA" w:rsidRPr="00030757" w:rsidRDefault="00DB78FC" w:rsidP="00DC1C9D">
      <w:pPr>
        <w:pStyle w:val="Heading5"/>
      </w:pPr>
      <w:r>
        <w:t xml:space="preserve">Summary of analysis </w:t>
      </w:r>
      <w:r w:rsidR="005A6BF3">
        <w:t>of the NDCO program</w:t>
      </w:r>
    </w:p>
    <w:p w14:paraId="12D1A448" w14:textId="6E8F3B7E" w:rsidR="007A79E0" w:rsidRDefault="005A6BF3" w:rsidP="000241EA">
      <w:pPr>
        <w:spacing w:before="0"/>
        <w:rPr>
          <w:rFonts w:asciiTheme="minorHAnsi" w:hAnsiTheme="minorHAnsi" w:cstheme="minorHAnsi"/>
        </w:rPr>
      </w:pPr>
      <w:r>
        <w:rPr>
          <w:rFonts w:asciiTheme="minorHAnsi" w:hAnsiTheme="minorHAnsi" w:cstheme="minorHAnsi"/>
        </w:rPr>
        <w:t>Internal</w:t>
      </w:r>
      <w:r w:rsidR="001D7528">
        <w:rPr>
          <w:rFonts w:asciiTheme="minorHAnsi" w:hAnsiTheme="minorHAnsi" w:cstheme="minorHAnsi"/>
        </w:rPr>
        <w:t xml:space="preserve"> </w:t>
      </w:r>
      <w:r w:rsidR="00FE5ACA">
        <w:rPr>
          <w:rFonts w:asciiTheme="minorHAnsi" w:hAnsiTheme="minorHAnsi" w:cstheme="minorHAnsi"/>
        </w:rPr>
        <w:t>strengths</w:t>
      </w:r>
      <w:r>
        <w:rPr>
          <w:rFonts w:asciiTheme="minorHAnsi" w:hAnsiTheme="minorHAnsi" w:cstheme="minorHAnsi"/>
        </w:rPr>
        <w:t xml:space="preserve"> and </w:t>
      </w:r>
      <w:r w:rsidR="00FE5ACA">
        <w:rPr>
          <w:rFonts w:asciiTheme="minorHAnsi" w:hAnsiTheme="minorHAnsi" w:cstheme="minorHAnsi"/>
        </w:rPr>
        <w:t>weaknesses</w:t>
      </w:r>
      <w:r w:rsidR="00EE6A6B">
        <w:rPr>
          <w:rFonts w:asciiTheme="minorHAnsi" w:hAnsiTheme="minorHAnsi" w:cstheme="minorHAnsi"/>
        </w:rPr>
        <w:t xml:space="preserve"> were identified along with </w:t>
      </w:r>
      <w:r w:rsidR="00FE5ACA">
        <w:rPr>
          <w:rFonts w:asciiTheme="minorHAnsi" w:hAnsiTheme="minorHAnsi" w:cstheme="minorHAnsi"/>
        </w:rPr>
        <w:t>opportunities and threats</w:t>
      </w:r>
      <w:r w:rsidR="001D6EAB">
        <w:rPr>
          <w:rFonts w:asciiTheme="minorHAnsi" w:hAnsiTheme="minorHAnsi" w:cstheme="minorHAnsi"/>
        </w:rPr>
        <w:t xml:space="preserve"> </w:t>
      </w:r>
      <w:r w:rsidR="00096825">
        <w:rPr>
          <w:rFonts w:asciiTheme="minorHAnsi" w:hAnsiTheme="minorHAnsi" w:cstheme="minorHAnsi"/>
        </w:rPr>
        <w:t>that exist at</w:t>
      </w:r>
      <w:r w:rsidR="00DE3DA1">
        <w:rPr>
          <w:rFonts w:asciiTheme="minorHAnsi" w:hAnsiTheme="minorHAnsi" w:cstheme="minorHAnsi"/>
        </w:rPr>
        <w:t xml:space="preserve"> </w:t>
      </w:r>
      <w:r w:rsidR="000B19E0">
        <w:rPr>
          <w:rFonts w:asciiTheme="minorHAnsi" w:hAnsiTheme="minorHAnsi" w:cstheme="minorHAnsi"/>
        </w:rPr>
        <w:t xml:space="preserve">a </w:t>
      </w:r>
      <w:r w:rsidR="00706A1F">
        <w:rPr>
          <w:rFonts w:asciiTheme="minorHAnsi" w:hAnsiTheme="minorHAnsi" w:cstheme="minorHAnsi"/>
        </w:rPr>
        <w:t>program and strategic level</w:t>
      </w:r>
      <w:r w:rsidR="00A0243E">
        <w:rPr>
          <w:rFonts w:asciiTheme="minorHAnsi" w:hAnsiTheme="minorHAnsi" w:cstheme="minorHAnsi"/>
        </w:rPr>
        <w:t xml:space="preserve">. </w:t>
      </w:r>
    </w:p>
    <w:p w14:paraId="2B6CD6AD" w14:textId="74A010A5" w:rsidR="00526FE5" w:rsidRDefault="000B19E0" w:rsidP="007763F7">
      <w:r>
        <w:t>Key p</w:t>
      </w:r>
      <w:r w:rsidR="007A79E0">
        <w:t xml:space="preserve">rogram observations </w:t>
      </w:r>
      <w:r>
        <w:t>are as follows</w:t>
      </w:r>
      <w:r w:rsidR="00526FE5">
        <w:t>:</w:t>
      </w:r>
    </w:p>
    <w:p w14:paraId="7E2FA859" w14:textId="28BB7F3B" w:rsidR="00927F2F" w:rsidRPr="00927F2F" w:rsidRDefault="00EE1626" w:rsidP="00927F2F">
      <w:pPr>
        <w:pStyle w:val="ListBullet"/>
      </w:pPr>
      <w:r>
        <w:t>A key strength is the d</w:t>
      </w:r>
      <w:r w:rsidR="00927F2F" w:rsidRPr="00927F2F">
        <w:t xml:space="preserve">epth of knowledge </w:t>
      </w:r>
      <w:r>
        <w:t xml:space="preserve">among NDCOs </w:t>
      </w:r>
      <w:r w:rsidR="00927F2F" w:rsidRPr="00927F2F">
        <w:t>of the tertiary education system – national, state and local arrangements, and how this system connects end-to-end (pre-access to employment)</w:t>
      </w:r>
      <w:r w:rsidR="00160511">
        <w:t>.</w:t>
      </w:r>
      <w:r w:rsidR="00927F2F" w:rsidRPr="00927F2F">
        <w:t xml:space="preserve">  </w:t>
      </w:r>
    </w:p>
    <w:p w14:paraId="05D1B041" w14:textId="6317DE05" w:rsidR="00A0243E" w:rsidRPr="00E14791" w:rsidRDefault="00EE1626" w:rsidP="00E14791">
      <w:pPr>
        <w:pStyle w:val="ListBullet"/>
      </w:pPr>
      <w:r>
        <w:t>NDCOs’ i</w:t>
      </w:r>
      <w:r w:rsidR="00A0243E" w:rsidRPr="00E14791">
        <w:t xml:space="preserve">ndependence from the sector </w:t>
      </w:r>
      <w:r w:rsidR="00927FB6">
        <w:t xml:space="preserve">provides confidence to tertiary institutions </w:t>
      </w:r>
      <w:r w:rsidR="00E437FA">
        <w:t>about</w:t>
      </w:r>
      <w:r w:rsidR="00927FB6">
        <w:t xml:space="preserve"> </w:t>
      </w:r>
      <w:r w:rsidR="00E437FA">
        <w:t xml:space="preserve">their </w:t>
      </w:r>
      <w:r w:rsidR="00927FB6">
        <w:t>advice and support</w:t>
      </w:r>
      <w:r w:rsidR="00160511">
        <w:t>.</w:t>
      </w:r>
      <w:r w:rsidR="00A0243E" w:rsidRPr="00E14791">
        <w:t xml:space="preserve"> </w:t>
      </w:r>
    </w:p>
    <w:p w14:paraId="79E35E41" w14:textId="704D184D" w:rsidR="00F206C7" w:rsidRPr="00E14791" w:rsidRDefault="00F206C7" w:rsidP="00F206C7">
      <w:pPr>
        <w:pStyle w:val="ListBullet"/>
      </w:pPr>
      <w:r w:rsidRPr="00E14791">
        <w:t>Breadth of activities and varied focus areas dilutes program delivery and therefore outcomes</w:t>
      </w:r>
      <w:r w:rsidR="00160511">
        <w:t>.</w:t>
      </w:r>
      <w:r w:rsidRPr="00E14791">
        <w:t xml:space="preserve"> </w:t>
      </w:r>
    </w:p>
    <w:p w14:paraId="22A3E458" w14:textId="58AA422D" w:rsidR="00F206C7" w:rsidRDefault="00F206C7" w:rsidP="00F206C7">
      <w:pPr>
        <w:pStyle w:val="ListBullet"/>
      </w:pPr>
      <w:r w:rsidRPr="00E14791">
        <w:t xml:space="preserve">Lack of </w:t>
      </w:r>
      <w:r>
        <w:t>clear direction and agreed leadership both centrally and as a coordinated program</w:t>
      </w:r>
      <w:r w:rsidR="00160511">
        <w:t>.</w:t>
      </w:r>
      <w:r>
        <w:t xml:space="preserve"> </w:t>
      </w:r>
    </w:p>
    <w:p w14:paraId="32E16516" w14:textId="5C61D768" w:rsidR="00A0243E" w:rsidRPr="00E14791" w:rsidRDefault="00A0243E" w:rsidP="00E14791">
      <w:pPr>
        <w:pStyle w:val="ListBullet"/>
      </w:pPr>
      <w:r w:rsidRPr="00E14791">
        <w:t xml:space="preserve">Little profile or understanding of strategic objectives </w:t>
      </w:r>
      <w:r w:rsidR="009A7887" w:rsidRPr="00E14791">
        <w:t>by</w:t>
      </w:r>
      <w:r w:rsidRPr="00E14791">
        <w:t xml:space="preserve"> </w:t>
      </w:r>
      <w:r w:rsidR="007020E0">
        <w:t xml:space="preserve">sector </w:t>
      </w:r>
      <w:r w:rsidRPr="00E14791">
        <w:t>stakeholders</w:t>
      </w:r>
      <w:r w:rsidR="00E97425">
        <w:t xml:space="preserve">, and </w:t>
      </w:r>
      <w:r w:rsidR="006F327E">
        <w:t>internal</w:t>
      </w:r>
      <w:r w:rsidR="0072381F">
        <w:t xml:space="preserve"> misalignment </w:t>
      </w:r>
      <w:r w:rsidR="001D2620">
        <w:t xml:space="preserve">on what constitutes </w:t>
      </w:r>
      <w:r w:rsidR="006F327E">
        <w:t>‘strategic’</w:t>
      </w:r>
      <w:r w:rsidRPr="00E14791">
        <w:t xml:space="preserve"> </w:t>
      </w:r>
      <w:r w:rsidR="00580C73">
        <w:t xml:space="preserve">is </w:t>
      </w:r>
      <w:r w:rsidR="002C7A0F">
        <w:t>creating tensions</w:t>
      </w:r>
      <w:r w:rsidR="000B19E0">
        <w:t>.</w:t>
      </w:r>
    </w:p>
    <w:p w14:paraId="0BEFBBDC" w14:textId="68AE4728" w:rsidR="00A0243E" w:rsidRPr="00E14791" w:rsidRDefault="00A0243E" w:rsidP="00E14791">
      <w:pPr>
        <w:pStyle w:val="ListBullet"/>
      </w:pPr>
      <w:r w:rsidRPr="00E14791">
        <w:t xml:space="preserve">Limited role clarity and value proposition for Host </w:t>
      </w:r>
      <w:r w:rsidR="00526FE5" w:rsidRPr="00E14791">
        <w:t xml:space="preserve">Provider </w:t>
      </w:r>
      <w:r w:rsidRPr="00E14791">
        <w:t>arrangements</w:t>
      </w:r>
      <w:r w:rsidR="00160511">
        <w:t>.</w:t>
      </w:r>
    </w:p>
    <w:p w14:paraId="0706A99D" w14:textId="3A08FB1D" w:rsidR="00A0243E" w:rsidRPr="00E14791" w:rsidRDefault="00A0243E" w:rsidP="00E14791">
      <w:pPr>
        <w:pStyle w:val="ListBullet"/>
      </w:pPr>
      <w:r w:rsidRPr="00E14791">
        <w:t xml:space="preserve">Disconnection of the program from influential stakeholders and those with a representative voice </w:t>
      </w:r>
      <w:r w:rsidR="00580C73">
        <w:t>(</w:t>
      </w:r>
      <w:r w:rsidRPr="00E14791">
        <w:t>i.e. students with disability</w:t>
      </w:r>
      <w:r w:rsidR="00580C73">
        <w:t>)</w:t>
      </w:r>
      <w:r w:rsidR="00713FC8">
        <w:t>.</w:t>
      </w:r>
    </w:p>
    <w:p w14:paraId="0101AB92" w14:textId="2720B0C0" w:rsidR="00EF65C9" w:rsidRDefault="001D210F" w:rsidP="00572532">
      <w:r>
        <w:t>Key s</w:t>
      </w:r>
      <w:r w:rsidR="00EF65C9">
        <w:t xml:space="preserve">trategic </w:t>
      </w:r>
      <w:r w:rsidR="00127EAC">
        <w:t xml:space="preserve">opportunities </w:t>
      </w:r>
      <w:r w:rsidR="00580C73">
        <w:t>are as follows</w:t>
      </w:r>
      <w:r w:rsidR="00EF65C9">
        <w:t>:</w:t>
      </w:r>
    </w:p>
    <w:p w14:paraId="498388C1" w14:textId="7DB131F8" w:rsidR="00A0243E" w:rsidRDefault="00A0243E" w:rsidP="00E14791">
      <w:pPr>
        <w:pStyle w:val="ListBullet"/>
      </w:pPr>
      <w:r>
        <w:t xml:space="preserve">Government inclusion reforms have a stronger focus on mainstream services being responsible and accountable – including production of resources and campaigns </w:t>
      </w:r>
      <w:r w:rsidR="00580C73">
        <w:t>(</w:t>
      </w:r>
      <w:r>
        <w:t xml:space="preserve">e.g. through Australia’s Disability Strategy, the </w:t>
      </w:r>
      <w:r w:rsidR="00BF3B33">
        <w:t xml:space="preserve">2020 </w:t>
      </w:r>
      <w:r w:rsidR="00BF3B33" w:rsidRPr="00E2480E">
        <w:t>review</w:t>
      </w:r>
      <w:r w:rsidR="00BF3B33" w:rsidRPr="00FD74BE">
        <w:t xml:space="preserve"> of the </w:t>
      </w:r>
      <w:r w:rsidR="00BF3B33" w:rsidRPr="004E097B">
        <w:rPr>
          <w:i/>
        </w:rPr>
        <w:t>Disability Standards for Education 2005</w:t>
      </w:r>
      <w:r w:rsidR="00BF3B33">
        <w:t xml:space="preserve"> (the </w:t>
      </w:r>
      <w:r>
        <w:t>Standards</w:t>
      </w:r>
      <w:r w:rsidR="00580C73">
        <w:t>)</w:t>
      </w:r>
      <w:r w:rsidR="008C4463">
        <w:t>.</w:t>
      </w:r>
    </w:p>
    <w:p w14:paraId="120F4FD7" w14:textId="620A9448" w:rsidR="00A0243E" w:rsidRDefault="00A0243E" w:rsidP="00E14791">
      <w:pPr>
        <w:pStyle w:val="ListBullet"/>
      </w:pPr>
      <w:r>
        <w:t xml:space="preserve">Students with disability are the fastest growing equity group in Australian universities </w:t>
      </w:r>
      <w:r w:rsidR="00580C73">
        <w:t xml:space="preserve">- </w:t>
      </w:r>
      <w:r>
        <w:t>this may increase influence and leverage greater support</w:t>
      </w:r>
      <w:r w:rsidR="00DF3415">
        <w:t>.</w:t>
      </w:r>
    </w:p>
    <w:p w14:paraId="0947ADD8" w14:textId="6DE77897" w:rsidR="00867CCC" w:rsidRDefault="00580C73" w:rsidP="00E14791">
      <w:pPr>
        <w:pStyle w:val="ListBullet"/>
      </w:pPr>
      <w:r>
        <w:t>Better utilising the b</w:t>
      </w:r>
      <w:r w:rsidR="00867CCC">
        <w:t xml:space="preserve">road range of industry and sector stakeholders with skills to leverage </w:t>
      </w:r>
      <w:r w:rsidR="00B013F3">
        <w:t>and</w:t>
      </w:r>
      <w:r w:rsidR="00867CCC">
        <w:t xml:space="preserve"> contribute to program outcomes</w:t>
      </w:r>
      <w:r w:rsidR="00DF3415">
        <w:t>.</w:t>
      </w:r>
    </w:p>
    <w:p w14:paraId="7055ABC2" w14:textId="19971038" w:rsidR="00867CCC" w:rsidRDefault="00867CCC" w:rsidP="00E14791">
      <w:pPr>
        <w:pStyle w:val="ListBullet"/>
      </w:pPr>
      <w:r>
        <w:t>Raising the disability focus within other equity and government programs</w:t>
      </w:r>
      <w:r w:rsidR="00B013F3">
        <w:t>.</w:t>
      </w:r>
    </w:p>
    <w:p w14:paraId="76A853EE" w14:textId="6616139D" w:rsidR="00867CCC" w:rsidRDefault="00867CCC" w:rsidP="00E14791">
      <w:pPr>
        <w:pStyle w:val="ListBullet"/>
      </w:pPr>
      <w:r>
        <w:t>Utilising broader industry for advocacy rather than a siloed voice</w:t>
      </w:r>
      <w:r w:rsidR="00B013F3">
        <w:t>.</w:t>
      </w:r>
    </w:p>
    <w:p w14:paraId="77FB6DC9" w14:textId="5B55A6E2" w:rsidR="005621FE" w:rsidRDefault="005621FE" w:rsidP="00E14791">
      <w:pPr>
        <w:pStyle w:val="ListBullet"/>
      </w:pPr>
      <w:r>
        <w:t>Existing work on universal design in learning is underway.</w:t>
      </w:r>
    </w:p>
    <w:p w14:paraId="08790F29" w14:textId="5D6B9B91" w:rsidR="000241EA" w:rsidRPr="00030757" w:rsidRDefault="00526FE5" w:rsidP="00DC1C9D">
      <w:pPr>
        <w:pStyle w:val="Heading5"/>
      </w:pPr>
      <w:r>
        <w:t>Recommendations</w:t>
      </w:r>
    </w:p>
    <w:p w14:paraId="75964802" w14:textId="75A0A26C" w:rsidR="000241EA" w:rsidRDefault="00E33030" w:rsidP="000241EA">
      <w:pPr>
        <w:spacing w:before="0"/>
        <w:rPr>
          <w:rFonts w:asciiTheme="minorHAnsi" w:hAnsiTheme="minorHAnsi" w:cstheme="minorHAnsi"/>
        </w:rPr>
      </w:pPr>
      <w:r>
        <w:rPr>
          <w:rFonts w:asciiTheme="minorHAnsi" w:hAnsiTheme="minorHAnsi" w:cstheme="minorHAnsi"/>
        </w:rPr>
        <w:t>T</w:t>
      </w:r>
      <w:r w:rsidR="00826715">
        <w:rPr>
          <w:rFonts w:asciiTheme="minorHAnsi" w:hAnsiTheme="minorHAnsi" w:cstheme="minorHAnsi"/>
        </w:rPr>
        <w:t>here</w:t>
      </w:r>
      <w:r w:rsidR="00826715" w:rsidRPr="00826715">
        <w:rPr>
          <w:rFonts w:asciiTheme="minorHAnsi" w:hAnsiTheme="minorHAnsi" w:cstheme="minorHAnsi"/>
        </w:rPr>
        <w:t xml:space="preserve"> remains a need for a specific program to drive broader systemic change so that people with disability have equitable opportunity to access, participate and achieve their goals in tertiary education and subsequent employment.</w:t>
      </w:r>
    </w:p>
    <w:p w14:paraId="76629988" w14:textId="77777777" w:rsidR="00E1673A" w:rsidRDefault="00E1673A" w:rsidP="000241EA">
      <w:pPr>
        <w:spacing w:before="0"/>
        <w:rPr>
          <w:rFonts w:asciiTheme="minorHAnsi" w:hAnsiTheme="minorHAnsi" w:cstheme="minorHAnsi"/>
        </w:rPr>
      </w:pPr>
    </w:p>
    <w:p w14:paraId="3D3C4842" w14:textId="77777777" w:rsidR="00572532" w:rsidRPr="00572532" w:rsidRDefault="00572532" w:rsidP="000241EA">
      <w:pPr>
        <w:spacing w:before="0"/>
        <w:rPr>
          <w:rFonts w:asciiTheme="minorHAnsi" w:hAnsiTheme="minorHAnsi" w:cstheme="minorHAnsi"/>
          <w:b/>
          <w:bCs/>
          <w:u w:val="single"/>
        </w:rPr>
      </w:pPr>
      <w:r w:rsidRPr="00572532">
        <w:rPr>
          <w:rFonts w:asciiTheme="minorHAnsi" w:hAnsiTheme="minorHAnsi" w:cstheme="minorHAnsi"/>
          <w:b/>
          <w:bCs/>
          <w:u w:val="single"/>
        </w:rPr>
        <w:t>A strategic and targeted approach to better respond to student needs</w:t>
      </w:r>
    </w:p>
    <w:p w14:paraId="2BCE579C" w14:textId="46E7D734" w:rsidR="00572532" w:rsidRDefault="00E1673A" w:rsidP="00572532">
      <w:pPr>
        <w:spacing w:before="0"/>
        <w:rPr>
          <w:rFonts w:asciiTheme="minorHAnsi" w:hAnsiTheme="minorHAnsi" w:cstheme="minorHAnsi"/>
        </w:rPr>
      </w:pPr>
      <w:r>
        <w:rPr>
          <w:rFonts w:asciiTheme="minorHAnsi" w:hAnsiTheme="minorHAnsi" w:cstheme="minorHAnsi"/>
        </w:rPr>
        <w:t xml:space="preserve">We recommend strengthening the </w:t>
      </w:r>
      <w:r w:rsidR="009430AC">
        <w:rPr>
          <w:rFonts w:asciiTheme="minorHAnsi" w:hAnsiTheme="minorHAnsi" w:cstheme="minorHAnsi"/>
        </w:rPr>
        <w:t>program</w:t>
      </w:r>
      <w:r w:rsidR="003661E6">
        <w:rPr>
          <w:rFonts w:asciiTheme="minorHAnsi" w:hAnsiTheme="minorHAnsi" w:cstheme="minorHAnsi"/>
        </w:rPr>
        <w:t>’s</w:t>
      </w:r>
      <w:r w:rsidR="009430AC">
        <w:rPr>
          <w:rFonts w:asciiTheme="minorHAnsi" w:hAnsiTheme="minorHAnsi" w:cstheme="minorHAnsi"/>
        </w:rPr>
        <w:t xml:space="preserve"> </w:t>
      </w:r>
      <w:r w:rsidR="00F814DE">
        <w:rPr>
          <w:rFonts w:asciiTheme="minorHAnsi" w:hAnsiTheme="minorHAnsi" w:cstheme="minorHAnsi"/>
        </w:rPr>
        <w:t xml:space="preserve">strategic cohesion and </w:t>
      </w:r>
      <w:r w:rsidR="009430AC">
        <w:rPr>
          <w:rFonts w:asciiTheme="minorHAnsi" w:hAnsiTheme="minorHAnsi" w:cstheme="minorHAnsi"/>
        </w:rPr>
        <w:t>influence</w:t>
      </w:r>
      <w:r w:rsidR="00E24257">
        <w:rPr>
          <w:rFonts w:asciiTheme="minorHAnsi" w:hAnsiTheme="minorHAnsi" w:cstheme="minorHAnsi"/>
        </w:rPr>
        <w:t xml:space="preserve"> through:</w:t>
      </w:r>
      <w:r w:rsidR="00572532">
        <w:rPr>
          <w:rFonts w:asciiTheme="minorHAnsi" w:hAnsiTheme="minorHAnsi" w:cstheme="minorHAnsi"/>
        </w:rPr>
        <w:t xml:space="preserve"> </w:t>
      </w:r>
    </w:p>
    <w:p w14:paraId="6055D6E3" w14:textId="098AFFCF" w:rsidR="00E24257" w:rsidRDefault="00550B96" w:rsidP="00E14791">
      <w:pPr>
        <w:pStyle w:val="ListBullet"/>
      </w:pPr>
      <w:r>
        <w:rPr>
          <w:rFonts w:asciiTheme="minorHAnsi" w:hAnsiTheme="minorHAnsi" w:cstheme="minorHAnsi"/>
        </w:rPr>
        <w:t>D</w:t>
      </w:r>
      <w:r w:rsidR="00FA7029" w:rsidRPr="00572532">
        <w:rPr>
          <w:rFonts w:asciiTheme="minorHAnsi" w:hAnsiTheme="minorHAnsi" w:cstheme="minorHAnsi"/>
        </w:rPr>
        <w:t>eveloping</w:t>
      </w:r>
      <w:r w:rsidR="00FA7029" w:rsidRPr="00FA7029">
        <w:t xml:space="preserve"> a high-level national strategic plan for the program </w:t>
      </w:r>
      <w:r w:rsidR="0096600E">
        <w:t xml:space="preserve">that is </w:t>
      </w:r>
      <w:r w:rsidR="00FA7029" w:rsidRPr="00FA7029">
        <w:t>tightly focused on agreed priorities</w:t>
      </w:r>
      <w:r w:rsidR="0001506F">
        <w:t>;</w:t>
      </w:r>
    </w:p>
    <w:p w14:paraId="34844FB0" w14:textId="78847AD0" w:rsidR="00391AA0" w:rsidRDefault="00391AA0" w:rsidP="00E14791">
      <w:pPr>
        <w:pStyle w:val="ListBullet"/>
      </w:pPr>
      <w:r>
        <w:t xml:space="preserve">Identify relevant program data to be collected in relation to the priorities and align </w:t>
      </w:r>
      <w:r w:rsidR="002410CC">
        <w:t xml:space="preserve">these </w:t>
      </w:r>
      <w:r>
        <w:t>with reporting requirements to meet broader whole of government disability reporting requirements;</w:t>
      </w:r>
    </w:p>
    <w:p w14:paraId="767A0B33" w14:textId="728C99CF" w:rsidR="0001506F" w:rsidRDefault="00550B96" w:rsidP="00E14791">
      <w:pPr>
        <w:pStyle w:val="ListBullet"/>
      </w:pPr>
      <w:r>
        <w:t>E</w:t>
      </w:r>
      <w:r w:rsidR="0090427E">
        <w:t xml:space="preserve">nsuring the </w:t>
      </w:r>
      <w:r w:rsidR="00FA4862" w:rsidRPr="00FA4862">
        <w:t xml:space="preserve">priorities for the program remain primarily focused on the </w:t>
      </w:r>
      <w:r w:rsidR="00FA4862" w:rsidRPr="00D00EE6">
        <w:rPr>
          <w:b/>
          <w:bCs/>
        </w:rPr>
        <w:t>access</w:t>
      </w:r>
      <w:r w:rsidR="00FA4862" w:rsidRPr="00FA4862">
        <w:t xml:space="preserve"> and </w:t>
      </w:r>
      <w:r w:rsidR="00FA4862" w:rsidRPr="00D00EE6">
        <w:rPr>
          <w:b/>
          <w:bCs/>
        </w:rPr>
        <w:t>participation</w:t>
      </w:r>
      <w:r w:rsidR="00FA4862" w:rsidRPr="00FA4862">
        <w:t xml:space="preserve"> phases of the student journey</w:t>
      </w:r>
      <w:r w:rsidR="00FA4862">
        <w:t>;</w:t>
      </w:r>
      <w:r w:rsidR="00775F16">
        <w:t xml:space="preserve"> and</w:t>
      </w:r>
    </w:p>
    <w:p w14:paraId="305087F0" w14:textId="2E13C7DF" w:rsidR="004C619F" w:rsidRPr="00FA4862" w:rsidRDefault="00550B96" w:rsidP="00E14791">
      <w:pPr>
        <w:pStyle w:val="ListBullet"/>
      </w:pPr>
      <w:r>
        <w:t>A</w:t>
      </w:r>
      <w:r w:rsidR="005C1106">
        <w:t xml:space="preserve"> </w:t>
      </w:r>
      <w:r w:rsidR="00572532" w:rsidRPr="00572532">
        <w:t>regular review of program priorities to determine the best utilisation of resources</w:t>
      </w:r>
      <w:r w:rsidR="00572532">
        <w:t xml:space="preserve"> and ideally </w:t>
      </w:r>
      <w:r w:rsidR="00572532" w:rsidRPr="00572532">
        <w:t>timed to feed into the evaluations being undertaken as part of Australia’s Disability Strategy</w:t>
      </w:r>
      <w:r w:rsidR="002A06D8">
        <w:t>.</w:t>
      </w:r>
    </w:p>
    <w:p w14:paraId="03EFF36A" w14:textId="77777777" w:rsidR="00572532" w:rsidRDefault="00572532" w:rsidP="0060669C">
      <w:pPr>
        <w:spacing w:before="0"/>
        <w:rPr>
          <w:rFonts w:asciiTheme="minorHAnsi" w:hAnsiTheme="minorHAnsi" w:cstheme="minorHAnsi"/>
          <w:b/>
          <w:bCs/>
          <w:u w:val="single"/>
        </w:rPr>
      </w:pPr>
    </w:p>
    <w:p w14:paraId="4F897EFA" w14:textId="41B62681" w:rsidR="0060669C" w:rsidRPr="00E1673A" w:rsidRDefault="0060669C" w:rsidP="0060669C">
      <w:pPr>
        <w:spacing w:before="0"/>
        <w:rPr>
          <w:rFonts w:asciiTheme="minorHAnsi" w:hAnsiTheme="minorHAnsi" w:cstheme="minorHAnsi"/>
          <w:b/>
          <w:bCs/>
          <w:u w:val="single"/>
        </w:rPr>
      </w:pPr>
      <w:r w:rsidRPr="00E1673A">
        <w:rPr>
          <w:rFonts w:asciiTheme="minorHAnsi" w:hAnsiTheme="minorHAnsi" w:cstheme="minorHAnsi"/>
          <w:b/>
          <w:bCs/>
          <w:u w:val="single"/>
        </w:rPr>
        <w:t>Formally bring together stakeholders from the tertiary disability equity ecosystem</w:t>
      </w:r>
    </w:p>
    <w:p w14:paraId="1C8BBBF6" w14:textId="10F6BB9E" w:rsidR="005F1EDD" w:rsidRPr="005F1EDD" w:rsidRDefault="005F1EDD" w:rsidP="005F1EDD">
      <w:pPr>
        <w:spacing w:before="0"/>
        <w:rPr>
          <w:rFonts w:asciiTheme="minorHAnsi" w:hAnsiTheme="minorHAnsi" w:cstheme="minorHAnsi"/>
        </w:rPr>
      </w:pPr>
      <w:r w:rsidRPr="005F1EDD">
        <w:rPr>
          <w:rFonts w:asciiTheme="minorHAnsi" w:hAnsiTheme="minorHAnsi" w:cstheme="minorHAnsi"/>
        </w:rPr>
        <w:t xml:space="preserve">The review highlighted a need for the program to be better connected with stakeholders that have high interest, responsibility and influence within the tertiary disability equity ecosystem. </w:t>
      </w:r>
      <w:r>
        <w:rPr>
          <w:rFonts w:asciiTheme="minorHAnsi" w:hAnsiTheme="minorHAnsi" w:cstheme="minorHAnsi"/>
        </w:rPr>
        <w:t>We recommend th</w:t>
      </w:r>
      <w:r w:rsidR="00767233">
        <w:rPr>
          <w:rFonts w:asciiTheme="minorHAnsi" w:hAnsiTheme="minorHAnsi" w:cstheme="minorHAnsi"/>
        </w:rPr>
        <w:t>e</w:t>
      </w:r>
      <w:r>
        <w:rPr>
          <w:rFonts w:asciiTheme="minorHAnsi" w:hAnsiTheme="minorHAnsi" w:cstheme="minorHAnsi"/>
        </w:rPr>
        <w:t xml:space="preserve"> following to enable this:</w:t>
      </w:r>
    </w:p>
    <w:p w14:paraId="699C868E" w14:textId="68ED4263" w:rsidR="00511F3E" w:rsidRDefault="00511F3E" w:rsidP="00E14791">
      <w:pPr>
        <w:pStyle w:val="ListBullet"/>
      </w:pPr>
      <w:r>
        <w:t xml:space="preserve">Establish a mechanism </w:t>
      </w:r>
      <w:r w:rsidRPr="005F1EDD">
        <w:t xml:space="preserve">to </w:t>
      </w:r>
      <w:r>
        <w:t xml:space="preserve">formally </w:t>
      </w:r>
      <w:r w:rsidRPr="005F1EDD">
        <w:t xml:space="preserve">support a strategic network to come together based on a shared commitment for change, collaborative relationships and activity partnerships. </w:t>
      </w:r>
    </w:p>
    <w:p w14:paraId="1BD4C6D8" w14:textId="4CDD1872" w:rsidR="00891BE2" w:rsidRPr="005F1EDD" w:rsidRDefault="00891BE2" w:rsidP="00E14791">
      <w:pPr>
        <w:pStyle w:val="ListBullet"/>
      </w:pPr>
      <w:r>
        <w:t>Ideally representation should be at a senior level and include coverage of the university and vocational education sector in order to drive change.</w:t>
      </w:r>
    </w:p>
    <w:p w14:paraId="25E6D6F9" w14:textId="7F4FAD2E" w:rsidR="005F1EDD" w:rsidRPr="005F1EDD" w:rsidRDefault="005F1EDD" w:rsidP="00E14791">
      <w:pPr>
        <w:pStyle w:val="ListBullet"/>
      </w:pPr>
      <w:r w:rsidRPr="00FD66B7">
        <w:t>Ensure</w:t>
      </w:r>
      <w:r w:rsidRPr="005F1EDD">
        <w:t xml:space="preserve"> a representative voice of tertiary students </w:t>
      </w:r>
      <w:r w:rsidR="00991256">
        <w:t>with disability</w:t>
      </w:r>
      <w:r w:rsidRPr="005F1EDD">
        <w:t xml:space="preserve">. </w:t>
      </w:r>
    </w:p>
    <w:p w14:paraId="23D1E1EE" w14:textId="33451E6F" w:rsidR="005F1EDD" w:rsidRPr="005F1EDD" w:rsidRDefault="005F1EDD" w:rsidP="00E14791">
      <w:pPr>
        <w:pStyle w:val="ListBullet"/>
      </w:pPr>
      <w:r w:rsidRPr="005F1EDD">
        <w:t>Consider the best mechanism to engage private RTOs</w:t>
      </w:r>
      <w:r w:rsidR="00F86D3B">
        <w:t>.</w:t>
      </w:r>
    </w:p>
    <w:p w14:paraId="45D52846" w14:textId="77777777" w:rsidR="005F1EDD" w:rsidRPr="005F1EDD" w:rsidRDefault="005F1EDD" w:rsidP="005F1EDD">
      <w:pPr>
        <w:spacing w:before="0"/>
        <w:rPr>
          <w:rFonts w:asciiTheme="minorHAnsi" w:hAnsiTheme="minorHAnsi" w:cstheme="minorHAnsi"/>
        </w:rPr>
      </w:pPr>
    </w:p>
    <w:p w14:paraId="1D76E3D7" w14:textId="55B5B999" w:rsidR="005F1EDD" w:rsidRDefault="005F1EDD" w:rsidP="005F1EDD">
      <w:pPr>
        <w:spacing w:before="0"/>
        <w:rPr>
          <w:rFonts w:asciiTheme="minorHAnsi" w:hAnsiTheme="minorHAnsi" w:cstheme="minorHAnsi"/>
          <w:b/>
          <w:bCs/>
          <w:u w:val="single"/>
        </w:rPr>
      </w:pPr>
      <w:r w:rsidRPr="00FD66B7">
        <w:rPr>
          <w:rFonts w:asciiTheme="minorHAnsi" w:hAnsiTheme="minorHAnsi" w:cstheme="minorHAnsi"/>
          <w:b/>
          <w:bCs/>
          <w:u w:val="single"/>
        </w:rPr>
        <w:t>Revised leadership model for the program</w:t>
      </w:r>
    </w:p>
    <w:p w14:paraId="59435586" w14:textId="771023B7" w:rsidR="00FD66B7" w:rsidRPr="00FD66B7" w:rsidRDefault="00FD66B7" w:rsidP="005F1EDD">
      <w:pPr>
        <w:spacing w:before="0"/>
        <w:rPr>
          <w:rFonts w:asciiTheme="minorHAnsi" w:hAnsiTheme="minorHAnsi" w:cstheme="minorHAnsi"/>
        </w:rPr>
      </w:pPr>
      <w:r>
        <w:rPr>
          <w:rFonts w:asciiTheme="minorHAnsi" w:hAnsiTheme="minorHAnsi" w:cstheme="minorHAnsi"/>
        </w:rPr>
        <w:t xml:space="preserve">Strengthen the </w:t>
      </w:r>
      <w:r w:rsidR="00912637">
        <w:rPr>
          <w:rFonts w:asciiTheme="minorHAnsi" w:hAnsiTheme="minorHAnsi" w:cstheme="minorHAnsi"/>
        </w:rPr>
        <w:t>direction</w:t>
      </w:r>
      <w:r w:rsidR="008F7E95">
        <w:rPr>
          <w:rFonts w:asciiTheme="minorHAnsi" w:hAnsiTheme="minorHAnsi" w:cstheme="minorHAnsi"/>
        </w:rPr>
        <w:t xml:space="preserve"> </w:t>
      </w:r>
      <w:r w:rsidR="00501E06">
        <w:rPr>
          <w:rFonts w:asciiTheme="minorHAnsi" w:hAnsiTheme="minorHAnsi" w:cstheme="minorHAnsi"/>
        </w:rPr>
        <w:t>of</w:t>
      </w:r>
      <w:r w:rsidR="008F7E95">
        <w:rPr>
          <w:rFonts w:asciiTheme="minorHAnsi" w:hAnsiTheme="minorHAnsi" w:cstheme="minorHAnsi"/>
        </w:rPr>
        <w:t xml:space="preserve"> the program through a revised leadership model that provides</w:t>
      </w:r>
      <w:r w:rsidR="008B3DA4">
        <w:rPr>
          <w:rFonts w:asciiTheme="minorHAnsi" w:hAnsiTheme="minorHAnsi" w:cstheme="minorHAnsi"/>
        </w:rPr>
        <w:t>:</w:t>
      </w:r>
    </w:p>
    <w:p w14:paraId="14F77D2E" w14:textId="071A48C6" w:rsidR="00FD66B7" w:rsidRDefault="00DE62ED" w:rsidP="00E14791">
      <w:pPr>
        <w:pStyle w:val="ListBullet"/>
      </w:pPr>
      <w:r>
        <w:t>O</w:t>
      </w:r>
      <w:r w:rsidR="005F1EDD" w:rsidRPr="005F1EDD">
        <w:t>verarching program oversight and leadership on progressing program priorities; and</w:t>
      </w:r>
    </w:p>
    <w:p w14:paraId="52FB9C77" w14:textId="75967BC3" w:rsidR="005F1EDD" w:rsidRPr="005F1EDD" w:rsidRDefault="00DE62ED" w:rsidP="00E14791">
      <w:pPr>
        <w:pStyle w:val="ListBullet"/>
      </w:pPr>
      <w:r>
        <w:t>S</w:t>
      </w:r>
      <w:r w:rsidR="005F1EDD" w:rsidRPr="00FD66B7">
        <w:t>upport</w:t>
      </w:r>
      <w:r w:rsidR="00501E06">
        <w:t>s</w:t>
      </w:r>
      <w:r w:rsidR="005F1EDD" w:rsidRPr="005F1EDD">
        <w:t xml:space="preserve"> sector partnership engagement </w:t>
      </w:r>
      <w:r w:rsidR="00673E97">
        <w:t>in</w:t>
      </w:r>
      <w:r w:rsidR="005F1EDD" w:rsidRPr="005F1EDD">
        <w:t xml:space="preserve"> delivery of program activities. </w:t>
      </w:r>
    </w:p>
    <w:p w14:paraId="19AE6A5C" w14:textId="331D90D1" w:rsidR="005F1EDD" w:rsidRPr="005F1EDD" w:rsidRDefault="005F1EDD" w:rsidP="005F1EDD">
      <w:pPr>
        <w:spacing w:before="0"/>
        <w:rPr>
          <w:rFonts w:asciiTheme="minorHAnsi" w:hAnsiTheme="minorHAnsi" w:cstheme="minorHAnsi"/>
        </w:rPr>
      </w:pPr>
      <w:r w:rsidRPr="005F1EDD">
        <w:rPr>
          <w:rFonts w:asciiTheme="minorHAnsi" w:hAnsiTheme="minorHAnsi" w:cstheme="minorHAnsi"/>
        </w:rPr>
        <w:t xml:space="preserve">The </w:t>
      </w:r>
      <w:r w:rsidR="008569FC">
        <w:rPr>
          <w:rFonts w:asciiTheme="minorHAnsi" w:hAnsiTheme="minorHAnsi" w:cstheme="minorHAnsi"/>
        </w:rPr>
        <w:t>Department</w:t>
      </w:r>
      <w:r w:rsidRPr="005F1EDD">
        <w:rPr>
          <w:rFonts w:asciiTheme="minorHAnsi" w:hAnsiTheme="minorHAnsi" w:cstheme="minorHAnsi"/>
        </w:rPr>
        <w:t xml:space="preserve"> would need to guide and endorse the overarching strategic plan and contribute to the program management through insights and identification of opportunities to collaborate with other government programs. </w:t>
      </w:r>
    </w:p>
    <w:p w14:paraId="7ACB27AC" w14:textId="77777777" w:rsidR="00673E97" w:rsidRDefault="00673E97" w:rsidP="005F1EDD">
      <w:pPr>
        <w:spacing w:before="0"/>
        <w:rPr>
          <w:rFonts w:asciiTheme="minorHAnsi" w:hAnsiTheme="minorHAnsi" w:cstheme="minorHAnsi"/>
        </w:rPr>
      </w:pPr>
    </w:p>
    <w:p w14:paraId="5332F8D4" w14:textId="464FB478" w:rsidR="005F1EDD" w:rsidRPr="00673E97" w:rsidRDefault="005F1EDD" w:rsidP="005F1EDD">
      <w:pPr>
        <w:spacing w:before="0"/>
        <w:rPr>
          <w:rFonts w:asciiTheme="minorHAnsi" w:hAnsiTheme="minorHAnsi" w:cstheme="minorHAnsi"/>
          <w:b/>
          <w:bCs/>
          <w:u w:val="single"/>
        </w:rPr>
      </w:pPr>
      <w:r w:rsidRPr="00673E97">
        <w:rPr>
          <w:rFonts w:asciiTheme="minorHAnsi" w:hAnsiTheme="minorHAnsi" w:cstheme="minorHAnsi"/>
          <w:b/>
          <w:bCs/>
          <w:u w:val="single"/>
        </w:rPr>
        <w:t xml:space="preserve">Adopt a partnership delivery model </w:t>
      </w:r>
    </w:p>
    <w:p w14:paraId="2898D510" w14:textId="437B47B1" w:rsidR="004647E0" w:rsidRDefault="00673E97" w:rsidP="005F1EDD">
      <w:pPr>
        <w:spacing w:before="0"/>
        <w:rPr>
          <w:rFonts w:asciiTheme="minorHAnsi" w:hAnsiTheme="minorHAnsi" w:cstheme="minorHAnsi"/>
        </w:rPr>
      </w:pPr>
      <w:r>
        <w:rPr>
          <w:rFonts w:asciiTheme="minorHAnsi" w:hAnsiTheme="minorHAnsi" w:cstheme="minorHAnsi"/>
        </w:rPr>
        <w:t>We r</w:t>
      </w:r>
      <w:r w:rsidR="005F1EDD" w:rsidRPr="005F1EDD">
        <w:rPr>
          <w:rFonts w:asciiTheme="minorHAnsi" w:hAnsiTheme="minorHAnsi" w:cstheme="minorHAnsi"/>
        </w:rPr>
        <w:t xml:space="preserve">ecommend that </w:t>
      </w:r>
      <w:r>
        <w:rPr>
          <w:rFonts w:asciiTheme="minorHAnsi" w:hAnsiTheme="minorHAnsi" w:cstheme="minorHAnsi"/>
        </w:rPr>
        <w:t>the</w:t>
      </w:r>
      <w:r w:rsidR="005F1EDD" w:rsidRPr="005F1EDD">
        <w:rPr>
          <w:rFonts w:asciiTheme="minorHAnsi" w:hAnsiTheme="minorHAnsi" w:cstheme="minorHAnsi"/>
        </w:rPr>
        <w:t xml:space="preserve"> current model of Host Provider arrangements be reformed to a ‘partnership’ model that provides partners with a greater input and stake in the delivery of </w:t>
      </w:r>
      <w:r w:rsidR="00771909">
        <w:rPr>
          <w:rFonts w:asciiTheme="minorHAnsi" w:hAnsiTheme="minorHAnsi" w:cstheme="minorHAnsi"/>
        </w:rPr>
        <w:t xml:space="preserve">the </w:t>
      </w:r>
      <w:r w:rsidR="005F1EDD" w:rsidRPr="005F1EDD">
        <w:rPr>
          <w:rFonts w:asciiTheme="minorHAnsi" w:hAnsiTheme="minorHAnsi" w:cstheme="minorHAnsi"/>
        </w:rPr>
        <w:t>program</w:t>
      </w:r>
      <w:r w:rsidR="00771909">
        <w:rPr>
          <w:rFonts w:asciiTheme="minorHAnsi" w:hAnsiTheme="minorHAnsi" w:cstheme="minorHAnsi"/>
        </w:rPr>
        <w:t>’s</w:t>
      </w:r>
      <w:r w:rsidR="005F1EDD" w:rsidRPr="005F1EDD">
        <w:rPr>
          <w:rFonts w:asciiTheme="minorHAnsi" w:hAnsiTheme="minorHAnsi" w:cstheme="minorHAnsi"/>
        </w:rPr>
        <w:t xml:space="preserve"> strategic activities. </w:t>
      </w:r>
      <w:r w:rsidR="007A3A0A">
        <w:rPr>
          <w:rFonts w:asciiTheme="minorHAnsi" w:hAnsiTheme="minorHAnsi" w:cstheme="minorHAnsi"/>
        </w:rPr>
        <w:t xml:space="preserve">In developing this model, </w:t>
      </w:r>
      <w:r w:rsidR="004647E0">
        <w:rPr>
          <w:rFonts w:asciiTheme="minorHAnsi" w:hAnsiTheme="minorHAnsi" w:cstheme="minorHAnsi"/>
        </w:rPr>
        <w:t xml:space="preserve">consideration should </w:t>
      </w:r>
      <w:r w:rsidR="007A3A0A">
        <w:rPr>
          <w:rFonts w:asciiTheme="minorHAnsi" w:hAnsiTheme="minorHAnsi" w:cstheme="minorHAnsi"/>
        </w:rPr>
        <w:t>be given to</w:t>
      </w:r>
      <w:r w:rsidR="004647E0">
        <w:rPr>
          <w:rFonts w:asciiTheme="minorHAnsi" w:hAnsiTheme="minorHAnsi" w:cstheme="minorHAnsi"/>
        </w:rPr>
        <w:t>:</w:t>
      </w:r>
    </w:p>
    <w:p w14:paraId="1660FC52" w14:textId="137BC984" w:rsidR="005F1EDD" w:rsidRPr="005F1EDD" w:rsidRDefault="009B4597" w:rsidP="00E14791">
      <w:pPr>
        <w:pStyle w:val="ListBullet"/>
      </w:pPr>
      <w:r>
        <w:t>M</w:t>
      </w:r>
      <w:r w:rsidR="005323A5">
        <w:t>utual benefit of the partnership</w:t>
      </w:r>
      <w:r w:rsidR="00216478">
        <w:t xml:space="preserve"> and</w:t>
      </w:r>
      <w:r w:rsidR="005323A5">
        <w:t xml:space="preserve"> </w:t>
      </w:r>
      <w:r w:rsidR="005F1EDD" w:rsidRPr="005F1EDD">
        <w:t xml:space="preserve">delivery partner(s) of peak, industry, professional associations etc. and/or where specific areas of excellence and leadership are observed. </w:t>
      </w:r>
    </w:p>
    <w:p w14:paraId="21BC85AC" w14:textId="2759F327" w:rsidR="005F1EDD" w:rsidRPr="00EA2C7B" w:rsidRDefault="00EA2C7B" w:rsidP="00E14791">
      <w:pPr>
        <w:pStyle w:val="ListBullet"/>
      </w:pPr>
      <w:r>
        <w:t xml:space="preserve">The need for </w:t>
      </w:r>
      <w:r w:rsidR="005F1EDD" w:rsidRPr="00EA2C7B">
        <w:t>multiple partners</w:t>
      </w:r>
      <w:r w:rsidR="00223F4A">
        <w:t xml:space="preserve"> for</w:t>
      </w:r>
      <w:r w:rsidR="005F1EDD" w:rsidRPr="00EA2C7B">
        <w:t xml:space="preserve">: </w:t>
      </w:r>
    </w:p>
    <w:p w14:paraId="5860CD95" w14:textId="52059680" w:rsidR="005F1EDD" w:rsidRPr="00EA2C7B" w:rsidRDefault="005F1EDD" w:rsidP="00E14791">
      <w:pPr>
        <w:pStyle w:val="ListBullet"/>
        <w:numPr>
          <w:ilvl w:val="1"/>
          <w:numId w:val="23"/>
        </w:numPr>
      </w:pPr>
      <w:r w:rsidRPr="00EA2C7B">
        <w:t>expertise and the requisite skill in the delivery of the priority activities; and</w:t>
      </w:r>
    </w:p>
    <w:p w14:paraId="1A28B852" w14:textId="77777777" w:rsidR="00223F4A" w:rsidRDefault="005F1EDD" w:rsidP="00E14791">
      <w:pPr>
        <w:pStyle w:val="ListBullet"/>
        <w:numPr>
          <w:ilvl w:val="1"/>
          <w:numId w:val="23"/>
        </w:numPr>
      </w:pPr>
      <w:r w:rsidRPr="00EA2C7B">
        <w:t>specialisation</w:t>
      </w:r>
      <w:r w:rsidRPr="00223F4A">
        <w:t xml:space="preserve"> and coverage of the disability and tertiary sector, including higher education and vocational education and training.</w:t>
      </w:r>
    </w:p>
    <w:p w14:paraId="72D25980" w14:textId="06D35B1E" w:rsidR="005F1EDD" w:rsidRPr="00223F4A" w:rsidRDefault="00223F4A" w:rsidP="00E14791">
      <w:pPr>
        <w:pStyle w:val="ListBullet"/>
      </w:pPr>
      <w:r>
        <w:t>The a</w:t>
      </w:r>
      <w:r w:rsidR="005F1EDD" w:rsidRPr="00223F4A">
        <w:t xml:space="preserve">bility to support national program activities, </w:t>
      </w:r>
      <w:r w:rsidR="00934DF6">
        <w:t>where required</w:t>
      </w:r>
      <w:r w:rsidR="005F1EDD" w:rsidRPr="00223F4A">
        <w:t xml:space="preserve">. </w:t>
      </w:r>
    </w:p>
    <w:p w14:paraId="0AC06D87" w14:textId="55A2D989" w:rsidR="005F1EDD" w:rsidRPr="00223F4A" w:rsidRDefault="00223F4A" w:rsidP="00E14791">
      <w:pPr>
        <w:pStyle w:val="ListBullet"/>
      </w:pPr>
      <w:r>
        <w:t>R</w:t>
      </w:r>
      <w:r w:rsidR="005F1EDD" w:rsidRPr="00223F4A">
        <w:t xml:space="preserve">etaining a discrete focus on students with disability in the tertiary sector to ensure it is not </w:t>
      </w:r>
      <w:r w:rsidR="007A3A0A">
        <w:t>diverted</w:t>
      </w:r>
      <w:r w:rsidR="007A3A0A" w:rsidRPr="00223F4A">
        <w:t xml:space="preserve"> </w:t>
      </w:r>
      <w:r w:rsidR="005F1EDD" w:rsidRPr="00223F4A">
        <w:t xml:space="preserve">by other priorities. </w:t>
      </w:r>
    </w:p>
    <w:p w14:paraId="1336886C" w14:textId="0D01D162" w:rsidR="005F1EDD" w:rsidRPr="00223F4A" w:rsidRDefault="00223F4A" w:rsidP="00E14791">
      <w:pPr>
        <w:pStyle w:val="ListBullet"/>
      </w:pPr>
      <w:r>
        <w:t>D</w:t>
      </w:r>
      <w:r w:rsidR="005F1EDD" w:rsidRPr="00223F4A">
        <w:t>emonstrate</w:t>
      </w:r>
      <w:r>
        <w:t xml:space="preserve">d ability for the partner to </w:t>
      </w:r>
      <w:r w:rsidR="005F1EDD" w:rsidRPr="00223F4A">
        <w:t xml:space="preserve">work collaboratively to support national coordination and reporting across the program; and their connection to the broader sector and how this supports the impact of program activities. </w:t>
      </w:r>
    </w:p>
    <w:p w14:paraId="2E1C4970" w14:textId="77DC3239" w:rsidR="005F1EDD" w:rsidRPr="00223F4A" w:rsidRDefault="008A551D" w:rsidP="00E14791">
      <w:pPr>
        <w:pStyle w:val="ListBullet"/>
      </w:pPr>
      <w:r>
        <w:t xml:space="preserve">The need </w:t>
      </w:r>
      <w:r w:rsidR="005F1EDD" w:rsidRPr="00223F4A">
        <w:t xml:space="preserve">to review any partnership arrangement </w:t>
      </w:r>
      <w:r w:rsidR="009B4597">
        <w:t xml:space="preserve">to ensure it continues to meet the program priorities. </w:t>
      </w:r>
    </w:p>
    <w:p w14:paraId="0E3A1BFE" w14:textId="77777777" w:rsidR="005F1EDD" w:rsidRDefault="005F1EDD" w:rsidP="00E14791">
      <w:pPr>
        <w:pStyle w:val="ListBullet"/>
        <w:numPr>
          <w:ilvl w:val="0"/>
          <w:numId w:val="0"/>
        </w:numPr>
      </w:pPr>
    </w:p>
    <w:p w14:paraId="3F4C9498" w14:textId="268AF58C" w:rsidR="00161BB3" w:rsidRPr="00161BB3" w:rsidRDefault="00161BB3" w:rsidP="00161BB3">
      <w:pPr>
        <w:spacing w:before="0"/>
        <w:rPr>
          <w:rFonts w:asciiTheme="minorHAnsi" w:hAnsiTheme="minorHAnsi" w:cstheme="minorHAnsi"/>
          <w:b/>
          <w:bCs/>
          <w:u w:val="single"/>
        </w:rPr>
      </w:pPr>
      <w:r w:rsidRPr="00161BB3">
        <w:rPr>
          <w:rFonts w:asciiTheme="minorHAnsi" w:hAnsiTheme="minorHAnsi" w:cstheme="minorHAnsi"/>
          <w:b/>
          <w:bCs/>
          <w:u w:val="single"/>
        </w:rPr>
        <w:t>Priorities for the next three years</w:t>
      </w:r>
    </w:p>
    <w:p w14:paraId="36B436C0" w14:textId="799355FC" w:rsidR="00CC4057" w:rsidRPr="00CC4057" w:rsidRDefault="00161BB3" w:rsidP="00CC4057">
      <w:pPr>
        <w:spacing w:before="0"/>
        <w:rPr>
          <w:rFonts w:asciiTheme="minorHAnsi" w:hAnsiTheme="minorHAnsi" w:cstheme="minorHAnsi"/>
        </w:rPr>
      </w:pPr>
      <w:r>
        <w:rPr>
          <w:rFonts w:asciiTheme="minorHAnsi" w:hAnsiTheme="minorHAnsi" w:cstheme="minorHAnsi"/>
        </w:rPr>
        <w:t xml:space="preserve">We </w:t>
      </w:r>
      <w:r w:rsidR="00CC4057" w:rsidRPr="00CC4057">
        <w:rPr>
          <w:rFonts w:asciiTheme="minorHAnsi" w:hAnsiTheme="minorHAnsi" w:cstheme="minorHAnsi"/>
        </w:rPr>
        <w:t>recommend the following priorit</w:t>
      </w:r>
      <w:r w:rsidR="00286A37">
        <w:rPr>
          <w:rFonts w:asciiTheme="minorHAnsi" w:hAnsiTheme="minorHAnsi" w:cstheme="minorHAnsi"/>
        </w:rPr>
        <w:t>ies</w:t>
      </w:r>
      <w:r w:rsidR="000C0F4B">
        <w:rPr>
          <w:rFonts w:asciiTheme="minorHAnsi" w:hAnsiTheme="minorHAnsi" w:cstheme="minorHAnsi"/>
        </w:rPr>
        <w:t xml:space="preserve"> </w:t>
      </w:r>
      <w:r w:rsidR="007A3A0A">
        <w:rPr>
          <w:rFonts w:asciiTheme="minorHAnsi" w:hAnsiTheme="minorHAnsi" w:cstheme="minorHAnsi"/>
        </w:rPr>
        <w:t xml:space="preserve">be </w:t>
      </w:r>
      <w:r w:rsidR="00D41F24">
        <w:rPr>
          <w:rFonts w:asciiTheme="minorHAnsi" w:hAnsiTheme="minorHAnsi" w:cstheme="minorHAnsi"/>
        </w:rPr>
        <w:t>used as a basis to form an</w:t>
      </w:r>
      <w:r w:rsidR="000C0F4B">
        <w:rPr>
          <w:rFonts w:asciiTheme="minorHAnsi" w:hAnsiTheme="minorHAnsi" w:cstheme="minorHAnsi"/>
        </w:rPr>
        <w:t xml:space="preserve"> </w:t>
      </w:r>
      <w:r w:rsidR="00877977">
        <w:rPr>
          <w:rFonts w:asciiTheme="minorHAnsi" w:hAnsiTheme="minorHAnsi" w:cstheme="minorHAnsi"/>
        </w:rPr>
        <w:t xml:space="preserve">integrated program </w:t>
      </w:r>
      <w:r w:rsidR="00D41F24">
        <w:rPr>
          <w:rFonts w:asciiTheme="minorHAnsi" w:hAnsiTheme="minorHAnsi" w:cstheme="minorHAnsi"/>
        </w:rPr>
        <w:t>for work. A</w:t>
      </w:r>
      <w:r w:rsidR="00D17A47">
        <w:rPr>
          <w:rFonts w:asciiTheme="minorHAnsi" w:hAnsiTheme="minorHAnsi" w:cstheme="minorHAnsi"/>
        </w:rPr>
        <w:t xml:space="preserve"> Program Logic is </w:t>
      </w:r>
      <w:r w:rsidR="00986678">
        <w:rPr>
          <w:rFonts w:asciiTheme="minorHAnsi" w:hAnsiTheme="minorHAnsi" w:cstheme="minorHAnsi"/>
        </w:rPr>
        <w:t>contained within the report</w:t>
      </w:r>
      <w:r w:rsidR="00877977">
        <w:rPr>
          <w:rFonts w:asciiTheme="minorHAnsi" w:hAnsiTheme="minorHAnsi" w:cstheme="minorHAnsi"/>
        </w:rPr>
        <w:t>.</w:t>
      </w:r>
    </w:p>
    <w:p w14:paraId="3AA53CD7" w14:textId="77777777" w:rsidR="00CC4057" w:rsidRPr="00CC4057" w:rsidRDefault="00CC4057" w:rsidP="008E285B">
      <w:pPr>
        <w:ind w:left="709" w:hanging="709"/>
        <w:jc w:val="left"/>
      </w:pPr>
      <w:r w:rsidRPr="00CC4057">
        <w:t>1.</w:t>
      </w:r>
      <w:r w:rsidRPr="00CC4057">
        <w:tab/>
        <w:t xml:space="preserve">Strategically connect and leverage the national tertiary equity disability ecosystem to support inclusive practices through establishing a tertiary disability equity ‘backbone’;  </w:t>
      </w:r>
    </w:p>
    <w:p w14:paraId="701BDCD1" w14:textId="0DDE4466" w:rsidR="00CC4057" w:rsidRPr="00CC4057" w:rsidRDefault="00CC4057" w:rsidP="008E285B">
      <w:pPr>
        <w:ind w:left="709" w:hanging="709"/>
        <w:jc w:val="left"/>
      </w:pPr>
      <w:r w:rsidRPr="00CC4057">
        <w:t>2.</w:t>
      </w:r>
      <w:r w:rsidRPr="00CC4057">
        <w:tab/>
        <w:t>Support tertiary institution</w:t>
      </w:r>
      <w:r w:rsidR="00777C92">
        <w:t>s</w:t>
      </w:r>
      <w:r w:rsidRPr="00CC4057">
        <w:t xml:space="preserve"> </w:t>
      </w:r>
      <w:bookmarkStart w:id="2" w:name="_Hlk95747570"/>
      <w:r w:rsidR="002410CC">
        <w:t>to translate</w:t>
      </w:r>
      <w:r w:rsidR="005E7AC4">
        <w:t xml:space="preserve"> information </w:t>
      </w:r>
      <w:r w:rsidR="005621FE">
        <w:t xml:space="preserve">and research </w:t>
      </w:r>
      <w:r w:rsidR="005E7AC4">
        <w:t xml:space="preserve">into </w:t>
      </w:r>
      <w:bookmarkEnd w:id="2"/>
      <w:r w:rsidRPr="00CC4057">
        <w:t>practice via a consulting approach; and</w:t>
      </w:r>
    </w:p>
    <w:p w14:paraId="66508BA1" w14:textId="77F34086" w:rsidR="005F1EDD" w:rsidRPr="005F1EDD" w:rsidRDefault="00CC4057" w:rsidP="008E285B">
      <w:pPr>
        <w:jc w:val="left"/>
      </w:pPr>
      <w:r w:rsidRPr="00CC4057">
        <w:t>3.</w:t>
      </w:r>
      <w:r w:rsidRPr="00CC4057">
        <w:tab/>
        <w:t>Continue to progress universal design for learning in tertiary settings.</w:t>
      </w:r>
    </w:p>
    <w:p w14:paraId="3B098DB5" w14:textId="77777777" w:rsidR="005F1EDD" w:rsidRPr="005F1EDD" w:rsidRDefault="005F1EDD" w:rsidP="005F1EDD">
      <w:pPr>
        <w:spacing w:before="0"/>
        <w:rPr>
          <w:rFonts w:asciiTheme="minorHAnsi" w:hAnsiTheme="minorHAnsi" w:cstheme="minorHAnsi"/>
        </w:rPr>
      </w:pPr>
    </w:p>
    <w:p w14:paraId="788E3A02" w14:textId="3A5CEAAF" w:rsidR="005F1EDD" w:rsidRPr="005F1EDD" w:rsidRDefault="00C91E19" w:rsidP="005F1EDD">
      <w:pPr>
        <w:spacing w:before="0"/>
        <w:rPr>
          <w:rFonts w:asciiTheme="minorHAnsi" w:hAnsiTheme="minorHAnsi" w:cstheme="minorHAnsi"/>
        </w:rPr>
      </w:pPr>
      <w:r>
        <w:rPr>
          <w:rFonts w:asciiTheme="minorHAnsi" w:hAnsiTheme="minorHAnsi" w:cstheme="minorHAnsi"/>
        </w:rPr>
        <w:t>It is recommended that</w:t>
      </w:r>
      <w:r w:rsidR="0081084E">
        <w:rPr>
          <w:rFonts w:asciiTheme="minorHAnsi" w:hAnsiTheme="minorHAnsi" w:cstheme="minorHAnsi"/>
        </w:rPr>
        <w:t xml:space="preserve"> changes in the program</w:t>
      </w:r>
      <w:r w:rsidR="007E5EBB">
        <w:rPr>
          <w:rFonts w:asciiTheme="minorHAnsi" w:hAnsiTheme="minorHAnsi" w:cstheme="minorHAnsi"/>
        </w:rPr>
        <w:t xml:space="preserve"> model</w:t>
      </w:r>
      <w:r w:rsidR="0081084E">
        <w:rPr>
          <w:rFonts w:asciiTheme="minorHAnsi" w:hAnsiTheme="minorHAnsi" w:cstheme="minorHAnsi"/>
        </w:rPr>
        <w:t xml:space="preserve">, including </w:t>
      </w:r>
      <w:r w:rsidR="00C16186">
        <w:rPr>
          <w:rFonts w:asciiTheme="minorHAnsi" w:hAnsiTheme="minorHAnsi" w:cstheme="minorHAnsi"/>
        </w:rPr>
        <w:t>its</w:t>
      </w:r>
      <w:r w:rsidR="0081084E">
        <w:rPr>
          <w:rFonts w:asciiTheme="minorHAnsi" w:hAnsiTheme="minorHAnsi" w:cstheme="minorHAnsi"/>
        </w:rPr>
        <w:t xml:space="preserve"> leadership</w:t>
      </w:r>
      <w:r w:rsidR="00AA5E6E">
        <w:rPr>
          <w:rFonts w:asciiTheme="minorHAnsi" w:hAnsiTheme="minorHAnsi" w:cstheme="minorHAnsi"/>
        </w:rPr>
        <w:t xml:space="preserve"> str</w:t>
      </w:r>
      <w:r w:rsidR="00C16186">
        <w:rPr>
          <w:rFonts w:asciiTheme="minorHAnsi" w:hAnsiTheme="minorHAnsi" w:cstheme="minorHAnsi"/>
        </w:rPr>
        <w:t>ucture</w:t>
      </w:r>
      <w:r w:rsidR="0081084E">
        <w:rPr>
          <w:rFonts w:asciiTheme="minorHAnsi" w:hAnsiTheme="minorHAnsi" w:cstheme="minorHAnsi"/>
        </w:rPr>
        <w:t xml:space="preserve"> and </w:t>
      </w:r>
      <w:r w:rsidR="009333E2">
        <w:rPr>
          <w:rFonts w:asciiTheme="minorHAnsi" w:hAnsiTheme="minorHAnsi" w:cstheme="minorHAnsi"/>
        </w:rPr>
        <w:t>activities</w:t>
      </w:r>
      <w:r w:rsidR="00C16186">
        <w:rPr>
          <w:rFonts w:asciiTheme="minorHAnsi" w:hAnsiTheme="minorHAnsi" w:cstheme="minorHAnsi"/>
        </w:rPr>
        <w:t xml:space="preserve">, be undertaken with careful consideration of </w:t>
      </w:r>
      <w:r w:rsidR="00DC644A">
        <w:rPr>
          <w:rFonts w:asciiTheme="minorHAnsi" w:hAnsiTheme="minorHAnsi" w:cstheme="minorHAnsi"/>
        </w:rPr>
        <w:t>change impacts</w:t>
      </w:r>
      <w:r w:rsidR="00BD5878">
        <w:rPr>
          <w:rFonts w:asciiTheme="minorHAnsi" w:hAnsiTheme="minorHAnsi" w:cstheme="minorHAnsi"/>
        </w:rPr>
        <w:t>. This might include a staged approach</w:t>
      </w:r>
      <w:r w:rsidR="00C31982">
        <w:rPr>
          <w:rFonts w:asciiTheme="minorHAnsi" w:hAnsiTheme="minorHAnsi" w:cstheme="minorHAnsi"/>
        </w:rPr>
        <w:t xml:space="preserve"> where further co-creation </w:t>
      </w:r>
      <w:r w:rsidR="00B841E6">
        <w:rPr>
          <w:rFonts w:asciiTheme="minorHAnsi" w:hAnsiTheme="minorHAnsi" w:cstheme="minorHAnsi"/>
        </w:rPr>
        <w:t>with stakeholders occur</w:t>
      </w:r>
      <w:r w:rsidR="007E5259">
        <w:rPr>
          <w:rFonts w:asciiTheme="minorHAnsi" w:hAnsiTheme="minorHAnsi" w:cstheme="minorHAnsi"/>
        </w:rPr>
        <w:t>s</w:t>
      </w:r>
      <w:r w:rsidR="00B841E6">
        <w:rPr>
          <w:rFonts w:asciiTheme="minorHAnsi" w:hAnsiTheme="minorHAnsi" w:cstheme="minorHAnsi"/>
        </w:rPr>
        <w:t>, and a plann</w:t>
      </w:r>
      <w:r w:rsidR="001D48D4">
        <w:rPr>
          <w:rFonts w:asciiTheme="minorHAnsi" w:hAnsiTheme="minorHAnsi" w:cstheme="minorHAnsi"/>
        </w:rPr>
        <w:t xml:space="preserve">ed approach to </w:t>
      </w:r>
      <w:r w:rsidR="00822D46">
        <w:rPr>
          <w:rFonts w:asciiTheme="minorHAnsi" w:hAnsiTheme="minorHAnsi" w:cstheme="minorHAnsi"/>
        </w:rPr>
        <w:t xml:space="preserve">skills and </w:t>
      </w:r>
      <w:r w:rsidR="001D48D4">
        <w:rPr>
          <w:rFonts w:asciiTheme="minorHAnsi" w:hAnsiTheme="minorHAnsi" w:cstheme="minorHAnsi"/>
        </w:rPr>
        <w:t>knowledge</w:t>
      </w:r>
      <w:r w:rsidR="00171F58">
        <w:rPr>
          <w:rFonts w:asciiTheme="minorHAnsi" w:hAnsiTheme="minorHAnsi" w:cstheme="minorHAnsi"/>
        </w:rPr>
        <w:t xml:space="preserve"> retention</w:t>
      </w:r>
      <w:r w:rsidR="00844CB1">
        <w:rPr>
          <w:rFonts w:asciiTheme="minorHAnsi" w:hAnsiTheme="minorHAnsi" w:cstheme="minorHAnsi"/>
        </w:rPr>
        <w:t xml:space="preserve"> and</w:t>
      </w:r>
      <w:r w:rsidR="00F21322">
        <w:rPr>
          <w:rFonts w:asciiTheme="minorHAnsi" w:hAnsiTheme="minorHAnsi" w:cstheme="minorHAnsi"/>
        </w:rPr>
        <w:t xml:space="preserve"> </w:t>
      </w:r>
      <w:r w:rsidR="00844CB1">
        <w:rPr>
          <w:rFonts w:asciiTheme="minorHAnsi" w:hAnsiTheme="minorHAnsi" w:cstheme="minorHAnsi"/>
        </w:rPr>
        <w:t>/</w:t>
      </w:r>
      <w:r w:rsidR="00F21322">
        <w:rPr>
          <w:rFonts w:asciiTheme="minorHAnsi" w:hAnsiTheme="minorHAnsi" w:cstheme="minorHAnsi"/>
        </w:rPr>
        <w:t xml:space="preserve"> </w:t>
      </w:r>
      <w:r w:rsidR="00844CB1">
        <w:rPr>
          <w:rFonts w:asciiTheme="minorHAnsi" w:hAnsiTheme="minorHAnsi" w:cstheme="minorHAnsi"/>
        </w:rPr>
        <w:t xml:space="preserve">or </w:t>
      </w:r>
      <w:r w:rsidR="00171F58">
        <w:rPr>
          <w:rFonts w:asciiTheme="minorHAnsi" w:hAnsiTheme="minorHAnsi" w:cstheme="minorHAnsi"/>
        </w:rPr>
        <w:t xml:space="preserve">system </w:t>
      </w:r>
      <w:r w:rsidR="00844CB1">
        <w:rPr>
          <w:rFonts w:asciiTheme="minorHAnsi" w:hAnsiTheme="minorHAnsi" w:cstheme="minorHAnsi"/>
        </w:rPr>
        <w:t>centralisation.</w:t>
      </w:r>
    </w:p>
    <w:p w14:paraId="652351A4" w14:textId="6240660A" w:rsidR="006F0B65" w:rsidRDefault="000241EA" w:rsidP="006F0B65">
      <w:pPr>
        <w:pStyle w:val="Heading1"/>
      </w:pPr>
      <w:bookmarkStart w:id="3" w:name="_Toc95836722"/>
      <w:bookmarkStart w:id="4" w:name="_Ref347919666"/>
      <w:r>
        <w:t>Introduction</w:t>
      </w:r>
      <w:bookmarkEnd w:id="3"/>
    </w:p>
    <w:p w14:paraId="17000069" w14:textId="2FC6D58D" w:rsidR="002F5675" w:rsidRDefault="00643132" w:rsidP="002F5675">
      <w:pPr>
        <w:pStyle w:val="Heading2"/>
      </w:pPr>
      <w:bookmarkStart w:id="5" w:name="_Toc95836723"/>
      <w:r>
        <w:t xml:space="preserve">Project background and </w:t>
      </w:r>
      <w:r w:rsidR="00715083">
        <w:t>objectives</w:t>
      </w:r>
      <w:bookmarkEnd w:id="5"/>
    </w:p>
    <w:p w14:paraId="74FCFC59" w14:textId="6E65BCA4" w:rsidR="008C32CF" w:rsidRDefault="008C32CF" w:rsidP="008C32CF">
      <w:pPr>
        <w:rPr>
          <w:b/>
        </w:rPr>
      </w:pPr>
      <w:r w:rsidRPr="008C32CF">
        <w:t xml:space="preserve">The Department of Education, Skills and Employment (the </w:t>
      </w:r>
      <w:r w:rsidR="008569FC">
        <w:t>d</w:t>
      </w:r>
      <w:r w:rsidRPr="008C32CF">
        <w:t xml:space="preserve">epartment) works to ensure Australians can experience the </w:t>
      </w:r>
      <w:r w:rsidR="00C047F8">
        <w:t xml:space="preserve">social </w:t>
      </w:r>
      <w:r w:rsidRPr="008C32CF">
        <w:t>wellbeing and economic benefit that quality education, training and employment provide</w:t>
      </w:r>
      <w:r w:rsidR="001E719F">
        <w:t>,</w:t>
      </w:r>
      <w:r w:rsidRPr="008C32CF">
        <w:t xml:space="preserve"> by actively supporting ministers to deliver Australian Government policies and priorities.</w:t>
      </w:r>
    </w:p>
    <w:p w14:paraId="211BAF89" w14:textId="04F2624E" w:rsidR="008C32CF" w:rsidRPr="008C32CF" w:rsidRDefault="008C32CF" w:rsidP="008C18E1">
      <w:r w:rsidRPr="008C32CF">
        <w:t xml:space="preserve">This purpose is achieved by </w:t>
      </w:r>
      <w:r w:rsidR="008569FC">
        <w:t>the department</w:t>
      </w:r>
      <w:r w:rsidRPr="008C32CF">
        <w:t xml:space="preserve"> through the delivery of outcomes, </w:t>
      </w:r>
      <w:r w:rsidR="00C127FB">
        <w:t>including</w:t>
      </w:r>
      <w:r w:rsidR="00593445">
        <w:t xml:space="preserve"> </w:t>
      </w:r>
      <w:r w:rsidR="00460493">
        <w:t xml:space="preserve">a </w:t>
      </w:r>
      <w:r w:rsidR="00593445">
        <w:t>focus on</w:t>
      </w:r>
      <w:r w:rsidRPr="008C32CF">
        <w:t xml:space="preserve"> </w:t>
      </w:r>
      <w:r w:rsidR="00DA7F8B">
        <w:t>p</w:t>
      </w:r>
      <w:r w:rsidR="00DA7F8B" w:rsidRPr="00DA7F8B">
        <w:t>romot</w:t>
      </w:r>
      <w:r w:rsidR="00DA7F8B">
        <w:t xml:space="preserve">ing </w:t>
      </w:r>
      <w:r w:rsidR="00DA7F8B" w:rsidRPr="00DA7F8B">
        <w:t>growth in economic productivity and social wellbeing through access</w:t>
      </w:r>
      <w:r w:rsidR="00DA7F8B">
        <w:t xml:space="preserve"> to </w:t>
      </w:r>
      <w:r w:rsidRPr="008C32CF">
        <w:t xml:space="preserve">quality </w:t>
      </w:r>
      <w:r w:rsidR="00FD2DB2">
        <w:t xml:space="preserve">skills </w:t>
      </w:r>
      <w:r w:rsidR="00593445">
        <w:t xml:space="preserve">and training </w:t>
      </w:r>
      <w:r w:rsidR="00C127FB">
        <w:t xml:space="preserve">and </w:t>
      </w:r>
      <w:r w:rsidRPr="008C32CF">
        <w:t>higher education</w:t>
      </w:r>
      <w:r w:rsidR="00474915">
        <w:t xml:space="preserve">, and </w:t>
      </w:r>
      <w:r w:rsidR="0058018E">
        <w:t xml:space="preserve">policy </w:t>
      </w:r>
      <w:r w:rsidR="009F5728">
        <w:t xml:space="preserve">and programs </w:t>
      </w:r>
      <w:r w:rsidR="0058018E">
        <w:t>that</w:t>
      </w:r>
      <w:r w:rsidR="002213B5">
        <w:t xml:space="preserve"> assist job seekers into work and meet employer needs.</w:t>
      </w:r>
      <w:r w:rsidRPr="008C32CF">
        <w:t xml:space="preserve">  A key</w:t>
      </w:r>
      <w:r w:rsidR="000E5532">
        <w:t xml:space="preserve"> Government</w:t>
      </w:r>
      <w:r w:rsidRPr="008C32CF">
        <w:t xml:space="preserve"> </w:t>
      </w:r>
      <w:r w:rsidR="009F5728">
        <w:t xml:space="preserve">priority area is to </w:t>
      </w:r>
      <w:r w:rsidR="00DD697B">
        <w:t xml:space="preserve">ensure </w:t>
      </w:r>
      <w:r w:rsidR="00DD697B" w:rsidRPr="008C32CF">
        <w:t>students</w:t>
      </w:r>
      <w:r w:rsidR="00DD697B">
        <w:t xml:space="preserve"> with disability can access and participate in education on the same basis as students without disability</w:t>
      </w:r>
      <w:r w:rsidRPr="008C32CF">
        <w:t>.</w:t>
      </w:r>
      <w:r w:rsidR="009A7D04">
        <w:t xml:space="preserve"> </w:t>
      </w:r>
    </w:p>
    <w:p w14:paraId="3E29D630" w14:textId="66CD3A71" w:rsidR="008C32CF" w:rsidRPr="008C32CF" w:rsidRDefault="008C32CF" w:rsidP="008C32CF">
      <w:r w:rsidRPr="008C32CF">
        <w:t xml:space="preserve">The National Disability Coordination Officer (NDCO) program works strategically to assist people with disability access and participate in Higher Education and Vocational Education and Training (‘Tertiary Education’) and subsequent employment, through a national network of regionally based NDCOs. The network of 30 NDCOs work with a range of stakeholders (schools, TAFE institutes, employment agencies and disability services) to improve coordination and collaboration among service providers and build their capability to support people with disability. </w:t>
      </w:r>
    </w:p>
    <w:p w14:paraId="660ACAD9" w14:textId="0288A969" w:rsidR="008C32CF" w:rsidRDefault="008C32CF" w:rsidP="008C32CF">
      <w:r w:rsidRPr="008C32CF">
        <w:t xml:space="preserve">These NDCOs are recruited and ‘hosted’ by a lead organisation that has the contractual relationship with </w:t>
      </w:r>
      <w:r w:rsidR="008569FC">
        <w:t>the department</w:t>
      </w:r>
      <w:r w:rsidRPr="008C32CF">
        <w:t>. Currently there are 15 Host Providers nationally that represent university, TAFE, employment or community services.</w:t>
      </w:r>
    </w:p>
    <w:p w14:paraId="42B71F4E" w14:textId="77777777" w:rsidR="00003152" w:rsidRPr="00594758" w:rsidRDefault="00003152" w:rsidP="00003152">
      <w:pPr>
        <w:pStyle w:val="Heading3"/>
      </w:pPr>
      <w:bookmarkStart w:id="6" w:name="_Toc95836724"/>
      <w:r>
        <w:t>NDCO p</w:t>
      </w:r>
      <w:r w:rsidRPr="00594758">
        <w:t xml:space="preserve">rogram </w:t>
      </w:r>
      <w:r>
        <w:t>aims</w:t>
      </w:r>
      <w:r w:rsidRPr="00594758">
        <w:t xml:space="preserve"> and </w:t>
      </w:r>
      <w:r>
        <w:t>o</w:t>
      </w:r>
      <w:r w:rsidRPr="00594758">
        <w:t>utcomes</w:t>
      </w:r>
      <w:bookmarkEnd w:id="6"/>
    </w:p>
    <w:p w14:paraId="0638C1A4" w14:textId="77777777" w:rsidR="00003152" w:rsidRDefault="00003152" w:rsidP="00003152">
      <w:r>
        <w:t xml:space="preserve">The 2016 NDCO Program Guidelines articulate the three key objectives for the program, namely to: </w:t>
      </w:r>
    </w:p>
    <w:p w14:paraId="4A695CEF" w14:textId="093738CF" w:rsidR="00003152" w:rsidRDefault="00003152" w:rsidP="00E14791">
      <w:pPr>
        <w:pStyle w:val="ListBullet"/>
      </w:pPr>
      <w:r>
        <w:t xml:space="preserve">improve linkages between schools, </w:t>
      </w:r>
      <w:r w:rsidR="00BF2F76">
        <w:t>t</w:t>
      </w:r>
      <w:r>
        <w:t xml:space="preserve">ertiary </w:t>
      </w:r>
      <w:r w:rsidR="00BF2F76">
        <w:t>e</w:t>
      </w:r>
      <w:r>
        <w:t xml:space="preserve">ducation providers, employment service providers and providers of disability programs and assistance at all government levels; </w:t>
      </w:r>
    </w:p>
    <w:p w14:paraId="471F2B0B" w14:textId="5B34C7DB" w:rsidR="00003152" w:rsidRDefault="00003152" w:rsidP="00E14791">
      <w:pPr>
        <w:pStyle w:val="ListBullet"/>
      </w:pPr>
      <w:r>
        <w:t xml:space="preserve">improve transitions for people with disability between school / community and </w:t>
      </w:r>
      <w:r w:rsidR="00B2325C">
        <w:t>t</w:t>
      </w:r>
      <w:r>
        <w:t xml:space="preserve">ertiary </w:t>
      </w:r>
      <w:r w:rsidR="00B2325C">
        <w:t>e</w:t>
      </w:r>
      <w:r>
        <w:t xml:space="preserve">ducation, and then to subsequent employment; and </w:t>
      </w:r>
    </w:p>
    <w:p w14:paraId="11C32642" w14:textId="52C67E06" w:rsidR="00003152" w:rsidRDefault="00003152" w:rsidP="00E14791">
      <w:pPr>
        <w:pStyle w:val="ListBullet"/>
      </w:pPr>
      <w:r>
        <w:t xml:space="preserve">improve participation by people with disability in </w:t>
      </w:r>
      <w:r w:rsidR="00B2325C">
        <w:t>t</w:t>
      </w:r>
      <w:r>
        <w:t xml:space="preserve">ertiary </w:t>
      </w:r>
      <w:r w:rsidR="00B2325C">
        <w:t>e</w:t>
      </w:r>
      <w:r>
        <w:t xml:space="preserve">ducation and subsequent employment. </w:t>
      </w:r>
    </w:p>
    <w:p w14:paraId="104B0DE7" w14:textId="197C1A03" w:rsidR="0010012C" w:rsidRDefault="0010012C" w:rsidP="0072526F">
      <w:r>
        <w:t xml:space="preserve">By focusing on the above program </w:t>
      </w:r>
      <w:r w:rsidR="0053390E">
        <w:t>objectives</w:t>
      </w:r>
      <w:r>
        <w:t xml:space="preserve"> NDCOs work towards achieving the following four program outcomes:</w:t>
      </w:r>
    </w:p>
    <w:p w14:paraId="2A6106B9" w14:textId="38EED2DE" w:rsidR="0010012C" w:rsidRDefault="0010012C" w:rsidP="00E14791">
      <w:pPr>
        <w:pStyle w:val="ListBullet"/>
      </w:pPr>
      <w:r>
        <w:t xml:space="preserve">the services and activities which facilitate transitions and participation from </w:t>
      </w:r>
      <w:r w:rsidR="00114691">
        <w:t>s</w:t>
      </w:r>
      <w:r>
        <w:t xml:space="preserve">chool to </w:t>
      </w:r>
      <w:r w:rsidR="00114691">
        <w:t>t</w:t>
      </w:r>
      <w:r>
        <w:t xml:space="preserve">ertiary </w:t>
      </w:r>
      <w:r w:rsidR="00114691">
        <w:t>e</w:t>
      </w:r>
      <w:r>
        <w:t xml:space="preserve">ducation and subsequent employment for people with disability are coordinated; </w:t>
      </w:r>
    </w:p>
    <w:p w14:paraId="674BBCB3" w14:textId="7AC1D3F9" w:rsidR="0010012C" w:rsidRDefault="0010012C" w:rsidP="00E14791">
      <w:pPr>
        <w:pStyle w:val="ListBullet"/>
      </w:pPr>
      <w:r>
        <w:t xml:space="preserve">local networks collaborate to identify and overcome barriers in transitions and participation in </w:t>
      </w:r>
      <w:r w:rsidR="0015385A">
        <w:t>t</w:t>
      </w:r>
      <w:r>
        <w:t xml:space="preserve">ertiary </w:t>
      </w:r>
      <w:r w:rsidR="0015385A">
        <w:t>e</w:t>
      </w:r>
      <w:r>
        <w:t xml:space="preserve">ducation and subsequent employment for people with disability; </w:t>
      </w:r>
    </w:p>
    <w:p w14:paraId="4712240A" w14:textId="54EF03E1" w:rsidR="0010012C" w:rsidRDefault="0010012C" w:rsidP="00E14791">
      <w:pPr>
        <w:pStyle w:val="ListBullet"/>
      </w:pPr>
      <w:r>
        <w:t xml:space="preserve">stakeholders have the knowledge and capability to support transitions and participation from </w:t>
      </w:r>
      <w:r w:rsidR="004F2754">
        <w:t>s</w:t>
      </w:r>
      <w:r>
        <w:t xml:space="preserve">chool to </w:t>
      </w:r>
      <w:r w:rsidR="004F2754">
        <w:t>t</w:t>
      </w:r>
      <w:r>
        <w:t xml:space="preserve">ertiary </w:t>
      </w:r>
      <w:r w:rsidR="004F2754">
        <w:t>e</w:t>
      </w:r>
      <w:r>
        <w:t>ducation and subsequent employment for people with disability; and</w:t>
      </w:r>
    </w:p>
    <w:p w14:paraId="3F89B0B1" w14:textId="4E8107B9" w:rsidR="0010012C" w:rsidRDefault="0010012C" w:rsidP="00E14791">
      <w:pPr>
        <w:pStyle w:val="ListBullet"/>
      </w:pPr>
      <w:r w:rsidRPr="008F4BA4">
        <w:t>people</w:t>
      </w:r>
      <w:r>
        <w:t xml:space="preserve"> with disability who have the ability to make decisions about their education and employment are able to do so based on an improved knowledge of their rights and entitlements, supports available, educational options and pathways to employment.</w:t>
      </w:r>
    </w:p>
    <w:p w14:paraId="142F0D81" w14:textId="68062069" w:rsidR="00215A87" w:rsidRDefault="00842B40" w:rsidP="00215A87">
      <w:pPr>
        <w:pStyle w:val="Heading3"/>
      </w:pPr>
      <w:bookmarkStart w:id="7" w:name="_Toc95836725"/>
      <w:r>
        <w:t>Review</w:t>
      </w:r>
      <w:r w:rsidRPr="00022792">
        <w:t xml:space="preserve"> </w:t>
      </w:r>
      <w:r w:rsidR="00215A87" w:rsidRPr="00022792">
        <w:t>objectives</w:t>
      </w:r>
      <w:bookmarkEnd w:id="7"/>
    </w:p>
    <w:p w14:paraId="6C25C83B" w14:textId="524A44FD" w:rsidR="00215A87" w:rsidRPr="00741E38" w:rsidRDefault="00215A87" w:rsidP="000E0E77">
      <w:r w:rsidRPr="00741E38">
        <w:t xml:space="preserve">Since 2008, the </w:t>
      </w:r>
      <w:r>
        <w:t>NDCO</w:t>
      </w:r>
      <w:r w:rsidRPr="00741E38">
        <w:t xml:space="preserve"> </w:t>
      </w:r>
      <w:r w:rsidR="008012D5">
        <w:t xml:space="preserve">program </w:t>
      </w:r>
      <w:r w:rsidRPr="00741E38">
        <w:t>has been evaluated several times, most recently in 2011 and 2017.</w:t>
      </w:r>
    </w:p>
    <w:p w14:paraId="007F6C62" w14:textId="77777777" w:rsidR="00215A87" w:rsidRDefault="00215A87" w:rsidP="000E0E77">
      <w:r w:rsidRPr="00741E38">
        <w:t xml:space="preserve">Previous evaluations included recommendations for further review of the </w:t>
      </w:r>
      <w:r>
        <w:t>p</w:t>
      </w:r>
      <w:r w:rsidRPr="00741E38">
        <w:t xml:space="preserve">rogram to ensure continued appropriateness, effectiveness and efficiency, alignment with other government programs such as the National Disability Insurance Scheme (NDIS) and emerging government policy for people with disability, and consideration of available resourcing and funding. </w:t>
      </w:r>
    </w:p>
    <w:p w14:paraId="336DA346" w14:textId="2163238F" w:rsidR="00215A87" w:rsidRDefault="00215A87" w:rsidP="000E0E77">
      <w:r>
        <w:t>This review primarily focuse</w:t>
      </w:r>
      <w:r w:rsidR="00981273">
        <w:t>d</w:t>
      </w:r>
      <w:r>
        <w:t xml:space="preserve"> on the appropriateness of the </w:t>
      </w:r>
      <w:r w:rsidRPr="003D0349">
        <w:t>p</w:t>
      </w:r>
      <w:r>
        <w:t xml:space="preserve">rogram in meeting the </w:t>
      </w:r>
      <w:r w:rsidRPr="00924577">
        <w:t>current and emerging needs of students with disability accessing tertiary education and subsequent employment</w:t>
      </w:r>
      <w:r>
        <w:t xml:space="preserve"> in the current environment. </w:t>
      </w:r>
    </w:p>
    <w:p w14:paraId="01294DB2" w14:textId="77777777" w:rsidR="00A84B18" w:rsidRDefault="00215A87" w:rsidP="000E0E77">
      <w:r>
        <w:t>In the last 12 -24 months there have been a number of major</w:t>
      </w:r>
      <w:r w:rsidRPr="00FD74BE">
        <w:t xml:space="preserve"> review</w:t>
      </w:r>
      <w:r>
        <w:t xml:space="preserve"> processes</w:t>
      </w:r>
      <w:r w:rsidRPr="00FD74BE">
        <w:t xml:space="preserve"> taking place</w:t>
      </w:r>
      <w:r>
        <w:t>,</w:t>
      </w:r>
      <w:r w:rsidRPr="00FD74BE">
        <w:t xml:space="preserve"> </w:t>
      </w:r>
      <w:r>
        <w:t>including</w:t>
      </w:r>
      <w:r w:rsidR="00A84B18">
        <w:t>:</w:t>
      </w:r>
    </w:p>
    <w:p w14:paraId="16533E17" w14:textId="63E4D5CC" w:rsidR="00A84B18" w:rsidRDefault="00215A87" w:rsidP="00E2480E">
      <w:pPr>
        <w:pStyle w:val="ListBullet"/>
      </w:pPr>
      <w:r w:rsidRPr="00FD74BE">
        <w:t xml:space="preserve">the </w:t>
      </w:r>
      <w:r>
        <w:t xml:space="preserve">2020 </w:t>
      </w:r>
      <w:r w:rsidRPr="00E2480E">
        <w:t>review</w:t>
      </w:r>
      <w:r w:rsidRPr="00FD74BE">
        <w:t xml:space="preserve"> of the </w:t>
      </w:r>
      <w:r w:rsidRPr="004E097B">
        <w:rPr>
          <w:i/>
        </w:rPr>
        <w:t>Disability Standards for Education 2005</w:t>
      </w:r>
      <w:r>
        <w:t xml:space="preserve"> (the Standards)</w:t>
      </w:r>
      <w:r w:rsidR="009D6BF0">
        <w:t>;</w:t>
      </w:r>
    </w:p>
    <w:p w14:paraId="247007A8" w14:textId="17C2C5C6" w:rsidR="00061A4A" w:rsidRDefault="00215A87" w:rsidP="00E2480E">
      <w:pPr>
        <w:pStyle w:val="ListBullet"/>
      </w:pPr>
      <w:r w:rsidRPr="00FD74BE">
        <w:t xml:space="preserve">the finalisation of </w:t>
      </w:r>
      <w:r w:rsidR="0053390E" w:rsidRPr="00E2480E">
        <w:rPr>
          <w:i/>
          <w:iCs/>
        </w:rPr>
        <w:t>Australi</w:t>
      </w:r>
      <w:r w:rsidR="00E2480E">
        <w:rPr>
          <w:i/>
          <w:iCs/>
        </w:rPr>
        <w:t>a’s</w:t>
      </w:r>
      <w:r w:rsidR="00E2480E">
        <w:rPr>
          <w:i/>
        </w:rPr>
        <w:t xml:space="preserve"> </w:t>
      </w:r>
      <w:r w:rsidRPr="00E2480E">
        <w:rPr>
          <w:i/>
        </w:rPr>
        <w:t>Disability Strategy 2021-2031</w:t>
      </w:r>
      <w:r w:rsidR="00061A4A">
        <w:t>;</w:t>
      </w:r>
      <w:r w:rsidRPr="00FD74BE">
        <w:t xml:space="preserve"> and </w:t>
      </w:r>
    </w:p>
    <w:p w14:paraId="25763B88" w14:textId="77777777" w:rsidR="00061A4A" w:rsidRDefault="00215A87" w:rsidP="00E2480E">
      <w:pPr>
        <w:pStyle w:val="ListBullet"/>
      </w:pPr>
      <w:r w:rsidRPr="00FD74BE">
        <w:t xml:space="preserve">the </w:t>
      </w:r>
      <w:r w:rsidRPr="008F0ACA">
        <w:rPr>
          <w:i/>
        </w:rPr>
        <w:t>Royal Commission into Violence, Abuse, Neglect and Exploitation of People with Disability</w:t>
      </w:r>
      <w:r>
        <w:t xml:space="preserve"> (Disability Royal Commission). </w:t>
      </w:r>
    </w:p>
    <w:p w14:paraId="101D8CB3" w14:textId="650E4C39" w:rsidR="00215A87" w:rsidRDefault="00215A87" w:rsidP="000E0E77">
      <w:r>
        <w:t xml:space="preserve">It is essential to consider the role of the program in this broader context </w:t>
      </w:r>
      <w:r w:rsidR="00475442">
        <w:t>to ensure that</w:t>
      </w:r>
      <w:r>
        <w:t xml:space="preserve"> it remains relevant and maximises its impact</w:t>
      </w:r>
      <w:r w:rsidRPr="00FD74BE">
        <w:t>.</w:t>
      </w:r>
      <w:r>
        <w:t xml:space="preserve"> </w:t>
      </w:r>
    </w:p>
    <w:p w14:paraId="437FBE7F" w14:textId="718D1D69" w:rsidR="00215A87" w:rsidRDefault="00215A87" w:rsidP="000E0E77">
      <w:r>
        <w:t xml:space="preserve">Our specific objectives for this review are presented </w:t>
      </w:r>
      <w:r w:rsidR="00EA08A6">
        <w:t>overleaf</w:t>
      </w:r>
      <w:r w:rsidR="00223BD6">
        <w:t>.</w:t>
      </w:r>
    </w:p>
    <w:p w14:paraId="62892E23" w14:textId="77777777" w:rsidR="000E0E77" w:rsidRDefault="000E0E77" w:rsidP="000E0E77"/>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15A87" w:rsidRPr="00D65E1A" w14:paraId="3EE23478" w14:textId="77777777" w:rsidTr="00805628">
        <w:trPr>
          <w:cantSplit/>
          <w:trHeight w:val="1360"/>
        </w:trPr>
        <w:tc>
          <w:tcPr>
            <w:tcW w:w="9072" w:type="dxa"/>
            <w:shd w:val="clear" w:color="auto" w:fill="1F497D" w:themeFill="text2"/>
            <w:vAlign w:val="center"/>
          </w:tcPr>
          <w:p w14:paraId="16BBD4DF" w14:textId="3FF164F3" w:rsidR="00215A87" w:rsidRPr="00D65E1A" w:rsidRDefault="00215A87" w:rsidP="00FB5442">
            <w:pPr>
              <w:pStyle w:val="AppendicesHeading"/>
              <w:keepNext/>
              <w:spacing w:before="120" w:after="120"/>
              <w:ind w:left="746"/>
              <w:jc w:val="left"/>
              <w:rPr>
                <w:color w:val="FFFFFF" w:themeColor="background1"/>
              </w:rPr>
            </w:pPr>
            <w:r w:rsidRPr="00D65E1A">
              <w:rPr>
                <w:noProof/>
                <w:color w:val="FFFFFF" w:themeColor="background1"/>
              </w:rPr>
              <w:drawing>
                <wp:anchor distT="0" distB="0" distL="114300" distR="114300" simplePos="0" relativeHeight="251658240" behindDoc="0" locked="0" layoutInCell="1" allowOverlap="1" wp14:anchorId="3ED5375B" wp14:editId="14B97128">
                  <wp:simplePos x="0" y="0"/>
                  <wp:positionH relativeFrom="column">
                    <wp:posOffset>-1905</wp:posOffset>
                  </wp:positionH>
                  <wp:positionV relativeFrom="paragraph">
                    <wp:posOffset>76200</wp:posOffset>
                  </wp:positionV>
                  <wp:extent cx="366000" cy="360000"/>
                  <wp:effectExtent l="0" t="0" r="0" b="2540"/>
                  <wp:wrapSquare wrapText="bothSides"/>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a:extLst>
                              <a:ext uri="{C183D7F6-B498-43B3-948B-1728B52AA6E4}">
                                <adec:decorative xmlns:adec="http://schemas.microsoft.com/office/drawing/2017/decorative" val="1"/>
                              </a:ext>
                            </a:extLst>
                          </pic:cNvPr>
                          <pic:cNvPicPr/>
                        </pic:nvPicPr>
                        <pic:blipFill rotWithShape="1">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rcRect l="9868" t="10526" r="9868" b="10526"/>
                          <a:stretch/>
                        </pic:blipFill>
                        <pic:spPr bwMode="auto">
                          <a:xfrm>
                            <a:off x="0" y="0"/>
                            <a:ext cx="366000" cy="36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65F2E">
              <w:rPr>
                <w:color w:val="FFFFFF" w:themeColor="background1"/>
              </w:rPr>
              <w:t xml:space="preserve">The overarching aim of this project </w:t>
            </w:r>
            <w:r w:rsidR="00996980">
              <w:rPr>
                <w:color w:val="FFFFFF" w:themeColor="background1"/>
              </w:rPr>
              <w:t>was</w:t>
            </w:r>
            <w:r w:rsidRPr="00865F2E">
              <w:rPr>
                <w:color w:val="FFFFFF" w:themeColor="background1"/>
              </w:rPr>
              <w:t xml:space="preserve"> to review the NDCO in the current environment to </w:t>
            </w:r>
            <w:r>
              <w:rPr>
                <w:color w:val="FFFFFF" w:themeColor="background1"/>
              </w:rPr>
              <w:t xml:space="preserve">ensure that it continues to </w:t>
            </w:r>
            <w:r w:rsidRPr="00865F2E">
              <w:rPr>
                <w:color w:val="FFFFFF" w:themeColor="background1"/>
              </w:rPr>
              <w:t>drive change so that students with disability have equitable opportunity to access, participate and achieve their goals through to tertiary education and subsequent employment.</w:t>
            </w:r>
          </w:p>
        </w:tc>
      </w:tr>
      <w:tr w:rsidR="00215A87" w:rsidRPr="00D65E1A" w14:paraId="5D3EE328" w14:textId="77777777" w:rsidTr="00FB5442">
        <w:trPr>
          <w:cantSplit/>
          <w:trHeight w:val="1360"/>
        </w:trPr>
        <w:tc>
          <w:tcPr>
            <w:tcW w:w="9072" w:type="dxa"/>
            <w:shd w:val="clear" w:color="auto" w:fill="DBE5F1" w:themeFill="accent1" w:themeFillTint="33"/>
          </w:tcPr>
          <w:p w14:paraId="0703C80C" w14:textId="77777777" w:rsidR="00215A87" w:rsidRPr="00D65E1A" w:rsidRDefault="00215A87" w:rsidP="00FB5442">
            <w:pPr>
              <w:rPr>
                <w:rFonts w:cstheme="minorHAnsi"/>
              </w:rPr>
            </w:pPr>
            <w:r w:rsidRPr="00D65E1A">
              <w:rPr>
                <w:rFonts w:cstheme="minorHAnsi"/>
              </w:rPr>
              <w:t>More specifically:</w:t>
            </w:r>
          </w:p>
          <w:p w14:paraId="371E2FC7" w14:textId="77777777" w:rsidR="00215A87" w:rsidRPr="00D65E1A" w:rsidRDefault="00215A87" w:rsidP="007762CE">
            <w:pPr>
              <w:pStyle w:val="ListParagraph"/>
              <w:numPr>
                <w:ilvl w:val="0"/>
                <w:numId w:val="12"/>
              </w:numPr>
              <w:spacing w:before="120"/>
              <w:contextualSpacing w:val="0"/>
              <w:jc w:val="left"/>
              <w:rPr>
                <w:rFonts w:cstheme="minorHAnsi"/>
                <w:b/>
                <w:bCs/>
              </w:rPr>
            </w:pPr>
            <w:r>
              <w:rPr>
                <w:rFonts w:cstheme="minorHAnsi"/>
                <w:b/>
                <w:bCs/>
              </w:rPr>
              <w:t>Defining the current and emerging needs of students with disability accessing tertiary education and subsequent employment.</w:t>
            </w:r>
          </w:p>
          <w:p w14:paraId="1C1BC0B5" w14:textId="54A0FA9A" w:rsidR="00215A87" w:rsidRPr="00D65E1A" w:rsidRDefault="00215A87" w:rsidP="00FB5442">
            <w:pPr>
              <w:pStyle w:val="ListParagraph"/>
              <w:ind w:left="360"/>
              <w:rPr>
                <w:rFonts w:cstheme="minorHAnsi"/>
              </w:rPr>
            </w:pPr>
            <w:r w:rsidRPr="00D65E1A">
              <w:rPr>
                <w:rFonts w:cstheme="minorHAnsi"/>
              </w:rPr>
              <w:t>This include</w:t>
            </w:r>
            <w:r w:rsidR="00996980">
              <w:rPr>
                <w:rFonts w:cstheme="minorHAnsi"/>
              </w:rPr>
              <w:t>d</w:t>
            </w:r>
            <w:r w:rsidRPr="00D65E1A">
              <w:rPr>
                <w:rFonts w:cstheme="minorHAnsi"/>
              </w:rPr>
              <w:t xml:space="preserve"> investigating:</w:t>
            </w:r>
          </w:p>
          <w:p w14:paraId="6FBCAA4E" w14:textId="77777777" w:rsidR="00215A87" w:rsidRDefault="00215A87" w:rsidP="007762CE">
            <w:pPr>
              <w:pStyle w:val="ListParagraph"/>
              <w:numPr>
                <w:ilvl w:val="0"/>
                <w:numId w:val="13"/>
              </w:numPr>
              <w:spacing w:before="120"/>
              <w:contextualSpacing w:val="0"/>
              <w:jc w:val="left"/>
              <w:rPr>
                <w:rFonts w:cstheme="minorHAnsi"/>
              </w:rPr>
            </w:pPr>
            <w:r>
              <w:rPr>
                <w:rFonts w:cstheme="minorHAnsi"/>
              </w:rPr>
              <w:t xml:space="preserve">Barriers for </w:t>
            </w:r>
            <w:r w:rsidRPr="00C75174">
              <w:rPr>
                <w:rFonts w:cstheme="minorHAnsi"/>
              </w:rPr>
              <w:t>students with disability accessing tertiary education and subsequent employment</w:t>
            </w:r>
            <w:r>
              <w:rPr>
                <w:rFonts w:cstheme="minorHAnsi"/>
              </w:rPr>
              <w:t xml:space="preserve"> and how students have successfully overcome them.</w:t>
            </w:r>
          </w:p>
          <w:p w14:paraId="33DE6846" w14:textId="77777777" w:rsidR="00215A87" w:rsidRDefault="00215A87" w:rsidP="007762CE">
            <w:pPr>
              <w:pStyle w:val="ListParagraph"/>
              <w:numPr>
                <w:ilvl w:val="0"/>
                <w:numId w:val="13"/>
              </w:numPr>
              <w:spacing w:before="120"/>
              <w:contextualSpacing w:val="0"/>
              <w:jc w:val="left"/>
              <w:rPr>
                <w:rFonts w:cstheme="minorHAnsi"/>
              </w:rPr>
            </w:pPr>
            <w:r>
              <w:rPr>
                <w:rFonts w:cstheme="minorHAnsi"/>
              </w:rPr>
              <w:t>Gaps and opportunities at local, program and strategic levels.</w:t>
            </w:r>
          </w:p>
          <w:p w14:paraId="76531BAB" w14:textId="0BED8C7D" w:rsidR="00215A87" w:rsidRPr="00C75174" w:rsidRDefault="00215A87" w:rsidP="007762CE">
            <w:pPr>
              <w:pStyle w:val="ListParagraph"/>
              <w:numPr>
                <w:ilvl w:val="0"/>
                <w:numId w:val="13"/>
              </w:numPr>
              <w:spacing w:before="120"/>
              <w:contextualSpacing w:val="0"/>
              <w:jc w:val="left"/>
              <w:rPr>
                <w:rFonts w:cstheme="minorHAnsi"/>
              </w:rPr>
            </w:pPr>
            <w:r>
              <w:rPr>
                <w:rFonts w:cstheme="minorHAnsi"/>
              </w:rPr>
              <w:t xml:space="preserve">Stakeholder perceptions of the NDCO </w:t>
            </w:r>
            <w:r w:rsidR="00842B40">
              <w:rPr>
                <w:rFonts w:cstheme="minorHAnsi"/>
              </w:rPr>
              <w:t xml:space="preserve">program </w:t>
            </w:r>
            <w:r>
              <w:rPr>
                <w:rFonts w:cstheme="minorHAnsi"/>
              </w:rPr>
              <w:t xml:space="preserve">benefits and issues and their views on </w:t>
            </w:r>
            <w:r w:rsidR="00222956">
              <w:rPr>
                <w:rFonts w:cstheme="minorHAnsi"/>
              </w:rPr>
              <w:t xml:space="preserve">the </w:t>
            </w:r>
            <w:r>
              <w:rPr>
                <w:rFonts w:cstheme="minorHAnsi"/>
              </w:rPr>
              <w:t>emerging needs for future program design.</w:t>
            </w:r>
          </w:p>
          <w:p w14:paraId="6D5971F2" w14:textId="77777777" w:rsidR="00215A87" w:rsidRPr="00D65E1A" w:rsidRDefault="00215A87" w:rsidP="00FB5442">
            <w:pPr>
              <w:pStyle w:val="ListParagraph"/>
              <w:ind w:left="746"/>
              <w:rPr>
                <w:rFonts w:cstheme="minorHAnsi"/>
              </w:rPr>
            </w:pPr>
          </w:p>
          <w:p w14:paraId="1B753073" w14:textId="3E697BB1" w:rsidR="00215A87" w:rsidRDefault="00215A87" w:rsidP="007762CE">
            <w:pPr>
              <w:pStyle w:val="ListParagraph"/>
              <w:numPr>
                <w:ilvl w:val="0"/>
                <w:numId w:val="12"/>
              </w:numPr>
              <w:spacing w:before="120"/>
              <w:contextualSpacing w:val="0"/>
              <w:jc w:val="left"/>
              <w:rPr>
                <w:rFonts w:cstheme="minorHAnsi"/>
                <w:b/>
                <w:bCs/>
              </w:rPr>
            </w:pPr>
            <w:r w:rsidRPr="00A03438">
              <w:rPr>
                <w:rFonts w:cstheme="minorHAnsi"/>
                <w:b/>
                <w:bCs/>
              </w:rPr>
              <w:t>Providing</w:t>
            </w:r>
            <w:r>
              <w:rPr>
                <w:rFonts w:cstheme="minorHAnsi"/>
                <w:b/>
                <w:bCs/>
              </w:rPr>
              <w:t xml:space="preserve"> advice on how to reform the program to ensure that it delivers strategic outcomes that meet the needs of students </w:t>
            </w:r>
            <w:r w:rsidR="00991256">
              <w:rPr>
                <w:rFonts w:cstheme="minorHAnsi"/>
                <w:b/>
                <w:bCs/>
              </w:rPr>
              <w:t>with disability</w:t>
            </w:r>
            <w:r>
              <w:rPr>
                <w:rFonts w:cstheme="minorHAnsi"/>
                <w:b/>
                <w:bCs/>
              </w:rPr>
              <w:t>, taking into account the policy context including:</w:t>
            </w:r>
          </w:p>
          <w:p w14:paraId="79D07607" w14:textId="77777777" w:rsidR="00215A87" w:rsidRDefault="00215A87" w:rsidP="007762CE">
            <w:pPr>
              <w:pStyle w:val="ListParagraph"/>
              <w:numPr>
                <w:ilvl w:val="0"/>
                <w:numId w:val="14"/>
              </w:numPr>
              <w:spacing w:before="120"/>
              <w:contextualSpacing w:val="0"/>
              <w:jc w:val="left"/>
              <w:rPr>
                <w:rFonts w:cstheme="minorHAnsi"/>
              </w:rPr>
            </w:pPr>
            <w:r w:rsidRPr="00003B52">
              <w:rPr>
                <w:rFonts w:cstheme="minorHAnsi"/>
              </w:rPr>
              <w:t>The full implementation of the NDIS</w:t>
            </w:r>
            <w:r>
              <w:rPr>
                <w:rFonts w:cstheme="minorHAnsi"/>
              </w:rPr>
              <w:t>.</w:t>
            </w:r>
          </w:p>
          <w:p w14:paraId="4D4CEAF8" w14:textId="1AD01FF4" w:rsidR="00215A87" w:rsidRPr="00FD6A5F" w:rsidRDefault="00215A87" w:rsidP="007762CE">
            <w:pPr>
              <w:pStyle w:val="ListParagraph"/>
              <w:numPr>
                <w:ilvl w:val="0"/>
                <w:numId w:val="14"/>
              </w:numPr>
              <w:spacing w:before="120"/>
              <w:contextualSpacing w:val="0"/>
              <w:jc w:val="left"/>
              <w:rPr>
                <w:rFonts w:cstheme="minorHAnsi"/>
              </w:rPr>
            </w:pPr>
            <w:r>
              <w:rPr>
                <w:rFonts w:cstheme="minorHAnsi"/>
              </w:rPr>
              <w:t>The findings</w:t>
            </w:r>
            <w:r w:rsidR="00E07247">
              <w:rPr>
                <w:rFonts w:cstheme="minorHAnsi"/>
              </w:rPr>
              <w:t xml:space="preserve"> </w:t>
            </w:r>
            <w:r>
              <w:rPr>
                <w:rFonts w:cstheme="minorHAnsi"/>
              </w:rPr>
              <w:t>/</w:t>
            </w:r>
            <w:r w:rsidR="00E07247">
              <w:rPr>
                <w:rFonts w:cstheme="minorHAnsi"/>
              </w:rPr>
              <w:t xml:space="preserve"> </w:t>
            </w:r>
            <w:r>
              <w:rPr>
                <w:rFonts w:cstheme="minorHAnsi"/>
              </w:rPr>
              <w:t xml:space="preserve">likely directions from the </w:t>
            </w:r>
            <w:r w:rsidR="002E08EB">
              <w:rPr>
                <w:rFonts w:cstheme="minorHAnsi"/>
              </w:rPr>
              <w:t xml:space="preserve">Disability </w:t>
            </w:r>
            <w:r>
              <w:rPr>
                <w:rFonts w:cstheme="minorHAnsi"/>
              </w:rPr>
              <w:t>Royal Commission.</w:t>
            </w:r>
          </w:p>
          <w:p w14:paraId="1ADF12D3" w14:textId="09899F6F" w:rsidR="00215A87" w:rsidRPr="001A7347" w:rsidRDefault="00215A87" w:rsidP="007762CE">
            <w:pPr>
              <w:pStyle w:val="ListParagraph"/>
              <w:numPr>
                <w:ilvl w:val="0"/>
                <w:numId w:val="14"/>
              </w:numPr>
              <w:spacing w:before="120"/>
              <w:contextualSpacing w:val="0"/>
              <w:jc w:val="left"/>
              <w:rPr>
                <w:rFonts w:cstheme="minorHAnsi"/>
              </w:rPr>
            </w:pPr>
            <w:r>
              <w:rPr>
                <w:rFonts w:cstheme="minorHAnsi"/>
              </w:rPr>
              <w:t xml:space="preserve">The </w:t>
            </w:r>
            <w:r w:rsidR="005F71E0">
              <w:rPr>
                <w:rFonts w:cstheme="minorHAnsi"/>
              </w:rPr>
              <w:t>finalisation of</w:t>
            </w:r>
            <w:r>
              <w:rPr>
                <w:rFonts w:cstheme="minorHAnsi"/>
              </w:rPr>
              <w:t xml:space="preserve"> the </w:t>
            </w:r>
            <w:r w:rsidR="005F71E0">
              <w:rPr>
                <w:rFonts w:cstheme="minorHAnsi"/>
              </w:rPr>
              <w:t xml:space="preserve">Australian </w:t>
            </w:r>
            <w:r>
              <w:rPr>
                <w:rFonts w:cstheme="minorHAnsi"/>
              </w:rPr>
              <w:t xml:space="preserve">Disability Strategy </w:t>
            </w:r>
            <w:r w:rsidR="009C7223">
              <w:rPr>
                <w:rFonts w:cstheme="minorHAnsi"/>
              </w:rPr>
              <w:t>2021-2031</w:t>
            </w:r>
            <w:r w:rsidR="009B2906">
              <w:rPr>
                <w:rFonts w:cstheme="minorHAnsi"/>
              </w:rPr>
              <w:t>.</w:t>
            </w:r>
          </w:p>
          <w:p w14:paraId="7AE1DD40" w14:textId="77777777" w:rsidR="00215A87" w:rsidRPr="007B675A" w:rsidRDefault="00215A87" w:rsidP="007762CE">
            <w:pPr>
              <w:pStyle w:val="ListParagraph"/>
              <w:numPr>
                <w:ilvl w:val="0"/>
                <w:numId w:val="14"/>
              </w:numPr>
              <w:spacing w:before="120" w:after="100" w:afterAutospacing="1"/>
              <w:ind w:right="-85"/>
              <w:contextualSpacing w:val="0"/>
              <w:jc w:val="left"/>
              <w:rPr>
                <w:rFonts w:cstheme="minorHAnsi"/>
                <w:bCs/>
              </w:rPr>
            </w:pPr>
            <w:r>
              <w:rPr>
                <w:rFonts w:cstheme="minorHAnsi"/>
                <w:bCs/>
              </w:rPr>
              <w:t xml:space="preserve">The </w:t>
            </w:r>
            <w:r w:rsidRPr="00FF596E">
              <w:rPr>
                <w:rFonts w:cstheme="minorHAnsi"/>
              </w:rPr>
              <w:t xml:space="preserve">2020 Review of the </w:t>
            </w:r>
            <w:r w:rsidRPr="00405E36">
              <w:rPr>
                <w:rFonts w:cstheme="minorHAnsi"/>
                <w:i/>
              </w:rPr>
              <w:t>Disability Standards for Education 2005</w:t>
            </w:r>
            <w:r>
              <w:rPr>
                <w:rFonts w:cstheme="minorHAnsi"/>
                <w:bCs/>
              </w:rPr>
              <w:t>.</w:t>
            </w:r>
          </w:p>
          <w:p w14:paraId="45F1CDB8" w14:textId="77777777" w:rsidR="00215A87" w:rsidRDefault="00215A87" w:rsidP="007762CE">
            <w:pPr>
              <w:pStyle w:val="ListParagraph"/>
              <w:numPr>
                <w:ilvl w:val="0"/>
                <w:numId w:val="14"/>
              </w:numPr>
              <w:spacing w:before="120"/>
              <w:contextualSpacing w:val="0"/>
              <w:jc w:val="left"/>
              <w:rPr>
                <w:rFonts w:cstheme="minorHAnsi"/>
              </w:rPr>
            </w:pPr>
            <w:r>
              <w:rPr>
                <w:rFonts w:cstheme="minorHAnsi"/>
              </w:rPr>
              <w:t xml:space="preserve">The </w:t>
            </w:r>
            <w:r>
              <w:t xml:space="preserve">concurrent work being undertaken in relation to the </w:t>
            </w:r>
            <w:r>
              <w:rPr>
                <w:rFonts w:cstheme="minorHAnsi"/>
              </w:rPr>
              <w:t>Student Equity in Higher Education Roadmap.</w:t>
            </w:r>
          </w:p>
          <w:p w14:paraId="686DF437" w14:textId="77777777" w:rsidR="00215A87" w:rsidRPr="004A2B0A" w:rsidRDefault="00215A87" w:rsidP="00FB5442">
            <w:pPr>
              <w:pStyle w:val="ListParagraph"/>
              <w:spacing w:before="120"/>
              <w:ind w:left="1080"/>
              <w:contextualSpacing w:val="0"/>
              <w:rPr>
                <w:rFonts w:cstheme="minorHAnsi"/>
              </w:rPr>
            </w:pPr>
          </w:p>
        </w:tc>
      </w:tr>
    </w:tbl>
    <w:p w14:paraId="3B40C074" w14:textId="2CAEFC4C" w:rsidR="002F5675" w:rsidRDefault="000E0E77" w:rsidP="008C32CF">
      <w:pPr>
        <w:pStyle w:val="Heading3"/>
      </w:pPr>
      <w:bookmarkStart w:id="8" w:name="_Toc95836726"/>
      <w:r>
        <w:t>Overview of the research methodology</w:t>
      </w:r>
      <w:bookmarkEnd w:id="8"/>
    </w:p>
    <w:p w14:paraId="024AEA05" w14:textId="33476144" w:rsidR="005D5912" w:rsidRDefault="00B11886" w:rsidP="003458D0">
      <w:r>
        <w:t xml:space="preserve">An overview of the research methodology </w:t>
      </w:r>
      <w:r w:rsidR="000174DD">
        <w:t xml:space="preserve">used to collect data to inform the review </w:t>
      </w:r>
      <w:r>
        <w:t xml:space="preserve">is presented in </w:t>
      </w:r>
      <w:r>
        <w:fldChar w:fldCharType="begin"/>
      </w:r>
      <w:r>
        <w:instrText xml:space="preserve"> REF _Ref94778427 \h </w:instrText>
      </w:r>
      <w:r>
        <w:fldChar w:fldCharType="separate"/>
      </w:r>
      <w:r w:rsidR="00F52694" w:rsidRPr="00181D7C">
        <w:t xml:space="preserve">Figure </w:t>
      </w:r>
      <w:r w:rsidR="00F52694">
        <w:rPr>
          <w:noProof/>
        </w:rPr>
        <w:t>1</w:t>
      </w:r>
      <w:r>
        <w:fldChar w:fldCharType="end"/>
      </w:r>
      <w:r w:rsidR="00F5186B">
        <w:t xml:space="preserve"> (overleaf). </w:t>
      </w:r>
      <w:r w:rsidR="005B4D12">
        <w:t xml:space="preserve">The </w:t>
      </w:r>
      <w:r w:rsidR="001A53B3">
        <w:t xml:space="preserve">first phase of research </w:t>
      </w:r>
      <w:r w:rsidR="00E245F1" w:rsidRPr="006D586A">
        <w:rPr>
          <w:rFonts w:cstheme="minorHAnsi"/>
        </w:rPr>
        <w:t xml:space="preserve">primarily focused on gathering information on </w:t>
      </w:r>
      <w:r w:rsidR="00747707">
        <w:rPr>
          <w:rFonts w:cstheme="minorHAnsi"/>
        </w:rPr>
        <w:t>stakeholder</w:t>
      </w:r>
      <w:r w:rsidR="00190293">
        <w:rPr>
          <w:rFonts w:cstheme="minorHAnsi"/>
        </w:rPr>
        <w:t>’s</w:t>
      </w:r>
      <w:r w:rsidR="00E245F1" w:rsidRPr="006D586A">
        <w:rPr>
          <w:rFonts w:cstheme="minorHAnsi"/>
        </w:rPr>
        <w:t xml:space="preserve"> views, opinions and experiences of th</w:t>
      </w:r>
      <w:r w:rsidR="00E245F1">
        <w:rPr>
          <w:rFonts w:cstheme="minorHAnsi"/>
        </w:rPr>
        <w:t>e program to date</w:t>
      </w:r>
      <w:r w:rsidR="00E245F1">
        <w:t xml:space="preserve">. </w:t>
      </w:r>
    </w:p>
    <w:p w14:paraId="340D66F5" w14:textId="5802E3D3" w:rsidR="003458D0" w:rsidRPr="003458D0" w:rsidRDefault="0079664F" w:rsidP="003458D0">
      <w:r>
        <w:t xml:space="preserve">The second phase </w:t>
      </w:r>
      <w:r w:rsidR="008B704B">
        <w:t>focused on</w:t>
      </w:r>
      <w:r>
        <w:rPr>
          <w:rStyle w:val="normaltextrun"/>
          <w:rFonts w:cs="Calibri"/>
          <w:color w:val="000000"/>
          <w:shd w:val="clear" w:color="auto" w:fill="FFFFFF"/>
        </w:rPr>
        <w:t xml:space="preserve"> developmental </w:t>
      </w:r>
      <w:r w:rsidR="00970939">
        <w:rPr>
          <w:rStyle w:val="normaltextrun"/>
          <w:rFonts w:cs="Calibri"/>
          <w:color w:val="000000"/>
          <w:shd w:val="clear" w:color="auto" w:fill="FFFFFF"/>
        </w:rPr>
        <w:t xml:space="preserve">research, </w:t>
      </w:r>
      <w:r>
        <w:rPr>
          <w:rStyle w:val="normaltextrun"/>
          <w:rFonts w:cs="Calibri"/>
          <w:color w:val="000000"/>
          <w:shd w:val="clear" w:color="auto" w:fill="FFFFFF"/>
        </w:rPr>
        <w:t>exploring how the program can be reformed and delivered, such that it delivers strategic outcomes that better meet the needs of students with disability. </w:t>
      </w:r>
    </w:p>
    <w:p w14:paraId="7DDAE6DC" w14:textId="77777777" w:rsidR="003458D0" w:rsidRDefault="003458D0" w:rsidP="002F5675">
      <w:pPr>
        <w:rPr>
          <w:highlight w:val="yellow"/>
        </w:rPr>
      </w:pPr>
    </w:p>
    <w:p w14:paraId="42AB6DB3" w14:textId="77777777" w:rsidR="003458D0" w:rsidRDefault="003458D0" w:rsidP="002F5675">
      <w:pPr>
        <w:rPr>
          <w:highlight w:val="yellow"/>
        </w:rPr>
      </w:pPr>
    </w:p>
    <w:p w14:paraId="6F190E0A" w14:textId="08790A5B" w:rsidR="003458D0" w:rsidRDefault="003458D0" w:rsidP="003458D0">
      <w:pPr>
        <w:pStyle w:val="FigureHeading"/>
      </w:pPr>
      <w:bookmarkStart w:id="9" w:name="_Ref94778427"/>
      <w:r w:rsidRPr="00181D7C">
        <w:t xml:space="preserve">Figure </w:t>
      </w:r>
      <w:fldSimple w:instr=" SEQ Figure \* ARABIC ">
        <w:r w:rsidR="00F52694">
          <w:rPr>
            <w:noProof/>
          </w:rPr>
          <w:t>1</w:t>
        </w:r>
      </w:fldSimple>
      <w:bookmarkEnd w:id="9"/>
      <w:r>
        <w:t>: Overview of the research methodology</w:t>
      </w:r>
    </w:p>
    <w:p w14:paraId="3EC2804A" w14:textId="769225F8" w:rsidR="00850C3F" w:rsidRDefault="00850C3F" w:rsidP="003458D0">
      <w:pPr>
        <w:pStyle w:val="FigureHeading"/>
      </w:pPr>
      <w:r>
        <w:rPr>
          <w:noProof/>
        </w:rPr>
        <w:drawing>
          <wp:inline distT="0" distB="0" distL="0" distR="0" wp14:anchorId="474CACCE" wp14:editId="320DFD5C">
            <wp:extent cx="5461946" cy="4062406"/>
            <wp:effectExtent l="0" t="0" r="5715" b="0"/>
            <wp:docPr id="10" name="Picture 10" descr="Pictorial depiction of project methodology described in th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ictorial depiction of project methodology described in the repor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75032" cy="4072139"/>
                    </a:xfrm>
                    <a:prstGeom prst="rect">
                      <a:avLst/>
                    </a:prstGeom>
                    <a:noFill/>
                  </pic:spPr>
                </pic:pic>
              </a:graphicData>
            </a:graphic>
          </wp:inline>
        </w:drawing>
      </w:r>
    </w:p>
    <w:p w14:paraId="03813523" w14:textId="789FBC35" w:rsidR="002F5675" w:rsidRDefault="006B1DF2" w:rsidP="002F5675">
      <w:pPr>
        <w:pStyle w:val="Heading4"/>
      </w:pPr>
      <w:r>
        <w:t>Desktop research</w:t>
      </w:r>
    </w:p>
    <w:p w14:paraId="564391CC" w14:textId="319E75ED" w:rsidR="001D24C6" w:rsidRDefault="001D24C6" w:rsidP="001D24C6">
      <w:pPr>
        <w:rPr>
          <w:rFonts w:cstheme="minorHAnsi"/>
        </w:rPr>
      </w:pPr>
      <w:r>
        <w:rPr>
          <w:rFonts w:cstheme="minorHAnsi"/>
        </w:rPr>
        <w:t xml:space="preserve">A </w:t>
      </w:r>
      <w:r w:rsidRPr="00F24672">
        <w:rPr>
          <w:rFonts w:cstheme="minorHAnsi"/>
        </w:rPr>
        <w:t>literatur</w:t>
      </w:r>
      <w:r>
        <w:rPr>
          <w:rFonts w:cstheme="minorHAnsi"/>
        </w:rPr>
        <w:t xml:space="preserve">e </w:t>
      </w:r>
      <w:r w:rsidR="00157EA5">
        <w:rPr>
          <w:rFonts w:cstheme="minorHAnsi"/>
        </w:rPr>
        <w:t>scan</w:t>
      </w:r>
      <w:r w:rsidR="0079264A">
        <w:rPr>
          <w:rFonts w:cstheme="minorHAnsi"/>
        </w:rPr>
        <w:t xml:space="preserve"> and review of selected materials</w:t>
      </w:r>
      <w:r>
        <w:rPr>
          <w:rFonts w:cstheme="minorHAnsi"/>
        </w:rPr>
        <w:t xml:space="preserve"> was completed</w:t>
      </w:r>
      <w:r w:rsidRPr="00F24672">
        <w:rPr>
          <w:rFonts w:cstheme="minorHAnsi"/>
        </w:rPr>
        <w:t xml:space="preserve"> </w:t>
      </w:r>
      <w:r>
        <w:rPr>
          <w:rFonts w:cstheme="minorHAnsi"/>
        </w:rPr>
        <w:t xml:space="preserve">to extend and complement the existing knowledge base. It reviewed both </w:t>
      </w:r>
      <w:r w:rsidRPr="008C423A">
        <w:rPr>
          <w:rFonts w:cstheme="minorHAnsi"/>
        </w:rPr>
        <w:t>academic and grey literature</w:t>
      </w:r>
      <w:r w:rsidR="00A47B9F" w:rsidRPr="00A47B9F">
        <w:rPr>
          <w:rFonts w:cstheme="minorHAnsi"/>
        </w:rPr>
        <w:t xml:space="preserve"> </w:t>
      </w:r>
      <w:r w:rsidR="00EA2278">
        <w:rPr>
          <w:rFonts w:cstheme="minorHAnsi"/>
        </w:rPr>
        <w:t>(</w:t>
      </w:r>
      <w:r w:rsidR="00A47B9F" w:rsidRPr="008C423A">
        <w:rPr>
          <w:rFonts w:cstheme="minorHAnsi"/>
        </w:rPr>
        <w:t>e.g. journal articles, reports authored by government departments and agencies, industry publications and</w:t>
      </w:r>
      <w:r w:rsidR="00A47B9F">
        <w:rPr>
          <w:rFonts w:cstheme="minorHAnsi"/>
        </w:rPr>
        <w:t xml:space="preserve"> </w:t>
      </w:r>
      <w:r w:rsidR="00A47B9F" w:rsidRPr="008C423A">
        <w:rPr>
          <w:rFonts w:cstheme="minorHAnsi"/>
        </w:rPr>
        <w:t xml:space="preserve">not-for-profit organisations). </w:t>
      </w:r>
    </w:p>
    <w:p w14:paraId="523E30C3" w14:textId="00E80FAD" w:rsidR="00E92A80" w:rsidRDefault="00E92A80" w:rsidP="001D24C6">
      <w:pPr>
        <w:rPr>
          <w:rFonts w:cstheme="minorHAnsi"/>
        </w:rPr>
      </w:pPr>
      <w:r>
        <w:rPr>
          <w:rFonts w:cstheme="minorHAnsi"/>
        </w:rPr>
        <w:t xml:space="preserve">An ecosystem </w:t>
      </w:r>
      <w:r w:rsidR="00142DAA">
        <w:rPr>
          <w:rFonts w:cstheme="minorHAnsi"/>
        </w:rPr>
        <w:t xml:space="preserve">context map </w:t>
      </w:r>
      <w:r w:rsidR="008A3CF3">
        <w:rPr>
          <w:rFonts w:cstheme="minorHAnsi"/>
        </w:rPr>
        <w:t>was</w:t>
      </w:r>
      <w:r w:rsidR="00CF2979">
        <w:rPr>
          <w:rFonts w:cstheme="minorHAnsi"/>
        </w:rPr>
        <w:t xml:space="preserve"> also</w:t>
      </w:r>
      <w:r w:rsidR="008A3CF3">
        <w:rPr>
          <w:rFonts w:cstheme="minorHAnsi"/>
        </w:rPr>
        <w:t xml:space="preserve"> </w:t>
      </w:r>
      <w:r w:rsidR="00CF2979" w:rsidRPr="001330B7">
        <w:rPr>
          <w:rFonts w:cstheme="minorHAnsi"/>
        </w:rPr>
        <w:t>prepared in parallel to the literature review</w:t>
      </w:r>
      <w:r w:rsidR="005B258C">
        <w:rPr>
          <w:rFonts w:cstheme="minorHAnsi"/>
        </w:rPr>
        <w:t xml:space="preserve">. It </w:t>
      </w:r>
      <w:r w:rsidR="00CF2979" w:rsidRPr="001330B7">
        <w:rPr>
          <w:rFonts w:cstheme="minorHAnsi"/>
        </w:rPr>
        <w:t>summarised</w:t>
      </w:r>
      <w:r w:rsidR="00CF2979">
        <w:rPr>
          <w:rFonts w:cstheme="minorHAnsi"/>
          <w:b/>
          <w:bCs/>
        </w:rPr>
        <w:t xml:space="preserve"> </w:t>
      </w:r>
      <w:r w:rsidR="00CF2979">
        <w:rPr>
          <w:rFonts w:cstheme="minorHAnsi"/>
        </w:rPr>
        <w:t xml:space="preserve">the current </w:t>
      </w:r>
      <w:r w:rsidR="000A622D">
        <w:rPr>
          <w:rFonts w:cstheme="minorHAnsi"/>
        </w:rPr>
        <w:t xml:space="preserve">state of </w:t>
      </w:r>
      <w:r w:rsidR="00A12AD5">
        <w:rPr>
          <w:rFonts w:cstheme="minorHAnsi"/>
        </w:rPr>
        <w:t>play including the policy context, stakeholders and student barriers</w:t>
      </w:r>
    </w:p>
    <w:p w14:paraId="72E4D833" w14:textId="26B9C14A" w:rsidR="006B1DF2" w:rsidRPr="001C22D7" w:rsidRDefault="001C22D7" w:rsidP="001C22D7">
      <w:pPr>
        <w:rPr>
          <w:rFonts w:cstheme="minorHAnsi"/>
        </w:rPr>
      </w:pPr>
      <w:r w:rsidRPr="009D5B33">
        <w:rPr>
          <w:rFonts w:cstheme="minorHAnsi"/>
        </w:rPr>
        <w:t xml:space="preserve">The ecosystem context map and existing reports and resources provided by </w:t>
      </w:r>
      <w:r w:rsidR="008569FC">
        <w:rPr>
          <w:rFonts w:cstheme="minorHAnsi"/>
        </w:rPr>
        <w:t>the department</w:t>
      </w:r>
      <w:r w:rsidRPr="009D5B33">
        <w:rPr>
          <w:rFonts w:cstheme="minorHAnsi"/>
        </w:rPr>
        <w:t xml:space="preserve"> were used to identify any changes to the existing NDCO program logic and underlying metrics collected. </w:t>
      </w:r>
    </w:p>
    <w:p w14:paraId="1054C62B" w14:textId="19DC413F" w:rsidR="006B1DF2" w:rsidRDefault="006B1DF2" w:rsidP="006B1DF2">
      <w:pPr>
        <w:pStyle w:val="Heading4"/>
      </w:pPr>
      <w:r>
        <w:t>Qualitative research</w:t>
      </w:r>
    </w:p>
    <w:p w14:paraId="5748E29E" w14:textId="2F5DC3AC" w:rsidR="00785C80" w:rsidRPr="000E331F" w:rsidRDefault="00785C80" w:rsidP="001B5314">
      <w:r>
        <w:t xml:space="preserve">Qualitative </w:t>
      </w:r>
      <w:r w:rsidR="008C4582">
        <w:t>research</w:t>
      </w:r>
      <w:r w:rsidRPr="000E331F">
        <w:t xml:space="preserve"> was conducted </w:t>
      </w:r>
      <w:r w:rsidR="00B408A0">
        <w:t xml:space="preserve">online </w:t>
      </w:r>
      <w:r w:rsidRPr="000E331F">
        <w:t>with the following target audiences</w:t>
      </w:r>
      <w:r w:rsidR="00916C12">
        <w:t xml:space="preserve"> over </w:t>
      </w:r>
      <w:r w:rsidR="00D00EE6">
        <w:t>11 October – 18 November 2021</w:t>
      </w:r>
      <w:r w:rsidRPr="000E331F">
        <w:t>:</w:t>
      </w:r>
    </w:p>
    <w:p w14:paraId="57C6414C" w14:textId="6A0A9891" w:rsidR="0049585D" w:rsidRPr="0049585D" w:rsidRDefault="007678E0" w:rsidP="00E14791">
      <w:pPr>
        <w:pStyle w:val="ListBullet"/>
        <w:numPr>
          <w:ilvl w:val="0"/>
          <w:numId w:val="24"/>
        </w:numPr>
      </w:pPr>
      <w:r>
        <w:t>P</w:t>
      </w:r>
      <w:r w:rsidR="00785C80" w:rsidRPr="004D7FB6">
        <w:t>rogram</w:t>
      </w:r>
      <w:r w:rsidR="00785C80" w:rsidRPr="00835069">
        <w:rPr>
          <w:rFonts w:eastAsia="Times New Roman"/>
          <w:szCs w:val="20"/>
        </w:rPr>
        <w:t xml:space="preserve"> and sector stakeholders</w:t>
      </w:r>
      <w:r w:rsidR="00471DBD">
        <w:rPr>
          <w:rFonts w:eastAsia="Times New Roman"/>
          <w:szCs w:val="20"/>
        </w:rPr>
        <w:t xml:space="preserve"> across </w:t>
      </w:r>
      <w:r w:rsidR="00471DBD" w:rsidRPr="00835069">
        <w:t>n=</w:t>
      </w:r>
      <w:r w:rsidR="00C47D7D">
        <w:t>6</w:t>
      </w:r>
      <w:r w:rsidR="00471DBD" w:rsidRPr="00835069">
        <w:t xml:space="preserve"> focus groups</w:t>
      </w:r>
      <w:r w:rsidR="00AB0DD2">
        <w:t xml:space="preserve">, </w:t>
      </w:r>
      <w:r w:rsidR="002B486A">
        <w:t>n</w:t>
      </w:r>
      <w:r w:rsidR="00106CF7">
        <w:t>=1 mini focus group</w:t>
      </w:r>
      <w:r w:rsidR="00471DBD" w:rsidRPr="00835069">
        <w:t xml:space="preserve"> and n=</w:t>
      </w:r>
      <w:r w:rsidR="00B14870">
        <w:t>9</w:t>
      </w:r>
      <w:r w:rsidR="00471DBD" w:rsidRPr="00835069">
        <w:t xml:space="preserve"> </w:t>
      </w:r>
      <w:r w:rsidR="00D00EE6">
        <w:t>in</w:t>
      </w:r>
      <w:r w:rsidR="00D00EE6">
        <w:noBreakHyphen/>
        <w:t xml:space="preserve">depth </w:t>
      </w:r>
      <w:r w:rsidR="00471DBD" w:rsidRPr="00835069">
        <w:t>interviews</w:t>
      </w:r>
      <w:r w:rsidR="00B14870">
        <w:t xml:space="preserve"> (including paired interviews)</w:t>
      </w:r>
      <w:r w:rsidR="00471DBD">
        <w:t>,</w:t>
      </w:r>
      <w:r w:rsidR="0049585D">
        <w:rPr>
          <w:rFonts w:eastAsia="Times New Roman"/>
          <w:szCs w:val="20"/>
        </w:rPr>
        <w:t xml:space="preserve"> including </w:t>
      </w:r>
    </w:p>
    <w:p w14:paraId="467F34D5" w14:textId="0865EE79" w:rsidR="0049585D" w:rsidRPr="00F9611F" w:rsidRDefault="00A75582" w:rsidP="00E14791">
      <w:pPr>
        <w:pStyle w:val="ListBullet"/>
        <w:numPr>
          <w:ilvl w:val="1"/>
          <w:numId w:val="17"/>
        </w:numPr>
      </w:pPr>
      <w:r w:rsidRPr="00F9611F">
        <w:t>NDCOs</w:t>
      </w:r>
      <w:r w:rsidR="00D46A01">
        <w:t xml:space="preserve"> and </w:t>
      </w:r>
      <w:r w:rsidR="00C54D2D" w:rsidRPr="00F9611F">
        <w:t xml:space="preserve">NDCO </w:t>
      </w:r>
      <w:r w:rsidR="00D06C34">
        <w:t>Host Providers</w:t>
      </w:r>
      <w:r w:rsidR="0093579E" w:rsidRPr="00F9611F">
        <w:t>;</w:t>
      </w:r>
    </w:p>
    <w:p w14:paraId="7343F714" w14:textId="00C49410" w:rsidR="0049585D" w:rsidRPr="00F9611F" w:rsidRDefault="00D5314A" w:rsidP="00E14791">
      <w:pPr>
        <w:pStyle w:val="ListBullet"/>
        <w:numPr>
          <w:ilvl w:val="1"/>
          <w:numId w:val="17"/>
        </w:numPr>
      </w:pPr>
      <w:r w:rsidRPr="00F9611F">
        <w:t>NDIA</w:t>
      </w:r>
      <w:r w:rsidR="0047688E" w:rsidRPr="00F9611F">
        <w:t xml:space="preserve"> representatives</w:t>
      </w:r>
      <w:r w:rsidR="0093579E" w:rsidRPr="00F9611F">
        <w:t>;</w:t>
      </w:r>
    </w:p>
    <w:p w14:paraId="44BC6D82" w14:textId="52F2080F" w:rsidR="00471DBD" w:rsidRPr="00F9611F" w:rsidRDefault="004A10E2" w:rsidP="00E14791">
      <w:pPr>
        <w:pStyle w:val="ListBullet"/>
        <w:numPr>
          <w:ilvl w:val="1"/>
          <w:numId w:val="17"/>
        </w:numPr>
      </w:pPr>
      <w:r w:rsidRPr="00F9611F">
        <w:t xml:space="preserve">representatives from </w:t>
      </w:r>
      <w:r w:rsidR="000550A5" w:rsidRPr="00F9611F">
        <w:t>disability advocacy</w:t>
      </w:r>
      <w:r w:rsidR="00DE4127" w:rsidRPr="00F9611F">
        <w:t>, industry and peak bodies</w:t>
      </w:r>
      <w:r w:rsidR="0093579E" w:rsidRPr="00F9611F">
        <w:t>;</w:t>
      </w:r>
    </w:p>
    <w:p w14:paraId="48A7A21E" w14:textId="77777777" w:rsidR="00111138" w:rsidRPr="00F9611F" w:rsidRDefault="00501D52" w:rsidP="00E14791">
      <w:pPr>
        <w:pStyle w:val="ListBullet"/>
        <w:numPr>
          <w:ilvl w:val="1"/>
          <w:numId w:val="17"/>
        </w:numPr>
      </w:pPr>
      <w:r w:rsidRPr="00F9611F">
        <w:t>representatives of organisations that support NDIS participan</w:t>
      </w:r>
      <w:r w:rsidR="00A07705" w:rsidRPr="00F9611F">
        <w:t xml:space="preserve">t planning </w:t>
      </w:r>
      <w:r w:rsidR="00FF08D5" w:rsidRPr="00F9611F">
        <w:t xml:space="preserve">and implementation </w:t>
      </w:r>
      <w:r w:rsidR="001B7C93" w:rsidRPr="00F9611F">
        <w:t>for employment goals</w:t>
      </w:r>
      <w:r w:rsidR="0093579E" w:rsidRPr="00F9611F">
        <w:t>;</w:t>
      </w:r>
      <w:r w:rsidR="00111138" w:rsidRPr="00F9611F">
        <w:t xml:space="preserve"> </w:t>
      </w:r>
    </w:p>
    <w:p w14:paraId="51A34227" w14:textId="237E8B02" w:rsidR="00471DBD" w:rsidRPr="00F9611F" w:rsidRDefault="00C6674C" w:rsidP="00E14791">
      <w:pPr>
        <w:pStyle w:val="ListBullet"/>
        <w:numPr>
          <w:ilvl w:val="1"/>
          <w:numId w:val="17"/>
        </w:numPr>
      </w:pPr>
      <w:r w:rsidRPr="00F9611F">
        <w:t>academics</w:t>
      </w:r>
      <w:r w:rsidR="0093579E" w:rsidRPr="00F9611F">
        <w:t>;</w:t>
      </w:r>
    </w:p>
    <w:p w14:paraId="5D255E46" w14:textId="57372E14" w:rsidR="00471DBD" w:rsidRPr="00111138" w:rsidRDefault="00257A49" w:rsidP="00E14791">
      <w:pPr>
        <w:pStyle w:val="ListBullet"/>
        <w:numPr>
          <w:ilvl w:val="1"/>
          <w:numId w:val="17"/>
        </w:numPr>
      </w:pPr>
      <w:r w:rsidRPr="00835069">
        <w:t xml:space="preserve">disability </w:t>
      </w:r>
      <w:r w:rsidR="00072864" w:rsidRPr="00835069">
        <w:t xml:space="preserve">employment service </w:t>
      </w:r>
      <w:r w:rsidR="00111138">
        <w:t xml:space="preserve">(DES) </w:t>
      </w:r>
      <w:r w:rsidR="00072864" w:rsidRPr="00835069">
        <w:t>organisations</w:t>
      </w:r>
      <w:r w:rsidR="0093579E">
        <w:t>;</w:t>
      </w:r>
    </w:p>
    <w:p w14:paraId="7C9228D0" w14:textId="2C8A5679" w:rsidR="00DF4F44" w:rsidRPr="00111138" w:rsidRDefault="00DF4F44" w:rsidP="00E14791">
      <w:pPr>
        <w:pStyle w:val="ListBullet"/>
        <w:numPr>
          <w:ilvl w:val="1"/>
          <w:numId w:val="17"/>
        </w:numPr>
      </w:pPr>
      <w:r>
        <w:t>VET / Tertiary stakeholders</w:t>
      </w:r>
      <w:r w:rsidR="00196DC6">
        <w:t>;</w:t>
      </w:r>
      <w:r w:rsidR="003B786D">
        <w:t xml:space="preserve"> and</w:t>
      </w:r>
    </w:p>
    <w:p w14:paraId="5E0A47EB" w14:textId="5150BFC0" w:rsidR="00DF4F44" w:rsidRPr="00111138" w:rsidRDefault="003B786D" w:rsidP="00E14791">
      <w:pPr>
        <w:pStyle w:val="ListBullet"/>
        <w:numPr>
          <w:ilvl w:val="1"/>
          <w:numId w:val="17"/>
        </w:numPr>
      </w:pPr>
      <w:r>
        <w:t>r</w:t>
      </w:r>
      <w:r w:rsidR="00353358" w:rsidRPr="00111138">
        <w:t>esearch peak</w:t>
      </w:r>
      <w:r>
        <w:t>s.</w:t>
      </w:r>
    </w:p>
    <w:p w14:paraId="7462DCCD" w14:textId="58CE4376" w:rsidR="00353358" w:rsidRPr="00111138" w:rsidRDefault="003B786D" w:rsidP="00E14791">
      <w:pPr>
        <w:pStyle w:val="ListBullet"/>
      </w:pPr>
      <w:r>
        <w:t>S</w:t>
      </w:r>
      <w:r w:rsidR="003C78B7" w:rsidRPr="00111138">
        <w:t xml:space="preserve">trategic advisory </w:t>
      </w:r>
      <w:r>
        <w:t xml:space="preserve">committee </w:t>
      </w:r>
      <w:r w:rsidR="003C78B7" w:rsidRPr="00111138">
        <w:t>discussions</w:t>
      </w:r>
      <w:r w:rsidR="00456E11" w:rsidRPr="00111138">
        <w:t xml:space="preserve"> </w:t>
      </w:r>
      <w:r w:rsidR="00C0392C">
        <w:t>with</w:t>
      </w:r>
      <w:r w:rsidR="00456E11" w:rsidRPr="00111138">
        <w:t xml:space="preserve"> government representatives</w:t>
      </w:r>
      <w:r>
        <w:t>.</w:t>
      </w:r>
    </w:p>
    <w:p w14:paraId="2D1489D3" w14:textId="44B7E491" w:rsidR="0002168F" w:rsidRDefault="004B6EF5" w:rsidP="0002168F">
      <w:pPr>
        <w:pStyle w:val="ListBullet"/>
      </w:pPr>
      <w:r>
        <w:t>S</w:t>
      </w:r>
      <w:r w:rsidR="00785C80" w:rsidRPr="004D7FB6">
        <w:t>tudents</w:t>
      </w:r>
      <w:r w:rsidR="00785C80" w:rsidRPr="00A904A6">
        <w:t xml:space="preserve"> with disability, their family member or carer</w:t>
      </w:r>
      <w:r w:rsidR="00613C13" w:rsidRPr="00A904A6">
        <w:t xml:space="preserve"> </w:t>
      </w:r>
      <w:r w:rsidR="00455C76" w:rsidRPr="00A904A6">
        <w:t>across n=</w:t>
      </w:r>
      <w:r w:rsidR="00FA7BE7">
        <w:t>7</w:t>
      </w:r>
      <w:r w:rsidR="00455C76" w:rsidRPr="00A904A6">
        <w:t xml:space="preserve"> focus groups</w:t>
      </w:r>
      <w:r w:rsidR="0099102D">
        <w:t xml:space="preserve"> and </w:t>
      </w:r>
      <w:r w:rsidR="00FA7BE7">
        <w:t>4 in-</w:t>
      </w:r>
      <w:r w:rsidR="0099102D">
        <w:t>depth interviews</w:t>
      </w:r>
      <w:r w:rsidR="0002168F">
        <w:t>. S</w:t>
      </w:r>
      <w:r w:rsidR="00613C13">
        <w:t xml:space="preserve">tudents </w:t>
      </w:r>
      <w:r w:rsidR="00947BF8">
        <w:t>included</w:t>
      </w:r>
      <w:r w:rsidR="0066064A">
        <w:t>:</w:t>
      </w:r>
      <w:r w:rsidR="00947BF8">
        <w:t xml:space="preserve"> </w:t>
      </w:r>
    </w:p>
    <w:p w14:paraId="2C7E40E7" w14:textId="085BCA9E" w:rsidR="00613C13" w:rsidRPr="00A904A6" w:rsidRDefault="00E96EF7" w:rsidP="0002168F">
      <w:pPr>
        <w:pStyle w:val="ListBullet"/>
        <w:numPr>
          <w:ilvl w:val="1"/>
          <w:numId w:val="27"/>
        </w:numPr>
      </w:pPr>
      <w:r>
        <w:t xml:space="preserve">those </w:t>
      </w:r>
      <w:r w:rsidRPr="00A904A6">
        <w:t xml:space="preserve">with physical, sensory, neurological, psychosocial, </w:t>
      </w:r>
      <w:r w:rsidR="00A9511B">
        <w:t xml:space="preserve">intellectual, </w:t>
      </w:r>
      <w:r w:rsidR="009106FF">
        <w:t xml:space="preserve">cognitive </w:t>
      </w:r>
      <w:r w:rsidRPr="00A904A6">
        <w:t>or other disability</w:t>
      </w:r>
      <w:r w:rsidR="009106FF">
        <w:t xml:space="preserve"> or impairment</w:t>
      </w:r>
      <w:r w:rsidR="004A6111">
        <w:t>;</w:t>
      </w:r>
      <w:r w:rsidR="005A0856">
        <w:t xml:space="preserve"> and</w:t>
      </w:r>
    </w:p>
    <w:p w14:paraId="4981590A" w14:textId="48F4C91D" w:rsidR="005040B3" w:rsidRPr="00A904A6" w:rsidRDefault="00D93BEA" w:rsidP="00136019">
      <w:pPr>
        <w:pStyle w:val="ListBullet"/>
        <w:numPr>
          <w:ilvl w:val="1"/>
          <w:numId w:val="27"/>
        </w:numPr>
      </w:pPr>
      <w:r>
        <w:t>s</w:t>
      </w:r>
      <w:r w:rsidR="005040B3" w:rsidRPr="00A904A6">
        <w:t xml:space="preserve">tudents </w:t>
      </w:r>
      <w:r w:rsidR="009853C8">
        <w:t>who</w:t>
      </w:r>
      <w:r w:rsidR="005040B3" w:rsidRPr="00A904A6">
        <w:t xml:space="preserve"> </w:t>
      </w:r>
      <w:r w:rsidR="004B278F" w:rsidRPr="00A904A6">
        <w:t xml:space="preserve">were </w:t>
      </w:r>
      <w:r w:rsidR="00886BE6" w:rsidRPr="00A904A6">
        <w:t>currently studying at TAFE</w:t>
      </w:r>
      <w:r>
        <w:t>/RTO</w:t>
      </w:r>
      <w:r w:rsidR="00886BE6" w:rsidRPr="00A904A6">
        <w:t xml:space="preserve"> or university</w:t>
      </w:r>
      <w:r w:rsidR="002D0710" w:rsidRPr="00A904A6">
        <w:t>,</w:t>
      </w:r>
      <w:r w:rsidR="00886BE6" w:rsidRPr="00A904A6">
        <w:t xml:space="preserve"> </w:t>
      </w:r>
      <w:r w:rsidR="00C04613" w:rsidRPr="00A904A6">
        <w:t xml:space="preserve">and </w:t>
      </w:r>
      <w:r w:rsidR="005A3759" w:rsidRPr="00A904A6">
        <w:t xml:space="preserve">graduates </w:t>
      </w:r>
      <w:r w:rsidR="00B068B7" w:rsidRPr="00A904A6">
        <w:t>currently in</w:t>
      </w:r>
      <w:r w:rsidR="00903A37" w:rsidRPr="00A904A6">
        <w:t xml:space="preserve"> their first 1-2 years of employment. </w:t>
      </w:r>
    </w:p>
    <w:p w14:paraId="154C9AA9" w14:textId="093E17A1" w:rsidR="00377FC1" w:rsidRDefault="00C74F2B" w:rsidP="00E14791">
      <w:pPr>
        <w:pStyle w:val="ListBullet"/>
      </w:pPr>
      <w:r>
        <w:t xml:space="preserve">All fieldwork was conducted via video call using Microsoft Teams. </w:t>
      </w:r>
      <w:r w:rsidR="003F6882" w:rsidRPr="00D6592D">
        <w:t xml:space="preserve">ORIMA co-moderated focus groups with </w:t>
      </w:r>
      <w:r w:rsidR="000D0506">
        <w:t xml:space="preserve">the </w:t>
      </w:r>
      <w:r w:rsidR="000D0506" w:rsidRPr="00D50584">
        <w:rPr>
          <w:rFonts w:asciiTheme="minorHAnsi" w:hAnsiTheme="minorHAnsi" w:cstheme="minorHAnsi"/>
        </w:rPr>
        <w:t>Youth Disability Advocacy Service</w:t>
      </w:r>
      <w:r w:rsidR="000D0506" w:rsidRPr="00D6592D">
        <w:t xml:space="preserve"> </w:t>
      </w:r>
      <w:r w:rsidR="000D0506">
        <w:t>(</w:t>
      </w:r>
      <w:r w:rsidR="003F6882" w:rsidRPr="00D6592D">
        <w:t>YDAS</w:t>
      </w:r>
      <w:r w:rsidR="000D0506">
        <w:t>)</w:t>
      </w:r>
      <w:r w:rsidR="003F6882" w:rsidRPr="00D6592D">
        <w:t xml:space="preserve"> </w:t>
      </w:r>
      <w:r w:rsidR="00C250B4">
        <w:t xml:space="preserve">and </w:t>
      </w:r>
      <w:r w:rsidR="00991256">
        <w:t>Victoria Advocacy League for Individual with Disability (</w:t>
      </w:r>
      <w:r w:rsidR="00C250B4">
        <w:t>VALID</w:t>
      </w:r>
      <w:r w:rsidR="00991256">
        <w:t>)</w:t>
      </w:r>
      <w:r w:rsidR="003F6882" w:rsidRPr="00D6592D">
        <w:t xml:space="preserve"> for students </w:t>
      </w:r>
      <w:r w:rsidR="00CF6F98" w:rsidRPr="00D6592D">
        <w:t>with disability</w:t>
      </w:r>
      <w:r w:rsidR="000D0506">
        <w:t xml:space="preserve"> and </w:t>
      </w:r>
      <w:r w:rsidR="003F6882">
        <w:t>a</w:t>
      </w:r>
      <w:r w:rsidR="003F6882" w:rsidRPr="00D6592D">
        <w:t xml:space="preserve">ll </w:t>
      </w:r>
      <w:r w:rsidR="00A36782">
        <w:t>the</w:t>
      </w:r>
      <w:r w:rsidR="003F6882" w:rsidRPr="00D6592D">
        <w:t xml:space="preserve"> other groups and interviews were </w:t>
      </w:r>
      <w:r w:rsidR="003F6882" w:rsidRPr="00603F0E">
        <w:rPr>
          <w:rFonts w:eastAsia="Times New Roman"/>
          <w:szCs w:val="20"/>
        </w:rPr>
        <w:t>conducted</w:t>
      </w:r>
      <w:r w:rsidR="003F6882" w:rsidRPr="00D6592D">
        <w:t xml:space="preserve"> by the ORIMA </w:t>
      </w:r>
      <w:r w:rsidR="000174DD">
        <w:t>R</w:t>
      </w:r>
      <w:r w:rsidR="003F6882" w:rsidRPr="00D6592D">
        <w:t>esearch team with two moderators</w:t>
      </w:r>
      <w:r w:rsidR="002C53BE">
        <w:t>.</w:t>
      </w:r>
    </w:p>
    <w:p w14:paraId="4B4E5194" w14:textId="77777777" w:rsidR="00C24935" w:rsidRDefault="00C24935" w:rsidP="00C24935">
      <w:pPr>
        <w:pStyle w:val="ListBullet"/>
        <w:numPr>
          <w:ilvl w:val="0"/>
          <w:numId w:val="0"/>
        </w:numPr>
        <w:ind w:left="360"/>
      </w:pPr>
    </w:p>
    <w:p w14:paraId="5EE0F690" w14:textId="65239403" w:rsidR="004D7FB6" w:rsidRPr="004D7FB6" w:rsidRDefault="004D7FB6" w:rsidP="00991256">
      <w:r>
        <w:t xml:space="preserve">A more detailed breakdown </w:t>
      </w:r>
      <w:r w:rsidR="00BB3CF0">
        <w:t>of the</w:t>
      </w:r>
      <w:r w:rsidR="0067212A">
        <w:t xml:space="preserve"> target audience and data collection approach can be found in the </w:t>
      </w:r>
      <w:r w:rsidR="0079054F">
        <w:t xml:space="preserve">accompanying </w:t>
      </w:r>
      <w:r w:rsidR="008C1B2A">
        <w:t>Methodology R</w:t>
      </w:r>
      <w:r w:rsidR="0079054F">
        <w:t>eport.</w:t>
      </w:r>
    </w:p>
    <w:p w14:paraId="159D14B9" w14:textId="0F647386" w:rsidR="00B931D4" w:rsidRDefault="00B931D4" w:rsidP="00B931D4">
      <w:pPr>
        <w:pStyle w:val="Heading4"/>
      </w:pPr>
      <w:r>
        <w:t>Quantitative research</w:t>
      </w:r>
    </w:p>
    <w:p w14:paraId="02E6D0AA" w14:textId="023F3397" w:rsidR="008449C8" w:rsidRDefault="00B931D4" w:rsidP="00B911DD">
      <w:r>
        <w:t xml:space="preserve">Quantitative </w:t>
      </w:r>
      <w:r w:rsidR="0096759F">
        <w:t>surveys</w:t>
      </w:r>
      <w:r w:rsidR="00C5659C">
        <w:t xml:space="preserve"> were</w:t>
      </w:r>
      <w:r>
        <w:t xml:space="preserve"> conducted </w:t>
      </w:r>
      <w:r w:rsidR="00B96618">
        <w:t xml:space="preserve">over </w:t>
      </w:r>
      <w:r w:rsidR="00977BCE">
        <w:t>28 October</w:t>
      </w:r>
      <w:r w:rsidR="004639F6">
        <w:t xml:space="preserve"> </w:t>
      </w:r>
      <w:r w:rsidR="00F52ADA">
        <w:t xml:space="preserve">2021 </w:t>
      </w:r>
      <w:r w:rsidR="004639F6">
        <w:t xml:space="preserve">– 9 </w:t>
      </w:r>
      <w:r w:rsidR="00EA68B3">
        <w:t xml:space="preserve">January 2022, </w:t>
      </w:r>
      <w:r>
        <w:t>with the target audience</w:t>
      </w:r>
      <w:r w:rsidR="008449C8">
        <w:t>s</w:t>
      </w:r>
      <w:r w:rsidR="00826B6B">
        <w:t xml:space="preserve"> noted in </w:t>
      </w:r>
      <w:r w:rsidR="008449C8">
        <w:fldChar w:fldCharType="begin"/>
      </w:r>
      <w:r w:rsidR="008449C8">
        <w:instrText xml:space="preserve"> REF _Ref94780658 \h </w:instrText>
      </w:r>
      <w:r w:rsidR="008449C8">
        <w:fldChar w:fldCharType="separate"/>
      </w:r>
      <w:r w:rsidR="00F52694">
        <w:t xml:space="preserve">Table </w:t>
      </w:r>
      <w:r w:rsidR="00F52694">
        <w:rPr>
          <w:noProof/>
        </w:rPr>
        <w:t>1</w:t>
      </w:r>
      <w:r w:rsidR="008449C8">
        <w:fldChar w:fldCharType="end"/>
      </w:r>
      <w:r w:rsidR="008449C8">
        <w:t xml:space="preserve">. The number of responses collected is also noted in this table. </w:t>
      </w:r>
    </w:p>
    <w:p w14:paraId="1F6C7526" w14:textId="212EEF48" w:rsidR="0068367B" w:rsidRDefault="0005260C" w:rsidP="008551B0">
      <w:pPr>
        <w:pStyle w:val="FigureHeading"/>
      </w:pPr>
      <w:bookmarkStart w:id="10" w:name="_Ref94780658"/>
      <w:bookmarkStart w:id="11" w:name="_Ref94707657"/>
      <w:r>
        <w:t xml:space="preserve">Table </w:t>
      </w:r>
      <w:fldSimple w:instr=" SEQ Table \* ARABIC ">
        <w:r w:rsidR="00F52694">
          <w:rPr>
            <w:noProof/>
          </w:rPr>
          <w:t>1</w:t>
        </w:r>
      </w:fldSimple>
      <w:bookmarkEnd w:id="10"/>
      <w:bookmarkEnd w:id="11"/>
      <w:r>
        <w:t>: Target audiences</w:t>
      </w:r>
      <w:r w:rsidR="00402760">
        <w:t xml:space="preserve"> and</w:t>
      </w:r>
      <w:r>
        <w:t xml:space="preserve"> sample size</w:t>
      </w:r>
      <w:r w:rsidR="00491CFC">
        <w:t xml:space="preserve"> </w:t>
      </w:r>
      <w:r w:rsidR="008551B0">
        <w:br/>
      </w:r>
    </w:p>
    <w:tbl>
      <w:tblPr>
        <w:tblStyle w:val="TableGrid"/>
        <w:tblW w:w="907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3"/>
        <w:gridCol w:w="2410"/>
      </w:tblGrid>
      <w:tr w:rsidR="00402760" w14:paraId="61F8621D" w14:textId="77777777" w:rsidTr="00402760">
        <w:trPr>
          <w:tblHeader/>
        </w:trPr>
        <w:tc>
          <w:tcPr>
            <w:tcW w:w="6663" w:type="dxa"/>
            <w:shd w:val="clear" w:color="auto" w:fill="172983"/>
            <w:vAlign w:val="center"/>
          </w:tcPr>
          <w:p w14:paraId="1448DFEF" w14:textId="6F672455" w:rsidR="00402760" w:rsidRPr="00BD1FAB" w:rsidRDefault="00402760" w:rsidP="008A4892">
            <w:pPr>
              <w:pStyle w:val="ColumnHeading"/>
            </w:pPr>
            <w:r w:rsidRPr="007B2233">
              <w:rPr>
                <w:rFonts w:asciiTheme="minorHAnsi" w:hAnsiTheme="minorHAnsi" w:cstheme="minorHAnsi"/>
                <w:color w:val="FFFFFF" w:themeColor="background1"/>
              </w:rPr>
              <w:t>Audience</w:t>
            </w:r>
          </w:p>
        </w:tc>
        <w:tc>
          <w:tcPr>
            <w:tcW w:w="2410" w:type="dxa"/>
            <w:shd w:val="clear" w:color="auto" w:fill="172983"/>
          </w:tcPr>
          <w:p w14:paraId="4E439771" w14:textId="1B38B303" w:rsidR="00402760" w:rsidRDefault="00402760" w:rsidP="008A4892">
            <w:pPr>
              <w:pStyle w:val="ColumnHeading"/>
            </w:pPr>
            <w:r w:rsidRPr="007B2233">
              <w:rPr>
                <w:rFonts w:asciiTheme="minorHAnsi" w:hAnsiTheme="minorHAnsi" w:cstheme="minorHAnsi"/>
                <w:color w:val="FFFFFF" w:themeColor="background1"/>
              </w:rPr>
              <w:t xml:space="preserve">Number of responses </w:t>
            </w:r>
            <w:r>
              <w:rPr>
                <w:rFonts w:asciiTheme="minorHAnsi" w:hAnsiTheme="minorHAnsi" w:cstheme="minorHAnsi"/>
                <w:color w:val="FFFFFF" w:themeColor="background1"/>
              </w:rPr>
              <w:t>collected</w:t>
            </w:r>
          </w:p>
        </w:tc>
      </w:tr>
      <w:tr w:rsidR="00402760" w14:paraId="74A84D5B" w14:textId="77777777" w:rsidTr="00402760">
        <w:tc>
          <w:tcPr>
            <w:tcW w:w="6663" w:type="dxa"/>
            <w:vAlign w:val="center"/>
          </w:tcPr>
          <w:p w14:paraId="576186AB" w14:textId="156EA161" w:rsidR="00402760" w:rsidRPr="005464C1" w:rsidRDefault="00402760" w:rsidP="005464C1">
            <w:pPr>
              <w:pStyle w:val="RowHeading"/>
              <w:jc w:val="left"/>
              <w:rPr>
                <w:b w:val="0"/>
              </w:rPr>
            </w:pPr>
            <w:r w:rsidRPr="6BF9205F">
              <w:rPr>
                <w:rFonts w:asciiTheme="minorHAnsi" w:hAnsiTheme="minorHAnsi" w:cstheme="minorBidi"/>
                <w:b w:val="0"/>
              </w:rPr>
              <w:t xml:space="preserve">Current students </w:t>
            </w:r>
            <w:r w:rsidR="00991256">
              <w:rPr>
                <w:rFonts w:asciiTheme="minorHAnsi" w:hAnsiTheme="minorHAnsi" w:cstheme="minorBidi"/>
                <w:b w:val="0"/>
              </w:rPr>
              <w:t>with disability</w:t>
            </w:r>
            <w:r>
              <w:rPr>
                <w:rFonts w:asciiTheme="minorHAnsi" w:hAnsiTheme="minorHAnsi" w:cstheme="minorBidi"/>
                <w:b w:val="0"/>
              </w:rPr>
              <w:t xml:space="preserve"> or impairment</w:t>
            </w:r>
            <w:r w:rsidRPr="6BF9205F">
              <w:rPr>
                <w:rFonts w:asciiTheme="minorHAnsi" w:hAnsiTheme="minorHAnsi" w:cstheme="minorBidi"/>
                <w:b w:val="0"/>
              </w:rPr>
              <w:t xml:space="preserve"> (year 10-12, </w:t>
            </w:r>
            <w:r>
              <w:rPr>
                <w:rFonts w:asciiTheme="minorHAnsi" w:hAnsiTheme="minorHAnsi" w:cstheme="minorBidi"/>
                <w:b w:val="0"/>
              </w:rPr>
              <w:t xml:space="preserve">university and </w:t>
            </w:r>
            <w:r w:rsidRPr="6BF9205F">
              <w:rPr>
                <w:rFonts w:asciiTheme="minorHAnsi" w:hAnsiTheme="minorHAnsi" w:cstheme="minorBidi"/>
                <w:b w:val="0"/>
              </w:rPr>
              <w:t>TAFE/</w:t>
            </w:r>
            <w:r>
              <w:rPr>
                <w:rFonts w:asciiTheme="minorHAnsi" w:hAnsiTheme="minorHAnsi" w:cstheme="minorBidi"/>
                <w:b w:val="0"/>
              </w:rPr>
              <w:t>other tertiary</w:t>
            </w:r>
            <w:r w:rsidRPr="6BF9205F">
              <w:rPr>
                <w:rFonts w:asciiTheme="minorHAnsi" w:hAnsiTheme="minorHAnsi" w:cstheme="minorBidi"/>
                <w:b w:val="0"/>
              </w:rPr>
              <w:t>)</w:t>
            </w:r>
          </w:p>
        </w:tc>
        <w:tc>
          <w:tcPr>
            <w:tcW w:w="2410" w:type="dxa"/>
            <w:vAlign w:val="center"/>
          </w:tcPr>
          <w:p w14:paraId="4511C97C" w14:textId="11F0257B" w:rsidR="00402760" w:rsidRPr="008449C8" w:rsidRDefault="00402760" w:rsidP="008449C8">
            <w:pPr>
              <w:spacing w:before="60" w:after="60"/>
              <w:jc w:val="center"/>
              <w:rPr>
                <w:rFonts w:asciiTheme="minorHAnsi" w:hAnsiTheme="minorHAnsi" w:cstheme="minorBidi"/>
              </w:rPr>
            </w:pPr>
            <w:r w:rsidRPr="00402760">
              <w:rPr>
                <w:rFonts w:asciiTheme="minorHAnsi" w:hAnsiTheme="minorHAnsi" w:cstheme="minorBidi"/>
              </w:rPr>
              <w:t>n=524</w:t>
            </w:r>
          </w:p>
        </w:tc>
      </w:tr>
      <w:tr w:rsidR="00402760" w14:paraId="1CDF165A" w14:textId="77777777" w:rsidTr="00402760">
        <w:tc>
          <w:tcPr>
            <w:tcW w:w="6663" w:type="dxa"/>
            <w:tcBorders>
              <w:bottom w:val="single" w:sz="4" w:space="0" w:color="auto"/>
            </w:tcBorders>
            <w:vAlign w:val="center"/>
          </w:tcPr>
          <w:p w14:paraId="77AC97C3" w14:textId="6F883173" w:rsidR="00402760" w:rsidRPr="005464C1" w:rsidRDefault="00402760" w:rsidP="005464C1">
            <w:pPr>
              <w:pStyle w:val="RowHeading"/>
              <w:jc w:val="left"/>
              <w:rPr>
                <w:b w:val="0"/>
              </w:rPr>
            </w:pPr>
            <w:r w:rsidRPr="005464C1">
              <w:rPr>
                <w:rFonts w:asciiTheme="minorHAnsi" w:hAnsiTheme="minorHAnsi" w:cstheme="minorHAnsi"/>
                <w:b w:val="0"/>
                <w:bCs/>
              </w:rPr>
              <w:t xml:space="preserve">Family members / carers of a student </w:t>
            </w:r>
            <w:r w:rsidR="00991256">
              <w:rPr>
                <w:rFonts w:asciiTheme="minorHAnsi" w:hAnsiTheme="minorHAnsi" w:cstheme="minorHAnsi"/>
                <w:b w:val="0"/>
                <w:bCs/>
              </w:rPr>
              <w:t>with disability</w:t>
            </w:r>
            <w:r w:rsidRPr="005464C1">
              <w:rPr>
                <w:rFonts w:asciiTheme="minorHAnsi" w:hAnsiTheme="minorHAnsi" w:cstheme="minorHAnsi"/>
                <w:b w:val="0"/>
                <w:bCs/>
              </w:rPr>
              <w:t xml:space="preserve"> </w:t>
            </w:r>
            <w:r>
              <w:rPr>
                <w:rFonts w:asciiTheme="minorHAnsi" w:hAnsiTheme="minorHAnsi" w:cstheme="minorBidi"/>
                <w:b w:val="0"/>
              </w:rPr>
              <w:t>or impairment</w:t>
            </w:r>
            <w:r w:rsidRPr="005464C1">
              <w:rPr>
                <w:rFonts w:asciiTheme="minorHAnsi" w:hAnsiTheme="minorHAnsi" w:cstheme="minorHAnsi"/>
                <w:b w:val="0"/>
                <w:bCs/>
              </w:rPr>
              <w:t xml:space="preserve"> (year 10</w:t>
            </w:r>
            <w:r>
              <w:rPr>
                <w:rFonts w:asciiTheme="minorHAnsi" w:hAnsiTheme="minorHAnsi" w:cstheme="minorHAnsi"/>
                <w:b w:val="0"/>
                <w:bCs/>
              </w:rPr>
              <w:t>-12</w:t>
            </w:r>
            <w:r w:rsidRPr="005464C1">
              <w:rPr>
                <w:rFonts w:asciiTheme="minorHAnsi" w:hAnsiTheme="minorHAnsi" w:cstheme="minorHAnsi"/>
                <w:b w:val="0"/>
                <w:bCs/>
              </w:rPr>
              <w:t>, university and TAFE/</w:t>
            </w:r>
            <w:r>
              <w:rPr>
                <w:rFonts w:asciiTheme="minorHAnsi" w:hAnsiTheme="minorHAnsi" w:cstheme="minorHAnsi"/>
                <w:b w:val="0"/>
                <w:bCs/>
              </w:rPr>
              <w:t>other tertiary</w:t>
            </w:r>
            <w:r w:rsidRPr="005464C1">
              <w:rPr>
                <w:rFonts w:asciiTheme="minorHAnsi" w:hAnsiTheme="minorHAnsi" w:cstheme="minorHAnsi"/>
                <w:b w:val="0"/>
                <w:bCs/>
              </w:rPr>
              <w:t>)</w:t>
            </w:r>
          </w:p>
        </w:tc>
        <w:tc>
          <w:tcPr>
            <w:tcW w:w="2410" w:type="dxa"/>
            <w:vAlign w:val="center"/>
          </w:tcPr>
          <w:p w14:paraId="4837C2FC" w14:textId="6CFFB6A0" w:rsidR="00402760" w:rsidRPr="00AB4651" w:rsidRDefault="00402760" w:rsidP="008A4892">
            <w:pPr>
              <w:pStyle w:val="TableNumber"/>
            </w:pPr>
            <w:r w:rsidRPr="00CA72B7">
              <w:rPr>
                <w:rFonts w:asciiTheme="minorHAnsi" w:hAnsiTheme="minorHAnsi" w:cstheme="minorHAnsi"/>
              </w:rPr>
              <w:t>n=177</w:t>
            </w:r>
          </w:p>
        </w:tc>
      </w:tr>
      <w:tr w:rsidR="00402760" w14:paraId="6E4F8602" w14:textId="77777777" w:rsidTr="00402760">
        <w:tc>
          <w:tcPr>
            <w:tcW w:w="6663" w:type="dxa"/>
            <w:tcBorders>
              <w:top w:val="single" w:sz="4" w:space="0" w:color="auto"/>
              <w:bottom w:val="single" w:sz="4" w:space="0" w:color="auto"/>
            </w:tcBorders>
            <w:vAlign w:val="center"/>
          </w:tcPr>
          <w:p w14:paraId="0F82FFFC" w14:textId="1E367840" w:rsidR="00402760" w:rsidRPr="005464C1" w:rsidRDefault="00402760" w:rsidP="005464C1">
            <w:pPr>
              <w:pStyle w:val="RowHeading"/>
              <w:jc w:val="left"/>
              <w:rPr>
                <w:b w:val="0"/>
                <w:bCs/>
              </w:rPr>
            </w:pPr>
            <w:r w:rsidRPr="005464C1">
              <w:rPr>
                <w:rFonts w:asciiTheme="minorHAnsi" w:hAnsiTheme="minorHAnsi" w:cstheme="minorHAnsi"/>
                <w:b w:val="0"/>
                <w:bCs/>
              </w:rPr>
              <w:t xml:space="preserve">NDCOs and </w:t>
            </w:r>
            <w:r w:rsidR="00E54DDC">
              <w:rPr>
                <w:rFonts w:asciiTheme="minorHAnsi" w:hAnsiTheme="minorHAnsi" w:cstheme="minorHAnsi"/>
                <w:b w:val="0"/>
                <w:bCs/>
              </w:rPr>
              <w:t>H</w:t>
            </w:r>
            <w:r w:rsidRPr="005464C1">
              <w:rPr>
                <w:rFonts w:asciiTheme="minorHAnsi" w:hAnsiTheme="minorHAnsi" w:cstheme="minorHAnsi"/>
                <w:b w:val="0"/>
                <w:bCs/>
              </w:rPr>
              <w:t xml:space="preserve">ost </w:t>
            </w:r>
            <w:r w:rsidR="00E54DDC">
              <w:rPr>
                <w:rFonts w:asciiTheme="minorHAnsi" w:hAnsiTheme="minorHAnsi" w:cstheme="minorHAnsi"/>
                <w:b w:val="0"/>
                <w:bCs/>
              </w:rPr>
              <w:t>Providers</w:t>
            </w:r>
          </w:p>
        </w:tc>
        <w:tc>
          <w:tcPr>
            <w:tcW w:w="2410" w:type="dxa"/>
            <w:vAlign w:val="center"/>
          </w:tcPr>
          <w:p w14:paraId="5FB1223C" w14:textId="5C0887BA" w:rsidR="00891591" w:rsidRPr="00891591" w:rsidRDefault="00891591" w:rsidP="00891591">
            <w:pPr>
              <w:pStyle w:val="TableNumber"/>
              <w:rPr>
                <w:rFonts w:asciiTheme="minorHAnsi" w:hAnsiTheme="minorHAnsi"/>
              </w:rPr>
            </w:pPr>
            <w:r w:rsidRPr="00891591">
              <w:rPr>
                <w:rFonts w:asciiTheme="minorHAnsi" w:hAnsiTheme="minorHAnsi"/>
              </w:rPr>
              <w:t>NDCOs: n=28</w:t>
            </w:r>
          </w:p>
          <w:p w14:paraId="1EBCEEC5" w14:textId="50218F1F" w:rsidR="00402760" w:rsidRPr="00402760" w:rsidRDefault="00891591" w:rsidP="00891591">
            <w:pPr>
              <w:pStyle w:val="TableNumber"/>
              <w:rPr>
                <w:rFonts w:asciiTheme="minorHAnsi" w:hAnsiTheme="minorHAnsi"/>
                <w:highlight w:val="yellow"/>
              </w:rPr>
            </w:pPr>
            <w:r w:rsidRPr="00891591">
              <w:rPr>
                <w:rFonts w:asciiTheme="minorHAnsi" w:hAnsiTheme="minorHAnsi"/>
              </w:rPr>
              <w:t>Host Providers: n=7</w:t>
            </w:r>
          </w:p>
        </w:tc>
      </w:tr>
      <w:tr w:rsidR="00402760" w14:paraId="3E1A5898" w14:textId="77777777" w:rsidTr="00402760">
        <w:tc>
          <w:tcPr>
            <w:tcW w:w="6663" w:type="dxa"/>
            <w:tcBorders>
              <w:top w:val="single" w:sz="4" w:space="0" w:color="auto"/>
              <w:bottom w:val="single" w:sz="4" w:space="0" w:color="auto"/>
            </w:tcBorders>
            <w:vAlign w:val="center"/>
          </w:tcPr>
          <w:p w14:paraId="1B71CFFA" w14:textId="4969DA91" w:rsidR="00402760" w:rsidRPr="005464C1" w:rsidRDefault="00402760" w:rsidP="005464C1">
            <w:pPr>
              <w:pStyle w:val="RowHeading"/>
              <w:jc w:val="left"/>
              <w:rPr>
                <w:b w:val="0"/>
                <w:bCs/>
              </w:rPr>
            </w:pPr>
            <w:r w:rsidRPr="005464C1">
              <w:rPr>
                <w:rFonts w:asciiTheme="minorHAnsi" w:hAnsiTheme="minorHAnsi" w:cstheme="minorHAnsi"/>
                <w:b w:val="0"/>
                <w:bCs/>
              </w:rPr>
              <w:t>Graduates of tertiary education since 2016</w:t>
            </w:r>
            <w:r>
              <w:rPr>
                <w:rFonts w:asciiTheme="minorHAnsi" w:hAnsiTheme="minorHAnsi" w:cstheme="minorHAnsi"/>
                <w:b w:val="0"/>
                <w:bCs/>
              </w:rPr>
              <w:t xml:space="preserve"> </w:t>
            </w:r>
            <w:r w:rsidR="00991256">
              <w:rPr>
                <w:rFonts w:asciiTheme="minorHAnsi" w:hAnsiTheme="minorHAnsi" w:cstheme="minorHAnsi"/>
                <w:b w:val="0"/>
                <w:bCs/>
              </w:rPr>
              <w:t>with disability</w:t>
            </w:r>
            <w:r>
              <w:rPr>
                <w:rFonts w:asciiTheme="minorHAnsi" w:hAnsiTheme="minorHAnsi" w:cstheme="minorHAnsi"/>
                <w:b w:val="0"/>
                <w:bCs/>
              </w:rPr>
              <w:t xml:space="preserve"> </w:t>
            </w:r>
            <w:r>
              <w:rPr>
                <w:rFonts w:asciiTheme="minorHAnsi" w:hAnsiTheme="minorHAnsi" w:cstheme="minorBidi"/>
                <w:b w:val="0"/>
              </w:rPr>
              <w:t>or impairment</w:t>
            </w:r>
          </w:p>
        </w:tc>
        <w:tc>
          <w:tcPr>
            <w:tcW w:w="2410" w:type="dxa"/>
            <w:tcBorders>
              <w:bottom w:val="single" w:sz="4" w:space="0" w:color="auto"/>
            </w:tcBorders>
            <w:vAlign w:val="center"/>
          </w:tcPr>
          <w:p w14:paraId="73348D56" w14:textId="422E208B" w:rsidR="00402760" w:rsidRPr="00AB4651" w:rsidRDefault="00402760" w:rsidP="005464C1">
            <w:pPr>
              <w:pStyle w:val="TableNumber"/>
            </w:pPr>
            <w:r w:rsidRPr="00CA72B7">
              <w:rPr>
                <w:rFonts w:asciiTheme="minorHAnsi" w:hAnsiTheme="minorHAnsi" w:cstheme="minorHAnsi"/>
              </w:rPr>
              <w:t>n=202</w:t>
            </w:r>
          </w:p>
        </w:tc>
      </w:tr>
      <w:tr w:rsidR="00402760" w14:paraId="2EF11812" w14:textId="77777777" w:rsidTr="00402760">
        <w:tc>
          <w:tcPr>
            <w:tcW w:w="6663" w:type="dxa"/>
            <w:tcBorders>
              <w:top w:val="single" w:sz="4" w:space="0" w:color="auto"/>
              <w:bottom w:val="single" w:sz="4" w:space="0" w:color="auto"/>
            </w:tcBorders>
            <w:vAlign w:val="center"/>
          </w:tcPr>
          <w:p w14:paraId="44D376CF" w14:textId="236DDA47" w:rsidR="00402760" w:rsidRPr="009E48D9" w:rsidRDefault="00402760" w:rsidP="009E48D9">
            <w:pPr>
              <w:pStyle w:val="RowHeading"/>
              <w:jc w:val="left"/>
              <w:rPr>
                <w:rFonts w:asciiTheme="minorHAnsi" w:hAnsiTheme="minorHAnsi" w:cstheme="minorHAnsi"/>
                <w:b w:val="0"/>
                <w:bCs/>
              </w:rPr>
            </w:pPr>
            <w:r w:rsidRPr="009E48D9">
              <w:rPr>
                <w:rFonts w:asciiTheme="minorHAnsi" w:hAnsiTheme="minorHAnsi" w:cstheme="minorHAnsi"/>
                <w:b w:val="0"/>
                <w:bCs/>
              </w:rPr>
              <w:t>Practitioners</w:t>
            </w:r>
            <w:r>
              <w:rPr>
                <w:rStyle w:val="FootnoteReference"/>
                <w:rFonts w:asciiTheme="minorHAnsi" w:hAnsiTheme="minorHAnsi" w:cstheme="minorHAnsi"/>
                <w:b w:val="0"/>
                <w:bCs/>
              </w:rPr>
              <w:footnoteReference w:id="2"/>
            </w:r>
            <w:r w:rsidRPr="009E48D9">
              <w:rPr>
                <w:rFonts w:asciiTheme="minorHAnsi" w:hAnsiTheme="minorHAnsi" w:cstheme="minorHAnsi"/>
                <w:b w:val="0"/>
                <w:bCs/>
              </w:rPr>
              <w:t xml:space="preserve"> who were </w:t>
            </w:r>
            <w:r>
              <w:rPr>
                <w:rFonts w:asciiTheme="minorHAnsi" w:hAnsiTheme="minorHAnsi" w:cstheme="minorHAnsi"/>
                <w:b w:val="0"/>
                <w:bCs/>
              </w:rPr>
              <w:t xml:space="preserve">full </w:t>
            </w:r>
            <w:r w:rsidRPr="009E48D9">
              <w:rPr>
                <w:rFonts w:asciiTheme="minorHAnsi" w:hAnsiTheme="minorHAnsi" w:cstheme="minorHAnsi"/>
                <w:b w:val="0"/>
                <w:bCs/>
              </w:rPr>
              <w:t>members of the Australian Tertiary Education Network on Disability (ATEND)</w:t>
            </w:r>
          </w:p>
        </w:tc>
        <w:tc>
          <w:tcPr>
            <w:tcW w:w="2410" w:type="dxa"/>
            <w:tcBorders>
              <w:top w:val="single" w:sz="4" w:space="0" w:color="auto"/>
              <w:bottom w:val="single" w:sz="4" w:space="0" w:color="auto"/>
            </w:tcBorders>
            <w:vAlign w:val="center"/>
          </w:tcPr>
          <w:p w14:paraId="31D6136F" w14:textId="13517CC8" w:rsidR="00402760" w:rsidRPr="009E48D9" w:rsidRDefault="00402760" w:rsidP="009E48D9">
            <w:pPr>
              <w:pStyle w:val="TableNumber"/>
              <w:rPr>
                <w:rFonts w:asciiTheme="minorHAnsi" w:hAnsiTheme="minorHAnsi" w:cstheme="minorHAnsi"/>
                <w:bCs/>
              </w:rPr>
            </w:pPr>
            <w:r w:rsidRPr="009E48D9">
              <w:rPr>
                <w:rFonts w:asciiTheme="minorHAnsi" w:hAnsiTheme="minorHAnsi" w:cstheme="minorHAnsi"/>
                <w:bCs/>
              </w:rPr>
              <w:t>n=</w:t>
            </w:r>
            <w:r>
              <w:rPr>
                <w:rFonts w:asciiTheme="minorHAnsi" w:hAnsiTheme="minorHAnsi" w:cstheme="minorHAnsi"/>
                <w:bCs/>
              </w:rPr>
              <w:t>49</w:t>
            </w:r>
            <w:r>
              <w:rPr>
                <w:rStyle w:val="FootnoteReference"/>
                <w:rFonts w:asciiTheme="minorHAnsi" w:hAnsiTheme="minorHAnsi" w:cstheme="minorHAnsi"/>
                <w:bCs/>
              </w:rPr>
              <w:footnoteReference w:id="3"/>
            </w:r>
          </w:p>
        </w:tc>
      </w:tr>
    </w:tbl>
    <w:p w14:paraId="3E4862DD" w14:textId="66447D39" w:rsidR="0005260C" w:rsidRDefault="00EE1BC8" w:rsidP="00367157">
      <w:r>
        <w:t>All surveys were conducted online</w:t>
      </w:r>
      <w:r w:rsidR="005F7341">
        <w:t>, with the survey of</w:t>
      </w:r>
      <w:r w:rsidR="00415670">
        <w:t>:</w:t>
      </w:r>
    </w:p>
    <w:p w14:paraId="7199026B" w14:textId="29601100" w:rsidR="00415670" w:rsidRDefault="00636E03" w:rsidP="00367157">
      <w:pPr>
        <w:pStyle w:val="ListBullet"/>
      </w:pPr>
      <w:r w:rsidRPr="00861355">
        <w:rPr>
          <w:b/>
        </w:rPr>
        <w:t>current students</w:t>
      </w:r>
      <w:r>
        <w:t xml:space="preserve">, </w:t>
      </w:r>
      <w:r w:rsidRPr="00861355">
        <w:rPr>
          <w:b/>
        </w:rPr>
        <w:t>family members / carers</w:t>
      </w:r>
      <w:r>
        <w:t xml:space="preserve"> of </w:t>
      </w:r>
      <w:r w:rsidR="00BE5136">
        <w:t xml:space="preserve">current </w:t>
      </w:r>
      <w:r>
        <w:t>students</w:t>
      </w:r>
      <w:r w:rsidR="00B62AA5">
        <w:t>,</w:t>
      </w:r>
      <w:r>
        <w:t xml:space="preserve"> and </w:t>
      </w:r>
      <w:r w:rsidR="00B62AA5" w:rsidRPr="00861355">
        <w:rPr>
          <w:b/>
          <w:bCs/>
        </w:rPr>
        <w:t xml:space="preserve">tertiary </w:t>
      </w:r>
      <w:r w:rsidRPr="00861355">
        <w:rPr>
          <w:b/>
        </w:rPr>
        <w:t>graduates</w:t>
      </w:r>
      <w:r>
        <w:t xml:space="preserve"> </w:t>
      </w:r>
      <w:r w:rsidR="009B1ADA">
        <w:t xml:space="preserve">involving </w:t>
      </w:r>
      <w:r w:rsidR="00203BFB">
        <w:t xml:space="preserve">programming and management of </w:t>
      </w:r>
      <w:r w:rsidR="009B1ADA">
        <w:t xml:space="preserve">respondent recruitment </w:t>
      </w:r>
      <w:r w:rsidR="000E2BB5">
        <w:t>from relevant</w:t>
      </w:r>
      <w:r w:rsidR="006B5652">
        <w:t xml:space="preserve"> online panels by Take2</w:t>
      </w:r>
      <w:r w:rsidR="00B20374">
        <w:t xml:space="preserve"> Research</w:t>
      </w:r>
      <w:r w:rsidR="00CB6B55">
        <w:t>;</w:t>
      </w:r>
    </w:p>
    <w:p w14:paraId="567873D2" w14:textId="017BD56D" w:rsidR="005F7341" w:rsidRDefault="00CB2202" w:rsidP="00367157">
      <w:pPr>
        <w:pStyle w:val="ListBullet"/>
      </w:pPr>
      <w:r w:rsidRPr="00861355">
        <w:rPr>
          <w:b/>
        </w:rPr>
        <w:t>NDCOs and host organisations</w:t>
      </w:r>
      <w:r w:rsidR="00067AA7">
        <w:t xml:space="preserve"> </w:t>
      </w:r>
      <w:r w:rsidR="00E871F8">
        <w:t xml:space="preserve">programmed and administered </w:t>
      </w:r>
      <w:r w:rsidR="00125CBF">
        <w:t>by ORIMA Research</w:t>
      </w:r>
      <w:r w:rsidR="00761D19">
        <w:t>;</w:t>
      </w:r>
      <w:r w:rsidR="00991049">
        <w:t xml:space="preserve"> and</w:t>
      </w:r>
    </w:p>
    <w:p w14:paraId="64488423" w14:textId="408DE63D" w:rsidR="00125CBF" w:rsidRDefault="00DA0277" w:rsidP="00367157">
      <w:pPr>
        <w:pStyle w:val="ListBullet"/>
      </w:pPr>
      <w:r>
        <w:rPr>
          <w:b/>
        </w:rPr>
        <w:t>p</w:t>
      </w:r>
      <w:r w:rsidR="005F7341" w:rsidRPr="00861355">
        <w:rPr>
          <w:b/>
        </w:rPr>
        <w:t>ractitioners</w:t>
      </w:r>
      <w:r w:rsidR="00E871F8">
        <w:t xml:space="preserve"> programmed by ORIMA</w:t>
      </w:r>
      <w:r w:rsidR="002810C5">
        <w:t>, with</w:t>
      </w:r>
      <w:r w:rsidR="00E871F8">
        <w:t xml:space="preserve"> </w:t>
      </w:r>
      <w:r w:rsidR="002810C5">
        <w:t>in</w:t>
      </w:r>
      <w:r w:rsidR="005A6A74">
        <w:t>vitations</w:t>
      </w:r>
      <w:r w:rsidR="00E871F8">
        <w:t xml:space="preserve"> and </w:t>
      </w:r>
      <w:r w:rsidR="005A6A74">
        <w:t xml:space="preserve">reminders </w:t>
      </w:r>
      <w:r w:rsidR="00E60D1F">
        <w:t>sent</w:t>
      </w:r>
      <w:r w:rsidR="003B6D76">
        <w:t xml:space="preserve"> by </w:t>
      </w:r>
      <w:r w:rsidR="00E871F8">
        <w:t xml:space="preserve">ATEND to its members. </w:t>
      </w:r>
    </w:p>
    <w:p w14:paraId="614D1517" w14:textId="0F475B47" w:rsidR="00E871F8" w:rsidRDefault="00E871F8" w:rsidP="00E871F8">
      <w:pPr>
        <w:spacing w:before="0" w:after="160" w:line="259" w:lineRule="auto"/>
        <w:jc w:val="left"/>
      </w:pPr>
      <w:r>
        <w:t>Further information about recruitment</w:t>
      </w:r>
      <w:r w:rsidR="00484EF7">
        <w:t xml:space="preserve"> and fieldwork administration of these surveys can be found in the accompanying </w:t>
      </w:r>
      <w:r w:rsidR="00402760">
        <w:t>M</w:t>
      </w:r>
      <w:r w:rsidR="00484EF7">
        <w:t xml:space="preserve">ethodology </w:t>
      </w:r>
      <w:r w:rsidR="00402760">
        <w:t>R</w:t>
      </w:r>
      <w:r w:rsidR="00484EF7">
        <w:t xml:space="preserve">eport. </w:t>
      </w:r>
    </w:p>
    <w:p w14:paraId="10140485" w14:textId="77777777" w:rsidR="005F7341" w:rsidRPr="005F7341" w:rsidRDefault="00A632BF" w:rsidP="005F7341">
      <w:pPr>
        <w:pStyle w:val="Heading4"/>
        <w:jc w:val="left"/>
      </w:pPr>
      <w:r>
        <w:t>Co-creation workshops</w:t>
      </w:r>
    </w:p>
    <w:p w14:paraId="52174AFC" w14:textId="00D8B005" w:rsidR="000C178E" w:rsidRDefault="00424683" w:rsidP="005F7341">
      <w:r w:rsidRPr="005F7341">
        <w:t>P</w:t>
      </w:r>
      <w:r w:rsidRPr="00113070">
        <w:t xml:space="preserve">hase 1 </w:t>
      </w:r>
      <w:r w:rsidR="00141DC1">
        <w:t xml:space="preserve">of the review </w:t>
      </w:r>
      <w:r w:rsidRPr="00113070">
        <w:t xml:space="preserve">was primarily </w:t>
      </w:r>
      <w:r w:rsidR="00C726A9">
        <w:t>fo</w:t>
      </w:r>
      <w:r w:rsidR="007D4FE9">
        <w:t xml:space="preserve">cussed on </w:t>
      </w:r>
      <w:r w:rsidRPr="00113070">
        <w:t xml:space="preserve">gathering information on </w:t>
      </w:r>
      <w:r w:rsidR="007B4B08">
        <w:t>stakeholder</w:t>
      </w:r>
      <w:r w:rsidR="00F332DF">
        <w:t>’s</w:t>
      </w:r>
      <w:r w:rsidRPr="00113070">
        <w:t xml:space="preserve"> views, opinions and experiences of the program to date</w:t>
      </w:r>
      <w:r w:rsidR="000D1E4F">
        <w:t xml:space="preserve"> and </w:t>
      </w:r>
      <w:r w:rsidR="005266C0">
        <w:t xml:space="preserve">determining the </w:t>
      </w:r>
      <w:r w:rsidR="005266C0" w:rsidRPr="005266C0">
        <w:rPr>
          <w:rFonts w:cstheme="minorHAnsi"/>
        </w:rPr>
        <w:t>current and emerging needs of students with disability accessing tertiary education and subsequent employment.</w:t>
      </w:r>
      <w:r w:rsidR="005266C0">
        <w:t xml:space="preserve"> </w:t>
      </w:r>
    </w:p>
    <w:p w14:paraId="77F378D2" w14:textId="239831ED" w:rsidR="00424683" w:rsidRPr="00424683" w:rsidRDefault="000C178E" w:rsidP="00624B5D">
      <w:r>
        <w:t xml:space="preserve">In light of the findings from Phase 1, </w:t>
      </w:r>
      <w:r w:rsidR="00003AF0">
        <w:t>the co-creation workshops sought to</w:t>
      </w:r>
      <w:r w:rsidR="00C50D0F">
        <w:t xml:space="preserve"> </w:t>
      </w:r>
      <w:r w:rsidR="00424683" w:rsidRPr="00424683">
        <w:t xml:space="preserve">explore how the program can be reformed and delivered, such that it delivers strategic outcomes that better </w:t>
      </w:r>
      <w:r w:rsidR="003427D5">
        <w:t xml:space="preserve">address </w:t>
      </w:r>
      <w:r w:rsidR="00424683" w:rsidRPr="00424683">
        <w:t>the needs of students with disability</w:t>
      </w:r>
      <w:r w:rsidR="00C00E18">
        <w:t xml:space="preserve">.  As part of this process, three concepts were developed </w:t>
      </w:r>
      <w:r w:rsidR="00624B5D">
        <w:t>(based on the Phase 1 findings) and presented to participants for discussion and refinement.</w:t>
      </w:r>
    </w:p>
    <w:p w14:paraId="46C1ED1E" w14:textId="5C842D28" w:rsidR="009C1CC2" w:rsidRPr="00A87B81" w:rsidRDefault="009C1CC2" w:rsidP="009C1CC2">
      <w:r>
        <w:t>The workshop audiences included</w:t>
      </w:r>
      <w:r w:rsidR="00101263">
        <w:t>:</w:t>
      </w:r>
    </w:p>
    <w:p w14:paraId="55169682" w14:textId="6A4B0E79" w:rsidR="00567627" w:rsidRDefault="00567627" w:rsidP="00E14791">
      <w:pPr>
        <w:pStyle w:val="ListBullet"/>
      </w:pPr>
      <w:r>
        <w:t xml:space="preserve">n=1 workshop with </w:t>
      </w:r>
      <w:r w:rsidR="009D7603">
        <w:t>(university, TAFE</w:t>
      </w:r>
      <w:r w:rsidR="003A0156">
        <w:t xml:space="preserve"> </w:t>
      </w:r>
      <w:r w:rsidR="009D7603">
        <w:t>/</w:t>
      </w:r>
      <w:r w:rsidR="003A0156">
        <w:t xml:space="preserve"> </w:t>
      </w:r>
      <w:r w:rsidR="009D7603">
        <w:t xml:space="preserve">VET) </w:t>
      </w:r>
      <w:r>
        <w:t xml:space="preserve">students </w:t>
      </w:r>
      <w:r w:rsidR="00991256">
        <w:t>with disability</w:t>
      </w:r>
      <w:r>
        <w:t xml:space="preserve"> and </w:t>
      </w:r>
      <w:r w:rsidRPr="00893D4C">
        <w:t>disability peaks</w:t>
      </w:r>
      <w:r>
        <w:t xml:space="preserve"> </w:t>
      </w:r>
      <w:r w:rsidR="00581728" w:rsidRPr="00893D4C">
        <w:t>/</w:t>
      </w:r>
      <w:r w:rsidR="00581728">
        <w:t xml:space="preserve"> advocacy organisations</w:t>
      </w:r>
      <w:r w:rsidR="00893D4C">
        <w:t>.</w:t>
      </w:r>
    </w:p>
    <w:p w14:paraId="5E98D34A" w14:textId="5E1F2F4E" w:rsidR="00567627" w:rsidRDefault="00567627" w:rsidP="002A06D8">
      <w:pPr>
        <w:pStyle w:val="ListParagraph"/>
        <w:numPr>
          <w:ilvl w:val="0"/>
          <w:numId w:val="17"/>
        </w:numPr>
        <w:spacing w:before="120" w:after="120"/>
        <w:contextualSpacing w:val="0"/>
        <w:jc w:val="left"/>
        <w:rPr>
          <w:lang w:val="en-US"/>
        </w:rPr>
      </w:pPr>
      <w:r>
        <w:rPr>
          <w:lang w:val="en-US"/>
        </w:rPr>
        <w:t xml:space="preserve">n=1 workshop with year 10-12 students </w:t>
      </w:r>
      <w:r w:rsidR="00991256">
        <w:rPr>
          <w:lang w:val="en-US"/>
        </w:rPr>
        <w:t>with disability</w:t>
      </w:r>
      <w:r w:rsidR="002C721E">
        <w:rPr>
          <w:lang w:val="en-US"/>
        </w:rPr>
        <w:t>.</w:t>
      </w:r>
    </w:p>
    <w:p w14:paraId="251CD35F" w14:textId="002CAE6D" w:rsidR="00567627" w:rsidRDefault="00101263" w:rsidP="002A06D8">
      <w:pPr>
        <w:pStyle w:val="ListParagraph"/>
        <w:numPr>
          <w:ilvl w:val="0"/>
          <w:numId w:val="17"/>
        </w:numPr>
        <w:spacing w:before="120" w:after="120"/>
        <w:contextualSpacing w:val="0"/>
        <w:jc w:val="left"/>
        <w:rPr>
          <w:lang w:val="en-US"/>
        </w:rPr>
      </w:pPr>
      <w:r>
        <w:rPr>
          <w:lang w:val="en-US"/>
        </w:rPr>
        <w:t>n=</w:t>
      </w:r>
      <w:r w:rsidR="009C1CC2" w:rsidRPr="008C57F1">
        <w:rPr>
          <w:lang w:val="en-US"/>
        </w:rPr>
        <w:t>1 workshop with NDCOs and host organisations</w:t>
      </w:r>
      <w:r w:rsidR="001E41B2">
        <w:rPr>
          <w:lang w:val="en-US"/>
        </w:rPr>
        <w:t>.</w:t>
      </w:r>
    </w:p>
    <w:p w14:paraId="61FA3AE6" w14:textId="45ACB2EB" w:rsidR="00567627" w:rsidRDefault="00567627" w:rsidP="002A06D8">
      <w:pPr>
        <w:pStyle w:val="ListParagraph"/>
        <w:numPr>
          <w:ilvl w:val="0"/>
          <w:numId w:val="17"/>
        </w:numPr>
        <w:spacing w:before="120" w:after="120"/>
        <w:contextualSpacing w:val="0"/>
        <w:jc w:val="left"/>
        <w:rPr>
          <w:lang w:val="en-US"/>
        </w:rPr>
      </w:pPr>
      <w:r>
        <w:rPr>
          <w:lang w:val="en-US"/>
        </w:rPr>
        <w:t xml:space="preserve">n=1 workshop with </w:t>
      </w:r>
      <w:r w:rsidR="00F332DF">
        <w:rPr>
          <w:lang w:val="en-US"/>
        </w:rPr>
        <w:t>government representatives</w:t>
      </w:r>
      <w:r>
        <w:rPr>
          <w:lang w:val="en-US"/>
        </w:rPr>
        <w:t xml:space="preserve"> and external stakeholders</w:t>
      </w:r>
      <w:r w:rsidR="001E41B2">
        <w:rPr>
          <w:lang w:val="en-US"/>
        </w:rPr>
        <w:t>.</w:t>
      </w:r>
    </w:p>
    <w:p w14:paraId="000BD70E" w14:textId="77777777" w:rsidR="00D25BB0" w:rsidRDefault="002930F9" w:rsidP="00424683">
      <w:r>
        <w:t xml:space="preserve">Two members of the ORIMA Research project team </w:t>
      </w:r>
      <w:r w:rsidR="00BC571C">
        <w:t>co-moderated each workshop</w:t>
      </w:r>
      <w:r w:rsidR="005F7CE8">
        <w:t>.  All the workshops</w:t>
      </w:r>
      <w:r w:rsidR="0047523F">
        <w:t xml:space="preserve"> were conducted online via Microsoft Teams</w:t>
      </w:r>
      <w:r w:rsidR="00463AE3">
        <w:t xml:space="preserve"> over </w:t>
      </w:r>
      <w:r w:rsidR="007D341B">
        <w:t>24-28 January 2022.</w:t>
      </w:r>
      <w:r w:rsidR="00D25BB0">
        <w:t xml:space="preserve"> </w:t>
      </w:r>
    </w:p>
    <w:p w14:paraId="7618D97A" w14:textId="06AF7ED1" w:rsidR="0047523F" w:rsidRDefault="001E4B57" w:rsidP="00424683">
      <w:r>
        <w:t xml:space="preserve">Further information about </w:t>
      </w:r>
      <w:r w:rsidR="00A2464F">
        <w:t xml:space="preserve">these workshops can be found in the accompanying </w:t>
      </w:r>
      <w:r w:rsidR="008C1B2A">
        <w:t>Methodology Report</w:t>
      </w:r>
      <w:r w:rsidR="00A2464F">
        <w:t>.</w:t>
      </w:r>
    </w:p>
    <w:p w14:paraId="320B3AE4" w14:textId="275833B8" w:rsidR="00157AC0" w:rsidRDefault="00157AC0" w:rsidP="00157AC0">
      <w:pPr>
        <w:pStyle w:val="Heading4"/>
        <w:jc w:val="left"/>
      </w:pPr>
      <w:r>
        <w:t>Ethics approval</w:t>
      </w:r>
    </w:p>
    <w:p w14:paraId="73DEF998" w14:textId="687AC5C2" w:rsidR="00157AC0" w:rsidRDefault="00157AC0" w:rsidP="00157AC0">
      <w:r>
        <w:t xml:space="preserve">As this project involved engagement with students </w:t>
      </w:r>
      <w:r w:rsidR="00991256">
        <w:t>with disability</w:t>
      </w:r>
      <w:r>
        <w:t xml:space="preserve"> under the age of 18, </w:t>
      </w:r>
      <w:r w:rsidRPr="008B3F5C">
        <w:t xml:space="preserve">ethics approval </w:t>
      </w:r>
      <w:r>
        <w:t xml:space="preserve">was sought </w:t>
      </w:r>
      <w:r w:rsidR="008E1906">
        <w:t xml:space="preserve">and granted </w:t>
      </w:r>
      <w:r w:rsidRPr="008B3F5C">
        <w:t xml:space="preserve">from </w:t>
      </w:r>
      <w:r>
        <w:t xml:space="preserve">the </w:t>
      </w:r>
      <w:r w:rsidRPr="008B3F5C">
        <w:t>ORIMA Research Human Research Ethics Committee</w:t>
      </w:r>
      <w:r>
        <w:t>.</w:t>
      </w:r>
      <w:r w:rsidR="00332F19">
        <w:t xml:space="preserve"> </w:t>
      </w:r>
    </w:p>
    <w:p w14:paraId="4C1A21F9" w14:textId="6D1DD6AD" w:rsidR="00157AC0" w:rsidRDefault="00157AC0" w:rsidP="00157AC0">
      <w:pPr>
        <w:pStyle w:val="Heading4"/>
        <w:jc w:val="left"/>
      </w:pPr>
      <w:r w:rsidRPr="00D34ECA">
        <w:t>Quality</w:t>
      </w:r>
      <w:r>
        <w:t xml:space="preserve"> standards</w:t>
      </w:r>
    </w:p>
    <w:p w14:paraId="21961AB6" w14:textId="77777777" w:rsidR="00157AC0" w:rsidRPr="00DA67B3" w:rsidRDefault="00157AC0" w:rsidP="00157AC0">
      <w:r>
        <w:t xml:space="preserve">This project was conducted in accordance with the international quality standard ISO 20252, the international information security standard ISO 27001, as well as the Australian Privacy Principles contained in the </w:t>
      </w:r>
      <w:r w:rsidRPr="004F1393">
        <w:rPr>
          <w:i/>
          <w:iCs/>
        </w:rPr>
        <w:t>Privacy Act 1988 (Cth)</w:t>
      </w:r>
      <w:r>
        <w:t>. ORIMA Research also adheres to the Privacy (Market and Social Research) Code 2021 administered by the Australian Data and Insights Association (ADIA).</w:t>
      </w:r>
    </w:p>
    <w:p w14:paraId="129FEDAE" w14:textId="3842E094" w:rsidR="002E6519" w:rsidRDefault="002E6519" w:rsidP="002E6519">
      <w:pPr>
        <w:pStyle w:val="Heading4"/>
        <w:rPr>
          <w:highlight w:val="yellow"/>
        </w:rPr>
      </w:pPr>
      <w:r w:rsidRPr="001273C2">
        <w:t>Research limitations</w:t>
      </w:r>
      <w:r w:rsidRPr="00A044CE">
        <w:rPr>
          <w:highlight w:val="yellow"/>
        </w:rPr>
        <w:t xml:space="preserve"> </w:t>
      </w:r>
    </w:p>
    <w:p w14:paraId="1C6DDD71" w14:textId="42AF6BB7" w:rsidR="002E6519" w:rsidRPr="00011BDB" w:rsidRDefault="002E6519" w:rsidP="002E6519">
      <w:r w:rsidRPr="00011BDB">
        <w:t xml:space="preserve">Due to the COVID-19 pandemic, the qualitative data collection and co-creation workshop methodology was adjusted to the align with </w:t>
      </w:r>
      <w:r w:rsidR="008C1B2A">
        <w:t>State/Territory Government</w:t>
      </w:r>
      <w:r w:rsidRPr="00011BDB">
        <w:t xml:space="preserve"> </w:t>
      </w:r>
      <w:r w:rsidR="008C1B2A">
        <w:t xml:space="preserve">public health </w:t>
      </w:r>
      <w:r w:rsidRPr="00011BDB">
        <w:t>restrictions</w:t>
      </w:r>
      <w:r w:rsidR="00465245">
        <w:t>. F</w:t>
      </w:r>
      <w:r w:rsidRPr="00011BDB">
        <w:t>ocus groups</w:t>
      </w:r>
      <w:r w:rsidR="007D65C6">
        <w:t xml:space="preserve"> and</w:t>
      </w:r>
      <w:r w:rsidRPr="00011BDB">
        <w:t xml:space="preserve"> in-depth interviews were not conducted in-person, but were conducted online via video-calls.</w:t>
      </w:r>
    </w:p>
    <w:p w14:paraId="3DD4F87D" w14:textId="781375D8" w:rsidR="002E6519" w:rsidRPr="00011BDB" w:rsidRDefault="002E6519" w:rsidP="002E6519">
      <w:r w:rsidRPr="00011BDB">
        <w:t xml:space="preserve">The fieldwork period for the practitioner survey coincided with the </w:t>
      </w:r>
      <w:r w:rsidR="008247F1">
        <w:t>end</w:t>
      </w:r>
      <w:r w:rsidR="008247F1" w:rsidRPr="00011BDB">
        <w:t xml:space="preserve"> </w:t>
      </w:r>
      <w:r w:rsidRPr="00011BDB">
        <w:t xml:space="preserve">of the </w:t>
      </w:r>
      <w:r w:rsidR="000B412B">
        <w:t xml:space="preserve">2021 </w:t>
      </w:r>
      <w:r w:rsidR="008247F1">
        <w:t>calendar year and school</w:t>
      </w:r>
      <w:r w:rsidR="00FB5A14">
        <w:t xml:space="preserve"> </w:t>
      </w:r>
      <w:r w:rsidRPr="00011BDB">
        <w:t xml:space="preserve">holiday period, which may have impacted the final response rate to the survey. </w:t>
      </w:r>
    </w:p>
    <w:p w14:paraId="7141CE6E" w14:textId="0204C0A8" w:rsidR="00D7437C" w:rsidRPr="003427D5" w:rsidRDefault="00D7437C" w:rsidP="003427D5">
      <w:pPr>
        <w:pStyle w:val="Heading4"/>
      </w:pPr>
      <w:r w:rsidRPr="003427D5">
        <w:t>Terms</w:t>
      </w:r>
      <w:r w:rsidR="005B0623" w:rsidRPr="003427D5">
        <w:t xml:space="preserve"> used in this report</w:t>
      </w:r>
    </w:p>
    <w:p w14:paraId="04994AE6" w14:textId="5E9168A4" w:rsidR="00D7437C" w:rsidRDefault="00D7437C" w:rsidP="00D7437C">
      <w:r w:rsidRPr="005B0623">
        <w:rPr>
          <w:b/>
          <w:bCs/>
        </w:rPr>
        <w:t>Tertiary Education:</w:t>
      </w:r>
      <w:r>
        <w:t xml:space="preserve"> in the Australian context tertiary education encompasses all national and </w:t>
      </w:r>
      <w:r w:rsidR="000E0C40">
        <w:t xml:space="preserve">State/Territory </w:t>
      </w:r>
      <w:r>
        <w:t xml:space="preserve">government accredited post compulsory education units and packages from levels 1 to 10, including vocational and higher education. </w:t>
      </w:r>
    </w:p>
    <w:p w14:paraId="07DB13A1" w14:textId="11BC8763" w:rsidR="00D7437C" w:rsidRDefault="00D7437C" w:rsidP="00D7437C">
      <w:r w:rsidRPr="005B0623">
        <w:rPr>
          <w:b/>
          <w:bCs/>
        </w:rPr>
        <w:t>Higher Education:</w:t>
      </w:r>
      <w:r>
        <w:t xml:space="preserve"> consists of awards spanning Australian Qualifications Framework (AQF) levels 5-10, which include: Diplomas; Advanced Diplomas; Associate Degrees, Bachelor</w:t>
      </w:r>
      <w:r w:rsidR="00DA0277">
        <w:t xml:space="preserve"> </w:t>
      </w:r>
      <w:r w:rsidR="000E0C40">
        <w:t xml:space="preserve">Degrees </w:t>
      </w:r>
      <w:r>
        <w:t>(including honours); Graduate Certificates; Graduate Diplomas; Masters Degrees; Doctoral Degrees; and higher Doctoral Degrees.</w:t>
      </w:r>
    </w:p>
    <w:p w14:paraId="7A8CB232" w14:textId="5403C83A" w:rsidR="00D7437C" w:rsidRDefault="00D7437C" w:rsidP="00D7437C">
      <w:r w:rsidRPr="005B0623">
        <w:rPr>
          <w:b/>
          <w:bCs/>
        </w:rPr>
        <w:t>Vocational Education and Training:</w:t>
      </w:r>
      <w:r>
        <w:t xml:space="preserve"> a vocational education and training (VET) qualification is a formal certification awarded by a Register</w:t>
      </w:r>
      <w:r w:rsidR="000E0C40">
        <w:t>ed</w:t>
      </w:r>
      <w:r>
        <w:t xml:space="preserve"> Training Provider (RTO) in recognition of the successful completion of an occupational or work-related knowledge and skills-based educational program. There are 8 types of VET qualifications; Certificate I, II, III and IV, Diploma, Advanced Diploma, Graduate Certificate and Graduate Diploma.</w:t>
      </w:r>
    </w:p>
    <w:p w14:paraId="702D8EFF" w14:textId="53E38933" w:rsidR="00BB1A22" w:rsidRDefault="00BB1A22" w:rsidP="00BB1A22">
      <w:r w:rsidRPr="00BB1A22">
        <w:rPr>
          <w:b/>
          <w:bCs/>
        </w:rPr>
        <w:t xml:space="preserve">Transition stages: </w:t>
      </w:r>
      <w:r w:rsidRPr="00BB1A22">
        <w:t xml:space="preserve"> </w:t>
      </w:r>
      <w:r>
        <w:t xml:space="preserve">the following terms are used to describe key transition points for students in </w:t>
      </w:r>
      <w:r w:rsidR="002616C1">
        <w:t>tertiary</w:t>
      </w:r>
      <w:r>
        <w:t xml:space="preserve"> education. </w:t>
      </w:r>
    </w:p>
    <w:p w14:paraId="31956A5D" w14:textId="4697E454" w:rsidR="00BB1A22" w:rsidRDefault="00BB1A22" w:rsidP="00E14791">
      <w:pPr>
        <w:pStyle w:val="ListBullet"/>
      </w:pPr>
      <w:r w:rsidRPr="002616C1">
        <w:rPr>
          <w:b/>
          <w:bCs/>
        </w:rPr>
        <w:t>Pre-access</w:t>
      </w:r>
      <w:r w:rsidR="002616C1" w:rsidRPr="002616C1">
        <w:rPr>
          <w:b/>
          <w:bCs/>
        </w:rPr>
        <w:t>:</w:t>
      </w:r>
      <w:r w:rsidR="002616C1">
        <w:t xml:space="preserve"> </w:t>
      </w:r>
      <w:r w:rsidR="001D2F83">
        <w:t>in the context of the program</w:t>
      </w:r>
      <w:r w:rsidR="000E0C40">
        <w:t>,</w:t>
      </w:r>
      <w:r w:rsidR="001D2F83">
        <w:t xml:space="preserve"> pre-access relates to the period ahead of the decision to enter tertiary education</w:t>
      </w:r>
      <w:r w:rsidR="007F32F3">
        <w:t>.</w:t>
      </w:r>
      <w:r w:rsidR="009619AC">
        <w:t xml:space="preserve"> This stage includes aspects of motivation for entry and career planning.</w:t>
      </w:r>
      <w:r w:rsidR="007F32F3">
        <w:t xml:space="preserve"> For this project, the views around pre-access predomina</w:t>
      </w:r>
      <w:r w:rsidR="000E0C40">
        <w:t>n</w:t>
      </w:r>
      <w:r w:rsidR="007F32F3">
        <w:t>tly relate to students</w:t>
      </w:r>
      <w:r w:rsidR="000D180A">
        <w:t xml:space="preserve"> in the equivalent of secondary school</w:t>
      </w:r>
      <w:r w:rsidR="00E15750">
        <w:t xml:space="preserve"> setting</w:t>
      </w:r>
      <w:r w:rsidR="00537A4C">
        <w:t>. H</w:t>
      </w:r>
      <w:r w:rsidR="009619AC">
        <w:t>owever</w:t>
      </w:r>
      <w:r w:rsidR="00537A4C">
        <w:t>,</w:t>
      </w:r>
      <w:r w:rsidR="009619AC">
        <w:t xml:space="preserve"> the needs of </w:t>
      </w:r>
      <w:r w:rsidR="003308BD">
        <w:t xml:space="preserve">people with disability in the community who </w:t>
      </w:r>
      <w:r w:rsidR="00B47FBE">
        <w:t xml:space="preserve">may be </w:t>
      </w:r>
      <w:r w:rsidR="003308BD">
        <w:t xml:space="preserve">currently </w:t>
      </w:r>
      <w:r w:rsidR="00B47FBE">
        <w:t xml:space="preserve">working, </w:t>
      </w:r>
      <w:r w:rsidR="003308BD">
        <w:t xml:space="preserve">in </w:t>
      </w:r>
      <w:r w:rsidR="00B47FBE">
        <w:t xml:space="preserve">a day program or not engaged with education </w:t>
      </w:r>
      <w:r w:rsidR="00E56F34">
        <w:t>or employment s</w:t>
      </w:r>
      <w:r w:rsidR="00577249">
        <w:t>ystem</w:t>
      </w:r>
      <w:r w:rsidR="003535F4">
        <w:t xml:space="preserve"> should also be considered</w:t>
      </w:r>
      <w:r w:rsidR="007B50DE">
        <w:t xml:space="preserve">. </w:t>
      </w:r>
      <w:r w:rsidR="00D7324A">
        <w:t xml:space="preserve">The report uses terminology of </w:t>
      </w:r>
      <w:r w:rsidR="000F5C0F">
        <w:t>s</w:t>
      </w:r>
      <w:r w:rsidR="00D7324A">
        <w:t xml:space="preserve">econdary </w:t>
      </w:r>
      <w:r w:rsidR="000B0D6D">
        <w:t>s</w:t>
      </w:r>
      <w:r w:rsidR="00D7324A">
        <w:t>chool years</w:t>
      </w:r>
      <w:r w:rsidR="006B0DFC">
        <w:t xml:space="preserve"> – these should be read as ‘equivalent’ years to recognise the </w:t>
      </w:r>
      <w:r w:rsidR="000E1861">
        <w:t xml:space="preserve">different education programs and arrangements in </w:t>
      </w:r>
      <w:r w:rsidR="00816E18">
        <w:t xml:space="preserve">different </w:t>
      </w:r>
      <w:r w:rsidR="00C2108A">
        <w:t>States/ Territories</w:t>
      </w:r>
      <w:r w:rsidR="000E1861">
        <w:t>.</w:t>
      </w:r>
    </w:p>
    <w:p w14:paraId="5C3AC53A" w14:textId="2C9E4194" w:rsidR="00162B0E" w:rsidRPr="003427D5" w:rsidRDefault="00162B0E" w:rsidP="00E14791">
      <w:pPr>
        <w:pStyle w:val="ListBullet"/>
      </w:pPr>
      <w:r w:rsidRPr="003427D5">
        <w:rPr>
          <w:b/>
          <w:bCs/>
        </w:rPr>
        <w:t xml:space="preserve">Access: </w:t>
      </w:r>
      <w:r w:rsidR="00D9729B" w:rsidRPr="003427D5">
        <w:t xml:space="preserve">refers to </w:t>
      </w:r>
      <w:r w:rsidR="008179EE" w:rsidRPr="003427D5">
        <w:t>students who are tran</w:t>
      </w:r>
      <w:r w:rsidR="00716232" w:rsidRPr="003427D5">
        <w:t>sitioning into tertiary education and consider</w:t>
      </w:r>
      <w:r w:rsidR="000822AC" w:rsidRPr="003427D5">
        <w:t xml:space="preserve">s elements of application, </w:t>
      </w:r>
      <w:r w:rsidR="004E411C" w:rsidRPr="003427D5">
        <w:t xml:space="preserve">identification </w:t>
      </w:r>
      <w:r w:rsidR="000F09F7" w:rsidRPr="003427D5">
        <w:t xml:space="preserve">or disclosure of disability </w:t>
      </w:r>
      <w:r w:rsidR="004E411C" w:rsidRPr="003427D5">
        <w:t xml:space="preserve">and </w:t>
      </w:r>
      <w:r w:rsidR="000F09F7" w:rsidRPr="003427D5">
        <w:t>support with onboarding including provision of information about inclusive learning supports.</w:t>
      </w:r>
    </w:p>
    <w:p w14:paraId="0764D713" w14:textId="78D9C2CC" w:rsidR="00BB1A22" w:rsidRPr="003427D5" w:rsidRDefault="00162B0E" w:rsidP="00E14791">
      <w:pPr>
        <w:pStyle w:val="ListBullet"/>
      </w:pPr>
      <w:r w:rsidRPr="003427D5">
        <w:rPr>
          <w:b/>
          <w:bCs/>
        </w:rPr>
        <w:t>P</w:t>
      </w:r>
      <w:r w:rsidR="00BB1A22" w:rsidRPr="003427D5">
        <w:rPr>
          <w:b/>
          <w:bCs/>
        </w:rPr>
        <w:t>articipation</w:t>
      </w:r>
      <w:r w:rsidRPr="003427D5">
        <w:rPr>
          <w:b/>
          <w:bCs/>
        </w:rPr>
        <w:t>:</w:t>
      </w:r>
      <w:r w:rsidR="000F09F7" w:rsidRPr="003427D5">
        <w:t xml:space="preserve"> </w:t>
      </w:r>
      <w:r w:rsidR="008B09D0" w:rsidRPr="003427D5">
        <w:t xml:space="preserve">this stage describes the period of </w:t>
      </w:r>
      <w:r w:rsidR="00DA0277" w:rsidRPr="003427D5">
        <w:t>active study</w:t>
      </w:r>
      <w:r w:rsidR="008B09D0" w:rsidRPr="003427D5">
        <w:t xml:space="preserve"> with the tertiary institution</w:t>
      </w:r>
      <w:r w:rsidR="00967456" w:rsidRPr="003427D5">
        <w:t>. I</w:t>
      </w:r>
      <w:r w:rsidR="00961E8C" w:rsidRPr="003427D5">
        <w:t>t considers participation related</w:t>
      </w:r>
      <w:r w:rsidR="00BE51A2" w:rsidRPr="003427D5">
        <w:t xml:space="preserve"> but not limited to</w:t>
      </w:r>
      <w:r w:rsidR="003721DC" w:rsidRPr="003427D5">
        <w:t xml:space="preserve"> </w:t>
      </w:r>
      <w:r w:rsidR="0086361F" w:rsidRPr="003427D5">
        <w:t xml:space="preserve">the </w:t>
      </w:r>
      <w:r w:rsidR="00B701EB" w:rsidRPr="003427D5">
        <w:t xml:space="preserve">physical and social </w:t>
      </w:r>
      <w:r w:rsidR="0086361F" w:rsidRPr="003427D5">
        <w:t xml:space="preserve">environment, </w:t>
      </w:r>
      <w:r w:rsidR="005D6CCB" w:rsidRPr="003427D5">
        <w:t>coursework</w:t>
      </w:r>
      <w:r w:rsidR="00BE51A2" w:rsidRPr="003427D5">
        <w:t>, assessments, practical assignment and work placements.</w:t>
      </w:r>
    </w:p>
    <w:p w14:paraId="076C4BEE" w14:textId="14BD332A" w:rsidR="00A2464F" w:rsidRDefault="00D7437C" w:rsidP="00E14791">
      <w:pPr>
        <w:pStyle w:val="ListBullet"/>
      </w:pPr>
      <w:r w:rsidRPr="00BF42D2">
        <w:rPr>
          <w:b/>
          <w:bCs/>
        </w:rPr>
        <w:t xml:space="preserve">Subsequent </w:t>
      </w:r>
      <w:r w:rsidR="00BF42D2">
        <w:rPr>
          <w:b/>
          <w:bCs/>
        </w:rPr>
        <w:t xml:space="preserve">/ Graduate </w:t>
      </w:r>
      <w:r w:rsidRPr="00BF42D2">
        <w:rPr>
          <w:b/>
          <w:bCs/>
        </w:rPr>
        <w:t>Employment:</w:t>
      </w:r>
      <w:r>
        <w:t xml:space="preserve"> in the context of the </w:t>
      </w:r>
      <w:r w:rsidR="00392EEE">
        <w:t>p</w:t>
      </w:r>
      <w:r>
        <w:t>rogram</w:t>
      </w:r>
      <w:r w:rsidR="00C2108A">
        <w:t>,</w:t>
      </w:r>
      <w:r>
        <w:t xml:space="preserve"> subsequent</w:t>
      </w:r>
      <w:r w:rsidR="00E42502">
        <w:t xml:space="preserve"> or graduate</w:t>
      </w:r>
      <w:r>
        <w:t xml:space="preserve"> employment refers to employment that is obtained after tertiary education is undertaken. It is acknowledged that some tertiary education courses, such as apprenticeships, have a component of “concurrent” employment (paid or voluntary). This concurrent employment </w:t>
      </w:r>
      <w:r w:rsidR="006B052B">
        <w:t>is considered to support a pathway for graduate employment.</w:t>
      </w:r>
    </w:p>
    <w:p w14:paraId="17E0354D" w14:textId="5E233368" w:rsidR="00FD45A4" w:rsidRDefault="00FD45A4" w:rsidP="002C3DF1">
      <w:pPr>
        <w:pStyle w:val="Heading1"/>
        <w:jc w:val="left"/>
      </w:pPr>
      <w:bookmarkStart w:id="12" w:name="_Toc95836727"/>
      <w:bookmarkEnd w:id="4"/>
      <w:r>
        <w:t xml:space="preserve">Key </w:t>
      </w:r>
      <w:r w:rsidR="000E0E77">
        <w:t>i</w:t>
      </w:r>
      <w:r>
        <w:t>nsights</w:t>
      </w:r>
      <w:r w:rsidR="00E716F6">
        <w:t xml:space="preserve"> on </w:t>
      </w:r>
      <w:r w:rsidR="00A40C61">
        <w:t>current and emerging needs of students</w:t>
      </w:r>
      <w:bookmarkEnd w:id="12"/>
      <w:r w:rsidR="004F5920">
        <w:t xml:space="preserve"> </w:t>
      </w:r>
    </w:p>
    <w:p w14:paraId="7D60F7C8" w14:textId="510708B1" w:rsidR="000E1861" w:rsidRPr="005B797B" w:rsidRDefault="000E1861" w:rsidP="00DE4D1C">
      <w:r w:rsidRPr="005B797B">
        <w:t>This section of the report draws on the extensive desktop</w:t>
      </w:r>
      <w:r w:rsidR="00C55BFC" w:rsidRPr="005B797B">
        <w:t>, qualitative and quantitative research conducted</w:t>
      </w:r>
      <w:r w:rsidR="005B797B" w:rsidRPr="005B797B">
        <w:t xml:space="preserve">. It presents primary insights into </w:t>
      </w:r>
      <w:r w:rsidR="00C1259D">
        <w:t>the needs of current and graduate students</w:t>
      </w:r>
      <w:r w:rsidR="00FB24EC">
        <w:t xml:space="preserve"> </w:t>
      </w:r>
      <w:r w:rsidR="00D243A1">
        <w:t xml:space="preserve">which are </w:t>
      </w:r>
      <w:r w:rsidR="00FB24EC">
        <w:t xml:space="preserve">most relevant </w:t>
      </w:r>
      <w:r w:rsidR="00D243A1">
        <w:t>to</w:t>
      </w:r>
      <w:r w:rsidR="00FB24EC">
        <w:t xml:space="preserve"> this program review. M</w:t>
      </w:r>
      <w:r w:rsidR="00CF2192">
        <w:t xml:space="preserve">ore detailed findings are presented in </w:t>
      </w:r>
      <w:r w:rsidR="00E31AE6">
        <w:t xml:space="preserve">the </w:t>
      </w:r>
      <w:r w:rsidR="00FB24EC">
        <w:t>Appendi</w:t>
      </w:r>
      <w:r w:rsidR="00E31AE6">
        <w:t xml:space="preserve">ces. </w:t>
      </w:r>
    </w:p>
    <w:p w14:paraId="0B94CBBF" w14:textId="5F093872" w:rsidR="007650C5" w:rsidRDefault="00A51224" w:rsidP="00FD45A4">
      <w:pPr>
        <w:pStyle w:val="Heading2"/>
        <w:jc w:val="left"/>
      </w:pPr>
      <w:bookmarkStart w:id="13" w:name="_Toc95836728"/>
      <w:r>
        <w:t>B</w:t>
      </w:r>
      <w:r w:rsidR="000500C5">
        <w:t>arriers</w:t>
      </w:r>
      <w:r w:rsidR="00BE407B">
        <w:t xml:space="preserve"> </w:t>
      </w:r>
      <w:r w:rsidR="00FC79A8">
        <w:t xml:space="preserve">and needs of </w:t>
      </w:r>
      <w:r w:rsidR="00BE407B" w:rsidRPr="00BE407B">
        <w:t>students with disability accessing tertiary education and subsequent employment</w:t>
      </w:r>
      <w:bookmarkEnd w:id="13"/>
      <w:r w:rsidR="00BE407B" w:rsidRPr="00BE407B">
        <w:t xml:space="preserve"> </w:t>
      </w:r>
    </w:p>
    <w:p w14:paraId="0DEC923D" w14:textId="3F60F599" w:rsidR="00FD45A4" w:rsidRPr="00DA0277" w:rsidRDefault="0007560E" w:rsidP="00FD45A4">
      <w:pPr>
        <w:pStyle w:val="Heading3"/>
        <w:rPr>
          <w:b w:val="0"/>
        </w:rPr>
      </w:pPr>
      <w:bookmarkStart w:id="14" w:name="_Toc95836729"/>
      <w:r w:rsidRPr="00DA0277">
        <w:rPr>
          <w:rStyle w:val="Strong"/>
          <w:b/>
          <w:bCs w:val="0"/>
        </w:rPr>
        <w:t>A key opportunity to drive greater entry into tertiary education lies in building career ambition</w:t>
      </w:r>
      <w:bookmarkEnd w:id="14"/>
    </w:p>
    <w:p w14:paraId="61993793" w14:textId="76A93FFF" w:rsidR="0016048D" w:rsidRDefault="00991256" w:rsidP="0016048D">
      <w:r w:rsidRPr="00FB5A14">
        <w:t>Students with disability</w:t>
      </w:r>
      <w:r w:rsidR="007650C5" w:rsidRPr="00FB5A14">
        <w:t xml:space="preserve"> </w:t>
      </w:r>
      <w:r w:rsidR="00CA1650" w:rsidRPr="00FB5A14">
        <w:t xml:space="preserve">have been </w:t>
      </w:r>
      <w:r w:rsidR="00695954" w:rsidRPr="00FB5A14">
        <w:t>disengaging with the education system earlier than their peers</w:t>
      </w:r>
      <w:r w:rsidR="001B7D3A" w:rsidRPr="00FB5A14">
        <w:t xml:space="preserve">. </w:t>
      </w:r>
      <w:r w:rsidR="00B72D4F" w:rsidRPr="00FB5A14">
        <w:t>They</w:t>
      </w:r>
      <w:r w:rsidR="00374092" w:rsidRPr="00FB5A14">
        <w:t xml:space="preserve"> </w:t>
      </w:r>
      <w:r w:rsidR="00D52E6F" w:rsidRPr="00FB5A14">
        <w:t>are</w:t>
      </w:r>
      <w:r w:rsidR="00374092" w:rsidRPr="00FB5A14">
        <w:t xml:space="preserve"> more likely than those</w:t>
      </w:r>
      <w:r w:rsidR="00374092" w:rsidRPr="00374092">
        <w:t xml:space="preserve"> without a disability to </w:t>
      </w:r>
      <w:r w:rsidR="001751D6">
        <w:t xml:space="preserve">have </w:t>
      </w:r>
      <w:r w:rsidR="00374092" w:rsidRPr="00374092">
        <w:t>complete</w:t>
      </w:r>
      <w:r w:rsidR="007D22A8">
        <w:t xml:space="preserve">d </w:t>
      </w:r>
      <w:r w:rsidR="00374092" w:rsidRPr="00374092">
        <w:t>year 10, year 9 or year 8 or equivalent as their highest level of school</w:t>
      </w:r>
      <w:r w:rsidR="001B7D3A">
        <w:t xml:space="preserve">. </w:t>
      </w:r>
      <w:r w:rsidR="00CA1650">
        <w:t xml:space="preserve">This has led </w:t>
      </w:r>
      <w:r w:rsidR="001B7D3A">
        <w:t xml:space="preserve">to a gap </w:t>
      </w:r>
      <w:r w:rsidR="004E60E1">
        <w:t xml:space="preserve">of </w:t>
      </w:r>
      <w:r w:rsidR="0019138F">
        <w:t xml:space="preserve">almost double </w:t>
      </w:r>
      <w:r w:rsidR="001B7D3A">
        <w:t>between</w:t>
      </w:r>
      <w:r w:rsidR="004E60E1">
        <w:t xml:space="preserve"> completion </w:t>
      </w:r>
      <w:r w:rsidR="0019138F">
        <w:t xml:space="preserve">rates </w:t>
      </w:r>
      <w:r w:rsidR="004E60E1">
        <w:t xml:space="preserve">of year 12 </w:t>
      </w:r>
      <w:r w:rsidR="00CA1650">
        <w:t xml:space="preserve">or </w:t>
      </w:r>
      <w:r w:rsidR="004E60E1">
        <w:t>equivalent</w:t>
      </w:r>
      <w:r w:rsidR="00EF5F3D">
        <w:t xml:space="preserve"> </w:t>
      </w:r>
      <w:r>
        <w:t>–</w:t>
      </w:r>
      <w:r w:rsidR="00EF5F3D">
        <w:t xml:space="preserve"> </w:t>
      </w:r>
      <w:r w:rsidR="004E6AC5">
        <w:t>33</w:t>
      </w:r>
      <w:r>
        <w:t xml:space="preserve"> per cent</w:t>
      </w:r>
      <w:r w:rsidR="004E6AC5">
        <w:t xml:space="preserve"> </w:t>
      </w:r>
      <w:r w:rsidR="00F836F8">
        <w:t xml:space="preserve">of </w:t>
      </w:r>
      <w:r w:rsidR="00A61740">
        <w:t xml:space="preserve">students with </w:t>
      </w:r>
      <w:r w:rsidR="00EF5F3D">
        <w:t xml:space="preserve">reported disability versus </w:t>
      </w:r>
      <w:r w:rsidR="006E6CD9">
        <w:t>65</w:t>
      </w:r>
      <w:r>
        <w:t xml:space="preserve"> per cent</w:t>
      </w:r>
      <w:r w:rsidR="006E6CD9">
        <w:t xml:space="preserve"> </w:t>
      </w:r>
      <w:r w:rsidR="00F836F8">
        <w:t xml:space="preserve">of those with </w:t>
      </w:r>
      <w:r w:rsidR="00EF5F3D">
        <w:t>no reported disability</w:t>
      </w:r>
      <w:r w:rsidR="006E6CD9">
        <w:t>.</w:t>
      </w:r>
    </w:p>
    <w:p w14:paraId="18ABEA0E" w14:textId="77777777" w:rsidR="0037166B" w:rsidRDefault="005423D2" w:rsidP="0016048D">
      <w:r>
        <w:t xml:space="preserve">A large proportion of the barriers identified relate </w:t>
      </w:r>
      <w:r w:rsidR="00FC4582" w:rsidRPr="00FC4582">
        <w:t>to</w:t>
      </w:r>
      <w:r w:rsidR="00FC4582">
        <w:t xml:space="preserve"> pre</w:t>
      </w:r>
      <w:r w:rsidR="00E45BF4">
        <w:t>-</w:t>
      </w:r>
      <w:r w:rsidR="00FC4582">
        <w:t>access decisions and support including</w:t>
      </w:r>
      <w:r w:rsidR="00FC4582" w:rsidRPr="00FC4582">
        <w:t xml:space="preserve"> the low aspirations and expectations for students with disability to achieve their education and career goals</w:t>
      </w:r>
      <w:r w:rsidR="00B720C6">
        <w:t xml:space="preserve">. </w:t>
      </w:r>
      <w:r w:rsidR="00EB4270">
        <w:t xml:space="preserve">We heard that </w:t>
      </w:r>
      <w:r w:rsidR="00707B7B" w:rsidRPr="00D66066">
        <w:t>students</w:t>
      </w:r>
      <w:r w:rsidR="008453E1" w:rsidRPr="00D66066">
        <w:t xml:space="preserve"> experience doubt</w:t>
      </w:r>
      <w:r w:rsidR="00032AD0" w:rsidRPr="00D66066">
        <w:t xml:space="preserve">, </w:t>
      </w:r>
      <w:r w:rsidR="00F048E9" w:rsidRPr="00D66066">
        <w:t xml:space="preserve">redirection </w:t>
      </w:r>
      <w:r w:rsidR="00866899" w:rsidRPr="00D66066">
        <w:t>by educators / advisors</w:t>
      </w:r>
      <w:r w:rsidR="006C5FF3" w:rsidRPr="00D66066">
        <w:t xml:space="preserve"> into alternate pathways</w:t>
      </w:r>
      <w:r w:rsidR="00674EEA" w:rsidRPr="00D66066">
        <w:t xml:space="preserve"> and employers </w:t>
      </w:r>
      <w:r w:rsidR="0001339D" w:rsidRPr="00D66066">
        <w:t xml:space="preserve">not </w:t>
      </w:r>
      <w:r w:rsidR="006003C7" w:rsidRPr="00D66066">
        <w:t xml:space="preserve">realising </w:t>
      </w:r>
      <w:r w:rsidR="009957ED" w:rsidRPr="00D66066">
        <w:t xml:space="preserve">the </w:t>
      </w:r>
      <w:r w:rsidR="0001339D" w:rsidRPr="00D66066">
        <w:t>strengths of individual</w:t>
      </w:r>
      <w:r w:rsidR="009957ED" w:rsidRPr="00D66066">
        <w:t>s that have a disability</w:t>
      </w:r>
      <w:r w:rsidR="00985C87" w:rsidRPr="00D66066">
        <w:t>.</w:t>
      </w:r>
      <w:r w:rsidR="00985C87" w:rsidRPr="00991256">
        <w:rPr>
          <w:b/>
          <w:bCs/>
        </w:rPr>
        <w:t xml:space="preserve"> </w:t>
      </w:r>
    </w:p>
    <w:p w14:paraId="3C5187BA" w14:textId="4D67E573" w:rsidR="00AC2997" w:rsidRPr="00FB5A14" w:rsidRDefault="00782BDC" w:rsidP="0016048D">
      <w:r w:rsidRPr="00FB5A14">
        <w:t xml:space="preserve">Practically, </w:t>
      </w:r>
      <w:r w:rsidRPr="00D66066">
        <w:t xml:space="preserve">there </w:t>
      </w:r>
      <w:r w:rsidR="00B647D4" w:rsidRPr="00D66066">
        <w:t xml:space="preserve">appears </w:t>
      </w:r>
      <w:r w:rsidR="00CA1650" w:rsidRPr="00D66066">
        <w:t xml:space="preserve">to be </w:t>
      </w:r>
      <w:r w:rsidR="00991256" w:rsidRPr="00D66066">
        <w:t xml:space="preserve">variability in </w:t>
      </w:r>
      <w:r w:rsidR="00B720C6" w:rsidRPr="00D66066">
        <w:t xml:space="preserve"> </w:t>
      </w:r>
      <w:r w:rsidR="000A4278" w:rsidRPr="00D66066">
        <w:t xml:space="preserve">effective </w:t>
      </w:r>
      <w:r w:rsidR="00B720C6" w:rsidRPr="00D66066">
        <w:t>career planning</w:t>
      </w:r>
      <w:r w:rsidR="000A4278" w:rsidRPr="00D66066">
        <w:t xml:space="preserve"> support</w:t>
      </w:r>
      <w:r w:rsidR="0001339D" w:rsidRPr="00D66066">
        <w:t xml:space="preserve"> </w:t>
      </w:r>
      <w:r w:rsidR="006003C7" w:rsidRPr="00D66066">
        <w:t xml:space="preserve">that </w:t>
      </w:r>
      <w:r w:rsidR="005B48A4" w:rsidRPr="00D66066">
        <w:t>focus</w:t>
      </w:r>
      <w:r w:rsidR="006003C7" w:rsidRPr="00D66066">
        <w:t>es</w:t>
      </w:r>
      <w:r w:rsidR="005B48A4" w:rsidRPr="00D66066">
        <w:t xml:space="preserve"> on abilities</w:t>
      </w:r>
      <w:r w:rsidR="00467452" w:rsidRPr="00D66066">
        <w:t xml:space="preserve"> over barriers</w:t>
      </w:r>
      <w:r w:rsidR="00E35CEF" w:rsidRPr="00D66066">
        <w:t>,</w:t>
      </w:r>
      <w:r w:rsidR="00E33D99" w:rsidRPr="00D66066">
        <w:t xml:space="preserve"> and </w:t>
      </w:r>
      <w:r w:rsidRPr="00D66066">
        <w:t xml:space="preserve">insufficient information about </w:t>
      </w:r>
      <w:r w:rsidR="00C33372" w:rsidRPr="00D66066">
        <w:t xml:space="preserve">tertiary </w:t>
      </w:r>
      <w:r w:rsidRPr="00D66066">
        <w:t>options</w:t>
      </w:r>
      <w:r w:rsidR="00B647D4" w:rsidRPr="00D66066">
        <w:t xml:space="preserve"> and </w:t>
      </w:r>
      <w:r w:rsidR="0059618A" w:rsidRPr="00D66066">
        <w:t xml:space="preserve">the </w:t>
      </w:r>
      <w:r w:rsidR="00B647D4" w:rsidRPr="00D66066">
        <w:t xml:space="preserve">reasonable adjustments </w:t>
      </w:r>
      <w:r w:rsidR="00AE04BE" w:rsidRPr="00D66066">
        <w:t xml:space="preserve">that could be made </w:t>
      </w:r>
      <w:r w:rsidR="00B647D4" w:rsidRPr="00D66066">
        <w:t>available.</w:t>
      </w:r>
      <w:r w:rsidR="003629EF" w:rsidRPr="00FB5A14">
        <w:t xml:space="preserve"> </w:t>
      </w:r>
      <w:r w:rsidR="00174A05" w:rsidRPr="00FB5A14">
        <w:t xml:space="preserve">This is combined with students disengaging </w:t>
      </w:r>
      <w:r w:rsidR="00954706" w:rsidRPr="00FB5A14">
        <w:t xml:space="preserve">in </w:t>
      </w:r>
      <w:r w:rsidR="00EE6085" w:rsidRPr="00FB5A14">
        <w:t xml:space="preserve">school </w:t>
      </w:r>
      <w:r w:rsidR="00954706" w:rsidRPr="00FB5A14">
        <w:t>years 8-10</w:t>
      </w:r>
      <w:r w:rsidR="004540EF" w:rsidRPr="00FB5A14">
        <w:t xml:space="preserve"> </w:t>
      </w:r>
      <w:r w:rsidR="00174A05" w:rsidRPr="00FB5A14">
        <w:t xml:space="preserve">likely before </w:t>
      </w:r>
      <w:r w:rsidR="00AE04BE" w:rsidRPr="00FB5A14">
        <w:t xml:space="preserve">they have developed </w:t>
      </w:r>
      <w:r w:rsidR="00996F55" w:rsidRPr="00FB5A14">
        <w:t xml:space="preserve">job </w:t>
      </w:r>
      <w:r w:rsidR="005D6D93" w:rsidRPr="00FB5A14">
        <w:t>aspirations</w:t>
      </w:r>
      <w:r w:rsidR="00014DA6" w:rsidRPr="00FB5A14">
        <w:t xml:space="preserve"> </w:t>
      </w:r>
      <w:r w:rsidR="007A7884" w:rsidRPr="00FB5A14">
        <w:t>or</w:t>
      </w:r>
      <w:r w:rsidR="00487819" w:rsidRPr="00FB5A14">
        <w:t xml:space="preserve"> goal setting commences</w:t>
      </w:r>
      <w:r w:rsidR="004540EF" w:rsidRPr="00FB5A14">
        <w:t xml:space="preserve">, </w:t>
      </w:r>
      <w:r w:rsidR="00877D34" w:rsidRPr="00FB5A14">
        <w:t>and</w:t>
      </w:r>
      <w:r w:rsidR="00630A57" w:rsidRPr="00FB5A14">
        <w:t xml:space="preserve"> </w:t>
      </w:r>
      <w:r w:rsidR="00877D34" w:rsidRPr="00FB5A14">
        <w:t>/</w:t>
      </w:r>
      <w:r w:rsidR="00630A57" w:rsidRPr="00FB5A14">
        <w:t xml:space="preserve"> </w:t>
      </w:r>
      <w:r w:rsidR="00926937" w:rsidRPr="00FB5A14">
        <w:t>or because ‘fighting’ for the right to a good career is too difficult.</w:t>
      </w:r>
      <w:r w:rsidR="005D661C" w:rsidRPr="00FB5A14">
        <w:t xml:space="preserve"> </w:t>
      </w:r>
    </w:p>
    <w:p w14:paraId="1E59241E" w14:textId="02EB53A1" w:rsidR="00C33372" w:rsidRDefault="00AC2997" w:rsidP="0016048D">
      <w:r>
        <w:t xml:space="preserve">When presented with information about the program and related stakeholders in the system, students and parents </w:t>
      </w:r>
      <w:r w:rsidR="00666CAC">
        <w:t>suggested that there was a</w:t>
      </w:r>
      <w:r w:rsidRPr="00FB5A14">
        <w:t xml:space="preserve"> </w:t>
      </w:r>
      <w:r w:rsidRPr="00D66066">
        <w:t>need for stakeholders, policy and programs to be better connected and work better together to improve tertiary pathways and employment outcomes for students.</w:t>
      </w:r>
      <w:r>
        <w:t xml:space="preserve"> </w:t>
      </w:r>
      <w:r w:rsidR="001D07EB">
        <w:t xml:space="preserve">Finding information online about options and support was seen as confusing, time-consuming and frustrating. </w:t>
      </w:r>
    </w:p>
    <w:p w14:paraId="06C3EE00" w14:textId="77777777" w:rsidR="0037166B" w:rsidRPr="00FB5A14" w:rsidRDefault="002E453B" w:rsidP="0016048D">
      <w:r>
        <w:t xml:space="preserve">Our research with </w:t>
      </w:r>
      <w:r w:rsidR="00DC742B">
        <w:t xml:space="preserve">secondary </w:t>
      </w:r>
      <w:r>
        <w:t>school</w:t>
      </w:r>
      <w:r w:rsidR="006A6485">
        <w:t xml:space="preserve">, tertiary and </w:t>
      </w:r>
      <w:r w:rsidR="00050FC6">
        <w:t xml:space="preserve">tertiary-graduated students </w:t>
      </w:r>
      <w:r w:rsidR="00FA6BB4">
        <w:t>indicates</w:t>
      </w:r>
      <w:r w:rsidR="00050FC6">
        <w:t xml:space="preserve"> that the primary reason for entering tertiary education is to obtain a job – </w:t>
      </w:r>
      <w:r w:rsidR="000B1763">
        <w:t xml:space="preserve">mostly </w:t>
      </w:r>
      <w:r w:rsidR="001459C9">
        <w:t>students</w:t>
      </w:r>
      <w:r w:rsidR="000B1763">
        <w:t xml:space="preserve"> know or have a general idea about the job or career area they are seeking. </w:t>
      </w:r>
      <w:r w:rsidR="00C77BA5" w:rsidRPr="008406AE">
        <w:t xml:space="preserve">This aligns with the </w:t>
      </w:r>
      <w:r w:rsidR="00221809">
        <w:t xml:space="preserve">program </w:t>
      </w:r>
      <w:r w:rsidR="00C77BA5" w:rsidRPr="008406AE">
        <w:t xml:space="preserve">aspiration </w:t>
      </w:r>
      <w:r w:rsidR="006F4035">
        <w:t xml:space="preserve">of </w:t>
      </w:r>
      <w:r w:rsidR="00221809">
        <w:t xml:space="preserve">students obtaining </w:t>
      </w:r>
      <w:r w:rsidR="00221809" w:rsidRPr="00D66066">
        <w:t>graduate</w:t>
      </w:r>
      <w:r w:rsidR="00C77BA5" w:rsidRPr="00FB5A14">
        <w:t xml:space="preserve"> </w:t>
      </w:r>
      <w:r w:rsidR="00C77BA5" w:rsidRPr="00D66066">
        <w:t>employment related to</w:t>
      </w:r>
      <w:r w:rsidR="00AC2997" w:rsidRPr="00D66066">
        <w:t xml:space="preserve"> their</w:t>
      </w:r>
      <w:r w:rsidR="00C77BA5" w:rsidRPr="00D66066">
        <w:t xml:space="preserve"> tertiary studies</w:t>
      </w:r>
      <w:r w:rsidR="00C77BA5" w:rsidRPr="00FB5A14">
        <w:t>.</w:t>
      </w:r>
      <w:r w:rsidR="008406AE" w:rsidRPr="00FB5A14">
        <w:t xml:space="preserve"> </w:t>
      </w:r>
    </w:p>
    <w:p w14:paraId="3F3F6FBC" w14:textId="77777777" w:rsidR="00666CAC" w:rsidRDefault="003A2E8E" w:rsidP="008247F1">
      <w:pPr>
        <w:pStyle w:val="Heading3"/>
        <w:rPr>
          <w:b w:val="0"/>
          <w:color w:val="auto"/>
          <w:sz w:val="22"/>
          <w:szCs w:val="22"/>
        </w:rPr>
      </w:pPr>
      <w:r w:rsidRPr="005614FF">
        <w:rPr>
          <w:b w:val="0"/>
          <w:color w:val="auto"/>
          <w:sz w:val="22"/>
          <w:szCs w:val="22"/>
        </w:rPr>
        <w:t>G</w:t>
      </w:r>
      <w:r w:rsidR="009039AA" w:rsidRPr="005614FF">
        <w:rPr>
          <w:b w:val="0"/>
          <w:color w:val="auto"/>
          <w:sz w:val="22"/>
          <w:szCs w:val="22"/>
        </w:rPr>
        <w:t xml:space="preserve">reater </w:t>
      </w:r>
      <w:r w:rsidR="008406AE" w:rsidRPr="005614FF">
        <w:rPr>
          <w:b w:val="0"/>
          <w:color w:val="auto"/>
          <w:sz w:val="22"/>
          <w:szCs w:val="22"/>
        </w:rPr>
        <w:t xml:space="preserve">connection to other policy </w:t>
      </w:r>
      <w:r w:rsidR="00C86422" w:rsidRPr="005614FF">
        <w:rPr>
          <w:b w:val="0"/>
          <w:color w:val="auto"/>
          <w:sz w:val="22"/>
          <w:szCs w:val="22"/>
        </w:rPr>
        <w:t xml:space="preserve">and programs promoting </w:t>
      </w:r>
      <w:r w:rsidR="00AA18F7" w:rsidRPr="005614FF">
        <w:rPr>
          <w:b w:val="0"/>
          <w:color w:val="auto"/>
          <w:sz w:val="22"/>
          <w:szCs w:val="22"/>
        </w:rPr>
        <w:t>career aspirations</w:t>
      </w:r>
      <w:r w:rsidR="00AC2997" w:rsidRPr="005614FF">
        <w:rPr>
          <w:b w:val="0"/>
          <w:color w:val="auto"/>
          <w:sz w:val="22"/>
          <w:szCs w:val="22"/>
        </w:rPr>
        <w:t>, tertiary opportunities</w:t>
      </w:r>
      <w:r w:rsidR="00AA18F7" w:rsidRPr="005614FF">
        <w:rPr>
          <w:b w:val="0"/>
          <w:color w:val="auto"/>
          <w:sz w:val="22"/>
          <w:szCs w:val="22"/>
        </w:rPr>
        <w:t xml:space="preserve"> and </w:t>
      </w:r>
      <w:r w:rsidR="00C86422" w:rsidRPr="005614FF">
        <w:rPr>
          <w:b w:val="0"/>
          <w:color w:val="auto"/>
          <w:sz w:val="22"/>
          <w:szCs w:val="22"/>
        </w:rPr>
        <w:t xml:space="preserve">employment </w:t>
      </w:r>
      <w:r w:rsidR="009039AA" w:rsidRPr="005614FF">
        <w:rPr>
          <w:b w:val="0"/>
          <w:color w:val="auto"/>
          <w:sz w:val="22"/>
          <w:szCs w:val="22"/>
        </w:rPr>
        <w:t>would be highly advantageous</w:t>
      </w:r>
      <w:r w:rsidR="00013C28" w:rsidRPr="005614FF">
        <w:rPr>
          <w:b w:val="0"/>
          <w:color w:val="auto"/>
          <w:sz w:val="22"/>
          <w:szCs w:val="22"/>
        </w:rPr>
        <w:t xml:space="preserve"> to this cohort</w:t>
      </w:r>
      <w:r w:rsidR="009039AA" w:rsidRPr="005614FF">
        <w:rPr>
          <w:b w:val="0"/>
          <w:color w:val="auto"/>
          <w:sz w:val="22"/>
          <w:szCs w:val="22"/>
        </w:rPr>
        <w:t xml:space="preserve"> </w:t>
      </w:r>
      <w:r w:rsidR="00C86422" w:rsidRPr="005614FF">
        <w:rPr>
          <w:b w:val="0"/>
          <w:color w:val="auto"/>
          <w:sz w:val="22"/>
          <w:szCs w:val="22"/>
        </w:rPr>
        <w:t xml:space="preserve">including Australia’s Disability Strategy, </w:t>
      </w:r>
      <w:r w:rsidR="00976D06" w:rsidRPr="005614FF">
        <w:rPr>
          <w:b w:val="0"/>
          <w:color w:val="auto"/>
          <w:sz w:val="22"/>
          <w:szCs w:val="22"/>
        </w:rPr>
        <w:t xml:space="preserve">Employ My Ability – the Disability Employment Strategy, </w:t>
      </w:r>
      <w:r w:rsidR="00C241EE" w:rsidRPr="005614FF">
        <w:rPr>
          <w:b w:val="0"/>
          <w:color w:val="auto"/>
          <w:sz w:val="22"/>
          <w:szCs w:val="22"/>
        </w:rPr>
        <w:t>National Careers Institute program</w:t>
      </w:r>
      <w:r w:rsidR="002A1257" w:rsidRPr="005614FF">
        <w:rPr>
          <w:b w:val="0"/>
          <w:color w:val="auto"/>
          <w:sz w:val="22"/>
          <w:szCs w:val="22"/>
        </w:rPr>
        <w:t>s / grants</w:t>
      </w:r>
      <w:r w:rsidR="00C241EE" w:rsidRPr="005614FF">
        <w:rPr>
          <w:b w:val="0"/>
          <w:color w:val="auto"/>
          <w:sz w:val="22"/>
          <w:szCs w:val="22"/>
        </w:rPr>
        <w:t xml:space="preserve"> </w:t>
      </w:r>
      <w:r w:rsidR="00C86422" w:rsidRPr="005614FF">
        <w:rPr>
          <w:b w:val="0"/>
          <w:color w:val="auto"/>
          <w:sz w:val="22"/>
          <w:szCs w:val="22"/>
        </w:rPr>
        <w:t>and NDIS</w:t>
      </w:r>
      <w:r w:rsidR="001A5F97" w:rsidRPr="005614FF">
        <w:rPr>
          <w:b w:val="0"/>
          <w:color w:val="auto"/>
          <w:sz w:val="22"/>
          <w:szCs w:val="22"/>
        </w:rPr>
        <w:t xml:space="preserve"> planning including</w:t>
      </w:r>
      <w:r w:rsidR="00C86422" w:rsidRPr="005614FF">
        <w:rPr>
          <w:b w:val="0"/>
          <w:color w:val="auto"/>
          <w:sz w:val="22"/>
          <w:szCs w:val="22"/>
        </w:rPr>
        <w:t xml:space="preserve"> </w:t>
      </w:r>
      <w:r w:rsidR="00976D06" w:rsidRPr="005614FF">
        <w:rPr>
          <w:b w:val="0"/>
          <w:color w:val="auto"/>
          <w:sz w:val="22"/>
          <w:szCs w:val="22"/>
        </w:rPr>
        <w:t xml:space="preserve">School Leaver Employment </w:t>
      </w:r>
      <w:r w:rsidR="007A55B4" w:rsidRPr="005614FF">
        <w:rPr>
          <w:b w:val="0"/>
          <w:color w:val="auto"/>
          <w:sz w:val="22"/>
          <w:szCs w:val="22"/>
        </w:rPr>
        <w:t>Supports</w:t>
      </w:r>
      <w:r w:rsidR="001A5F97" w:rsidRPr="005614FF">
        <w:rPr>
          <w:b w:val="0"/>
          <w:color w:val="auto"/>
          <w:sz w:val="22"/>
          <w:szCs w:val="22"/>
        </w:rPr>
        <w:t xml:space="preserve"> (SLES)</w:t>
      </w:r>
      <w:r w:rsidR="00976D06" w:rsidRPr="005614FF">
        <w:rPr>
          <w:b w:val="0"/>
          <w:color w:val="auto"/>
          <w:sz w:val="22"/>
          <w:szCs w:val="22"/>
        </w:rPr>
        <w:t>.</w:t>
      </w:r>
      <w:bookmarkStart w:id="15" w:name="_Toc95836730"/>
    </w:p>
    <w:p w14:paraId="0D8180AB" w14:textId="4D2C8036" w:rsidR="00EA4A03" w:rsidRPr="00DA0277" w:rsidRDefault="00EA4A03" w:rsidP="008247F1">
      <w:pPr>
        <w:pStyle w:val="Heading3"/>
      </w:pPr>
      <w:r w:rsidRPr="008247F1">
        <w:rPr>
          <w:rStyle w:val="Strong"/>
          <w:b/>
          <w:bCs w:val="0"/>
        </w:rPr>
        <w:t>Improvements</w:t>
      </w:r>
      <w:r w:rsidRPr="00DA0277">
        <w:t xml:space="preserve"> in tertiary study access and completion rates are likely to flow from flipping the switch on self-reporting disability</w:t>
      </w:r>
      <w:bookmarkEnd w:id="15"/>
    </w:p>
    <w:p w14:paraId="49F6241D" w14:textId="77777777" w:rsidR="00172397" w:rsidRDefault="006075DB" w:rsidP="008E451E">
      <w:r>
        <w:t xml:space="preserve">Self-reporting of disability in order to access supports and adjustments </w:t>
      </w:r>
      <w:r w:rsidR="00302BEA">
        <w:t>is hindered due to</w:t>
      </w:r>
      <w:r w:rsidR="00172397">
        <w:t xml:space="preserve"> several factors including:</w:t>
      </w:r>
    </w:p>
    <w:p w14:paraId="5D3C87DE" w14:textId="1A308753" w:rsidR="00172397" w:rsidRDefault="006E1E54" w:rsidP="007762CE">
      <w:pPr>
        <w:pStyle w:val="ListParagraph"/>
        <w:numPr>
          <w:ilvl w:val="0"/>
          <w:numId w:val="15"/>
        </w:numPr>
      </w:pPr>
      <w:r>
        <w:t>an intentional</w:t>
      </w:r>
      <w:r w:rsidR="005B58F6">
        <w:t xml:space="preserve"> desire to move away from labelling and avoid social stigmas; </w:t>
      </w:r>
    </w:p>
    <w:p w14:paraId="675DD6F2" w14:textId="6AC9ACE7" w:rsidR="005B58F6" w:rsidRPr="005B58F6" w:rsidRDefault="005B58F6" w:rsidP="007762CE">
      <w:pPr>
        <w:pStyle w:val="ListParagraph"/>
        <w:numPr>
          <w:ilvl w:val="0"/>
          <w:numId w:val="15"/>
        </w:numPr>
      </w:pPr>
      <w:r w:rsidRPr="00172397">
        <w:rPr>
          <w:rFonts w:eastAsia="Calibri"/>
        </w:rPr>
        <w:t>reluctance to provide private health information</w:t>
      </w:r>
      <w:r w:rsidR="004B692D">
        <w:rPr>
          <w:rFonts w:eastAsia="Calibri"/>
        </w:rPr>
        <w:t>, and the expensive</w:t>
      </w:r>
      <w:r w:rsidR="00A30716">
        <w:rPr>
          <w:rFonts w:eastAsia="Calibri"/>
        </w:rPr>
        <w:t>,</w:t>
      </w:r>
      <w:r w:rsidR="004B692D">
        <w:rPr>
          <w:rFonts w:eastAsia="Calibri"/>
        </w:rPr>
        <w:t xml:space="preserve"> lengthy process to </w:t>
      </w:r>
      <w:r w:rsidR="00627F11">
        <w:rPr>
          <w:rFonts w:eastAsia="Calibri"/>
        </w:rPr>
        <w:t>confirm disability support need</w:t>
      </w:r>
      <w:r w:rsidR="00EC3AEE">
        <w:rPr>
          <w:rFonts w:eastAsia="Calibri"/>
        </w:rPr>
        <w:t>s</w:t>
      </w:r>
      <w:r w:rsidR="00627F11">
        <w:rPr>
          <w:rFonts w:eastAsia="Calibri"/>
        </w:rPr>
        <w:t>;</w:t>
      </w:r>
    </w:p>
    <w:p w14:paraId="681F3382" w14:textId="3625C1CA" w:rsidR="00172397" w:rsidRPr="00172397" w:rsidRDefault="00627F11" w:rsidP="007762CE">
      <w:pPr>
        <w:pStyle w:val="ListParagraph"/>
        <w:numPr>
          <w:ilvl w:val="0"/>
          <w:numId w:val="15"/>
        </w:numPr>
      </w:pPr>
      <w:r>
        <w:rPr>
          <w:rFonts w:eastAsia="Calibri"/>
        </w:rPr>
        <w:t xml:space="preserve">a fairly traditional view of what constitutes disability without </w:t>
      </w:r>
      <w:r w:rsidR="00302BEA">
        <w:t xml:space="preserve">understanding </w:t>
      </w:r>
      <w:r w:rsidR="00AD45D1">
        <w:t xml:space="preserve">the </w:t>
      </w:r>
      <w:r w:rsidR="00D90C22">
        <w:t xml:space="preserve">breadth of </w:t>
      </w:r>
      <w:r>
        <w:t xml:space="preserve">conditions </w:t>
      </w:r>
      <w:r w:rsidR="00D90C22">
        <w:t xml:space="preserve">covered </w:t>
      </w:r>
      <w:r w:rsidR="00302BEA">
        <w:t xml:space="preserve">under the </w:t>
      </w:r>
      <w:r w:rsidR="00302BEA" w:rsidRPr="00172397">
        <w:rPr>
          <w:rFonts w:eastAsia="Calibri"/>
          <w:i/>
          <w:iCs/>
        </w:rPr>
        <w:t xml:space="preserve">Disability Discrimination Act 1992 </w:t>
      </w:r>
      <w:r w:rsidR="00302BEA" w:rsidRPr="00172397">
        <w:rPr>
          <w:rFonts w:eastAsia="Calibri"/>
        </w:rPr>
        <w:t>(DDA)</w:t>
      </w:r>
      <w:r w:rsidR="002A2EF2">
        <w:rPr>
          <w:rFonts w:eastAsia="Calibri"/>
        </w:rPr>
        <w:t>,</w:t>
      </w:r>
      <w:r w:rsidR="006D6750">
        <w:rPr>
          <w:rFonts w:eastAsia="Calibri"/>
        </w:rPr>
        <w:t xml:space="preserve"> including mental health</w:t>
      </w:r>
      <w:r w:rsidR="001106AF">
        <w:rPr>
          <w:rFonts w:eastAsia="Calibri"/>
        </w:rPr>
        <w:t xml:space="preserve">; </w:t>
      </w:r>
      <w:r>
        <w:rPr>
          <w:rFonts w:eastAsia="Calibri"/>
        </w:rPr>
        <w:t>an</w:t>
      </w:r>
      <w:r w:rsidR="001106AF">
        <w:rPr>
          <w:rFonts w:eastAsia="Calibri"/>
        </w:rPr>
        <w:t>d</w:t>
      </w:r>
    </w:p>
    <w:p w14:paraId="7A45DD44" w14:textId="4DAAB0AE" w:rsidR="00731565" w:rsidRDefault="00267DFE" w:rsidP="007762CE">
      <w:pPr>
        <w:pStyle w:val="ListParagraph"/>
        <w:numPr>
          <w:ilvl w:val="0"/>
          <w:numId w:val="15"/>
        </w:numPr>
      </w:pPr>
      <w:r>
        <w:rPr>
          <w:rFonts w:eastAsia="Calibri"/>
        </w:rPr>
        <w:t xml:space="preserve">not </w:t>
      </w:r>
      <w:r w:rsidR="00AD45D1">
        <w:rPr>
          <w:rFonts w:eastAsia="Calibri"/>
        </w:rPr>
        <w:t>requiring support</w:t>
      </w:r>
      <w:r w:rsidR="00976A9C">
        <w:rPr>
          <w:rFonts w:eastAsia="Calibri"/>
        </w:rPr>
        <w:t xml:space="preserve">, </w:t>
      </w:r>
      <w:r w:rsidR="00C22982">
        <w:rPr>
          <w:rFonts w:eastAsia="Calibri"/>
        </w:rPr>
        <w:t xml:space="preserve">not </w:t>
      </w:r>
      <w:r w:rsidR="00976A9C">
        <w:rPr>
          <w:rFonts w:eastAsia="Calibri"/>
        </w:rPr>
        <w:t>identifying with</w:t>
      </w:r>
      <w:r w:rsidR="001A4EA3">
        <w:rPr>
          <w:rFonts w:eastAsia="Calibri"/>
        </w:rPr>
        <w:t xml:space="preserve"> a </w:t>
      </w:r>
      <w:r w:rsidR="00FD23CC">
        <w:rPr>
          <w:rFonts w:eastAsia="Calibri"/>
        </w:rPr>
        <w:t>‘disability’ cohort</w:t>
      </w:r>
      <w:r w:rsidR="00AD45D1">
        <w:rPr>
          <w:rFonts w:eastAsia="Calibri"/>
        </w:rPr>
        <w:t xml:space="preserve"> or </w:t>
      </w:r>
      <w:r w:rsidR="00C22982">
        <w:rPr>
          <w:rFonts w:eastAsia="Calibri"/>
        </w:rPr>
        <w:t xml:space="preserve">not </w:t>
      </w:r>
      <w:r w:rsidRPr="00AD45D1">
        <w:rPr>
          <w:rFonts w:eastAsia="Calibri"/>
        </w:rPr>
        <w:t xml:space="preserve">seeing the </w:t>
      </w:r>
      <w:r w:rsidR="00731565" w:rsidRPr="00731565">
        <w:t>benefit in disclosing their disability</w:t>
      </w:r>
      <w:r w:rsidR="00AD45D1">
        <w:t>.</w:t>
      </w:r>
    </w:p>
    <w:p w14:paraId="775B089F" w14:textId="4E20DB5A" w:rsidR="0037166B" w:rsidRDefault="00BC611F" w:rsidP="00C64D93">
      <w:r>
        <w:t xml:space="preserve">For those that identified they </w:t>
      </w:r>
      <w:r w:rsidR="007F51CB">
        <w:t xml:space="preserve">or their family member </w:t>
      </w:r>
      <w:r>
        <w:t>would benefit</w:t>
      </w:r>
      <w:r w:rsidR="00A547E2">
        <w:t xml:space="preserve"> from</w:t>
      </w:r>
      <w:r w:rsidR="00FD19A3">
        <w:t xml:space="preserve"> </w:t>
      </w:r>
      <w:r w:rsidR="00CF340D">
        <w:t xml:space="preserve">adjustments or </w:t>
      </w:r>
      <w:r w:rsidR="00A547E2">
        <w:t>support in education or employment,</w:t>
      </w:r>
      <w:r w:rsidR="001D76B1">
        <w:t xml:space="preserve"> we heard </w:t>
      </w:r>
      <w:r w:rsidR="00CC36E1">
        <w:t xml:space="preserve">the need for </w:t>
      </w:r>
      <w:r w:rsidR="00CC36E1" w:rsidRPr="00D66066">
        <w:t xml:space="preserve">a shift in </w:t>
      </w:r>
      <w:r w:rsidR="007F51CB" w:rsidRPr="00D66066">
        <w:t xml:space="preserve">responsibility </w:t>
      </w:r>
      <w:r w:rsidR="00CC36E1" w:rsidRPr="00FB5A14">
        <w:t xml:space="preserve">from </w:t>
      </w:r>
      <w:r w:rsidR="007F51CB" w:rsidRPr="00FB5A14">
        <w:t xml:space="preserve">student </w:t>
      </w:r>
      <w:r w:rsidR="00CC36E1" w:rsidRPr="00FB5A14">
        <w:t>disclos</w:t>
      </w:r>
      <w:r w:rsidR="0064392B" w:rsidRPr="00FB5A14">
        <w:t>ure</w:t>
      </w:r>
      <w:r w:rsidR="00CC36E1" w:rsidRPr="00FB5A14">
        <w:t xml:space="preserve"> </w:t>
      </w:r>
      <w:r w:rsidR="00F95985" w:rsidRPr="00FB5A14">
        <w:t>to</w:t>
      </w:r>
      <w:r w:rsidR="009D6E18" w:rsidRPr="00FB5A14">
        <w:t xml:space="preserve"> the responsibility of</w:t>
      </w:r>
      <w:r w:rsidR="007F51CB" w:rsidRPr="00FB5A14">
        <w:t xml:space="preserve"> </w:t>
      </w:r>
      <w:r w:rsidR="002116EC" w:rsidRPr="00D66066">
        <w:t>institutions</w:t>
      </w:r>
      <w:r w:rsidR="00E87D2B" w:rsidRPr="00D66066">
        <w:t>/providers</w:t>
      </w:r>
      <w:r w:rsidR="007F51CB" w:rsidRPr="00FB5A14">
        <w:t xml:space="preserve"> </w:t>
      </w:r>
      <w:r w:rsidR="00CB5051" w:rsidRPr="00D66066">
        <w:t xml:space="preserve">being </w:t>
      </w:r>
      <w:r w:rsidR="00CC39DC" w:rsidRPr="00D66066">
        <w:t>proactive in demonstrating their inclusiveness and support offerings</w:t>
      </w:r>
      <w:r w:rsidR="00CC39DC" w:rsidRPr="00FB5A14">
        <w:t xml:space="preserve">. </w:t>
      </w:r>
      <w:r w:rsidR="001D4B58">
        <w:t xml:space="preserve">In particular, </w:t>
      </w:r>
      <w:r w:rsidR="00390E09">
        <w:t>providing</w:t>
      </w:r>
      <w:r w:rsidR="008B6E0C">
        <w:t xml:space="preserve"> </w:t>
      </w:r>
      <w:r w:rsidR="00CE4E06">
        <w:t xml:space="preserve">meaningful </w:t>
      </w:r>
      <w:r w:rsidR="00390E09">
        <w:t xml:space="preserve">information on </w:t>
      </w:r>
      <w:r w:rsidR="00535D6F">
        <w:t xml:space="preserve">what the DDA covers and </w:t>
      </w:r>
      <w:r w:rsidR="00390E09">
        <w:t xml:space="preserve">how they </w:t>
      </w:r>
      <w:r w:rsidR="001A0012">
        <w:t xml:space="preserve">practically </w:t>
      </w:r>
      <w:r w:rsidR="008B6E0C">
        <w:t xml:space="preserve">support students / graduates </w:t>
      </w:r>
      <w:r w:rsidR="00991256">
        <w:t>with disability</w:t>
      </w:r>
      <w:r w:rsidR="00271204">
        <w:t xml:space="preserve"> </w:t>
      </w:r>
      <w:r w:rsidR="008B7011">
        <w:t xml:space="preserve">may </w:t>
      </w:r>
      <w:r w:rsidR="00B70AE9">
        <w:t>give confidence around acceptance of diversity</w:t>
      </w:r>
      <w:r w:rsidR="008B7011">
        <w:t xml:space="preserve">, </w:t>
      </w:r>
      <w:r w:rsidR="00271204">
        <w:t xml:space="preserve">raise awareness about </w:t>
      </w:r>
      <w:r w:rsidR="00AE1E60">
        <w:t>possible adjustments</w:t>
      </w:r>
      <w:r w:rsidR="008B7011">
        <w:t xml:space="preserve"> </w:t>
      </w:r>
      <w:r w:rsidR="00B46642">
        <w:t xml:space="preserve">and the </w:t>
      </w:r>
      <w:r w:rsidR="00AE1E60">
        <w:t>benefits of supports</w:t>
      </w:r>
      <w:r w:rsidR="008B7011">
        <w:t>,</w:t>
      </w:r>
      <w:r w:rsidR="00AE1E60">
        <w:t xml:space="preserve"> </w:t>
      </w:r>
      <w:r w:rsidR="00E04FB2">
        <w:t xml:space="preserve">thus providing </w:t>
      </w:r>
      <w:r w:rsidR="00921A9A">
        <w:t xml:space="preserve">a </w:t>
      </w:r>
      <w:r w:rsidR="00271204">
        <w:t>safe</w:t>
      </w:r>
      <w:r w:rsidR="00921A9A">
        <w:t xml:space="preserve">r </w:t>
      </w:r>
      <w:r w:rsidR="001C3CDC">
        <w:t>environment</w:t>
      </w:r>
      <w:r w:rsidR="00921A9A">
        <w:t xml:space="preserve"> for student</w:t>
      </w:r>
      <w:r w:rsidR="001C3CDC">
        <w:t>s</w:t>
      </w:r>
      <w:r w:rsidR="00921A9A">
        <w:t xml:space="preserve"> </w:t>
      </w:r>
      <w:r w:rsidR="007F5844">
        <w:t xml:space="preserve">to </w:t>
      </w:r>
      <w:r w:rsidR="00921A9A">
        <w:t xml:space="preserve">report </w:t>
      </w:r>
      <w:r w:rsidR="007547F8">
        <w:t>disability</w:t>
      </w:r>
      <w:r w:rsidR="00E248C8">
        <w:t xml:space="preserve">. </w:t>
      </w:r>
      <w:r w:rsidR="007547F8">
        <w:t xml:space="preserve"> </w:t>
      </w:r>
    </w:p>
    <w:p w14:paraId="1EC5F0A4" w14:textId="37CFF9F4" w:rsidR="008F7FCE" w:rsidRDefault="00D94970" w:rsidP="00C64D93">
      <w:r>
        <w:t xml:space="preserve">We heard transparency in this type of information would be valuable for students when selecting a tertiary provider and give them greater confidence of likely course success given the fees involved. </w:t>
      </w:r>
      <w:r w:rsidR="00BB68D7">
        <w:t>S</w:t>
      </w:r>
      <w:r>
        <w:t xml:space="preserve">tudents reported variability in what was provided on a tertiary institution’s website, if at all, and </w:t>
      </w:r>
      <w:r w:rsidR="00777C92">
        <w:t>when contact was made</w:t>
      </w:r>
      <w:r w:rsidR="00FB5A14">
        <w:t xml:space="preserve"> they</w:t>
      </w:r>
      <w:r w:rsidR="00777C92">
        <w:t xml:space="preserve"> found that the broader statements made by providers were not reflected in the practical support available</w:t>
      </w:r>
      <w:r>
        <w:t xml:space="preserve">. Students therefore felt </w:t>
      </w:r>
      <w:r w:rsidR="00666CAC">
        <w:t xml:space="preserve">that more </w:t>
      </w:r>
      <w:r>
        <w:t xml:space="preserve">information on </w:t>
      </w:r>
      <w:r w:rsidR="00666CAC">
        <w:t xml:space="preserve">institutions’ </w:t>
      </w:r>
      <w:r w:rsidR="00F01F03">
        <w:t>inclusion performance</w:t>
      </w:r>
      <w:r w:rsidR="00666CAC">
        <w:t xml:space="preserve"> would be helpful;</w:t>
      </w:r>
      <w:r w:rsidR="00FC15EE">
        <w:t xml:space="preserve"> i</w:t>
      </w:r>
      <w:r w:rsidR="00F01F03">
        <w:t xml:space="preserve">deally </w:t>
      </w:r>
      <w:r>
        <w:t>backed by a</w:t>
      </w:r>
      <w:r w:rsidR="00777C92">
        <w:t>n independent</w:t>
      </w:r>
      <w:r w:rsidR="00FC15EE">
        <w:t xml:space="preserve"> or </w:t>
      </w:r>
      <w:r>
        <w:t>reliable source to avoid this being a marketing piece with little substance.</w:t>
      </w:r>
      <w:r w:rsidR="00D30AB2">
        <w:t xml:space="preserve"> </w:t>
      </w:r>
    </w:p>
    <w:p w14:paraId="4C82A606" w14:textId="176F9D5F" w:rsidR="002F7671" w:rsidRDefault="00011F93" w:rsidP="00C64D93">
      <w:r w:rsidRPr="00D66066">
        <w:t xml:space="preserve">This reframing of disclosure </w:t>
      </w:r>
      <w:r w:rsidR="0048203D">
        <w:t>could be</w:t>
      </w:r>
      <w:r w:rsidR="00934E9C" w:rsidRPr="00D66066">
        <w:t xml:space="preserve"> linked to </w:t>
      </w:r>
      <w:r w:rsidR="003B0BDC" w:rsidRPr="00FC15EE">
        <w:t>higher education</w:t>
      </w:r>
      <w:r w:rsidR="00913EF3" w:rsidRPr="00FC15EE">
        <w:t xml:space="preserve"> </w:t>
      </w:r>
      <w:r w:rsidR="00E5277F" w:rsidRPr="00FC15EE">
        <w:t>institutions</w:t>
      </w:r>
      <w:r w:rsidR="002F7671" w:rsidRPr="00FC15EE">
        <w:t xml:space="preserve"> given </w:t>
      </w:r>
      <w:r w:rsidR="001839B9" w:rsidRPr="00FC15EE">
        <w:t>the</w:t>
      </w:r>
      <w:r w:rsidR="0048203D">
        <w:t>ir</w:t>
      </w:r>
      <w:r w:rsidR="001839B9" w:rsidRPr="00FC15EE">
        <w:t xml:space="preserve"> </w:t>
      </w:r>
      <w:r w:rsidR="00934E9C" w:rsidRPr="00FC15EE">
        <w:t xml:space="preserve">access to </w:t>
      </w:r>
      <w:r w:rsidR="00E431BD" w:rsidRPr="00FC15EE">
        <w:t>government programs such as the</w:t>
      </w:r>
      <w:r w:rsidR="00934E9C" w:rsidRPr="00FC15EE">
        <w:t xml:space="preserve"> </w:t>
      </w:r>
      <w:r w:rsidR="001839B9" w:rsidRPr="00FC15EE">
        <w:t>Disability Support Program</w:t>
      </w:r>
      <w:r w:rsidR="00E431BD" w:rsidRPr="00FC15EE">
        <w:t xml:space="preserve"> in the higher education sector</w:t>
      </w:r>
      <w:r w:rsidR="00C8357A">
        <w:t>, which</w:t>
      </w:r>
      <w:r w:rsidR="0010777F">
        <w:t xml:space="preserve"> </w:t>
      </w:r>
      <w:r w:rsidR="00E431BD">
        <w:t xml:space="preserve">is based on the proportion of </w:t>
      </w:r>
      <w:r w:rsidR="000A1CB0">
        <w:t>students with disability enrolled</w:t>
      </w:r>
      <w:r w:rsidR="001839B9">
        <w:t xml:space="preserve">. </w:t>
      </w:r>
    </w:p>
    <w:p w14:paraId="5872710C" w14:textId="2E0030EA" w:rsidR="00731565" w:rsidRDefault="003A596F" w:rsidP="00441575">
      <w:pPr>
        <w:pStyle w:val="Heading3"/>
      </w:pPr>
      <w:bookmarkStart w:id="16" w:name="_Toc95836731"/>
      <w:r w:rsidRPr="003A596F">
        <w:t xml:space="preserve">The experience </w:t>
      </w:r>
      <w:r w:rsidR="00441575">
        <w:t xml:space="preserve">of </w:t>
      </w:r>
      <w:r w:rsidR="00441575" w:rsidRPr="00441575">
        <w:t xml:space="preserve">adjustments </w:t>
      </w:r>
      <w:r w:rsidR="00D93B06">
        <w:t>in tertiary setting</w:t>
      </w:r>
      <w:r w:rsidR="00416FC8">
        <w:t>s</w:t>
      </w:r>
      <w:r w:rsidR="00BD4E99">
        <w:t xml:space="preserve"> remains pat</w:t>
      </w:r>
      <w:r w:rsidR="001A38F5">
        <w:t>chy</w:t>
      </w:r>
      <w:bookmarkEnd w:id="16"/>
      <w:r w:rsidR="00D93B06">
        <w:t xml:space="preserve"> </w:t>
      </w:r>
    </w:p>
    <w:p w14:paraId="07CCBC55" w14:textId="2D92C501" w:rsidR="0063627C" w:rsidRPr="00FB5A14" w:rsidRDefault="00D10BA5" w:rsidP="00441575">
      <w:r>
        <w:t xml:space="preserve">There remains a need to continue to improve the experience of students participating in tertiary education. </w:t>
      </w:r>
      <w:r w:rsidR="009E39D4">
        <w:t xml:space="preserve">While </w:t>
      </w:r>
      <w:r w:rsidR="00366248">
        <w:t xml:space="preserve">many students </w:t>
      </w:r>
      <w:r w:rsidR="00751415">
        <w:t xml:space="preserve">reported their </w:t>
      </w:r>
      <w:r w:rsidR="001765CB">
        <w:t xml:space="preserve">tertiary </w:t>
      </w:r>
      <w:r w:rsidR="00751415">
        <w:t xml:space="preserve">educators </w:t>
      </w:r>
      <w:r w:rsidR="001269C6">
        <w:t xml:space="preserve">as </w:t>
      </w:r>
      <w:r w:rsidR="00751415">
        <w:t xml:space="preserve">being supportive and understanding </w:t>
      </w:r>
      <w:r w:rsidR="001269C6">
        <w:t xml:space="preserve">of </w:t>
      </w:r>
      <w:r w:rsidR="00751415">
        <w:t xml:space="preserve">their needs, </w:t>
      </w:r>
      <w:r w:rsidR="00751415" w:rsidRPr="003E2CE2">
        <w:t xml:space="preserve">there remains </w:t>
      </w:r>
      <w:r w:rsidR="00015DB4" w:rsidRPr="00FB5A14">
        <w:t>a significant proportion</w:t>
      </w:r>
      <w:r w:rsidR="00F94045" w:rsidRPr="00FB5A14">
        <w:t xml:space="preserve"> </w:t>
      </w:r>
      <w:r w:rsidR="00366C7F" w:rsidRPr="00FB5A14">
        <w:t>(</w:t>
      </w:r>
      <w:r w:rsidR="00774333" w:rsidRPr="00FB5A14">
        <w:t>around</w:t>
      </w:r>
      <w:r w:rsidR="00505A1B" w:rsidRPr="00FB5A14">
        <w:t xml:space="preserve"> </w:t>
      </w:r>
      <w:r w:rsidR="00366C7F" w:rsidRPr="00FB5A14">
        <w:t>30</w:t>
      </w:r>
      <w:r w:rsidR="00E431BD" w:rsidRPr="00FB5A14">
        <w:t xml:space="preserve"> per cent</w:t>
      </w:r>
      <w:r w:rsidR="00366C7F" w:rsidRPr="00FB5A14">
        <w:t xml:space="preserve">) </w:t>
      </w:r>
      <w:r w:rsidR="00322682" w:rsidRPr="00FB5A14">
        <w:t xml:space="preserve">who have experienced challenges </w:t>
      </w:r>
      <w:r w:rsidR="00774333" w:rsidRPr="00FB5A14">
        <w:t xml:space="preserve">in </w:t>
      </w:r>
      <w:r w:rsidR="00322682" w:rsidRPr="00FB5A14">
        <w:t xml:space="preserve">having their </w:t>
      </w:r>
      <w:r w:rsidR="003E0458" w:rsidRPr="00FB5A14">
        <w:t xml:space="preserve">learning </w:t>
      </w:r>
      <w:r w:rsidR="00322682" w:rsidRPr="00FB5A14">
        <w:t xml:space="preserve">needs </w:t>
      </w:r>
      <w:r w:rsidR="003E0458" w:rsidRPr="00FB5A14">
        <w:t>met</w:t>
      </w:r>
      <w:r w:rsidR="00670746" w:rsidRPr="00FB5A14">
        <w:t xml:space="preserve"> </w:t>
      </w:r>
      <w:r w:rsidR="00DB7995" w:rsidRPr="00FB5A14">
        <w:t>by the</w:t>
      </w:r>
      <w:r w:rsidR="007F69B8" w:rsidRPr="00FB5A14">
        <w:t>ir</w:t>
      </w:r>
      <w:r w:rsidR="00670746" w:rsidRPr="00FB5A14">
        <w:t xml:space="preserve"> tertiary </w:t>
      </w:r>
      <w:r w:rsidR="00416FC8" w:rsidRPr="00FB5A14">
        <w:t>provider</w:t>
      </w:r>
      <w:r w:rsidR="00DB7995" w:rsidRPr="00FB5A14">
        <w:t>.</w:t>
      </w:r>
    </w:p>
    <w:p w14:paraId="4DD8258B" w14:textId="77777777" w:rsidR="00E3637F" w:rsidRPr="00E431BD" w:rsidRDefault="00D200DB" w:rsidP="00441575">
      <w:pPr>
        <w:rPr>
          <w:b/>
          <w:bCs/>
        </w:rPr>
      </w:pPr>
      <w:r>
        <w:t xml:space="preserve">This appears to start at the </w:t>
      </w:r>
      <w:r w:rsidR="001C2681" w:rsidRPr="00743491">
        <w:t>access</w:t>
      </w:r>
      <w:r w:rsidRPr="00743491">
        <w:t xml:space="preserve"> phase</w:t>
      </w:r>
      <w:r>
        <w:t xml:space="preserve"> with many </w:t>
      </w:r>
      <w:r w:rsidR="006B0227">
        <w:t xml:space="preserve">students </w:t>
      </w:r>
      <w:r>
        <w:t xml:space="preserve">feeling a burden </w:t>
      </w:r>
      <w:r w:rsidR="002C5AF0">
        <w:t>to</w:t>
      </w:r>
      <w:r w:rsidR="00612A6A">
        <w:t xml:space="preserve"> </w:t>
      </w:r>
      <w:r w:rsidR="00472E33">
        <w:t>find information</w:t>
      </w:r>
      <w:r w:rsidR="005117DC">
        <w:t xml:space="preserve"> themselves</w:t>
      </w:r>
      <w:r w:rsidR="004D550D">
        <w:t xml:space="preserve">, inaccessible </w:t>
      </w:r>
      <w:r w:rsidR="00913170">
        <w:t>processes</w:t>
      </w:r>
      <w:r w:rsidR="005117DC">
        <w:t xml:space="preserve"> </w:t>
      </w:r>
      <w:r>
        <w:t xml:space="preserve">and lack of </w:t>
      </w:r>
      <w:r w:rsidR="007E3348">
        <w:t xml:space="preserve">practical </w:t>
      </w:r>
      <w:r>
        <w:t xml:space="preserve">support </w:t>
      </w:r>
      <w:r w:rsidR="005279BC">
        <w:t>to navigate this transition phase</w:t>
      </w:r>
      <w:r w:rsidR="00913170">
        <w:t xml:space="preserve">. </w:t>
      </w:r>
      <w:r w:rsidR="00D03AAF" w:rsidRPr="00E431BD">
        <w:rPr>
          <w:b/>
          <w:bCs/>
        </w:rPr>
        <w:t>The l</w:t>
      </w:r>
      <w:r w:rsidR="00913170" w:rsidRPr="00E431BD">
        <w:rPr>
          <w:b/>
          <w:bCs/>
        </w:rPr>
        <w:t xml:space="preserve">ack of knowledge of </w:t>
      </w:r>
      <w:r w:rsidR="005279BC" w:rsidRPr="00E431BD">
        <w:rPr>
          <w:b/>
          <w:bCs/>
        </w:rPr>
        <w:t xml:space="preserve">available </w:t>
      </w:r>
      <w:r w:rsidR="00A10CEF" w:rsidRPr="00E431BD">
        <w:rPr>
          <w:b/>
          <w:bCs/>
        </w:rPr>
        <w:t>adjustments</w:t>
      </w:r>
      <w:r w:rsidR="00D03AAF" w:rsidRPr="00E431BD">
        <w:rPr>
          <w:b/>
          <w:bCs/>
        </w:rPr>
        <w:t>,</w:t>
      </w:r>
      <w:r w:rsidR="001C2681" w:rsidRPr="00E431BD">
        <w:rPr>
          <w:b/>
          <w:bCs/>
        </w:rPr>
        <w:t xml:space="preserve"> and </w:t>
      </w:r>
      <w:r w:rsidR="008F1851" w:rsidRPr="00E431BD">
        <w:rPr>
          <w:b/>
          <w:bCs/>
        </w:rPr>
        <w:t>who to talk to</w:t>
      </w:r>
      <w:r w:rsidR="001C2681" w:rsidRPr="00E431BD">
        <w:rPr>
          <w:b/>
          <w:bCs/>
        </w:rPr>
        <w:t xml:space="preserve"> for adjustment planning</w:t>
      </w:r>
      <w:r w:rsidR="00913170" w:rsidRPr="00E431BD">
        <w:rPr>
          <w:b/>
          <w:bCs/>
        </w:rPr>
        <w:t xml:space="preserve"> was a </w:t>
      </w:r>
      <w:r w:rsidR="00B875A4" w:rsidRPr="00E431BD">
        <w:rPr>
          <w:b/>
          <w:bCs/>
        </w:rPr>
        <w:t>particular pain point</w:t>
      </w:r>
      <w:r w:rsidR="001C2681" w:rsidRPr="00E431BD">
        <w:rPr>
          <w:b/>
          <w:bCs/>
        </w:rPr>
        <w:t>.</w:t>
      </w:r>
      <w:r w:rsidR="001F42F1" w:rsidRPr="00E431BD">
        <w:rPr>
          <w:b/>
          <w:bCs/>
        </w:rPr>
        <w:t xml:space="preserve"> </w:t>
      </w:r>
    </w:p>
    <w:p w14:paraId="24CA3AE0" w14:textId="580B30B6" w:rsidR="002C4CDE" w:rsidRDefault="00F90F99" w:rsidP="00441575">
      <w:r>
        <w:t xml:space="preserve">Once in the door, the </w:t>
      </w:r>
      <w:r w:rsidR="00322F35">
        <w:t xml:space="preserve">variable </w:t>
      </w:r>
      <w:r>
        <w:t xml:space="preserve">capability of staff to </w:t>
      </w:r>
      <w:r w:rsidR="00DA1778">
        <w:t xml:space="preserve">consistently </w:t>
      </w:r>
      <w:r w:rsidR="007C1BB3">
        <w:t xml:space="preserve">and proactively </w:t>
      </w:r>
      <w:r>
        <w:t xml:space="preserve">execute adjustments </w:t>
      </w:r>
      <w:r w:rsidR="00A92005">
        <w:t>or</w:t>
      </w:r>
      <w:r w:rsidR="00710DBF">
        <w:t xml:space="preserve"> flexible arrangements </w:t>
      </w:r>
      <w:r w:rsidR="00A92005">
        <w:t xml:space="preserve">to support their </w:t>
      </w:r>
      <w:r w:rsidR="00710DBF">
        <w:t xml:space="preserve">participation was a </w:t>
      </w:r>
      <w:r w:rsidR="00BF2E51">
        <w:t>further con</w:t>
      </w:r>
      <w:r w:rsidR="00DC4EF5" w:rsidRPr="00DC4EF5">
        <w:t xml:space="preserve">sistent theme </w:t>
      </w:r>
      <w:r w:rsidR="00710DBF">
        <w:t xml:space="preserve">that emerged. </w:t>
      </w:r>
    </w:p>
    <w:p w14:paraId="51293F41" w14:textId="16CF2BA6" w:rsidR="00E3637F" w:rsidRPr="00D66066" w:rsidRDefault="004379A8" w:rsidP="00441575">
      <w:pPr>
        <w:rPr>
          <w:b/>
          <w:bCs/>
        </w:rPr>
      </w:pPr>
      <w:r>
        <w:t xml:space="preserve">Conversely, </w:t>
      </w:r>
      <w:r w:rsidRPr="00FB5A14">
        <w:t xml:space="preserve">practitioners </w:t>
      </w:r>
      <w:r w:rsidR="0007475F" w:rsidRPr="00FB5A14">
        <w:t>c</w:t>
      </w:r>
      <w:r w:rsidRPr="00FB5A14">
        <w:t xml:space="preserve">ited a challenge that many students are unprepared </w:t>
      </w:r>
      <w:r w:rsidR="00510203" w:rsidRPr="00FB5A14">
        <w:t>for tertiary settings and</w:t>
      </w:r>
      <w:r w:rsidR="00DE5BC2" w:rsidRPr="00FB5A14">
        <w:t xml:space="preserve"> that</w:t>
      </w:r>
      <w:r w:rsidR="00510203" w:rsidRPr="00FB5A14">
        <w:t xml:space="preserve"> student capacity building before </w:t>
      </w:r>
      <w:r w:rsidR="00AB157A" w:rsidRPr="00FB5A14">
        <w:t>ter</w:t>
      </w:r>
      <w:r w:rsidR="00E36105" w:rsidRPr="00FB5A14">
        <w:t>tiary</w:t>
      </w:r>
      <w:r w:rsidR="00510203" w:rsidRPr="00FB5A14">
        <w:t xml:space="preserve"> is </w:t>
      </w:r>
      <w:r w:rsidR="00E36105" w:rsidRPr="00FB5A14">
        <w:t>essential</w:t>
      </w:r>
      <w:r w:rsidR="00510203" w:rsidRPr="00FB5A14">
        <w:t xml:space="preserve"> to </w:t>
      </w:r>
      <w:r w:rsidR="00FD0FD3" w:rsidRPr="00FB5A14">
        <w:t>a successful transition</w:t>
      </w:r>
      <w:r w:rsidR="00836447" w:rsidRPr="00FB5A14">
        <w:t>.</w:t>
      </w:r>
      <w:r w:rsidR="00836447" w:rsidRPr="00D66066">
        <w:rPr>
          <w:b/>
          <w:bCs/>
        </w:rPr>
        <w:t xml:space="preserve"> </w:t>
      </w:r>
    </w:p>
    <w:p w14:paraId="44B2097D" w14:textId="407C4C2E" w:rsidR="00AC06E5" w:rsidRDefault="005E7AC4" w:rsidP="00441575">
      <w:r w:rsidRPr="00E431BD">
        <w:t xml:space="preserve">Many </w:t>
      </w:r>
      <w:r w:rsidRPr="00FB5A14">
        <w:t xml:space="preserve">students spoke about the burden of </w:t>
      </w:r>
      <w:r w:rsidR="00DC29A5" w:rsidRPr="00D66066">
        <w:t xml:space="preserve">seeking </w:t>
      </w:r>
      <w:r w:rsidRPr="00FB5A14">
        <w:t xml:space="preserve">adjustments falling on them rather than the tertiary provider.  Students suggested </w:t>
      </w:r>
      <w:r w:rsidR="0048203D">
        <w:t>that</w:t>
      </w:r>
      <w:r w:rsidR="0048203D" w:rsidRPr="00FB5A14">
        <w:t xml:space="preserve"> </w:t>
      </w:r>
      <w:r w:rsidR="005621FE" w:rsidRPr="00FB5A14">
        <w:t xml:space="preserve">greater responsibility </w:t>
      </w:r>
      <w:r w:rsidR="0048203D">
        <w:t>be taken by</w:t>
      </w:r>
      <w:r w:rsidR="0048203D" w:rsidRPr="00FB5A14">
        <w:t xml:space="preserve"> </w:t>
      </w:r>
      <w:r w:rsidR="005621FE" w:rsidRPr="00FB5A14">
        <w:t xml:space="preserve">tertiary providers, and the potential </w:t>
      </w:r>
      <w:r w:rsidRPr="00D66066">
        <w:t>need for audit or independent assessment process</w:t>
      </w:r>
      <w:r w:rsidR="0048203D">
        <w:t>es</w:t>
      </w:r>
      <w:r w:rsidRPr="00E431BD">
        <w:t xml:space="preserve"> that</w:t>
      </w:r>
      <w:r>
        <w:t xml:space="preserve"> provided transparent information to prospective students </w:t>
      </w:r>
      <w:r w:rsidR="0048203D">
        <w:t xml:space="preserve">and </w:t>
      </w:r>
      <w:r>
        <w:t xml:space="preserve">avoided blanket claims of providers supporting accessibility and inclusion that don’t translate into practical </w:t>
      </w:r>
      <w:r w:rsidR="00DC29A5">
        <w:t>supports</w:t>
      </w:r>
      <w:r>
        <w:t xml:space="preserve">. </w:t>
      </w:r>
    </w:p>
    <w:p w14:paraId="37214C69" w14:textId="293B2430" w:rsidR="00322F35" w:rsidRDefault="00DF14B2" w:rsidP="00441575">
      <w:r>
        <w:t xml:space="preserve">A core strength and value </w:t>
      </w:r>
      <w:r w:rsidR="0088416E">
        <w:t xml:space="preserve">of the NDCO program </w:t>
      </w:r>
      <w:r>
        <w:t>to practitioner</w:t>
      </w:r>
      <w:r w:rsidR="0090077A">
        <w:t>s</w:t>
      </w:r>
      <w:r>
        <w:t xml:space="preserve"> is the </w:t>
      </w:r>
      <w:r w:rsidR="00322F35">
        <w:t xml:space="preserve">translation </w:t>
      </w:r>
      <w:r>
        <w:t>of</w:t>
      </w:r>
      <w:r w:rsidR="00AC06E5">
        <w:t xml:space="preserve"> </w:t>
      </w:r>
      <w:r w:rsidR="00414D24">
        <w:t>information</w:t>
      </w:r>
      <w:r w:rsidR="00322F35">
        <w:t xml:space="preserve"> into practice</w:t>
      </w:r>
      <w:r w:rsidR="00DC29A5">
        <w:t xml:space="preserve"> </w:t>
      </w:r>
      <w:r w:rsidR="001F2783">
        <w:t xml:space="preserve">- </w:t>
      </w:r>
      <w:r w:rsidR="00DC29A5">
        <w:t xml:space="preserve">these are highly </w:t>
      </w:r>
      <w:r w:rsidR="001F2783">
        <w:t xml:space="preserve">valued </w:t>
      </w:r>
      <w:r w:rsidR="00DC29A5">
        <w:t>resources</w:t>
      </w:r>
      <w:r>
        <w:t xml:space="preserve">. </w:t>
      </w:r>
      <w:r w:rsidRPr="001D403D">
        <w:t xml:space="preserve">However, </w:t>
      </w:r>
      <w:r w:rsidR="008F0083" w:rsidRPr="001D403D">
        <w:t xml:space="preserve">students </w:t>
      </w:r>
      <w:r w:rsidR="00D6128D" w:rsidRPr="001D403D">
        <w:t xml:space="preserve">and stakeholders </w:t>
      </w:r>
      <w:r w:rsidR="008F0083" w:rsidRPr="001D403D">
        <w:t xml:space="preserve">have </w:t>
      </w:r>
      <w:r w:rsidR="00416FC8">
        <w:t>suggested</w:t>
      </w:r>
      <w:r w:rsidR="00416FC8" w:rsidRPr="001D403D">
        <w:t xml:space="preserve"> </w:t>
      </w:r>
      <w:r w:rsidR="00416FC8" w:rsidRPr="00FC15EE">
        <w:t>that there is a</w:t>
      </w:r>
      <w:r w:rsidR="008F0083" w:rsidRPr="00FC15EE">
        <w:t xml:space="preserve"> need for </w:t>
      </w:r>
      <w:r w:rsidR="00D6128D" w:rsidRPr="00FC15EE">
        <w:t xml:space="preserve">a </w:t>
      </w:r>
      <w:r w:rsidR="008F0083" w:rsidRPr="00FC15EE">
        <w:t xml:space="preserve">more structured </w:t>
      </w:r>
      <w:r w:rsidR="00110F19" w:rsidRPr="00FC15EE">
        <w:t xml:space="preserve">approach </w:t>
      </w:r>
      <w:r w:rsidR="00DC29A5" w:rsidRPr="00D66066">
        <w:t xml:space="preserve">to </w:t>
      </w:r>
      <w:r w:rsidR="00AB0C8F" w:rsidRPr="00FC15EE">
        <w:t xml:space="preserve">educator </w:t>
      </w:r>
      <w:r w:rsidR="008F0083" w:rsidRPr="00FC15EE">
        <w:t xml:space="preserve">training </w:t>
      </w:r>
      <w:r w:rsidR="008D0034" w:rsidRPr="00FC15EE">
        <w:t>and system</w:t>
      </w:r>
      <w:r w:rsidR="00C36E07" w:rsidRPr="00FC15EE">
        <w:t>s</w:t>
      </w:r>
      <w:r w:rsidR="008D0034" w:rsidRPr="00FC15EE">
        <w:t xml:space="preserve"> to </w:t>
      </w:r>
      <w:r w:rsidR="00E9357F" w:rsidRPr="00FC15EE">
        <w:t xml:space="preserve">better </w:t>
      </w:r>
      <w:r w:rsidR="008D0034" w:rsidRPr="00FC15EE">
        <w:t>support</w:t>
      </w:r>
      <w:r w:rsidR="00753C40" w:rsidRPr="00FC15EE">
        <w:t xml:space="preserve"> students </w:t>
      </w:r>
      <w:r w:rsidR="00094D01" w:rsidRPr="00FC15EE">
        <w:t>with</w:t>
      </w:r>
      <w:r w:rsidR="008F0083" w:rsidRPr="00FC15EE">
        <w:t xml:space="preserve"> reliable</w:t>
      </w:r>
      <w:r w:rsidR="00094D01" w:rsidRPr="00FC15EE">
        <w:t xml:space="preserve"> </w:t>
      </w:r>
      <w:r w:rsidR="00D57FE4" w:rsidRPr="00FC15EE">
        <w:t>information</w:t>
      </w:r>
      <w:r w:rsidR="00E25645" w:rsidRPr="00FC15EE">
        <w:t xml:space="preserve"> </w:t>
      </w:r>
      <w:r w:rsidR="00B94BD1" w:rsidRPr="00FC15EE">
        <w:t xml:space="preserve">on adjustments </w:t>
      </w:r>
      <w:r w:rsidR="00E25645" w:rsidRPr="00FC15EE">
        <w:t>and</w:t>
      </w:r>
      <w:r w:rsidR="008F0083" w:rsidRPr="00FC15EE">
        <w:t xml:space="preserve"> </w:t>
      </w:r>
      <w:r w:rsidR="001D403D" w:rsidRPr="00FC15EE">
        <w:t xml:space="preserve">implementation of </w:t>
      </w:r>
      <w:r w:rsidR="008F0083" w:rsidRPr="00FC15EE">
        <w:t>support.</w:t>
      </w:r>
      <w:r w:rsidR="008F0083" w:rsidRPr="001D403D">
        <w:t xml:space="preserve"> </w:t>
      </w:r>
      <w:r w:rsidR="003E7478" w:rsidRPr="001D403D">
        <w:t>Students</w:t>
      </w:r>
      <w:r w:rsidR="00D57FE4">
        <w:t xml:space="preserve"> also</w:t>
      </w:r>
      <w:r w:rsidR="003E7478">
        <w:t xml:space="preserve"> referred to the differences in attitudes towards application of reasonable adjustments</w:t>
      </w:r>
      <w:r w:rsidR="00E25645">
        <w:t xml:space="preserve"> for people with visible and invisible disability</w:t>
      </w:r>
      <w:r w:rsidR="00C1695C">
        <w:t xml:space="preserve"> such as mental health</w:t>
      </w:r>
      <w:r w:rsidR="00867A9B">
        <w:t>, with students in the la</w:t>
      </w:r>
      <w:r w:rsidR="00B40741">
        <w:t xml:space="preserve">tter group experiencing </w:t>
      </w:r>
      <w:r w:rsidR="00F11105">
        <w:t xml:space="preserve">or fearing </w:t>
      </w:r>
      <w:r w:rsidR="00B40741">
        <w:t>judgement</w:t>
      </w:r>
      <w:r w:rsidR="00CC3457">
        <w:t xml:space="preserve"> when asking for adjustments</w:t>
      </w:r>
      <w:r w:rsidR="003E7478">
        <w:t>.</w:t>
      </w:r>
      <w:r w:rsidR="00890CEF">
        <w:t xml:space="preserve"> </w:t>
      </w:r>
    </w:p>
    <w:p w14:paraId="1AB7E106" w14:textId="77777777" w:rsidR="002C4CDE" w:rsidRDefault="00DC3670" w:rsidP="00441575">
      <w:r>
        <w:t xml:space="preserve">Many students </w:t>
      </w:r>
      <w:r w:rsidR="00332982">
        <w:t>cit</w:t>
      </w:r>
      <w:r>
        <w:t xml:space="preserve">ed </w:t>
      </w:r>
      <w:r w:rsidR="00332982">
        <w:t xml:space="preserve">the </w:t>
      </w:r>
      <w:r w:rsidR="00416FC8">
        <w:t xml:space="preserve">positive </w:t>
      </w:r>
      <w:r w:rsidR="00332982">
        <w:t xml:space="preserve">impact of </w:t>
      </w:r>
      <w:r w:rsidR="00416FC8">
        <w:t xml:space="preserve">providers’ responses to the </w:t>
      </w:r>
      <w:r w:rsidR="002D0A91" w:rsidRPr="00011BDB">
        <w:t>COVID</w:t>
      </w:r>
      <w:r>
        <w:t>-19</w:t>
      </w:r>
      <w:r w:rsidR="00416FC8">
        <w:t xml:space="preserve"> pandemic,</w:t>
      </w:r>
      <w:r w:rsidR="00332982">
        <w:t xml:space="preserve"> </w:t>
      </w:r>
      <w:r w:rsidR="00FF040D">
        <w:t xml:space="preserve">which resulted in </w:t>
      </w:r>
      <w:r w:rsidR="00A101E6">
        <w:t>increased</w:t>
      </w:r>
      <w:r w:rsidR="00332982">
        <w:t xml:space="preserve"> access</w:t>
      </w:r>
      <w:r w:rsidR="00A101E6">
        <w:t xml:space="preserve"> to</w:t>
      </w:r>
      <w:r w:rsidR="00332982">
        <w:t xml:space="preserve"> technology </w:t>
      </w:r>
      <w:r w:rsidR="00CC2CD2">
        <w:t>and online study</w:t>
      </w:r>
      <w:r w:rsidR="00E54B5E">
        <w:t xml:space="preserve"> options</w:t>
      </w:r>
      <w:r>
        <w:t xml:space="preserve"> </w:t>
      </w:r>
      <w:r w:rsidR="00416FC8">
        <w:t>(</w:t>
      </w:r>
      <w:r w:rsidR="00E45D04">
        <w:t>interestingly this</w:t>
      </w:r>
      <w:r>
        <w:t xml:space="preserve"> is also a primary consideration </w:t>
      </w:r>
      <w:r w:rsidR="009515C4">
        <w:t xml:space="preserve">in </w:t>
      </w:r>
      <w:r w:rsidR="00E45D04">
        <w:t>student</w:t>
      </w:r>
      <w:r w:rsidR="009515C4">
        <w:t xml:space="preserve"> choice of</w:t>
      </w:r>
      <w:r>
        <w:t xml:space="preserve"> a </w:t>
      </w:r>
      <w:r w:rsidR="002D53BA">
        <w:t>tertiary provider</w:t>
      </w:r>
      <w:r w:rsidR="00416FC8">
        <w:t>)</w:t>
      </w:r>
      <w:r w:rsidR="007C189D">
        <w:t xml:space="preserve">. </w:t>
      </w:r>
      <w:r w:rsidR="006A0B26">
        <w:t xml:space="preserve">Some students indicated surprise that </w:t>
      </w:r>
      <w:r w:rsidR="00C2475B">
        <w:t>tertiary education providers were not as far progressed</w:t>
      </w:r>
      <w:r w:rsidR="007F3201">
        <w:t xml:space="preserve"> in inclusive approaches. </w:t>
      </w:r>
    </w:p>
    <w:p w14:paraId="1192540F" w14:textId="0A0400D9" w:rsidR="002C4CDE" w:rsidRPr="00FC15EE" w:rsidRDefault="00B3515F" w:rsidP="00441575">
      <w:r w:rsidRPr="00FC15EE">
        <w:t xml:space="preserve">While a more systematic approach to </w:t>
      </w:r>
      <w:r w:rsidR="00630EB5" w:rsidRPr="00FC15EE">
        <w:t xml:space="preserve">building </w:t>
      </w:r>
      <w:r w:rsidR="00CD1A75" w:rsidRPr="00FC15EE">
        <w:t>educators’</w:t>
      </w:r>
      <w:r w:rsidR="00630EB5" w:rsidRPr="00FC15EE">
        <w:t xml:space="preserve"> </w:t>
      </w:r>
      <w:r w:rsidR="008B4435" w:rsidRPr="00FC15EE">
        <w:t xml:space="preserve">awareness and </w:t>
      </w:r>
      <w:r w:rsidR="00630EB5" w:rsidRPr="00FC15EE">
        <w:t xml:space="preserve">capacity </w:t>
      </w:r>
      <w:r w:rsidR="00C57DB6" w:rsidRPr="00FC15EE">
        <w:t xml:space="preserve">for delivering reasonable adjustment </w:t>
      </w:r>
      <w:r w:rsidR="00630EB5" w:rsidRPr="00FC15EE">
        <w:t xml:space="preserve">was </w:t>
      </w:r>
      <w:r w:rsidR="009E4CA6" w:rsidRPr="00FC15EE">
        <w:t>seen as important</w:t>
      </w:r>
      <w:r w:rsidR="00630EB5" w:rsidRPr="00FC15EE">
        <w:t xml:space="preserve">, </w:t>
      </w:r>
      <w:r w:rsidR="00F059BA" w:rsidRPr="00FC15EE">
        <w:t xml:space="preserve">it was as important that this </w:t>
      </w:r>
      <w:r w:rsidR="00416FC8" w:rsidRPr="00FC15EE">
        <w:t xml:space="preserve">be </w:t>
      </w:r>
      <w:r w:rsidR="00E57A97" w:rsidRPr="00FC15EE">
        <w:t xml:space="preserve">designed </w:t>
      </w:r>
      <w:r w:rsidR="00416FC8" w:rsidRPr="00FC15EE">
        <w:t xml:space="preserve">together </w:t>
      </w:r>
      <w:r w:rsidR="00E57A97" w:rsidRPr="00FC15EE">
        <w:t xml:space="preserve">with the voice of students </w:t>
      </w:r>
      <w:r w:rsidR="00991256" w:rsidRPr="00FC15EE">
        <w:t>with disability</w:t>
      </w:r>
      <w:r w:rsidR="00F059BA" w:rsidRPr="00FC15EE">
        <w:t xml:space="preserve">. </w:t>
      </w:r>
    </w:p>
    <w:p w14:paraId="4B4A5366" w14:textId="1F61C408" w:rsidR="00441575" w:rsidRPr="00D66066" w:rsidRDefault="001F7FFB" w:rsidP="00441575">
      <w:pPr>
        <w:rPr>
          <w:b/>
          <w:bCs/>
        </w:rPr>
      </w:pPr>
      <w:r>
        <w:t>Many stakeholders including students</w:t>
      </w:r>
      <w:r w:rsidRPr="001F7FFB">
        <w:t xml:space="preserve"> recognised</w:t>
      </w:r>
      <w:r w:rsidR="00B534EA">
        <w:t xml:space="preserve"> u</w:t>
      </w:r>
      <w:r>
        <w:t xml:space="preserve">niversal </w:t>
      </w:r>
      <w:r w:rsidR="00B534EA">
        <w:t>d</w:t>
      </w:r>
      <w:r>
        <w:t xml:space="preserve">esign </w:t>
      </w:r>
      <w:r w:rsidR="00B534EA">
        <w:t xml:space="preserve">for learning </w:t>
      </w:r>
      <w:r w:rsidRPr="001F7FFB">
        <w:t xml:space="preserve">as </w:t>
      </w:r>
      <w:r w:rsidR="00B534EA">
        <w:t>a</w:t>
      </w:r>
      <w:r w:rsidRPr="001F7FFB">
        <w:t xml:space="preserve"> way </w:t>
      </w:r>
      <w:r>
        <w:t>to improve</w:t>
      </w:r>
      <w:r w:rsidRPr="001F7FFB">
        <w:t xml:space="preserve"> accessibility for all students, not just for people with disability and would not require people to disclose a disability in order to benefit.</w:t>
      </w:r>
      <w:r>
        <w:t xml:space="preserve"> </w:t>
      </w:r>
      <w:r w:rsidRPr="00FC15EE">
        <w:t xml:space="preserve">While universal design for inclusive learning would support a greater capacity in the sector, the challenge however remains that people are unique, and open dialogue between the person </w:t>
      </w:r>
      <w:r w:rsidR="00991256" w:rsidRPr="00D66066">
        <w:t>with disability</w:t>
      </w:r>
      <w:r w:rsidRPr="00FC15EE">
        <w:t xml:space="preserve"> and the educator or employer </w:t>
      </w:r>
      <w:r w:rsidR="00DC29A5" w:rsidRPr="00FC15EE">
        <w:t>may</w:t>
      </w:r>
      <w:r w:rsidRPr="00FC15EE">
        <w:t xml:space="preserve"> still be required. </w:t>
      </w:r>
    </w:p>
    <w:p w14:paraId="17434424" w14:textId="0566DC7D" w:rsidR="00D12107" w:rsidRDefault="00C45243" w:rsidP="00311B12">
      <w:pPr>
        <w:pStyle w:val="Heading3"/>
      </w:pPr>
      <w:bookmarkStart w:id="17" w:name="_Toc95836732"/>
      <w:r>
        <w:t xml:space="preserve">Transition </w:t>
      </w:r>
      <w:r w:rsidR="001224A6" w:rsidRPr="001224A6">
        <w:t xml:space="preserve">from tertiary providers into </w:t>
      </w:r>
      <w:r>
        <w:t>e</w:t>
      </w:r>
      <w:r w:rsidR="00D0306A">
        <w:t xml:space="preserve">mployment </w:t>
      </w:r>
      <w:r>
        <w:t>is a gap</w:t>
      </w:r>
      <w:bookmarkEnd w:id="17"/>
      <w:r w:rsidR="00D12107">
        <w:t xml:space="preserve"> </w:t>
      </w:r>
    </w:p>
    <w:p w14:paraId="6148AC1E" w14:textId="77777777" w:rsidR="004A5CD2" w:rsidRDefault="001F14CC" w:rsidP="00CE75EA">
      <w:r>
        <w:t>Considering the</w:t>
      </w:r>
      <w:r w:rsidR="00CE75EA">
        <w:t xml:space="preserve"> transition </w:t>
      </w:r>
      <w:r w:rsidR="008859B1">
        <w:t xml:space="preserve">stages of a student journey </w:t>
      </w:r>
      <w:r w:rsidR="00DC5067">
        <w:t>from secondary to tertiary</w:t>
      </w:r>
      <w:r w:rsidR="00184E7D">
        <w:t xml:space="preserve"> education</w:t>
      </w:r>
      <w:r w:rsidR="00C22F05">
        <w:t>, and from tertiary</w:t>
      </w:r>
      <w:r w:rsidR="00DC5067">
        <w:t xml:space="preserve"> </w:t>
      </w:r>
      <w:r w:rsidR="00184E7D">
        <w:t xml:space="preserve">education </w:t>
      </w:r>
      <w:r w:rsidR="00DC5067">
        <w:t>to employment</w:t>
      </w:r>
      <w:r w:rsidR="00CE75EA">
        <w:t>,</w:t>
      </w:r>
      <w:r w:rsidR="00D6549C">
        <w:t xml:space="preserve"> </w:t>
      </w:r>
      <w:r w:rsidR="00F41054">
        <w:t xml:space="preserve">obtaining </w:t>
      </w:r>
      <w:r w:rsidR="00D6549C">
        <w:t xml:space="preserve">employment </w:t>
      </w:r>
      <w:r w:rsidR="001110CD">
        <w:t xml:space="preserve">related to </w:t>
      </w:r>
      <w:r w:rsidR="002E2708">
        <w:t>a student’s</w:t>
      </w:r>
      <w:r w:rsidR="001110CD">
        <w:t xml:space="preserve"> </w:t>
      </w:r>
      <w:r w:rsidR="002E2708">
        <w:t>qualifications</w:t>
      </w:r>
      <w:r w:rsidR="001110CD">
        <w:t xml:space="preserve"> </w:t>
      </w:r>
      <w:r w:rsidR="00D6549C">
        <w:t xml:space="preserve">was </w:t>
      </w:r>
      <w:r w:rsidR="001110CD">
        <w:t xml:space="preserve">seen as </w:t>
      </w:r>
      <w:r w:rsidR="009B5BB8">
        <w:t xml:space="preserve">the </w:t>
      </w:r>
      <w:r w:rsidR="001110CD">
        <w:t>most challenging transition point for students</w:t>
      </w:r>
      <w:r w:rsidR="008859B1">
        <w:t>. T</w:t>
      </w:r>
      <w:r w:rsidR="00FD5492">
        <w:t xml:space="preserve">his was </w:t>
      </w:r>
      <w:r w:rsidR="008A7BCC">
        <w:t>confirmed</w:t>
      </w:r>
      <w:r w:rsidR="00E14E32">
        <w:t xml:space="preserve"> by all stakeholders engaged in this research</w:t>
      </w:r>
      <w:r w:rsidR="001110CD">
        <w:t xml:space="preserve">. </w:t>
      </w:r>
    </w:p>
    <w:p w14:paraId="5440120A" w14:textId="030F6C93" w:rsidR="00FF00B4" w:rsidRPr="00FC15EE" w:rsidRDefault="004D6459" w:rsidP="00CE75EA">
      <w:r w:rsidRPr="00FC15EE">
        <w:t xml:space="preserve">Two </w:t>
      </w:r>
      <w:r w:rsidR="00EC4C36" w:rsidRPr="00FC15EE">
        <w:t xml:space="preserve">key </w:t>
      </w:r>
      <w:r w:rsidRPr="00FC15EE">
        <w:t>themes emerged</w:t>
      </w:r>
      <w:r w:rsidR="00EC4C36" w:rsidRPr="00FC15EE">
        <w:t>: issues with</w:t>
      </w:r>
      <w:r w:rsidR="001110CD" w:rsidRPr="00FC15EE">
        <w:t xml:space="preserve"> </w:t>
      </w:r>
      <w:r w:rsidR="00E14E32" w:rsidRPr="00FC15EE">
        <w:t xml:space="preserve">pathways </w:t>
      </w:r>
      <w:r w:rsidR="00722FB3" w:rsidRPr="00FC15EE">
        <w:t>from tertiary</w:t>
      </w:r>
      <w:r w:rsidR="001110CD" w:rsidRPr="00FC15EE">
        <w:t xml:space="preserve"> institutions into employment</w:t>
      </w:r>
      <w:r w:rsidR="00EC4C36" w:rsidRPr="00FC15EE">
        <w:t>;</w:t>
      </w:r>
      <w:r w:rsidR="001110CD" w:rsidRPr="00FC15EE">
        <w:t xml:space="preserve"> and </w:t>
      </w:r>
      <w:r w:rsidR="00EC4C36" w:rsidRPr="00FC15EE">
        <w:t xml:space="preserve">barriers flowing from the </w:t>
      </w:r>
      <w:r w:rsidR="001110CD" w:rsidRPr="00FC15EE">
        <w:t xml:space="preserve">attitudes of employers </w:t>
      </w:r>
      <w:r w:rsidR="00EC4C36" w:rsidRPr="00FC15EE">
        <w:t xml:space="preserve">towards </w:t>
      </w:r>
      <w:r w:rsidR="00FF00B4" w:rsidRPr="00FC15EE">
        <w:t xml:space="preserve">hiring tertiary graduates </w:t>
      </w:r>
      <w:r w:rsidR="00991256" w:rsidRPr="00FC15EE">
        <w:t>with disability</w:t>
      </w:r>
      <w:r w:rsidR="00FF00B4" w:rsidRPr="00FC15EE">
        <w:t xml:space="preserve">. </w:t>
      </w:r>
      <w:r w:rsidRPr="00FC15EE">
        <w:t xml:space="preserve"> </w:t>
      </w:r>
    </w:p>
    <w:p w14:paraId="4F4AB637" w14:textId="77777777" w:rsidR="004A5CD2" w:rsidRDefault="005E40F8" w:rsidP="00CE75EA">
      <w:r>
        <w:t>A</w:t>
      </w:r>
      <w:r w:rsidR="00FD2DBF">
        <w:t>kin</w:t>
      </w:r>
      <w:r w:rsidR="00F02BF4">
        <w:t xml:space="preserve"> to the challenges of implementation of reasonable adjustment, </w:t>
      </w:r>
      <w:r w:rsidR="00BB5011">
        <w:t xml:space="preserve">course </w:t>
      </w:r>
      <w:r w:rsidR="000B7AEF">
        <w:t xml:space="preserve">work </w:t>
      </w:r>
      <w:r w:rsidR="00BB5011">
        <w:t xml:space="preserve">placements </w:t>
      </w:r>
      <w:r w:rsidR="00EA554E">
        <w:t>t</w:t>
      </w:r>
      <w:r w:rsidR="00CD2E59">
        <w:t>hat</w:t>
      </w:r>
      <w:r w:rsidR="00EA554E">
        <w:t xml:space="preserve"> provide exposure to employers and </w:t>
      </w:r>
      <w:r w:rsidR="00CD2E59">
        <w:t xml:space="preserve">acquisition of </w:t>
      </w:r>
      <w:r w:rsidR="00BF1BE0">
        <w:t xml:space="preserve">job-skills </w:t>
      </w:r>
      <w:r w:rsidR="00EC4C36">
        <w:t xml:space="preserve">were </w:t>
      </w:r>
      <w:r w:rsidR="00BF1BE0">
        <w:t>see</w:t>
      </w:r>
      <w:r w:rsidR="00E23B07">
        <w:t>n</w:t>
      </w:r>
      <w:r w:rsidR="00BF1BE0">
        <w:t xml:space="preserve"> as </w:t>
      </w:r>
      <w:r w:rsidR="00CD2E59">
        <w:t>inflexible</w:t>
      </w:r>
      <w:r w:rsidR="00FB6CA3">
        <w:t xml:space="preserve"> and poorly planned.</w:t>
      </w:r>
      <w:r w:rsidR="00BF1BE0">
        <w:t xml:space="preserve"> </w:t>
      </w:r>
      <w:r w:rsidR="001309FE">
        <w:t xml:space="preserve">Confidence of tertiary students in obtaining a </w:t>
      </w:r>
      <w:r w:rsidR="001668A7">
        <w:t>course</w:t>
      </w:r>
      <w:r w:rsidR="006065EC">
        <w:t>-</w:t>
      </w:r>
      <w:r w:rsidR="001668A7">
        <w:t>related job was low</w:t>
      </w:r>
      <w:r w:rsidR="001309FE">
        <w:t xml:space="preserve">, particularly </w:t>
      </w:r>
      <w:r w:rsidR="00415CC9">
        <w:t>for</w:t>
      </w:r>
      <w:r w:rsidR="001309FE">
        <w:t xml:space="preserve"> university </w:t>
      </w:r>
      <w:r w:rsidR="001668A7">
        <w:t>students</w:t>
      </w:r>
      <w:r w:rsidR="004307B1">
        <w:t xml:space="preserve"> </w:t>
      </w:r>
      <w:r w:rsidR="004307B1" w:rsidRPr="00733FD7">
        <w:t xml:space="preserve">where employment </w:t>
      </w:r>
      <w:r w:rsidR="00F26B55">
        <w:t>was</w:t>
      </w:r>
      <w:r w:rsidR="00A03D16">
        <w:t xml:space="preserve"> more</w:t>
      </w:r>
      <w:r w:rsidR="004307B1" w:rsidRPr="00733FD7">
        <w:t xml:space="preserve"> commonly </w:t>
      </w:r>
      <w:r w:rsidR="00F26B55">
        <w:t>obtained some months</w:t>
      </w:r>
      <w:r w:rsidR="004307B1" w:rsidRPr="00733FD7">
        <w:t xml:space="preserve"> </w:t>
      </w:r>
      <w:r w:rsidR="00046BE1">
        <w:t>after graduation.</w:t>
      </w:r>
      <w:r w:rsidR="004307B1">
        <w:t xml:space="preserve"> </w:t>
      </w:r>
      <w:r w:rsidR="00F13F68">
        <w:t xml:space="preserve">Despite </w:t>
      </w:r>
      <w:r w:rsidR="00F777F0">
        <w:t xml:space="preserve">university </w:t>
      </w:r>
      <w:r w:rsidR="00F13F68">
        <w:t>g</w:t>
      </w:r>
      <w:r w:rsidR="00057BAB">
        <w:t xml:space="preserve">raduates </w:t>
      </w:r>
      <w:r w:rsidR="001569A5">
        <w:t>identifying</w:t>
      </w:r>
      <w:r w:rsidR="00F13F68">
        <w:t xml:space="preserve"> tertiary career </w:t>
      </w:r>
      <w:r w:rsidR="00F777F0">
        <w:t>guidance</w:t>
      </w:r>
      <w:r w:rsidR="005056D0">
        <w:t xml:space="preserve"> </w:t>
      </w:r>
      <w:r w:rsidR="001569A5">
        <w:t xml:space="preserve">as </w:t>
      </w:r>
      <w:r w:rsidR="00AD6E20">
        <w:t xml:space="preserve">the </w:t>
      </w:r>
      <w:r w:rsidR="001569A5">
        <w:t>second most helpful support to find a job</w:t>
      </w:r>
      <w:r w:rsidR="001569A5">
        <w:rPr>
          <w:rStyle w:val="FootnoteReference"/>
        </w:rPr>
        <w:footnoteReference w:id="4"/>
      </w:r>
      <w:r w:rsidR="001569A5">
        <w:t xml:space="preserve">, </w:t>
      </w:r>
      <w:r w:rsidR="00F777F0">
        <w:t>they were also</w:t>
      </w:r>
      <w:r w:rsidR="00057BAB">
        <w:t xml:space="preserve"> more negative </w:t>
      </w:r>
      <w:r w:rsidR="00F777F0">
        <w:t>than</w:t>
      </w:r>
      <w:r w:rsidR="00F13F68">
        <w:t xml:space="preserve"> current student</w:t>
      </w:r>
      <w:r w:rsidR="00B1657F">
        <w:t>s</w:t>
      </w:r>
      <w:r w:rsidR="00F13F68">
        <w:t xml:space="preserve"> about the support from the tertiary provider in finding a job. </w:t>
      </w:r>
    </w:p>
    <w:p w14:paraId="50E9C1F9" w14:textId="38561366" w:rsidR="00F02BF4" w:rsidRDefault="003F47DE" w:rsidP="00CE75EA">
      <w:r w:rsidRPr="00FC15EE">
        <w:t xml:space="preserve">The need </w:t>
      </w:r>
      <w:r w:rsidR="001F6ABD">
        <w:t>for</w:t>
      </w:r>
      <w:r w:rsidR="001224A6">
        <w:t xml:space="preserve"> tertiary providers to</w:t>
      </w:r>
      <w:r w:rsidRPr="00FC15EE">
        <w:t xml:space="preserve"> provide more active support to graduate</w:t>
      </w:r>
      <w:r w:rsidR="00EC3720" w:rsidRPr="00FC15EE">
        <w:t>s</w:t>
      </w:r>
      <w:r w:rsidRPr="00FC15EE">
        <w:t xml:space="preserve"> to find </w:t>
      </w:r>
      <w:r w:rsidR="00EC3720" w:rsidRPr="00FC15EE">
        <w:t xml:space="preserve">work was </w:t>
      </w:r>
      <w:r w:rsidR="004A5CD2" w:rsidRPr="00FC15EE">
        <w:t>highlighted and</w:t>
      </w:r>
      <w:r w:rsidR="001A6FD7" w:rsidRPr="00FC15EE">
        <w:t xml:space="preserve"> </w:t>
      </w:r>
      <w:r w:rsidR="00EC3720" w:rsidRPr="00FC15EE">
        <w:t>includ</w:t>
      </w:r>
      <w:r w:rsidR="002F2B93" w:rsidRPr="00FC15EE">
        <w:t>ed</w:t>
      </w:r>
      <w:r w:rsidR="00EC3720" w:rsidRPr="00FC15EE">
        <w:t xml:space="preserve"> the need to start this support earlier within </w:t>
      </w:r>
      <w:r w:rsidR="00DE5600" w:rsidRPr="00FC15EE">
        <w:t>their studies.</w:t>
      </w:r>
      <w:r w:rsidR="00DE5600">
        <w:t xml:space="preserve"> </w:t>
      </w:r>
      <w:r w:rsidR="00C923C3">
        <w:t xml:space="preserve">Starting earlier may also </w:t>
      </w:r>
      <w:r w:rsidR="00DE5600">
        <w:t xml:space="preserve">benefit linkages </w:t>
      </w:r>
      <w:r w:rsidR="002F2B93">
        <w:t xml:space="preserve">for </w:t>
      </w:r>
      <w:r w:rsidR="00C923C3">
        <w:t xml:space="preserve">work </w:t>
      </w:r>
      <w:r w:rsidR="002F2B93">
        <w:t xml:space="preserve">placement and </w:t>
      </w:r>
      <w:r w:rsidR="00C923C3">
        <w:t>build</w:t>
      </w:r>
      <w:r w:rsidR="00CB3AF6">
        <w:t>ing</w:t>
      </w:r>
      <w:r w:rsidR="00C923C3">
        <w:t xml:space="preserve"> relationships with prospective employers.</w:t>
      </w:r>
      <w:r w:rsidR="00DE5600">
        <w:t xml:space="preserve"> </w:t>
      </w:r>
      <w:r w:rsidR="00151BCE">
        <w:t>Unsurprisingly</w:t>
      </w:r>
      <w:r w:rsidR="00DC419B">
        <w:t xml:space="preserve">, </w:t>
      </w:r>
      <w:r w:rsidR="002D0A91" w:rsidRPr="00011BDB">
        <w:t>COVID</w:t>
      </w:r>
      <w:r w:rsidR="00911517">
        <w:t>-19</w:t>
      </w:r>
      <w:r w:rsidR="00120DE9">
        <w:t xml:space="preserve"> was seen as having a negative </w:t>
      </w:r>
      <w:r w:rsidR="00A46504">
        <w:t xml:space="preserve">impact </w:t>
      </w:r>
      <w:r w:rsidR="00120DE9">
        <w:t>on finding and</w:t>
      </w:r>
      <w:r w:rsidR="00963ACE">
        <w:t xml:space="preserve"> </w:t>
      </w:r>
      <w:r w:rsidR="001D0B0D">
        <w:t>/</w:t>
      </w:r>
      <w:r w:rsidR="00963ACE">
        <w:t xml:space="preserve"> </w:t>
      </w:r>
      <w:r w:rsidR="001D0B0D">
        <w:t xml:space="preserve">or </w:t>
      </w:r>
      <w:r w:rsidR="00120DE9">
        <w:t xml:space="preserve">keeping </w:t>
      </w:r>
      <w:r w:rsidR="001D0B0D">
        <w:t>a job related to their studies.</w:t>
      </w:r>
    </w:p>
    <w:p w14:paraId="40C0A924" w14:textId="7C1CFA32" w:rsidR="00E54D59" w:rsidRDefault="00B1657F" w:rsidP="00E653DD">
      <w:r>
        <w:t xml:space="preserve">The perceived </w:t>
      </w:r>
      <w:r w:rsidR="00DA465B">
        <w:t xml:space="preserve">biases </w:t>
      </w:r>
      <w:r w:rsidR="00ED59B8">
        <w:t xml:space="preserve">and misconceptions </w:t>
      </w:r>
      <w:r w:rsidR="00DA465B">
        <w:t xml:space="preserve">of employers </w:t>
      </w:r>
      <w:r w:rsidR="00ED59B8">
        <w:t xml:space="preserve">in hiring graduates </w:t>
      </w:r>
      <w:r w:rsidR="00991256">
        <w:t>with disability</w:t>
      </w:r>
      <w:r w:rsidR="00ED59B8">
        <w:t xml:space="preserve"> </w:t>
      </w:r>
      <w:r w:rsidR="00DA465B">
        <w:t>was commonly raised</w:t>
      </w:r>
      <w:r w:rsidR="00ED59B8">
        <w:t xml:space="preserve"> as a challenge in </w:t>
      </w:r>
      <w:r w:rsidR="006F2D4E">
        <w:t>obtaining course-related employment.</w:t>
      </w:r>
      <w:r w:rsidR="00D137E5">
        <w:t xml:space="preserve"> Student</w:t>
      </w:r>
      <w:r w:rsidR="00151BCE">
        <w:t>s</w:t>
      </w:r>
      <w:r w:rsidR="00D137E5">
        <w:t xml:space="preserve"> </w:t>
      </w:r>
      <w:r w:rsidR="00B55037">
        <w:t>indicated</w:t>
      </w:r>
      <w:r w:rsidR="007B2153">
        <w:t xml:space="preserve"> that</w:t>
      </w:r>
      <w:r w:rsidR="003A505B">
        <w:t xml:space="preserve"> </w:t>
      </w:r>
      <w:r w:rsidR="00962823">
        <w:t xml:space="preserve">employers </w:t>
      </w:r>
      <w:r w:rsidR="00F66753">
        <w:t xml:space="preserve">see the complexities of recruiting a person </w:t>
      </w:r>
      <w:r w:rsidR="00991256">
        <w:t>with disability</w:t>
      </w:r>
      <w:r w:rsidR="00F66753">
        <w:t xml:space="preserve"> ahead of the </w:t>
      </w:r>
      <w:r w:rsidR="000B16B9">
        <w:t xml:space="preserve">skills and </w:t>
      </w:r>
      <w:r w:rsidR="00F66753">
        <w:t>benefits</w:t>
      </w:r>
      <w:r w:rsidR="000B16B9">
        <w:t xml:space="preserve"> </w:t>
      </w:r>
      <w:r w:rsidR="00C1394B">
        <w:t>it would bring to their business</w:t>
      </w:r>
      <w:r w:rsidR="00127718">
        <w:t xml:space="preserve">. </w:t>
      </w:r>
      <w:r w:rsidR="00B45F64">
        <w:t xml:space="preserve">Combined with the </w:t>
      </w:r>
      <w:r w:rsidR="00C1394B">
        <w:t xml:space="preserve">competitive nature of the </w:t>
      </w:r>
      <w:r w:rsidR="008A34C3">
        <w:t>job application process</w:t>
      </w:r>
      <w:r w:rsidR="00B45F64">
        <w:t xml:space="preserve">, it was thought </w:t>
      </w:r>
      <w:r w:rsidR="00AA239C">
        <w:t xml:space="preserve">that </w:t>
      </w:r>
      <w:r w:rsidR="00B45F64">
        <w:t xml:space="preserve">when </w:t>
      </w:r>
      <w:r w:rsidR="009F4135">
        <w:t xml:space="preserve">comparing </w:t>
      </w:r>
      <w:r w:rsidR="00127718">
        <w:t>two skilled candidates</w:t>
      </w:r>
      <w:r w:rsidR="005629A4">
        <w:t>,</w:t>
      </w:r>
      <w:r w:rsidR="00127718">
        <w:t xml:space="preserve"> </w:t>
      </w:r>
      <w:r w:rsidR="00830EEA">
        <w:t>employers</w:t>
      </w:r>
      <w:r w:rsidR="00B45F64">
        <w:t xml:space="preserve"> may screen </w:t>
      </w:r>
      <w:r w:rsidR="00E570CA">
        <w:t xml:space="preserve">graduates </w:t>
      </w:r>
      <w:r w:rsidR="00991256">
        <w:t>with disability</w:t>
      </w:r>
      <w:r w:rsidR="00B45F64">
        <w:t xml:space="preserve"> </w:t>
      </w:r>
      <w:r w:rsidR="00505510">
        <w:t xml:space="preserve">out </w:t>
      </w:r>
      <w:r w:rsidR="00C1113C">
        <w:t xml:space="preserve">based on assumptions </w:t>
      </w:r>
      <w:r w:rsidR="00E653DD">
        <w:t xml:space="preserve">around the </w:t>
      </w:r>
      <w:r w:rsidR="00B45F64">
        <w:t>additional support</w:t>
      </w:r>
      <w:r w:rsidR="00E653DD">
        <w:t xml:space="preserve"> required</w:t>
      </w:r>
      <w:r w:rsidR="00427DCB">
        <w:t>.</w:t>
      </w:r>
    </w:p>
    <w:p w14:paraId="4D33C480" w14:textId="77777777" w:rsidR="00EE6085" w:rsidRDefault="00EE6085" w:rsidP="00FC15EE">
      <w:pPr>
        <w:pStyle w:val="Heading3"/>
      </w:pPr>
      <w:bookmarkStart w:id="18" w:name="_Toc95836733"/>
      <w:r>
        <w:t>Design with us not for us</w:t>
      </w:r>
      <w:bookmarkEnd w:id="18"/>
      <w:r>
        <w:t xml:space="preserve"> </w:t>
      </w:r>
    </w:p>
    <w:p w14:paraId="3095C960" w14:textId="3111658F" w:rsidR="004A5CD2" w:rsidRPr="00537DBA" w:rsidRDefault="00EE6085" w:rsidP="00EE6085">
      <w:r w:rsidRPr="00537DBA">
        <w:t xml:space="preserve">Throughout </w:t>
      </w:r>
      <w:r w:rsidR="00F758DC" w:rsidRPr="00537DBA">
        <w:t>the review</w:t>
      </w:r>
      <w:r w:rsidRPr="00537DBA">
        <w:t xml:space="preserve">, we engaged with students </w:t>
      </w:r>
      <w:r w:rsidR="00991256" w:rsidRPr="00D66066">
        <w:t>with disability</w:t>
      </w:r>
      <w:r w:rsidRPr="00537DBA">
        <w:t xml:space="preserve"> and family members who consistently stressed the need for their voice to be heard in the design and development of the future program given they are the beneficiaries of the program. </w:t>
      </w:r>
    </w:p>
    <w:p w14:paraId="56063765" w14:textId="25559EE0" w:rsidR="00EE6085" w:rsidRPr="00537DBA" w:rsidRDefault="00B534EA" w:rsidP="00EE6085">
      <w:r w:rsidRPr="00537DBA">
        <w:t xml:space="preserve">When considering the </w:t>
      </w:r>
      <w:r w:rsidR="006E36B0" w:rsidRPr="00537DBA">
        <w:t xml:space="preserve">program and the </w:t>
      </w:r>
      <w:r w:rsidRPr="00537DBA">
        <w:t>broader ecosystem (</w:t>
      </w:r>
      <w:r w:rsidR="0082209F" w:rsidRPr="00537DBA">
        <w:t>contained in</w:t>
      </w:r>
      <w:r w:rsidRPr="00537DBA">
        <w:t xml:space="preserve"> Appendix </w:t>
      </w:r>
      <w:r w:rsidR="0082209F" w:rsidRPr="00537DBA">
        <w:t>A and D</w:t>
      </w:r>
      <w:r w:rsidRPr="00537DBA">
        <w:t>) s</w:t>
      </w:r>
      <w:r w:rsidR="00F758DC" w:rsidRPr="00537DBA">
        <w:t xml:space="preserve">tudents felt that </w:t>
      </w:r>
      <w:r w:rsidR="00396639" w:rsidRPr="00537DBA">
        <w:t>they were not connected with the program, and that it was</w:t>
      </w:r>
      <w:r w:rsidR="00F758DC" w:rsidRPr="00537DBA">
        <w:t xml:space="preserve"> critical for them to have a recognised ‘seat at the table’</w:t>
      </w:r>
      <w:r w:rsidR="00396639" w:rsidRPr="00537DBA">
        <w:t>.</w:t>
      </w:r>
      <w:r w:rsidRPr="00537DBA">
        <w:t xml:space="preserve"> </w:t>
      </w:r>
      <w:r w:rsidR="00396639" w:rsidRPr="00537DBA">
        <w:t xml:space="preserve">Having their voice included and listened to by those that are influential in the sector is a powerful platform for </w:t>
      </w:r>
      <w:r w:rsidR="004A5CD2" w:rsidRPr="00537DBA">
        <w:t>change and</w:t>
      </w:r>
      <w:r w:rsidR="00396639" w:rsidRPr="00537DBA">
        <w:t xml:space="preserve"> provides greater insight</w:t>
      </w:r>
      <w:r w:rsidR="004A5CD2" w:rsidRPr="00537DBA">
        <w:t xml:space="preserve"> </w:t>
      </w:r>
      <w:r w:rsidR="00D87846" w:rsidRPr="00537DBA">
        <w:t>into priorities and how best to implement</w:t>
      </w:r>
      <w:r w:rsidR="00FC15EE">
        <w:t xml:space="preserve"> them</w:t>
      </w:r>
      <w:r w:rsidR="00396639" w:rsidRPr="00537DBA">
        <w:t xml:space="preserve">. </w:t>
      </w:r>
    </w:p>
    <w:p w14:paraId="4787EFD0" w14:textId="257AFB65" w:rsidR="00EE6085" w:rsidRDefault="00EE6085" w:rsidP="00EE6085">
      <w:r w:rsidRPr="00537DBA">
        <w:t>Unfortunately, while progress has been made in understanding the importance and value of this expertise within the disability sector, more effort and education is required to ensure the program going forward engages with the people it aims to improve outcomes for. This</w:t>
      </w:r>
      <w:r w:rsidR="004A5CD2" w:rsidRPr="00537DBA">
        <w:t xml:space="preserve"> </w:t>
      </w:r>
      <w:r w:rsidRPr="00537DBA">
        <w:t xml:space="preserve">needs to be done in a meaningful way and there is opportunity for the program to demonstrate </w:t>
      </w:r>
      <w:r w:rsidR="004A5CD2" w:rsidRPr="00537DBA">
        <w:t>meaningful inclusion</w:t>
      </w:r>
      <w:r w:rsidRPr="00537DBA">
        <w:t xml:space="preserve"> as part of its</w:t>
      </w:r>
      <w:r>
        <w:t xml:space="preserve"> future partnerships and operations. </w:t>
      </w:r>
    </w:p>
    <w:p w14:paraId="3A65A8A6" w14:textId="1D60DE4C" w:rsidR="00EE6085" w:rsidRDefault="00EE6085" w:rsidP="00EE6085">
      <w:r>
        <w:t xml:space="preserve">This was also a theme that arose for practitioners, who also felt that if students </w:t>
      </w:r>
      <w:r w:rsidR="00991256">
        <w:t>with disability</w:t>
      </w:r>
      <w:r>
        <w:t xml:space="preserve"> </w:t>
      </w:r>
      <w:r w:rsidR="00B534EA">
        <w:t xml:space="preserve">and practitioners </w:t>
      </w:r>
      <w:r>
        <w:t>were not an integral part of informing the program direction, this disengagement would result in inaccurate or reduced quality of information</w:t>
      </w:r>
      <w:r w:rsidR="00D87846">
        <w:t xml:space="preserve"> and practice support provided</w:t>
      </w:r>
      <w:r>
        <w:t>.</w:t>
      </w:r>
    </w:p>
    <w:p w14:paraId="1C6303F2" w14:textId="03159710" w:rsidR="000500C5" w:rsidRDefault="00A51224" w:rsidP="000500C5">
      <w:pPr>
        <w:pStyle w:val="Heading2"/>
      </w:pPr>
      <w:bookmarkStart w:id="19" w:name="_Toc95836734"/>
      <w:r>
        <w:t>G</w:t>
      </w:r>
      <w:r w:rsidR="000500C5" w:rsidRPr="000500C5">
        <w:t>aps and opportunities at local, program and strategic levels</w:t>
      </w:r>
      <w:bookmarkEnd w:id="19"/>
    </w:p>
    <w:p w14:paraId="1C2A347D" w14:textId="753A4027" w:rsidR="00A2560E" w:rsidRDefault="00014FFE" w:rsidP="00D97549">
      <w:pPr>
        <w:rPr>
          <w:b/>
        </w:rPr>
      </w:pPr>
      <w:r w:rsidRPr="00014FFE">
        <w:t xml:space="preserve">The </w:t>
      </w:r>
      <w:r>
        <w:t xml:space="preserve">table </w:t>
      </w:r>
      <w:r w:rsidR="00233CDA">
        <w:t xml:space="preserve">below </w:t>
      </w:r>
      <w:r>
        <w:t xml:space="preserve">presents </w:t>
      </w:r>
      <w:r w:rsidR="00E97938">
        <w:t>an overview of the NDCO program</w:t>
      </w:r>
      <w:r w:rsidR="00233CDA">
        <w:t>’s</w:t>
      </w:r>
      <w:r w:rsidR="00E97938">
        <w:t xml:space="preserve"> </w:t>
      </w:r>
      <w:r w:rsidR="004E6740">
        <w:t xml:space="preserve">strengths, weaknesses, opportunities and </w:t>
      </w:r>
      <w:r w:rsidR="00EF5422">
        <w:t xml:space="preserve">threats </w:t>
      </w:r>
      <w:r w:rsidR="004E6740">
        <w:t>based on the research undertaken</w:t>
      </w:r>
      <w:r w:rsidR="00B949AC">
        <w:t xml:space="preserve">, and consolidates findings at a local, program and strategic level. </w:t>
      </w:r>
    </w:p>
    <w:p w14:paraId="1D3FF63A" w14:textId="63B7C5C0" w:rsidR="00EF5572" w:rsidRDefault="00EF5572" w:rsidP="00EF5572">
      <w:pPr>
        <w:pStyle w:val="FigureHeading"/>
      </w:pPr>
      <w:r w:rsidRPr="009F19A0">
        <w:t xml:space="preserve">Table </w:t>
      </w:r>
      <w:r w:rsidR="009F19A0" w:rsidRPr="009F19A0">
        <w:t>2</w:t>
      </w:r>
      <w:r w:rsidRPr="009F19A0">
        <w:t>:</w:t>
      </w:r>
      <w:r>
        <w:t xml:space="preserve"> Summary of the NDCO program current state </w:t>
      </w:r>
    </w:p>
    <w:p w14:paraId="3A648A31" w14:textId="77777777" w:rsidR="00EF5572" w:rsidRDefault="00EF5572" w:rsidP="00BE407B"/>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493"/>
        <w:gridCol w:w="7154"/>
      </w:tblGrid>
      <w:tr w:rsidR="00044D64" w14:paraId="1EEB5BEE" w14:textId="77777777" w:rsidTr="00332F19">
        <w:trPr>
          <w:tblHeader/>
        </w:trPr>
        <w:tc>
          <w:tcPr>
            <w:tcW w:w="1493" w:type="dxa"/>
            <w:tcBorders>
              <w:bottom w:val="single" w:sz="4" w:space="0" w:color="auto"/>
            </w:tcBorders>
            <w:vAlign w:val="bottom"/>
          </w:tcPr>
          <w:p w14:paraId="5B4AE5A9" w14:textId="77777777" w:rsidR="00044D64" w:rsidRPr="00BD1FAB" w:rsidRDefault="00044D64" w:rsidP="0002642B">
            <w:pPr>
              <w:pStyle w:val="ColumnHeading"/>
            </w:pPr>
          </w:p>
        </w:tc>
        <w:tc>
          <w:tcPr>
            <w:tcW w:w="7154" w:type="dxa"/>
            <w:tcBorders>
              <w:bottom w:val="single" w:sz="4" w:space="0" w:color="auto"/>
            </w:tcBorders>
            <w:shd w:val="clear" w:color="auto" w:fill="172983"/>
            <w:vAlign w:val="bottom"/>
          </w:tcPr>
          <w:p w14:paraId="635962E1" w14:textId="228E7316" w:rsidR="00044D64" w:rsidRPr="00BD1FAB" w:rsidRDefault="008A4B35" w:rsidP="0002642B">
            <w:pPr>
              <w:pStyle w:val="ColumnHeading"/>
            </w:pPr>
            <w:r>
              <w:t>Observations</w:t>
            </w:r>
          </w:p>
        </w:tc>
      </w:tr>
      <w:tr w:rsidR="00044D64" w14:paraId="52B634D4" w14:textId="77777777" w:rsidTr="00D66066">
        <w:tc>
          <w:tcPr>
            <w:tcW w:w="1493" w:type="dxa"/>
            <w:tcBorders>
              <w:top w:val="single" w:sz="4" w:space="0" w:color="auto"/>
              <w:bottom w:val="single" w:sz="4" w:space="0" w:color="auto"/>
              <w:right w:val="nil"/>
            </w:tcBorders>
            <w:vAlign w:val="center"/>
          </w:tcPr>
          <w:p w14:paraId="4632788D" w14:textId="2199F9A8" w:rsidR="00044D64" w:rsidRPr="00AB4651" w:rsidRDefault="00044D64" w:rsidP="00332F19">
            <w:pPr>
              <w:pStyle w:val="TableHeading"/>
            </w:pPr>
            <w:r>
              <w:t>Strengths</w:t>
            </w:r>
          </w:p>
        </w:tc>
        <w:tc>
          <w:tcPr>
            <w:tcW w:w="7154" w:type="dxa"/>
            <w:tcBorders>
              <w:top w:val="single" w:sz="4" w:space="0" w:color="auto"/>
              <w:left w:val="nil"/>
              <w:bottom w:val="single" w:sz="4" w:space="0" w:color="auto"/>
            </w:tcBorders>
            <w:vAlign w:val="center"/>
          </w:tcPr>
          <w:p w14:paraId="58A4797A" w14:textId="324E16BA" w:rsidR="002B795F" w:rsidRDefault="002B795F" w:rsidP="00B757E5">
            <w:pPr>
              <w:pStyle w:val="TableText"/>
              <w:numPr>
                <w:ilvl w:val="0"/>
                <w:numId w:val="16"/>
              </w:numPr>
            </w:pPr>
            <w:r w:rsidRPr="002B795F">
              <w:t xml:space="preserve">Depth of knowledge of </w:t>
            </w:r>
            <w:r w:rsidR="002042A9">
              <w:t xml:space="preserve">the </w:t>
            </w:r>
            <w:r w:rsidRPr="002B795F">
              <w:t>tertiary education system</w:t>
            </w:r>
            <w:r w:rsidR="003024E7">
              <w:t xml:space="preserve"> –</w:t>
            </w:r>
            <w:r>
              <w:t xml:space="preserve"> </w:t>
            </w:r>
            <w:r w:rsidR="003024E7">
              <w:t>national, state and local arrangements</w:t>
            </w:r>
            <w:r w:rsidR="0091183F">
              <w:t>, and how this system connects end-t</w:t>
            </w:r>
            <w:r w:rsidR="0085582B">
              <w:t xml:space="preserve">o-end (pre-access to </w:t>
            </w:r>
            <w:r w:rsidR="00813B7F">
              <w:t>employment</w:t>
            </w:r>
            <w:r w:rsidR="0085582B">
              <w:t xml:space="preserve">) </w:t>
            </w:r>
            <w:r w:rsidR="0091183F">
              <w:t xml:space="preserve"> </w:t>
            </w:r>
          </w:p>
          <w:p w14:paraId="4AD505D9" w14:textId="04ED0B3E" w:rsidR="009179B5" w:rsidRPr="009179B5" w:rsidRDefault="009179B5" w:rsidP="00B757E5">
            <w:pPr>
              <w:pStyle w:val="TableText"/>
              <w:numPr>
                <w:ilvl w:val="0"/>
                <w:numId w:val="16"/>
              </w:numPr>
            </w:pPr>
            <w:r>
              <w:t xml:space="preserve">Ability to form and maintain </w:t>
            </w:r>
            <w:r w:rsidR="00A93EC0">
              <w:t xml:space="preserve">positive </w:t>
            </w:r>
            <w:r>
              <w:t>r</w:t>
            </w:r>
            <w:r w:rsidRPr="009179B5">
              <w:t xml:space="preserve">elationship with </w:t>
            </w:r>
            <w:r w:rsidR="009069F0">
              <w:t xml:space="preserve">local </w:t>
            </w:r>
            <w:r w:rsidRPr="009179B5">
              <w:t>stakeholders</w:t>
            </w:r>
            <w:r w:rsidR="00BC5534">
              <w:t xml:space="preserve"> (</w:t>
            </w:r>
            <w:r w:rsidR="009069F0">
              <w:t xml:space="preserve">i.e. </w:t>
            </w:r>
            <w:r w:rsidR="00BC5534">
              <w:t xml:space="preserve"> region and state-based stakeholders</w:t>
            </w:r>
            <w:r w:rsidR="00330DD8">
              <w:t>; community groups</w:t>
            </w:r>
            <w:r w:rsidR="00BC5534">
              <w:t>)</w:t>
            </w:r>
          </w:p>
          <w:p w14:paraId="54DF308E" w14:textId="77777777" w:rsidR="00A0243E" w:rsidRDefault="00A0243E" w:rsidP="00A0243E">
            <w:pPr>
              <w:pStyle w:val="TableText"/>
              <w:numPr>
                <w:ilvl w:val="0"/>
                <w:numId w:val="16"/>
              </w:numPr>
            </w:pPr>
            <w:r>
              <w:t xml:space="preserve">Independence from the sector provides confidence to tertiary institutions on advice and support </w:t>
            </w:r>
          </w:p>
          <w:p w14:paraId="694E39B6" w14:textId="753847D4" w:rsidR="009179B5" w:rsidRPr="009179B5" w:rsidRDefault="009179B5" w:rsidP="00B757E5">
            <w:pPr>
              <w:pStyle w:val="TableText"/>
              <w:numPr>
                <w:ilvl w:val="0"/>
                <w:numId w:val="16"/>
              </w:numPr>
            </w:pPr>
            <w:r w:rsidRPr="009179B5">
              <w:t xml:space="preserve">Agility </w:t>
            </w:r>
            <w:r w:rsidR="00996592">
              <w:t xml:space="preserve">to work </w:t>
            </w:r>
            <w:r w:rsidRPr="009179B5">
              <w:t xml:space="preserve">within resourcing and </w:t>
            </w:r>
            <w:r w:rsidR="00996592">
              <w:t xml:space="preserve">adapt to </w:t>
            </w:r>
            <w:r w:rsidRPr="009179B5">
              <w:t>changing landscape</w:t>
            </w:r>
            <w:r w:rsidR="00C5345B">
              <w:t xml:space="preserve"> including responding to required </w:t>
            </w:r>
            <w:r w:rsidR="000411A3">
              <w:t xml:space="preserve">advisory </w:t>
            </w:r>
            <w:r w:rsidR="00C5345B">
              <w:t>resources</w:t>
            </w:r>
            <w:r w:rsidR="000411A3">
              <w:t xml:space="preserve"> for pandemic, </w:t>
            </w:r>
            <w:r w:rsidR="00662629">
              <w:t xml:space="preserve">moving to </w:t>
            </w:r>
            <w:r w:rsidR="000411A3">
              <w:t xml:space="preserve">online engagement </w:t>
            </w:r>
            <w:r w:rsidR="009A1F59">
              <w:t xml:space="preserve">and </w:t>
            </w:r>
            <w:r w:rsidR="00BD64DB">
              <w:t>improving the scale of engagement</w:t>
            </w:r>
          </w:p>
          <w:p w14:paraId="398F31C0" w14:textId="4E503A8F" w:rsidR="005D0BBD" w:rsidRDefault="00453B71" w:rsidP="00B757E5">
            <w:pPr>
              <w:pStyle w:val="TableText"/>
              <w:numPr>
                <w:ilvl w:val="0"/>
                <w:numId w:val="16"/>
              </w:numPr>
            </w:pPr>
            <w:r>
              <w:t xml:space="preserve">Some success in elevating </w:t>
            </w:r>
            <w:r w:rsidR="005D0BBD">
              <w:t xml:space="preserve">projects, engagement and networks to national and / or more strategic approach </w:t>
            </w:r>
          </w:p>
          <w:p w14:paraId="64217D56" w14:textId="77777777" w:rsidR="004313D9" w:rsidRDefault="00D97F58" w:rsidP="00B757E5">
            <w:pPr>
              <w:pStyle w:val="TableText"/>
              <w:numPr>
                <w:ilvl w:val="0"/>
                <w:numId w:val="16"/>
              </w:numPr>
            </w:pPr>
            <w:r>
              <w:t xml:space="preserve">Success </w:t>
            </w:r>
            <w:r w:rsidRPr="00D97F58">
              <w:t xml:space="preserve">in developing relationships to progress initiatives </w:t>
            </w:r>
            <w:r w:rsidR="00330DD8">
              <w:t xml:space="preserve">including </w:t>
            </w:r>
            <w:r w:rsidR="00287A04">
              <w:t xml:space="preserve">onboarding </w:t>
            </w:r>
            <w:r w:rsidR="00996592">
              <w:t>stakeholders to s</w:t>
            </w:r>
            <w:r w:rsidR="009179B5" w:rsidRPr="009179B5">
              <w:t>cal</w:t>
            </w:r>
            <w:r w:rsidR="00996592">
              <w:t xml:space="preserve">e </w:t>
            </w:r>
            <w:r w:rsidR="009179B5" w:rsidRPr="009179B5">
              <w:t xml:space="preserve">pilot </w:t>
            </w:r>
            <w:r w:rsidR="00996592">
              <w:t>project</w:t>
            </w:r>
            <w:r w:rsidR="00287A04">
              <w:t>s</w:t>
            </w:r>
            <w:r w:rsidR="008141E9">
              <w:t>, working on resources for NDIS participants</w:t>
            </w:r>
          </w:p>
          <w:p w14:paraId="3AE8B647" w14:textId="6B8CE89B" w:rsidR="00447368" w:rsidRDefault="009550CC" w:rsidP="00B757E5">
            <w:pPr>
              <w:pStyle w:val="TableText"/>
              <w:numPr>
                <w:ilvl w:val="0"/>
                <w:numId w:val="16"/>
              </w:numPr>
            </w:pPr>
            <w:r>
              <w:t>Committed staff demonstrating high engagement with program aims,</w:t>
            </w:r>
            <w:r w:rsidRPr="009179B5">
              <w:t xml:space="preserve"> </w:t>
            </w:r>
            <w:r>
              <w:t xml:space="preserve">resulting in </w:t>
            </w:r>
            <w:r w:rsidRPr="009179B5">
              <w:t>self-</w:t>
            </w:r>
            <w:r>
              <w:t>motivating and self-directed workforce</w:t>
            </w:r>
            <w:r w:rsidR="00A35F1E">
              <w:t>. V</w:t>
            </w:r>
            <w:r w:rsidR="00A35F1E" w:rsidRPr="009179B5">
              <w:t>aried skills</w:t>
            </w:r>
            <w:r w:rsidR="00A35F1E">
              <w:t xml:space="preserve"> and diverse professional interest areas within current staffing complement</w:t>
            </w:r>
          </w:p>
          <w:p w14:paraId="194790D1" w14:textId="237656BA" w:rsidR="00146E0A" w:rsidRPr="00AB4651" w:rsidRDefault="00146E0A" w:rsidP="005D6EC6">
            <w:pPr>
              <w:pStyle w:val="TableText"/>
              <w:numPr>
                <w:ilvl w:val="0"/>
                <w:numId w:val="16"/>
              </w:numPr>
            </w:pPr>
            <w:r w:rsidRPr="00670264">
              <w:t xml:space="preserve">Appetite to move </w:t>
            </w:r>
            <w:r>
              <w:t>the program to a</w:t>
            </w:r>
            <w:r w:rsidRPr="00670264">
              <w:t xml:space="preserve"> strategic focus</w:t>
            </w:r>
            <w:r>
              <w:t xml:space="preserve"> and raise the program</w:t>
            </w:r>
            <w:r w:rsidR="004325A8">
              <w:t>’</w:t>
            </w:r>
            <w:r>
              <w:t>s profile</w:t>
            </w:r>
          </w:p>
        </w:tc>
      </w:tr>
      <w:tr w:rsidR="00044D64" w14:paraId="6DD0D38D" w14:textId="77777777" w:rsidTr="00FC15EE">
        <w:tc>
          <w:tcPr>
            <w:tcW w:w="1493" w:type="dxa"/>
            <w:tcBorders>
              <w:top w:val="single" w:sz="4" w:space="0" w:color="auto"/>
              <w:bottom w:val="single" w:sz="4" w:space="0" w:color="auto"/>
              <w:right w:val="nil"/>
            </w:tcBorders>
          </w:tcPr>
          <w:p w14:paraId="1F2AA3AD" w14:textId="77777777" w:rsidR="009F19A0" w:rsidRDefault="009F19A0" w:rsidP="005341D6">
            <w:pPr>
              <w:pStyle w:val="TableHeading"/>
            </w:pPr>
          </w:p>
          <w:p w14:paraId="4419D82B" w14:textId="77777777" w:rsidR="009F19A0" w:rsidRDefault="009F19A0" w:rsidP="005341D6">
            <w:pPr>
              <w:pStyle w:val="TableHeading"/>
            </w:pPr>
          </w:p>
          <w:p w14:paraId="03B78F86" w14:textId="77777777" w:rsidR="009F19A0" w:rsidRDefault="009F19A0" w:rsidP="005341D6">
            <w:pPr>
              <w:pStyle w:val="TableHeading"/>
            </w:pPr>
          </w:p>
          <w:p w14:paraId="7640A979" w14:textId="77777777" w:rsidR="009F19A0" w:rsidRDefault="009F19A0" w:rsidP="005341D6">
            <w:pPr>
              <w:pStyle w:val="TableHeading"/>
            </w:pPr>
          </w:p>
          <w:p w14:paraId="40A1C585" w14:textId="77777777" w:rsidR="009F19A0" w:rsidRDefault="009F19A0" w:rsidP="005341D6">
            <w:pPr>
              <w:pStyle w:val="TableHeading"/>
            </w:pPr>
          </w:p>
          <w:p w14:paraId="331591B1" w14:textId="29B284EA" w:rsidR="00044D64" w:rsidRDefault="00044D64" w:rsidP="005341D6">
            <w:pPr>
              <w:pStyle w:val="TableHeading"/>
            </w:pPr>
            <w:r>
              <w:t>Weaknesses</w:t>
            </w:r>
          </w:p>
        </w:tc>
        <w:tc>
          <w:tcPr>
            <w:tcW w:w="7154" w:type="dxa"/>
            <w:tcBorders>
              <w:top w:val="single" w:sz="4" w:space="0" w:color="auto"/>
              <w:left w:val="nil"/>
              <w:bottom w:val="single" w:sz="4" w:space="0" w:color="auto"/>
            </w:tcBorders>
          </w:tcPr>
          <w:p w14:paraId="66A69332" w14:textId="7014C714" w:rsidR="00F93611" w:rsidRPr="00F93611" w:rsidRDefault="00F93611" w:rsidP="00B757E5">
            <w:pPr>
              <w:pStyle w:val="TableText"/>
              <w:numPr>
                <w:ilvl w:val="0"/>
                <w:numId w:val="16"/>
              </w:numPr>
            </w:pPr>
            <w:r w:rsidRPr="00F93611">
              <w:t xml:space="preserve">Little profile or understanding of </w:t>
            </w:r>
            <w:r>
              <w:t xml:space="preserve">strategic </w:t>
            </w:r>
            <w:r w:rsidRPr="00F93611">
              <w:t xml:space="preserve">objectives </w:t>
            </w:r>
            <w:r w:rsidR="00344646">
              <w:t xml:space="preserve">of the NDCO program by </w:t>
            </w:r>
            <w:r w:rsidR="008A2B0A">
              <w:t>stakeholders and within the context of the broader</w:t>
            </w:r>
            <w:r w:rsidRPr="00F93611">
              <w:t xml:space="preserve"> sector</w:t>
            </w:r>
          </w:p>
          <w:p w14:paraId="1F69D03D" w14:textId="2728D5D4" w:rsidR="00F93611" w:rsidRDefault="00F93611" w:rsidP="00B757E5">
            <w:pPr>
              <w:pStyle w:val="TableText"/>
              <w:numPr>
                <w:ilvl w:val="0"/>
                <w:numId w:val="16"/>
              </w:numPr>
            </w:pPr>
            <w:r w:rsidRPr="00F93611">
              <w:t xml:space="preserve">Limited role clarity and value </w:t>
            </w:r>
            <w:r w:rsidR="008A2B0A">
              <w:t xml:space="preserve">proposition </w:t>
            </w:r>
            <w:r w:rsidRPr="00F93611">
              <w:t xml:space="preserve">for Host </w:t>
            </w:r>
            <w:r w:rsidR="004D731E">
              <w:t>arrangements</w:t>
            </w:r>
          </w:p>
          <w:p w14:paraId="649FF177" w14:textId="3240F9D1" w:rsidR="007B5914" w:rsidRPr="00F93611" w:rsidRDefault="007B5914" w:rsidP="00B757E5">
            <w:pPr>
              <w:pStyle w:val="TableText"/>
              <w:numPr>
                <w:ilvl w:val="0"/>
                <w:numId w:val="16"/>
              </w:numPr>
            </w:pPr>
            <w:r>
              <w:t xml:space="preserve">The absence of </w:t>
            </w:r>
            <w:r w:rsidR="00344646">
              <w:t xml:space="preserve">connected </w:t>
            </w:r>
            <w:r>
              <w:t>program data generally</w:t>
            </w:r>
            <w:r w:rsidR="004A5CD2">
              <w:t>,</w:t>
            </w:r>
            <w:r>
              <w:t xml:space="preserve"> as well as against priorities</w:t>
            </w:r>
          </w:p>
          <w:p w14:paraId="39667D4A" w14:textId="6F3F2756" w:rsidR="00F93611" w:rsidRPr="00F93611" w:rsidRDefault="00F93611" w:rsidP="00B757E5">
            <w:pPr>
              <w:pStyle w:val="TableText"/>
              <w:numPr>
                <w:ilvl w:val="0"/>
                <w:numId w:val="16"/>
              </w:numPr>
            </w:pPr>
            <w:r w:rsidRPr="00F93611">
              <w:t>Operational inefficiencies incl</w:t>
            </w:r>
            <w:r w:rsidR="00024ED0">
              <w:t>uding</w:t>
            </w:r>
            <w:r w:rsidRPr="00F93611">
              <w:t xml:space="preserve"> duplication, effort alignment</w:t>
            </w:r>
            <w:r w:rsidR="00190B9E">
              <w:t xml:space="preserve"> </w:t>
            </w:r>
            <w:r w:rsidR="00353D29">
              <w:t>based on</w:t>
            </w:r>
            <w:r w:rsidR="00190B9E">
              <w:t xml:space="preserve"> output, </w:t>
            </w:r>
            <w:r w:rsidRPr="00F93611">
              <w:t xml:space="preserve">clarity of </w:t>
            </w:r>
            <w:r w:rsidR="008013D1">
              <w:t xml:space="preserve">outputs to </w:t>
            </w:r>
            <w:r w:rsidRPr="00F93611">
              <w:t>outcomes</w:t>
            </w:r>
            <w:r w:rsidR="00DB019E">
              <w:t>, inefficient operating structure</w:t>
            </w:r>
            <w:r w:rsidR="002527E8">
              <w:t>s to support activity coordination</w:t>
            </w:r>
            <w:r w:rsidR="00353D29">
              <w:t xml:space="preserve"> </w:t>
            </w:r>
          </w:p>
          <w:p w14:paraId="7FFE2621" w14:textId="6A57BAB7" w:rsidR="00AE4F7C" w:rsidRDefault="00AE4F7C" w:rsidP="00B757E5">
            <w:pPr>
              <w:pStyle w:val="TableText"/>
              <w:numPr>
                <w:ilvl w:val="0"/>
                <w:numId w:val="16"/>
              </w:numPr>
            </w:pPr>
            <w:r w:rsidRPr="00E060D0">
              <w:t xml:space="preserve">Red tape </w:t>
            </w:r>
            <w:r>
              <w:t>resulting in wasted effort in</w:t>
            </w:r>
            <w:r w:rsidRPr="00E060D0">
              <w:t xml:space="preserve"> administration and </w:t>
            </w:r>
            <w:r w:rsidR="00C6675E">
              <w:t xml:space="preserve">delays in </w:t>
            </w:r>
            <w:r w:rsidRPr="00E060D0">
              <w:t>decision</w:t>
            </w:r>
            <w:r>
              <w:t xml:space="preserve">-making </w:t>
            </w:r>
          </w:p>
          <w:p w14:paraId="4CB4A8AC" w14:textId="1F13D2AF" w:rsidR="009C267F" w:rsidRDefault="008A4B35" w:rsidP="00B757E5">
            <w:pPr>
              <w:pStyle w:val="TableText"/>
              <w:numPr>
                <w:ilvl w:val="0"/>
                <w:numId w:val="16"/>
              </w:numPr>
            </w:pPr>
            <w:r>
              <w:t xml:space="preserve">Breadth of activities and </w:t>
            </w:r>
            <w:r w:rsidR="00144EEB">
              <w:t xml:space="preserve">varied </w:t>
            </w:r>
            <w:r w:rsidR="00F93611" w:rsidRPr="00F93611">
              <w:t xml:space="preserve">focus areas dilutes </w:t>
            </w:r>
            <w:r w:rsidR="00190B9E">
              <w:t xml:space="preserve">program </w:t>
            </w:r>
            <w:r w:rsidR="00D95405">
              <w:t xml:space="preserve">delivery </w:t>
            </w:r>
            <w:r w:rsidR="00190B9E">
              <w:t xml:space="preserve">and therefore </w:t>
            </w:r>
            <w:r w:rsidR="00F93611" w:rsidRPr="00F93611">
              <w:t>outcomes</w:t>
            </w:r>
            <w:r w:rsidR="009C267F" w:rsidRPr="00E060D0">
              <w:t xml:space="preserve"> </w:t>
            </w:r>
          </w:p>
          <w:p w14:paraId="44748B48" w14:textId="60BCB20B" w:rsidR="004F0E9A" w:rsidRDefault="004F0E9A" w:rsidP="00B757E5">
            <w:pPr>
              <w:pStyle w:val="TableText"/>
              <w:numPr>
                <w:ilvl w:val="0"/>
                <w:numId w:val="16"/>
              </w:numPr>
            </w:pPr>
            <w:r w:rsidRPr="004F0E9A">
              <w:t xml:space="preserve">Blurred lines in terms of ownership of initiatives </w:t>
            </w:r>
            <w:r w:rsidR="00344646">
              <w:t>–</w:t>
            </w:r>
            <w:r w:rsidR="004325A8">
              <w:t xml:space="preserve"> </w:t>
            </w:r>
            <w:r w:rsidR="00EA4AF0">
              <w:t xml:space="preserve">i.e. </w:t>
            </w:r>
            <w:r w:rsidRPr="004F0E9A">
              <w:t>NDCO</w:t>
            </w:r>
            <w:r w:rsidR="00EA4AF0">
              <w:t xml:space="preserve"> program versus </w:t>
            </w:r>
            <w:r w:rsidRPr="004F0E9A">
              <w:t xml:space="preserve">Host </w:t>
            </w:r>
            <w:r w:rsidR="00EA4AF0">
              <w:t xml:space="preserve">Organisation / </w:t>
            </w:r>
            <w:r w:rsidRPr="004F0E9A">
              <w:t>Institution</w:t>
            </w:r>
          </w:p>
          <w:p w14:paraId="5D83039F" w14:textId="255B78F5" w:rsidR="00044D64" w:rsidRPr="00AB4651" w:rsidRDefault="004A2D2C" w:rsidP="00B757E5">
            <w:pPr>
              <w:pStyle w:val="ListParagraph"/>
              <w:numPr>
                <w:ilvl w:val="0"/>
                <w:numId w:val="16"/>
              </w:numPr>
            </w:pPr>
            <w:r w:rsidRPr="004A2D2C">
              <w:t xml:space="preserve">Lack of clarity in </w:t>
            </w:r>
            <w:r w:rsidR="00D94970">
              <w:t xml:space="preserve">NDCO </w:t>
            </w:r>
            <w:r w:rsidRPr="004A2D2C">
              <w:t xml:space="preserve">role </w:t>
            </w:r>
            <w:r>
              <w:t xml:space="preserve">and/or </w:t>
            </w:r>
            <w:r w:rsidR="00014C77">
              <w:t xml:space="preserve">aligned approaches </w:t>
            </w:r>
            <w:r>
              <w:t>with</w:t>
            </w:r>
            <w:r w:rsidR="007C4C5A">
              <w:t xml:space="preserve"> other funded program areas </w:t>
            </w:r>
            <w:r w:rsidRPr="004A2D2C">
              <w:t>(</w:t>
            </w:r>
            <w:r w:rsidR="007C4C5A">
              <w:t xml:space="preserve">i.e. </w:t>
            </w:r>
            <w:r w:rsidR="00CB5239">
              <w:t xml:space="preserve">Australian Disability Clearinghouse on Education and Training (ADCET); National Centre for Vocational Education Research (NCVER); National Centre for Student Equity in Higher Education (NCSEHE); </w:t>
            </w:r>
            <w:r w:rsidR="00F47105" w:rsidRPr="00F47105">
              <w:t>National Aboriginal and Torres Strait Islander Higher Education Consortium (NATSIHEC)</w:t>
            </w:r>
            <w:r w:rsidR="00AE4F7C">
              <w:t>)</w:t>
            </w:r>
            <w:r w:rsidR="00F47105">
              <w:t xml:space="preserve"> </w:t>
            </w:r>
          </w:p>
        </w:tc>
      </w:tr>
      <w:tr w:rsidR="00044D64" w14:paraId="1640D1A2" w14:textId="77777777" w:rsidTr="00FC15EE">
        <w:tc>
          <w:tcPr>
            <w:tcW w:w="1493" w:type="dxa"/>
            <w:tcBorders>
              <w:top w:val="single" w:sz="4" w:space="0" w:color="auto"/>
              <w:bottom w:val="single" w:sz="4" w:space="0" w:color="auto"/>
              <w:right w:val="nil"/>
            </w:tcBorders>
          </w:tcPr>
          <w:p w14:paraId="7E61EB35" w14:textId="77777777" w:rsidR="009F19A0" w:rsidRDefault="009F19A0" w:rsidP="005341D6">
            <w:pPr>
              <w:pStyle w:val="TableHeading"/>
            </w:pPr>
          </w:p>
          <w:p w14:paraId="28FD8B4A" w14:textId="77777777" w:rsidR="001C6929" w:rsidRDefault="001C6929" w:rsidP="001C6929"/>
          <w:p w14:paraId="12A7CF57" w14:textId="77777777" w:rsidR="001C6929" w:rsidRDefault="001C6929" w:rsidP="001C6929"/>
          <w:p w14:paraId="42DDA6D7" w14:textId="77777777" w:rsidR="001C6929" w:rsidRDefault="001C6929" w:rsidP="001C6929"/>
          <w:p w14:paraId="28D0F6E8" w14:textId="77777777" w:rsidR="001C6929" w:rsidRDefault="001C6929" w:rsidP="001C6929"/>
          <w:p w14:paraId="66283DF6" w14:textId="77777777" w:rsidR="001C6929" w:rsidRPr="001C6929" w:rsidRDefault="001C6929" w:rsidP="001C6929"/>
          <w:p w14:paraId="64683249" w14:textId="77777777" w:rsidR="009F19A0" w:rsidRDefault="009F19A0" w:rsidP="005341D6">
            <w:pPr>
              <w:pStyle w:val="TableHeading"/>
            </w:pPr>
          </w:p>
          <w:p w14:paraId="7F50AD39" w14:textId="0D89394F" w:rsidR="00044D64" w:rsidRDefault="00044D64" w:rsidP="005341D6">
            <w:pPr>
              <w:pStyle w:val="TableHeading"/>
            </w:pPr>
            <w:r>
              <w:t>Threats</w:t>
            </w:r>
          </w:p>
        </w:tc>
        <w:tc>
          <w:tcPr>
            <w:tcW w:w="7154" w:type="dxa"/>
            <w:tcBorders>
              <w:top w:val="single" w:sz="4" w:space="0" w:color="auto"/>
              <w:left w:val="nil"/>
              <w:bottom w:val="single" w:sz="4" w:space="0" w:color="auto"/>
            </w:tcBorders>
          </w:tcPr>
          <w:p w14:paraId="4C5EE2EE" w14:textId="0D605A31" w:rsidR="00E060D0" w:rsidRPr="00E060D0" w:rsidRDefault="00E060D0" w:rsidP="00B757E5">
            <w:pPr>
              <w:pStyle w:val="TableText"/>
              <w:numPr>
                <w:ilvl w:val="0"/>
                <w:numId w:val="16"/>
              </w:numPr>
            </w:pPr>
            <w:r w:rsidRPr="00E060D0">
              <w:t xml:space="preserve">Lack of </w:t>
            </w:r>
            <w:r w:rsidR="00CF1B9F">
              <w:t>clear</w:t>
            </w:r>
            <w:r w:rsidRPr="00E060D0">
              <w:t xml:space="preserve"> direction and </w:t>
            </w:r>
            <w:r w:rsidR="003327D8">
              <w:t xml:space="preserve">agreed </w:t>
            </w:r>
            <w:r w:rsidRPr="00E060D0">
              <w:t>leadership</w:t>
            </w:r>
            <w:r>
              <w:t xml:space="preserve"> </w:t>
            </w:r>
            <w:r w:rsidR="003327D8">
              <w:t xml:space="preserve">both </w:t>
            </w:r>
            <w:r>
              <w:t xml:space="preserve">centrally and as a coordinated </w:t>
            </w:r>
            <w:r w:rsidR="003327D8">
              <w:t>program of work</w:t>
            </w:r>
          </w:p>
          <w:p w14:paraId="4FDDAAD3" w14:textId="2A932449" w:rsidR="00E060D0" w:rsidRPr="00E060D0" w:rsidRDefault="00CE1B04" w:rsidP="00B757E5">
            <w:pPr>
              <w:pStyle w:val="TableText"/>
              <w:numPr>
                <w:ilvl w:val="0"/>
                <w:numId w:val="16"/>
              </w:numPr>
            </w:pPr>
            <w:r>
              <w:t xml:space="preserve">Lack of </w:t>
            </w:r>
            <w:r w:rsidR="001E59AE">
              <w:t>agreement</w:t>
            </w:r>
            <w:r>
              <w:t xml:space="preserve"> over what constitutes ‘strategic’ </w:t>
            </w:r>
            <w:r w:rsidR="003327D8">
              <w:t>risks achievement of objectives</w:t>
            </w:r>
          </w:p>
          <w:p w14:paraId="05EF522C" w14:textId="0F5CD537" w:rsidR="00E060D0" w:rsidRDefault="00E060D0" w:rsidP="00B757E5">
            <w:pPr>
              <w:pStyle w:val="TableText"/>
              <w:numPr>
                <w:ilvl w:val="0"/>
                <w:numId w:val="16"/>
              </w:numPr>
            </w:pPr>
            <w:r w:rsidRPr="00E060D0">
              <w:t xml:space="preserve">Internal tensions </w:t>
            </w:r>
            <w:r w:rsidR="009C267F">
              <w:t xml:space="preserve">between </w:t>
            </w:r>
            <w:r w:rsidR="001C6929">
              <w:t xml:space="preserve">program </w:t>
            </w:r>
            <w:r w:rsidR="00A93EC0">
              <w:t xml:space="preserve">staff are </w:t>
            </w:r>
            <w:r w:rsidRPr="00E060D0">
              <w:t>perceived externally</w:t>
            </w:r>
            <w:r w:rsidR="009A0F46">
              <w:t xml:space="preserve"> </w:t>
            </w:r>
            <w:r w:rsidR="004325A8">
              <w:t xml:space="preserve">as </w:t>
            </w:r>
            <w:r w:rsidR="009A0F46">
              <w:t>threatening sense of program cohesion</w:t>
            </w:r>
          </w:p>
          <w:p w14:paraId="518092E1" w14:textId="79716241" w:rsidR="006976FE" w:rsidRPr="00E060D0" w:rsidRDefault="006976FE" w:rsidP="00B757E5">
            <w:pPr>
              <w:pStyle w:val="TableText"/>
              <w:numPr>
                <w:ilvl w:val="0"/>
                <w:numId w:val="16"/>
              </w:numPr>
            </w:pPr>
            <w:r>
              <w:t>Activities may disempower or abrogate sector responsibility</w:t>
            </w:r>
          </w:p>
          <w:p w14:paraId="0EE9C3C7" w14:textId="6EF54A26" w:rsidR="00F01F03" w:rsidRDefault="00E060D0" w:rsidP="00F01F03">
            <w:pPr>
              <w:pStyle w:val="TableText"/>
              <w:numPr>
                <w:ilvl w:val="0"/>
                <w:numId w:val="16"/>
              </w:numPr>
            </w:pPr>
            <w:r w:rsidRPr="00E060D0">
              <w:t xml:space="preserve">Confusion around </w:t>
            </w:r>
            <w:r w:rsidR="00761B3F">
              <w:t xml:space="preserve">how </w:t>
            </w:r>
            <w:r w:rsidR="00344646">
              <w:t xml:space="preserve">broader </w:t>
            </w:r>
            <w:r w:rsidR="00761B3F">
              <w:t xml:space="preserve">reforms and </w:t>
            </w:r>
            <w:r w:rsidR="00344646">
              <w:t xml:space="preserve">other </w:t>
            </w:r>
            <w:r w:rsidRPr="00E060D0">
              <w:t>program</w:t>
            </w:r>
            <w:r w:rsidR="00761B3F">
              <w:t>s</w:t>
            </w:r>
            <w:r w:rsidRPr="00E060D0">
              <w:t xml:space="preserve"> interface </w:t>
            </w:r>
            <w:r w:rsidR="00115935">
              <w:t>and</w:t>
            </w:r>
            <w:r w:rsidR="00161BFB">
              <w:t xml:space="preserve"> the role/</w:t>
            </w:r>
            <w:r w:rsidR="00115935">
              <w:t xml:space="preserve"> </w:t>
            </w:r>
            <w:r w:rsidR="00161BFB">
              <w:t>responsibility for mainstream capacity building</w:t>
            </w:r>
          </w:p>
          <w:p w14:paraId="42298937" w14:textId="2F6262F9" w:rsidR="00BE7EBD" w:rsidRPr="00E060D0" w:rsidRDefault="00BE7EBD" w:rsidP="00F01F03">
            <w:pPr>
              <w:pStyle w:val="TableText"/>
              <w:numPr>
                <w:ilvl w:val="0"/>
                <w:numId w:val="16"/>
              </w:numPr>
            </w:pPr>
            <w:r>
              <w:t>Data collection not in place to support reporting on program priorities which feeds into broader whole of government reporting requirements</w:t>
            </w:r>
          </w:p>
          <w:p w14:paraId="75572EFE" w14:textId="00EC35F8" w:rsidR="00352C2D" w:rsidRDefault="00352C2D" w:rsidP="00B757E5">
            <w:pPr>
              <w:pStyle w:val="TableText"/>
              <w:numPr>
                <w:ilvl w:val="0"/>
                <w:numId w:val="16"/>
              </w:numPr>
            </w:pPr>
            <w:r>
              <w:t>Disconnection</w:t>
            </w:r>
            <w:r w:rsidR="009B035C">
              <w:t xml:space="preserve"> of the program from influential stakeholders and those with a representative voice </w:t>
            </w:r>
            <w:r w:rsidR="004325A8">
              <w:t>(</w:t>
            </w:r>
            <w:r w:rsidR="009B035C">
              <w:t xml:space="preserve">i.e. students </w:t>
            </w:r>
            <w:r w:rsidR="00991256">
              <w:t>with disability</w:t>
            </w:r>
            <w:r w:rsidR="004325A8">
              <w:t>)</w:t>
            </w:r>
          </w:p>
          <w:p w14:paraId="55C53541" w14:textId="317C1FC5" w:rsidR="00E060D0" w:rsidRPr="00E060D0" w:rsidRDefault="00E060D0" w:rsidP="00B757E5">
            <w:pPr>
              <w:pStyle w:val="TableText"/>
              <w:numPr>
                <w:ilvl w:val="0"/>
                <w:numId w:val="16"/>
              </w:numPr>
            </w:pPr>
            <w:r w:rsidRPr="00E060D0">
              <w:t xml:space="preserve">Other program priorities may </w:t>
            </w:r>
            <w:r w:rsidR="005F2E27">
              <w:t xml:space="preserve">have </w:t>
            </w:r>
            <w:r w:rsidR="002C4725">
              <w:t>unintended</w:t>
            </w:r>
            <w:r w:rsidR="005F2E27">
              <w:t xml:space="preserve"> </w:t>
            </w:r>
            <w:r w:rsidR="002C4725">
              <w:t>consequences on program efforts</w:t>
            </w:r>
            <w:r w:rsidR="00344646">
              <w:t xml:space="preserve"> </w:t>
            </w:r>
            <w:r w:rsidR="002E691C">
              <w:t>(</w:t>
            </w:r>
            <w:r w:rsidR="00344646">
              <w:t>i.e. employment targets not considering tertiary pathways</w:t>
            </w:r>
            <w:r w:rsidR="002E691C">
              <w:t>)</w:t>
            </w:r>
            <w:r w:rsidR="00344646">
              <w:t xml:space="preserve"> </w:t>
            </w:r>
          </w:p>
          <w:p w14:paraId="07BA4E9D" w14:textId="7B23FC66" w:rsidR="00044D64" w:rsidRDefault="00E060D0" w:rsidP="00B757E5">
            <w:pPr>
              <w:pStyle w:val="TableText"/>
              <w:numPr>
                <w:ilvl w:val="0"/>
                <w:numId w:val="16"/>
              </w:numPr>
            </w:pPr>
            <w:r w:rsidRPr="00E060D0">
              <w:t>Tension on ownership of activities/resources</w:t>
            </w:r>
            <w:r w:rsidR="007A6E7C">
              <w:t xml:space="preserve"> impacting on scalability</w:t>
            </w:r>
          </w:p>
          <w:p w14:paraId="42F845E3" w14:textId="77777777" w:rsidR="003E6281" w:rsidRDefault="003E6281" w:rsidP="00B757E5">
            <w:pPr>
              <w:pStyle w:val="TableText"/>
              <w:numPr>
                <w:ilvl w:val="0"/>
                <w:numId w:val="16"/>
              </w:numPr>
            </w:pPr>
            <w:r>
              <w:t>Limited</w:t>
            </w:r>
            <w:r w:rsidRPr="003E6281">
              <w:t xml:space="preserve"> focus on employment</w:t>
            </w:r>
            <w:r>
              <w:t xml:space="preserve"> transition may</w:t>
            </w:r>
            <w:r w:rsidR="000C2CFE">
              <w:t xml:space="preserve"> compromise ability to achieve program goals</w:t>
            </w:r>
            <w:r w:rsidRPr="003E6281">
              <w:t xml:space="preserve"> </w:t>
            </w:r>
          </w:p>
          <w:p w14:paraId="55125E37" w14:textId="7A1BAD38" w:rsidR="00AD74CD" w:rsidRPr="00AB4651" w:rsidRDefault="00AD74CD" w:rsidP="00B757E5">
            <w:pPr>
              <w:pStyle w:val="TableText"/>
              <w:numPr>
                <w:ilvl w:val="0"/>
                <w:numId w:val="16"/>
              </w:numPr>
            </w:pPr>
            <w:r>
              <w:t>Cost / benefit for local hosts is questionable</w:t>
            </w:r>
            <w:r w:rsidR="005B4330">
              <w:t xml:space="preserve"> and risks being seen as a corporate</w:t>
            </w:r>
            <w:r w:rsidR="004325A8">
              <w:t xml:space="preserve"> </w:t>
            </w:r>
            <w:r w:rsidR="005B4330">
              <w:t>social</w:t>
            </w:r>
            <w:r w:rsidR="004325A8">
              <w:t xml:space="preserve"> </w:t>
            </w:r>
            <w:r w:rsidR="005B4330">
              <w:t>responsibility</w:t>
            </w:r>
          </w:p>
        </w:tc>
      </w:tr>
      <w:tr w:rsidR="00044D64" w14:paraId="4C87A814" w14:textId="77777777" w:rsidTr="00332F19">
        <w:tc>
          <w:tcPr>
            <w:tcW w:w="1493" w:type="dxa"/>
            <w:tcBorders>
              <w:top w:val="single" w:sz="4" w:space="0" w:color="auto"/>
              <w:right w:val="nil"/>
            </w:tcBorders>
          </w:tcPr>
          <w:p w14:paraId="0E963B04" w14:textId="77777777" w:rsidR="009F19A0" w:rsidRDefault="009F19A0" w:rsidP="005341D6">
            <w:pPr>
              <w:pStyle w:val="TableHeading"/>
            </w:pPr>
          </w:p>
          <w:p w14:paraId="4AEA49F8" w14:textId="77777777" w:rsidR="009F19A0" w:rsidRDefault="009F19A0" w:rsidP="005341D6">
            <w:pPr>
              <w:pStyle w:val="TableHeading"/>
            </w:pPr>
          </w:p>
          <w:p w14:paraId="29C5A913" w14:textId="77777777" w:rsidR="009F19A0" w:rsidRDefault="009F19A0" w:rsidP="005341D6">
            <w:pPr>
              <w:pStyle w:val="TableHeading"/>
            </w:pPr>
          </w:p>
          <w:p w14:paraId="14231280" w14:textId="77777777" w:rsidR="009F19A0" w:rsidRDefault="009F19A0" w:rsidP="005341D6">
            <w:pPr>
              <w:pStyle w:val="TableHeading"/>
            </w:pPr>
          </w:p>
          <w:p w14:paraId="3C4AED58" w14:textId="1EF41053" w:rsidR="00044D64" w:rsidRDefault="00044D64" w:rsidP="005341D6">
            <w:pPr>
              <w:pStyle w:val="TableHeading"/>
            </w:pPr>
            <w:r>
              <w:t>Opportunities</w:t>
            </w:r>
          </w:p>
        </w:tc>
        <w:tc>
          <w:tcPr>
            <w:tcW w:w="7154" w:type="dxa"/>
            <w:tcBorders>
              <w:top w:val="single" w:sz="4" w:space="0" w:color="auto"/>
              <w:left w:val="nil"/>
            </w:tcBorders>
          </w:tcPr>
          <w:p w14:paraId="5C323960" w14:textId="3D3D3E63" w:rsidR="00670264" w:rsidRDefault="00670264" w:rsidP="00B757E5">
            <w:pPr>
              <w:pStyle w:val="TableText"/>
              <w:numPr>
                <w:ilvl w:val="0"/>
                <w:numId w:val="16"/>
              </w:numPr>
            </w:pPr>
            <w:r w:rsidRPr="00670264">
              <w:t xml:space="preserve">Government inclusion reforms </w:t>
            </w:r>
            <w:r w:rsidR="00DB3FFB">
              <w:t>have a stronger</w:t>
            </w:r>
            <w:r w:rsidRPr="00670264">
              <w:t xml:space="preserve"> focus on mainstream services </w:t>
            </w:r>
            <w:r w:rsidR="00373D7D">
              <w:t>being responsible and accountable</w:t>
            </w:r>
            <w:r w:rsidR="00DB3FFB">
              <w:t xml:space="preserve"> – including production of resources</w:t>
            </w:r>
            <w:r w:rsidR="00143459">
              <w:t xml:space="preserve"> and campaigns </w:t>
            </w:r>
            <w:r w:rsidR="004325A8">
              <w:t>(</w:t>
            </w:r>
            <w:r w:rsidR="00143459" w:rsidRPr="00143459">
              <w:t xml:space="preserve">e.g. through </w:t>
            </w:r>
            <w:r w:rsidR="008668D7">
              <w:t>Australia’s Disability</w:t>
            </w:r>
            <w:r w:rsidR="00143459" w:rsidRPr="00143459">
              <w:t xml:space="preserve"> Strategy</w:t>
            </w:r>
            <w:r w:rsidR="00A0243E">
              <w:t>, the Standards</w:t>
            </w:r>
            <w:r w:rsidR="004325A8">
              <w:t>)</w:t>
            </w:r>
          </w:p>
          <w:p w14:paraId="718F2B63" w14:textId="37811BEF" w:rsidR="00344646" w:rsidRPr="00670264" w:rsidRDefault="00344646" w:rsidP="00344646">
            <w:pPr>
              <w:pStyle w:val="TableText"/>
              <w:numPr>
                <w:ilvl w:val="0"/>
                <w:numId w:val="16"/>
              </w:numPr>
            </w:pPr>
            <w:r>
              <w:t xml:space="preserve">Outcome measures being aligned to the disability equity agenda and frameworks as described under Australia’s Disability Strategy </w:t>
            </w:r>
          </w:p>
          <w:p w14:paraId="0DCFEE0C" w14:textId="1FEE45B5" w:rsidR="00670264" w:rsidRPr="00670264" w:rsidRDefault="00B24CEA" w:rsidP="00B757E5">
            <w:pPr>
              <w:pStyle w:val="TableText"/>
              <w:numPr>
                <w:ilvl w:val="0"/>
                <w:numId w:val="16"/>
              </w:numPr>
            </w:pPr>
            <w:r>
              <w:t xml:space="preserve">Students </w:t>
            </w:r>
            <w:r w:rsidR="00991256">
              <w:t>with disability</w:t>
            </w:r>
            <w:r>
              <w:t xml:space="preserve"> are the fastest growing equity group in </w:t>
            </w:r>
            <w:r w:rsidR="006E3BFA">
              <w:t xml:space="preserve">Australian universities </w:t>
            </w:r>
            <w:r w:rsidR="004325A8">
              <w:t xml:space="preserve">and </w:t>
            </w:r>
            <w:r w:rsidR="0065061B">
              <w:t xml:space="preserve">this </w:t>
            </w:r>
            <w:r w:rsidR="009F72E0">
              <w:t xml:space="preserve">may </w:t>
            </w:r>
            <w:r w:rsidR="0065061B">
              <w:t>increase</w:t>
            </w:r>
            <w:r w:rsidR="009F72E0">
              <w:t xml:space="preserve"> influence </w:t>
            </w:r>
            <w:r w:rsidR="00A66FF7">
              <w:t>and</w:t>
            </w:r>
            <w:r w:rsidR="00B26636">
              <w:t xml:space="preserve"> </w:t>
            </w:r>
            <w:r w:rsidR="009F72E0">
              <w:t>leverage</w:t>
            </w:r>
            <w:r w:rsidR="00B26636">
              <w:t xml:space="preserve"> </w:t>
            </w:r>
            <w:r w:rsidR="00A66FF7">
              <w:t>greater support</w:t>
            </w:r>
          </w:p>
          <w:p w14:paraId="7CEBF17C" w14:textId="4886A9A5" w:rsidR="00670264" w:rsidRDefault="00670264" w:rsidP="00B757E5">
            <w:pPr>
              <w:pStyle w:val="TableText"/>
              <w:numPr>
                <w:ilvl w:val="0"/>
                <w:numId w:val="16"/>
              </w:numPr>
            </w:pPr>
            <w:r w:rsidRPr="00670264">
              <w:t xml:space="preserve">Broad range of </w:t>
            </w:r>
            <w:r w:rsidR="003A3C81">
              <w:t xml:space="preserve">industry and sector </w:t>
            </w:r>
            <w:r w:rsidRPr="00670264">
              <w:t xml:space="preserve">stakeholders </w:t>
            </w:r>
            <w:r w:rsidR="003D1109">
              <w:t xml:space="preserve">with </w:t>
            </w:r>
            <w:r w:rsidRPr="00670264">
              <w:t>skil</w:t>
            </w:r>
            <w:r w:rsidR="003A3C81">
              <w:t>l</w:t>
            </w:r>
            <w:r w:rsidR="00283C34">
              <w:t>s</w:t>
            </w:r>
            <w:r w:rsidR="003A3C81">
              <w:t xml:space="preserve"> </w:t>
            </w:r>
            <w:r w:rsidRPr="00670264">
              <w:t>to leverage</w:t>
            </w:r>
            <w:r w:rsidR="003D1109">
              <w:t xml:space="preserve"> to contribute to program outcomes</w:t>
            </w:r>
          </w:p>
          <w:p w14:paraId="211EA7CB" w14:textId="56F6A2D6" w:rsidR="00DB6EE8" w:rsidRDefault="00DB6EE8" w:rsidP="00B757E5">
            <w:pPr>
              <w:pStyle w:val="TableText"/>
              <w:numPr>
                <w:ilvl w:val="0"/>
                <w:numId w:val="16"/>
              </w:numPr>
            </w:pPr>
            <w:r w:rsidRPr="00DB6EE8">
              <w:t>(Re)focus program structure</w:t>
            </w:r>
            <w:r w:rsidR="004325A8">
              <w:t xml:space="preserve"> and</w:t>
            </w:r>
            <w:r w:rsidRPr="00DB6EE8">
              <w:t xml:space="preserve"> (re)position resources within system to achieve objectives </w:t>
            </w:r>
            <w:r w:rsidR="004325A8">
              <w:t>(</w:t>
            </w:r>
            <w:r w:rsidRPr="00DB6EE8">
              <w:t>i.e. create optimum interfaces</w:t>
            </w:r>
            <w:r w:rsidR="00D1312B">
              <w:t xml:space="preserve"> and influence</w:t>
            </w:r>
            <w:r w:rsidR="004325A8">
              <w:t>)</w:t>
            </w:r>
          </w:p>
          <w:p w14:paraId="3332BB58" w14:textId="77777777" w:rsidR="00044D64" w:rsidRDefault="00670264" w:rsidP="00B757E5">
            <w:pPr>
              <w:pStyle w:val="TableText"/>
              <w:numPr>
                <w:ilvl w:val="0"/>
                <w:numId w:val="16"/>
              </w:numPr>
            </w:pPr>
            <w:r w:rsidRPr="00670264">
              <w:t>Rais</w:t>
            </w:r>
            <w:r w:rsidR="003D1109">
              <w:t xml:space="preserve">ing the </w:t>
            </w:r>
            <w:r w:rsidRPr="00670264">
              <w:t xml:space="preserve">disability focus within other equity </w:t>
            </w:r>
            <w:r w:rsidR="003D1109">
              <w:t xml:space="preserve">and government </w:t>
            </w:r>
            <w:r w:rsidRPr="00670264">
              <w:t>programs</w:t>
            </w:r>
          </w:p>
          <w:p w14:paraId="4A372D32" w14:textId="77777777" w:rsidR="00D94970" w:rsidRDefault="003500D1" w:rsidP="00D94970">
            <w:pPr>
              <w:pStyle w:val="TableText"/>
              <w:numPr>
                <w:ilvl w:val="0"/>
                <w:numId w:val="16"/>
              </w:numPr>
            </w:pPr>
            <w:r w:rsidRPr="003500D1">
              <w:t>Utilising broader industry for advocacy</w:t>
            </w:r>
            <w:r w:rsidR="00195A9E">
              <w:t xml:space="preserve"> rather than a siloed voice</w:t>
            </w:r>
          </w:p>
          <w:p w14:paraId="218027E8" w14:textId="59EA399F" w:rsidR="00D94970" w:rsidRPr="00AB4651" w:rsidRDefault="005621FE" w:rsidP="00D94970">
            <w:pPr>
              <w:pStyle w:val="TableText"/>
              <w:numPr>
                <w:ilvl w:val="0"/>
                <w:numId w:val="16"/>
              </w:numPr>
            </w:pPr>
            <w:r>
              <w:t>Existing</w:t>
            </w:r>
            <w:r w:rsidR="00D94970">
              <w:t xml:space="preserve"> work being undertaken on universal design for learning</w:t>
            </w:r>
          </w:p>
        </w:tc>
      </w:tr>
    </w:tbl>
    <w:p w14:paraId="44924EF7" w14:textId="20985E03" w:rsidR="005B4330" w:rsidRPr="00D66066" w:rsidRDefault="004325A8" w:rsidP="00BE407B">
      <w:pPr>
        <w:rPr>
          <w:b/>
          <w:bCs/>
        </w:rPr>
      </w:pPr>
      <w:r w:rsidRPr="00D66066">
        <w:rPr>
          <w:b/>
          <w:bCs/>
        </w:rPr>
        <w:t>I</w:t>
      </w:r>
      <w:r w:rsidR="00C9502B" w:rsidRPr="00D66066">
        <w:rPr>
          <w:b/>
          <w:bCs/>
        </w:rPr>
        <w:t>t is critical th</w:t>
      </w:r>
      <w:r w:rsidR="00C35C54" w:rsidRPr="00D66066">
        <w:rPr>
          <w:b/>
          <w:bCs/>
        </w:rPr>
        <w:t>at any changes</w:t>
      </w:r>
      <w:r w:rsidR="00C9502B" w:rsidRPr="00D66066">
        <w:rPr>
          <w:b/>
          <w:bCs/>
        </w:rPr>
        <w:t xml:space="preserve"> are made in the context of </w:t>
      </w:r>
      <w:r w:rsidR="005C5D77" w:rsidRPr="00D66066">
        <w:rPr>
          <w:b/>
          <w:bCs/>
        </w:rPr>
        <w:t>broader</w:t>
      </w:r>
      <w:r w:rsidR="00C9502B" w:rsidRPr="00D66066">
        <w:rPr>
          <w:b/>
          <w:bCs/>
        </w:rPr>
        <w:t xml:space="preserve"> government reforms </w:t>
      </w:r>
      <w:r w:rsidR="008F37AA" w:rsidRPr="00D66066">
        <w:rPr>
          <w:b/>
          <w:bCs/>
        </w:rPr>
        <w:t>building</w:t>
      </w:r>
      <w:r w:rsidR="008F37AA" w:rsidRPr="00454D7F">
        <w:t xml:space="preserve"> </w:t>
      </w:r>
      <w:r w:rsidR="008F37AA" w:rsidRPr="00D66066">
        <w:rPr>
          <w:b/>
          <w:bCs/>
        </w:rPr>
        <w:t xml:space="preserve">on the strengths of the program </w:t>
      </w:r>
      <w:r w:rsidR="00C9502B" w:rsidRPr="00D66066">
        <w:rPr>
          <w:b/>
          <w:bCs/>
        </w:rPr>
        <w:t xml:space="preserve">and </w:t>
      </w:r>
      <w:r w:rsidR="008778C6" w:rsidRPr="00D66066">
        <w:rPr>
          <w:b/>
          <w:bCs/>
        </w:rPr>
        <w:t>focused on current</w:t>
      </w:r>
      <w:r w:rsidR="00C9502B" w:rsidRPr="00D66066">
        <w:rPr>
          <w:b/>
          <w:bCs/>
        </w:rPr>
        <w:t xml:space="preserve"> opportunities and </w:t>
      </w:r>
      <w:r w:rsidR="005330BF" w:rsidRPr="00D66066">
        <w:rPr>
          <w:b/>
          <w:bCs/>
        </w:rPr>
        <w:t>priority areas</w:t>
      </w:r>
      <w:r w:rsidR="00C9502B" w:rsidRPr="00D66066">
        <w:rPr>
          <w:b/>
          <w:bCs/>
        </w:rPr>
        <w:t>.</w:t>
      </w:r>
    </w:p>
    <w:p w14:paraId="6E4545E0" w14:textId="56BBFE25" w:rsidR="00C9502B" w:rsidRDefault="003B35FA" w:rsidP="00FC24FE">
      <w:pPr>
        <w:pStyle w:val="Heading5"/>
      </w:pPr>
      <w:r>
        <w:t>Strategic Opportunities</w:t>
      </w:r>
    </w:p>
    <w:p w14:paraId="183EFD95" w14:textId="37BC269D" w:rsidR="00095ECB" w:rsidRDefault="007E6D09" w:rsidP="00BE407B">
      <w:r>
        <w:t xml:space="preserve">Since the last program review in 2017, two key </w:t>
      </w:r>
      <w:r w:rsidR="00CC5A95">
        <w:t xml:space="preserve">reforms have been concluded and </w:t>
      </w:r>
      <w:r w:rsidR="00B15D13">
        <w:t xml:space="preserve">what has emerged is a more </w:t>
      </w:r>
      <w:r w:rsidR="005C2537">
        <w:t xml:space="preserve">united </w:t>
      </w:r>
      <w:r w:rsidR="00CC5A95">
        <w:t xml:space="preserve">platform for </w:t>
      </w:r>
      <w:r w:rsidR="005C2537">
        <w:t xml:space="preserve">inclusion </w:t>
      </w:r>
      <w:r w:rsidR="00B15D13">
        <w:t xml:space="preserve">in mainstream settings. This includes the </w:t>
      </w:r>
      <w:r w:rsidR="00CA1807" w:rsidRPr="00CA1807">
        <w:rPr>
          <w:i/>
          <w:iCs/>
        </w:rPr>
        <w:t>2020 Review of the Disability Standards for Education 2005</w:t>
      </w:r>
      <w:r w:rsidR="00CA1807">
        <w:t xml:space="preserve"> </w:t>
      </w:r>
      <w:r w:rsidR="00682531">
        <w:t xml:space="preserve">(the Standards) </w:t>
      </w:r>
      <w:r w:rsidR="00CA1807">
        <w:t xml:space="preserve">and the more </w:t>
      </w:r>
      <w:r w:rsidR="00B15D13">
        <w:t xml:space="preserve">recent release of </w:t>
      </w:r>
      <w:r w:rsidR="007801D6" w:rsidRPr="008668D7">
        <w:t>Australia’s Disability Strategy</w:t>
      </w:r>
      <w:r w:rsidR="006A0658" w:rsidRPr="008668D7">
        <w:t>.</w:t>
      </w:r>
      <w:r w:rsidR="00825A21">
        <w:t xml:space="preserve"> </w:t>
      </w:r>
      <w:r w:rsidR="006A0658">
        <w:t>In particular</w:t>
      </w:r>
      <w:r w:rsidR="00661748">
        <w:t>,</w:t>
      </w:r>
      <w:r w:rsidR="006A0658">
        <w:t xml:space="preserve"> </w:t>
      </w:r>
      <w:r w:rsidR="008668D7" w:rsidRPr="008668D7">
        <w:t>Australia’s Disability Strategy</w:t>
      </w:r>
      <w:r w:rsidR="008668D7">
        <w:t xml:space="preserve"> </w:t>
      </w:r>
      <w:r w:rsidR="007249B3">
        <w:t xml:space="preserve">provides a strengthened framework for </w:t>
      </w:r>
      <w:r w:rsidR="00E366E8">
        <w:t xml:space="preserve">outcomes, responsibility and </w:t>
      </w:r>
      <w:r w:rsidR="007249B3">
        <w:t>accountability across all government initiatives</w:t>
      </w:r>
      <w:r w:rsidR="004C3901">
        <w:t>,</w:t>
      </w:r>
      <w:r w:rsidR="006A0658">
        <w:t xml:space="preserve"> </w:t>
      </w:r>
      <w:r w:rsidR="00A36FB2">
        <w:t>across education (</w:t>
      </w:r>
      <w:r w:rsidR="00454D7F">
        <w:t>pre</w:t>
      </w:r>
      <w:r w:rsidR="00454D7F">
        <w:noBreakHyphen/>
        <w:t>tertiary</w:t>
      </w:r>
      <w:r w:rsidR="00A36FB2">
        <w:t xml:space="preserve"> and tertiary) and</w:t>
      </w:r>
      <w:r w:rsidR="00912E6C">
        <w:t xml:space="preserve"> improving outcomes in </w:t>
      </w:r>
      <w:r w:rsidR="00A36FB2">
        <w:t>employment</w:t>
      </w:r>
      <w:r w:rsidR="00DB6AA1">
        <w:t xml:space="preserve"> </w:t>
      </w:r>
      <w:r w:rsidR="006A7B92">
        <w:t xml:space="preserve">for people </w:t>
      </w:r>
      <w:r w:rsidR="00991256">
        <w:t>with disability</w:t>
      </w:r>
      <w:r w:rsidR="00917860">
        <w:t>.</w:t>
      </w:r>
    </w:p>
    <w:p w14:paraId="199AABCD" w14:textId="4F8381BA" w:rsidR="00063FBF" w:rsidRDefault="00063FBF" w:rsidP="0073656B">
      <w:r>
        <w:t xml:space="preserve">We understand there will be a significant effort </w:t>
      </w:r>
      <w:r w:rsidR="00051C99">
        <w:t xml:space="preserve">from government </w:t>
      </w:r>
      <w:r>
        <w:t xml:space="preserve">in the development of information, resources and campaigns to improve community attitudes (including </w:t>
      </w:r>
      <w:r w:rsidR="004B29F4">
        <w:t xml:space="preserve">among </w:t>
      </w:r>
      <w:r>
        <w:t>educators and employers), raise student expectations around education pathways, and best practice to support educational institutions</w:t>
      </w:r>
      <w:r w:rsidR="004B29F4">
        <w:t>’</w:t>
      </w:r>
      <w:r>
        <w:t xml:space="preserve"> understanding and capability. </w:t>
      </w:r>
    </w:p>
    <w:p w14:paraId="296DDD00" w14:textId="61CFC42F" w:rsidR="00AA6F5A" w:rsidRDefault="00F135BC" w:rsidP="00BE407B">
      <w:r>
        <w:t xml:space="preserve">It is </w:t>
      </w:r>
      <w:r w:rsidR="00C46659">
        <w:t>unrealistic</w:t>
      </w:r>
      <w:r w:rsidR="004B29F4">
        <w:t xml:space="preserve"> </w:t>
      </w:r>
      <w:r>
        <w:t xml:space="preserve">to </w:t>
      </w:r>
      <w:r w:rsidR="004B29F4">
        <w:t xml:space="preserve">expect that </w:t>
      </w:r>
      <w:r>
        <w:t xml:space="preserve">any one program or stakeholder can address the complexity of social change required. </w:t>
      </w:r>
      <w:r w:rsidR="004B29F4">
        <w:t>However</w:t>
      </w:r>
      <w:r w:rsidR="00FA3778">
        <w:t>,</w:t>
      </w:r>
      <w:r w:rsidR="008E72E0">
        <w:t xml:space="preserve"> </w:t>
      </w:r>
      <w:r w:rsidR="0038453F">
        <w:t>the</w:t>
      </w:r>
      <w:r w:rsidR="008E72E0">
        <w:t xml:space="preserve"> greater clarity about cross-</w:t>
      </w:r>
      <w:r w:rsidR="00C961D4">
        <w:t>government responsibilities</w:t>
      </w:r>
      <w:r w:rsidR="00004096">
        <w:t xml:space="preserve"> </w:t>
      </w:r>
      <w:r w:rsidR="00C961D4">
        <w:t>provides an</w:t>
      </w:r>
      <w:r w:rsidR="00205C9E">
        <w:t xml:space="preserve"> opportunity </w:t>
      </w:r>
      <w:r w:rsidR="00C961D4">
        <w:t>to</w:t>
      </w:r>
      <w:r w:rsidR="00AA6F5A">
        <w:t>:</w:t>
      </w:r>
    </w:p>
    <w:p w14:paraId="40C66C91" w14:textId="37B68FE7" w:rsidR="00AA6F5A" w:rsidRDefault="00C961D4" w:rsidP="00E14791">
      <w:pPr>
        <w:pStyle w:val="ListBullet"/>
      </w:pPr>
      <w:r>
        <w:t xml:space="preserve">align to a </w:t>
      </w:r>
      <w:r w:rsidR="00AA6F5A">
        <w:t xml:space="preserve">uniform structure for measuring </w:t>
      </w:r>
      <w:r w:rsidR="00A315E7">
        <w:t xml:space="preserve">program </w:t>
      </w:r>
      <w:r w:rsidR="00AA6F5A">
        <w:t>outcomes</w:t>
      </w:r>
      <w:r w:rsidR="003D7168">
        <w:t xml:space="preserve"> as per Australia’s Disability Strategy</w:t>
      </w:r>
      <w:r w:rsidR="00F14607">
        <w:t xml:space="preserve">; </w:t>
      </w:r>
    </w:p>
    <w:p w14:paraId="10C6F98C" w14:textId="2B8821E9" w:rsidR="00697BC2" w:rsidRDefault="00DD65E5" w:rsidP="00E14791">
      <w:pPr>
        <w:pStyle w:val="ListBullet"/>
      </w:pPr>
      <w:r>
        <w:t>support the</w:t>
      </w:r>
      <w:r w:rsidR="00841888">
        <w:t xml:space="preserve"> visible</w:t>
      </w:r>
      <w:r>
        <w:t xml:space="preserve"> </w:t>
      </w:r>
      <w:r w:rsidR="00066467">
        <w:t xml:space="preserve">inclusion of </w:t>
      </w:r>
      <w:r w:rsidR="00841888">
        <w:t xml:space="preserve">tertiary </w:t>
      </w:r>
      <w:r w:rsidR="00100D54">
        <w:t xml:space="preserve">students and graduates with disability in </w:t>
      </w:r>
      <w:r w:rsidR="007E491F">
        <w:t xml:space="preserve">government </w:t>
      </w:r>
      <w:r w:rsidR="00066467">
        <w:t xml:space="preserve">career development, </w:t>
      </w:r>
      <w:r w:rsidR="00100D54">
        <w:t>education and employment policy and programs</w:t>
      </w:r>
      <w:r w:rsidR="004B29F4">
        <w:t>;</w:t>
      </w:r>
    </w:p>
    <w:p w14:paraId="12B082B2" w14:textId="08D5B403" w:rsidR="003D7CF7" w:rsidRDefault="00932DD3" w:rsidP="00E14791">
      <w:pPr>
        <w:pStyle w:val="ListBullet"/>
      </w:pPr>
      <w:r>
        <w:t>include</w:t>
      </w:r>
      <w:r w:rsidR="00697BC2">
        <w:t xml:space="preserve"> tertiary students and sector</w:t>
      </w:r>
      <w:r>
        <w:t xml:space="preserve"> representation</w:t>
      </w:r>
      <w:r w:rsidR="00697BC2">
        <w:t xml:space="preserve"> within advisory committees</w:t>
      </w:r>
      <w:r w:rsidR="00100D54">
        <w:t>;</w:t>
      </w:r>
    </w:p>
    <w:p w14:paraId="7616D9CA" w14:textId="3DCCD832" w:rsidR="00E75C36" w:rsidRDefault="00C961D4" w:rsidP="00E14791">
      <w:pPr>
        <w:pStyle w:val="ListBullet"/>
      </w:pPr>
      <w:r>
        <w:t xml:space="preserve">identify </w:t>
      </w:r>
      <w:r w:rsidR="00675152">
        <w:t>specific</w:t>
      </w:r>
      <w:r w:rsidR="00D211A1">
        <w:t xml:space="preserve"> </w:t>
      </w:r>
      <w:r w:rsidR="00E75C36">
        <w:t xml:space="preserve">cross-government </w:t>
      </w:r>
      <w:r w:rsidR="00D211A1">
        <w:t xml:space="preserve">responsibilities for </w:t>
      </w:r>
      <w:r w:rsidR="00675152">
        <w:t>initiatives that can be leveraged</w:t>
      </w:r>
      <w:r w:rsidR="00765A2E">
        <w:t xml:space="preserve"> </w:t>
      </w:r>
      <w:r w:rsidR="004B29F4">
        <w:t>(e.g</w:t>
      </w:r>
      <w:r w:rsidR="00765A2E">
        <w:t xml:space="preserve">. </w:t>
      </w:r>
      <w:r w:rsidR="00722625">
        <w:t>NDIS</w:t>
      </w:r>
      <w:r w:rsidR="0044149D">
        <w:t xml:space="preserve"> SLES</w:t>
      </w:r>
      <w:r w:rsidR="00722625">
        <w:t xml:space="preserve"> </w:t>
      </w:r>
      <w:r w:rsidR="0044149D">
        <w:t xml:space="preserve">and </w:t>
      </w:r>
      <w:r w:rsidR="00765A2E">
        <w:t>employment policy</w:t>
      </w:r>
      <w:r w:rsidR="004B29F4">
        <w:t>)</w:t>
      </w:r>
      <w:r>
        <w:t>;</w:t>
      </w:r>
      <w:r w:rsidR="00EB7467">
        <w:t xml:space="preserve"> </w:t>
      </w:r>
    </w:p>
    <w:p w14:paraId="4CF40774" w14:textId="7D88588A" w:rsidR="00F14607" w:rsidRDefault="00F71D5B" w:rsidP="00E14791">
      <w:pPr>
        <w:pStyle w:val="ListBullet"/>
      </w:pPr>
      <w:r>
        <w:t xml:space="preserve">integrate </w:t>
      </w:r>
      <w:r w:rsidR="00EB7467">
        <w:t>and</w:t>
      </w:r>
      <w:r>
        <w:t xml:space="preserve"> </w:t>
      </w:r>
      <w:r w:rsidRPr="00805628">
        <w:t xml:space="preserve">make use of department initiatives </w:t>
      </w:r>
      <w:r w:rsidR="00474462" w:rsidRPr="00805628">
        <w:t xml:space="preserve">for education and employment for people </w:t>
      </w:r>
      <w:r w:rsidR="00991256">
        <w:t>with disability</w:t>
      </w:r>
      <w:r w:rsidR="00474462" w:rsidRPr="00805628">
        <w:t xml:space="preserve"> (see </w:t>
      </w:r>
      <w:r w:rsidR="00881456" w:rsidRPr="00805628">
        <w:t xml:space="preserve">section </w:t>
      </w:r>
      <w:r w:rsidR="00805628" w:rsidRPr="00805628">
        <w:t>VI</w:t>
      </w:r>
      <w:r w:rsidR="00474462" w:rsidRPr="00805628">
        <w:t xml:space="preserve"> for </w:t>
      </w:r>
      <w:r w:rsidR="00474462">
        <w:t xml:space="preserve">a range of programs and </w:t>
      </w:r>
      <w:r w:rsidR="00254A92">
        <w:t>initiatives</w:t>
      </w:r>
      <w:r w:rsidR="00474462">
        <w:t>)</w:t>
      </w:r>
      <w:r w:rsidR="004B29F4">
        <w:t>;</w:t>
      </w:r>
      <w:r w:rsidR="00881456">
        <w:t xml:space="preserve"> and</w:t>
      </w:r>
    </w:p>
    <w:p w14:paraId="6F979EB2" w14:textId="1D5B33A6" w:rsidR="00C961D4" w:rsidRDefault="00C961D4" w:rsidP="00E14791">
      <w:pPr>
        <w:pStyle w:val="ListBullet"/>
      </w:pPr>
      <w:r>
        <w:t xml:space="preserve">carve out </w:t>
      </w:r>
      <w:r w:rsidR="004E3E2B">
        <w:t xml:space="preserve">a </w:t>
      </w:r>
      <w:r>
        <w:t xml:space="preserve">specific </w:t>
      </w:r>
      <w:r w:rsidR="00EB7467">
        <w:t xml:space="preserve">program role that </w:t>
      </w:r>
      <w:r w:rsidR="0022239C">
        <w:t>contributes to greater impact in</w:t>
      </w:r>
      <w:r w:rsidR="00EB7467">
        <w:t xml:space="preserve"> implementation </w:t>
      </w:r>
      <w:r w:rsidR="0022239C">
        <w:t>of</w:t>
      </w:r>
      <w:r w:rsidR="00EB7467">
        <w:t xml:space="preserve"> reforms.</w:t>
      </w:r>
    </w:p>
    <w:p w14:paraId="12626048" w14:textId="77777777" w:rsidR="004A5CD2" w:rsidRPr="00FC15EE" w:rsidRDefault="00DB1CBE" w:rsidP="00881456">
      <w:pPr>
        <w:rPr>
          <w:b/>
          <w:bCs/>
        </w:rPr>
      </w:pPr>
      <w:r w:rsidRPr="00FC15EE">
        <w:rPr>
          <w:b/>
          <w:bCs/>
        </w:rPr>
        <w:t>A</w:t>
      </w:r>
      <w:r w:rsidR="00A63A90" w:rsidRPr="00FC15EE">
        <w:rPr>
          <w:b/>
          <w:bCs/>
        </w:rPr>
        <w:t xml:space="preserve"> </w:t>
      </w:r>
      <w:r w:rsidR="004E3E2B" w:rsidRPr="00FC15EE">
        <w:rPr>
          <w:b/>
          <w:bCs/>
        </w:rPr>
        <w:t>further strategic opportunity exist</w:t>
      </w:r>
      <w:r w:rsidR="00F34E32" w:rsidRPr="00FC15EE">
        <w:rPr>
          <w:b/>
          <w:bCs/>
        </w:rPr>
        <w:t>s</w:t>
      </w:r>
      <w:r w:rsidR="004E3E2B" w:rsidRPr="00FC15EE">
        <w:rPr>
          <w:b/>
          <w:bCs/>
        </w:rPr>
        <w:t xml:space="preserve"> to </w:t>
      </w:r>
      <w:r w:rsidR="00D86804" w:rsidRPr="00FC15EE">
        <w:rPr>
          <w:b/>
          <w:bCs/>
        </w:rPr>
        <w:t xml:space="preserve">bring together critical and influential parts of the broader ecosystem to enable </w:t>
      </w:r>
      <w:r w:rsidR="00A63A90" w:rsidRPr="00FC15EE">
        <w:rPr>
          <w:b/>
          <w:bCs/>
        </w:rPr>
        <w:t xml:space="preserve">greater connection, understanding, </w:t>
      </w:r>
      <w:r w:rsidR="00D86804" w:rsidRPr="00FC15EE">
        <w:rPr>
          <w:b/>
          <w:bCs/>
        </w:rPr>
        <w:t xml:space="preserve">reach and impact of </w:t>
      </w:r>
      <w:r w:rsidR="00B55353" w:rsidRPr="00FC15EE">
        <w:rPr>
          <w:b/>
          <w:bCs/>
        </w:rPr>
        <w:t>activities</w:t>
      </w:r>
      <w:r w:rsidR="00A63A90" w:rsidRPr="00FC15EE">
        <w:rPr>
          <w:b/>
          <w:bCs/>
        </w:rPr>
        <w:t xml:space="preserve"> as a whole. </w:t>
      </w:r>
    </w:p>
    <w:p w14:paraId="36ABCFD8" w14:textId="68AB6584" w:rsidR="00063FBF" w:rsidRDefault="00F51265" w:rsidP="00881456">
      <w:r>
        <w:t xml:space="preserve">Connecting peak bodies, </w:t>
      </w:r>
      <w:r w:rsidR="00E67CB6">
        <w:t xml:space="preserve">industry leaders, </w:t>
      </w:r>
      <w:r>
        <w:t>professional associations</w:t>
      </w:r>
      <w:r w:rsidR="00E67CB6">
        <w:t xml:space="preserve"> </w:t>
      </w:r>
      <w:r w:rsidR="004B29F4">
        <w:t xml:space="preserve">would </w:t>
      </w:r>
      <w:r w:rsidR="00BF5DE4">
        <w:t>also</w:t>
      </w:r>
      <w:r w:rsidR="00A63A90">
        <w:t xml:space="preserve"> </w:t>
      </w:r>
      <w:r w:rsidR="00C31A32">
        <w:t>assist</w:t>
      </w:r>
      <w:r w:rsidR="00A63A90">
        <w:t xml:space="preserve"> with ensuring </w:t>
      </w:r>
      <w:r w:rsidR="00BF5DE4">
        <w:t>a</w:t>
      </w:r>
      <w:r w:rsidR="00DB1CBE">
        <w:t xml:space="preserve"> united</w:t>
      </w:r>
      <w:r w:rsidR="00BF5DE4">
        <w:t xml:space="preserve"> commitment to change</w:t>
      </w:r>
      <w:r w:rsidR="00E67CB6">
        <w:t xml:space="preserve"> and system advocacy, </w:t>
      </w:r>
      <w:r w:rsidR="00BF5DE4">
        <w:t xml:space="preserve">improved quality </w:t>
      </w:r>
      <w:r w:rsidR="00DB1CBE">
        <w:t>of outputs</w:t>
      </w:r>
      <w:r w:rsidR="00BF5DE4">
        <w:t xml:space="preserve"> and implementation. </w:t>
      </w:r>
    </w:p>
    <w:p w14:paraId="0DBD5E90" w14:textId="3CF8F188" w:rsidR="004A5CD2" w:rsidRDefault="007215CB" w:rsidP="00881456">
      <w:r w:rsidRPr="00EB71AF">
        <w:t xml:space="preserve">As of 30 September 2021 there were 484,700 people </w:t>
      </w:r>
      <w:r w:rsidR="00991256">
        <w:t>with disability</w:t>
      </w:r>
      <w:r w:rsidRPr="00EB71AF">
        <w:t xml:space="preserve"> receiving supports from the NDIS, representing around 11</w:t>
      </w:r>
      <w:r w:rsidR="00454D7F">
        <w:t xml:space="preserve"> per cent</w:t>
      </w:r>
      <w:r w:rsidRPr="00EB71AF">
        <w:t xml:space="preserve"> of Australians </w:t>
      </w:r>
      <w:r w:rsidR="00991256">
        <w:t>with disability</w:t>
      </w:r>
      <w:r w:rsidRPr="00EB71AF">
        <w:t xml:space="preserve">. This </w:t>
      </w:r>
      <w:r w:rsidR="00A654E0">
        <w:t>translates</w:t>
      </w:r>
      <w:r w:rsidR="00A654E0" w:rsidRPr="00EB71AF">
        <w:t xml:space="preserve"> </w:t>
      </w:r>
      <w:r w:rsidRPr="00EB71AF">
        <w:t xml:space="preserve">to a small </w:t>
      </w:r>
      <w:r w:rsidR="004B29F4">
        <w:t>proportion</w:t>
      </w:r>
      <w:r w:rsidR="004B29F4" w:rsidRPr="00EB71AF">
        <w:t xml:space="preserve"> </w:t>
      </w:r>
      <w:r w:rsidRPr="00EB71AF">
        <w:t xml:space="preserve">of all students </w:t>
      </w:r>
      <w:r w:rsidR="00991256">
        <w:t>with disability</w:t>
      </w:r>
      <w:r w:rsidRPr="00EB71AF">
        <w:t xml:space="preserve"> that would benefit from systemic improvement</w:t>
      </w:r>
      <w:r w:rsidR="00A654E0">
        <w:t xml:space="preserve"> within the NDIS</w:t>
      </w:r>
      <w:r w:rsidRPr="00EB71AF">
        <w:t xml:space="preserve">. </w:t>
      </w:r>
    </w:p>
    <w:p w14:paraId="6585B0A4" w14:textId="3AA7618A" w:rsidR="004A5CD2" w:rsidRDefault="007215CB" w:rsidP="00881456">
      <w:r w:rsidRPr="00EB71AF">
        <w:t xml:space="preserve">While the NDIA will mature </w:t>
      </w:r>
      <w:r w:rsidR="00A654E0">
        <w:t>its</w:t>
      </w:r>
      <w:r w:rsidR="00A654E0" w:rsidRPr="00EB71AF">
        <w:t xml:space="preserve"> </w:t>
      </w:r>
      <w:r w:rsidRPr="00EB71AF">
        <w:t xml:space="preserve">community engagement approach, we expect </w:t>
      </w:r>
      <w:r w:rsidR="00A654E0">
        <w:t>this</w:t>
      </w:r>
      <w:r w:rsidR="00A654E0" w:rsidRPr="00EB71AF">
        <w:t xml:space="preserve"> </w:t>
      </w:r>
      <w:r w:rsidRPr="00EB71AF">
        <w:t>will remain patchy unless a national approach is adopted</w:t>
      </w:r>
      <w:r>
        <w:t xml:space="preserve"> – however </w:t>
      </w:r>
      <w:r w:rsidR="009E53DD" w:rsidRPr="00FC15EE">
        <w:t xml:space="preserve">the NDIA </w:t>
      </w:r>
      <w:r w:rsidRPr="00FC15EE">
        <w:t>remain</w:t>
      </w:r>
      <w:r w:rsidR="00A654E0" w:rsidRPr="00FC15EE">
        <w:t>s</w:t>
      </w:r>
      <w:r w:rsidRPr="00FC15EE">
        <w:t xml:space="preserve"> an important strategic partner</w:t>
      </w:r>
      <w:r w:rsidR="00A654E0" w:rsidRPr="00FC15EE">
        <w:t>,</w:t>
      </w:r>
      <w:r w:rsidRPr="00FC15EE">
        <w:t xml:space="preserve"> particularly in supporting more complex disability learning needs.</w:t>
      </w:r>
      <w:r w:rsidR="003E2A8F" w:rsidRPr="00FC15EE">
        <w:rPr>
          <w:b/>
          <w:bCs/>
        </w:rPr>
        <w:t xml:space="preserve"> </w:t>
      </w:r>
    </w:p>
    <w:p w14:paraId="58AB5C3E" w14:textId="42073274" w:rsidR="007215CB" w:rsidRPr="00FC15EE" w:rsidRDefault="003E2A8F" w:rsidP="00881456">
      <w:r w:rsidRPr="00FC15EE">
        <w:t xml:space="preserve">In this review, we were asked to consider whether the full roll out of the NDIS had replaced the need for the NDCO program more broadly. Given eligibility for the NDIS </w:t>
      </w:r>
      <w:r w:rsidR="00FC15EE">
        <w:t>funding is not as broad as disability as described under the DDA and</w:t>
      </w:r>
      <w:r w:rsidRPr="00FC15EE">
        <w:t xml:space="preserve"> its progress to date in supporting mainstream </w:t>
      </w:r>
      <w:r w:rsidR="00454D7F" w:rsidRPr="00D66066">
        <w:t xml:space="preserve">tertiary </w:t>
      </w:r>
      <w:r w:rsidRPr="00FC15EE">
        <w:t xml:space="preserve">capacity building has been limited, the need for a program to build </w:t>
      </w:r>
      <w:r w:rsidR="00FC15EE">
        <w:t xml:space="preserve">tertiary </w:t>
      </w:r>
      <w:r w:rsidRPr="00FC15EE">
        <w:t>mainstream capacity remains.</w:t>
      </w:r>
      <w:r w:rsidR="00FC15EE">
        <w:t xml:space="preserve"> However, it should add value to other initiatives taking place across government.</w:t>
      </w:r>
    </w:p>
    <w:p w14:paraId="1D327F3E" w14:textId="48F59B45" w:rsidR="00FC24FE" w:rsidRDefault="00FC24FE" w:rsidP="00FC24FE">
      <w:pPr>
        <w:pStyle w:val="Heading5"/>
      </w:pPr>
      <w:r>
        <w:t>Program opportunities</w:t>
      </w:r>
    </w:p>
    <w:p w14:paraId="01C93E3A" w14:textId="723F64B9" w:rsidR="0049654F" w:rsidRPr="00FC15EE" w:rsidRDefault="00620935" w:rsidP="00BE407B">
      <w:r>
        <w:t xml:space="preserve">The program has played a role in </w:t>
      </w:r>
      <w:r w:rsidR="004213F0">
        <w:t>identifying barriers and supporting change</w:t>
      </w:r>
      <w:r w:rsidR="0021798D">
        <w:t xml:space="preserve"> through </w:t>
      </w:r>
      <w:r w:rsidR="00CF5716">
        <w:t xml:space="preserve">practice </w:t>
      </w:r>
      <w:r w:rsidR="009F505B">
        <w:t xml:space="preserve">information, </w:t>
      </w:r>
      <w:r w:rsidR="0021798D">
        <w:t>engagement and submissions</w:t>
      </w:r>
      <w:r w:rsidR="00BC42E2">
        <w:t xml:space="preserve"> </w:t>
      </w:r>
      <w:r w:rsidR="007D40A7">
        <w:t>(incorporating research activities)</w:t>
      </w:r>
      <w:r w:rsidR="00CF5716">
        <w:t xml:space="preserve">. </w:t>
      </w:r>
      <w:r w:rsidR="00CF5716" w:rsidRPr="00FC15EE">
        <w:t>W</w:t>
      </w:r>
      <w:r w:rsidR="004213F0" w:rsidRPr="00FC15EE">
        <w:t xml:space="preserve">ith </w:t>
      </w:r>
      <w:r w:rsidR="00832343" w:rsidRPr="00FC15EE">
        <w:t>broader</w:t>
      </w:r>
      <w:r w:rsidR="004213F0" w:rsidRPr="00FC15EE">
        <w:t xml:space="preserve"> reforms </w:t>
      </w:r>
      <w:r w:rsidR="000A3DBD" w:rsidRPr="00FC15EE">
        <w:t>now becoming clearer</w:t>
      </w:r>
      <w:r w:rsidR="00FE4B40" w:rsidRPr="00FC15EE">
        <w:t>,</w:t>
      </w:r>
      <w:r w:rsidR="004213F0" w:rsidRPr="00FC15EE">
        <w:t xml:space="preserve"> there is an opportunity to</w:t>
      </w:r>
      <w:r w:rsidR="00221FC7" w:rsidRPr="00FC15EE">
        <w:t xml:space="preserve"> </w:t>
      </w:r>
      <w:r w:rsidR="004213F0" w:rsidRPr="00FC15EE">
        <w:t xml:space="preserve">refocus and reprioritise </w:t>
      </w:r>
      <w:r w:rsidR="00D41FE5" w:rsidRPr="00FC15EE">
        <w:t>effort</w:t>
      </w:r>
      <w:r w:rsidR="004213F0" w:rsidRPr="00FC15EE">
        <w:t>.</w:t>
      </w:r>
      <w:r w:rsidR="0021798D" w:rsidRPr="00FC15EE">
        <w:t xml:space="preserve"> </w:t>
      </w:r>
      <w:r w:rsidR="00221FC7" w:rsidRPr="00FC15EE">
        <w:t>There is an opportunity to</w:t>
      </w:r>
      <w:r w:rsidR="0049654F" w:rsidRPr="00FC15EE">
        <w:t>:</w:t>
      </w:r>
    </w:p>
    <w:p w14:paraId="5BB4A0F4" w14:textId="4F26EEAA" w:rsidR="0049654F" w:rsidRPr="00FC15EE" w:rsidRDefault="00221FC7" w:rsidP="0049654F">
      <w:pPr>
        <w:pStyle w:val="ListBullet"/>
      </w:pPr>
      <w:r w:rsidRPr="00FC15EE">
        <w:t>div</w:t>
      </w:r>
      <w:r w:rsidR="00AA6166" w:rsidRPr="00FC15EE">
        <w:t>est</w:t>
      </w:r>
      <w:r w:rsidRPr="00FC15EE">
        <w:t xml:space="preserve"> activities where these are being undertaken elsewhere</w:t>
      </w:r>
      <w:r w:rsidR="006660C0" w:rsidRPr="00FC15EE">
        <w:t xml:space="preserve"> or where </w:t>
      </w:r>
      <w:r w:rsidRPr="00FC15EE">
        <w:t xml:space="preserve">expertise is best placed elsewhere </w:t>
      </w:r>
      <w:r w:rsidR="00305976" w:rsidRPr="00FC15EE">
        <w:t>(</w:t>
      </w:r>
      <w:r w:rsidRPr="00FC15EE">
        <w:t>i.e. ‘who in the sector is best placed to do an activity’</w:t>
      </w:r>
      <w:r w:rsidR="00305976" w:rsidRPr="00FC15EE">
        <w:t>);</w:t>
      </w:r>
      <w:r w:rsidRPr="00FC15EE">
        <w:t xml:space="preserve"> </w:t>
      </w:r>
      <w:r w:rsidR="00CE5BA1" w:rsidRPr="00FC15EE">
        <w:t xml:space="preserve">or </w:t>
      </w:r>
    </w:p>
    <w:p w14:paraId="4C9F386C" w14:textId="39ECF135" w:rsidR="0049654F" w:rsidRPr="00FC15EE" w:rsidRDefault="00CE5BA1" w:rsidP="0049654F">
      <w:pPr>
        <w:pStyle w:val="ListBullet"/>
      </w:pPr>
      <w:r w:rsidRPr="00FC15EE">
        <w:t>cease</w:t>
      </w:r>
      <w:r w:rsidR="00560AB4" w:rsidRPr="00FC15EE">
        <w:t xml:space="preserve"> </w:t>
      </w:r>
      <w:r w:rsidRPr="00FC15EE">
        <w:t>/</w:t>
      </w:r>
      <w:r w:rsidR="00560AB4" w:rsidRPr="00FC15EE">
        <w:t xml:space="preserve"> </w:t>
      </w:r>
      <w:r w:rsidRPr="00FC15EE">
        <w:t>limit activities that</w:t>
      </w:r>
      <w:r w:rsidR="00E36EB4" w:rsidRPr="00FC15EE">
        <w:t xml:space="preserve"> </w:t>
      </w:r>
      <w:r w:rsidR="006F5673" w:rsidRPr="00FC15EE">
        <w:t>are no longer a priority</w:t>
      </w:r>
      <w:r w:rsidR="005442E7" w:rsidRPr="00FC15EE">
        <w:t xml:space="preserve">. </w:t>
      </w:r>
      <w:r w:rsidRPr="00FC15EE">
        <w:t xml:space="preserve"> </w:t>
      </w:r>
    </w:p>
    <w:p w14:paraId="3B65F31F" w14:textId="0A1116AA" w:rsidR="00213719" w:rsidRPr="00FC15EE" w:rsidRDefault="00221FC7" w:rsidP="0049654F">
      <w:r w:rsidRPr="00FC15EE">
        <w:t>This will require working with stakeholders to garner commitment and connection between responsible programs</w:t>
      </w:r>
      <w:r w:rsidR="000F23A5" w:rsidRPr="00FC15EE">
        <w:t>.</w:t>
      </w:r>
    </w:p>
    <w:p w14:paraId="47DB9A35" w14:textId="77777777" w:rsidR="00A45225" w:rsidRPr="00FC15EE" w:rsidRDefault="00E36EB4" w:rsidP="00E36EB4">
      <w:r w:rsidRPr="00FC15EE">
        <w:t xml:space="preserve">The review has identified </w:t>
      </w:r>
      <w:r w:rsidR="000F23A5" w:rsidRPr="00FC15EE">
        <w:t>a primary</w:t>
      </w:r>
      <w:r w:rsidRPr="00FC15EE">
        <w:t xml:space="preserve"> opportunity </w:t>
      </w:r>
      <w:r w:rsidR="00421D56" w:rsidRPr="00FC15EE">
        <w:t>to</w:t>
      </w:r>
      <w:r w:rsidR="00FB01C4" w:rsidRPr="00FC15EE">
        <w:t xml:space="preserve"> </w:t>
      </w:r>
      <w:r w:rsidR="00DF2371" w:rsidRPr="00FC15EE">
        <w:t xml:space="preserve">support the implementation effort </w:t>
      </w:r>
      <w:r w:rsidR="00D152FE" w:rsidRPr="00FC15EE">
        <w:t>arising from the review of the Standards.</w:t>
      </w:r>
      <w:r w:rsidR="00886377" w:rsidRPr="00FC15EE">
        <w:t xml:space="preserve"> </w:t>
      </w:r>
    </w:p>
    <w:p w14:paraId="7A071CFC" w14:textId="2AE90117" w:rsidR="00FB01C4" w:rsidRDefault="00886377" w:rsidP="00E36EB4">
      <w:r>
        <w:t>T</w:t>
      </w:r>
      <w:r w:rsidR="00B32758">
        <w:t xml:space="preserve">he Department will be developing </w:t>
      </w:r>
      <w:r w:rsidR="00756639">
        <w:t xml:space="preserve">and employing </w:t>
      </w:r>
      <w:r w:rsidR="00514D03" w:rsidRPr="006F5421">
        <w:t>additional resources</w:t>
      </w:r>
      <w:r w:rsidR="004E751C">
        <w:t xml:space="preserve"> </w:t>
      </w:r>
      <w:r>
        <w:t>for students and educators</w:t>
      </w:r>
      <w:r w:rsidR="00EC3FD6">
        <w:t xml:space="preserve">, </w:t>
      </w:r>
      <w:r w:rsidR="00BB3A47">
        <w:t xml:space="preserve">with the responsibility of educators </w:t>
      </w:r>
      <w:r w:rsidR="00EC3FD6">
        <w:t>to implement.</w:t>
      </w:r>
      <w:r w:rsidR="001C3ADD">
        <w:t xml:space="preserve"> </w:t>
      </w:r>
      <w:r w:rsidR="00782552">
        <w:t xml:space="preserve">The program might </w:t>
      </w:r>
      <w:r w:rsidR="009B6705">
        <w:t xml:space="preserve">support this </w:t>
      </w:r>
      <w:r w:rsidR="009B6705" w:rsidRPr="00D250F1">
        <w:t>tra</w:t>
      </w:r>
      <w:r w:rsidR="006C4F19" w:rsidRPr="00D250F1">
        <w:t xml:space="preserve">nslation of </w:t>
      </w:r>
      <w:r w:rsidR="00FB01C4" w:rsidRPr="00D250F1">
        <w:t xml:space="preserve">resources </w:t>
      </w:r>
      <w:r w:rsidR="006C4F19" w:rsidRPr="00D250F1">
        <w:t>into</w:t>
      </w:r>
      <w:r w:rsidR="00FB01C4" w:rsidRPr="00D250F1">
        <w:t xml:space="preserve"> </w:t>
      </w:r>
      <w:r w:rsidR="00E61E2C" w:rsidRPr="00D250F1">
        <w:t xml:space="preserve">adopted </w:t>
      </w:r>
      <w:r w:rsidR="00FB01C4" w:rsidRPr="00D250F1">
        <w:t>practic</w:t>
      </w:r>
      <w:r w:rsidR="00E61E2C" w:rsidRPr="00D250F1">
        <w:t xml:space="preserve">e, </w:t>
      </w:r>
      <w:r w:rsidR="00FB01C4" w:rsidRPr="00D250F1">
        <w:t>support industry planning and</w:t>
      </w:r>
      <w:r w:rsidR="00A43756">
        <w:t xml:space="preserve"> </w:t>
      </w:r>
      <w:r w:rsidR="00FB01C4" w:rsidRPr="00D250F1">
        <w:t>/</w:t>
      </w:r>
      <w:r w:rsidR="00A43756">
        <w:t xml:space="preserve"> </w:t>
      </w:r>
      <w:r w:rsidR="00FB01C4" w:rsidRPr="00D250F1">
        <w:t>or</w:t>
      </w:r>
      <w:r w:rsidR="0071501C">
        <w:t xml:space="preserve"> provide a mechanism to </w:t>
      </w:r>
      <w:r w:rsidR="00B62A10">
        <w:t>provide insight on implementation issues back to government</w:t>
      </w:r>
      <w:r w:rsidR="00B62A10" w:rsidRPr="00C06D5B">
        <w:t xml:space="preserve">. </w:t>
      </w:r>
      <w:r w:rsidR="0042156B" w:rsidRPr="00C06D5B">
        <w:t xml:space="preserve">Specialisation based on sector or topics would acknowledge the </w:t>
      </w:r>
      <w:r w:rsidR="00C06D5B">
        <w:t xml:space="preserve">unique attributes of the higher education and vocational education and training </w:t>
      </w:r>
      <w:r w:rsidR="00F50B66">
        <w:t xml:space="preserve">providers. </w:t>
      </w:r>
      <w:r w:rsidR="00F50B66" w:rsidRPr="00FC15EE">
        <w:t xml:space="preserve">This program specialisation also affords an opportunity to </w:t>
      </w:r>
      <w:r w:rsidR="00D17595" w:rsidRPr="00FC15EE">
        <w:t>elevate the status of the program with influential stakeholders.</w:t>
      </w:r>
      <w:r w:rsidR="00D17595">
        <w:t xml:space="preserve"> </w:t>
      </w:r>
    </w:p>
    <w:p w14:paraId="2BF048F6" w14:textId="5061BEA2" w:rsidR="003D7110" w:rsidRDefault="00E871D3" w:rsidP="00BE407B">
      <w:r>
        <w:t>While the funding of the program</w:t>
      </w:r>
      <w:r w:rsidR="00F903E0">
        <w:t xml:space="preserve"> was not in scope for this review, </w:t>
      </w:r>
      <w:r w:rsidR="00B037BC" w:rsidRPr="005F7DAB">
        <w:t xml:space="preserve">a further opportunity would be to more clearly ‘braid’ </w:t>
      </w:r>
      <w:r w:rsidR="0002031F" w:rsidRPr="005F7DAB">
        <w:t xml:space="preserve">Department </w:t>
      </w:r>
      <w:r w:rsidR="00B037BC" w:rsidRPr="005F7DAB">
        <w:t>fund</w:t>
      </w:r>
      <w:r w:rsidR="0035155F" w:rsidRPr="005F7DAB">
        <w:t xml:space="preserve">ed activities </w:t>
      </w:r>
      <w:r w:rsidR="00E318E3" w:rsidRPr="005F7DAB">
        <w:t>with a clear</w:t>
      </w:r>
      <w:r w:rsidR="00514F6F" w:rsidRPr="005F7DAB">
        <w:t xml:space="preserve"> </w:t>
      </w:r>
      <w:r w:rsidR="00F75E4D" w:rsidRPr="005F7DAB">
        <w:t xml:space="preserve">contribution </w:t>
      </w:r>
      <w:r w:rsidR="00B7774D" w:rsidRPr="005F7DAB">
        <w:t>to the</w:t>
      </w:r>
      <w:r w:rsidR="00F75E4D" w:rsidRPr="005F7DAB">
        <w:t xml:space="preserve"> program</w:t>
      </w:r>
      <w:r w:rsidR="00F75E4D">
        <w:t xml:space="preserve"> </w:t>
      </w:r>
      <w:r w:rsidR="000A6990">
        <w:t>(e</w:t>
      </w:r>
      <w:r w:rsidR="0035155F">
        <w:t>.</w:t>
      </w:r>
      <w:r w:rsidR="000A6990">
        <w:t>g</w:t>
      </w:r>
      <w:r w:rsidR="0035155F">
        <w:t>. ADCET</w:t>
      </w:r>
      <w:r w:rsidR="002932B7">
        <w:t xml:space="preserve"> role in developing and communicating resources</w:t>
      </w:r>
      <w:r w:rsidR="0035155F">
        <w:t>, research commissioning</w:t>
      </w:r>
      <w:r w:rsidR="000A6990">
        <w:t>)</w:t>
      </w:r>
      <w:r w:rsidR="0035155F">
        <w:t xml:space="preserve">. </w:t>
      </w:r>
      <w:r w:rsidR="008450DE">
        <w:t xml:space="preserve"> </w:t>
      </w:r>
    </w:p>
    <w:p w14:paraId="241043D2" w14:textId="7FAF4642" w:rsidR="00FC24FE" w:rsidRDefault="00FC24FE" w:rsidP="00FC24FE">
      <w:pPr>
        <w:pStyle w:val="Heading5"/>
      </w:pPr>
      <w:r w:rsidRPr="00CB7FE2">
        <w:t>Local opportunities</w:t>
      </w:r>
      <w:r w:rsidR="00595965" w:rsidRPr="00CB7FE2">
        <w:t xml:space="preserve"> (geographic)</w:t>
      </w:r>
    </w:p>
    <w:p w14:paraId="366649D1" w14:textId="35FA05AB" w:rsidR="00F56558" w:rsidRDefault="00595965" w:rsidP="00595965">
      <w:r>
        <w:t xml:space="preserve">Given the variation in federal and </w:t>
      </w:r>
      <w:r w:rsidR="000A6990">
        <w:t>S</w:t>
      </w:r>
      <w:r>
        <w:t>tate</w:t>
      </w:r>
      <w:r w:rsidR="000A6990">
        <w:t>/Territory</w:t>
      </w:r>
      <w:r>
        <w:t xml:space="preserve"> </w:t>
      </w:r>
      <w:r w:rsidR="00ED389D">
        <w:t>legislation</w:t>
      </w:r>
      <w:r w:rsidR="00E13210">
        <w:t xml:space="preserve"> </w:t>
      </w:r>
      <w:r w:rsidR="00C46659">
        <w:t>and/or</w:t>
      </w:r>
      <w:r w:rsidR="00E13210">
        <w:t xml:space="preserve"> </w:t>
      </w:r>
      <w:r w:rsidR="00C125D4">
        <w:t>policy</w:t>
      </w:r>
      <w:r w:rsidR="00ED389D">
        <w:t xml:space="preserve">, </w:t>
      </w:r>
      <w:r>
        <w:t>accountabilities for implementation</w:t>
      </w:r>
      <w:r w:rsidR="00ED389D">
        <w:t xml:space="preserve"> of the Standards, and </w:t>
      </w:r>
      <w:r w:rsidR="00CB7FE2">
        <w:t>local initiatives that have or are likely to arise as part of these accountabilities</w:t>
      </w:r>
      <w:r w:rsidR="00FD29FE">
        <w:t>,</w:t>
      </w:r>
      <w:r w:rsidR="00C125D4">
        <w:t xml:space="preserve"> there remains an </w:t>
      </w:r>
      <w:r w:rsidR="00E23016">
        <w:t>argument</w:t>
      </w:r>
      <w:r w:rsidR="00C125D4">
        <w:t xml:space="preserve"> to maintain </w:t>
      </w:r>
      <w:r w:rsidR="00E23016">
        <w:t xml:space="preserve">a local </w:t>
      </w:r>
      <w:r w:rsidR="002111B1">
        <w:t>presence</w:t>
      </w:r>
      <w:r w:rsidR="00E23016">
        <w:t xml:space="preserve">. This would also retain the </w:t>
      </w:r>
      <w:r w:rsidR="00924064">
        <w:t xml:space="preserve">information and </w:t>
      </w:r>
      <w:r w:rsidR="00E23016">
        <w:t>knowledge base built up by the program over time.</w:t>
      </w:r>
    </w:p>
    <w:p w14:paraId="2D0ADC45" w14:textId="63E3CEF2" w:rsidR="009E3375" w:rsidRDefault="00A45225" w:rsidP="009E3375">
      <w:r w:rsidRPr="005F7DAB">
        <w:t>The p</w:t>
      </w:r>
      <w:r w:rsidR="00561999" w:rsidRPr="005F7DAB">
        <w:t>ursuit of strategic objectives does not negate the role or need for local engagement</w:t>
      </w:r>
      <w:r w:rsidR="00DD1488">
        <w:t xml:space="preserve"> for example directly with providers</w:t>
      </w:r>
      <w:r w:rsidR="00561999" w:rsidRPr="005F7DAB">
        <w:t xml:space="preserve">; </w:t>
      </w:r>
      <w:r w:rsidR="007120B0" w:rsidRPr="005F7DAB">
        <w:t>however,</w:t>
      </w:r>
      <w:r w:rsidR="00561999" w:rsidRPr="005F7DAB">
        <w:t xml:space="preserve"> the purpose, nature and outcome of the engagement should be clear</w:t>
      </w:r>
      <w:r w:rsidR="000D256E" w:rsidRPr="005F7DAB">
        <w:t>ly</w:t>
      </w:r>
      <w:r w:rsidR="00561999" w:rsidRPr="005F7DAB">
        <w:t xml:space="preserve"> targeted</w:t>
      </w:r>
      <w:r w:rsidR="000D256E" w:rsidRPr="005F7DAB">
        <w:t xml:space="preserve"> on priorities</w:t>
      </w:r>
      <w:r w:rsidR="00561999" w:rsidRPr="005F7DAB">
        <w:t>.</w:t>
      </w:r>
      <w:r w:rsidR="00561999">
        <w:t xml:space="preserve"> </w:t>
      </w:r>
      <w:r w:rsidR="00DF6C13">
        <w:t>While h</w:t>
      </w:r>
      <w:r w:rsidR="00A248BB">
        <w:t xml:space="preserve">aving a local presence </w:t>
      </w:r>
      <w:r w:rsidR="001E6731">
        <w:t>would</w:t>
      </w:r>
      <w:r w:rsidR="00A248BB">
        <w:t xml:space="preserve"> also facilitate engagement with </w:t>
      </w:r>
      <w:r w:rsidR="002D1160">
        <w:t xml:space="preserve">harder to reach </w:t>
      </w:r>
      <w:r w:rsidR="00C91278">
        <w:t>or intersectional</w:t>
      </w:r>
      <w:r w:rsidR="007C5F96">
        <w:rPr>
          <w:rStyle w:val="FootnoteReference"/>
        </w:rPr>
        <w:footnoteReference w:id="5"/>
      </w:r>
      <w:r w:rsidR="00C91278">
        <w:t xml:space="preserve"> </w:t>
      </w:r>
      <w:r w:rsidR="002D1160">
        <w:t>community groups</w:t>
      </w:r>
      <w:r w:rsidR="00680987">
        <w:t xml:space="preserve">, </w:t>
      </w:r>
      <w:r w:rsidR="00A248BB">
        <w:t xml:space="preserve">and connection with interfacing programs of government such as </w:t>
      </w:r>
      <w:r w:rsidR="00C91278">
        <w:t>regional university</w:t>
      </w:r>
      <w:r w:rsidR="00561999">
        <w:t xml:space="preserve">, </w:t>
      </w:r>
      <w:r w:rsidR="009E3375">
        <w:t>local programs</w:t>
      </w:r>
      <w:r>
        <w:t xml:space="preserve"> </w:t>
      </w:r>
      <w:r w:rsidR="009E3375">
        <w:t>/</w:t>
      </w:r>
      <w:r>
        <w:t xml:space="preserve"> </w:t>
      </w:r>
      <w:r w:rsidR="009E3375">
        <w:t>initiatives</w:t>
      </w:r>
      <w:r w:rsidR="00254A92">
        <w:t xml:space="preserve">, </w:t>
      </w:r>
      <w:r w:rsidR="000526A4">
        <w:t>this</w:t>
      </w:r>
      <w:r w:rsidR="00B82205">
        <w:t xml:space="preserve"> effort needs to be focused</w:t>
      </w:r>
      <w:r w:rsidR="000A6990">
        <w:t xml:space="preserve"> on program priorities.</w:t>
      </w:r>
      <w:r w:rsidR="00254A92">
        <w:t xml:space="preserve"> </w:t>
      </w:r>
    </w:p>
    <w:p w14:paraId="4793715A" w14:textId="76CE16B9" w:rsidR="00B44A17" w:rsidRPr="00B44A17" w:rsidRDefault="00A51224" w:rsidP="00BE407B">
      <w:pPr>
        <w:pStyle w:val="Heading2"/>
      </w:pPr>
      <w:bookmarkStart w:id="20" w:name="_Toc95836735"/>
      <w:r>
        <w:t>S</w:t>
      </w:r>
      <w:r w:rsidR="00B44A17">
        <w:t xml:space="preserve">takeholder perceptions of the </w:t>
      </w:r>
      <w:r w:rsidR="00BE407B">
        <w:t>program</w:t>
      </w:r>
      <w:bookmarkEnd w:id="20"/>
    </w:p>
    <w:p w14:paraId="06205A10" w14:textId="553CE47F" w:rsidR="00E5462D" w:rsidRDefault="001A009C" w:rsidP="00EA037D">
      <w:pPr>
        <w:pStyle w:val="Heading3"/>
      </w:pPr>
      <w:bookmarkStart w:id="21" w:name="_Toc95836736"/>
      <w:r>
        <w:t>The effectiveness of</w:t>
      </w:r>
      <w:r w:rsidR="00E5462D">
        <w:t xml:space="preserve"> the broader </w:t>
      </w:r>
      <w:r w:rsidR="00EA037D">
        <w:t>equity ecosystem</w:t>
      </w:r>
      <w:bookmarkEnd w:id="21"/>
    </w:p>
    <w:p w14:paraId="7A56DDFD" w14:textId="3AD196F1" w:rsidR="003B10BA" w:rsidRPr="005F7DAB" w:rsidRDefault="003E3E8C" w:rsidP="00C201A0">
      <w:r>
        <w:t xml:space="preserve">When considering </w:t>
      </w:r>
      <w:r w:rsidR="009B1274">
        <w:t xml:space="preserve">perceptions of the program, we also </w:t>
      </w:r>
      <w:r w:rsidR="00CE4F34">
        <w:t>considered</w:t>
      </w:r>
      <w:r w:rsidR="009B1274">
        <w:t xml:space="preserve"> the </w:t>
      </w:r>
      <w:r w:rsidR="00510CCD">
        <w:t>NDCO</w:t>
      </w:r>
      <w:r w:rsidR="00430EAC">
        <w:t>s’</w:t>
      </w:r>
      <w:r w:rsidR="009B1274">
        <w:t xml:space="preserve"> perspectives on the broader </w:t>
      </w:r>
      <w:r w:rsidR="009B1274" w:rsidRPr="00070467">
        <w:t>system that supports equitable ter</w:t>
      </w:r>
      <w:r w:rsidR="00714248" w:rsidRPr="00070467">
        <w:t xml:space="preserve">tiary </w:t>
      </w:r>
      <w:r w:rsidR="009B1274" w:rsidRPr="00070467">
        <w:t xml:space="preserve">access, participation and </w:t>
      </w:r>
      <w:r w:rsidR="00714248" w:rsidRPr="00070467">
        <w:t xml:space="preserve">graduate </w:t>
      </w:r>
      <w:r w:rsidR="009B1274" w:rsidRPr="00070467">
        <w:t xml:space="preserve">employment </w:t>
      </w:r>
      <w:r w:rsidR="00714248" w:rsidRPr="00070467">
        <w:t xml:space="preserve">opportunities. </w:t>
      </w:r>
      <w:r w:rsidR="000E07A0" w:rsidRPr="00070467">
        <w:t xml:space="preserve">While </w:t>
      </w:r>
      <w:r w:rsidR="00467104" w:rsidRPr="00070467">
        <w:t>NDCOs</w:t>
      </w:r>
      <w:r w:rsidR="000E07A0" w:rsidRPr="00070467">
        <w:t xml:space="preserve"> </w:t>
      </w:r>
      <w:r w:rsidR="00E83608" w:rsidRPr="00070467">
        <w:t>were</w:t>
      </w:r>
      <w:r w:rsidR="000E07A0" w:rsidRPr="00070467">
        <w:t xml:space="preserve"> </w:t>
      </w:r>
      <w:r w:rsidR="0012689B">
        <w:t xml:space="preserve">generally </w:t>
      </w:r>
      <w:r w:rsidR="00DC7B4F" w:rsidRPr="00070467">
        <w:t>positiv</w:t>
      </w:r>
      <w:r w:rsidR="00E83608" w:rsidRPr="00070467">
        <w:t>e</w:t>
      </w:r>
      <w:r w:rsidR="00DC7B4F" w:rsidRPr="00070467">
        <w:t xml:space="preserve"> around the </w:t>
      </w:r>
      <w:r w:rsidR="00E83608" w:rsidRPr="00070467">
        <w:t xml:space="preserve">broader </w:t>
      </w:r>
      <w:r w:rsidR="006C32D3" w:rsidRPr="00070467">
        <w:t xml:space="preserve">system having </w:t>
      </w:r>
      <w:r w:rsidR="00122B2D" w:rsidRPr="00070467">
        <w:t>clarity in roles</w:t>
      </w:r>
      <w:r w:rsidR="00594E33">
        <w:t xml:space="preserve"> (68%</w:t>
      </w:r>
      <w:r w:rsidR="00F94745">
        <w:t>)</w:t>
      </w:r>
      <w:r w:rsidR="00637696">
        <w:t>,</w:t>
      </w:r>
      <w:r w:rsidR="00F94745">
        <w:t xml:space="preserve"> </w:t>
      </w:r>
      <w:r w:rsidR="00F94745" w:rsidRPr="005F7DAB">
        <w:t xml:space="preserve">the areas they rated with lowest </w:t>
      </w:r>
      <w:r w:rsidR="00014B11" w:rsidRPr="005F7DAB">
        <w:t xml:space="preserve">system </w:t>
      </w:r>
      <w:r w:rsidR="00F94745" w:rsidRPr="005F7DAB">
        <w:t xml:space="preserve">effectiveness were: </w:t>
      </w:r>
    </w:p>
    <w:p w14:paraId="65E9889E" w14:textId="232BB902" w:rsidR="00C201A0" w:rsidRPr="005F7DAB" w:rsidRDefault="00C44F9B" w:rsidP="00E14791">
      <w:pPr>
        <w:pStyle w:val="ListBullet"/>
      </w:pPr>
      <w:r w:rsidRPr="005F7DAB">
        <w:t>duplication and coordination</w:t>
      </w:r>
      <w:r w:rsidR="00247A3F" w:rsidRPr="005F7DAB">
        <w:t xml:space="preserve"> </w:t>
      </w:r>
      <w:r w:rsidR="00657BA1" w:rsidRPr="005F7DAB">
        <w:t xml:space="preserve">of the broader support network </w:t>
      </w:r>
      <w:r w:rsidR="00247A3F" w:rsidRPr="005F7DAB">
        <w:t>(</w:t>
      </w:r>
      <w:r w:rsidR="009D7C72" w:rsidRPr="005F7DAB">
        <w:t>26</w:t>
      </w:r>
      <w:r w:rsidR="00454D7F" w:rsidRPr="005F7DAB">
        <w:t xml:space="preserve"> per cent</w:t>
      </w:r>
      <w:r w:rsidR="009E50D1" w:rsidRPr="005F7DAB">
        <w:t xml:space="preserve"> effective</w:t>
      </w:r>
      <w:r w:rsidR="009D7C72" w:rsidRPr="005F7DAB">
        <w:t>)</w:t>
      </w:r>
      <w:r w:rsidR="00364B9B" w:rsidRPr="005F7DAB">
        <w:t xml:space="preserve">; </w:t>
      </w:r>
    </w:p>
    <w:p w14:paraId="2475BF15" w14:textId="5F654CE1" w:rsidR="00C201A0" w:rsidRPr="005F7DAB" w:rsidRDefault="00C43190" w:rsidP="00E14791">
      <w:pPr>
        <w:pStyle w:val="ListBullet"/>
      </w:pPr>
      <w:r w:rsidRPr="005F7DAB">
        <w:t xml:space="preserve">communication between stakeholders </w:t>
      </w:r>
      <w:r w:rsidR="00E53CA3" w:rsidRPr="005F7DAB">
        <w:t>(</w:t>
      </w:r>
      <w:r w:rsidRPr="005F7DAB">
        <w:t>i.e. education, employment, health and disability</w:t>
      </w:r>
      <w:r w:rsidR="00E53CA3" w:rsidRPr="005F7DAB">
        <w:t>)</w:t>
      </w:r>
      <w:r w:rsidR="00DE46A6" w:rsidRPr="005F7DAB">
        <w:t xml:space="preserve"> (33</w:t>
      </w:r>
      <w:r w:rsidR="00454D7F" w:rsidRPr="005F7DAB">
        <w:t xml:space="preserve"> per cent</w:t>
      </w:r>
      <w:r w:rsidR="009E50D1" w:rsidRPr="005F7DAB">
        <w:t xml:space="preserve"> effective</w:t>
      </w:r>
      <w:r w:rsidRPr="005F7DAB">
        <w:t>)</w:t>
      </w:r>
      <w:r w:rsidR="00C201A0" w:rsidRPr="005F7DAB">
        <w:t>; and</w:t>
      </w:r>
    </w:p>
    <w:p w14:paraId="0084FEDC" w14:textId="4C4334B2" w:rsidR="00010233" w:rsidRPr="005F7DAB" w:rsidRDefault="00F008DE" w:rsidP="00E14791">
      <w:pPr>
        <w:pStyle w:val="ListBullet"/>
      </w:pPr>
      <w:r w:rsidRPr="005F7DAB">
        <w:t>knowledge</w:t>
      </w:r>
      <w:r w:rsidR="00C523AA" w:rsidRPr="005F7DAB">
        <w:t xml:space="preserve"> about the range of supports and services that exist (</w:t>
      </w:r>
      <w:r w:rsidR="005D207E" w:rsidRPr="005F7DAB">
        <w:t>40</w:t>
      </w:r>
      <w:r w:rsidR="00454D7F" w:rsidRPr="005F7DAB">
        <w:t xml:space="preserve"> per cent</w:t>
      </w:r>
      <w:r w:rsidR="00070467" w:rsidRPr="005F7DAB">
        <w:t xml:space="preserve"> effective</w:t>
      </w:r>
      <w:r w:rsidR="005D207E" w:rsidRPr="005F7DAB">
        <w:t>)</w:t>
      </w:r>
      <w:r w:rsidR="006E0F83" w:rsidRPr="005F7DAB">
        <w:t>.</w:t>
      </w:r>
      <w:r w:rsidR="004459E5" w:rsidRPr="005F7DAB">
        <w:t xml:space="preserve"> </w:t>
      </w:r>
    </w:p>
    <w:p w14:paraId="362ECC7D" w14:textId="096682C2" w:rsidR="00EA037D" w:rsidRPr="005F7DAB" w:rsidRDefault="00E95D42" w:rsidP="00294BF6">
      <w:pPr>
        <w:rPr>
          <w:color w:val="FF0000"/>
        </w:rPr>
      </w:pPr>
      <w:r w:rsidRPr="005F7DAB">
        <w:t>Most other a</w:t>
      </w:r>
      <w:r w:rsidR="00014B11" w:rsidRPr="005F7DAB">
        <w:t>reas</w:t>
      </w:r>
      <w:r w:rsidR="004459E5" w:rsidRPr="005F7DAB">
        <w:t xml:space="preserve"> that covered</w:t>
      </w:r>
      <w:r w:rsidR="00E76F45" w:rsidRPr="005F7DAB">
        <w:t xml:space="preserve"> more practical</w:t>
      </w:r>
      <w:r w:rsidR="008B5226" w:rsidRPr="005F7DAB">
        <w:t xml:space="preserve"> identification and </w:t>
      </w:r>
      <w:r w:rsidR="004459E5" w:rsidRPr="005F7DAB">
        <w:t xml:space="preserve">implementation of </w:t>
      </w:r>
      <w:r w:rsidR="00A45225" w:rsidRPr="005F7DAB">
        <w:t>supports or</w:t>
      </w:r>
      <w:r w:rsidR="00E76F45" w:rsidRPr="005F7DAB">
        <w:t xml:space="preserve"> achieving education </w:t>
      </w:r>
      <w:r w:rsidR="00294BF6" w:rsidRPr="005F7DAB">
        <w:t>or</w:t>
      </w:r>
      <w:r w:rsidR="00E76F45" w:rsidRPr="005F7DAB">
        <w:t xml:space="preserve"> employment outcomes were</w:t>
      </w:r>
      <w:r w:rsidR="00221266" w:rsidRPr="005F7DAB">
        <w:t xml:space="preserve"> commonly</w:t>
      </w:r>
      <w:r w:rsidR="00E76F45" w:rsidRPr="005F7DAB">
        <w:t xml:space="preserve"> rated around 50</w:t>
      </w:r>
      <w:r w:rsidR="00454D7F" w:rsidRPr="005F7DAB">
        <w:t xml:space="preserve"> per cent</w:t>
      </w:r>
      <w:r w:rsidR="00F53827" w:rsidRPr="005F7DAB">
        <w:t xml:space="preserve"> in terms of the broader network being effective.</w:t>
      </w:r>
      <w:r w:rsidR="00330D43" w:rsidRPr="005F7DAB">
        <w:t xml:space="preserve"> While this is based on a small sample size, it is consistent with what we heard as challenges of the broader system working together and </w:t>
      </w:r>
      <w:r w:rsidR="00787ABA" w:rsidRPr="005F7DAB">
        <w:t xml:space="preserve">the </w:t>
      </w:r>
      <w:r w:rsidR="00330D43" w:rsidRPr="005F7DAB">
        <w:t xml:space="preserve">practical application of support. </w:t>
      </w:r>
    </w:p>
    <w:p w14:paraId="448343DC" w14:textId="3C158C27" w:rsidR="00E5462D" w:rsidRDefault="0043681D" w:rsidP="00E5462D">
      <w:pPr>
        <w:pStyle w:val="Heading3"/>
      </w:pPr>
      <w:bookmarkStart w:id="22" w:name="_Toc95836737"/>
      <w:r>
        <w:t>Perspectives on the program</w:t>
      </w:r>
      <w:r w:rsidR="0042193D">
        <w:t>’s</w:t>
      </w:r>
      <w:r>
        <w:t xml:space="preserve"> impact and barriers to </w:t>
      </w:r>
      <w:r w:rsidR="0042193D">
        <w:t xml:space="preserve">achieving </w:t>
      </w:r>
      <w:r w:rsidR="00EF0648">
        <w:t>outcomes</w:t>
      </w:r>
      <w:bookmarkEnd w:id="22"/>
    </w:p>
    <w:p w14:paraId="3982BECA" w14:textId="637A541E" w:rsidR="00EF0648" w:rsidRPr="005F7DAB" w:rsidRDefault="00127C6F" w:rsidP="00EF0648">
      <w:r w:rsidRPr="005F7DAB">
        <w:t>M</w:t>
      </w:r>
      <w:r w:rsidR="00407535" w:rsidRPr="005F7DAB">
        <w:t xml:space="preserve">any stakeholders engaged in </w:t>
      </w:r>
      <w:r w:rsidR="00E53CA3" w:rsidRPr="005F7DAB">
        <w:t xml:space="preserve">our </w:t>
      </w:r>
      <w:r w:rsidR="00407535" w:rsidRPr="005F7DAB">
        <w:t xml:space="preserve">research provided </w:t>
      </w:r>
      <w:r w:rsidR="002D37B6" w:rsidRPr="005F7DAB">
        <w:t>positive feedback on the usefulness of the program</w:t>
      </w:r>
      <w:r w:rsidR="001303C8" w:rsidRPr="005F7DAB">
        <w:t>,</w:t>
      </w:r>
      <w:r w:rsidR="002D37B6" w:rsidRPr="005F7DAB">
        <w:t xml:space="preserve"> particularly </w:t>
      </w:r>
      <w:r w:rsidR="009E53DD" w:rsidRPr="005F7DAB">
        <w:t xml:space="preserve">practitioners in </w:t>
      </w:r>
      <w:r w:rsidR="002D37B6" w:rsidRPr="005F7DAB">
        <w:t xml:space="preserve">accessing </w:t>
      </w:r>
      <w:r w:rsidR="00A70211" w:rsidRPr="005F7DAB">
        <w:t xml:space="preserve">information </w:t>
      </w:r>
      <w:r w:rsidR="009E53DD" w:rsidRPr="005F7DAB">
        <w:t xml:space="preserve">and </w:t>
      </w:r>
      <w:r w:rsidR="00A70211" w:rsidRPr="005F7DAB">
        <w:t>resources</w:t>
      </w:r>
      <w:r w:rsidR="00371451" w:rsidRPr="005F7DAB">
        <w:t xml:space="preserve"> which</w:t>
      </w:r>
      <w:r w:rsidR="006E12E5" w:rsidRPr="005F7DAB">
        <w:t xml:space="preserve"> </w:t>
      </w:r>
      <w:r w:rsidR="009E53DD" w:rsidRPr="005F7DAB">
        <w:t xml:space="preserve">translates research into </w:t>
      </w:r>
      <w:r w:rsidR="006511BC" w:rsidRPr="005F7DAB">
        <w:t xml:space="preserve">practical </w:t>
      </w:r>
      <w:r w:rsidR="009E53DD" w:rsidRPr="005F7DAB">
        <w:t xml:space="preserve">advice and </w:t>
      </w:r>
      <w:r w:rsidR="006E12E5" w:rsidRPr="005F7DAB">
        <w:t xml:space="preserve">support </w:t>
      </w:r>
      <w:r w:rsidR="006511BC" w:rsidRPr="005F7DAB">
        <w:t xml:space="preserve">for </w:t>
      </w:r>
      <w:r w:rsidR="006E12E5" w:rsidRPr="005F7DAB">
        <w:t>practitioners</w:t>
      </w:r>
      <w:r w:rsidRPr="005F7DAB">
        <w:t xml:space="preserve">. </w:t>
      </w:r>
    </w:p>
    <w:p w14:paraId="0E2F1572" w14:textId="201580D9" w:rsidR="00A45225" w:rsidRDefault="00454D7F" w:rsidP="00BA1E44">
      <w:r>
        <w:t>P</w:t>
      </w:r>
      <w:r w:rsidR="00383DAE">
        <w:t xml:space="preserve">ractitioners reported </w:t>
      </w:r>
      <w:r w:rsidR="00383DAE" w:rsidRPr="00085A43">
        <w:t>that the NDCO program had impacted student participation in tertiary education decision making, access, and participation (79</w:t>
      </w:r>
      <w:r>
        <w:t xml:space="preserve"> per cent</w:t>
      </w:r>
      <w:r w:rsidR="00383DAE" w:rsidRPr="00085A43">
        <w:t>/83</w:t>
      </w:r>
      <w:r>
        <w:t xml:space="preserve"> per cent</w:t>
      </w:r>
      <w:r w:rsidR="00383DAE" w:rsidRPr="00085A43">
        <w:t>/77</w:t>
      </w:r>
      <w:r>
        <w:t xml:space="preserve"> per cent</w:t>
      </w:r>
      <w:r w:rsidR="00383DAE" w:rsidRPr="00085A43">
        <w:t xml:space="preserve"> report</w:t>
      </w:r>
      <w:r w:rsidR="001303C8">
        <w:t>ed</w:t>
      </w:r>
      <w:r w:rsidR="00383DAE" w:rsidRPr="00085A43">
        <w:t xml:space="preserve"> large or moderate impacts on each of these respectively). Slightly lower levels of impact </w:t>
      </w:r>
      <w:r w:rsidR="001303C8">
        <w:t>we</w:t>
      </w:r>
      <w:r w:rsidR="001303C8" w:rsidRPr="00085A43">
        <w:t xml:space="preserve">re </w:t>
      </w:r>
      <w:r w:rsidR="00383DAE" w:rsidRPr="00085A43">
        <w:t xml:space="preserve">reported in </w:t>
      </w:r>
      <w:r w:rsidR="001303C8">
        <w:t xml:space="preserve">relation to </w:t>
      </w:r>
      <w:r w:rsidR="00383DAE" w:rsidRPr="00085A43">
        <w:t>the program helping to find suitable employment (72</w:t>
      </w:r>
      <w:r>
        <w:t xml:space="preserve"> per cent</w:t>
      </w:r>
      <w:r w:rsidR="00383DAE" w:rsidRPr="00085A43">
        <w:t>)</w:t>
      </w:r>
      <w:r w:rsidR="00E834D2">
        <w:t>,</w:t>
      </w:r>
      <w:r w:rsidR="00383DAE" w:rsidRPr="00085A43">
        <w:t xml:space="preserve"> which also had the highest level of reports of no impact (15</w:t>
      </w:r>
      <w:r>
        <w:t xml:space="preserve"> per cent</w:t>
      </w:r>
      <w:r w:rsidR="00383DAE" w:rsidRPr="00085A43">
        <w:t>).</w:t>
      </w:r>
      <w:r w:rsidR="00824FA7">
        <w:t xml:space="preserve"> </w:t>
      </w:r>
    </w:p>
    <w:p w14:paraId="5DA63DBE" w14:textId="45B364CE" w:rsidR="00824FA7" w:rsidRPr="003741FF" w:rsidRDefault="00BE2AC4" w:rsidP="00BA1E44">
      <w:r w:rsidRPr="003741FF">
        <w:t>Overall,</w:t>
      </w:r>
      <w:r w:rsidR="00E95B9B" w:rsidRPr="003741FF">
        <w:t xml:space="preserve"> there was a sense of success, </w:t>
      </w:r>
      <w:r w:rsidR="001303C8" w:rsidRPr="003741FF">
        <w:t>but</w:t>
      </w:r>
      <w:r w:rsidR="00824FA7" w:rsidRPr="003741FF">
        <w:t xml:space="preserve"> a limited understanding of the strategic objectives of the program.</w:t>
      </w:r>
    </w:p>
    <w:p w14:paraId="5D94B2EE" w14:textId="497E6863" w:rsidR="005C1B20" w:rsidRPr="00CF6FA1" w:rsidRDefault="005C1B20" w:rsidP="005C1B20">
      <w:pPr>
        <w:pStyle w:val="LabelCentre"/>
      </w:pPr>
      <w:r w:rsidRPr="00CF6FA1">
        <w:t xml:space="preserve">Table </w:t>
      </w:r>
      <w:r w:rsidR="00CF6FA1" w:rsidRPr="00CF6FA1">
        <w:t>3:</w:t>
      </w:r>
      <w:r w:rsidRPr="00CF6FA1">
        <w:t xml:space="preserve"> </w:t>
      </w:r>
      <w:r w:rsidR="00CF6FA1">
        <w:t>P</w:t>
      </w:r>
      <w:r w:rsidRPr="00CF6FA1">
        <w:t>ractitioner comments on the success of the NDCO program</w:t>
      </w:r>
    </w:p>
    <w:tbl>
      <w:tblPr>
        <w:tblStyle w:val="TableGrid"/>
        <w:tblW w:w="0" w:type="auto"/>
        <w:tblLook w:val="04A0" w:firstRow="1" w:lastRow="0" w:firstColumn="1" w:lastColumn="0" w:noHBand="0" w:noVBand="1"/>
      </w:tblPr>
      <w:tblGrid>
        <w:gridCol w:w="3005"/>
        <w:gridCol w:w="3005"/>
        <w:gridCol w:w="3006"/>
      </w:tblGrid>
      <w:tr w:rsidR="00BA494C" w14:paraId="57C548CE" w14:textId="77777777" w:rsidTr="005D162F">
        <w:tc>
          <w:tcPr>
            <w:tcW w:w="3005" w:type="dxa"/>
            <w:shd w:val="clear" w:color="auto" w:fill="1F497D" w:themeFill="text2"/>
          </w:tcPr>
          <w:p w14:paraId="142C84B8" w14:textId="77777777" w:rsidR="00BA494C" w:rsidRPr="005D162F" w:rsidRDefault="00BA494C" w:rsidP="00927907">
            <w:pPr>
              <w:jc w:val="center"/>
              <w:rPr>
                <w:color w:val="FFFFFF" w:themeColor="background1"/>
              </w:rPr>
            </w:pPr>
            <w:r w:rsidRPr="005D162F">
              <w:rPr>
                <w:color w:val="FFFFFF" w:themeColor="background1"/>
              </w:rPr>
              <w:t>Positive (58%)</w:t>
            </w:r>
          </w:p>
        </w:tc>
        <w:tc>
          <w:tcPr>
            <w:tcW w:w="3005" w:type="dxa"/>
            <w:shd w:val="clear" w:color="auto" w:fill="1F497D" w:themeFill="text2"/>
          </w:tcPr>
          <w:p w14:paraId="0AEC3EBE" w14:textId="77777777" w:rsidR="00BA494C" w:rsidRPr="005D162F" w:rsidRDefault="00BA494C" w:rsidP="00927907">
            <w:pPr>
              <w:jc w:val="center"/>
              <w:rPr>
                <w:color w:val="FFFFFF" w:themeColor="background1"/>
              </w:rPr>
            </w:pPr>
            <w:r w:rsidRPr="005D162F">
              <w:rPr>
                <w:color w:val="FFFFFF" w:themeColor="background1"/>
              </w:rPr>
              <w:t>Neutral (19%)</w:t>
            </w:r>
          </w:p>
        </w:tc>
        <w:tc>
          <w:tcPr>
            <w:tcW w:w="3006" w:type="dxa"/>
            <w:shd w:val="clear" w:color="auto" w:fill="1F497D" w:themeFill="text2"/>
          </w:tcPr>
          <w:p w14:paraId="242FC5D5" w14:textId="77777777" w:rsidR="00BA494C" w:rsidRPr="005D162F" w:rsidRDefault="00BA494C" w:rsidP="00927907">
            <w:pPr>
              <w:jc w:val="center"/>
              <w:rPr>
                <w:color w:val="FFFFFF" w:themeColor="background1"/>
              </w:rPr>
            </w:pPr>
            <w:r w:rsidRPr="005D162F">
              <w:rPr>
                <w:color w:val="FFFFFF" w:themeColor="background1"/>
              </w:rPr>
              <w:t>Negative (23%)</w:t>
            </w:r>
          </w:p>
        </w:tc>
      </w:tr>
      <w:tr w:rsidR="00BA494C" w14:paraId="2EA9A35E" w14:textId="77777777" w:rsidTr="00920F6E">
        <w:tc>
          <w:tcPr>
            <w:tcW w:w="3005" w:type="dxa"/>
          </w:tcPr>
          <w:p w14:paraId="4686EB2A" w14:textId="77777777" w:rsidR="00BA494C" w:rsidRPr="00D3503D" w:rsidRDefault="00BA494C" w:rsidP="00920F6E">
            <w:pPr>
              <w:rPr>
                <w:sz w:val="18"/>
                <w:szCs w:val="18"/>
              </w:rPr>
            </w:pPr>
            <w:r w:rsidRPr="00D3503D">
              <w:rPr>
                <w:sz w:val="18"/>
                <w:szCs w:val="18"/>
              </w:rPr>
              <w:t>“The NDCO program is the most supportive and professional pool of people I have worked with - it is an outstanding program as it is.”</w:t>
            </w:r>
          </w:p>
        </w:tc>
        <w:tc>
          <w:tcPr>
            <w:tcW w:w="3005" w:type="dxa"/>
          </w:tcPr>
          <w:p w14:paraId="40F88C6A" w14:textId="6E08094A" w:rsidR="00BA494C" w:rsidRPr="00D3503D" w:rsidRDefault="00BA494C" w:rsidP="00920F6E">
            <w:pPr>
              <w:rPr>
                <w:sz w:val="18"/>
                <w:szCs w:val="18"/>
              </w:rPr>
            </w:pPr>
            <w:r w:rsidRPr="00D3503D">
              <w:rPr>
                <w:sz w:val="18"/>
                <w:szCs w:val="18"/>
              </w:rPr>
              <w:t>“There is a lot of variety in how NDCOs work and perhaps not enough consistency and transparency about how spend their time.”</w:t>
            </w:r>
          </w:p>
        </w:tc>
        <w:tc>
          <w:tcPr>
            <w:tcW w:w="3006" w:type="dxa"/>
          </w:tcPr>
          <w:p w14:paraId="1A2F9667" w14:textId="77777777" w:rsidR="00BA494C" w:rsidRPr="00630A84" w:rsidRDefault="00BA494C" w:rsidP="00920F6E">
            <w:pPr>
              <w:rPr>
                <w:sz w:val="18"/>
                <w:szCs w:val="18"/>
              </w:rPr>
            </w:pPr>
            <w:r w:rsidRPr="00630A84">
              <w:rPr>
                <w:sz w:val="18"/>
                <w:szCs w:val="18"/>
              </w:rPr>
              <w:t>“Somewhat inconsistent, driven by a few individuals with great effect and many others who remain isolated an invisible in their work”</w:t>
            </w:r>
          </w:p>
        </w:tc>
      </w:tr>
      <w:tr w:rsidR="00BA494C" w14:paraId="5A688FE8" w14:textId="77777777" w:rsidTr="00920F6E">
        <w:tc>
          <w:tcPr>
            <w:tcW w:w="3005" w:type="dxa"/>
          </w:tcPr>
          <w:p w14:paraId="3CED1E99" w14:textId="77777777" w:rsidR="00BA494C" w:rsidRPr="00D3503D" w:rsidRDefault="00BA494C" w:rsidP="00920F6E">
            <w:pPr>
              <w:rPr>
                <w:sz w:val="18"/>
                <w:szCs w:val="18"/>
              </w:rPr>
            </w:pPr>
            <w:r w:rsidRPr="00D3503D">
              <w:rPr>
                <w:sz w:val="18"/>
                <w:szCs w:val="18"/>
              </w:rPr>
              <w:t>“Highly successful and internationally renowned. It is important to understand that this is a best practice approach internationally and that within the constraints of the system Australia has greatly benefitted”</w:t>
            </w:r>
          </w:p>
        </w:tc>
        <w:tc>
          <w:tcPr>
            <w:tcW w:w="3005" w:type="dxa"/>
          </w:tcPr>
          <w:p w14:paraId="6FBB9810" w14:textId="77777777" w:rsidR="00BA494C" w:rsidRPr="00D3503D" w:rsidRDefault="00BA494C" w:rsidP="00920F6E">
            <w:pPr>
              <w:rPr>
                <w:sz w:val="18"/>
                <w:szCs w:val="18"/>
              </w:rPr>
            </w:pPr>
            <w:r w:rsidRPr="00D3503D">
              <w:rPr>
                <w:sz w:val="18"/>
                <w:szCs w:val="18"/>
              </w:rPr>
              <w:t>“Success is entirely dependent on the skill set of the incumbent NDCO - some are highly skilled and excellent strategists who know how to influence policy change whereas others are focussed on assisting individuals in their regions.”</w:t>
            </w:r>
          </w:p>
        </w:tc>
        <w:tc>
          <w:tcPr>
            <w:tcW w:w="3006" w:type="dxa"/>
          </w:tcPr>
          <w:p w14:paraId="0AC59EC5" w14:textId="77777777" w:rsidR="00BA494C" w:rsidRPr="00630A84" w:rsidRDefault="00BA494C" w:rsidP="00920F6E">
            <w:pPr>
              <w:rPr>
                <w:sz w:val="18"/>
                <w:szCs w:val="18"/>
              </w:rPr>
            </w:pPr>
            <w:r w:rsidRPr="00630A84">
              <w:rPr>
                <w:sz w:val="18"/>
                <w:szCs w:val="18"/>
              </w:rPr>
              <w:t xml:space="preserve">“Was better before </w:t>
            </w:r>
            <w:r>
              <w:rPr>
                <w:sz w:val="18"/>
                <w:szCs w:val="18"/>
              </w:rPr>
              <w:t>–</w:t>
            </w:r>
            <w:r w:rsidRPr="00630A84">
              <w:rPr>
                <w:sz w:val="18"/>
                <w:szCs w:val="18"/>
              </w:rPr>
              <w:t xml:space="preserve"> it</w:t>
            </w:r>
            <w:r>
              <w:rPr>
                <w:sz w:val="18"/>
                <w:szCs w:val="18"/>
              </w:rPr>
              <w:t>’</w:t>
            </w:r>
            <w:r w:rsidRPr="00630A84">
              <w:rPr>
                <w:sz w:val="18"/>
                <w:szCs w:val="18"/>
              </w:rPr>
              <w:t>s lost its way in policy and research now - maybe because staff employed are keen in these areas but not suit the role”</w:t>
            </w:r>
          </w:p>
        </w:tc>
      </w:tr>
      <w:tr w:rsidR="00BA494C" w14:paraId="3BB48316" w14:textId="77777777" w:rsidTr="00920F6E">
        <w:tc>
          <w:tcPr>
            <w:tcW w:w="3005" w:type="dxa"/>
          </w:tcPr>
          <w:p w14:paraId="786594CA" w14:textId="77777777" w:rsidR="00BA494C" w:rsidRPr="00D3503D" w:rsidRDefault="00BA494C" w:rsidP="00920F6E">
            <w:pPr>
              <w:rPr>
                <w:sz w:val="18"/>
                <w:szCs w:val="18"/>
              </w:rPr>
            </w:pPr>
            <w:r w:rsidRPr="00D3503D">
              <w:rPr>
                <w:sz w:val="18"/>
                <w:szCs w:val="18"/>
              </w:rPr>
              <w:t>“I appreciate the resources and information produced but don't know much about what else they offer”</w:t>
            </w:r>
          </w:p>
        </w:tc>
        <w:tc>
          <w:tcPr>
            <w:tcW w:w="3005" w:type="dxa"/>
          </w:tcPr>
          <w:p w14:paraId="6C09FD98" w14:textId="77777777" w:rsidR="00BA494C" w:rsidRPr="00D3503D" w:rsidRDefault="00BA494C" w:rsidP="00920F6E">
            <w:pPr>
              <w:rPr>
                <w:sz w:val="18"/>
                <w:szCs w:val="18"/>
              </w:rPr>
            </w:pPr>
            <w:r w:rsidRPr="00D3503D">
              <w:rPr>
                <w:sz w:val="18"/>
                <w:szCs w:val="18"/>
              </w:rPr>
              <w:t>“The programs and approach of each office appears scattered and focused on local engagement with community groups - there is a space for that, but to achieve societal changes, a more strategic focus is needed”</w:t>
            </w:r>
          </w:p>
        </w:tc>
        <w:tc>
          <w:tcPr>
            <w:tcW w:w="3006" w:type="dxa"/>
          </w:tcPr>
          <w:p w14:paraId="5652A5EE" w14:textId="77777777" w:rsidR="00BA494C" w:rsidRPr="00630A84" w:rsidRDefault="00BA494C" w:rsidP="00920F6E">
            <w:pPr>
              <w:rPr>
                <w:sz w:val="18"/>
                <w:szCs w:val="18"/>
              </w:rPr>
            </w:pPr>
            <w:r w:rsidRPr="00630A84">
              <w:rPr>
                <w:sz w:val="18"/>
                <w:szCs w:val="18"/>
              </w:rPr>
              <w:t>“Very good at writing papers based on little research”</w:t>
            </w:r>
          </w:p>
        </w:tc>
      </w:tr>
    </w:tbl>
    <w:p w14:paraId="24DB8C49" w14:textId="45594E86" w:rsidR="00B44A17" w:rsidRDefault="00933E9D" w:rsidP="00B44A17">
      <w:r w:rsidRPr="00CF0212">
        <w:t xml:space="preserve">There </w:t>
      </w:r>
      <w:r w:rsidR="001303C8" w:rsidRPr="00CF0212">
        <w:t xml:space="preserve">was </w:t>
      </w:r>
      <w:r w:rsidRPr="00CF0212">
        <w:t>some inconsistency in</w:t>
      </w:r>
      <w:r w:rsidR="00CD0B89" w:rsidRPr="00CF0212">
        <w:t xml:space="preserve"> how NDCOs, Hosts and equity practitioners perceive</w:t>
      </w:r>
      <w:r w:rsidR="001303C8" w:rsidRPr="00CF0212">
        <w:t>d</w:t>
      </w:r>
      <w:r w:rsidR="00CD0B89" w:rsidRPr="00CF0212">
        <w:t xml:space="preserve"> the</w:t>
      </w:r>
      <w:r w:rsidR="00453828" w:rsidRPr="00CF0212">
        <w:t xml:space="preserve"> program</w:t>
      </w:r>
      <w:r w:rsidR="00CD0B89" w:rsidRPr="00CF0212">
        <w:t xml:space="preserve"> strengths and barriers </w:t>
      </w:r>
      <w:r w:rsidR="00453828" w:rsidRPr="00CF0212">
        <w:t>to</w:t>
      </w:r>
      <w:r w:rsidR="00CD0B89" w:rsidRPr="00CF0212">
        <w:t xml:space="preserve"> achieving </w:t>
      </w:r>
      <w:r w:rsidR="00453828" w:rsidRPr="00CF0212">
        <w:t>its strategic</w:t>
      </w:r>
      <w:r w:rsidR="00CD0B89" w:rsidRPr="00CF0212">
        <w:t xml:space="preserve"> objectives. </w:t>
      </w:r>
      <w:r w:rsidR="004A50B5" w:rsidRPr="00CF0212">
        <w:t>T</w:t>
      </w:r>
      <w:r w:rsidR="001F7A68" w:rsidRPr="00CF0212">
        <w:t>he</w:t>
      </w:r>
      <w:r w:rsidR="00B841AC">
        <w:t xml:space="preserve"> themes are documented below. </w:t>
      </w:r>
      <w:r w:rsidR="001F7A68">
        <w:t xml:space="preserve"> </w:t>
      </w:r>
    </w:p>
    <w:p w14:paraId="3023ACBC" w14:textId="77777777" w:rsidR="008832AF" w:rsidRPr="00E46E07" w:rsidRDefault="00F95AF6" w:rsidP="00E14791">
      <w:pPr>
        <w:pStyle w:val="ListBullet"/>
        <w:numPr>
          <w:ilvl w:val="0"/>
          <w:numId w:val="0"/>
        </w:numPr>
        <w:rPr>
          <w:rStyle w:val="Strong"/>
        </w:rPr>
      </w:pPr>
      <w:r w:rsidRPr="00E46E07">
        <w:rPr>
          <w:rStyle w:val="Strong"/>
        </w:rPr>
        <w:t>NDCO program s</w:t>
      </w:r>
      <w:r w:rsidR="00D968AF" w:rsidRPr="00E46E07">
        <w:rPr>
          <w:rStyle w:val="Strong"/>
        </w:rPr>
        <w:t>trengths in:</w:t>
      </w:r>
    </w:p>
    <w:p w14:paraId="730E269B" w14:textId="2AE1EC8A" w:rsidR="00AF055A" w:rsidRDefault="002D761B" w:rsidP="00E14791">
      <w:pPr>
        <w:pStyle w:val="ListBullet"/>
      </w:pPr>
      <w:r>
        <w:t>u</w:t>
      </w:r>
      <w:r w:rsidR="005853A2">
        <w:t>nderstanding of local</w:t>
      </w:r>
      <w:r w:rsidR="0029200D">
        <w:t xml:space="preserve"> </w:t>
      </w:r>
      <w:r w:rsidR="005853A2">
        <w:t>/</w:t>
      </w:r>
      <w:r w:rsidR="0029200D">
        <w:t xml:space="preserve"> </w:t>
      </w:r>
      <w:r w:rsidR="005853A2">
        <w:t>regional issues to inform the program at the national</w:t>
      </w:r>
      <w:r w:rsidR="00AA0139">
        <w:t xml:space="preserve"> </w:t>
      </w:r>
      <w:r w:rsidR="005853A2">
        <w:t>/</w:t>
      </w:r>
      <w:r w:rsidR="00AA0139">
        <w:t xml:space="preserve"> </w:t>
      </w:r>
      <w:r w:rsidR="005853A2">
        <w:t>strategic leve</w:t>
      </w:r>
      <w:r w:rsidR="00AF055A">
        <w:t>l;</w:t>
      </w:r>
    </w:p>
    <w:p w14:paraId="5BC3FCC8" w14:textId="256EDB30" w:rsidR="006F5D94" w:rsidRDefault="006F5D94" w:rsidP="00E14791">
      <w:pPr>
        <w:pStyle w:val="ListBullet"/>
      </w:pPr>
      <w:r>
        <w:t>expertise on systemic issues and barriers;</w:t>
      </w:r>
      <w:r w:rsidR="00AA0139">
        <w:t xml:space="preserve"> and</w:t>
      </w:r>
    </w:p>
    <w:p w14:paraId="7DA47A3F" w14:textId="60E5E5C4" w:rsidR="00AF055A" w:rsidRDefault="002D761B" w:rsidP="00E14791">
      <w:pPr>
        <w:pStyle w:val="ListBullet"/>
      </w:pPr>
      <w:r>
        <w:t>creating and piloting scalable solutions</w:t>
      </w:r>
      <w:r w:rsidR="006F5D94">
        <w:t>.</w:t>
      </w:r>
    </w:p>
    <w:p w14:paraId="68F81712" w14:textId="5EBD3293" w:rsidR="005853A2" w:rsidRPr="00E46E07" w:rsidRDefault="005853A2" w:rsidP="00E14791">
      <w:pPr>
        <w:pStyle w:val="ListBullet"/>
        <w:numPr>
          <w:ilvl w:val="0"/>
          <w:numId w:val="0"/>
        </w:numPr>
        <w:rPr>
          <w:rStyle w:val="Strong"/>
        </w:rPr>
      </w:pPr>
      <w:r w:rsidRPr="00E46E07">
        <w:rPr>
          <w:rStyle w:val="Strong"/>
        </w:rPr>
        <w:t>NDCO program barriers</w:t>
      </w:r>
      <w:r w:rsidR="003871F3" w:rsidRPr="00E46E07">
        <w:rPr>
          <w:rStyle w:val="Strong"/>
        </w:rPr>
        <w:t xml:space="preserve"> to </w:t>
      </w:r>
      <w:r w:rsidR="00F32AF9" w:rsidRPr="00E46E07">
        <w:rPr>
          <w:rStyle w:val="Strong"/>
        </w:rPr>
        <w:t xml:space="preserve">making a bigger </w:t>
      </w:r>
      <w:r w:rsidR="003871F3" w:rsidRPr="00E46E07">
        <w:rPr>
          <w:rStyle w:val="Strong"/>
        </w:rPr>
        <w:t>impact</w:t>
      </w:r>
      <w:r w:rsidR="00B841AC" w:rsidRPr="00E46E07">
        <w:rPr>
          <w:rStyle w:val="Strong"/>
        </w:rPr>
        <w:t xml:space="preserve"> are:</w:t>
      </w:r>
    </w:p>
    <w:p w14:paraId="2306FAFE" w14:textId="04567C89" w:rsidR="00225248" w:rsidRDefault="00225248" w:rsidP="00E14791">
      <w:pPr>
        <w:pStyle w:val="ListBullet"/>
      </w:pPr>
      <w:r>
        <w:t>strategic engagement and influence at national government and policy level</w:t>
      </w:r>
      <w:r w:rsidR="00E01804">
        <w:t>; and</w:t>
      </w:r>
    </w:p>
    <w:p w14:paraId="284D57CC" w14:textId="0AAAAE94" w:rsidR="00AB44DA" w:rsidRDefault="00C56153" w:rsidP="00E14791">
      <w:pPr>
        <w:pStyle w:val="ListBullet"/>
      </w:pPr>
      <w:r>
        <w:t>oversight and coordination of activities</w:t>
      </w:r>
      <w:r w:rsidR="00E01804">
        <w:t>.</w:t>
      </w:r>
    </w:p>
    <w:p w14:paraId="620D8ECE" w14:textId="659CE573" w:rsidR="00AB44DA" w:rsidRPr="00E46E07" w:rsidRDefault="00AB44DA" w:rsidP="00E14791">
      <w:pPr>
        <w:pStyle w:val="ListBullet"/>
        <w:numPr>
          <w:ilvl w:val="0"/>
          <w:numId w:val="0"/>
        </w:numPr>
        <w:rPr>
          <w:rStyle w:val="Strong"/>
        </w:rPr>
      </w:pPr>
      <w:r w:rsidRPr="00E46E07">
        <w:rPr>
          <w:rStyle w:val="Strong"/>
        </w:rPr>
        <w:t xml:space="preserve">Areas of </w:t>
      </w:r>
      <w:r w:rsidR="00E61597" w:rsidRPr="00E46E07">
        <w:rPr>
          <w:rStyle w:val="Strong"/>
        </w:rPr>
        <w:t>dissonance</w:t>
      </w:r>
      <w:r w:rsidR="00B841AC" w:rsidRPr="00E46E07">
        <w:rPr>
          <w:rStyle w:val="Strong"/>
        </w:rPr>
        <w:t xml:space="preserve"> </w:t>
      </w:r>
      <w:r w:rsidR="00C602F3" w:rsidRPr="00E46E07">
        <w:rPr>
          <w:rStyle w:val="Strong"/>
        </w:rPr>
        <w:t>between stakeholder views include</w:t>
      </w:r>
      <w:r w:rsidR="001303C8">
        <w:rPr>
          <w:rStyle w:val="Strong"/>
        </w:rPr>
        <w:t>d</w:t>
      </w:r>
      <w:r w:rsidR="00C602F3" w:rsidRPr="00E46E07">
        <w:rPr>
          <w:rStyle w:val="Strong"/>
        </w:rPr>
        <w:t>:</w:t>
      </w:r>
    </w:p>
    <w:p w14:paraId="0727012A" w14:textId="7DCC04B4" w:rsidR="00C56153" w:rsidRDefault="00C56153" w:rsidP="00E14791">
      <w:pPr>
        <w:pStyle w:val="ListBullet"/>
      </w:pPr>
      <w:r>
        <w:t>alignment in strategy and approaches across sectors, regions or at a national level</w:t>
      </w:r>
      <w:r w:rsidR="00481C0E">
        <w:t xml:space="preserve"> </w:t>
      </w:r>
      <w:r w:rsidR="00C57FBC">
        <w:t xml:space="preserve">was seen as both a strength and barrier to </w:t>
      </w:r>
      <w:r w:rsidR="007C5B40">
        <w:t>preventing greater impact</w:t>
      </w:r>
      <w:r w:rsidR="00ED1BF2">
        <w:t>;</w:t>
      </w:r>
    </w:p>
    <w:p w14:paraId="3EE7E434" w14:textId="4899E65E" w:rsidR="00225248" w:rsidRDefault="00481C0E" w:rsidP="00E14791">
      <w:pPr>
        <w:pStyle w:val="ListBullet"/>
      </w:pPr>
      <w:r>
        <w:t>N</w:t>
      </w:r>
      <w:r w:rsidR="00DC562F">
        <w:t>DCO</w:t>
      </w:r>
      <w:r>
        <w:t>s</w:t>
      </w:r>
      <w:r w:rsidR="00DC562F">
        <w:t xml:space="preserve"> </w:t>
      </w:r>
      <w:r w:rsidR="001303C8">
        <w:t xml:space="preserve">nominated </w:t>
      </w:r>
      <w:r w:rsidR="00DC562F">
        <w:t>the website and information provision</w:t>
      </w:r>
      <w:r w:rsidR="001151B7">
        <w:t xml:space="preserve"> a</w:t>
      </w:r>
      <w:r w:rsidR="00ED1BF2">
        <w:t>s a barrier</w:t>
      </w:r>
      <w:r w:rsidR="001303C8">
        <w:t xml:space="preserve"> </w:t>
      </w:r>
      <w:r w:rsidR="00C46659">
        <w:t>- currently</w:t>
      </w:r>
      <w:r w:rsidR="00335C4D">
        <w:t xml:space="preserve"> there are </w:t>
      </w:r>
      <w:r w:rsidR="003965FF">
        <w:t>multiple websites for information and resources</w:t>
      </w:r>
      <w:r w:rsidR="00DC562F">
        <w:t xml:space="preserve">; </w:t>
      </w:r>
      <w:r w:rsidR="00ED1BF2">
        <w:t>and</w:t>
      </w:r>
    </w:p>
    <w:p w14:paraId="7FE04FAC" w14:textId="3EC0C8F0" w:rsidR="00481C0E" w:rsidRDefault="001151B7" w:rsidP="00E14791">
      <w:pPr>
        <w:pStyle w:val="ListBullet"/>
      </w:pPr>
      <w:r>
        <w:t>p</w:t>
      </w:r>
      <w:r w:rsidR="00481C0E">
        <w:t xml:space="preserve">ractitioners thought barriers also included the </w:t>
      </w:r>
      <w:r w:rsidR="00D150DE">
        <w:t xml:space="preserve">lack of </w:t>
      </w:r>
      <w:r w:rsidR="00481C0E">
        <w:t>strategic engagement and influence in all education settings, and a lack of connection to other tertiary education initiatives</w:t>
      </w:r>
      <w:r w:rsidR="00A249D6">
        <w:t>.</w:t>
      </w:r>
    </w:p>
    <w:p w14:paraId="2BC8017A" w14:textId="35187037" w:rsidR="00A00147" w:rsidRDefault="004838A3" w:rsidP="00F12060">
      <w:pPr>
        <w:pStyle w:val="Heading3"/>
      </w:pPr>
      <w:bookmarkStart w:id="23" w:name="_Toc95836738"/>
      <w:r>
        <w:t xml:space="preserve">Value of </w:t>
      </w:r>
      <w:r w:rsidR="008B3E31">
        <w:t>the p</w:t>
      </w:r>
      <w:r w:rsidR="006E4003">
        <w:t>rogram structure</w:t>
      </w:r>
      <w:bookmarkEnd w:id="23"/>
    </w:p>
    <w:p w14:paraId="4ABB784D" w14:textId="6F59DD86" w:rsidR="001006CC" w:rsidRPr="00D66066" w:rsidRDefault="00207079" w:rsidP="001D3A5E">
      <w:pPr>
        <w:rPr>
          <w:b/>
          <w:bCs/>
        </w:rPr>
      </w:pPr>
      <w:r>
        <w:t xml:space="preserve">A </w:t>
      </w:r>
      <w:r w:rsidR="004516C8">
        <w:t>prominent</w:t>
      </w:r>
      <w:r>
        <w:t xml:space="preserve"> feature of this program has been engagement of Host</w:t>
      </w:r>
      <w:r w:rsidR="00050914">
        <w:t xml:space="preserve"> Providers</w:t>
      </w:r>
      <w:r w:rsidR="00121613">
        <w:t xml:space="preserve"> who </w:t>
      </w:r>
      <w:r w:rsidR="00142CFB">
        <w:t>recruit</w:t>
      </w:r>
      <w:r w:rsidR="00121613">
        <w:t xml:space="preserve"> and support </w:t>
      </w:r>
      <w:r w:rsidR="00142CFB">
        <w:t xml:space="preserve">the NDCO officers. </w:t>
      </w:r>
      <w:r w:rsidR="0075505D">
        <w:t>However, t</w:t>
      </w:r>
      <w:r w:rsidR="00A45B5C">
        <w:t>he extent</w:t>
      </w:r>
      <w:r w:rsidR="00A520A6">
        <w:t xml:space="preserve"> to which</w:t>
      </w:r>
      <w:r w:rsidR="00A45B5C">
        <w:t xml:space="preserve"> </w:t>
      </w:r>
      <w:r w:rsidR="00102440">
        <w:t>this model</w:t>
      </w:r>
      <w:r w:rsidR="00A45B5C">
        <w:t xml:space="preserve"> serves</w:t>
      </w:r>
      <w:r w:rsidR="003B17C4">
        <w:t xml:space="preserve"> the purpose</w:t>
      </w:r>
      <w:r w:rsidR="00F70094">
        <w:t xml:space="preserve"> of</w:t>
      </w:r>
      <w:r w:rsidR="003B17C4">
        <w:t xml:space="preserve"> </w:t>
      </w:r>
      <w:r w:rsidR="00181677">
        <w:t>pursuing</w:t>
      </w:r>
      <w:r w:rsidR="003B17C4">
        <w:t xml:space="preserve"> more strategic objectives </w:t>
      </w:r>
      <w:r w:rsidR="00F70094">
        <w:t>for</w:t>
      </w:r>
      <w:r w:rsidR="003B17C4">
        <w:t xml:space="preserve"> the </w:t>
      </w:r>
      <w:r w:rsidR="003B17C4" w:rsidRPr="005F7DAB">
        <w:t>program was questioned.</w:t>
      </w:r>
      <w:r w:rsidR="00DD209A" w:rsidRPr="005F7DAB">
        <w:t xml:space="preserve"> </w:t>
      </w:r>
      <w:r w:rsidR="00102440" w:rsidRPr="005F7DAB">
        <w:t xml:space="preserve">While only a small proportion </w:t>
      </w:r>
      <w:r w:rsidR="003F75AE" w:rsidRPr="005F7DAB">
        <w:t xml:space="preserve">of Host Providers </w:t>
      </w:r>
      <w:r w:rsidR="00102440" w:rsidRPr="005F7DAB">
        <w:t>engaged with the survey</w:t>
      </w:r>
      <w:r w:rsidR="003B1EE4" w:rsidRPr="005F7DAB">
        <w:t>, 50</w:t>
      </w:r>
      <w:r w:rsidR="00454D7F" w:rsidRPr="005F7DAB">
        <w:t xml:space="preserve"> per cent</w:t>
      </w:r>
      <w:r w:rsidR="003B1EE4" w:rsidRPr="005F7DAB">
        <w:t xml:space="preserve"> felt </w:t>
      </w:r>
      <w:r w:rsidR="001A08C9" w:rsidRPr="005F7DAB">
        <w:t xml:space="preserve">that the </w:t>
      </w:r>
      <w:r w:rsidR="004C4467" w:rsidRPr="005F7DAB">
        <w:t>model</w:t>
      </w:r>
      <w:r w:rsidR="001A08C9" w:rsidRPr="005F7DAB">
        <w:t xml:space="preserve"> </w:t>
      </w:r>
      <w:r w:rsidR="003B1EE4" w:rsidRPr="005F7DAB">
        <w:t>added little</w:t>
      </w:r>
      <w:r w:rsidR="00D74B6E" w:rsidRPr="005F7DAB">
        <w:t xml:space="preserve"> to no value.</w:t>
      </w:r>
      <w:r w:rsidR="00D74B6E" w:rsidRPr="005F7DAB">
        <w:rPr>
          <w:b/>
          <w:bCs/>
        </w:rPr>
        <w:t xml:space="preserve"> </w:t>
      </w:r>
    </w:p>
    <w:p w14:paraId="279FB679" w14:textId="77777777" w:rsidR="0012605D" w:rsidRDefault="00D74B6E" w:rsidP="001D3A5E">
      <w:r>
        <w:t>Hosts relayed t</w:t>
      </w:r>
      <w:r w:rsidR="008504A1">
        <w:t>he</w:t>
      </w:r>
      <w:r>
        <w:t xml:space="preserve"> challenge of supporting an elevated level of strategic pursuits</w:t>
      </w:r>
      <w:r w:rsidR="008504A1">
        <w:t xml:space="preserve"> given the </w:t>
      </w:r>
      <w:r w:rsidR="00EA4DD1">
        <w:t>distance</w:t>
      </w:r>
      <w:r w:rsidR="00181677">
        <w:t xml:space="preserve"> of the program</w:t>
      </w:r>
      <w:r w:rsidR="00EA4DD1">
        <w:t xml:space="preserve"> from their operations or </w:t>
      </w:r>
      <w:r w:rsidR="00D312AD">
        <w:t>lack</w:t>
      </w:r>
      <w:r w:rsidR="00EA4DD1">
        <w:t xml:space="preserve"> of understanding of the strategic activities.</w:t>
      </w:r>
      <w:r w:rsidR="00050C28">
        <w:t xml:space="preserve"> </w:t>
      </w:r>
    </w:p>
    <w:p w14:paraId="0724580D" w14:textId="5AFC99A8" w:rsidR="001D3A5E" w:rsidRDefault="007E0333" w:rsidP="001D3A5E">
      <w:r w:rsidRPr="007E0333">
        <w:t xml:space="preserve">A </w:t>
      </w:r>
      <w:r w:rsidRPr="003741FF">
        <w:t>number of Hosts question</w:t>
      </w:r>
      <w:r w:rsidR="004A3A74" w:rsidRPr="003741FF">
        <w:t>ed</w:t>
      </w:r>
      <w:r w:rsidRPr="003741FF">
        <w:t xml:space="preserve"> their involvement, not only in terms of the support they provide to the program, which they feel is limited, but also in terms of the financial impact it has more broadly.</w:t>
      </w:r>
      <w:r w:rsidRPr="00D66066">
        <w:rPr>
          <w:b/>
          <w:bCs/>
        </w:rPr>
        <w:t xml:space="preserve"> </w:t>
      </w:r>
      <w:r w:rsidR="00EA4DD1" w:rsidRPr="00D66066">
        <w:rPr>
          <w:b/>
          <w:bCs/>
        </w:rPr>
        <w:t xml:space="preserve"> </w:t>
      </w:r>
      <w:r w:rsidR="008F3B43" w:rsidRPr="0012605D">
        <w:t>Host</w:t>
      </w:r>
      <w:r w:rsidR="009A6953">
        <w:t xml:space="preserve"> Provider</w:t>
      </w:r>
      <w:r w:rsidR="008F3B43">
        <w:t>s tend</w:t>
      </w:r>
      <w:r w:rsidR="001A08C9">
        <w:t>ed</w:t>
      </w:r>
      <w:r w:rsidR="008F3B43">
        <w:t xml:space="preserve"> to </w:t>
      </w:r>
      <w:r w:rsidR="00EB147D">
        <w:t>see or promote</w:t>
      </w:r>
      <w:r w:rsidR="008F3B43">
        <w:t xml:space="preserve"> the program </w:t>
      </w:r>
      <w:r w:rsidR="00D04D4D">
        <w:t>as</w:t>
      </w:r>
      <w:r w:rsidR="00EB147D">
        <w:t xml:space="preserve"> a </w:t>
      </w:r>
      <w:r w:rsidR="00D07C45">
        <w:t>corporate</w:t>
      </w:r>
      <w:r w:rsidR="001A08C9">
        <w:t xml:space="preserve"> </w:t>
      </w:r>
      <w:r w:rsidR="00D07C45">
        <w:t xml:space="preserve">social </w:t>
      </w:r>
      <w:r w:rsidR="001A08C9">
        <w:t xml:space="preserve">responsibility </w:t>
      </w:r>
      <w:r w:rsidR="00D07C45">
        <w:t>initiative</w:t>
      </w:r>
      <w:r w:rsidR="008F3B43">
        <w:t xml:space="preserve"> of the provider </w:t>
      </w:r>
      <w:r w:rsidR="00040081">
        <w:t xml:space="preserve">and </w:t>
      </w:r>
      <w:r w:rsidR="00E020A8">
        <w:t xml:space="preserve">their </w:t>
      </w:r>
      <w:r w:rsidR="00040081">
        <w:t>contribution to change</w:t>
      </w:r>
      <w:r w:rsidR="001A08C9">
        <w:t xml:space="preserve">.  This perspective will present a challenge should a </w:t>
      </w:r>
      <w:r w:rsidR="00BE0A57">
        <w:t xml:space="preserve">more consistent </w:t>
      </w:r>
      <w:r w:rsidR="001A08C9">
        <w:t xml:space="preserve">national approach be adopted for the NDCO program. </w:t>
      </w:r>
      <w:r w:rsidR="00EB147D">
        <w:t xml:space="preserve"> </w:t>
      </w:r>
      <w:r w:rsidR="00D07C45">
        <w:t xml:space="preserve"> </w:t>
      </w:r>
    </w:p>
    <w:p w14:paraId="227E70B6" w14:textId="5C9F62C8" w:rsidR="00142CFB" w:rsidRPr="001D3A5E" w:rsidRDefault="00441771" w:rsidP="001D3A5E">
      <w:r>
        <w:t xml:space="preserve">With Host </w:t>
      </w:r>
      <w:r w:rsidR="00740254">
        <w:t xml:space="preserve">Providers </w:t>
      </w:r>
      <w:r w:rsidR="002440C9">
        <w:t>currently representing</w:t>
      </w:r>
      <w:r w:rsidR="00DA6A9A">
        <w:t xml:space="preserve"> different </w:t>
      </w:r>
      <w:r w:rsidR="002440C9">
        <w:t xml:space="preserve">local </w:t>
      </w:r>
      <w:r w:rsidR="00E4293D">
        <w:t xml:space="preserve">providers in the sector, </w:t>
      </w:r>
      <w:r w:rsidR="006E3A1E">
        <w:t xml:space="preserve">it is natural for local activities to be </w:t>
      </w:r>
      <w:r w:rsidR="004A5074">
        <w:t>more targeted to their area of expertise</w:t>
      </w:r>
      <w:r w:rsidR="006E75DF">
        <w:t xml:space="preserve"> </w:t>
      </w:r>
      <w:r w:rsidR="006713E3">
        <w:t>and to engage more prominently with related local stakeholder</w:t>
      </w:r>
      <w:r w:rsidR="00E27D44">
        <w:t>s</w:t>
      </w:r>
      <w:r w:rsidR="006713E3">
        <w:t xml:space="preserve"> </w:t>
      </w:r>
      <w:r w:rsidR="001A08C9">
        <w:t>(</w:t>
      </w:r>
      <w:r w:rsidR="00F44B25">
        <w:t>i.e. higher education, TAFE</w:t>
      </w:r>
      <w:r w:rsidR="005176EF">
        <w:t xml:space="preserve"> or employment</w:t>
      </w:r>
      <w:r w:rsidR="001A08C9">
        <w:t>)</w:t>
      </w:r>
      <w:r w:rsidR="005176EF">
        <w:t xml:space="preserve">. This may be a reason some </w:t>
      </w:r>
      <w:r w:rsidR="00203427">
        <w:t xml:space="preserve">equity </w:t>
      </w:r>
      <w:r w:rsidR="005176EF">
        <w:t>practitioners identified they did not know their NDCO</w:t>
      </w:r>
      <w:r w:rsidR="00367229">
        <w:t xml:space="preserve">. It may also contribute to the </w:t>
      </w:r>
      <w:r w:rsidR="00F22B5C">
        <w:t xml:space="preserve">challenge </w:t>
      </w:r>
      <w:r w:rsidR="006767B5">
        <w:t xml:space="preserve">for </w:t>
      </w:r>
      <w:r w:rsidR="005C245D">
        <w:t>NDCO</w:t>
      </w:r>
      <w:r w:rsidR="00710C9B">
        <w:t>s</w:t>
      </w:r>
      <w:r w:rsidR="00880549">
        <w:t xml:space="preserve"> to broaden their reach across local boundaries </w:t>
      </w:r>
      <w:r w:rsidR="00BE0A57">
        <w:t xml:space="preserve">and adopt </w:t>
      </w:r>
      <w:r w:rsidR="00367229">
        <w:t xml:space="preserve">a national approach. </w:t>
      </w:r>
    </w:p>
    <w:p w14:paraId="5836E7E1" w14:textId="6B7653A5" w:rsidR="00DA3190" w:rsidRDefault="00C32B13" w:rsidP="00B96956">
      <w:r>
        <w:t>Despite this, and other findings about the challenges the program structure creates</w:t>
      </w:r>
      <w:r w:rsidR="00E61A18">
        <w:t>,</w:t>
      </w:r>
      <w:r>
        <w:t xml:space="preserve"> NDCOs and Hosts </w:t>
      </w:r>
      <w:r w:rsidR="00E61A18">
        <w:t xml:space="preserve">mainly </w:t>
      </w:r>
      <w:r w:rsidR="00441FCD">
        <w:t xml:space="preserve">felt </w:t>
      </w:r>
      <w:r w:rsidR="008F4853">
        <w:t xml:space="preserve">the current </w:t>
      </w:r>
      <w:r w:rsidR="00441FCD">
        <w:t xml:space="preserve">Host model </w:t>
      </w:r>
      <w:r w:rsidR="00203427">
        <w:t>was a suitable arrangement</w:t>
      </w:r>
      <w:r w:rsidR="00441FCD">
        <w:t xml:space="preserve">. </w:t>
      </w:r>
      <w:r w:rsidR="00BE0A57">
        <w:t>Ano</w:t>
      </w:r>
      <w:r w:rsidR="00685B3A">
        <w:t>ther option</w:t>
      </w:r>
      <w:r w:rsidR="00485612">
        <w:t xml:space="preserve"> that </w:t>
      </w:r>
      <w:r w:rsidR="00BE0A57">
        <w:t xml:space="preserve">was </w:t>
      </w:r>
      <w:r w:rsidR="00485612">
        <w:t xml:space="preserve">seen as serving the </w:t>
      </w:r>
      <w:r w:rsidR="007D6848">
        <w:t>purpose of the program going forward</w:t>
      </w:r>
      <w:r w:rsidR="00055DF5">
        <w:t>,</w:t>
      </w:r>
      <w:r w:rsidR="007D6848">
        <w:t xml:space="preserve"> was to align with </w:t>
      </w:r>
      <w:r w:rsidR="006E255A">
        <w:t>an overarching</w:t>
      </w:r>
      <w:r w:rsidR="007D6848">
        <w:t xml:space="preserve"> organisation within the sector</w:t>
      </w:r>
      <w:r w:rsidR="00BE6925">
        <w:t xml:space="preserve"> – whether that be </w:t>
      </w:r>
      <w:r w:rsidR="006E255A">
        <w:t xml:space="preserve">in totality </w:t>
      </w:r>
      <w:r w:rsidR="0046464D">
        <w:t>for the program, or single entities</w:t>
      </w:r>
      <w:r w:rsidR="00B06713">
        <w:t xml:space="preserve"> </w:t>
      </w:r>
      <w:r w:rsidR="0046464D">
        <w:t>/</w:t>
      </w:r>
      <w:r w:rsidR="00B06713">
        <w:t xml:space="preserve"> </w:t>
      </w:r>
      <w:r w:rsidR="0046464D">
        <w:t xml:space="preserve">peaks that </w:t>
      </w:r>
      <w:r w:rsidR="00522933">
        <w:t xml:space="preserve">represent a tertiary or employment sector. </w:t>
      </w:r>
    </w:p>
    <w:p w14:paraId="5892C3FA" w14:textId="041654CD" w:rsidR="00B96956" w:rsidRDefault="00DA3190" w:rsidP="00F12060">
      <w:pPr>
        <w:pStyle w:val="Heading3"/>
      </w:pPr>
      <w:bookmarkStart w:id="24" w:name="_Toc95836739"/>
      <w:r>
        <w:t>Future focus</w:t>
      </w:r>
      <w:bookmarkEnd w:id="24"/>
      <w:r>
        <w:t xml:space="preserve"> </w:t>
      </w:r>
    </w:p>
    <w:p w14:paraId="2F640AC7" w14:textId="35D10E2F" w:rsidR="005578BC" w:rsidRDefault="005578BC" w:rsidP="005578BC">
      <w:r>
        <w:t>When considering the future focus of the program</w:t>
      </w:r>
      <w:r w:rsidR="003C03D4">
        <w:t>,</w:t>
      </w:r>
      <w:r>
        <w:t xml:space="preserve"> NDCOs </w:t>
      </w:r>
      <w:r w:rsidR="0002632F">
        <w:t>indicated a preference for th</w:t>
      </w:r>
      <w:r w:rsidR="00A473D2">
        <w:t>e</w:t>
      </w:r>
      <w:r>
        <w:t xml:space="preserve"> continuation of all activities they are doing currently with relatively equal ratings. From the perspective of practitioners, there was a much stronger focus on the program taking </w:t>
      </w:r>
      <w:r w:rsidR="00247E49">
        <w:t xml:space="preserve">a </w:t>
      </w:r>
      <w:r>
        <w:t>greater role for strategic engagement and partnership on the transition into and out of tertiary education</w:t>
      </w:r>
      <w:r w:rsidR="00A51224">
        <w:t>,</w:t>
      </w:r>
      <w:r>
        <w:t xml:space="preserve"> develop</w:t>
      </w:r>
      <w:r w:rsidR="00B7691B">
        <w:t>ing</w:t>
      </w:r>
      <w:r>
        <w:t xml:space="preserve"> and promot</w:t>
      </w:r>
      <w:r w:rsidR="00B7691B">
        <w:t>ing</w:t>
      </w:r>
      <w:r>
        <w:t xml:space="preserve"> practice information to support student</w:t>
      </w:r>
      <w:r w:rsidR="00B53F1C">
        <w:t xml:space="preserve"> access and participation</w:t>
      </w:r>
      <w:r>
        <w:t xml:space="preserve">, and strategic projects that focus on transition points. </w:t>
      </w:r>
    </w:p>
    <w:p w14:paraId="645E6E4F" w14:textId="1AE68CB7" w:rsidR="005578BC" w:rsidRPr="005F7DAB" w:rsidRDefault="002D2A2C" w:rsidP="005578BC">
      <w:r w:rsidRPr="005F7DAB">
        <w:t>Overall</w:t>
      </w:r>
      <w:r w:rsidR="00B665B1" w:rsidRPr="005F7DAB">
        <w:t>,</w:t>
      </w:r>
      <w:r w:rsidRPr="005F7DAB">
        <w:t xml:space="preserve"> w</w:t>
      </w:r>
      <w:r w:rsidR="003E34EE" w:rsidRPr="005F7DAB">
        <w:t>e heard that</w:t>
      </w:r>
      <w:r w:rsidR="005578BC" w:rsidRPr="005F7DAB">
        <w:t xml:space="preserve"> the </w:t>
      </w:r>
      <w:r w:rsidR="0064598B" w:rsidRPr="005F7DAB">
        <w:t xml:space="preserve">future focus </w:t>
      </w:r>
      <w:r w:rsidRPr="005F7DAB">
        <w:t>of the</w:t>
      </w:r>
      <w:r w:rsidR="0064598B" w:rsidRPr="005F7DAB">
        <w:t xml:space="preserve"> program </w:t>
      </w:r>
      <w:r w:rsidRPr="005F7DAB">
        <w:t>should be on</w:t>
      </w:r>
      <w:r w:rsidR="005578BC" w:rsidRPr="005F7DAB">
        <w:t xml:space="preserve"> supporting student particip</w:t>
      </w:r>
      <w:r w:rsidR="007C0783" w:rsidRPr="005F7DAB">
        <w:t>ation</w:t>
      </w:r>
      <w:r w:rsidR="005578BC" w:rsidRPr="005F7DAB">
        <w:t xml:space="preserve"> within tertiary education</w:t>
      </w:r>
      <w:r w:rsidR="001F067E" w:rsidRPr="005F7DAB">
        <w:t xml:space="preserve"> </w:t>
      </w:r>
      <w:r w:rsidR="0064598B" w:rsidRPr="005F7DAB">
        <w:t>through</w:t>
      </w:r>
      <w:r w:rsidR="00F417B4" w:rsidRPr="005F7DAB">
        <w:t xml:space="preserve"> </w:t>
      </w:r>
      <w:r w:rsidR="005578BC" w:rsidRPr="005F7DAB">
        <w:t xml:space="preserve">developing and promoting </w:t>
      </w:r>
      <w:r w:rsidR="0059672A" w:rsidRPr="005F7DAB">
        <w:t xml:space="preserve">the </w:t>
      </w:r>
      <w:r w:rsidR="009E53DD" w:rsidRPr="005F7DAB">
        <w:t xml:space="preserve">translation </w:t>
      </w:r>
      <w:r w:rsidR="00B534EA" w:rsidRPr="005F7DAB">
        <w:t>of information into</w:t>
      </w:r>
      <w:r w:rsidR="009E53DD" w:rsidRPr="005F7DAB">
        <w:t xml:space="preserve"> </w:t>
      </w:r>
      <w:r w:rsidR="005578BC" w:rsidRPr="005F7DAB">
        <w:t xml:space="preserve"> practice, along with </w:t>
      </w:r>
      <w:r w:rsidR="0064598B" w:rsidRPr="005F7DAB">
        <w:t xml:space="preserve">strategic </w:t>
      </w:r>
      <w:r w:rsidR="005578BC" w:rsidRPr="005F7DAB">
        <w:t>engagement and partnership.</w:t>
      </w:r>
    </w:p>
    <w:p w14:paraId="7029FD15" w14:textId="4E4C31A0" w:rsidR="00A47EB4" w:rsidRPr="005D5D06" w:rsidRDefault="00A47EB4" w:rsidP="0064598B">
      <w:r w:rsidRPr="004769B1">
        <w:t xml:space="preserve">Universal design </w:t>
      </w:r>
      <w:r w:rsidR="004769B1" w:rsidRPr="004769B1">
        <w:t xml:space="preserve">is recognised as </w:t>
      </w:r>
      <w:r w:rsidR="00B534EA" w:rsidRPr="004769B1">
        <w:t xml:space="preserve"> </w:t>
      </w:r>
      <w:r w:rsidR="00454D7F">
        <w:t xml:space="preserve">an emerging body of practice </w:t>
      </w:r>
      <w:r w:rsidR="006E36B0">
        <w:t>to</w:t>
      </w:r>
      <w:r w:rsidR="004769B1" w:rsidRPr="004769B1">
        <w:t xml:space="preserve"> improve accessibility</w:t>
      </w:r>
      <w:r w:rsidRPr="004769B1">
        <w:t xml:space="preserve"> for </w:t>
      </w:r>
      <w:r w:rsidR="004769B1" w:rsidRPr="004769B1">
        <w:t>all students, not just for people</w:t>
      </w:r>
      <w:r w:rsidRPr="004769B1">
        <w:t xml:space="preserve"> with disability</w:t>
      </w:r>
      <w:r w:rsidR="00537DBA">
        <w:t>,</w:t>
      </w:r>
      <w:r w:rsidR="004769B1" w:rsidRPr="004769B1">
        <w:t xml:space="preserve"> and would not require people to</w:t>
      </w:r>
      <w:r w:rsidR="006E36B0">
        <w:t xml:space="preserve"> formalise diagnosis or</w:t>
      </w:r>
      <w:r w:rsidR="004769B1" w:rsidRPr="004769B1">
        <w:t xml:space="preserve"> disclose a disability in order to benefit.</w:t>
      </w:r>
      <w:r w:rsidR="005D5D06">
        <w:t xml:space="preserve"> </w:t>
      </w:r>
    </w:p>
    <w:p w14:paraId="4E23F0AD" w14:textId="31CD0764" w:rsidR="00A1756A" w:rsidRDefault="00593176" w:rsidP="003330ED">
      <w:pPr>
        <w:pStyle w:val="Heading1"/>
      </w:pPr>
      <w:bookmarkStart w:id="25" w:name="_Toc95836740"/>
      <w:r w:rsidRPr="003330ED">
        <w:t>R</w:t>
      </w:r>
      <w:r w:rsidR="00FD45A4" w:rsidRPr="003330ED">
        <w:t>ecommendations</w:t>
      </w:r>
      <w:r>
        <w:t xml:space="preserve"> </w:t>
      </w:r>
      <w:r w:rsidR="00A1756A">
        <w:t xml:space="preserve">on program </w:t>
      </w:r>
      <w:r w:rsidR="003330ED" w:rsidRPr="003330ED">
        <w:t xml:space="preserve">reform to ensure that it delivers strategic outcomes that meet the needs of students </w:t>
      </w:r>
      <w:r w:rsidR="00991256">
        <w:t>with disability</w:t>
      </w:r>
      <w:bookmarkEnd w:id="25"/>
      <w:r w:rsidR="003330ED" w:rsidRPr="003330ED">
        <w:t xml:space="preserve"> </w:t>
      </w:r>
    </w:p>
    <w:p w14:paraId="78BC06A9" w14:textId="6B29334A" w:rsidR="00515641" w:rsidRDefault="00F53A7C" w:rsidP="00F53A7C">
      <w:pPr>
        <w:pStyle w:val="Heading2"/>
      </w:pPr>
      <w:bookmarkStart w:id="26" w:name="_Toc95836741"/>
      <w:r>
        <w:t>A</w:t>
      </w:r>
      <w:r w:rsidR="000607C5">
        <w:t xml:space="preserve"> strategic and targeted approach to </w:t>
      </w:r>
      <w:r w:rsidR="00C50BA2">
        <w:t xml:space="preserve">better respond to </w:t>
      </w:r>
      <w:r w:rsidR="000607C5">
        <w:t xml:space="preserve">student </w:t>
      </w:r>
      <w:r w:rsidR="00C50BA2">
        <w:t>needs</w:t>
      </w:r>
      <w:bookmarkEnd w:id="26"/>
    </w:p>
    <w:p w14:paraId="73A0A0F2" w14:textId="72846D5D" w:rsidR="00F53A7C" w:rsidRPr="00760C28" w:rsidRDefault="0067753E" w:rsidP="0046727F">
      <w:r w:rsidRPr="00760C28">
        <w:t xml:space="preserve">There remains </w:t>
      </w:r>
      <w:r w:rsidR="00A81156" w:rsidRPr="00760C28">
        <w:t xml:space="preserve">a need for a </w:t>
      </w:r>
      <w:r w:rsidR="00055997" w:rsidRPr="00760C28">
        <w:t xml:space="preserve">specific </w:t>
      </w:r>
      <w:r w:rsidRPr="00760C28">
        <w:t>program</w:t>
      </w:r>
      <w:r w:rsidR="001E66E5" w:rsidRPr="00760C28">
        <w:t xml:space="preserve"> to </w:t>
      </w:r>
      <w:r w:rsidR="004B1C5F" w:rsidRPr="00760C28">
        <w:t xml:space="preserve">drive </w:t>
      </w:r>
      <w:r w:rsidR="00804B11" w:rsidRPr="00760C28">
        <w:t xml:space="preserve">broader </w:t>
      </w:r>
      <w:r w:rsidR="004B1C5F" w:rsidRPr="00760C28">
        <w:t xml:space="preserve">systemic change </w:t>
      </w:r>
      <w:r w:rsidR="00FD2457" w:rsidRPr="00760C28">
        <w:t>so that</w:t>
      </w:r>
      <w:r w:rsidR="001E66E5" w:rsidRPr="00760C28">
        <w:t xml:space="preserve"> people with disability </w:t>
      </w:r>
      <w:r w:rsidR="00436698" w:rsidRPr="00760C28">
        <w:t xml:space="preserve">have equitable </w:t>
      </w:r>
      <w:r w:rsidR="00FD2457" w:rsidRPr="00760C28">
        <w:t xml:space="preserve">opportunity to </w:t>
      </w:r>
      <w:r w:rsidR="009F5E45" w:rsidRPr="00760C28">
        <w:t>access</w:t>
      </w:r>
      <w:r w:rsidR="00436698" w:rsidRPr="00760C28">
        <w:t xml:space="preserve">, </w:t>
      </w:r>
      <w:r w:rsidR="009F5E45" w:rsidRPr="00760C28">
        <w:t xml:space="preserve">participate </w:t>
      </w:r>
      <w:r w:rsidR="003A662B" w:rsidRPr="00760C28">
        <w:t xml:space="preserve">and achieve their goals </w:t>
      </w:r>
      <w:r w:rsidR="008356CD" w:rsidRPr="00760C28">
        <w:t xml:space="preserve">in </w:t>
      </w:r>
      <w:r w:rsidR="003A662B" w:rsidRPr="00760C28">
        <w:t>t</w:t>
      </w:r>
      <w:r w:rsidR="008356CD" w:rsidRPr="00760C28">
        <w:t xml:space="preserve">ertiary </w:t>
      </w:r>
      <w:r w:rsidR="003A662B" w:rsidRPr="00760C28">
        <w:t>e</w:t>
      </w:r>
      <w:r w:rsidR="008356CD" w:rsidRPr="00760C28">
        <w:t>ducation and subsequent</w:t>
      </w:r>
      <w:r w:rsidR="00CC6238" w:rsidRPr="00760C28">
        <w:t xml:space="preserve"> employment</w:t>
      </w:r>
      <w:r w:rsidR="00A13D31" w:rsidRPr="00760C28">
        <w:t>.</w:t>
      </w:r>
      <w:r w:rsidR="000646A3" w:rsidRPr="00760C28">
        <w:t xml:space="preserve"> </w:t>
      </w:r>
      <w:r w:rsidR="001701B8" w:rsidRPr="00760C28">
        <w:t>Most other programs that operate in this area focus on individual need</w:t>
      </w:r>
      <w:r w:rsidR="00AA7273" w:rsidRPr="00760C28">
        <w:t>s</w:t>
      </w:r>
      <w:r w:rsidR="00171AE1" w:rsidRPr="00760C28">
        <w:t>.</w:t>
      </w:r>
    </w:p>
    <w:p w14:paraId="71357D8E" w14:textId="16D2FDF3" w:rsidR="00B3763C" w:rsidRPr="00760C28" w:rsidRDefault="0006384E" w:rsidP="0046727F">
      <w:r w:rsidRPr="00760C28">
        <w:t xml:space="preserve">Our </w:t>
      </w:r>
      <w:r w:rsidR="00780713" w:rsidRPr="00760C28">
        <w:t>review</w:t>
      </w:r>
      <w:r w:rsidR="00B3763C" w:rsidRPr="00760C28">
        <w:t xml:space="preserve"> </w:t>
      </w:r>
      <w:r w:rsidRPr="00760C28">
        <w:t xml:space="preserve">found that </w:t>
      </w:r>
      <w:r w:rsidR="00DE286A" w:rsidRPr="00760C28">
        <w:t xml:space="preserve">the program could be strengthened </w:t>
      </w:r>
      <w:r w:rsidR="00171AE1" w:rsidRPr="00760C28">
        <w:t xml:space="preserve">and better positioned to influence </w:t>
      </w:r>
      <w:r w:rsidR="000560D7" w:rsidRPr="00760C28">
        <w:t xml:space="preserve">outcomes </w:t>
      </w:r>
      <w:r w:rsidR="008F62E1" w:rsidRPr="00760C28">
        <w:t xml:space="preserve">by having an agreed </w:t>
      </w:r>
      <w:r w:rsidR="004801D9" w:rsidRPr="00760C28">
        <w:t>strategic</w:t>
      </w:r>
      <w:r w:rsidR="008F62E1" w:rsidRPr="00760C28">
        <w:t xml:space="preserve"> </w:t>
      </w:r>
      <w:r w:rsidR="004801D9" w:rsidRPr="00760C28">
        <w:t>focus</w:t>
      </w:r>
      <w:r w:rsidR="00BB28F3" w:rsidRPr="00760C28">
        <w:t xml:space="preserve">. The </w:t>
      </w:r>
      <w:r w:rsidR="006005C5" w:rsidRPr="00760C28">
        <w:t xml:space="preserve">draft strategic plan for the existing program was never finalised </w:t>
      </w:r>
      <w:r w:rsidR="00A277EE" w:rsidRPr="00760C28">
        <w:t>which led to significant confusion and variability in terms of implementation.</w:t>
      </w:r>
      <w:r w:rsidR="009E784B" w:rsidRPr="00760C28">
        <w:t xml:space="preserve"> </w:t>
      </w:r>
      <w:r w:rsidR="00DA19B7" w:rsidRPr="00760C28">
        <w:t xml:space="preserve">We recommend the </w:t>
      </w:r>
      <w:r w:rsidR="00EF4DA6" w:rsidRPr="00760C28">
        <w:t>development</w:t>
      </w:r>
      <w:r w:rsidR="00DA19B7" w:rsidRPr="00760C28">
        <w:t xml:space="preserve"> of </w:t>
      </w:r>
      <w:r w:rsidR="00EF4DA6" w:rsidRPr="00760C28">
        <w:t xml:space="preserve">a high-level national strategic plan for the program </w:t>
      </w:r>
      <w:r w:rsidR="007040E1" w:rsidRPr="00760C28">
        <w:t xml:space="preserve">tightly focused on agreed </w:t>
      </w:r>
      <w:r w:rsidR="002E63D3" w:rsidRPr="00760C28">
        <w:t>priorities</w:t>
      </w:r>
      <w:r w:rsidR="007040E1" w:rsidRPr="00760C28">
        <w:t>.</w:t>
      </w:r>
    </w:p>
    <w:p w14:paraId="7DBA2D06" w14:textId="27567496" w:rsidR="003739C1" w:rsidRPr="00760C28" w:rsidRDefault="003739C1" w:rsidP="0046727F">
      <w:r w:rsidRPr="00760C28">
        <w:t xml:space="preserve">The </w:t>
      </w:r>
      <w:r w:rsidR="006005D1" w:rsidRPr="00760C28">
        <w:t xml:space="preserve">existing program identifies </w:t>
      </w:r>
      <w:r w:rsidR="00DC6289" w:rsidRPr="00760C28">
        <w:t>four</w:t>
      </w:r>
      <w:r w:rsidR="006005D1" w:rsidRPr="00760C28">
        <w:t xml:space="preserve"> priorities </w:t>
      </w:r>
      <w:r w:rsidR="00137A2D" w:rsidRPr="00760C28">
        <w:t>which are largely process based</w:t>
      </w:r>
      <w:r w:rsidR="00CB6F1D" w:rsidRPr="00760C28">
        <w:t xml:space="preserve"> (</w:t>
      </w:r>
      <w:r w:rsidR="002956ED" w:rsidRPr="00760C28">
        <w:t>e.g</w:t>
      </w:r>
      <w:r w:rsidR="00137A2D" w:rsidRPr="00760C28">
        <w:t xml:space="preserve">. Identify Gaps and </w:t>
      </w:r>
      <w:r w:rsidR="00EB6C61" w:rsidRPr="00760C28">
        <w:t>B</w:t>
      </w:r>
      <w:r w:rsidR="00137A2D" w:rsidRPr="00760C28">
        <w:t>arriers</w:t>
      </w:r>
      <w:r w:rsidR="00CB6F1D" w:rsidRPr="00760C28">
        <w:t xml:space="preserve"> </w:t>
      </w:r>
      <w:r w:rsidR="00B24B02" w:rsidRPr="00760C28">
        <w:t>and Escalate and Advocate</w:t>
      </w:r>
      <w:r w:rsidR="00CB6F1D" w:rsidRPr="00760C28">
        <w:t>)</w:t>
      </w:r>
      <w:r w:rsidR="001C35E0" w:rsidRPr="00760C28">
        <w:t>,</w:t>
      </w:r>
      <w:r w:rsidR="00B24B02" w:rsidRPr="00760C28">
        <w:t xml:space="preserve"> </w:t>
      </w:r>
      <w:r w:rsidR="00A419CC" w:rsidRPr="00760C28">
        <w:t>and</w:t>
      </w:r>
      <w:r w:rsidR="00B24B02" w:rsidRPr="00760C28">
        <w:t xml:space="preserve"> do not provide clear boundaries for the work of the program</w:t>
      </w:r>
      <w:r w:rsidR="00531FF6" w:rsidRPr="00760C28">
        <w:t>. Ou</w:t>
      </w:r>
      <w:r w:rsidR="009F4E74" w:rsidRPr="00760C28">
        <w:t>r</w:t>
      </w:r>
      <w:r w:rsidR="00531FF6" w:rsidRPr="00760C28">
        <w:t xml:space="preserve"> research ide</w:t>
      </w:r>
      <w:r w:rsidR="009F4E74" w:rsidRPr="00760C28">
        <w:t xml:space="preserve">ntified </w:t>
      </w:r>
      <w:r w:rsidR="000765CB" w:rsidRPr="00760C28">
        <w:t>the lack of clarity over what the NDCOs</w:t>
      </w:r>
      <w:r w:rsidR="00C739B4" w:rsidRPr="00760C28">
        <w:t>’</w:t>
      </w:r>
      <w:r w:rsidR="000765CB" w:rsidRPr="00760C28">
        <w:t xml:space="preserve"> roles and responsibilities are </w:t>
      </w:r>
      <w:r w:rsidR="00B776DC" w:rsidRPr="00760C28">
        <w:t xml:space="preserve">as one of the more significant weaknesses of the program </w:t>
      </w:r>
      <w:r w:rsidR="006F714D" w:rsidRPr="00760C28">
        <w:t xml:space="preserve">stemming from </w:t>
      </w:r>
      <w:r w:rsidR="00170C63" w:rsidRPr="00760C28">
        <w:t xml:space="preserve">the lack of an agreed and uniform strategic direction. </w:t>
      </w:r>
    </w:p>
    <w:p w14:paraId="36C2E52D" w14:textId="12C71B14" w:rsidR="005D40F4" w:rsidRPr="00760C28" w:rsidRDefault="003B704C" w:rsidP="0046727F">
      <w:r w:rsidRPr="00760C28">
        <w:t xml:space="preserve">In an environment where </w:t>
      </w:r>
      <w:r w:rsidR="00A44129" w:rsidRPr="00760C28">
        <w:t>tertiary</w:t>
      </w:r>
      <w:r w:rsidR="004B1CCD" w:rsidRPr="00760C28">
        <w:t xml:space="preserve"> institutions </w:t>
      </w:r>
      <w:r w:rsidR="00AA4B5D" w:rsidRPr="00760C28">
        <w:t>will increasingly be</w:t>
      </w:r>
      <w:r w:rsidR="004B1CCD" w:rsidRPr="00760C28">
        <w:t xml:space="preserve"> held accountable </w:t>
      </w:r>
      <w:r w:rsidR="00AA4B5D" w:rsidRPr="00760C28">
        <w:t>for meeting the</w:t>
      </w:r>
      <w:r w:rsidR="00297D52" w:rsidRPr="00760C28">
        <w:t>ir</w:t>
      </w:r>
      <w:r w:rsidR="00AA4B5D" w:rsidRPr="00760C28">
        <w:t xml:space="preserve"> legislative re</w:t>
      </w:r>
      <w:r w:rsidR="00297D52" w:rsidRPr="00760C28">
        <w:t>sponsibilities under the DDA and the Standards</w:t>
      </w:r>
      <w:r w:rsidR="00AF3D14" w:rsidRPr="00760C28">
        <w:t>,</w:t>
      </w:r>
      <w:r w:rsidR="00297D52" w:rsidRPr="00760C28">
        <w:t xml:space="preserve"> </w:t>
      </w:r>
      <w:r w:rsidR="00F65439" w:rsidRPr="00760C28">
        <w:t>th</w:t>
      </w:r>
      <w:r w:rsidR="00CD4110" w:rsidRPr="00760C28">
        <w:t xml:space="preserve">e strategic focus of this program should </w:t>
      </w:r>
      <w:r w:rsidR="00A3008E" w:rsidRPr="00760C28">
        <w:t>be</w:t>
      </w:r>
      <w:r w:rsidR="00DE055D" w:rsidRPr="00760C28">
        <w:t xml:space="preserve"> on supporting those endeavours </w:t>
      </w:r>
      <w:r w:rsidR="003C029B" w:rsidRPr="00760C28">
        <w:t xml:space="preserve">in areas </w:t>
      </w:r>
      <w:r w:rsidR="0087673E" w:rsidRPr="00760C28">
        <w:t xml:space="preserve">where it has the greatest potential to improve </w:t>
      </w:r>
      <w:r w:rsidR="00264616" w:rsidRPr="00760C28">
        <w:t>the outcomes of students with disability</w:t>
      </w:r>
      <w:r w:rsidR="003C029B" w:rsidRPr="00760C28">
        <w:t xml:space="preserve"> through a targeted range of activities.</w:t>
      </w:r>
      <w:r w:rsidR="005F1C22" w:rsidRPr="00760C28">
        <w:t xml:space="preserve"> Continuing to </w:t>
      </w:r>
      <w:r w:rsidR="00134654" w:rsidRPr="00760C28">
        <w:t>deliver a broad range of activities</w:t>
      </w:r>
      <w:r w:rsidR="006A32E8" w:rsidRPr="00760C28">
        <w:t xml:space="preserve"> which are </w:t>
      </w:r>
      <w:r w:rsidR="006A32E8" w:rsidRPr="00760C28">
        <w:rPr>
          <w:i/>
        </w:rPr>
        <w:t>not</w:t>
      </w:r>
      <w:r w:rsidR="006A32E8" w:rsidRPr="00760C28">
        <w:t xml:space="preserve"> uniform across the program</w:t>
      </w:r>
      <w:r w:rsidR="00134654" w:rsidRPr="00760C28">
        <w:t xml:space="preserve"> </w:t>
      </w:r>
      <w:r w:rsidR="002E511F" w:rsidRPr="00760C28">
        <w:t>significantly reduces the effectiveness of the program in addition to causing confusion.</w:t>
      </w:r>
    </w:p>
    <w:p w14:paraId="2DBBA14E" w14:textId="5C18B245" w:rsidR="00A632AC" w:rsidRPr="00760C28" w:rsidRDefault="005410E1" w:rsidP="005D40F4">
      <w:r w:rsidRPr="00760C28">
        <w:t>A</w:t>
      </w:r>
      <w:r w:rsidR="0049387A" w:rsidRPr="00760C28">
        <w:t xml:space="preserve">n agreed </w:t>
      </w:r>
      <w:r w:rsidR="002E63D3" w:rsidRPr="00760C28">
        <w:t>strate</w:t>
      </w:r>
      <w:r w:rsidR="00C62B8A" w:rsidRPr="00760C28">
        <w:t xml:space="preserve">gic plan and a </w:t>
      </w:r>
      <w:r w:rsidR="005D40F4" w:rsidRPr="00760C28">
        <w:t>revised model of program leadership</w:t>
      </w:r>
      <w:r w:rsidR="00684472" w:rsidRPr="00760C28">
        <w:t>, outlined below,</w:t>
      </w:r>
      <w:r w:rsidR="00C62B8A" w:rsidRPr="00760C28">
        <w:t xml:space="preserve"> </w:t>
      </w:r>
      <w:r w:rsidRPr="00760C28">
        <w:t xml:space="preserve">will </w:t>
      </w:r>
      <w:r w:rsidR="00065685" w:rsidRPr="00760C28">
        <w:t xml:space="preserve">enable </w:t>
      </w:r>
      <w:r w:rsidRPr="00760C28">
        <w:t xml:space="preserve">roles and responsibilities </w:t>
      </w:r>
      <w:r w:rsidR="0026227E" w:rsidRPr="00760C28">
        <w:t xml:space="preserve">to </w:t>
      </w:r>
      <w:r w:rsidR="0049387A" w:rsidRPr="00760C28">
        <w:t>b</w:t>
      </w:r>
      <w:r w:rsidR="0026227E" w:rsidRPr="00760C28">
        <w:t xml:space="preserve">ecome clearer </w:t>
      </w:r>
      <w:r w:rsidR="0032053D" w:rsidRPr="00760C28">
        <w:t>for those involved in program delivery</w:t>
      </w:r>
      <w:r w:rsidR="00F00C59" w:rsidRPr="00760C28">
        <w:t>,</w:t>
      </w:r>
      <w:r w:rsidR="00684472" w:rsidRPr="00760C28">
        <w:t xml:space="preserve"> and focus effort where it is most needed</w:t>
      </w:r>
      <w:r w:rsidR="00DD6D3C" w:rsidRPr="00760C28">
        <w:t>. It will also</w:t>
      </w:r>
      <w:r w:rsidR="0032053D" w:rsidRPr="00760C28">
        <w:t xml:space="preserve"> </w:t>
      </w:r>
      <w:r w:rsidR="001467F0" w:rsidRPr="00760C28">
        <w:t xml:space="preserve">help reduce the confusion and maximise the </w:t>
      </w:r>
      <w:r w:rsidR="00806EA6" w:rsidRPr="00760C28">
        <w:t>opportunities for collaboration</w:t>
      </w:r>
      <w:r w:rsidR="00DD6D3C" w:rsidRPr="00760C28">
        <w:t xml:space="preserve"> </w:t>
      </w:r>
      <w:r w:rsidR="008768B0" w:rsidRPr="00760C28">
        <w:t>with</w:t>
      </w:r>
      <w:r w:rsidR="00DD6D3C" w:rsidRPr="00760C28">
        <w:t xml:space="preserve"> the broader </w:t>
      </w:r>
      <w:r w:rsidR="009B7EF7" w:rsidRPr="00760C28">
        <w:t xml:space="preserve">sector </w:t>
      </w:r>
      <w:r w:rsidR="00E26523" w:rsidRPr="00760C28">
        <w:t>in</w:t>
      </w:r>
      <w:r w:rsidR="008768B0" w:rsidRPr="00760C28">
        <w:t>cluding</w:t>
      </w:r>
      <w:r w:rsidR="002B0662" w:rsidRPr="00760C28">
        <w:t xml:space="preserve"> ATEND, ADCET</w:t>
      </w:r>
      <w:r w:rsidR="00537DBA" w:rsidRPr="005F7DAB">
        <w:t xml:space="preserve">, </w:t>
      </w:r>
      <w:r w:rsidR="00537DBA" w:rsidRPr="00760C28">
        <w:t xml:space="preserve">NCSEHE </w:t>
      </w:r>
      <w:r w:rsidR="002B0662" w:rsidRPr="00760C28">
        <w:t>and NATSIEC</w:t>
      </w:r>
      <w:r w:rsidR="00EE1E8B" w:rsidRPr="00760C28">
        <w:t xml:space="preserve">. </w:t>
      </w:r>
    </w:p>
    <w:p w14:paraId="0D674D6C" w14:textId="7B669871" w:rsidR="00725E3E" w:rsidRPr="00760C28" w:rsidRDefault="00725E3E" w:rsidP="00725E3E">
      <w:r w:rsidRPr="00760C28">
        <w:t xml:space="preserve">In light of </w:t>
      </w:r>
      <w:r w:rsidR="0014127E" w:rsidRPr="00760C28">
        <w:t>program reforms settling</w:t>
      </w:r>
      <w:r w:rsidR="0053361E" w:rsidRPr="00760C28">
        <w:t xml:space="preserve">, </w:t>
      </w:r>
      <w:r w:rsidR="00E30251" w:rsidRPr="00760C28">
        <w:t xml:space="preserve">and </w:t>
      </w:r>
      <w:r w:rsidR="0014127E" w:rsidRPr="00760C28">
        <w:t xml:space="preserve">recognition of the expertise </w:t>
      </w:r>
      <w:r w:rsidR="0053361E" w:rsidRPr="00760C28">
        <w:t xml:space="preserve">and responsibilities </w:t>
      </w:r>
      <w:r w:rsidR="0014127E" w:rsidRPr="00760C28">
        <w:t>that exist in the sector, we recommend</w:t>
      </w:r>
      <w:r w:rsidR="00014850" w:rsidRPr="00760C28">
        <w:t xml:space="preserve"> the following activities be</w:t>
      </w:r>
      <w:r w:rsidR="00DA1953" w:rsidRPr="00760C28">
        <w:t xml:space="preserve"> di</w:t>
      </w:r>
      <w:r w:rsidR="007539E4" w:rsidRPr="00760C28">
        <w:t>scontinued</w:t>
      </w:r>
      <w:r w:rsidR="00D739D5" w:rsidRPr="00760C28">
        <w:t xml:space="preserve"> </w:t>
      </w:r>
      <w:r w:rsidR="002E6218" w:rsidRPr="00760C28">
        <w:t xml:space="preserve">or </w:t>
      </w:r>
      <w:r w:rsidR="004E2B76" w:rsidRPr="00760C28">
        <w:t>reconsidered as secondary program activities dependent upon alignment with the core priorities</w:t>
      </w:r>
      <w:r w:rsidR="000E57E2" w:rsidRPr="00760C28">
        <w:t>:</w:t>
      </w:r>
    </w:p>
    <w:p w14:paraId="1EE19967" w14:textId="63A9ABBA" w:rsidR="0023695C" w:rsidRPr="00760C28" w:rsidRDefault="000F58F8" w:rsidP="0023695C">
      <w:pPr>
        <w:pStyle w:val="ListBullet"/>
      </w:pPr>
      <w:r w:rsidRPr="00760C28">
        <w:t>Social r</w:t>
      </w:r>
      <w:r w:rsidR="009365B6" w:rsidRPr="00760C28">
        <w:t xml:space="preserve">esearch </w:t>
      </w:r>
      <w:r w:rsidR="006401CF" w:rsidRPr="00760C28">
        <w:t>–</w:t>
      </w:r>
      <w:r w:rsidR="009651BD" w:rsidRPr="00760C28">
        <w:t xml:space="preserve"> </w:t>
      </w:r>
      <w:r w:rsidR="006401CF" w:rsidRPr="00760C28">
        <w:t xml:space="preserve">consideration should be given to </w:t>
      </w:r>
      <w:r w:rsidR="00EF084D" w:rsidRPr="00760C28">
        <w:t xml:space="preserve">existing </w:t>
      </w:r>
      <w:r w:rsidR="006401CF" w:rsidRPr="00760C28">
        <w:t xml:space="preserve">research </w:t>
      </w:r>
      <w:r w:rsidR="00161EA2" w:rsidRPr="00760C28">
        <w:t>partnership</w:t>
      </w:r>
      <w:r w:rsidR="005D29FF" w:rsidRPr="00760C28">
        <w:t>s</w:t>
      </w:r>
      <w:r w:rsidR="000856A4" w:rsidRPr="00760C28">
        <w:t xml:space="preserve"> </w:t>
      </w:r>
      <w:r w:rsidR="006401CF" w:rsidRPr="00760C28">
        <w:t xml:space="preserve">and commissioning </w:t>
      </w:r>
      <w:r w:rsidR="00B34A90" w:rsidRPr="00760C28">
        <w:t>research</w:t>
      </w:r>
      <w:r w:rsidR="006401CF" w:rsidRPr="00760C28">
        <w:t xml:space="preserve"> that inform</w:t>
      </w:r>
      <w:r w:rsidR="00B34A90" w:rsidRPr="00760C28">
        <w:t>s</w:t>
      </w:r>
      <w:r w:rsidR="00EF084D" w:rsidRPr="00760C28">
        <w:t xml:space="preserve"> </w:t>
      </w:r>
      <w:r w:rsidR="000856A4" w:rsidRPr="00760C28">
        <w:t>an understanding of the student experience</w:t>
      </w:r>
      <w:r w:rsidR="00A92CDB" w:rsidRPr="00760C28">
        <w:t xml:space="preserve"> </w:t>
      </w:r>
      <w:r w:rsidR="00B90B68" w:rsidRPr="00760C28">
        <w:t>using</w:t>
      </w:r>
      <w:r w:rsidR="00A92CDB" w:rsidRPr="00760C28">
        <w:t xml:space="preserve"> a more structured </w:t>
      </w:r>
      <w:r w:rsidR="00B90B68" w:rsidRPr="00760C28">
        <w:t>methodology</w:t>
      </w:r>
      <w:r w:rsidR="000856A4" w:rsidRPr="00760C28">
        <w:t>.</w:t>
      </w:r>
    </w:p>
    <w:p w14:paraId="350A0F5F" w14:textId="23D42ED9" w:rsidR="00537DBA" w:rsidRPr="00760C28" w:rsidRDefault="00537DBA" w:rsidP="00537DBA">
      <w:pPr>
        <w:pStyle w:val="ListBullet"/>
      </w:pPr>
      <w:r w:rsidRPr="00760C28">
        <w:t xml:space="preserve">Advocacy – significant time and effort is focused across </w:t>
      </w:r>
      <w:r w:rsidR="005F7DAB">
        <w:t xml:space="preserve">a broad range of activities focused on </w:t>
      </w:r>
      <w:r w:rsidR="005F7DAB" w:rsidRPr="00760C28">
        <w:t>advocacy</w:t>
      </w:r>
      <w:r w:rsidRPr="00760C28">
        <w:t xml:space="preserve"> at a local level</w:t>
      </w:r>
      <w:r w:rsidR="00760C28" w:rsidRPr="00760C28">
        <w:t xml:space="preserve"> and/or via submissions.</w:t>
      </w:r>
      <w:r w:rsidRPr="00760C28">
        <w:t xml:space="preserve"> Future advocacy efforts should be focused on program priorities including </w:t>
      </w:r>
      <w:r w:rsidR="00760C28" w:rsidRPr="00760C28">
        <w:t xml:space="preserve">strategic </w:t>
      </w:r>
      <w:r w:rsidRPr="00760C28">
        <w:t>advocacy that supports systemic change</w:t>
      </w:r>
      <w:r w:rsidR="00760C28" w:rsidRPr="00760C28">
        <w:t xml:space="preserve"> with consideration of the most effective or impactful areas to contribute </w:t>
      </w:r>
      <w:r w:rsidR="005F7DAB">
        <w:t>based on the expertise of the program</w:t>
      </w:r>
      <w:r w:rsidR="00760C28" w:rsidRPr="00760C28">
        <w:t>.</w:t>
      </w:r>
    </w:p>
    <w:p w14:paraId="59ECAD8E" w14:textId="1108813B" w:rsidR="00E05D3F" w:rsidRPr="00760C28" w:rsidRDefault="0044696D" w:rsidP="0023695C">
      <w:pPr>
        <w:pStyle w:val="ListBullet"/>
      </w:pPr>
      <w:r w:rsidRPr="00760C28">
        <w:t>Policy s</w:t>
      </w:r>
      <w:r w:rsidR="00B12641" w:rsidRPr="00760C28">
        <w:t xml:space="preserve">ubmissions </w:t>
      </w:r>
      <w:r w:rsidR="00F10F22" w:rsidRPr="00760C28">
        <w:t>–</w:t>
      </w:r>
      <w:r w:rsidR="00B12641" w:rsidRPr="00760C28">
        <w:t xml:space="preserve"> </w:t>
      </w:r>
      <w:r w:rsidR="00435503" w:rsidRPr="00760C28">
        <w:t>the program may</w:t>
      </w:r>
      <w:r w:rsidR="00F412E3" w:rsidRPr="00760C28">
        <w:t xml:space="preserve"> be</w:t>
      </w:r>
      <w:r w:rsidR="00435503" w:rsidRPr="00760C28">
        <w:t xml:space="preserve"> better </w:t>
      </w:r>
      <w:r w:rsidR="000210E9" w:rsidRPr="00760C28">
        <w:t>positioned</w:t>
      </w:r>
      <w:r w:rsidR="00435503" w:rsidRPr="00760C28">
        <w:t xml:space="preserve"> to </w:t>
      </w:r>
      <w:r w:rsidR="00735C6F" w:rsidRPr="00760C28">
        <w:t xml:space="preserve">collaborate or </w:t>
      </w:r>
      <w:r w:rsidR="00EF064C" w:rsidRPr="00760C28">
        <w:t xml:space="preserve">contribute information </w:t>
      </w:r>
      <w:r w:rsidR="00F6734F" w:rsidRPr="00760C28">
        <w:t xml:space="preserve">to </w:t>
      </w:r>
      <w:r w:rsidR="003F6335" w:rsidRPr="00760C28">
        <w:t xml:space="preserve">the </w:t>
      </w:r>
      <w:r w:rsidR="00F6734F" w:rsidRPr="00760C28">
        <w:t>submissions</w:t>
      </w:r>
      <w:r w:rsidR="00EE5F7A" w:rsidRPr="00760C28">
        <w:t xml:space="preserve"> </w:t>
      </w:r>
      <w:r w:rsidR="003F6335" w:rsidRPr="00760C28">
        <w:t>by</w:t>
      </w:r>
      <w:r w:rsidR="00A94517" w:rsidRPr="00760C28">
        <w:t xml:space="preserve"> peaks and </w:t>
      </w:r>
      <w:r w:rsidR="000317D1" w:rsidRPr="00760C28">
        <w:t>industry</w:t>
      </w:r>
      <w:r w:rsidR="001E2944" w:rsidRPr="00760C28">
        <w:t xml:space="preserve"> where </w:t>
      </w:r>
      <w:r w:rsidR="00A377D0" w:rsidRPr="00760C28">
        <w:t xml:space="preserve">this is assessed to align with program priorities </w:t>
      </w:r>
      <w:r w:rsidR="00783393" w:rsidRPr="00760C28">
        <w:t xml:space="preserve">and have </w:t>
      </w:r>
      <w:r w:rsidR="00CE5380" w:rsidRPr="00760C28">
        <w:t xml:space="preserve">a </w:t>
      </w:r>
      <w:r w:rsidR="00783393" w:rsidRPr="00760C28">
        <w:t>per</w:t>
      </w:r>
      <w:r w:rsidR="00C717A6" w:rsidRPr="00760C28">
        <w:t xml:space="preserve">ceived </w:t>
      </w:r>
      <w:r w:rsidR="00AA597B" w:rsidRPr="00760C28">
        <w:t xml:space="preserve">high </w:t>
      </w:r>
      <w:r w:rsidR="00C717A6" w:rsidRPr="00760C28">
        <w:t xml:space="preserve">impact </w:t>
      </w:r>
      <w:r w:rsidR="006E271E" w:rsidRPr="00760C28">
        <w:t>for</w:t>
      </w:r>
      <w:r w:rsidR="00C717A6" w:rsidRPr="00760C28">
        <w:t xml:space="preserve"> program outcomes.</w:t>
      </w:r>
    </w:p>
    <w:p w14:paraId="6994451B" w14:textId="77777777" w:rsidR="00760C28" w:rsidRPr="00760C28" w:rsidRDefault="00760C28" w:rsidP="00760C28">
      <w:pPr>
        <w:pStyle w:val="ListBullet"/>
      </w:pPr>
      <w:r w:rsidRPr="00760C28">
        <w:t xml:space="preserve">Unfocused engagement – engagement should be aligned to the priorities, target key cohorts and have a clear purpose as documented in the strategy. </w:t>
      </w:r>
    </w:p>
    <w:p w14:paraId="7DF79063" w14:textId="33133F10" w:rsidR="00DA7123" w:rsidRPr="00760C28" w:rsidRDefault="00DA21EB" w:rsidP="0023695C">
      <w:pPr>
        <w:pStyle w:val="ListBullet"/>
      </w:pPr>
      <w:r w:rsidRPr="00760C28">
        <w:t>Student expositions and</w:t>
      </w:r>
      <w:r w:rsidR="00FE550A" w:rsidRPr="00760C28">
        <w:t xml:space="preserve"> </w:t>
      </w:r>
      <w:r w:rsidR="00271B2E" w:rsidRPr="00760C28">
        <w:t xml:space="preserve">events - </w:t>
      </w:r>
      <w:r w:rsidR="00027D59" w:rsidRPr="00760C28">
        <w:t xml:space="preserve">the program may </w:t>
      </w:r>
      <w:r w:rsidR="00F412E3" w:rsidRPr="00760C28">
        <w:t xml:space="preserve">be </w:t>
      </w:r>
      <w:r w:rsidR="00027D59" w:rsidRPr="00760C28">
        <w:t xml:space="preserve">better </w:t>
      </w:r>
      <w:r w:rsidR="000210E9" w:rsidRPr="00760C28">
        <w:t>positioned</w:t>
      </w:r>
      <w:r w:rsidR="00027D59" w:rsidRPr="00760C28">
        <w:t xml:space="preserve"> to collaborate or contribute to </w:t>
      </w:r>
      <w:r w:rsidR="006D3087" w:rsidRPr="00760C28">
        <w:t xml:space="preserve">national events </w:t>
      </w:r>
      <w:r w:rsidR="00027D59" w:rsidRPr="00760C28">
        <w:t>of peaks and industry</w:t>
      </w:r>
      <w:r w:rsidR="000210E9" w:rsidRPr="00760C28">
        <w:t>.</w:t>
      </w:r>
    </w:p>
    <w:p w14:paraId="16F0E43A" w14:textId="4A14ECD8" w:rsidR="00537DBA" w:rsidRPr="00760C28" w:rsidRDefault="00BE136E" w:rsidP="005D40F4">
      <w:r w:rsidRPr="00760C28">
        <w:t xml:space="preserve">We recommend that the priorities for the program remain </w:t>
      </w:r>
      <w:r w:rsidR="00EA1D16" w:rsidRPr="00760C28">
        <w:t xml:space="preserve">primarily </w:t>
      </w:r>
      <w:r w:rsidRPr="00760C28">
        <w:t xml:space="preserve">focused on </w:t>
      </w:r>
      <w:r w:rsidR="00DE547B" w:rsidRPr="00760C28">
        <w:t xml:space="preserve">the </w:t>
      </w:r>
      <w:r w:rsidR="00DE547B" w:rsidRPr="00D66066">
        <w:t xml:space="preserve">access </w:t>
      </w:r>
      <w:r w:rsidR="00DE547B" w:rsidRPr="00760C28">
        <w:t xml:space="preserve">and </w:t>
      </w:r>
      <w:r w:rsidR="00DE547B" w:rsidRPr="00D66066">
        <w:t>participation</w:t>
      </w:r>
      <w:r w:rsidR="00DE547B" w:rsidRPr="00760C28">
        <w:t xml:space="preserve"> phases </w:t>
      </w:r>
      <w:r w:rsidRPr="00760C28">
        <w:t xml:space="preserve">of the </w:t>
      </w:r>
      <w:r w:rsidR="00EA1D16" w:rsidRPr="00760C28">
        <w:t>student journey</w:t>
      </w:r>
      <w:r w:rsidR="0059672A" w:rsidRPr="00760C28">
        <w:t xml:space="preserve"> with an agreed data collection strategy to ensure that progress against priorities can be measured</w:t>
      </w:r>
      <w:r w:rsidR="00854779" w:rsidRPr="00760C28">
        <w:t>.  To</w:t>
      </w:r>
      <w:r w:rsidR="00831EDC" w:rsidRPr="00760C28">
        <w:t xml:space="preserve"> support broader outcomes, t</w:t>
      </w:r>
      <w:r w:rsidR="005B59C6" w:rsidRPr="00760C28">
        <w:t xml:space="preserve">he findings from this </w:t>
      </w:r>
      <w:r w:rsidR="00E30251" w:rsidRPr="00760C28">
        <w:t xml:space="preserve">review should </w:t>
      </w:r>
      <w:r w:rsidR="00181AB9" w:rsidRPr="00760C28">
        <w:t xml:space="preserve">be </w:t>
      </w:r>
      <w:r w:rsidR="005B59C6" w:rsidRPr="00760C28">
        <w:t xml:space="preserve">shared with other areas of </w:t>
      </w:r>
      <w:r w:rsidR="008569FC" w:rsidRPr="00760C28">
        <w:t>the department</w:t>
      </w:r>
      <w:r w:rsidR="005B59C6" w:rsidRPr="00760C28">
        <w:t xml:space="preserve"> </w:t>
      </w:r>
      <w:r w:rsidR="00831EDC" w:rsidRPr="00760C28">
        <w:t xml:space="preserve">which </w:t>
      </w:r>
      <w:r w:rsidR="005B59C6" w:rsidRPr="00760C28">
        <w:t xml:space="preserve">are responsible for </w:t>
      </w:r>
      <w:r w:rsidR="00AA65AB" w:rsidRPr="00760C28">
        <w:t>pre-access</w:t>
      </w:r>
      <w:r w:rsidR="005B59C6" w:rsidRPr="00760C28">
        <w:t xml:space="preserve"> and </w:t>
      </w:r>
      <w:r w:rsidR="00AE205A" w:rsidRPr="00760C28">
        <w:t>subsequent employment</w:t>
      </w:r>
      <w:r w:rsidR="005B59C6" w:rsidRPr="00760C28">
        <w:t xml:space="preserve">. </w:t>
      </w:r>
      <w:r w:rsidR="00537DBA" w:rsidRPr="00760C28">
        <w:t xml:space="preserve">We recommend the three priority areas the program could focus on are: </w:t>
      </w:r>
    </w:p>
    <w:p w14:paraId="55A3D6F2" w14:textId="0AD6252B" w:rsidR="00537DBA" w:rsidRPr="00760C28" w:rsidRDefault="00537DBA" w:rsidP="00D66066">
      <w:pPr>
        <w:pStyle w:val="ListBullet2"/>
      </w:pPr>
      <w:r w:rsidRPr="00760C28">
        <w:t>Strategically connect and leverage the national tertiary equity disability ecosystem</w:t>
      </w:r>
      <w:r w:rsidR="005F7DAB">
        <w:t>;</w:t>
      </w:r>
      <w:r w:rsidRPr="00760C28">
        <w:t xml:space="preserve"> </w:t>
      </w:r>
    </w:p>
    <w:p w14:paraId="0979DBFC" w14:textId="68762C15" w:rsidR="00537DBA" w:rsidRPr="00760C28" w:rsidRDefault="00537DBA" w:rsidP="00D66066">
      <w:pPr>
        <w:pStyle w:val="ListBullet2"/>
      </w:pPr>
      <w:r w:rsidRPr="00760C28">
        <w:t>Support tertiary institution</w:t>
      </w:r>
      <w:r w:rsidR="005F7DAB">
        <w:t>s</w:t>
      </w:r>
      <w:r w:rsidR="002E691C">
        <w:t>’</w:t>
      </w:r>
      <w:r w:rsidRPr="00760C28">
        <w:t xml:space="preserve"> translation of information and research into practice</w:t>
      </w:r>
      <w:r w:rsidR="005F7DAB">
        <w:t>; and</w:t>
      </w:r>
    </w:p>
    <w:p w14:paraId="1CB81FC7" w14:textId="22F90367" w:rsidR="00537DBA" w:rsidRPr="00760C28" w:rsidRDefault="00537DBA" w:rsidP="00D66066">
      <w:pPr>
        <w:pStyle w:val="ListBullet2"/>
      </w:pPr>
      <w:r w:rsidRPr="00760C28">
        <w:t>Continue to progress universal design for learning in tertiary settings.</w:t>
      </w:r>
    </w:p>
    <w:p w14:paraId="6DB2F000" w14:textId="4E778F6D" w:rsidR="00537DBA" w:rsidRPr="00760C28" w:rsidRDefault="00537DBA" w:rsidP="00D66066">
      <w:pPr>
        <w:pStyle w:val="ListBullet2"/>
        <w:numPr>
          <w:ilvl w:val="0"/>
          <w:numId w:val="0"/>
        </w:numPr>
      </w:pPr>
      <w:r w:rsidRPr="00760C28">
        <w:t xml:space="preserve">Further details on these priorities are provided in the report </w:t>
      </w:r>
      <w:r w:rsidR="005F7DAB">
        <w:t>including</w:t>
      </w:r>
      <w:r w:rsidRPr="00760C28">
        <w:t xml:space="preserve"> potential options</w:t>
      </w:r>
      <w:r w:rsidR="005F7DAB">
        <w:t xml:space="preserve"> and considerations</w:t>
      </w:r>
      <w:r w:rsidRPr="00760C28">
        <w:t xml:space="preserve"> </w:t>
      </w:r>
      <w:r w:rsidR="002E691C">
        <w:t>for</w:t>
      </w:r>
      <w:r w:rsidR="002E691C" w:rsidRPr="00760C28">
        <w:t xml:space="preserve"> </w:t>
      </w:r>
      <w:r w:rsidRPr="00760C28">
        <w:t xml:space="preserve">how these could be executed. </w:t>
      </w:r>
    </w:p>
    <w:p w14:paraId="531779CF" w14:textId="77777777" w:rsidR="00537DBA" w:rsidRPr="00D66066" w:rsidRDefault="00537DBA" w:rsidP="00537DBA">
      <w:pPr>
        <w:spacing w:before="0"/>
      </w:pPr>
    </w:p>
    <w:p w14:paraId="62764B0A" w14:textId="6464763E" w:rsidR="0056394F" w:rsidRPr="00760C28" w:rsidRDefault="00252684" w:rsidP="00D66066">
      <w:pPr>
        <w:spacing w:before="0"/>
      </w:pPr>
      <w:r w:rsidRPr="00D66066">
        <w:t>We also recommend</w:t>
      </w:r>
      <w:r w:rsidR="00965777" w:rsidRPr="00D66066">
        <w:t xml:space="preserve"> a</w:t>
      </w:r>
      <w:r w:rsidRPr="00D66066">
        <w:t xml:space="preserve"> regular</w:t>
      </w:r>
      <w:r w:rsidR="0056394F" w:rsidRPr="00D66066">
        <w:t xml:space="preserve"> re</w:t>
      </w:r>
      <w:r w:rsidRPr="00D66066">
        <w:t>view</w:t>
      </w:r>
      <w:r w:rsidR="0056394F" w:rsidRPr="00D66066">
        <w:t xml:space="preserve"> of </w:t>
      </w:r>
      <w:r w:rsidR="00965777" w:rsidRPr="00D66066">
        <w:t xml:space="preserve">program </w:t>
      </w:r>
      <w:r w:rsidR="0056394F" w:rsidRPr="00D66066">
        <w:t>priorities</w:t>
      </w:r>
      <w:r w:rsidR="00C84DEB" w:rsidRPr="00D66066">
        <w:t xml:space="preserve"> to determine the best utilisation of resources</w:t>
      </w:r>
      <w:r w:rsidR="00760C28" w:rsidRPr="00D66066">
        <w:t>.</w:t>
      </w:r>
      <w:r w:rsidR="00760C28" w:rsidRPr="00760C28">
        <w:t xml:space="preserve"> We would recommend</w:t>
      </w:r>
      <w:r w:rsidR="005F7DAB">
        <w:t xml:space="preserve"> an alignment meeting annually and more fulsome review of the priorities </w:t>
      </w:r>
      <w:r w:rsidR="00760C28" w:rsidRPr="00760C28">
        <w:t xml:space="preserve">every three years in order to align with government reporting and evaluations being conducted as part of Australia’s Disability Strategy in 2025 and 2029. </w:t>
      </w:r>
      <w:r w:rsidR="00CC23A0" w:rsidRPr="00760C28">
        <w:t xml:space="preserve">This process </w:t>
      </w:r>
      <w:r w:rsidR="00C937C0" w:rsidRPr="00760C28">
        <w:t xml:space="preserve">will </w:t>
      </w:r>
      <w:r w:rsidR="002A6D4B" w:rsidRPr="00760C28">
        <w:t>identify new priorities o</w:t>
      </w:r>
      <w:r w:rsidR="00A410D2" w:rsidRPr="00760C28">
        <w:t>r</w:t>
      </w:r>
      <w:r w:rsidR="002A6D4B" w:rsidRPr="00760C28">
        <w:t xml:space="preserve"> </w:t>
      </w:r>
      <w:r w:rsidR="00C937C0" w:rsidRPr="00760C28">
        <w:t xml:space="preserve">support </w:t>
      </w:r>
      <w:r w:rsidR="00C90342" w:rsidRPr="00760C28">
        <w:t xml:space="preserve">continued effort in existing areas based on progress made </w:t>
      </w:r>
      <w:r w:rsidR="00A410D2" w:rsidRPr="00760C28">
        <w:t>to date</w:t>
      </w:r>
      <w:r w:rsidR="00F865BA" w:rsidRPr="00760C28">
        <w:t xml:space="preserve"> and broader</w:t>
      </w:r>
      <w:r w:rsidR="00944D55" w:rsidRPr="00760C28">
        <w:t xml:space="preserve"> reforms</w:t>
      </w:r>
      <w:r w:rsidR="00F865BA" w:rsidRPr="00760C28">
        <w:t xml:space="preserve"> in the tertiary education landscape. </w:t>
      </w:r>
    </w:p>
    <w:p w14:paraId="0BD0DEB3" w14:textId="77777777" w:rsidR="00F53A7C" w:rsidRDefault="00F53A7C" w:rsidP="0046727F"/>
    <w:p w14:paraId="74975346" w14:textId="77777777" w:rsidR="00F53A7C" w:rsidRDefault="00F53A7C" w:rsidP="0046727F"/>
    <w:p w14:paraId="610B7954" w14:textId="77777777" w:rsidR="0056394F" w:rsidRDefault="0056394F">
      <w:pPr>
        <w:jc w:val="left"/>
        <w:rPr>
          <w:rFonts w:eastAsia="Calibri" w:cstheme="majorBidi"/>
          <w:b/>
          <w:color w:val="172983"/>
          <w:sz w:val="36"/>
          <w:szCs w:val="36"/>
        </w:rPr>
      </w:pPr>
      <w:r>
        <w:br w:type="page"/>
      </w:r>
    </w:p>
    <w:p w14:paraId="1B5EDA20" w14:textId="44E30D1A" w:rsidR="00F53A7C" w:rsidRDefault="00141AB4" w:rsidP="00F53A7C">
      <w:pPr>
        <w:pStyle w:val="Heading2"/>
      </w:pPr>
      <w:bookmarkStart w:id="27" w:name="_Toc95836742"/>
      <w:r>
        <w:t xml:space="preserve">Strategic </w:t>
      </w:r>
      <w:r w:rsidR="00F53A7C">
        <w:t>connection</w:t>
      </w:r>
      <w:r>
        <w:t xml:space="preserve"> </w:t>
      </w:r>
      <w:r w:rsidR="00F53A7C">
        <w:t>and leadership</w:t>
      </w:r>
      <w:r w:rsidR="00F5752C">
        <w:t xml:space="preserve"> </w:t>
      </w:r>
      <w:r>
        <w:t xml:space="preserve">within the </w:t>
      </w:r>
      <w:r w:rsidR="00BA7047">
        <w:t xml:space="preserve">tertiary disability </w:t>
      </w:r>
      <w:r>
        <w:t>equity ecosystem</w:t>
      </w:r>
      <w:bookmarkEnd w:id="27"/>
      <w:r>
        <w:t xml:space="preserve"> </w:t>
      </w:r>
    </w:p>
    <w:p w14:paraId="01F4A376" w14:textId="4E26814F" w:rsidR="00E84E09" w:rsidRDefault="00B31DDA" w:rsidP="00E84E09">
      <w:pPr>
        <w:pStyle w:val="Heading4"/>
      </w:pPr>
      <w:r>
        <w:t>Formally bring together stakeholders from the</w:t>
      </w:r>
      <w:r w:rsidR="00E84E09">
        <w:t xml:space="preserve"> </w:t>
      </w:r>
      <w:r w:rsidR="003A7CB8">
        <w:t xml:space="preserve">tertiary </w:t>
      </w:r>
      <w:r w:rsidR="005C7832">
        <w:t xml:space="preserve">disability </w:t>
      </w:r>
      <w:r w:rsidR="00E84E09">
        <w:t>equity ecosystem</w:t>
      </w:r>
      <w:r>
        <w:t xml:space="preserve"> </w:t>
      </w:r>
    </w:p>
    <w:p w14:paraId="07189445" w14:textId="77777777" w:rsidR="004E3BAC" w:rsidRPr="008554D5" w:rsidRDefault="004A69F0" w:rsidP="0046727F">
      <w:r w:rsidRPr="008554D5">
        <w:t>O</w:t>
      </w:r>
      <w:r w:rsidR="00A7039E" w:rsidRPr="008554D5">
        <w:t>perat</w:t>
      </w:r>
      <w:r w:rsidRPr="008554D5">
        <w:t xml:space="preserve">ing </w:t>
      </w:r>
      <w:r w:rsidR="00A7039E" w:rsidRPr="008554D5">
        <w:t xml:space="preserve">at a more strategic </w:t>
      </w:r>
      <w:r w:rsidRPr="008554D5">
        <w:t xml:space="preserve">level requires greater connection with peaks, industry, </w:t>
      </w:r>
      <w:r w:rsidR="00E0523C" w:rsidRPr="008554D5">
        <w:t xml:space="preserve">leadership alliances and professional </w:t>
      </w:r>
      <w:r w:rsidRPr="008554D5">
        <w:t xml:space="preserve">associations at </w:t>
      </w:r>
      <w:r w:rsidR="001573E3" w:rsidRPr="008554D5">
        <w:t>a national</w:t>
      </w:r>
      <w:r w:rsidR="00A7039E" w:rsidRPr="008554D5">
        <w:t xml:space="preserve"> level</w:t>
      </w:r>
      <w:r w:rsidRPr="008554D5">
        <w:t>.</w:t>
      </w:r>
      <w:r w:rsidR="00A7039E" w:rsidRPr="008554D5">
        <w:t xml:space="preserve"> </w:t>
      </w:r>
    </w:p>
    <w:p w14:paraId="2E3746C7" w14:textId="77777777" w:rsidR="00854779" w:rsidRPr="008554D5" w:rsidRDefault="000829DE" w:rsidP="0046727F">
      <w:r w:rsidRPr="008554D5">
        <w:t>The review highlighted a need for the program to be better connected with</w:t>
      </w:r>
      <w:r w:rsidR="00E0523C" w:rsidRPr="008554D5">
        <w:t xml:space="preserve"> these</w:t>
      </w:r>
      <w:r w:rsidRPr="008554D5">
        <w:t xml:space="preserve"> </w:t>
      </w:r>
      <w:r w:rsidR="008A27D1" w:rsidRPr="008554D5">
        <w:t>stakeholder</w:t>
      </w:r>
      <w:r w:rsidR="00975CCA" w:rsidRPr="008554D5">
        <w:t>s</w:t>
      </w:r>
      <w:r w:rsidR="008A27D1" w:rsidRPr="008554D5">
        <w:t xml:space="preserve"> that </w:t>
      </w:r>
      <w:r w:rsidR="00A16C45" w:rsidRPr="008554D5">
        <w:t xml:space="preserve">have high interest, responsibility and influence within the </w:t>
      </w:r>
      <w:r w:rsidR="005F6F0B" w:rsidRPr="008554D5">
        <w:t xml:space="preserve">tertiary disability </w:t>
      </w:r>
      <w:r w:rsidR="00A16C45" w:rsidRPr="008554D5">
        <w:t xml:space="preserve">equity ecosystem. </w:t>
      </w:r>
    </w:p>
    <w:p w14:paraId="305B72B7" w14:textId="55801876" w:rsidR="00885F7F" w:rsidRPr="008554D5" w:rsidRDefault="00291F2A" w:rsidP="0046727F">
      <w:r w:rsidRPr="008554D5">
        <w:t xml:space="preserve">Ideally </w:t>
      </w:r>
      <w:r w:rsidR="003B39DF" w:rsidRPr="008554D5">
        <w:t>representation</w:t>
      </w:r>
      <w:r w:rsidRPr="008554D5">
        <w:t xml:space="preserve"> should be at a senior level and include </w:t>
      </w:r>
      <w:r w:rsidR="003B39DF" w:rsidRPr="008554D5">
        <w:t>coverage of</w:t>
      </w:r>
      <w:r w:rsidRPr="008554D5">
        <w:t xml:space="preserve"> the university and vocational education sector in order to drive change. </w:t>
      </w:r>
      <w:r w:rsidR="00565F39" w:rsidRPr="008554D5">
        <w:t>Stakeholders have advised that there is no forum that brings these parties together, and th</w:t>
      </w:r>
      <w:r w:rsidR="00120E96" w:rsidRPr="008554D5">
        <w:t xml:space="preserve">at </w:t>
      </w:r>
      <w:r w:rsidR="00DF7672" w:rsidRPr="008554D5">
        <w:t>national</w:t>
      </w:r>
      <w:r w:rsidR="00885F7F" w:rsidRPr="008554D5">
        <w:t xml:space="preserve"> strategic engagement with </w:t>
      </w:r>
      <w:r w:rsidR="00AF21AA" w:rsidRPr="008554D5">
        <w:t xml:space="preserve">peaks </w:t>
      </w:r>
      <w:r w:rsidR="007279C0" w:rsidRPr="008554D5">
        <w:t>is a key barrier to this program</w:t>
      </w:r>
      <w:r w:rsidR="00885F7F" w:rsidRPr="008554D5">
        <w:t xml:space="preserve"> hav</w:t>
      </w:r>
      <w:r w:rsidR="003B39DF" w:rsidRPr="008554D5">
        <w:t>ing</w:t>
      </w:r>
      <w:r w:rsidR="00885F7F" w:rsidRPr="008554D5">
        <w:t xml:space="preserve"> greater impact. </w:t>
      </w:r>
    </w:p>
    <w:p w14:paraId="136563A3" w14:textId="452F8DA0" w:rsidR="003A4219" w:rsidRPr="008554D5" w:rsidRDefault="00786886" w:rsidP="0046727F">
      <w:r w:rsidRPr="008554D5">
        <w:t xml:space="preserve">It is recommended that the program </w:t>
      </w:r>
      <w:r w:rsidR="00714889" w:rsidRPr="008554D5">
        <w:t xml:space="preserve">establish </w:t>
      </w:r>
      <w:r w:rsidR="006F76B3" w:rsidRPr="008554D5">
        <w:t>a mechanism</w:t>
      </w:r>
      <w:r w:rsidR="007279C0" w:rsidRPr="008554D5">
        <w:t xml:space="preserve"> </w:t>
      </w:r>
      <w:r w:rsidR="00831EDC" w:rsidRPr="008554D5">
        <w:t>(</w:t>
      </w:r>
      <w:r w:rsidR="007279C0" w:rsidRPr="008554D5">
        <w:t xml:space="preserve">i.e. </w:t>
      </w:r>
      <w:r w:rsidR="00714889" w:rsidRPr="008554D5">
        <w:t xml:space="preserve">a </w:t>
      </w:r>
      <w:r w:rsidR="00E94F05" w:rsidRPr="008554D5">
        <w:t>‘</w:t>
      </w:r>
      <w:r w:rsidR="00714889" w:rsidRPr="008554D5">
        <w:t>backbone</w:t>
      </w:r>
      <w:r w:rsidR="00E94F05" w:rsidRPr="008554D5">
        <w:t>’</w:t>
      </w:r>
      <w:r w:rsidR="00831EDC" w:rsidRPr="008554D5">
        <w:t>)</w:t>
      </w:r>
      <w:r w:rsidR="00714889" w:rsidRPr="008554D5">
        <w:t xml:space="preserve"> </w:t>
      </w:r>
      <w:r w:rsidR="009C1E30" w:rsidRPr="008554D5">
        <w:t xml:space="preserve">to </w:t>
      </w:r>
      <w:r w:rsidRPr="008554D5">
        <w:t xml:space="preserve">support </w:t>
      </w:r>
      <w:r w:rsidR="00E07AB7" w:rsidRPr="008554D5">
        <w:t>a</w:t>
      </w:r>
      <w:r w:rsidR="009F6110" w:rsidRPr="008554D5">
        <w:t xml:space="preserve"> strategic network</w:t>
      </w:r>
      <w:r w:rsidR="00E07AB7" w:rsidRPr="008554D5">
        <w:t xml:space="preserve"> to</w:t>
      </w:r>
      <w:r w:rsidR="009F6110" w:rsidRPr="008554D5">
        <w:t xml:space="preserve"> </w:t>
      </w:r>
      <w:r w:rsidR="00987526" w:rsidRPr="008554D5">
        <w:t>come together</w:t>
      </w:r>
      <w:r w:rsidR="00E07AB7" w:rsidRPr="008554D5">
        <w:t xml:space="preserve"> </w:t>
      </w:r>
      <w:r w:rsidR="009F6110" w:rsidRPr="008554D5">
        <w:t>based on</w:t>
      </w:r>
      <w:r w:rsidR="00FA084A" w:rsidRPr="008554D5">
        <w:t xml:space="preserve"> a</w:t>
      </w:r>
      <w:r w:rsidR="009F6110" w:rsidRPr="008554D5">
        <w:t xml:space="preserve"> shared commitment for change, c</w:t>
      </w:r>
      <w:r w:rsidR="0087393F" w:rsidRPr="008554D5">
        <w:t>ollaborative relati</w:t>
      </w:r>
      <w:r w:rsidR="006E58C2" w:rsidRPr="008554D5">
        <w:t xml:space="preserve">onships and </w:t>
      </w:r>
      <w:r w:rsidR="009F6110" w:rsidRPr="008554D5">
        <w:t xml:space="preserve">activity </w:t>
      </w:r>
      <w:r w:rsidR="006E58C2" w:rsidRPr="008554D5">
        <w:t>partnerships</w:t>
      </w:r>
      <w:r w:rsidRPr="008554D5">
        <w:t>.</w:t>
      </w:r>
      <w:r w:rsidR="006E58C2" w:rsidRPr="008554D5">
        <w:t xml:space="preserve"> </w:t>
      </w:r>
      <w:r w:rsidR="00C5561F" w:rsidRPr="008554D5">
        <w:t xml:space="preserve">Creation of such a </w:t>
      </w:r>
      <w:r w:rsidR="00671BFA" w:rsidRPr="008554D5">
        <w:t>forum</w:t>
      </w:r>
      <w:r w:rsidR="00C5561F" w:rsidRPr="008554D5">
        <w:t xml:space="preserve"> </w:t>
      </w:r>
      <w:r w:rsidR="00D56733" w:rsidRPr="008554D5">
        <w:t xml:space="preserve">has the potential to create greater impact </w:t>
      </w:r>
      <w:r w:rsidR="00EB04D6" w:rsidRPr="008554D5">
        <w:t>by</w:t>
      </w:r>
      <w:r w:rsidR="00D47FD4" w:rsidRPr="008554D5">
        <w:t xml:space="preserve"> </w:t>
      </w:r>
      <w:r w:rsidR="00475AC6" w:rsidRPr="008554D5">
        <w:t xml:space="preserve">extending the </w:t>
      </w:r>
      <w:r w:rsidR="006B0DB2" w:rsidRPr="008554D5">
        <w:t xml:space="preserve">support for and </w:t>
      </w:r>
      <w:r w:rsidR="00475AC6" w:rsidRPr="008554D5">
        <w:t>reach</w:t>
      </w:r>
      <w:r w:rsidR="00333901" w:rsidRPr="008554D5">
        <w:t xml:space="preserve"> </w:t>
      </w:r>
      <w:r w:rsidR="00B674CE" w:rsidRPr="008554D5">
        <w:t>of program activities</w:t>
      </w:r>
      <w:r w:rsidR="00E807D0" w:rsidRPr="008554D5">
        <w:t xml:space="preserve">, </w:t>
      </w:r>
      <w:r w:rsidR="002F566D" w:rsidRPr="008554D5">
        <w:t xml:space="preserve">connecting </w:t>
      </w:r>
      <w:r w:rsidR="006B0DB2" w:rsidRPr="008554D5">
        <w:t>stakeholders</w:t>
      </w:r>
      <w:r w:rsidR="00BF0AED" w:rsidRPr="008554D5">
        <w:t xml:space="preserve"> </w:t>
      </w:r>
      <w:r w:rsidR="002F566D" w:rsidRPr="008554D5">
        <w:t xml:space="preserve">and mobilising </w:t>
      </w:r>
      <w:r w:rsidR="00475AC6" w:rsidRPr="008554D5">
        <w:t>areas of the sector</w:t>
      </w:r>
      <w:r w:rsidR="002F566D" w:rsidRPr="008554D5">
        <w:t>.</w:t>
      </w:r>
    </w:p>
    <w:p w14:paraId="24BB6C54" w14:textId="6EC00637" w:rsidR="002975F9" w:rsidRPr="008554D5" w:rsidRDefault="00807589" w:rsidP="0046727F">
      <w:r w:rsidRPr="008554D5">
        <w:t>The benefits</w:t>
      </w:r>
      <w:r w:rsidR="00CB5116" w:rsidRPr="008554D5">
        <w:t xml:space="preserve"> of this connection are reciprocal</w:t>
      </w:r>
      <w:r w:rsidR="009145F6" w:rsidRPr="008554D5">
        <w:t>,</w:t>
      </w:r>
      <w:r w:rsidR="00CB5116" w:rsidRPr="008554D5">
        <w:t xml:space="preserve"> with </w:t>
      </w:r>
      <w:r w:rsidR="00453A39" w:rsidRPr="008554D5">
        <w:t>stakeholders having a greater connection to government programs</w:t>
      </w:r>
      <w:r w:rsidR="0005461B" w:rsidRPr="008554D5">
        <w:t xml:space="preserve"> </w:t>
      </w:r>
      <w:r w:rsidR="003A4219" w:rsidRPr="008554D5">
        <w:t xml:space="preserve">and contribution into </w:t>
      </w:r>
      <w:r w:rsidR="0005461B" w:rsidRPr="008554D5">
        <w:t xml:space="preserve">program </w:t>
      </w:r>
      <w:r w:rsidR="00AC1DE0" w:rsidRPr="008554D5">
        <w:t>and</w:t>
      </w:r>
      <w:r w:rsidR="0005461B" w:rsidRPr="008554D5">
        <w:t xml:space="preserve"> resource design</w:t>
      </w:r>
      <w:r w:rsidR="003A4219" w:rsidRPr="008554D5">
        <w:t>. In turn</w:t>
      </w:r>
      <w:r w:rsidR="009145F6" w:rsidRPr="008554D5">
        <w:t>,</w:t>
      </w:r>
      <w:r w:rsidR="003A4219" w:rsidRPr="008554D5">
        <w:t xml:space="preserve"> this </w:t>
      </w:r>
      <w:r w:rsidR="00464679" w:rsidRPr="008554D5">
        <w:t>provides</w:t>
      </w:r>
      <w:r w:rsidR="003A4219" w:rsidRPr="008554D5">
        <w:t xml:space="preserve"> </w:t>
      </w:r>
      <w:r w:rsidR="00464679" w:rsidRPr="008554D5">
        <w:t xml:space="preserve">greater </w:t>
      </w:r>
      <w:r w:rsidR="003A4219" w:rsidRPr="008554D5">
        <w:t>visibility and status of the program</w:t>
      </w:r>
      <w:r w:rsidR="00845B56" w:rsidRPr="008554D5">
        <w:t xml:space="preserve">, </w:t>
      </w:r>
      <w:r w:rsidR="00464679" w:rsidRPr="008554D5">
        <w:t>improved</w:t>
      </w:r>
      <w:r w:rsidR="001622EF" w:rsidRPr="008554D5">
        <w:t xml:space="preserve"> understanding of diverse stakeholder perspective</w:t>
      </w:r>
      <w:r w:rsidR="00464679" w:rsidRPr="008554D5">
        <w:t>s</w:t>
      </w:r>
      <w:r w:rsidR="001622EF" w:rsidRPr="008554D5">
        <w:t xml:space="preserve"> on implementation issues</w:t>
      </w:r>
      <w:r w:rsidR="005C50BE" w:rsidRPr="008554D5">
        <w:t>,</w:t>
      </w:r>
      <w:r w:rsidR="001622EF" w:rsidRPr="008554D5">
        <w:t xml:space="preserve"> and </w:t>
      </w:r>
      <w:r w:rsidR="00D264C9" w:rsidRPr="008554D5">
        <w:t>partnership</w:t>
      </w:r>
      <w:r w:rsidR="00AB64E2" w:rsidRPr="008554D5">
        <w:t>s</w:t>
      </w:r>
      <w:r w:rsidR="00845B56" w:rsidRPr="008554D5">
        <w:t xml:space="preserve"> for designing </w:t>
      </w:r>
      <w:r w:rsidR="003C403C" w:rsidRPr="008554D5">
        <w:t xml:space="preserve">and implementing </w:t>
      </w:r>
      <w:r w:rsidR="00845B56" w:rsidRPr="008554D5">
        <w:t>solutions</w:t>
      </w:r>
      <w:r w:rsidR="003C403C" w:rsidRPr="008554D5">
        <w:t>.</w:t>
      </w:r>
    </w:p>
    <w:p w14:paraId="760DDA14" w14:textId="3360D816" w:rsidR="00464F23" w:rsidRPr="008554D5" w:rsidRDefault="008554D5" w:rsidP="0046727F">
      <w:r>
        <w:t>Compatible with the findings of this review and broader progress within the disability sector</w:t>
      </w:r>
      <w:r w:rsidR="002E691C">
        <w:t>,</w:t>
      </w:r>
      <w:r>
        <w:t xml:space="preserve"> </w:t>
      </w:r>
      <w:r w:rsidR="00BF7677" w:rsidRPr="008554D5">
        <w:t xml:space="preserve">it is critical that this network include </w:t>
      </w:r>
      <w:r w:rsidR="00E763E9" w:rsidRPr="008554D5">
        <w:t xml:space="preserve">a </w:t>
      </w:r>
      <w:r w:rsidR="00E763E9" w:rsidRPr="00D66066">
        <w:t xml:space="preserve">representative voice of </w:t>
      </w:r>
      <w:r w:rsidR="00E763E9" w:rsidRPr="005F7DAB">
        <w:t xml:space="preserve">tertiary students </w:t>
      </w:r>
      <w:r w:rsidR="00991256" w:rsidRPr="005F7DAB">
        <w:t>with disability</w:t>
      </w:r>
      <w:r w:rsidR="00E763E9" w:rsidRPr="008554D5">
        <w:t>.</w:t>
      </w:r>
      <w:r w:rsidR="00951DCC" w:rsidRPr="008554D5">
        <w:t xml:space="preserve"> </w:t>
      </w:r>
      <w:r w:rsidR="00CE2E77" w:rsidRPr="008554D5">
        <w:t>The value they have provided to the design ideas for this review</w:t>
      </w:r>
      <w:r w:rsidR="00467AC3" w:rsidRPr="008554D5">
        <w:t xml:space="preserve"> should not be underestimated, and the quality of solutions</w:t>
      </w:r>
      <w:r w:rsidR="00BC053A" w:rsidRPr="008554D5">
        <w:t xml:space="preserve"> </w:t>
      </w:r>
      <w:r w:rsidR="009401E3" w:rsidRPr="008554D5">
        <w:t>/</w:t>
      </w:r>
      <w:r w:rsidR="00BC053A" w:rsidRPr="008554D5">
        <w:t xml:space="preserve"> </w:t>
      </w:r>
      <w:r w:rsidR="009401E3" w:rsidRPr="008554D5">
        <w:t xml:space="preserve">activities of the program </w:t>
      </w:r>
      <w:r w:rsidR="00467AC3" w:rsidRPr="008554D5">
        <w:t>going forward would be greatly enhanced</w:t>
      </w:r>
      <w:r w:rsidR="009401E3" w:rsidRPr="008554D5">
        <w:t xml:space="preserve"> through the expertise of lived experience. </w:t>
      </w:r>
    </w:p>
    <w:p w14:paraId="262E7618" w14:textId="68606DE3" w:rsidR="00B46EFC" w:rsidRDefault="00B46EFC" w:rsidP="0046727F">
      <w:r w:rsidRPr="008554D5">
        <w:t xml:space="preserve">Given the </w:t>
      </w:r>
      <w:r w:rsidR="00420A8E" w:rsidRPr="008554D5">
        <w:t xml:space="preserve">high proportion of students that access private registered training organisations, </w:t>
      </w:r>
      <w:r w:rsidR="00A03879" w:rsidRPr="008554D5">
        <w:t>fu</w:t>
      </w:r>
      <w:r w:rsidR="00773546" w:rsidRPr="008554D5">
        <w:t xml:space="preserve">rther </w:t>
      </w:r>
      <w:r w:rsidR="00420A8E" w:rsidRPr="008554D5">
        <w:t>consideration should be given to their engagement</w:t>
      </w:r>
      <w:r w:rsidR="007F55B0" w:rsidRPr="008554D5">
        <w:t xml:space="preserve">, particularly as there is no single representative </w:t>
      </w:r>
      <w:r w:rsidR="00614404" w:rsidRPr="008554D5">
        <w:t xml:space="preserve">peak. It might be that </w:t>
      </w:r>
      <w:r w:rsidR="00100C0F" w:rsidRPr="008554D5">
        <w:t>discrete strategic</w:t>
      </w:r>
      <w:r w:rsidR="00100C0F">
        <w:t xml:space="preserve"> engagement occur via alternate mechanisms.</w:t>
      </w:r>
    </w:p>
    <w:p w14:paraId="78E5B9F6" w14:textId="06B7FF45" w:rsidR="00FF6A16" w:rsidRDefault="0056394F" w:rsidP="00FF6A16">
      <w:pPr>
        <w:pStyle w:val="Heading4"/>
      </w:pPr>
      <w:r>
        <w:t>Revised l</w:t>
      </w:r>
      <w:r w:rsidR="00CE53A4">
        <w:t xml:space="preserve">eadership </w:t>
      </w:r>
      <w:r w:rsidR="00F314CD">
        <w:t xml:space="preserve">model </w:t>
      </w:r>
      <w:r w:rsidR="00F16553">
        <w:t>for the program</w:t>
      </w:r>
    </w:p>
    <w:p w14:paraId="6E2A57A7" w14:textId="4B89544F" w:rsidR="006027B5" w:rsidRPr="008554D5" w:rsidRDefault="000C06A9" w:rsidP="0046727F">
      <w:r w:rsidRPr="008554D5">
        <w:t>The review has highlighted the program challenge of being able to influence stakeholders for systemic change</w:t>
      </w:r>
      <w:r w:rsidR="00805023" w:rsidRPr="008554D5">
        <w:t xml:space="preserve">, and </w:t>
      </w:r>
      <w:r w:rsidR="00107850" w:rsidRPr="008554D5">
        <w:t xml:space="preserve">coordinating program activities to align with the program’s strategic intent. </w:t>
      </w:r>
      <w:r w:rsidR="00C6432D" w:rsidRPr="008554D5">
        <w:t>Elevating</w:t>
      </w:r>
      <w:r w:rsidR="0031045B" w:rsidRPr="008554D5">
        <w:t xml:space="preserve"> the strategic connection to </w:t>
      </w:r>
      <w:r w:rsidR="00CE35B4" w:rsidRPr="008554D5">
        <w:t>the</w:t>
      </w:r>
      <w:r w:rsidR="0062520D" w:rsidRPr="008554D5">
        <w:t xml:space="preserve"> broader </w:t>
      </w:r>
      <w:r w:rsidR="0031045B" w:rsidRPr="008554D5">
        <w:t xml:space="preserve">disability equity ecosystem </w:t>
      </w:r>
      <w:r w:rsidR="00202A2A" w:rsidRPr="008554D5">
        <w:t xml:space="preserve">and </w:t>
      </w:r>
      <w:r w:rsidR="009F409E" w:rsidRPr="008554D5">
        <w:t>with stakeholder</w:t>
      </w:r>
      <w:r w:rsidR="00650D1A" w:rsidRPr="008554D5">
        <w:t>s</w:t>
      </w:r>
      <w:r w:rsidR="009F409E" w:rsidRPr="008554D5">
        <w:t xml:space="preserve"> that have</w:t>
      </w:r>
      <w:r w:rsidR="00202A2A" w:rsidRPr="008554D5">
        <w:t xml:space="preserve"> </w:t>
      </w:r>
      <w:r w:rsidR="00026260" w:rsidRPr="008554D5">
        <w:t>national influen</w:t>
      </w:r>
      <w:r w:rsidR="00AA694C" w:rsidRPr="008554D5">
        <w:t>ce</w:t>
      </w:r>
      <w:r w:rsidR="009F409E" w:rsidRPr="008554D5">
        <w:t xml:space="preserve"> </w:t>
      </w:r>
      <w:r w:rsidR="0031045B" w:rsidRPr="008554D5">
        <w:t>also requires an elevation of the program leadership</w:t>
      </w:r>
      <w:r w:rsidR="00A90532" w:rsidRPr="008554D5">
        <w:t xml:space="preserve">. </w:t>
      </w:r>
      <w:r w:rsidR="00B81994" w:rsidRPr="008554D5">
        <w:t>This would assist in program</w:t>
      </w:r>
      <w:r w:rsidR="006D10CC" w:rsidRPr="008554D5">
        <w:t xml:space="preserve"> </w:t>
      </w:r>
      <w:r w:rsidR="00626614" w:rsidRPr="008554D5">
        <w:t>credibility</w:t>
      </w:r>
      <w:r w:rsidR="00F9489F" w:rsidRPr="008554D5">
        <w:t xml:space="preserve"> and</w:t>
      </w:r>
      <w:r w:rsidR="00AE2FFE" w:rsidRPr="008554D5">
        <w:t xml:space="preserve"> </w:t>
      </w:r>
      <w:r w:rsidR="00626614" w:rsidRPr="008554D5">
        <w:t xml:space="preserve">confidence in </w:t>
      </w:r>
      <w:r w:rsidR="00AE2FFE" w:rsidRPr="008554D5">
        <w:t xml:space="preserve">stakeholder </w:t>
      </w:r>
      <w:r w:rsidR="00832B14" w:rsidRPr="008554D5">
        <w:t>partnership</w:t>
      </w:r>
      <w:r w:rsidR="004F7C2C" w:rsidRPr="008554D5">
        <w:t>s</w:t>
      </w:r>
      <w:r w:rsidR="005A1AF1" w:rsidRPr="008554D5">
        <w:t>,</w:t>
      </w:r>
      <w:r w:rsidR="00B25450" w:rsidRPr="008554D5">
        <w:t xml:space="preserve"> and as a further mechanism to increase the status and influence of program activities.</w:t>
      </w:r>
    </w:p>
    <w:p w14:paraId="3E588791" w14:textId="4C58F9DB" w:rsidR="00BA4939" w:rsidRPr="008554D5" w:rsidRDefault="00BA4939" w:rsidP="00BA4939">
      <w:r>
        <w:t xml:space="preserve">We </w:t>
      </w:r>
      <w:r w:rsidR="00A97A7A">
        <w:t>envisage</w:t>
      </w:r>
      <w:r>
        <w:t xml:space="preserve"> a </w:t>
      </w:r>
      <w:r w:rsidRPr="008554D5">
        <w:t xml:space="preserve">revised leadership function </w:t>
      </w:r>
      <w:r w:rsidR="00A97A7A" w:rsidRPr="008554D5">
        <w:t xml:space="preserve">that </w:t>
      </w:r>
      <w:r w:rsidRPr="008554D5">
        <w:t>would serve two critical roles:</w:t>
      </w:r>
    </w:p>
    <w:p w14:paraId="6555952C" w14:textId="2FB173AA" w:rsidR="00BA4939" w:rsidRPr="008554D5" w:rsidRDefault="00BA4939" w:rsidP="00E14791">
      <w:pPr>
        <w:pStyle w:val="ListBullet"/>
      </w:pPr>
      <w:r w:rsidRPr="008554D5">
        <w:t xml:space="preserve">overarching </w:t>
      </w:r>
      <w:r w:rsidRPr="00D66066">
        <w:t xml:space="preserve">program oversight and </w:t>
      </w:r>
      <w:r w:rsidR="00955298" w:rsidRPr="00D66066">
        <w:t>leadership</w:t>
      </w:r>
      <w:r w:rsidR="00955298" w:rsidRPr="008554D5">
        <w:t xml:space="preserve"> on </w:t>
      </w:r>
      <w:r w:rsidR="002007C3" w:rsidRPr="008554D5">
        <w:t>progressing</w:t>
      </w:r>
      <w:r w:rsidR="00955298" w:rsidRPr="008554D5">
        <w:t xml:space="preserve"> program priorities</w:t>
      </w:r>
      <w:r w:rsidRPr="008554D5">
        <w:t>; and</w:t>
      </w:r>
    </w:p>
    <w:p w14:paraId="1F48AE79" w14:textId="2952DC43" w:rsidR="00BA4939" w:rsidRPr="00170334" w:rsidRDefault="00BA4939" w:rsidP="00E14791">
      <w:pPr>
        <w:pStyle w:val="ListBullet"/>
      </w:pPr>
      <w:r w:rsidRPr="008554D5">
        <w:t xml:space="preserve">sector </w:t>
      </w:r>
      <w:r w:rsidRPr="00D66066">
        <w:t>partnership</w:t>
      </w:r>
      <w:r w:rsidRPr="008554D5">
        <w:t xml:space="preserve"> engagement to support delivery of program activities. This would include engagement of other </w:t>
      </w:r>
      <w:r w:rsidRPr="00D66066">
        <w:t>enabling</w:t>
      </w:r>
      <w:r w:rsidRPr="008554D5">
        <w:t xml:space="preserve"> programs such as National Centre for Vocational Education Research (NCVER), National Centre for Student</w:t>
      </w:r>
      <w:r w:rsidRPr="00170334">
        <w:t xml:space="preserve"> Equity in Higher Education (NCSEHE)</w:t>
      </w:r>
      <w:r>
        <w:t xml:space="preserve"> and </w:t>
      </w:r>
      <w:r w:rsidRPr="00170334">
        <w:t>Aust. Disability Clearinghouse on Education and Training (ADCET)</w:t>
      </w:r>
      <w:r w:rsidR="006C26F7">
        <w:t xml:space="preserve"> etc</w:t>
      </w:r>
      <w:r w:rsidR="002232BB">
        <w:t>.</w:t>
      </w:r>
    </w:p>
    <w:p w14:paraId="649E08E0" w14:textId="4CE4B734" w:rsidR="00F741DA" w:rsidRDefault="00E13765" w:rsidP="0046727F">
      <w:r w:rsidRPr="008554D5">
        <w:t>The Department would</w:t>
      </w:r>
      <w:r w:rsidR="005F0994" w:rsidRPr="008554D5">
        <w:t xml:space="preserve"> </w:t>
      </w:r>
      <w:r w:rsidR="00585E52" w:rsidRPr="008554D5">
        <w:t xml:space="preserve">need </w:t>
      </w:r>
      <w:r w:rsidR="00A05848" w:rsidRPr="008554D5">
        <w:t xml:space="preserve">to </w:t>
      </w:r>
      <w:r w:rsidR="0057439E" w:rsidRPr="008554D5">
        <w:t xml:space="preserve">guide and </w:t>
      </w:r>
      <w:r w:rsidR="00FF71C8" w:rsidRPr="008554D5">
        <w:t xml:space="preserve">endorse the overarching strategic plan and </w:t>
      </w:r>
      <w:r w:rsidR="002B4FA8" w:rsidRPr="008554D5">
        <w:t xml:space="preserve">contribute to the program management through </w:t>
      </w:r>
      <w:r w:rsidR="003336A9" w:rsidRPr="008554D5">
        <w:t xml:space="preserve">insights </w:t>
      </w:r>
      <w:r w:rsidR="0057439E" w:rsidRPr="008554D5">
        <w:t xml:space="preserve">and </w:t>
      </w:r>
      <w:r w:rsidR="00C7690F" w:rsidRPr="008554D5">
        <w:t xml:space="preserve">identification of </w:t>
      </w:r>
      <w:r w:rsidR="0057439E" w:rsidRPr="008554D5">
        <w:t xml:space="preserve">opportunities </w:t>
      </w:r>
      <w:r w:rsidR="00C7690F" w:rsidRPr="008554D5">
        <w:t>to collaborate with other</w:t>
      </w:r>
      <w:r w:rsidR="003336A9" w:rsidRPr="008554D5">
        <w:t xml:space="preserve"> government programs</w:t>
      </w:r>
      <w:r w:rsidR="0057439E" w:rsidRPr="008554D5">
        <w:t>.</w:t>
      </w:r>
      <w:r w:rsidR="00A673CE" w:rsidRPr="008554D5">
        <w:t xml:space="preserve"> We expect</w:t>
      </w:r>
      <w:r w:rsidR="00A673CE">
        <w:t xml:space="preserve"> this initial period of reform implementation will bring many changes</w:t>
      </w:r>
      <w:r w:rsidR="003420E5">
        <w:t>,</w:t>
      </w:r>
      <w:r w:rsidR="00A673CE">
        <w:t xml:space="preserve"> and it is important th</w:t>
      </w:r>
      <w:r w:rsidR="008B60FD">
        <w:t>e program continues to keep pace</w:t>
      </w:r>
      <w:r w:rsidR="00310517">
        <w:t xml:space="preserve"> with other developments</w:t>
      </w:r>
      <w:r w:rsidR="00E75089">
        <w:t>.</w:t>
      </w:r>
    </w:p>
    <w:p w14:paraId="791FF140" w14:textId="1AD784BD" w:rsidR="004A124F" w:rsidRDefault="007A02C5" w:rsidP="00256BA1">
      <w:r>
        <w:t xml:space="preserve">Functionally, there are a few options </w:t>
      </w:r>
      <w:r w:rsidR="00CC59D4">
        <w:t xml:space="preserve">around the delivery of the program that will influence </w:t>
      </w:r>
      <w:r w:rsidR="00AF42A9">
        <w:t xml:space="preserve">the leadership </w:t>
      </w:r>
      <w:r w:rsidR="00F07AA9">
        <w:t xml:space="preserve">model </w:t>
      </w:r>
      <w:r w:rsidR="00E1673A">
        <w:t>adopted</w:t>
      </w:r>
      <w:r w:rsidR="00F07AA9">
        <w:t xml:space="preserve">.  We envisage a model that is aligned with </w:t>
      </w:r>
      <w:r w:rsidR="00A97A7A">
        <w:t xml:space="preserve">the </w:t>
      </w:r>
      <w:r w:rsidR="00256BA1">
        <w:t>adopt</w:t>
      </w:r>
      <w:r w:rsidR="00A97A7A">
        <w:t>ion of</w:t>
      </w:r>
      <w:r w:rsidR="00256BA1">
        <w:t xml:space="preserve"> a</w:t>
      </w:r>
      <w:r w:rsidR="004A124F">
        <w:t xml:space="preserve"> partnership delivery model</w:t>
      </w:r>
      <w:r w:rsidR="00256BA1">
        <w:t xml:space="preserve">. </w:t>
      </w:r>
    </w:p>
    <w:p w14:paraId="516DCD6C" w14:textId="4873EA46" w:rsidR="00693D51" w:rsidRDefault="00693D51" w:rsidP="00693D51">
      <w:pPr>
        <w:pStyle w:val="Heading4"/>
      </w:pPr>
      <w:r>
        <w:t xml:space="preserve">Adopt a partnership delivery model </w:t>
      </w:r>
    </w:p>
    <w:p w14:paraId="0F118CBE" w14:textId="71FC6627" w:rsidR="0054259A" w:rsidRPr="008554D5" w:rsidRDefault="0054259A" w:rsidP="0046727F">
      <w:r>
        <w:t>The cu</w:t>
      </w:r>
      <w:r w:rsidR="00D54662">
        <w:t xml:space="preserve">rrent Host Provider model </w:t>
      </w:r>
      <w:r w:rsidR="007E27F1">
        <w:t>is seemingly</w:t>
      </w:r>
      <w:r w:rsidR="005D5242">
        <w:t xml:space="preserve"> becoming </w:t>
      </w:r>
      <w:r w:rsidR="000307EB">
        <w:t>of less value to host organisation</w:t>
      </w:r>
      <w:r w:rsidR="00B218F8">
        <w:t>s</w:t>
      </w:r>
      <w:r w:rsidR="00BD33DB">
        <w:t xml:space="preserve"> and limiting </w:t>
      </w:r>
      <w:r w:rsidR="00B218F8">
        <w:t>the</w:t>
      </w:r>
      <w:r w:rsidR="00442371">
        <w:t xml:space="preserve"> broader</w:t>
      </w:r>
      <w:r w:rsidR="00DE2B52">
        <w:t xml:space="preserve"> impact of the program.</w:t>
      </w:r>
      <w:r w:rsidR="00F9337E">
        <w:t xml:space="preserve"> </w:t>
      </w:r>
      <w:r w:rsidR="00C634A0">
        <w:t>Host</w:t>
      </w:r>
      <w:r w:rsidR="00F9337E">
        <w:t xml:space="preserve"> </w:t>
      </w:r>
      <w:r w:rsidR="006F2D40">
        <w:t>P</w:t>
      </w:r>
      <w:r w:rsidR="00F9337E">
        <w:t>roviders</w:t>
      </w:r>
      <w:r w:rsidR="00DE2B52">
        <w:t xml:space="preserve"> </w:t>
      </w:r>
      <w:r w:rsidR="00C634A0">
        <w:t xml:space="preserve">have noted </w:t>
      </w:r>
      <w:r w:rsidR="00496E8A">
        <w:t xml:space="preserve">the </w:t>
      </w:r>
      <w:r w:rsidR="00C634A0">
        <w:t>c</w:t>
      </w:r>
      <w:r w:rsidR="00872434">
        <w:t xml:space="preserve">ontractual arrangements in place </w:t>
      </w:r>
      <w:r w:rsidR="007021CF">
        <w:t>confuse</w:t>
      </w:r>
      <w:r w:rsidR="00383F12">
        <w:t xml:space="preserve"> and </w:t>
      </w:r>
      <w:r w:rsidR="00872434" w:rsidRPr="008554D5">
        <w:t>limit</w:t>
      </w:r>
      <w:r w:rsidR="00F9337E" w:rsidRPr="008554D5">
        <w:t xml:space="preserve"> their ability to support strategic endeavours</w:t>
      </w:r>
      <w:r w:rsidR="00B347C5" w:rsidRPr="008554D5">
        <w:t xml:space="preserve"> of the program. </w:t>
      </w:r>
      <w:r w:rsidR="00DB77CA" w:rsidRPr="008554D5">
        <w:t>NDCOs and practitioners</w:t>
      </w:r>
      <w:r w:rsidR="00BB064D" w:rsidRPr="008554D5">
        <w:t>,</w:t>
      </w:r>
      <w:r w:rsidR="00DB77CA" w:rsidRPr="008554D5">
        <w:t xml:space="preserve"> </w:t>
      </w:r>
      <w:r w:rsidR="007D2C85" w:rsidRPr="008554D5">
        <w:t>while</w:t>
      </w:r>
      <w:r w:rsidR="007A2D24" w:rsidRPr="008554D5">
        <w:t xml:space="preserve"> disposed to retaining multiple partners for delivery, </w:t>
      </w:r>
      <w:r w:rsidR="00865B52" w:rsidRPr="008554D5">
        <w:t>express the need for greater coordination</w:t>
      </w:r>
      <w:r w:rsidR="007F7FB9" w:rsidRPr="008554D5">
        <w:t xml:space="preserve"> of activities. </w:t>
      </w:r>
    </w:p>
    <w:p w14:paraId="335D3A91" w14:textId="61659DE7" w:rsidR="0098172F" w:rsidRPr="008554D5" w:rsidRDefault="002426BD" w:rsidP="0098172F">
      <w:r w:rsidRPr="008554D5">
        <w:t xml:space="preserve">We recommend that this </w:t>
      </w:r>
      <w:r w:rsidR="00B369AB" w:rsidRPr="008554D5">
        <w:t xml:space="preserve">current model of Host </w:t>
      </w:r>
      <w:r w:rsidR="00D47146" w:rsidRPr="008554D5">
        <w:t xml:space="preserve">Provider </w:t>
      </w:r>
      <w:r w:rsidR="00B369AB" w:rsidRPr="008554D5">
        <w:t>arrangements be</w:t>
      </w:r>
      <w:r w:rsidR="00145F59" w:rsidRPr="008554D5">
        <w:t xml:space="preserve"> reformed</w:t>
      </w:r>
      <w:r w:rsidR="00CE194C" w:rsidRPr="008554D5">
        <w:t xml:space="preserve"> to a ‘partnership’ model that provides partners with a greater </w:t>
      </w:r>
      <w:r w:rsidR="00714B6E" w:rsidRPr="008554D5">
        <w:t>input and stake in</w:t>
      </w:r>
      <w:r w:rsidR="00996DE2" w:rsidRPr="008554D5">
        <w:t xml:space="preserve"> the delivery of </w:t>
      </w:r>
      <w:r w:rsidR="00AE0AE3" w:rsidRPr="008554D5">
        <w:t xml:space="preserve">the </w:t>
      </w:r>
      <w:r w:rsidR="00714B6E" w:rsidRPr="008554D5">
        <w:t>program</w:t>
      </w:r>
      <w:r w:rsidR="00AE0AE3" w:rsidRPr="008554D5">
        <w:t>’s</w:t>
      </w:r>
      <w:r w:rsidR="00714B6E" w:rsidRPr="008554D5">
        <w:t xml:space="preserve"> strategic activities. This partnership would be based on mutual benefit for the </w:t>
      </w:r>
      <w:r w:rsidR="001724C3" w:rsidRPr="008554D5">
        <w:t>partner</w:t>
      </w:r>
      <w:r w:rsidR="0086123F" w:rsidRPr="008554D5">
        <w:t>,</w:t>
      </w:r>
      <w:r w:rsidR="001724C3" w:rsidRPr="008554D5">
        <w:t xml:space="preserve"> and the program</w:t>
      </w:r>
      <w:r w:rsidR="0098172F" w:rsidRPr="008554D5">
        <w:t xml:space="preserve"> outcomes based on </w:t>
      </w:r>
      <w:r w:rsidR="00D54175" w:rsidRPr="008554D5">
        <w:t xml:space="preserve">the </w:t>
      </w:r>
      <w:r w:rsidR="0098172F" w:rsidRPr="008554D5">
        <w:t xml:space="preserve">revised priorities. </w:t>
      </w:r>
    </w:p>
    <w:p w14:paraId="625BE0A1" w14:textId="09DE8458" w:rsidR="00AD2C26" w:rsidRDefault="00397CAE" w:rsidP="00AD2C26">
      <w:r>
        <w:t xml:space="preserve">While the partnership delivery model </w:t>
      </w:r>
      <w:r w:rsidR="00AD2C26">
        <w:t xml:space="preserve">would be dependent upon </w:t>
      </w:r>
      <w:r>
        <w:t xml:space="preserve">priorities and </w:t>
      </w:r>
      <w:r w:rsidR="00AD2C26">
        <w:t>activities adopted</w:t>
      </w:r>
      <w:r w:rsidR="0086123F">
        <w:t>,</w:t>
      </w:r>
      <w:r w:rsidR="00AD2C26">
        <w:t xml:space="preserve"> we would recommend the following be considered in taking the program forward</w:t>
      </w:r>
      <w:r w:rsidR="00F01DDE">
        <w:t>:</w:t>
      </w:r>
    </w:p>
    <w:p w14:paraId="56D0E8FE" w14:textId="112EA380" w:rsidR="00372FCE" w:rsidRDefault="00A75ED1" w:rsidP="00E14791">
      <w:pPr>
        <w:pStyle w:val="ListBullet"/>
      </w:pPr>
      <w:r>
        <w:t>To</w:t>
      </w:r>
      <w:r w:rsidR="00372FCE">
        <w:t xml:space="preserve"> align with the strategic objectives of the program, it would be prudent to consider delivery partner</w:t>
      </w:r>
      <w:r w:rsidR="00961C07">
        <w:t xml:space="preserve">(s) </w:t>
      </w:r>
      <w:r w:rsidR="00F73D32">
        <w:t>of</w:t>
      </w:r>
      <w:r w:rsidR="00372FCE">
        <w:t xml:space="preserve"> peak, industry, professional associations etc. and</w:t>
      </w:r>
      <w:r w:rsidR="00B1409F">
        <w:t xml:space="preserve"> </w:t>
      </w:r>
      <w:r w:rsidR="00372FCE">
        <w:t>/</w:t>
      </w:r>
      <w:r w:rsidR="00B1409F">
        <w:t xml:space="preserve"> </w:t>
      </w:r>
      <w:r w:rsidR="00372FCE">
        <w:t xml:space="preserve">or where specific areas of excellence and leadership are observed. </w:t>
      </w:r>
    </w:p>
    <w:p w14:paraId="2105D9B9" w14:textId="77777777" w:rsidR="0099017C" w:rsidRDefault="00A370F6" w:rsidP="00E14791">
      <w:pPr>
        <w:pStyle w:val="ListBullet"/>
      </w:pPr>
      <w:r>
        <w:t xml:space="preserve">It would be likely that multiple partners would be required </w:t>
      </w:r>
      <w:r w:rsidR="00DD66AF">
        <w:t>to en</w:t>
      </w:r>
      <w:r w:rsidR="0099017C">
        <w:t>able:</w:t>
      </w:r>
      <w:r w:rsidR="00DD66AF">
        <w:t xml:space="preserve"> </w:t>
      </w:r>
    </w:p>
    <w:p w14:paraId="79829B68" w14:textId="37786DC6" w:rsidR="00BD3F4D" w:rsidRDefault="00DA1389" w:rsidP="00E14791">
      <w:pPr>
        <w:pStyle w:val="ListBullet"/>
        <w:numPr>
          <w:ilvl w:val="1"/>
          <w:numId w:val="25"/>
        </w:numPr>
      </w:pPr>
      <w:r>
        <w:t>e</w:t>
      </w:r>
      <w:r w:rsidR="0093166C">
        <w:t xml:space="preserve">xpertise </w:t>
      </w:r>
      <w:r>
        <w:t xml:space="preserve">and the requisite skill </w:t>
      </w:r>
      <w:r w:rsidR="0093166C">
        <w:t xml:space="preserve">in the </w:t>
      </w:r>
      <w:r w:rsidR="00BD3F4D">
        <w:t>delivery of the priority activities</w:t>
      </w:r>
      <w:r>
        <w:t>;</w:t>
      </w:r>
      <w:r w:rsidR="00F93631">
        <w:t xml:space="preserve"> and</w:t>
      </w:r>
    </w:p>
    <w:p w14:paraId="0ABE9844" w14:textId="77777777" w:rsidR="00327149" w:rsidRDefault="00DD66AF" w:rsidP="00E14791">
      <w:pPr>
        <w:pStyle w:val="ListBullet"/>
        <w:numPr>
          <w:ilvl w:val="1"/>
          <w:numId w:val="25"/>
        </w:numPr>
      </w:pPr>
      <w:r>
        <w:t>specialisation and coverage of the disability and tertiary sector</w:t>
      </w:r>
      <w:r w:rsidR="00080681">
        <w:t>,</w:t>
      </w:r>
      <w:r>
        <w:t xml:space="preserve"> including higher education and </w:t>
      </w:r>
      <w:r w:rsidR="00B46EFC">
        <w:t xml:space="preserve">vocational </w:t>
      </w:r>
      <w:r w:rsidR="00080681">
        <w:t xml:space="preserve">education and </w:t>
      </w:r>
      <w:r w:rsidR="00B46EFC">
        <w:t>training.</w:t>
      </w:r>
    </w:p>
    <w:p w14:paraId="6584DFA0" w14:textId="60A0AA2E" w:rsidR="00AD0EFF" w:rsidRDefault="00364846" w:rsidP="00E14791">
      <w:pPr>
        <w:pStyle w:val="ListBullet"/>
      </w:pPr>
      <w:r>
        <w:t xml:space="preserve">Aligned to the need for specialisation, consideration might be given to </w:t>
      </w:r>
      <w:r w:rsidR="00E0159D">
        <w:t xml:space="preserve">partnering with specific </w:t>
      </w:r>
      <w:r w:rsidR="009524D6">
        <w:t>organisations</w:t>
      </w:r>
      <w:r w:rsidR="00983078">
        <w:t xml:space="preserve"> </w:t>
      </w:r>
      <w:r w:rsidR="005F7C19">
        <w:t xml:space="preserve">for </w:t>
      </w:r>
      <w:r w:rsidR="00D97549">
        <w:t>discrete</w:t>
      </w:r>
      <w:r w:rsidR="005F7C19">
        <w:t xml:space="preserve"> </w:t>
      </w:r>
      <w:r w:rsidR="00D97549">
        <w:t>activities</w:t>
      </w:r>
      <w:r w:rsidR="00983078">
        <w:t xml:space="preserve">, </w:t>
      </w:r>
      <w:r w:rsidR="002D7705">
        <w:t xml:space="preserve">depending on the </w:t>
      </w:r>
      <w:r w:rsidR="00983078">
        <w:t xml:space="preserve">expertise required. </w:t>
      </w:r>
    </w:p>
    <w:p w14:paraId="57D69F78" w14:textId="2A3462F5" w:rsidR="00364846" w:rsidRDefault="0077337B" w:rsidP="00E14791">
      <w:pPr>
        <w:pStyle w:val="ListBullet"/>
      </w:pPr>
      <w:r>
        <w:t>Where relevant, the ability to support</w:t>
      </w:r>
      <w:r w:rsidR="002C68EB">
        <w:t xml:space="preserve"> national </w:t>
      </w:r>
      <w:r>
        <w:t>program activities</w:t>
      </w:r>
      <w:r w:rsidR="002C68EB">
        <w:t xml:space="preserve">, </w:t>
      </w:r>
      <w:r>
        <w:t>particularly</w:t>
      </w:r>
      <w:r w:rsidR="00E26099">
        <w:t xml:space="preserve"> local </w:t>
      </w:r>
      <w:r w:rsidR="007D342C">
        <w:t xml:space="preserve">access to </w:t>
      </w:r>
      <w:r w:rsidR="00B44E55">
        <w:t>the consultation</w:t>
      </w:r>
      <w:r>
        <w:t xml:space="preserve"> model. </w:t>
      </w:r>
    </w:p>
    <w:p w14:paraId="5E281028" w14:textId="618FFE51" w:rsidR="00B44E55" w:rsidRDefault="00B44E55" w:rsidP="00E14791">
      <w:pPr>
        <w:pStyle w:val="ListBullet"/>
      </w:pPr>
      <w:r>
        <w:t xml:space="preserve">Any partnerships for delivery should be clear about retaining a discrete focus on students </w:t>
      </w:r>
      <w:r w:rsidR="00991256">
        <w:t>with disability</w:t>
      </w:r>
      <w:r>
        <w:t xml:space="preserve"> in the tertiary sector to ensure it is not </w:t>
      </w:r>
      <w:r w:rsidR="00BB064D">
        <w:t xml:space="preserve">diverted </w:t>
      </w:r>
      <w:r>
        <w:t xml:space="preserve">by other priorities. </w:t>
      </w:r>
    </w:p>
    <w:p w14:paraId="5676941B" w14:textId="17FED95F" w:rsidR="000A21A7" w:rsidRDefault="00E86204" w:rsidP="00E14791">
      <w:pPr>
        <w:pStyle w:val="ListBullet"/>
      </w:pPr>
      <w:r>
        <w:t xml:space="preserve">Delivery partners </w:t>
      </w:r>
      <w:r w:rsidR="007A57B0">
        <w:t xml:space="preserve">engaged </w:t>
      </w:r>
      <w:r w:rsidR="006E4F0E">
        <w:t xml:space="preserve">should be able to demonstrate </w:t>
      </w:r>
      <w:r w:rsidR="00894FA6">
        <w:t xml:space="preserve">their </w:t>
      </w:r>
      <w:r w:rsidR="006E4F0E">
        <w:t xml:space="preserve">ability to </w:t>
      </w:r>
      <w:r w:rsidR="005A6983">
        <w:t xml:space="preserve">work collaboratively to </w:t>
      </w:r>
      <w:r w:rsidR="006E4F0E">
        <w:t xml:space="preserve">support national </w:t>
      </w:r>
      <w:r w:rsidR="000A21A7">
        <w:t>coordination and reporting across the program</w:t>
      </w:r>
      <w:r w:rsidR="00CD5195">
        <w:t>;</w:t>
      </w:r>
      <w:r w:rsidR="00894FA6">
        <w:t xml:space="preserve"> and </w:t>
      </w:r>
      <w:r w:rsidR="00BF2008">
        <w:t>their connection to the broader sector</w:t>
      </w:r>
      <w:r w:rsidR="001423F7">
        <w:t>,</w:t>
      </w:r>
      <w:r w:rsidR="00BF2008">
        <w:t xml:space="preserve"> </w:t>
      </w:r>
      <w:r w:rsidR="00894FA6">
        <w:t xml:space="preserve">and how this supports the </w:t>
      </w:r>
      <w:r w:rsidR="00203064">
        <w:t>reach and impact</w:t>
      </w:r>
      <w:r w:rsidR="00055D10">
        <w:t xml:space="preserve"> o</w:t>
      </w:r>
      <w:r w:rsidR="00CC0458">
        <w:t xml:space="preserve">f program activities. </w:t>
      </w:r>
    </w:p>
    <w:p w14:paraId="56707DF6" w14:textId="3B31E99E" w:rsidR="00A51AC5" w:rsidRDefault="00A51AC5" w:rsidP="00E14791">
      <w:pPr>
        <w:pStyle w:val="ListBullet"/>
      </w:pPr>
      <w:r>
        <w:t>As the ecosystem evolves along with the project priorities</w:t>
      </w:r>
      <w:r w:rsidR="00D86A50">
        <w:t>,</w:t>
      </w:r>
      <w:r>
        <w:t xml:space="preserve"> it would be important to review any partnership arrangements in place. </w:t>
      </w:r>
    </w:p>
    <w:p w14:paraId="5BB35BFD" w14:textId="26F95119" w:rsidR="00DD66AF" w:rsidRDefault="0075098F" w:rsidP="008C17E5">
      <w:r>
        <w:t>D</w:t>
      </w:r>
      <w:r w:rsidR="00A451F9">
        <w:t xml:space="preserve">uring the </w:t>
      </w:r>
      <w:r>
        <w:t xml:space="preserve">desktop research and consultation with </w:t>
      </w:r>
      <w:r w:rsidR="00CD28AD">
        <w:t>stakeholders</w:t>
      </w:r>
      <w:r w:rsidR="00B61CC8">
        <w:t>,</w:t>
      </w:r>
      <w:r>
        <w:t xml:space="preserve"> </w:t>
      </w:r>
      <w:r w:rsidR="00CD28AD">
        <w:t xml:space="preserve">different models were </w:t>
      </w:r>
      <w:r w:rsidR="00E74A58">
        <w:t xml:space="preserve">identified beyond the traditional </w:t>
      </w:r>
      <w:r w:rsidR="00615FCE">
        <w:t>contract</w:t>
      </w:r>
      <w:r w:rsidR="00BB064D">
        <w:t>ual</w:t>
      </w:r>
      <w:r w:rsidR="00615FCE">
        <w:t xml:space="preserve"> relationship</w:t>
      </w:r>
      <w:r w:rsidR="000E483E">
        <w:t xml:space="preserve">. We have included these </w:t>
      </w:r>
      <w:r w:rsidR="00F16760">
        <w:t xml:space="preserve">to stimulate </w:t>
      </w:r>
      <w:r w:rsidR="00602D49">
        <w:t>consideration on possible arrangements that might be considered</w:t>
      </w:r>
      <w:r w:rsidR="00333F5B">
        <w:t>, either for the next phase or to work towards in time</w:t>
      </w:r>
      <w:r w:rsidR="002A6EB1">
        <w:t>.</w:t>
      </w:r>
      <w:r w:rsidR="00602D49">
        <w:t xml:space="preserve"> </w:t>
      </w:r>
      <w:r w:rsidR="002E33A9">
        <w:t>Section V</w:t>
      </w:r>
      <w:r w:rsidR="00D67FA4">
        <w:t>I</w:t>
      </w:r>
      <w:r w:rsidR="007937CC">
        <w:t xml:space="preserve"> covers</w:t>
      </w:r>
      <w:r w:rsidR="006519CD">
        <w:t xml:space="preserve"> </w:t>
      </w:r>
      <w:r w:rsidR="002E33A9">
        <w:t>the following arrangements</w:t>
      </w:r>
      <w:r w:rsidR="001B4920">
        <w:t>:</w:t>
      </w:r>
    </w:p>
    <w:p w14:paraId="1FB6D282" w14:textId="7697978C" w:rsidR="008A5D74" w:rsidRDefault="007937CC" w:rsidP="00801403">
      <w:pPr>
        <w:pStyle w:val="ListBullet"/>
      </w:pPr>
      <w:r>
        <w:t>A</w:t>
      </w:r>
      <w:r w:rsidR="00422033">
        <w:t xml:space="preserve"> central coordinating body with </w:t>
      </w:r>
      <w:r w:rsidR="00942D32">
        <w:t xml:space="preserve">delivery </w:t>
      </w:r>
      <w:r w:rsidR="00422033">
        <w:t>partnership arrangements within industry</w:t>
      </w:r>
      <w:r w:rsidR="001B4920">
        <w:t>;</w:t>
      </w:r>
    </w:p>
    <w:p w14:paraId="24321531" w14:textId="3138806D" w:rsidR="007937CC" w:rsidRDefault="00582CCC" w:rsidP="00801403">
      <w:pPr>
        <w:pStyle w:val="ListBullet"/>
      </w:pPr>
      <w:r>
        <w:t>Independent g</w:t>
      </w:r>
      <w:r w:rsidR="00B413FC" w:rsidRPr="00B413FC">
        <w:t xml:space="preserve">overnment seeded </w:t>
      </w:r>
      <w:r w:rsidR="007937CC">
        <w:t>organisation</w:t>
      </w:r>
      <w:r w:rsidR="001B4920">
        <w:t>;</w:t>
      </w:r>
    </w:p>
    <w:p w14:paraId="4D7B2769" w14:textId="63F80577" w:rsidR="00942D32" w:rsidRDefault="007937CC" w:rsidP="00801403">
      <w:pPr>
        <w:pStyle w:val="ListBullet"/>
      </w:pPr>
      <w:r>
        <w:t xml:space="preserve">Membership </w:t>
      </w:r>
      <w:r w:rsidR="00582CCC">
        <w:t xml:space="preserve">based independent </w:t>
      </w:r>
      <w:r w:rsidR="00B413FC" w:rsidRPr="00B413FC">
        <w:t>network</w:t>
      </w:r>
      <w:r w:rsidR="001B4920">
        <w:t>s;</w:t>
      </w:r>
      <w:r w:rsidR="00B413FC" w:rsidRPr="00B413FC">
        <w:t xml:space="preserve"> </w:t>
      </w:r>
      <w:r w:rsidR="001B4920">
        <w:t>and</w:t>
      </w:r>
    </w:p>
    <w:p w14:paraId="5284CDE1" w14:textId="401995AB" w:rsidR="00FE1A47" w:rsidRDefault="001B4920" w:rsidP="00801403">
      <w:pPr>
        <w:pStyle w:val="ListBullet"/>
      </w:pPr>
      <w:r>
        <w:t>A g</w:t>
      </w:r>
      <w:r w:rsidR="00582CCC">
        <w:t>overnment</w:t>
      </w:r>
      <w:r>
        <w:t xml:space="preserve">-industry </w:t>
      </w:r>
      <w:r w:rsidR="00582CCC">
        <w:t>partnership</w:t>
      </w:r>
      <w:r>
        <w:t xml:space="preserve"> approach.</w:t>
      </w:r>
    </w:p>
    <w:p w14:paraId="063CE287" w14:textId="373A2D9D" w:rsidR="000D288D" w:rsidRDefault="00343B24" w:rsidP="000D288D">
      <w:pPr>
        <w:pStyle w:val="Heading2"/>
      </w:pPr>
      <w:bookmarkStart w:id="28" w:name="_Toc95836743"/>
      <w:r>
        <w:t>Suggested p</w:t>
      </w:r>
      <w:r w:rsidR="000D288D">
        <w:t xml:space="preserve">riorities for the next </w:t>
      </w:r>
      <w:r>
        <w:t>three</w:t>
      </w:r>
      <w:r w:rsidR="000D288D">
        <w:t xml:space="preserve"> years</w:t>
      </w:r>
      <w:bookmarkEnd w:id="28"/>
      <w:r w:rsidR="00F5752C">
        <w:t xml:space="preserve"> </w:t>
      </w:r>
    </w:p>
    <w:p w14:paraId="05203F4F" w14:textId="1064ADF7" w:rsidR="00AD68AD" w:rsidRDefault="005519CF" w:rsidP="007763F7">
      <w:r>
        <w:t xml:space="preserve">Students and graduates </w:t>
      </w:r>
      <w:r w:rsidR="00991256">
        <w:t>with disability</w:t>
      </w:r>
      <w:r>
        <w:t xml:space="preserve"> find increased </w:t>
      </w:r>
      <w:r w:rsidR="000D3A95">
        <w:t>challenges</w:t>
      </w:r>
      <w:r>
        <w:t xml:space="preserve"> as they move into</w:t>
      </w:r>
      <w:r w:rsidR="000D3A95">
        <w:t>, participate in</w:t>
      </w:r>
      <w:r>
        <w:t xml:space="preserve"> and </w:t>
      </w:r>
      <w:r w:rsidR="00E77D69">
        <w:t xml:space="preserve">move </w:t>
      </w:r>
      <w:r>
        <w:t>out of tertiary education</w:t>
      </w:r>
      <w:r w:rsidR="00D42961">
        <w:t xml:space="preserve"> into graduate employment. </w:t>
      </w:r>
      <w:r w:rsidR="00955B3A">
        <w:t xml:space="preserve"> </w:t>
      </w:r>
    </w:p>
    <w:p w14:paraId="61D0D3F9" w14:textId="6D587A87" w:rsidR="00AF4863" w:rsidRPr="00237939" w:rsidRDefault="00803FC5" w:rsidP="007763F7">
      <w:r>
        <w:t>To respond to the</w:t>
      </w:r>
      <w:r w:rsidR="00D42961">
        <w:t xml:space="preserve">se </w:t>
      </w:r>
      <w:r>
        <w:t>needs of tertiary student</w:t>
      </w:r>
      <w:r w:rsidR="00E50E25">
        <w:t>s</w:t>
      </w:r>
      <w:r w:rsidR="00593FFA">
        <w:t xml:space="preserve">, and not duplicate </w:t>
      </w:r>
      <w:r w:rsidR="00E77D69">
        <w:t xml:space="preserve">activities that will be undertaken as part of </w:t>
      </w:r>
      <w:r w:rsidR="0067464A">
        <w:t>other</w:t>
      </w:r>
      <w:r w:rsidR="00E77D69">
        <w:t xml:space="preserve"> </w:t>
      </w:r>
      <w:r w:rsidR="00E77D69" w:rsidRPr="00237939">
        <w:t>reforms, we recommend that the program focus on</w:t>
      </w:r>
      <w:r w:rsidR="00327318" w:rsidRPr="00237939">
        <w:t xml:space="preserve"> the problem</w:t>
      </w:r>
      <w:r w:rsidR="00D3395C" w:rsidRPr="00237939">
        <w:t xml:space="preserve"> described as:</w:t>
      </w:r>
    </w:p>
    <w:p w14:paraId="0639A881" w14:textId="3328894B" w:rsidR="00AF4863" w:rsidRPr="00D66066" w:rsidRDefault="00290F80" w:rsidP="00A6141B">
      <w:pPr>
        <w:pStyle w:val="ListParagraph"/>
        <w:rPr>
          <w:rStyle w:val="Strong"/>
          <w:rFonts w:asciiTheme="minorHAnsi" w:hAnsiTheme="minorHAnsi" w:cstheme="minorHAnsi"/>
          <w:i/>
          <w:color w:val="17365D" w:themeColor="text2" w:themeShade="BF"/>
        </w:rPr>
      </w:pPr>
      <w:r w:rsidRPr="00D66066">
        <w:rPr>
          <w:rStyle w:val="Strong"/>
          <w:rFonts w:asciiTheme="minorHAnsi" w:hAnsiTheme="minorHAnsi" w:cstheme="minorHAnsi"/>
          <w:i/>
          <w:color w:val="17365D" w:themeColor="text2" w:themeShade="BF"/>
        </w:rPr>
        <w:t xml:space="preserve">Tertiary students </w:t>
      </w:r>
      <w:r w:rsidR="00991256">
        <w:rPr>
          <w:rStyle w:val="Strong"/>
          <w:rFonts w:asciiTheme="minorHAnsi" w:hAnsiTheme="minorHAnsi" w:cstheme="minorHAnsi"/>
          <w:i/>
          <w:color w:val="17365D" w:themeColor="text2" w:themeShade="BF"/>
        </w:rPr>
        <w:t>with disability</w:t>
      </w:r>
      <w:r w:rsidRPr="00D66066">
        <w:rPr>
          <w:rStyle w:val="Strong"/>
          <w:rFonts w:asciiTheme="minorHAnsi" w:hAnsiTheme="minorHAnsi" w:cstheme="minorHAnsi"/>
          <w:i/>
          <w:color w:val="17365D" w:themeColor="text2" w:themeShade="BF"/>
        </w:rPr>
        <w:t xml:space="preserve"> should have the opportunity to access</w:t>
      </w:r>
      <w:r w:rsidR="00210E04" w:rsidRPr="00D66066">
        <w:rPr>
          <w:rStyle w:val="Strong"/>
          <w:rFonts w:asciiTheme="minorHAnsi" w:hAnsiTheme="minorHAnsi" w:cstheme="minorHAnsi"/>
          <w:i/>
          <w:color w:val="17365D" w:themeColor="text2" w:themeShade="BF"/>
        </w:rPr>
        <w:t xml:space="preserve"> the supports</w:t>
      </w:r>
      <w:r w:rsidRPr="00D66066">
        <w:rPr>
          <w:rStyle w:val="Strong"/>
          <w:rFonts w:asciiTheme="minorHAnsi" w:hAnsiTheme="minorHAnsi" w:cstheme="minorHAnsi"/>
          <w:i/>
          <w:color w:val="17365D" w:themeColor="text2" w:themeShade="BF"/>
        </w:rPr>
        <w:t xml:space="preserve"> they need for successful course completion</w:t>
      </w:r>
      <w:r w:rsidR="0038689F" w:rsidRPr="00D66066">
        <w:rPr>
          <w:rStyle w:val="Strong"/>
          <w:rFonts w:asciiTheme="minorHAnsi" w:hAnsiTheme="minorHAnsi" w:cstheme="minorHAnsi"/>
          <w:i/>
          <w:iCs/>
          <w:color w:val="17365D" w:themeColor="text2" w:themeShade="BF"/>
        </w:rPr>
        <w:t>,</w:t>
      </w:r>
      <w:r w:rsidRPr="00D66066">
        <w:rPr>
          <w:rStyle w:val="Strong"/>
          <w:rFonts w:asciiTheme="minorHAnsi" w:hAnsiTheme="minorHAnsi" w:cstheme="minorHAnsi"/>
          <w:i/>
          <w:color w:val="17365D" w:themeColor="text2" w:themeShade="BF"/>
        </w:rPr>
        <w:t xml:space="preserve"> and to obtain </w:t>
      </w:r>
      <w:r w:rsidR="00ED338D" w:rsidRPr="00D66066">
        <w:rPr>
          <w:rStyle w:val="Strong"/>
          <w:rFonts w:asciiTheme="minorHAnsi" w:hAnsiTheme="minorHAnsi" w:cstheme="minorHAnsi"/>
          <w:i/>
          <w:color w:val="17365D" w:themeColor="text2" w:themeShade="BF"/>
        </w:rPr>
        <w:t>related</w:t>
      </w:r>
      <w:r w:rsidR="00210E04" w:rsidRPr="00D66066">
        <w:rPr>
          <w:rStyle w:val="Strong"/>
          <w:rFonts w:asciiTheme="minorHAnsi" w:hAnsiTheme="minorHAnsi" w:cstheme="minorHAnsi"/>
          <w:i/>
          <w:color w:val="17365D" w:themeColor="text2" w:themeShade="BF"/>
        </w:rPr>
        <w:t xml:space="preserve"> employment.</w:t>
      </w:r>
      <w:r w:rsidRPr="00D66066">
        <w:rPr>
          <w:rStyle w:val="Strong"/>
          <w:rFonts w:asciiTheme="minorHAnsi" w:hAnsiTheme="minorHAnsi" w:cstheme="minorHAnsi"/>
          <w:i/>
          <w:color w:val="17365D" w:themeColor="text2" w:themeShade="BF"/>
        </w:rPr>
        <w:t xml:space="preserve"> </w:t>
      </w:r>
      <w:r w:rsidR="00E818A0" w:rsidRPr="00D66066">
        <w:rPr>
          <w:rStyle w:val="Strong"/>
          <w:rFonts w:asciiTheme="minorHAnsi" w:hAnsiTheme="minorHAnsi" w:cstheme="minorHAnsi"/>
          <w:i/>
          <w:color w:val="17365D" w:themeColor="text2" w:themeShade="BF"/>
        </w:rPr>
        <w:t>Student</w:t>
      </w:r>
      <w:r w:rsidR="00CE6418" w:rsidRPr="00D66066">
        <w:rPr>
          <w:rStyle w:val="Strong"/>
          <w:rFonts w:asciiTheme="minorHAnsi" w:hAnsiTheme="minorHAnsi" w:cstheme="minorHAnsi"/>
          <w:i/>
          <w:color w:val="17365D" w:themeColor="text2" w:themeShade="BF"/>
        </w:rPr>
        <w:t>s</w:t>
      </w:r>
      <w:r w:rsidR="00E818A0" w:rsidRPr="00D66066">
        <w:rPr>
          <w:rStyle w:val="Strong"/>
          <w:rFonts w:asciiTheme="minorHAnsi" w:hAnsiTheme="minorHAnsi" w:cstheme="minorHAnsi"/>
          <w:i/>
          <w:color w:val="17365D" w:themeColor="text2" w:themeShade="BF"/>
        </w:rPr>
        <w:t xml:space="preserve"> </w:t>
      </w:r>
      <w:r w:rsidR="00991256">
        <w:rPr>
          <w:rStyle w:val="Strong"/>
          <w:rFonts w:asciiTheme="minorHAnsi" w:hAnsiTheme="minorHAnsi" w:cstheme="minorHAnsi"/>
          <w:i/>
          <w:color w:val="17365D" w:themeColor="text2" w:themeShade="BF"/>
        </w:rPr>
        <w:t>with disability</w:t>
      </w:r>
      <w:r w:rsidR="00CE72E9" w:rsidRPr="00D66066">
        <w:rPr>
          <w:rStyle w:val="Strong"/>
          <w:rFonts w:asciiTheme="minorHAnsi" w:hAnsiTheme="minorHAnsi" w:cstheme="minorHAnsi"/>
          <w:i/>
          <w:color w:val="17365D" w:themeColor="text2" w:themeShade="BF"/>
        </w:rPr>
        <w:t xml:space="preserve"> are behind the general population </w:t>
      </w:r>
      <w:r w:rsidR="00CE6418" w:rsidRPr="00D66066">
        <w:rPr>
          <w:rStyle w:val="Strong"/>
          <w:rFonts w:asciiTheme="minorHAnsi" w:hAnsiTheme="minorHAnsi" w:cstheme="minorHAnsi"/>
          <w:i/>
          <w:color w:val="17365D" w:themeColor="text2" w:themeShade="BF"/>
        </w:rPr>
        <w:t>in</w:t>
      </w:r>
      <w:r w:rsidR="00284481" w:rsidRPr="00D66066">
        <w:rPr>
          <w:rStyle w:val="Strong"/>
          <w:rFonts w:asciiTheme="minorHAnsi" w:hAnsiTheme="minorHAnsi" w:cstheme="minorHAnsi"/>
          <w:i/>
          <w:color w:val="17365D" w:themeColor="text2" w:themeShade="BF"/>
        </w:rPr>
        <w:t xml:space="preserve"> </w:t>
      </w:r>
      <w:r w:rsidR="004149CE" w:rsidRPr="00D66066">
        <w:rPr>
          <w:rStyle w:val="Strong"/>
          <w:rFonts w:asciiTheme="minorHAnsi" w:hAnsiTheme="minorHAnsi" w:cstheme="minorHAnsi"/>
          <w:i/>
          <w:color w:val="17365D" w:themeColor="text2" w:themeShade="BF"/>
        </w:rPr>
        <w:t xml:space="preserve">tertiary </w:t>
      </w:r>
      <w:r w:rsidR="00E818A0" w:rsidRPr="00D66066">
        <w:rPr>
          <w:rStyle w:val="Strong"/>
          <w:rFonts w:asciiTheme="minorHAnsi" w:hAnsiTheme="minorHAnsi" w:cstheme="minorHAnsi"/>
          <w:i/>
          <w:color w:val="17365D" w:themeColor="text2" w:themeShade="BF"/>
        </w:rPr>
        <w:t xml:space="preserve">education and </w:t>
      </w:r>
      <w:r w:rsidR="0032269F" w:rsidRPr="00D66066">
        <w:rPr>
          <w:rStyle w:val="Strong"/>
          <w:rFonts w:asciiTheme="minorHAnsi" w:hAnsiTheme="minorHAnsi" w:cstheme="minorHAnsi"/>
          <w:i/>
          <w:color w:val="17365D" w:themeColor="text2" w:themeShade="BF"/>
        </w:rPr>
        <w:t xml:space="preserve">graduate </w:t>
      </w:r>
      <w:r w:rsidR="00E818A0" w:rsidRPr="00D66066">
        <w:rPr>
          <w:rStyle w:val="Strong"/>
          <w:rFonts w:asciiTheme="minorHAnsi" w:hAnsiTheme="minorHAnsi" w:cstheme="minorHAnsi"/>
          <w:i/>
          <w:color w:val="17365D" w:themeColor="text2" w:themeShade="BF"/>
        </w:rPr>
        <w:t>employment</w:t>
      </w:r>
      <w:r w:rsidR="00BD47F9" w:rsidRPr="00D66066">
        <w:rPr>
          <w:rStyle w:val="Strong"/>
          <w:rFonts w:asciiTheme="minorHAnsi" w:hAnsiTheme="minorHAnsi" w:cstheme="minorHAnsi"/>
          <w:i/>
          <w:color w:val="17365D" w:themeColor="text2" w:themeShade="BF"/>
        </w:rPr>
        <w:t xml:space="preserve"> outcomes</w:t>
      </w:r>
      <w:r w:rsidR="003741FF">
        <w:rPr>
          <w:rStyle w:val="Strong"/>
          <w:rFonts w:asciiTheme="minorHAnsi" w:hAnsiTheme="minorHAnsi" w:cstheme="minorHAnsi"/>
          <w:i/>
          <w:color w:val="17365D" w:themeColor="text2" w:themeShade="BF"/>
        </w:rPr>
        <w:t xml:space="preserve">, limiting </w:t>
      </w:r>
      <w:r w:rsidR="00521674" w:rsidRPr="00D66066">
        <w:rPr>
          <w:rStyle w:val="Strong"/>
          <w:rFonts w:asciiTheme="minorHAnsi" w:hAnsiTheme="minorHAnsi" w:cstheme="minorHAnsi"/>
          <w:i/>
          <w:color w:val="17365D" w:themeColor="text2" w:themeShade="BF"/>
        </w:rPr>
        <w:t>their right to social and economic participation</w:t>
      </w:r>
      <w:r w:rsidR="003741FF">
        <w:rPr>
          <w:rStyle w:val="Strong"/>
          <w:rFonts w:asciiTheme="minorHAnsi" w:hAnsiTheme="minorHAnsi" w:cstheme="minorHAnsi"/>
          <w:i/>
          <w:color w:val="17365D" w:themeColor="text2" w:themeShade="BF"/>
        </w:rPr>
        <w:t xml:space="preserve">. </w:t>
      </w:r>
      <w:r w:rsidR="00521674" w:rsidRPr="00D66066">
        <w:rPr>
          <w:rStyle w:val="Strong"/>
          <w:rFonts w:asciiTheme="minorHAnsi" w:hAnsiTheme="minorHAnsi" w:cstheme="minorHAnsi"/>
          <w:i/>
          <w:color w:val="17365D" w:themeColor="text2" w:themeShade="BF"/>
        </w:rPr>
        <w:t xml:space="preserve"> </w:t>
      </w:r>
      <w:r w:rsidR="00AB4C88" w:rsidRPr="00D66066">
        <w:rPr>
          <w:rStyle w:val="Strong"/>
          <w:rFonts w:asciiTheme="minorHAnsi" w:hAnsiTheme="minorHAnsi" w:cstheme="minorHAnsi"/>
          <w:i/>
          <w:color w:val="17365D" w:themeColor="text2" w:themeShade="BF"/>
        </w:rPr>
        <w:t>Students are uninformed on tertiary institutions</w:t>
      </w:r>
      <w:r w:rsidR="00A026F5" w:rsidRPr="00D66066">
        <w:rPr>
          <w:rStyle w:val="Strong"/>
          <w:rFonts w:asciiTheme="minorHAnsi" w:hAnsiTheme="minorHAnsi" w:cstheme="minorHAnsi"/>
          <w:i/>
          <w:color w:val="17365D" w:themeColor="text2" w:themeShade="BF"/>
        </w:rPr>
        <w:t>’</w:t>
      </w:r>
      <w:r w:rsidR="00AB4C88" w:rsidRPr="00D66066">
        <w:rPr>
          <w:rStyle w:val="Strong"/>
          <w:rFonts w:asciiTheme="minorHAnsi" w:hAnsiTheme="minorHAnsi" w:cstheme="minorHAnsi"/>
          <w:i/>
          <w:color w:val="17365D" w:themeColor="text2" w:themeShade="BF"/>
        </w:rPr>
        <w:t xml:space="preserve"> offerings for inclusive learning</w:t>
      </w:r>
      <w:r w:rsidR="00E7474A" w:rsidRPr="00D66066">
        <w:rPr>
          <w:rStyle w:val="Strong"/>
          <w:rFonts w:asciiTheme="minorHAnsi" w:hAnsiTheme="minorHAnsi" w:cstheme="minorHAnsi"/>
          <w:i/>
          <w:color w:val="17365D" w:themeColor="text2" w:themeShade="BF"/>
        </w:rPr>
        <w:t xml:space="preserve"> and </w:t>
      </w:r>
      <w:r w:rsidR="00201374" w:rsidRPr="00D66066">
        <w:rPr>
          <w:rStyle w:val="Strong"/>
          <w:rFonts w:asciiTheme="minorHAnsi" w:hAnsiTheme="minorHAnsi" w:cstheme="minorHAnsi"/>
          <w:i/>
          <w:color w:val="17365D" w:themeColor="text2" w:themeShade="BF"/>
        </w:rPr>
        <w:t xml:space="preserve">miss out on </w:t>
      </w:r>
      <w:r w:rsidR="00933445" w:rsidRPr="00D66066">
        <w:rPr>
          <w:rStyle w:val="Strong"/>
          <w:rFonts w:asciiTheme="minorHAnsi" w:hAnsiTheme="minorHAnsi" w:cstheme="minorHAnsi"/>
          <w:i/>
          <w:color w:val="17365D" w:themeColor="text2" w:themeShade="BF"/>
        </w:rPr>
        <w:t xml:space="preserve">what </w:t>
      </w:r>
      <w:r w:rsidR="00B262BE" w:rsidRPr="00D66066">
        <w:rPr>
          <w:rStyle w:val="Strong"/>
          <w:rFonts w:asciiTheme="minorHAnsi" w:hAnsiTheme="minorHAnsi" w:cstheme="minorHAnsi"/>
          <w:i/>
          <w:color w:val="17365D" w:themeColor="text2" w:themeShade="BF"/>
        </w:rPr>
        <w:t>can be provided</w:t>
      </w:r>
      <w:r w:rsidR="00780E72" w:rsidRPr="00D66066">
        <w:rPr>
          <w:rStyle w:val="Strong"/>
          <w:rFonts w:asciiTheme="minorHAnsi" w:hAnsiTheme="minorHAnsi" w:cstheme="minorHAnsi"/>
          <w:i/>
          <w:color w:val="17365D" w:themeColor="text2" w:themeShade="BF"/>
        </w:rPr>
        <w:t>,</w:t>
      </w:r>
      <w:r w:rsidR="00B262BE" w:rsidRPr="00D66066">
        <w:rPr>
          <w:rStyle w:val="Strong"/>
          <w:rFonts w:asciiTheme="minorHAnsi" w:hAnsiTheme="minorHAnsi" w:cstheme="minorHAnsi"/>
          <w:i/>
          <w:color w:val="17365D" w:themeColor="text2" w:themeShade="BF"/>
        </w:rPr>
        <w:t xml:space="preserve"> </w:t>
      </w:r>
      <w:r w:rsidR="000910B3" w:rsidRPr="00D66066">
        <w:rPr>
          <w:rStyle w:val="Strong"/>
          <w:rFonts w:asciiTheme="minorHAnsi" w:hAnsiTheme="minorHAnsi" w:cstheme="minorHAnsi"/>
          <w:i/>
          <w:color w:val="17365D" w:themeColor="text2" w:themeShade="BF"/>
        </w:rPr>
        <w:t>or</w:t>
      </w:r>
      <w:r w:rsidR="00F25600" w:rsidRPr="00D66066">
        <w:rPr>
          <w:rStyle w:val="Strong"/>
          <w:rFonts w:asciiTheme="minorHAnsi" w:hAnsiTheme="minorHAnsi" w:cstheme="minorHAnsi"/>
          <w:i/>
          <w:color w:val="17365D" w:themeColor="text2" w:themeShade="BF"/>
        </w:rPr>
        <w:t xml:space="preserve"> </w:t>
      </w:r>
      <w:r w:rsidR="003C3E56" w:rsidRPr="00D66066">
        <w:rPr>
          <w:rStyle w:val="Strong"/>
          <w:rFonts w:asciiTheme="minorHAnsi" w:hAnsiTheme="minorHAnsi" w:cstheme="minorHAnsi"/>
          <w:i/>
          <w:color w:val="17365D" w:themeColor="text2" w:themeShade="BF"/>
        </w:rPr>
        <w:t xml:space="preserve">pay for a course with little confidence </w:t>
      </w:r>
      <w:r w:rsidR="00EC3410" w:rsidRPr="00D66066">
        <w:rPr>
          <w:rStyle w:val="Strong"/>
          <w:rFonts w:asciiTheme="minorHAnsi" w:hAnsiTheme="minorHAnsi" w:cstheme="minorHAnsi"/>
          <w:i/>
          <w:color w:val="17365D" w:themeColor="text2" w:themeShade="BF"/>
        </w:rPr>
        <w:t>they will get the</w:t>
      </w:r>
      <w:r w:rsidR="00455626" w:rsidRPr="00D66066">
        <w:rPr>
          <w:rStyle w:val="Strong"/>
          <w:rFonts w:asciiTheme="minorHAnsi" w:hAnsiTheme="minorHAnsi" w:cstheme="minorHAnsi"/>
          <w:i/>
          <w:color w:val="17365D" w:themeColor="text2" w:themeShade="BF"/>
        </w:rPr>
        <w:t xml:space="preserve"> </w:t>
      </w:r>
      <w:r w:rsidR="00286F19" w:rsidRPr="00D66066">
        <w:rPr>
          <w:rStyle w:val="Strong"/>
          <w:rFonts w:asciiTheme="minorHAnsi" w:hAnsiTheme="minorHAnsi" w:cstheme="minorHAnsi"/>
          <w:i/>
          <w:color w:val="17365D" w:themeColor="text2" w:themeShade="BF"/>
        </w:rPr>
        <w:t>support</w:t>
      </w:r>
      <w:r w:rsidR="00455626" w:rsidRPr="00D66066">
        <w:rPr>
          <w:rStyle w:val="Strong"/>
          <w:rFonts w:asciiTheme="minorHAnsi" w:hAnsiTheme="minorHAnsi" w:cstheme="minorHAnsi"/>
          <w:i/>
          <w:color w:val="17365D" w:themeColor="text2" w:themeShade="BF"/>
        </w:rPr>
        <w:t xml:space="preserve"> they need to successfully participate and complete</w:t>
      </w:r>
      <w:r w:rsidR="003668C4" w:rsidRPr="00D66066">
        <w:rPr>
          <w:rStyle w:val="Strong"/>
          <w:rFonts w:asciiTheme="minorHAnsi" w:hAnsiTheme="minorHAnsi" w:cstheme="minorHAnsi"/>
          <w:i/>
          <w:color w:val="17365D" w:themeColor="text2" w:themeShade="BF"/>
        </w:rPr>
        <w:t xml:space="preserve">. </w:t>
      </w:r>
      <w:r w:rsidR="00901EEE" w:rsidRPr="00D66066">
        <w:rPr>
          <w:rStyle w:val="Strong"/>
          <w:rFonts w:asciiTheme="minorHAnsi" w:hAnsiTheme="minorHAnsi" w:cstheme="minorHAnsi"/>
          <w:i/>
          <w:color w:val="17365D" w:themeColor="text2" w:themeShade="BF"/>
        </w:rPr>
        <w:t>Students’ disability inclusion needs are not well planned or implemented in the tertiary sector</w:t>
      </w:r>
      <w:r w:rsidR="00237939">
        <w:rPr>
          <w:rStyle w:val="Strong"/>
          <w:rFonts w:asciiTheme="minorHAnsi" w:hAnsiTheme="minorHAnsi" w:cstheme="minorHAnsi"/>
          <w:i/>
          <w:color w:val="17365D" w:themeColor="text2" w:themeShade="BF"/>
        </w:rPr>
        <w:t xml:space="preserve">. Students </w:t>
      </w:r>
      <w:r w:rsidR="00522716">
        <w:rPr>
          <w:rStyle w:val="Strong"/>
          <w:rFonts w:asciiTheme="minorHAnsi" w:hAnsiTheme="minorHAnsi" w:cstheme="minorHAnsi"/>
          <w:i/>
          <w:color w:val="17365D" w:themeColor="text2" w:themeShade="BF"/>
        </w:rPr>
        <w:t xml:space="preserve">bear </w:t>
      </w:r>
      <w:r w:rsidR="00237939">
        <w:rPr>
          <w:rStyle w:val="Strong"/>
          <w:rFonts w:asciiTheme="minorHAnsi" w:hAnsiTheme="minorHAnsi" w:cstheme="minorHAnsi"/>
          <w:i/>
          <w:color w:val="17365D" w:themeColor="text2" w:themeShade="BF"/>
        </w:rPr>
        <w:t>a significant responsibility in self-disclosure of disability and self-advocacy in order to access learning adjustments.</w:t>
      </w:r>
      <w:r w:rsidR="00CF4401" w:rsidRPr="00D66066">
        <w:rPr>
          <w:rStyle w:val="Strong"/>
          <w:rFonts w:asciiTheme="minorHAnsi" w:hAnsiTheme="minorHAnsi" w:cstheme="minorHAnsi"/>
          <w:i/>
          <w:color w:val="17365D" w:themeColor="text2" w:themeShade="BF"/>
        </w:rPr>
        <w:t xml:space="preserve"> </w:t>
      </w:r>
      <w:r w:rsidR="00CA57CB" w:rsidRPr="00D66066">
        <w:rPr>
          <w:rStyle w:val="Strong"/>
          <w:rFonts w:asciiTheme="minorHAnsi" w:hAnsiTheme="minorHAnsi" w:cstheme="minorHAnsi"/>
          <w:i/>
          <w:color w:val="17365D" w:themeColor="text2" w:themeShade="BF"/>
        </w:rPr>
        <w:t>Diversity of student needs, v</w:t>
      </w:r>
      <w:r w:rsidR="00901EEE" w:rsidRPr="00D66066">
        <w:rPr>
          <w:rStyle w:val="Strong"/>
          <w:rFonts w:asciiTheme="minorHAnsi" w:hAnsiTheme="minorHAnsi" w:cstheme="minorHAnsi"/>
          <w:i/>
          <w:color w:val="17365D" w:themeColor="text2" w:themeShade="BF"/>
        </w:rPr>
        <w:t xml:space="preserve">ariability in practitioner </w:t>
      </w:r>
      <w:r w:rsidR="00885AAD" w:rsidRPr="00D66066">
        <w:rPr>
          <w:rStyle w:val="Strong"/>
          <w:rFonts w:asciiTheme="minorHAnsi" w:hAnsiTheme="minorHAnsi" w:cstheme="minorHAnsi"/>
          <w:i/>
          <w:color w:val="17365D" w:themeColor="text2" w:themeShade="BF"/>
        </w:rPr>
        <w:t xml:space="preserve">knowledge </w:t>
      </w:r>
      <w:r w:rsidR="00901EEE" w:rsidRPr="00D66066">
        <w:rPr>
          <w:rStyle w:val="Strong"/>
          <w:rFonts w:asciiTheme="minorHAnsi" w:hAnsiTheme="minorHAnsi" w:cstheme="minorHAnsi"/>
          <w:i/>
          <w:color w:val="17365D" w:themeColor="text2" w:themeShade="BF"/>
        </w:rPr>
        <w:t xml:space="preserve">and </w:t>
      </w:r>
      <w:r w:rsidR="00CA57CB" w:rsidRPr="00D66066">
        <w:rPr>
          <w:rStyle w:val="Strong"/>
          <w:rFonts w:asciiTheme="minorHAnsi" w:hAnsiTheme="minorHAnsi" w:cstheme="minorHAnsi"/>
          <w:i/>
          <w:color w:val="17365D" w:themeColor="text2" w:themeShade="BF"/>
        </w:rPr>
        <w:t>skills</w:t>
      </w:r>
      <w:r w:rsidR="00901EEE" w:rsidRPr="00D66066">
        <w:rPr>
          <w:rStyle w:val="Strong"/>
          <w:rFonts w:asciiTheme="minorHAnsi" w:hAnsiTheme="minorHAnsi" w:cstheme="minorHAnsi"/>
          <w:i/>
          <w:color w:val="17365D" w:themeColor="text2" w:themeShade="BF"/>
        </w:rPr>
        <w:t xml:space="preserve"> to </w:t>
      </w:r>
      <w:r w:rsidR="00BF449E" w:rsidRPr="00D66066">
        <w:rPr>
          <w:rStyle w:val="Strong"/>
          <w:rFonts w:asciiTheme="minorHAnsi" w:hAnsiTheme="minorHAnsi" w:cstheme="minorHAnsi"/>
          <w:i/>
          <w:color w:val="17365D" w:themeColor="text2" w:themeShade="BF"/>
        </w:rPr>
        <w:t>provide reasonable</w:t>
      </w:r>
      <w:r w:rsidR="00901EEE" w:rsidRPr="00D66066">
        <w:rPr>
          <w:rStyle w:val="Strong"/>
          <w:rFonts w:asciiTheme="minorHAnsi" w:hAnsiTheme="minorHAnsi" w:cstheme="minorHAnsi"/>
          <w:i/>
          <w:color w:val="17365D" w:themeColor="text2" w:themeShade="BF"/>
        </w:rPr>
        <w:t xml:space="preserve"> adjustments means students</w:t>
      </w:r>
      <w:r w:rsidR="00A026F5" w:rsidRPr="00D66066">
        <w:rPr>
          <w:rStyle w:val="Strong"/>
          <w:rFonts w:asciiTheme="minorHAnsi" w:hAnsiTheme="minorHAnsi" w:cstheme="minorHAnsi"/>
          <w:i/>
          <w:color w:val="17365D" w:themeColor="text2" w:themeShade="BF"/>
        </w:rPr>
        <w:t>’</w:t>
      </w:r>
      <w:r w:rsidR="00901EEE" w:rsidRPr="00D66066">
        <w:rPr>
          <w:rStyle w:val="Strong"/>
          <w:rFonts w:asciiTheme="minorHAnsi" w:hAnsiTheme="minorHAnsi" w:cstheme="minorHAnsi"/>
          <w:i/>
          <w:color w:val="17365D" w:themeColor="text2" w:themeShade="BF"/>
        </w:rPr>
        <w:t xml:space="preserve"> </w:t>
      </w:r>
      <w:r w:rsidR="00F7127E" w:rsidRPr="00D66066">
        <w:rPr>
          <w:rStyle w:val="Strong"/>
          <w:rFonts w:asciiTheme="minorHAnsi" w:hAnsiTheme="minorHAnsi" w:cstheme="minorHAnsi"/>
          <w:i/>
          <w:color w:val="17365D" w:themeColor="text2" w:themeShade="BF"/>
        </w:rPr>
        <w:t xml:space="preserve">learning </w:t>
      </w:r>
      <w:r w:rsidR="00CF1D48" w:rsidRPr="00D66066">
        <w:rPr>
          <w:rStyle w:val="Strong"/>
          <w:rFonts w:asciiTheme="minorHAnsi" w:hAnsiTheme="minorHAnsi" w:cstheme="minorHAnsi"/>
          <w:i/>
          <w:color w:val="17365D" w:themeColor="text2" w:themeShade="BF"/>
        </w:rPr>
        <w:t xml:space="preserve">and future career opportunities </w:t>
      </w:r>
      <w:r w:rsidR="0051131A" w:rsidRPr="00D66066">
        <w:rPr>
          <w:rStyle w:val="Strong"/>
          <w:rFonts w:asciiTheme="minorHAnsi" w:hAnsiTheme="minorHAnsi" w:cstheme="minorHAnsi"/>
          <w:i/>
          <w:color w:val="17365D" w:themeColor="text2" w:themeShade="BF"/>
        </w:rPr>
        <w:t>are</w:t>
      </w:r>
      <w:r w:rsidR="00F7127E" w:rsidRPr="00D66066">
        <w:rPr>
          <w:rStyle w:val="Strong"/>
          <w:rFonts w:asciiTheme="minorHAnsi" w:hAnsiTheme="minorHAnsi" w:cstheme="minorHAnsi"/>
          <w:i/>
          <w:color w:val="17365D" w:themeColor="text2" w:themeShade="BF"/>
        </w:rPr>
        <w:t xml:space="preserve"> not optimised</w:t>
      </w:r>
      <w:r w:rsidR="00CF1D48" w:rsidRPr="00D66066">
        <w:rPr>
          <w:rStyle w:val="Strong"/>
          <w:rFonts w:asciiTheme="minorHAnsi" w:hAnsiTheme="minorHAnsi" w:cstheme="minorHAnsi"/>
          <w:i/>
          <w:color w:val="17365D" w:themeColor="text2" w:themeShade="BF"/>
        </w:rPr>
        <w:t xml:space="preserve">. </w:t>
      </w:r>
    </w:p>
    <w:p w14:paraId="0A2B6036" w14:textId="06C1596D" w:rsidR="00656E36" w:rsidRPr="00237939" w:rsidRDefault="00234F2F" w:rsidP="00B81F87">
      <w:r w:rsidRPr="00237939">
        <w:t>For the next three year</w:t>
      </w:r>
      <w:r w:rsidR="00011454" w:rsidRPr="00237939">
        <w:t>s</w:t>
      </w:r>
      <w:r w:rsidRPr="00237939">
        <w:t xml:space="preserve"> of the program</w:t>
      </w:r>
      <w:r w:rsidR="004E3209" w:rsidRPr="00237939">
        <w:t>,</w:t>
      </w:r>
      <w:r w:rsidR="00A542AD" w:rsidRPr="00237939">
        <w:t xml:space="preserve"> we would recommend </w:t>
      </w:r>
      <w:r w:rsidR="00111FAB" w:rsidRPr="00237939">
        <w:t>a focus on the following priority areas:</w:t>
      </w:r>
      <w:r w:rsidR="006D3FC0" w:rsidRPr="00237939">
        <w:t xml:space="preserve"> </w:t>
      </w:r>
    </w:p>
    <w:p w14:paraId="0AA42469" w14:textId="26583C96" w:rsidR="007460BC" w:rsidRPr="00237939" w:rsidRDefault="007460BC" w:rsidP="00E14791">
      <w:pPr>
        <w:pStyle w:val="ListBullet"/>
        <w:numPr>
          <w:ilvl w:val="0"/>
          <w:numId w:val="19"/>
        </w:numPr>
      </w:pPr>
      <w:r w:rsidRPr="00237939">
        <w:t xml:space="preserve">Strategically connect and leverage the national tertiary equity </w:t>
      </w:r>
      <w:r w:rsidR="0061744A" w:rsidRPr="00237939">
        <w:t xml:space="preserve">disability </w:t>
      </w:r>
      <w:r w:rsidRPr="00237939">
        <w:t xml:space="preserve">ecosystem to support inclusive practices through establishing a tertiary disability equity ‘backbone’;  </w:t>
      </w:r>
    </w:p>
    <w:p w14:paraId="56157CE0" w14:textId="1CF9F01C" w:rsidR="007460BC" w:rsidRPr="00237939" w:rsidRDefault="007460BC" w:rsidP="00E14791">
      <w:pPr>
        <w:pStyle w:val="ListBullet"/>
        <w:numPr>
          <w:ilvl w:val="0"/>
          <w:numId w:val="19"/>
        </w:numPr>
      </w:pPr>
      <w:r w:rsidRPr="00237939">
        <w:t>Support tertiary institution</w:t>
      </w:r>
      <w:r w:rsidR="005F7DAB">
        <w:t>s</w:t>
      </w:r>
      <w:r w:rsidR="005614FF">
        <w:t>’</w:t>
      </w:r>
      <w:r w:rsidRPr="00237939">
        <w:t xml:space="preserve"> </w:t>
      </w:r>
      <w:r w:rsidR="006D4696">
        <w:t>to translate</w:t>
      </w:r>
      <w:r w:rsidR="006D4696" w:rsidRPr="00237939">
        <w:t xml:space="preserve"> </w:t>
      </w:r>
      <w:r w:rsidR="00981F0C" w:rsidRPr="00237939">
        <w:t xml:space="preserve">information and research into practice </w:t>
      </w:r>
      <w:r w:rsidRPr="00237939">
        <w:t>via a consulting approach; and</w:t>
      </w:r>
    </w:p>
    <w:p w14:paraId="6C8D7A92" w14:textId="0BC8D254" w:rsidR="007460BC" w:rsidRPr="00237939" w:rsidRDefault="007460BC" w:rsidP="00E14791">
      <w:pPr>
        <w:pStyle w:val="ListBullet"/>
        <w:numPr>
          <w:ilvl w:val="0"/>
          <w:numId w:val="19"/>
        </w:numPr>
      </w:pPr>
      <w:r w:rsidRPr="00237939">
        <w:t>Continue to progress universal design for learning in tertiary settings.</w:t>
      </w:r>
    </w:p>
    <w:p w14:paraId="2E921C43" w14:textId="4C190926" w:rsidR="00D47686" w:rsidRPr="00237939" w:rsidRDefault="00C138D6" w:rsidP="000C20A9">
      <w:r w:rsidRPr="00237939">
        <w:t xml:space="preserve">The strategic program of work </w:t>
      </w:r>
      <w:r w:rsidR="00494064" w:rsidRPr="00237939">
        <w:t xml:space="preserve">does not negate the need for local engagement for implementation, rather it provides </w:t>
      </w:r>
      <w:r w:rsidR="00EF04A0" w:rsidRPr="00237939">
        <w:t xml:space="preserve">a tiered approach to </w:t>
      </w:r>
      <w:r w:rsidR="0040412D" w:rsidRPr="00237939">
        <w:t xml:space="preserve">obtain greater traction on the ground by working </w:t>
      </w:r>
      <w:r w:rsidR="000254F5" w:rsidRPr="00237939">
        <w:t>with</w:t>
      </w:r>
      <w:r w:rsidR="0040412D" w:rsidRPr="00237939">
        <w:t xml:space="preserve"> national</w:t>
      </w:r>
      <w:r w:rsidR="000254F5" w:rsidRPr="00237939">
        <w:t xml:space="preserve"> and</w:t>
      </w:r>
      <w:r w:rsidR="008C55FC" w:rsidRPr="00237939">
        <w:t xml:space="preserve"> </w:t>
      </w:r>
      <w:r w:rsidR="004275B2" w:rsidRPr="00237939">
        <w:t>/</w:t>
      </w:r>
      <w:r w:rsidR="008C55FC" w:rsidRPr="00237939">
        <w:t xml:space="preserve"> </w:t>
      </w:r>
      <w:r w:rsidR="004275B2" w:rsidRPr="00237939">
        <w:t>or strategic</w:t>
      </w:r>
      <w:r w:rsidR="0040412D" w:rsidRPr="00237939">
        <w:t xml:space="preserve"> </w:t>
      </w:r>
      <w:r w:rsidR="000254F5" w:rsidRPr="00237939">
        <w:t>stakeholders</w:t>
      </w:r>
      <w:r w:rsidR="00DE3A14" w:rsidRPr="00237939">
        <w:t xml:space="preserve"> focusing on the priority areas</w:t>
      </w:r>
      <w:r w:rsidR="000254F5" w:rsidRPr="00237939">
        <w:t xml:space="preserve">. </w:t>
      </w:r>
    </w:p>
    <w:p w14:paraId="4D454D2C" w14:textId="77777777" w:rsidR="007F03C7" w:rsidRPr="00D66066" w:rsidRDefault="007F03C7">
      <w:pPr>
        <w:jc w:val="left"/>
        <w:rPr>
          <w:i/>
          <w:color w:val="172983"/>
          <w:sz w:val="28"/>
          <w:szCs w:val="28"/>
        </w:rPr>
      </w:pPr>
      <w:r w:rsidRPr="00237939">
        <w:br w:type="page"/>
      </w:r>
    </w:p>
    <w:p w14:paraId="328981B1" w14:textId="2B5DEC77" w:rsidR="004F72CE" w:rsidRDefault="004F72CE" w:rsidP="00D06CC1">
      <w:pPr>
        <w:pStyle w:val="Heading4"/>
      </w:pPr>
      <w:r>
        <w:t xml:space="preserve">Background to </w:t>
      </w:r>
      <w:r w:rsidR="003337C9">
        <w:t>development of the</w:t>
      </w:r>
      <w:r>
        <w:t xml:space="preserve"> </w:t>
      </w:r>
      <w:r w:rsidR="00244402">
        <w:t xml:space="preserve">program initiative </w:t>
      </w:r>
      <w:r>
        <w:t>concepts</w:t>
      </w:r>
    </w:p>
    <w:p w14:paraId="6D296ECB" w14:textId="58845CDB" w:rsidR="00643DFB" w:rsidRDefault="004A49D9" w:rsidP="00BE711F">
      <w:r>
        <w:t xml:space="preserve">During the </w:t>
      </w:r>
      <w:r w:rsidR="00D97549">
        <w:t>review</w:t>
      </w:r>
      <w:r w:rsidR="00A026F5">
        <w:t>,</w:t>
      </w:r>
      <w:r>
        <w:t xml:space="preserve"> common themes emerged </w:t>
      </w:r>
      <w:r w:rsidR="00DA4591">
        <w:t xml:space="preserve">about the needs of students </w:t>
      </w:r>
      <w:r w:rsidR="00991256">
        <w:t>with disability</w:t>
      </w:r>
      <w:r w:rsidR="00DA4591">
        <w:t xml:space="preserve"> and questions </w:t>
      </w:r>
      <w:r w:rsidR="0073709E">
        <w:t xml:space="preserve">or ideas </w:t>
      </w:r>
      <w:r w:rsidR="00DA4591">
        <w:t xml:space="preserve">around </w:t>
      </w:r>
      <w:r w:rsidR="00094CF4">
        <w:t xml:space="preserve">how these could be </w:t>
      </w:r>
      <w:r w:rsidR="00912C1F">
        <w:t>addressed</w:t>
      </w:r>
      <w:r w:rsidR="00094CF4">
        <w:t xml:space="preserve">. </w:t>
      </w:r>
      <w:r w:rsidR="0035244D">
        <w:t xml:space="preserve">These have continued to evolve from the initial </w:t>
      </w:r>
      <w:r w:rsidR="0033586C">
        <w:t>desktop research</w:t>
      </w:r>
      <w:r w:rsidR="00AD496A">
        <w:t xml:space="preserve">, </w:t>
      </w:r>
      <w:r w:rsidR="009A24B4">
        <w:t xml:space="preserve">throughout </w:t>
      </w:r>
      <w:r w:rsidR="001E0907">
        <w:t>our stakeholder</w:t>
      </w:r>
      <w:r w:rsidR="009A24B4">
        <w:t xml:space="preserve"> </w:t>
      </w:r>
      <w:r w:rsidR="0052126F">
        <w:t>engagement</w:t>
      </w:r>
      <w:r w:rsidR="00AD496A">
        <w:t xml:space="preserve"> and in co-creation workshops</w:t>
      </w:r>
      <w:r w:rsidR="009A24B4">
        <w:t xml:space="preserve">. </w:t>
      </w:r>
      <w:r w:rsidR="0033586C">
        <w:t xml:space="preserve"> </w:t>
      </w:r>
      <w:r w:rsidR="001E0907">
        <w:t xml:space="preserve">A </w:t>
      </w:r>
      <w:r w:rsidR="00937A1B">
        <w:t xml:space="preserve">short </w:t>
      </w:r>
      <w:r w:rsidR="001E0907">
        <w:t xml:space="preserve">summary is presented below. </w:t>
      </w:r>
    </w:p>
    <w:p w14:paraId="2335D351" w14:textId="2957BDDA" w:rsidR="001E0907" w:rsidRDefault="001E0907" w:rsidP="00BE711F">
      <w:r w:rsidRPr="000A19A0">
        <w:rPr>
          <w:rStyle w:val="Strong"/>
        </w:rPr>
        <w:t xml:space="preserve">Concept 1: </w:t>
      </w:r>
      <w:r w:rsidR="009A2AE1" w:rsidRPr="000A19A0">
        <w:rPr>
          <w:rStyle w:val="Strong"/>
        </w:rPr>
        <w:t>‘Backbone</w:t>
      </w:r>
      <w:r w:rsidR="00141E82" w:rsidRPr="000A19A0">
        <w:rPr>
          <w:rStyle w:val="Strong"/>
        </w:rPr>
        <w:t xml:space="preserve"> organisation</w:t>
      </w:r>
      <w:r w:rsidR="009A2AE1" w:rsidRPr="000A19A0">
        <w:rPr>
          <w:rStyle w:val="Strong"/>
        </w:rPr>
        <w:t>’</w:t>
      </w:r>
      <w:r w:rsidR="009A2AE1">
        <w:t xml:space="preserve"> </w:t>
      </w:r>
      <w:r w:rsidR="003421F6">
        <w:t>–</w:t>
      </w:r>
      <w:r w:rsidR="009A2AE1">
        <w:t xml:space="preserve"> </w:t>
      </w:r>
      <w:r w:rsidR="003421F6">
        <w:t xml:space="preserve">the </w:t>
      </w:r>
      <w:r w:rsidR="002D47E9">
        <w:t xml:space="preserve">early consultation and the </w:t>
      </w:r>
      <w:r w:rsidR="003421F6">
        <w:t>literature review</w:t>
      </w:r>
      <w:r w:rsidR="00D262A6">
        <w:t xml:space="preserve"> highlighted the </w:t>
      </w:r>
      <w:r w:rsidR="00BE416E">
        <w:t xml:space="preserve">challenges in </w:t>
      </w:r>
      <w:r w:rsidR="00C05BEC">
        <w:t>program</w:t>
      </w:r>
      <w:r w:rsidR="00BE416E">
        <w:t xml:space="preserve"> </w:t>
      </w:r>
      <w:r w:rsidR="00D262A6">
        <w:t xml:space="preserve">authority for </w:t>
      </w:r>
      <w:r w:rsidR="00BE416E">
        <w:t>greater program</w:t>
      </w:r>
      <w:r w:rsidR="00D626EF">
        <w:t xml:space="preserve"> impact. Students </w:t>
      </w:r>
      <w:r w:rsidR="003E6E55">
        <w:t xml:space="preserve">particularly </w:t>
      </w:r>
      <w:r w:rsidR="00D626EF">
        <w:t>question</w:t>
      </w:r>
      <w:r w:rsidR="009F6C5C">
        <w:t xml:space="preserve">ed why there was great confusion in roles, why </w:t>
      </w:r>
      <w:r w:rsidR="000F76DA">
        <w:t>policy and information is not</w:t>
      </w:r>
      <w:r w:rsidR="009F6C5C">
        <w:t xml:space="preserve"> </w:t>
      </w:r>
      <w:r w:rsidR="002671D2">
        <w:t xml:space="preserve">better </w:t>
      </w:r>
      <w:r w:rsidR="009F6C5C">
        <w:t xml:space="preserve">connected </w:t>
      </w:r>
      <w:r w:rsidR="00BE416E">
        <w:t xml:space="preserve">and </w:t>
      </w:r>
      <w:r w:rsidR="003D7E7A">
        <w:t xml:space="preserve">the need to work </w:t>
      </w:r>
      <w:r w:rsidR="003742F8">
        <w:t>together</w:t>
      </w:r>
      <w:r w:rsidR="000F76DA">
        <w:t xml:space="preserve"> with people </w:t>
      </w:r>
      <w:r w:rsidR="00991256">
        <w:t>with disability</w:t>
      </w:r>
      <w:r w:rsidR="000F76DA">
        <w:t xml:space="preserve"> and the </w:t>
      </w:r>
      <w:r w:rsidR="00937A1B">
        <w:t>broader disability sector</w:t>
      </w:r>
      <w:r w:rsidR="003742F8">
        <w:t xml:space="preserve">. </w:t>
      </w:r>
      <w:r w:rsidR="00BE416E">
        <w:t>The literature review also included the benefits of</w:t>
      </w:r>
      <w:r w:rsidR="00B26C37">
        <w:t xml:space="preserve"> bring</w:t>
      </w:r>
      <w:r w:rsidR="00937A1B">
        <w:t>ing</w:t>
      </w:r>
      <w:r w:rsidR="00B26C37">
        <w:t xml:space="preserve"> diverse stakeholders together – i.e. not just </w:t>
      </w:r>
      <w:r w:rsidR="002510AD">
        <w:t xml:space="preserve">tertiary </w:t>
      </w:r>
      <w:r w:rsidR="00185F71">
        <w:t>institutions,</w:t>
      </w:r>
      <w:r w:rsidR="00D03921">
        <w:t xml:space="preserve"> in order to collectively </w:t>
      </w:r>
      <w:r w:rsidR="006B4B02">
        <w:t>share</w:t>
      </w:r>
      <w:r w:rsidR="00A30D2D">
        <w:t xml:space="preserve"> the challenge </w:t>
      </w:r>
      <w:r w:rsidR="00D73B09">
        <w:t xml:space="preserve">of and solutions for </w:t>
      </w:r>
      <w:r w:rsidR="00A30D2D">
        <w:t>inclusion</w:t>
      </w:r>
      <w:r w:rsidR="00836D91">
        <w:t xml:space="preserve">. It noted the </w:t>
      </w:r>
      <w:r w:rsidR="00024008">
        <w:t>need for an organising body</w:t>
      </w:r>
      <w:r w:rsidR="00836D91">
        <w:t xml:space="preserve">, which </w:t>
      </w:r>
      <w:r w:rsidR="00024008">
        <w:t>borrows from the collective impact approach</w:t>
      </w:r>
      <w:r w:rsidR="00912C1F">
        <w:t xml:space="preserve"> with students with disability having ‘a seat at the table’</w:t>
      </w:r>
      <w:r w:rsidR="00024008">
        <w:t xml:space="preserve">. </w:t>
      </w:r>
    </w:p>
    <w:p w14:paraId="659E83CF" w14:textId="1FD03EBB" w:rsidR="00F31D98" w:rsidRDefault="002671D2" w:rsidP="00BE711F">
      <w:r w:rsidRPr="000A19A0">
        <w:rPr>
          <w:rStyle w:val="Strong"/>
        </w:rPr>
        <w:t>Concept 2:</w:t>
      </w:r>
      <w:r w:rsidR="00937A1B" w:rsidRPr="000A19A0">
        <w:rPr>
          <w:rStyle w:val="Strong"/>
        </w:rPr>
        <w:t xml:space="preserve"> </w:t>
      </w:r>
      <w:r w:rsidR="00141E82" w:rsidRPr="000A19A0">
        <w:rPr>
          <w:rStyle w:val="Strong"/>
        </w:rPr>
        <w:t>‘</w:t>
      </w:r>
      <w:r w:rsidR="00937A1B" w:rsidRPr="000A19A0">
        <w:rPr>
          <w:rStyle w:val="Strong"/>
        </w:rPr>
        <w:t>Consulting approach</w:t>
      </w:r>
      <w:r w:rsidR="00141E82" w:rsidRPr="000A19A0">
        <w:rPr>
          <w:rStyle w:val="Strong"/>
        </w:rPr>
        <w:t>’</w:t>
      </w:r>
      <w:r w:rsidR="00141E82">
        <w:t xml:space="preserve"> </w:t>
      </w:r>
      <w:r w:rsidR="00EC17AD">
        <w:t>–</w:t>
      </w:r>
      <w:r w:rsidR="00141E82">
        <w:t xml:space="preserve"> </w:t>
      </w:r>
      <w:r w:rsidR="00EC17AD">
        <w:t xml:space="preserve">This concept was originally seeded based on student and program stakeholders </w:t>
      </w:r>
      <w:r w:rsidR="0033095F">
        <w:t xml:space="preserve">referring to challenges in </w:t>
      </w:r>
      <w:r w:rsidR="002A0D5E">
        <w:t xml:space="preserve">getting lasting </w:t>
      </w:r>
      <w:r w:rsidR="001F56B1">
        <w:t xml:space="preserve">change </w:t>
      </w:r>
      <w:r w:rsidR="00710F3A">
        <w:t xml:space="preserve">within institutions for </w:t>
      </w:r>
      <w:r w:rsidR="0033095F">
        <w:t xml:space="preserve">implementation of </w:t>
      </w:r>
      <w:r w:rsidR="003D464A">
        <w:t>adjustments</w:t>
      </w:r>
      <w:r w:rsidR="00710F3A">
        <w:t xml:space="preserve">, and the value </w:t>
      </w:r>
      <w:r w:rsidR="008D60E3">
        <w:t>stakeholder and practitioners saw in retaining local practice</w:t>
      </w:r>
      <w:r w:rsidR="00EF4F07">
        <w:t xml:space="preserve"> </w:t>
      </w:r>
      <w:r w:rsidR="008D60E3">
        <w:t>support</w:t>
      </w:r>
      <w:r w:rsidR="00C6005A">
        <w:t xml:space="preserve"> and knowledge</w:t>
      </w:r>
      <w:r w:rsidR="008D60E3">
        <w:t xml:space="preserve">. </w:t>
      </w:r>
      <w:r w:rsidR="00FF7427">
        <w:t>Students</w:t>
      </w:r>
      <w:r w:rsidR="000A6D90">
        <w:t xml:space="preserve">, </w:t>
      </w:r>
      <w:r w:rsidR="000535B7">
        <w:t xml:space="preserve">student </w:t>
      </w:r>
      <w:r w:rsidR="000A6D90">
        <w:t>representative</w:t>
      </w:r>
      <w:r w:rsidR="000535B7">
        <w:t xml:space="preserve"> peaks</w:t>
      </w:r>
      <w:r w:rsidR="000A6D90">
        <w:t xml:space="preserve"> and external stakeholders</w:t>
      </w:r>
      <w:r w:rsidR="000535B7">
        <w:t xml:space="preserve"> initially raised this as an audit </w:t>
      </w:r>
      <w:r w:rsidR="000A6D90">
        <w:t xml:space="preserve">/ quasi regulation model. However, </w:t>
      </w:r>
      <w:r w:rsidR="006E72EC">
        <w:t xml:space="preserve">it has </w:t>
      </w:r>
      <w:r w:rsidR="000A6D90">
        <w:t xml:space="preserve">evolved to </w:t>
      </w:r>
      <w:r w:rsidR="006E72EC">
        <w:t>a voluntary</w:t>
      </w:r>
      <w:r w:rsidR="000A6D90">
        <w:t xml:space="preserve"> ‘support’ model</w:t>
      </w:r>
      <w:r w:rsidR="00853E6B">
        <w:t>. S</w:t>
      </w:r>
      <w:r w:rsidR="00D018A9">
        <w:t>tudents</w:t>
      </w:r>
      <w:r w:rsidR="003F0483">
        <w:t xml:space="preserve"> </w:t>
      </w:r>
      <w:r w:rsidR="00582444">
        <w:t>prioritised</w:t>
      </w:r>
      <w:r w:rsidR="003F0483">
        <w:t xml:space="preserve"> this </w:t>
      </w:r>
      <w:r w:rsidR="00650569">
        <w:t xml:space="preserve">concept </w:t>
      </w:r>
      <w:r w:rsidR="00BC0882">
        <w:t>as</w:t>
      </w:r>
      <w:r w:rsidR="003F0483">
        <w:t xml:space="preserve"> the most practical and tangible way to create a change for students.  </w:t>
      </w:r>
    </w:p>
    <w:p w14:paraId="15EEB273" w14:textId="4A7FB084" w:rsidR="002671D2" w:rsidRDefault="00F31D98" w:rsidP="00BE711F">
      <w:r w:rsidRPr="00E5416D">
        <w:rPr>
          <w:rStyle w:val="Strong"/>
        </w:rPr>
        <w:t xml:space="preserve">Concept 3: </w:t>
      </w:r>
      <w:r w:rsidR="00E5416D" w:rsidRPr="00E5416D">
        <w:rPr>
          <w:rStyle w:val="Strong"/>
        </w:rPr>
        <w:t>‘</w:t>
      </w:r>
      <w:r w:rsidRPr="00E5416D">
        <w:rPr>
          <w:rStyle w:val="Strong"/>
        </w:rPr>
        <w:t>Progress universal design for learning</w:t>
      </w:r>
      <w:r w:rsidR="00E5416D" w:rsidRPr="00E5416D">
        <w:rPr>
          <w:rStyle w:val="Strong"/>
        </w:rPr>
        <w:t>’</w:t>
      </w:r>
      <w:r w:rsidR="00E5416D">
        <w:t xml:space="preserve"> – </w:t>
      </w:r>
      <w:r w:rsidR="00FC1ADF">
        <w:t>This is not a new concept</w:t>
      </w:r>
      <w:r w:rsidR="00587C95">
        <w:t xml:space="preserve"> given work is underway by </w:t>
      </w:r>
      <w:r w:rsidR="00BF3CB6">
        <w:t xml:space="preserve">NDCOs working with </w:t>
      </w:r>
      <w:r w:rsidR="00185344">
        <w:t>ADCET and NSCEHE,</w:t>
      </w:r>
      <w:r w:rsidR="00FC1ADF">
        <w:t xml:space="preserve"> </w:t>
      </w:r>
      <w:r w:rsidR="00185344">
        <w:t xml:space="preserve">and </w:t>
      </w:r>
      <w:r w:rsidR="006E0349">
        <w:t xml:space="preserve">is </w:t>
      </w:r>
      <w:r w:rsidR="00A5595F">
        <w:t xml:space="preserve">highly </w:t>
      </w:r>
      <w:r w:rsidR="006E0349">
        <w:t xml:space="preserve">promoted </w:t>
      </w:r>
      <w:r w:rsidR="00CD06A2">
        <w:t xml:space="preserve">as a long-term </w:t>
      </w:r>
      <w:r w:rsidR="00875334">
        <w:t>b</w:t>
      </w:r>
      <w:r w:rsidR="00E72B2D">
        <w:t>ut</w:t>
      </w:r>
      <w:r w:rsidR="00875334">
        <w:t xml:space="preserve"> </w:t>
      </w:r>
      <w:r w:rsidR="00E72B2D">
        <w:t xml:space="preserve">necessary </w:t>
      </w:r>
      <w:r w:rsidR="00CD06A2">
        <w:t xml:space="preserve">pursuit in literature. Students </w:t>
      </w:r>
      <w:r w:rsidR="00A5595F">
        <w:t xml:space="preserve">questioned the lack of progress </w:t>
      </w:r>
      <w:r w:rsidR="00EC49C4">
        <w:t xml:space="preserve">on accessibility </w:t>
      </w:r>
      <w:r w:rsidR="00A5595F">
        <w:t xml:space="preserve">within the tertiary sector more generally, with many lamenting the need for common accessible </w:t>
      </w:r>
      <w:r w:rsidR="00EC49C4">
        <w:t>approaches</w:t>
      </w:r>
      <w:r w:rsidR="00A5595F">
        <w:t xml:space="preserve"> such as captioning, and recorded lectures</w:t>
      </w:r>
      <w:r w:rsidR="00563322">
        <w:t xml:space="preserve"> for all students</w:t>
      </w:r>
      <w:r w:rsidR="00A5595F">
        <w:t xml:space="preserve">. </w:t>
      </w:r>
    </w:p>
    <w:p w14:paraId="31935772" w14:textId="7111358E" w:rsidR="00643DFB" w:rsidRDefault="00643DFB" w:rsidP="00643DFB">
      <w:r w:rsidRPr="00C273EC">
        <w:t>As part of th</w:t>
      </w:r>
      <w:r>
        <w:t>e</w:t>
      </w:r>
      <w:r w:rsidRPr="00C273EC">
        <w:t xml:space="preserve"> co-creation </w:t>
      </w:r>
      <w:r w:rsidR="00C96220">
        <w:t>workshops</w:t>
      </w:r>
      <w:r w:rsidRPr="00C273EC">
        <w:t xml:space="preserve">, </w:t>
      </w:r>
      <w:r w:rsidR="002671D2">
        <w:t xml:space="preserve">the </w:t>
      </w:r>
      <w:r w:rsidRPr="00C273EC">
        <w:t>three program concepts were presented to participants</w:t>
      </w:r>
      <w:r>
        <w:t xml:space="preserve">. During the consultation, stakeholders indicated that </w:t>
      </w:r>
      <w:r w:rsidRPr="00237939">
        <w:t xml:space="preserve">they </w:t>
      </w:r>
      <w:r w:rsidRPr="00D66066">
        <w:t>all</w:t>
      </w:r>
      <w:r w:rsidRPr="00237939">
        <w:t xml:space="preserve"> had</w:t>
      </w:r>
      <w:r>
        <w:t xml:space="preserve"> merit</w:t>
      </w:r>
      <w:r w:rsidR="004B3A5C">
        <w:t>,</w:t>
      </w:r>
      <w:r>
        <w:t xml:space="preserve"> but needed to be integrated</w:t>
      </w:r>
      <w:r w:rsidR="006509B6">
        <w:t>,</w:t>
      </w:r>
      <w:r>
        <w:t xml:space="preserve"> rather than discrete projects. Each of the concepts received positive and negative feedback, and as such, the consensus was that there were elements from each that warranted further consideration by </w:t>
      </w:r>
      <w:r w:rsidR="008569FC">
        <w:t>the department</w:t>
      </w:r>
      <w:r>
        <w:t xml:space="preserve"> when redesigning the program. </w:t>
      </w:r>
    </w:p>
    <w:p w14:paraId="7C8E8BD3" w14:textId="7E541F3D" w:rsidR="00643DFB" w:rsidRDefault="00A026F5" w:rsidP="00643DFB">
      <w:r>
        <w:t>However</w:t>
      </w:r>
      <w:r w:rsidR="00643DFB">
        <w:t>, there was agreement that the revised program:</w:t>
      </w:r>
    </w:p>
    <w:p w14:paraId="03970E93" w14:textId="77777777" w:rsidR="00643DFB" w:rsidRDefault="00643DFB" w:rsidP="00E14791">
      <w:pPr>
        <w:pStyle w:val="ListBullet"/>
        <w:numPr>
          <w:ilvl w:val="0"/>
          <w:numId w:val="26"/>
        </w:numPr>
      </w:pPr>
      <w:r>
        <w:t>should build upon the perceived strengths of the current NDCO program in developing the next iteration of the program;</w:t>
      </w:r>
    </w:p>
    <w:p w14:paraId="5516C6B0" w14:textId="1F6E2662" w:rsidR="00643DFB" w:rsidRDefault="00643DFB" w:rsidP="00E14791">
      <w:pPr>
        <w:pStyle w:val="ListBullet"/>
        <w:numPr>
          <w:ilvl w:val="0"/>
          <w:numId w:val="26"/>
        </w:numPr>
      </w:pPr>
      <w:r>
        <w:t xml:space="preserve">needed to have a clearly defined purpose and communicated outcomes; </w:t>
      </w:r>
    </w:p>
    <w:p w14:paraId="65D12AFF" w14:textId="77777777" w:rsidR="00643DFB" w:rsidRDefault="00643DFB" w:rsidP="00E14791">
      <w:pPr>
        <w:pStyle w:val="ListBullet"/>
        <w:numPr>
          <w:ilvl w:val="0"/>
          <w:numId w:val="26"/>
        </w:numPr>
      </w:pPr>
      <w:r>
        <w:t>provide clarity around the role of those delivering or partnering on the program; and</w:t>
      </w:r>
    </w:p>
    <w:p w14:paraId="246B6968" w14:textId="17EBA950" w:rsidR="00643DFB" w:rsidRDefault="00643DFB" w:rsidP="00E14791">
      <w:pPr>
        <w:pStyle w:val="ListBullet"/>
        <w:numPr>
          <w:ilvl w:val="0"/>
          <w:numId w:val="26"/>
        </w:numPr>
      </w:pPr>
      <w:r>
        <w:t xml:space="preserve">should be more strategically focused </w:t>
      </w:r>
      <w:r w:rsidR="0026129C">
        <w:t>(</w:t>
      </w:r>
      <w:r>
        <w:t>i.e. to potentially concentrate on areas where it has the greatest potential to improve the outcomes for students with disability accessing and participating in tertiary education and obtaining related employment</w:t>
      </w:r>
      <w:r w:rsidR="0026129C">
        <w:t>)</w:t>
      </w:r>
      <w:r>
        <w:t>.</w:t>
      </w:r>
    </w:p>
    <w:p w14:paraId="25687896" w14:textId="604034CA" w:rsidR="00234B23" w:rsidRDefault="00643DFB" w:rsidP="00BE711F">
      <w:r>
        <w:t>W</w:t>
      </w:r>
      <w:r w:rsidR="00234B23">
        <w:t xml:space="preserve">hile </w:t>
      </w:r>
      <w:r w:rsidR="00186825">
        <w:t xml:space="preserve">each concept was </w:t>
      </w:r>
      <w:r w:rsidR="00234B23">
        <w:t>presented separately</w:t>
      </w:r>
      <w:r w:rsidR="00BE711F">
        <w:t xml:space="preserve"> in </w:t>
      </w:r>
      <w:r w:rsidR="004D5983">
        <w:t xml:space="preserve">the </w:t>
      </w:r>
      <w:r w:rsidR="007F5F0C">
        <w:t>co-creation</w:t>
      </w:r>
      <w:r w:rsidR="00186825">
        <w:t xml:space="preserve"> workshops</w:t>
      </w:r>
      <w:r w:rsidR="00234B23">
        <w:t xml:space="preserve">, we have provided an overview of the connected program of work below, </w:t>
      </w:r>
      <w:r w:rsidR="004F4A45">
        <w:t xml:space="preserve">followed by </w:t>
      </w:r>
      <w:r w:rsidR="00AF625F">
        <w:t>more detailed</w:t>
      </w:r>
      <w:r w:rsidR="00234B23">
        <w:t xml:space="preserve"> design considerations </w:t>
      </w:r>
      <w:r w:rsidR="00107CE1">
        <w:t>resulting from co-creation worksho</w:t>
      </w:r>
      <w:r w:rsidR="004F4A45">
        <w:t>ps</w:t>
      </w:r>
      <w:r w:rsidR="00234B23">
        <w:t>.</w:t>
      </w:r>
    </w:p>
    <w:p w14:paraId="55FD16C9" w14:textId="77777777" w:rsidR="00D97549" w:rsidRDefault="00D97549" w:rsidP="006F2E7A">
      <w:pPr>
        <w:pStyle w:val="FigureHeading"/>
      </w:pPr>
    </w:p>
    <w:p w14:paraId="753F3AAA" w14:textId="154D6A8B" w:rsidR="006F2E7A" w:rsidRDefault="006F2E7A" w:rsidP="006F2E7A">
      <w:pPr>
        <w:pStyle w:val="FigureHeading"/>
      </w:pPr>
      <w:r>
        <w:t xml:space="preserve">Table </w:t>
      </w:r>
      <w:r w:rsidR="00A8305A">
        <w:t>4</w:t>
      </w:r>
      <w:r>
        <w:t xml:space="preserve">: </w:t>
      </w:r>
      <w:r w:rsidR="00533EE2">
        <w:t>Indicative program</w:t>
      </w:r>
      <w:r w:rsidR="0061744A">
        <w:t xml:space="preserve"> priorities and initiative concepts </w:t>
      </w:r>
    </w:p>
    <w:p w14:paraId="1F8078F4" w14:textId="77777777" w:rsidR="007009D2" w:rsidRDefault="007009D2" w:rsidP="00BE711F"/>
    <w:tbl>
      <w:tblPr>
        <w:tblStyle w:val="TableGrid"/>
        <w:tblW w:w="9676" w:type="dxa"/>
        <w:tblInd w:w="-289" w:type="dxa"/>
        <w:tblLook w:val="04A0" w:firstRow="1" w:lastRow="0" w:firstColumn="1" w:lastColumn="0" w:noHBand="0" w:noVBand="1"/>
      </w:tblPr>
      <w:tblGrid>
        <w:gridCol w:w="2405"/>
        <w:gridCol w:w="1848"/>
        <w:gridCol w:w="2871"/>
        <w:gridCol w:w="2552"/>
      </w:tblGrid>
      <w:tr w:rsidR="00BE3B8D" w14:paraId="6C371AF0" w14:textId="5420712D" w:rsidTr="00BE3B8D">
        <w:tc>
          <w:tcPr>
            <w:tcW w:w="2405" w:type="dxa"/>
            <w:shd w:val="clear" w:color="auto" w:fill="1F497D" w:themeFill="text2"/>
          </w:tcPr>
          <w:p w14:paraId="68EA8E2A" w14:textId="0C30A06A" w:rsidR="00BE3B8D" w:rsidRDefault="00AD496A" w:rsidP="00CF4D4E">
            <w:pPr>
              <w:tabs>
                <w:tab w:val="left" w:pos="564"/>
              </w:tabs>
              <w:rPr>
                <w:color w:val="FFFFFF" w:themeColor="background1"/>
              </w:rPr>
            </w:pPr>
            <w:r>
              <w:rPr>
                <w:color w:val="FFFFFF" w:themeColor="background1"/>
              </w:rPr>
              <w:t>Priority</w:t>
            </w:r>
            <w:r w:rsidR="00D06CC1">
              <w:rPr>
                <w:color w:val="FFFFFF" w:themeColor="background1"/>
              </w:rPr>
              <w:t xml:space="preserve"> area</w:t>
            </w:r>
          </w:p>
        </w:tc>
        <w:tc>
          <w:tcPr>
            <w:tcW w:w="1848" w:type="dxa"/>
            <w:shd w:val="clear" w:color="auto" w:fill="1F497D" w:themeFill="text2"/>
          </w:tcPr>
          <w:p w14:paraId="283ABF3F" w14:textId="3B715294" w:rsidR="00BE3B8D" w:rsidRPr="00255B3E" w:rsidRDefault="00BE3B8D" w:rsidP="002244CD">
            <w:pPr>
              <w:rPr>
                <w:color w:val="FFFFFF" w:themeColor="background1"/>
              </w:rPr>
            </w:pPr>
            <w:r>
              <w:rPr>
                <w:color w:val="FFFFFF" w:themeColor="background1"/>
              </w:rPr>
              <w:t xml:space="preserve">Initiative </w:t>
            </w:r>
            <w:r w:rsidRPr="00255B3E">
              <w:rPr>
                <w:color w:val="FFFFFF" w:themeColor="background1"/>
              </w:rPr>
              <w:t xml:space="preserve">Concept </w:t>
            </w:r>
          </w:p>
        </w:tc>
        <w:tc>
          <w:tcPr>
            <w:tcW w:w="2871" w:type="dxa"/>
            <w:shd w:val="clear" w:color="auto" w:fill="1F497D" w:themeFill="text2"/>
          </w:tcPr>
          <w:p w14:paraId="70C7ABB3" w14:textId="5EC77B8F" w:rsidR="00BE3B8D" w:rsidRPr="00255B3E" w:rsidRDefault="00BE3B8D" w:rsidP="002244CD">
            <w:pPr>
              <w:rPr>
                <w:color w:val="FFFFFF" w:themeColor="background1"/>
              </w:rPr>
            </w:pPr>
            <w:r>
              <w:rPr>
                <w:color w:val="FFFFFF" w:themeColor="background1"/>
              </w:rPr>
              <w:t>Problem</w:t>
            </w:r>
          </w:p>
        </w:tc>
        <w:tc>
          <w:tcPr>
            <w:tcW w:w="2552" w:type="dxa"/>
            <w:shd w:val="clear" w:color="auto" w:fill="1F497D" w:themeFill="text2"/>
          </w:tcPr>
          <w:p w14:paraId="3712EDBC" w14:textId="46931074" w:rsidR="00BE3B8D" w:rsidRPr="00255B3E" w:rsidRDefault="00BE3B8D" w:rsidP="002244CD">
            <w:pPr>
              <w:rPr>
                <w:color w:val="FFFFFF" w:themeColor="background1"/>
              </w:rPr>
            </w:pPr>
            <w:r>
              <w:rPr>
                <w:color w:val="FFFFFF" w:themeColor="background1"/>
              </w:rPr>
              <w:t>Description</w:t>
            </w:r>
          </w:p>
        </w:tc>
      </w:tr>
      <w:tr w:rsidR="00BE3B8D" w14:paraId="4E198664" w14:textId="75D678D1" w:rsidTr="00BE3B8D">
        <w:tc>
          <w:tcPr>
            <w:tcW w:w="2405" w:type="dxa"/>
            <w:shd w:val="clear" w:color="auto" w:fill="DAEEF3" w:themeFill="accent5" w:themeFillTint="33"/>
          </w:tcPr>
          <w:p w14:paraId="32E517B7" w14:textId="1351329C" w:rsidR="00BE3B8D" w:rsidRPr="00187BB9" w:rsidRDefault="00BE3B8D" w:rsidP="00CF4D4E">
            <w:pPr>
              <w:jc w:val="left"/>
              <w:rPr>
                <w:b/>
                <w:bCs/>
              </w:rPr>
            </w:pPr>
            <w:r w:rsidRPr="007460BC">
              <w:rPr>
                <w:b/>
                <w:bCs/>
              </w:rPr>
              <w:t xml:space="preserve">Strategically connect and leverage the national tertiary equity </w:t>
            </w:r>
            <w:r w:rsidR="0061744A">
              <w:rPr>
                <w:b/>
                <w:bCs/>
              </w:rPr>
              <w:t xml:space="preserve">disability </w:t>
            </w:r>
            <w:r w:rsidRPr="007460BC">
              <w:rPr>
                <w:b/>
                <w:bCs/>
              </w:rPr>
              <w:t xml:space="preserve">ecosystem </w:t>
            </w:r>
          </w:p>
        </w:tc>
        <w:tc>
          <w:tcPr>
            <w:tcW w:w="1848" w:type="dxa"/>
          </w:tcPr>
          <w:p w14:paraId="19115AA2" w14:textId="15F7E2FE" w:rsidR="00BE3B8D" w:rsidRDefault="00BE3B8D" w:rsidP="002831F6">
            <w:pPr>
              <w:jc w:val="left"/>
            </w:pPr>
            <w:r>
              <w:t xml:space="preserve">Establish a tertiary disability </w:t>
            </w:r>
            <w:r w:rsidR="00E8631E">
              <w:t xml:space="preserve">equity </w:t>
            </w:r>
            <w:r>
              <w:t xml:space="preserve">‘backbone’  </w:t>
            </w:r>
          </w:p>
        </w:tc>
        <w:tc>
          <w:tcPr>
            <w:tcW w:w="2871" w:type="dxa"/>
          </w:tcPr>
          <w:p w14:paraId="49CEACA0" w14:textId="1CABE2B9" w:rsidR="00BE3B8D" w:rsidRPr="005F45CA" w:rsidRDefault="00BE3B8D" w:rsidP="002831F6">
            <w:pPr>
              <w:jc w:val="left"/>
              <w:rPr>
                <w:b/>
                <w:bCs/>
              </w:rPr>
            </w:pPr>
            <w:r w:rsidRPr="005F45CA">
              <w:rPr>
                <w:b/>
                <w:bCs/>
              </w:rPr>
              <w:t xml:space="preserve">Many players that have a role in improving tertiary education to employment outcomes for people </w:t>
            </w:r>
            <w:r w:rsidR="00991256">
              <w:rPr>
                <w:b/>
                <w:bCs/>
              </w:rPr>
              <w:t>with disability</w:t>
            </w:r>
            <w:r w:rsidRPr="005F45CA">
              <w:rPr>
                <w:b/>
                <w:bCs/>
              </w:rPr>
              <w:t xml:space="preserve"> are not well connected, and it is unclear who is doing what</w:t>
            </w:r>
            <w:r>
              <w:rPr>
                <w:b/>
                <w:bCs/>
              </w:rPr>
              <w:t>.</w:t>
            </w:r>
          </w:p>
        </w:tc>
        <w:tc>
          <w:tcPr>
            <w:tcW w:w="2552" w:type="dxa"/>
          </w:tcPr>
          <w:p w14:paraId="3742EC4F" w14:textId="638E0CE5" w:rsidR="00BE3B8D" w:rsidRDefault="00BE3B8D" w:rsidP="002831F6">
            <w:pPr>
              <w:jc w:val="left"/>
            </w:pPr>
            <w:r w:rsidRPr="003457C8">
              <w:t xml:space="preserve">Formally bring key players together for </w:t>
            </w:r>
            <w:r>
              <w:t xml:space="preserve">greater </w:t>
            </w:r>
            <w:r w:rsidRPr="003457C8">
              <w:t>collective impact</w:t>
            </w:r>
            <w:r>
              <w:t xml:space="preserve">. </w:t>
            </w:r>
          </w:p>
          <w:p w14:paraId="7A5D5132" w14:textId="77777777" w:rsidR="00BE3B8D" w:rsidRDefault="00BE3B8D" w:rsidP="002831F6">
            <w:pPr>
              <w:jc w:val="left"/>
            </w:pPr>
          </w:p>
          <w:p w14:paraId="18C163AC" w14:textId="1D705AEF" w:rsidR="00BE3B8D" w:rsidRDefault="00BE3B8D" w:rsidP="004424E5">
            <w:pPr>
              <w:jc w:val="left"/>
            </w:pPr>
          </w:p>
        </w:tc>
      </w:tr>
      <w:tr w:rsidR="00BE3B8D" w14:paraId="30FD1D11" w14:textId="6A2F7CDA" w:rsidTr="00BE3B8D">
        <w:tc>
          <w:tcPr>
            <w:tcW w:w="2405" w:type="dxa"/>
            <w:shd w:val="clear" w:color="auto" w:fill="DAEEF3" w:themeFill="accent5" w:themeFillTint="33"/>
          </w:tcPr>
          <w:p w14:paraId="50CAB69C" w14:textId="48054FB7" w:rsidR="00BE3B8D" w:rsidRPr="00187BB9" w:rsidRDefault="00BE3B8D" w:rsidP="00CF4D4E">
            <w:pPr>
              <w:tabs>
                <w:tab w:val="left" w:pos="564"/>
              </w:tabs>
              <w:jc w:val="left"/>
              <w:rPr>
                <w:b/>
                <w:bCs/>
              </w:rPr>
            </w:pPr>
            <w:r w:rsidRPr="007460BC">
              <w:rPr>
                <w:b/>
                <w:bCs/>
              </w:rPr>
              <w:t xml:space="preserve">Support tertiary </w:t>
            </w:r>
            <w:proofErr w:type="gramStart"/>
            <w:r w:rsidR="003741FF" w:rsidRPr="007460BC">
              <w:rPr>
                <w:b/>
                <w:bCs/>
              </w:rPr>
              <w:t>institution</w:t>
            </w:r>
            <w:r w:rsidR="003741FF">
              <w:rPr>
                <w:b/>
                <w:bCs/>
              </w:rPr>
              <w:t>s’</w:t>
            </w:r>
            <w:proofErr w:type="gramEnd"/>
            <w:r w:rsidR="00981F0C" w:rsidRPr="00981F0C">
              <w:rPr>
                <w:b/>
                <w:bCs/>
              </w:rPr>
              <w:t xml:space="preserve"> </w:t>
            </w:r>
            <w:r w:rsidR="006D4696">
              <w:rPr>
                <w:b/>
                <w:bCs/>
              </w:rPr>
              <w:t xml:space="preserve">to </w:t>
            </w:r>
            <w:r w:rsidR="002918BF">
              <w:rPr>
                <w:b/>
                <w:bCs/>
              </w:rPr>
              <w:t>translate</w:t>
            </w:r>
            <w:r w:rsidR="002918BF" w:rsidRPr="00981F0C">
              <w:rPr>
                <w:b/>
                <w:bCs/>
              </w:rPr>
              <w:t xml:space="preserve"> information</w:t>
            </w:r>
            <w:r w:rsidR="00981F0C" w:rsidRPr="00981F0C">
              <w:rPr>
                <w:b/>
                <w:bCs/>
              </w:rPr>
              <w:t xml:space="preserve"> and research into practice </w:t>
            </w:r>
          </w:p>
        </w:tc>
        <w:tc>
          <w:tcPr>
            <w:tcW w:w="1848" w:type="dxa"/>
          </w:tcPr>
          <w:p w14:paraId="44457A0D" w14:textId="01B858FB" w:rsidR="00BE3B8D" w:rsidRDefault="00BE3B8D" w:rsidP="002831F6">
            <w:pPr>
              <w:jc w:val="left"/>
            </w:pPr>
            <w:r>
              <w:t>Consulting approach</w:t>
            </w:r>
          </w:p>
        </w:tc>
        <w:tc>
          <w:tcPr>
            <w:tcW w:w="2871" w:type="dxa"/>
          </w:tcPr>
          <w:p w14:paraId="34D67DEE" w14:textId="03DF151E" w:rsidR="00BE3B8D" w:rsidRPr="005F45CA" w:rsidRDefault="00BE3B8D" w:rsidP="005F45CA">
            <w:pPr>
              <w:jc w:val="left"/>
            </w:pPr>
            <w:r w:rsidRPr="005F45CA">
              <w:rPr>
                <w:b/>
                <w:bCs/>
              </w:rPr>
              <w:t>Students’ disability inclusion needs are not well planned or implemented despite the resources available</w:t>
            </w:r>
            <w:r>
              <w:rPr>
                <w:b/>
                <w:bCs/>
              </w:rPr>
              <w:t>, with stakeholders identifying the need for practical support and guidance.</w:t>
            </w:r>
          </w:p>
          <w:p w14:paraId="386828C1" w14:textId="77777777" w:rsidR="00BE3B8D" w:rsidRDefault="00BE3B8D" w:rsidP="002831F6">
            <w:pPr>
              <w:jc w:val="left"/>
            </w:pPr>
          </w:p>
        </w:tc>
        <w:tc>
          <w:tcPr>
            <w:tcW w:w="2552" w:type="dxa"/>
          </w:tcPr>
          <w:p w14:paraId="0EF03A66" w14:textId="5BF4805C" w:rsidR="00BE3B8D" w:rsidRDefault="00BE3B8D" w:rsidP="002831F6">
            <w:pPr>
              <w:jc w:val="left"/>
            </w:pPr>
            <w:r>
              <w:t>Establish a team with skills and expertise to provide a</w:t>
            </w:r>
            <w:r w:rsidRPr="0055183C">
              <w:t xml:space="preserve"> consulting approach </w:t>
            </w:r>
            <w:r>
              <w:t xml:space="preserve">the tertiary sector </w:t>
            </w:r>
            <w:r w:rsidRPr="0055183C">
              <w:t xml:space="preserve">to support implementation of </w:t>
            </w:r>
            <w:r>
              <w:t xml:space="preserve">the </w:t>
            </w:r>
            <w:r w:rsidR="00505CC3">
              <w:t xml:space="preserve">DDA and the </w:t>
            </w:r>
            <w:r>
              <w:t>Standards.</w:t>
            </w:r>
          </w:p>
        </w:tc>
      </w:tr>
      <w:tr w:rsidR="00BE3B8D" w14:paraId="4E0E8A5B" w14:textId="5AF9C8A5" w:rsidTr="00BE3B8D">
        <w:tc>
          <w:tcPr>
            <w:tcW w:w="2405" w:type="dxa"/>
            <w:shd w:val="clear" w:color="auto" w:fill="DAEEF3" w:themeFill="accent5" w:themeFillTint="33"/>
          </w:tcPr>
          <w:p w14:paraId="637FD7DA" w14:textId="6A7CC72A" w:rsidR="00BE3B8D" w:rsidRPr="00187BB9" w:rsidRDefault="00BE3B8D" w:rsidP="00B454A0">
            <w:pPr>
              <w:jc w:val="left"/>
              <w:rPr>
                <w:b/>
                <w:bCs/>
              </w:rPr>
            </w:pPr>
            <w:r w:rsidRPr="00BE3B8D">
              <w:rPr>
                <w:b/>
                <w:bCs/>
              </w:rPr>
              <w:t>Continue to progress universal design for learning in tertiary settings.</w:t>
            </w:r>
          </w:p>
        </w:tc>
        <w:tc>
          <w:tcPr>
            <w:tcW w:w="1848" w:type="dxa"/>
          </w:tcPr>
          <w:p w14:paraId="05880FA5" w14:textId="2D9C0C55" w:rsidR="00BE3B8D" w:rsidRDefault="00BE3B8D" w:rsidP="002831F6">
            <w:pPr>
              <w:jc w:val="left"/>
            </w:pPr>
            <w:r>
              <w:t xml:space="preserve">Universal design for learning </w:t>
            </w:r>
          </w:p>
        </w:tc>
        <w:tc>
          <w:tcPr>
            <w:tcW w:w="2871" w:type="dxa"/>
          </w:tcPr>
          <w:p w14:paraId="1604A4C1" w14:textId="529EF31B" w:rsidR="00BE3B8D" w:rsidRPr="00D40F83" w:rsidRDefault="00BE3B8D" w:rsidP="00D40F83">
            <w:pPr>
              <w:jc w:val="left"/>
            </w:pPr>
            <w:r w:rsidRPr="00D40F83">
              <w:rPr>
                <w:b/>
                <w:bCs/>
              </w:rPr>
              <w:t xml:space="preserve">Students don’t always </w:t>
            </w:r>
            <w:r>
              <w:rPr>
                <w:b/>
                <w:bCs/>
              </w:rPr>
              <w:t xml:space="preserve">know what’s available, </w:t>
            </w:r>
            <w:r w:rsidRPr="00D40F83">
              <w:rPr>
                <w:b/>
                <w:bCs/>
              </w:rPr>
              <w:t xml:space="preserve">identify with or want to disclose disability, and therefore don’t receive inclusion supports. </w:t>
            </w:r>
          </w:p>
          <w:p w14:paraId="4FCCE177" w14:textId="77777777" w:rsidR="00BE3B8D" w:rsidRDefault="00BE3B8D" w:rsidP="002831F6">
            <w:pPr>
              <w:jc w:val="left"/>
            </w:pPr>
          </w:p>
        </w:tc>
        <w:tc>
          <w:tcPr>
            <w:tcW w:w="2552" w:type="dxa"/>
          </w:tcPr>
          <w:p w14:paraId="01F278BD" w14:textId="66A436A6" w:rsidR="00BE3B8D" w:rsidRDefault="0059072B" w:rsidP="002831F6">
            <w:pPr>
              <w:jc w:val="left"/>
            </w:pPr>
            <w:r>
              <w:t xml:space="preserve">Contribute to the progression in the design and </w:t>
            </w:r>
            <w:r w:rsidR="00BE3B8D" w:rsidRPr="009E6DD7">
              <w:t>implementation of universal design in tertiary education settings to ensure inclusion for all</w:t>
            </w:r>
            <w:r w:rsidR="00BE3B8D">
              <w:t xml:space="preserve"> students.</w:t>
            </w:r>
          </w:p>
        </w:tc>
      </w:tr>
    </w:tbl>
    <w:p w14:paraId="27C78609" w14:textId="21E8DC45" w:rsidR="00693D51" w:rsidRDefault="00006E20" w:rsidP="005C010A">
      <w:pPr>
        <w:pStyle w:val="Heading5"/>
      </w:pPr>
      <w:r>
        <w:t xml:space="preserve">Establish </w:t>
      </w:r>
      <w:r w:rsidR="00202FDC">
        <w:t>a</w:t>
      </w:r>
      <w:r>
        <w:t xml:space="preserve"> </w:t>
      </w:r>
      <w:r w:rsidR="002F0409">
        <w:t xml:space="preserve">‘backbone’ to </w:t>
      </w:r>
      <w:r w:rsidR="002826C1">
        <w:t>engage</w:t>
      </w:r>
      <w:r w:rsidR="00DD0843">
        <w:t xml:space="preserve"> the broader t</w:t>
      </w:r>
      <w:r>
        <w:t>ertiary disability equity</w:t>
      </w:r>
      <w:r w:rsidR="00DD0843">
        <w:t xml:space="preserve"> </w:t>
      </w:r>
      <w:r w:rsidR="002826C1">
        <w:t>eco</w:t>
      </w:r>
      <w:r w:rsidR="00DD0843">
        <w:t>system</w:t>
      </w:r>
    </w:p>
    <w:p w14:paraId="2A05F4BE" w14:textId="2C795731" w:rsidR="004318CE" w:rsidRPr="004318CE" w:rsidRDefault="00600FF5" w:rsidP="004318CE">
      <w:r w:rsidRPr="00E62224">
        <w:t>Th</w:t>
      </w:r>
      <w:r w:rsidR="00E50922" w:rsidRPr="00E62224">
        <w:t xml:space="preserve">is </w:t>
      </w:r>
      <w:r w:rsidR="005E0091" w:rsidRPr="00E62224">
        <w:t>priority</w:t>
      </w:r>
      <w:r w:rsidR="00E50922" w:rsidRPr="00E62224">
        <w:t xml:space="preserve"> was based on the need to i</w:t>
      </w:r>
      <w:r w:rsidR="004318CE" w:rsidRPr="00E62224">
        <w:t xml:space="preserve">mprove and influence how schools, tertiary education providers, peaks, leaders, disability groups work better together.  The aim would be to </w:t>
      </w:r>
      <w:r w:rsidR="000A083F" w:rsidRPr="00E62224">
        <w:t>improve communication, collaboration and coordination on change activities</w:t>
      </w:r>
      <w:r w:rsidR="000A083F">
        <w:t xml:space="preserve">; and inform progress of implementation of government initiatives – including implementation </w:t>
      </w:r>
      <w:r w:rsidR="009114EE">
        <w:t>of the Standards in tertiary setting</w:t>
      </w:r>
      <w:r w:rsidR="007D15D2">
        <w:t xml:space="preserve">s, </w:t>
      </w:r>
      <w:r w:rsidR="000A083F">
        <w:t>challenges and successes</w:t>
      </w:r>
      <w:r w:rsidR="002E4A03">
        <w:t xml:space="preserve">. This may also be a vehicle </w:t>
      </w:r>
      <w:r w:rsidR="00360461">
        <w:t xml:space="preserve">to progress partnerships at the transition </w:t>
      </w:r>
      <w:r w:rsidR="008544DC">
        <w:t xml:space="preserve">points and </w:t>
      </w:r>
      <w:r w:rsidR="00C829C0">
        <w:t xml:space="preserve">promote scaling of strategic projects. </w:t>
      </w:r>
    </w:p>
    <w:p w14:paraId="2ADE47C1" w14:textId="4E4350FA" w:rsidR="00FD3BDF" w:rsidRDefault="00FD3BDF" w:rsidP="0046727F">
      <w:r>
        <w:t xml:space="preserve">Design considerations </w:t>
      </w:r>
      <w:r w:rsidR="007D15D2">
        <w:t>identified at the</w:t>
      </w:r>
      <w:r>
        <w:t xml:space="preserve"> </w:t>
      </w:r>
      <w:r w:rsidR="001D1F19">
        <w:t>co-creation workshops:</w:t>
      </w:r>
    </w:p>
    <w:p w14:paraId="5511C128" w14:textId="75D79F3F" w:rsidR="001D1F19" w:rsidRDefault="00F061B6" w:rsidP="00E14791">
      <w:pPr>
        <w:pStyle w:val="ListBullet"/>
      </w:pPr>
      <w:r>
        <w:t xml:space="preserve">Membership </w:t>
      </w:r>
      <w:r w:rsidR="00112673">
        <w:t xml:space="preserve">would need to be at the right level </w:t>
      </w:r>
      <w:r w:rsidR="0026129C">
        <w:t>(</w:t>
      </w:r>
      <w:r w:rsidR="00112673">
        <w:t>i.e. with some authority</w:t>
      </w:r>
      <w:r w:rsidR="00992964">
        <w:t xml:space="preserve">, in order to </w:t>
      </w:r>
      <w:r w:rsidR="00101252">
        <w:t>harness the expertise</w:t>
      </w:r>
      <w:r w:rsidR="009B02A8">
        <w:t>, strong connections</w:t>
      </w:r>
      <w:r w:rsidR="00101252">
        <w:t xml:space="preserve"> and influence</w:t>
      </w:r>
      <w:r w:rsidR="006C2901">
        <w:t xml:space="preserve"> required</w:t>
      </w:r>
      <w:r w:rsidR="00101252">
        <w:t xml:space="preserve"> within the sector</w:t>
      </w:r>
      <w:r w:rsidR="0026129C">
        <w:t>)</w:t>
      </w:r>
      <w:r w:rsidR="00101252">
        <w:t>.</w:t>
      </w:r>
    </w:p>
    <w:p w14:paraId="3FED39AA" w14:textId="4D06CC1D" w:rsidR="000C1E61" w:rsidRPr="000B6B68" w:rsidRDefault="000C1E61" w:rsidP="00E14791">
      <w:pPr>
        <w:pStyle w:val="ListBullet"/>
      </w:pPr>
      <w:r>
        <w:t>Student</w:t>
      </w:r>
      <w:r w:rsidR="00E3556A">
        <w:t>s</w:t>
      </w:r>
      <w:r>
        <w:t xml:space="preserve"> expressed </w:t>
      </w:r>
      <w:r w:rsidR="00F00EB2">
        <w:t xml:space="preserve">concerns </w:t>
      </w:r>
      <w:r w:rsidR="00735017">
        <w:t xml:space="preserve">that </w:t>
      </w:r>
      <w:r w:rsidR="00F00EB2">
        <w:t xml:space="preserve">managing </w:t>
      </w:r>
      <w:r w:rsidR="00735017">
        <w:t>a</w:t>
      </w:r>
      <w:r w:rsidR="00F00EB2">
        <w:t xml:space="preserve"> large </w:t>
      </w:r>
      <w:r>
        <w:t>group</w:t>
      </w:r>
      <w:r w:rsidR="00A16F55">
        <w:t xml:space="preserve"> </w:t>
      </w:r>
      <w:r w:rsidR="00735017">
        <w:t>might result in</w:t>
      </w:r>
      <w:r w:rsidR="00F00EB2">
        <w:t xml:space="preserve"> smaller voices being lost. Therefore</w:t>
      </w:r>
      <w:r w:rsidR="004363A3">
        <w:t xml:space="preserve">, the stakeholders engaged would need to be carefully considered and perhaps </w:t>
      </w:r>
      <w:r w:rsidR="00FA1BA1" w:rsidRPr="000B6B68">
        <w:t>change over</w:t>
      </w:r>
      <w:r w:rsidR="00E87452" w:rsidRPr="000B6B68">
        <w:t xml:space="preserve"> </w:t>
      </w:r>
      <w:r w:rsidR="004363A3" w:rsidRPr="000B6B68">
        <w:t>ti</w:t>
      </w:r>
      <w:r w:rsidR="002B04D3" w:rsidRPr="000B6B68">
        <w:t>me</w:t>
      </w:r>
      <w:r w:rsidR="00E877B2" w:rsidRPr="000B6B68">
        <w:t xml:space="preserve"> in response to the </w:t>
      </w:r>
      <w:r w:rsidR="00E87452" w:rsidRPr="000B6B68">
        <w:t xml:space="preserve">program </w:t>
      </w:r>
      <w:r w:rsidR="00E877B2" w:rsidRPr="000B6B68">
        <w:t>priorities</w:t>
      </w:r>
      <w:r w:rsidR="002B04D3" w:rsidRPr="000B6B68">
        <w:t>.</w:t>
      </w:r>
    </w:p>
    <w:p w14:paraId="210BF2FC" w14:textId="0253E1B7" w:rsidR="00535AE1" w:rsidRPr="000B6B68" w:rsidRDefault="009B02A8" w:rsidP="00E14791">
      <w:pPr>
        <w:pStyle w:val="ListBullet"/>
      </w:pPr>
      <w:r w:rsidRPr="000B6B68">
        <w:t xml:space="preserve">Appropriate </w:t>
      </w:r>
      <w:r w:rsidR="00A9352B" w:rsidRPr="000B6B68">
        <w:t xml:space="preserve">governance and administration support </w:t>
      </w:r>
      <w:r w:rsidRPr="000B6B68">
        <w:t>is required including a Terms of Reference</w:t>
      </w:r>
      <w:r w:rsidR="00907C9A">
        <w:t>,</w:t>
      </w:r>
      <w:r w:rsidRPr="000B6B68">
        <w:t xml:space="preserve"> </w:t>
      </w:r>
      <w:r w:rsidR="00A9352B" w:rsidRPr="000B6B68">
        <w:t>and clarity of purpose and responsibilities aligned to the program intent.</w:t>
      </w:r>
    </w:p>
    <w:p w14:paraId="1BAD7022" w14:textId="41C7FD6F" w:rsidR="0025001C" w:rsidRPr="000B6B68" w:rsidRDefault="00E87452" w:rsidP="00E14791">
      <w:pPr>
        <w:pStyle w:val="ListBullet"/>
      </w:pPr>
      <w:r w:rsidRPr="000B6B68">
        <w:t>A</w:t>
      </w:r>
      <w:r w:rsidR="0025001C" w:rsidRPr="000B6B68">
        <w:t xml:space="preserve"> very focused agenda </w:t>
      </w:r>
      <w:r w:rsidR="005D7BFB" w:rsidRPr="000B6B68">
        <w:t xml:space="preserve">to ensure deep </w:t>
      </w:r>
      <w:r w:rsidR="000B6B68" w:rsidRPr="000B6B68">
        <w:t>engagement on topics by stakeholders.</w:t>
      </w:r>
      <w:r w:rsidR="0025001C" w:rsidRPr="000B6B68">
        <w:t xml:space="preserve"> </w:t>
      </w:r>
    </w:p>
    <w:p w14:paraId="266BB438" w14:textId="5773FA3B" w:rsidR="008A340D" w:rsidRDefault="008A340D" w:rsidP="00E14791">
      <w:pPr>
        <w:pStyle w:val="ListBullet"/>
      </w:pPr>
      <w:r w:rsidRPr="000B6B68">
        <w:t>Based</w:t>
      </w:r>
      <w:r>
        <w:t xml:space="preserve"> on the above, the initial area of focus </w:t>
      </w:r>
      <w:r w:rsidR="00066707">
        <w:t>could</w:t>
      </w:r>
      <w:r>
        <w:t xml:space="preserve"> be on the implementation of the </w:t>
      </w:r>
      <w:r w:rsidR="00FE5939">
        <w:t>Standards</w:t>
      </w:r>
      <w:r>
        <w:t xml:space="preserve"> and supporting the design and development of the </w:t>
      </w:r>
      <w:r w:rsidR="008D33BC">
        <w:t>consulting approach</w:t>
      </w:r>
      <w:r w:rsidR="00066707">
        <w:t>, as described below.</w:t>
      </w:r>
    </w:p>
    <w:p w14:paraId="329DDBCB" w14:textId="77777777" w:rsidR="00AD68AD" w:rsidRDefault="008D33BC" w:rsidP="00D71897">
      <w:r w:rsidRPr="00E869EB">
        <w:t>T</w:t>
      </w:r>
      <w:r w:rsidR="00666954" w:rsidRPr="00E869EB">
        <w:t xml:space="preserve">his initiative of a centralised infrastructure </w:t>
      </w:r>
      <w:r w:rsidR="00093D3B" w:rsidRPr="00E869EB">
        <w:t>to</w:t>
      </w:r>
      <w:r w:rsidR="00666954" w:rsidRPr="00E869EB">
        <w:t xml:space="preserve"> bring diverse stakeholders together is drawn from the </w:t>
      </w:r>
      <w:r w:rsidR="00AC1DE0" w:rsidRPr="00E869EB">
        <w:t>‘collective impact’ model aimed at collaborating</w:t>
      </w:r>
      <w:r w:rsidR="00AC1DE0">
        <w:t xml:space="preserve"> and mobilising members based on a common </w:t>
      </w:r>
      <w:r w:rsidR="00202FCB">
        <w:t xml:space="preserve">yet complex </w:t>
      </w:r>
      <w:r w:rsidR="00AC1DE0">
        <w:t xml:space="preserve">goal for </w:t>
      </w:r>
      <w:r w:rsidR="00202FCB">
        <w:t xml:space="preserve">social </w:t>
      </w:r>
      <w:r w:rsidR="00AC1DE0">
        <w:t>change.</w:t>
      </w:r>
      <w:r w:rsidR="00D71897">
        <w:t xml:space="preserve"> </w:t>
      </w:r>
    </w:p>
    <w:p w14:paraId="6702F7E0" w14:textId="32C925D3" w:rsidR="00515641" w:rsidRDefault="00503F1D" w:rsidP="00D71897">
      <w:r w:rsidRPr="001B03B5">
        <w:t xml:space="preserve">The mechanism to bring together this tertiary disability equity ecosystem may take the form of management or advisory board, national </w:t>
      </w:r>
      <w:r>
        <w:t xml:space="preserve">program </w:t>
      </w:r>
      <w:r w:rsidRPr="001B03B5">
        <w:t>executive or steering</w:t>
      </w:r>
      <w:r w:rsidRPr="00E869EB">
        <w:t xml:space="preserve"> committee</w:t>
      </w:r>
      <w:r>
        <w:t xml:space="preserve"> – depending on the desired level of program leadership</w:t>
      </w:r>
      <w:r w:rsidR="00E62224">
        <w:t xml:space="preserve"> and if any existing mechanism could be enhanced to focus </w:t>
      </w:r>
      <w:r w:rsidR="005F7DAB">
        <w:t>on tertiary</w:t>
      </w:r>
      <w:r w:rsidR="00E62224">
        <w:t xml:space="preserve"> disability equity</w:t>
      </w:r>
      <w:r w:rsidRPr="00E869EB">
        <w:t>.</w:t>
      </w:r>
    </w:p>
    <w:p w14:paraId="0AD80736" w14:textId="5D70C4ED" w:rsidR="00515641" w:rsidRDefault="00BC4548" w:rsidP="00CB0184">
      <w:pPr>
        <w:pStyle w:val="Heading5"/>
      </w:pPr>
      <w:r>
        <w:t>Develop</w:t>
      </w:r>
      <w:r w:rsidR="00066707">
        <w:t xml:space="preserve"> a ‘consulting’ </w:t>
      </w:r>
      <w:r w:rsidR="00F157E6">
        <w:t>model</w:t>
      </w:r>
      <w:r w:rsidR="00066707">
        <w:t xml:space="preserve"> to provide advice on implementation </w:t>
      </w:r>
      <w:r w:rsidR="00CB0184">
        <w:t xml:space="preserve">of the </w:t>
      </w:r>
      <w:r w:rsidR="00EA6C8B">
        <w:t>S</w:t>
      </w:r>
      <w:r w:rsidR="00CB0184">
        <w:t>tandards</w:t>
      </w:r>
    </w:p>
    <w:p w14:paraId="154F095E" w14:textId="77777777" w:rsidR="00AD68AD" w:rsidRPr="00D66066" w:rsidRDefault="00CB0184" w:rsidP="002F4FC8">
      <w:pPr>
        <w:rPr>
          <w:b/>
          <w:bCs/>
        </w:rPr>
      </w:pPr>
      <w:r w:rsidRPr="00D66066">
        <w:rPr>
          <w:b/>
          <w:bCs/>
        </w:rPr>
        <w:t xml:space="preserve">This program initiative </w:t>
      </w:r>
      <w:r w:rsidR="00062E2F" w:rsidRPr="00D66066">
        <w:rPr>
          <w:b/>
          <w:bCs/>
        </w:rPr>
        <w:t>i</w:t>
      </w:r>
      <w:r w:rsidRPr="00D66066">
        <w:rPr>
          <w:b/>
          <w:bCs/>
        </w:rPr>
        <w:t xml:space="preserve">s based on </w:t>
      </w:r>
      <w:r w:rsidR="00B82238" w:rsidRPr="00D66066">
        <w:rPr>
          <w:b/>
          <w:bCs/>
        </w:rPr>
        <w:t xml:space="preserve">incentivising tertiary education providers </w:t>
      </w:r>
      <w:r w:rsidR="00964532" w:rsidRPr="00D66066">
        <w:rPr>
          <w:b/>
          <w:bCs/>
        </w:rPr>
        <w:t xml:space="preserve">to embed inclusion through the support of an independent </w:t>
      </w:r>
      <w:r w:rsidR="007915D2" w:rsidRPr="00D66066">
        <w:rPr>
          <w:b/>
          <w:bCs/>
        </w:rPr>
        <w:t>asses</w:t>
      </w:r>
      <w:r w:rsidR="00A7515F" w:rsidRPr="00D66066">
        <w:rPr>
          <w:b/>
          <w:bCs/>
        </w:rPr>
        <w:t xml:space="preserve">sment and </w:t>
      </w:r>
      <w:r w:rsidR="00355F03" w:rsidRPr="00D66066">
        <w:rPr>
          <w:b/>
          <w:bCs/>
        </w:rPr>
        <w:t>‘</w:t>
      </w:r>
      <w:r w:rsidR="00AE3FA8" w:rsidRPr="00D66066">
        <w:rPr>
          <w:b/>
          <w:bCs/>
        </w:rPr>
        <w:t>report</w:t>
      </w:r>
      <w:r w:rsidR="00355F03" w:rsidRPr="00D66066">
        <w:rPr>
          <w:b/>
          <w:bCs/>
        </w:rPr>
        <w:t xml:space="preserve"> card’ </w:t>
      </w:r>
      <w:r w:rsidR="00286D0B" w:rsidRPr="00D66066">
        <w:rPr>
          <w:b/>
          <w:bCs/>
        </w:rPr>
        <w:t>detailing</w:t>
      </w:r>
      <w:r w:rsidR="00355F03" w:rsidRPr="00D66066">
        <w:rPr>
          <w:b/>
          <w:bCs/>
        </w:rPr>
        <w:t xml:space="preserve"> </w:t>
      </w:r>
      <w:r w:rsidR="000C454A" w:rsidRPr="00D66066">
        <w:rPr>
          <w:b/>
          <w:bCs/>
        </w:rPr>
        <w:t xml:space="preserve">areas of strength and </w:t>
      </w:r>
      <w:r w:rsidR="00355F03" w:rsidRPr="00D66066">
        <w:rPr>
          <w:b/>
          <w:bCs/>
        </w:rPr>
        <w:t xml:space="preserve">advice for improvement. </w:t>
      </w:r>
    </w:p>
    <w:p w14:paraId="77A37595" w14:textId="31671857" w:rsidR="00B82238" w:rsidRDefault="00AF20A5" w:rsidP="002F4FC8">
      <w:r>
        <w:t>This draws on</w:t>
      </w:r>
      <w:r w:rsidR="00C33D86">
        <w:t xml:space="preserve"> similar </w:t>
      </w:r>
      <w:r w:rsidR="00E37506">
        <w:t>efforts</w:t>
      </w:r>
      <w:r w:rsidR="00C33D86">
        <w:t xml:space="preserve"> in </w:t>
      </w:r>
      <w:r w:rsidR="000C454A">
        <w:t xml:space="preserve">other </w:t>
      </w:r>
      <w:r w:rsidR="00E37506">
        <w:t xml:space="preserve">areas </w:t>
      </w:r>
      <w:r w:rsidR="000C454A">
        <w:t xml:space="preserve">including </w:t>
      </w:r>
      <w:r w:rsidR="00C33D86">
        <w:t>childcare</w:t>
      </w:r>
      <w:r w:rsidR="00A7515F">
        <w:t>,</w:t>
      </w:r>
      <w:r w:rsidR="000C1E61">
        <w:t xml:space="preserve"> </w:t>
      </w:r>
      <w:r w:rsidR="00950A40">
        <w:t xml:space="preserve">and </w:t>
      </w:r>
      <w:r w:rsidR="00C043E9">
        <w:t>could evolve to a progra</w:t>
      </w:r>
      <w:r w:rsidR="009E47E9">
        <w:t>m similar to</w:t>
      </w:r>
      <w:r w:rsidR="00950A40">
        <w:t xml:space="preserve"> the </w:t>
      </w:r>
      <w:r w:rsidR="00864297">
        <w:t>‘</w:t>
      </w:r>
      <w:r w:rsidR="00846FE5">
        <w:t xml:space="preserve">rainbow </w:t>
      </w:r>
      <w:r w:rsidR="00950A40">
        <w:t>tick</w:t>
      </w:r>
      <w:r w:rsidR="00864297">
        <w:t>’</w:t>
      </w:r>
      <w:r w:rsidR="00950A40">
        <w:t xml:space="preserve"> program</w:t>
      </w:r>
      <w:r w:rsidR="00676C91">
        <w:t xml:space="preserve">. Students </w:t>
      </w:r>
      <w:r w:rsidR="00991256">
        <w:t>with disability</w:t>
      </w:r>
      <w:r w:rsidR="00676C91">
        <w:t xml:space="preserve"> </w:t>
      </w:r>
      <w:r w:rsidR="00B50F22">
        <w:t xml:space="preserve">strongly supported a ‘report card’ approach </w:t>
      </w:r>
      <w:r w:rsidR="00237C4E">
        <w:t xml:space="preserve">to help inform </w:t>
      </w:r>
      <w:r w:rsidR="001F6BBA">
        <w:t>customer choice</w:t>
      </w:r>
      <w:r w:rsidR="007C1452">
        <w:t xml:space="preserve"> by making transparent what support is available to them</w:t>
      </w:r>
      <w:r w:rsidR="001F6BBA">
        <w:t xml:space="preserve">. </w:t>
      </w:r>
      <w:r w:rsidR="00912C1F">
        <w:t>It also provides an opportunity and support for providers to self-assess and help them to translate their Disability Action Plans into practice.</w:t>
      </w:r>
    </w:p>
    <w:p w14:paraId="390375AE" w14:textId="40E0CFA8" w:rsidR="002B04D3" w:rsidRDefault="002B04D3" w:rsidP="002B04D3">
      <w:r>
        <w:t xml:space="preserve">Design considerations </w:t>
      </w:r>
      <w:r w:rsidR="007C1452">
        <w:t>identified at the</w:t>
      </w:r>
      <w:r>
        <w:t xml:space="preserve"> co-creation workshops:</w:t>
      </w:r>
    </w:p>
    <w:p w14:paraId="7755459F" w14:textId="77777777" w:rsidR="00E62224" w:rsidRDefault="00901067" w:rsidP="00E14791">
      <w:pPr>
        <w:pStyle w:val="ListBullet"/>
      </w:pPr>
      <w:r>
        <w:t xml:space="preserve">Students saw this as an audit / quasi regulation approach that provides tangible public information to inform students that require inclusive supports on the institution’s performance. </w:t>
      </w:r>
    </w:p>
    <w:p w14:paraId="7FE0711D" w14:textId="3A68E338" w:rsidR="00901067" w:rsidRDefault="00901067" w:rsidP="00E14791">
      <w:pPr>
        <w:pStyle w:val="ListBullet"/>
      </w:pPr>
      <w:r>
        <w:t>Conversely, other stakeholders felt it would work better as expert advice and support to encourage change</w:t>
      </w:r>
      <w:r w:rsidR="007712F8">
        <w:t>,</w:t>
      </w:r>
      <w:r>
        <w:t xml:space="preserve"> and to ensure it is not seen as another administrative process. </w:t>
      </w:r>
    </w:p>
    <w:p w14:paraId="161433D1" w14:textId="3DD912CE" w:rsidR="00E62224" w:rsidRDefault="00267690" w:rsidP="00E14791">
      <w:pPr>
        <w:pStyle w:val="ListBullet"/>
      </w:pPr>
      <w:r>
        <w:t xml:space="preserve">Access to this consulting model </w:t>
      </w:r>
      <w:r w:rsidR="00E62224">
        <w:t xml:space="preserve">was largely seen as a </w:t>
      </w:r>
      <w:r>
        <w:t>voluntary</w:t>
      </w:r>
      <w:r w:rsidR="00D01085">
        <w:t xml:space="preserve"> </w:t>
      </w:r>
      <w:r w:rsidR="00E62224">
        <w:t>process, but it would be possible to tie it to other government initiatives to increase the uptake of this process</w:t>
      </w:r>
      <w:r w:rsidR="00E02B5A">
        <w:t xml:space="preserve"> and optimise government funding for inclusion supports or initiatives</w:t>
      </w:r>
      <w:r w:rsidR="00E62224">
        <w:t xml:space="preserve">. </w:t>
      </w:r>
    </w:p>
    <w:p w14:paraId="1930DCE4" w14:textId="2292E4A4" w:rsidR="00B82238" w:rsidRDefault="00E62224" w:rsidP="002760F8">
      <w:pPr>
        <w:pStyle w:val="ListBullet"/>
      </w:pPr>
      <w:r>
        <w:t xml:space="preserve">All stakeholders felt it should be </w:t>
      </w:r>
      <w:r w:rsidR="00785DB4">
        <w:t xml:space="preserve">conducted </w:t>
      </w:r>
      <w:r w:rsidR="00B73FE6">
        <w:t>independently</w:t>
      </w:r>
      <w:r>
        <w:t>, and a</w:t>
      </w:r>
      <w:r w:rsidR="00AC3D63">
        <w:t xml:space="preserve"> pilot approach was suggested</w:t>
      </w:r>
      <w:r w:rsidR="00785DB4">
        <w:t>.</w:t>
      </w:r>
    </w:p>
    <w:p w14:paraId="7D6D8480" w14:textId="54E1D0C8" w:rsidR="00B655CC" w:rsidRDefault="002C591B" w:rsidP="00E14791">
      <w:pPr>
        <w:pStyle w:val="ListBullet"/>
      </w:pPr>
      <w:r>
        <w:t>I</w:t>
      </w:r>
      <w:r w:rsidR="00B73FE6">
        <w:t>ndependence</w:t>
      </w:r>
      <w:r w:rsidR="00AF15A6">
        <w:t xml:space="preserve"> </w:t>
      </w:r>
      <w:r>
        <w:t xml:space="preserve">is key </w:t>
      </w:r>
      <w:r w:rsidR="00CF48D3">
        <w:t xml:space="preserve">to alleviate concerns </w:t>
      </w:r>
      <w:r w:rsidR="00785DB4">
        <w:t xml:space="preserve">of </w:t>
      </w:r>
      <w:r w:rsidR="00286255">
        <w:t xml:space="preserve">possible </w:t>
      </w:r>
      <w:r w:rsidR="00785DB4">
        <w:t>gaming</w:t>
      </w:r>
      <w:r w:rsidR="00286255">
        <w:t xml:space="preserve"> of</w:t>
      </w:r>
      <w:r w:rsidR="00785DB4">
        <w:t xml:space="preserve"> the process</w:t>
      </w:r>
      <w:r w:rsidR="00286255">
        <w:t xml:space="preserve">, </w:t>
      </w:r>
      <w:r w:rsidR="000B6471">
        <w:t xml:space="preserve">i.e. </w:t>
      </w:r>
      <w:r w:rsidR="00B73FE6">
        <w:t xml:space="preserve">using this </w:t>
      </w:r>
      <w:r>
        <w:t xml:space="preserve">approach </w:t>
      </w:r>
      <w:r w:rsidR="00B73FE6">
        <w:t xml:space="preserve">as a </w:t>
      </w:r>
      <w:r w:rsidR="0022304A">
        <w:t xml:space="preserve">mechanism to </w:t>
      </w:r>
      <w:r w:rsidR="00B73FE6">
        <w:t>promot</w:t>
      </w:r>
      <w:r w:rsidR="0022304A">
        <w:t>e</w:t>
      </w:r>
      <w:r w:rsidR="00B73FE6">
        <w:t xml:space="preserve"> </w:t>
      </w:r>
      <w:r w:rsidR="00286255">
        <w:t>an organisation</w:t>
      </w:r>
      <w:r w:rsidR="007F0185">
        <w:t xml:space="preserve"> </w:t>
      </w:r>
      <w:r w:rsidR="00B73FE6">
        <w:t xml:space="preserve">without the substance behind it. </w:t>
      </w:r>
    </w:p>
    <w:p w14:paraId="0E0944F9" w14:textId="372216D9" w:rsidR="00D22207" w:rsidRDefault="003F5E92" w:rsidP="00E14791">
      <w:pPr>
        <w:pStyle w:val="ListBullet"/>
      </w:pPr>
      <w:r>
        <w:t xml:space="preserve">Specialisation for </w:t>
      </w:r>
      <w:r w:rsidR="00530958">
        <w:t xml:space="preserve">higher education, TAFE and RTOs </w:t>
      </w:r>
      <w:r>
        <w:t xml:space="preserve">may be required to provide the depth of knowledge </w:t>
      </w:r>
      <w:r w:rsidR="00530958">
        <w:t>and expertise</w:t>
      </w:r>
      <w:r w:rsidR="00C4275A">
        <w:t xml:space="preserve"> for that sector.</w:t>
      </w:r>
    </w:p>
    <w:p w14:paraId="184E34D3" w14:textId="77777777" w:rsidR="00392F2E" w:rsidRPr="00EB7F93" w:rsidRDefault="00392F2E" w:rsidP="00392F2E">
      <w:pPr>
        <w:pStyle w:val="ListBullet"/>
      </w:pPr>
      <w:r>
        <w:t xml:space="preserve">Utilise this as a channel to </w:t>
      </w:r>
      <w:r w:rsidRPr="000A16F2">
        <w:t>promote uptake of practice and training resources</w:t>
      </w:r>
      <w:r>
        <w:t>.</w:t>
      </w:r>
    </w:p>
    <w:p w14:paraId="0FCF20D6" w14:textId="1C85773A" w:rsidR="00392F2E" w:rsidRDefault="00392F2E" w:rsidP="00392F2E">
      <w:pPr>
        <w:pStyle w:val="ListBullet"/>
      </w:pPr>
      <w:r>
        <w:t xml:space="preserve">Ensure the voice of students </w:t>
      </w:r>
      <w:r w:rsidR="00991256">
        <w:t>with disability</w:t>
      </w:r>
      <w:r>
        <w:t xml:space="preserve"> is heard as part of the process via consultation and</w:t>
      </w:r>
      <w:r w:rsidR="00C37D94">
        <w:t xml:space="preserve"> </w:t>
      </w:r>
      <w:r>
        <w:t>/</w:t>
      </w:r>
      <w:r w:rsidR="00C37D94">
        <w:t xml:space="preserve"> </w:t>
      </w:r>
      <w:r>
        <w:t>or survey.</w:t>
      </w:r>
    </w:p>
    <w:p w14:paraId="182B6991" w14:textId="00D9FAEE" w:rsidR="00392F2E" w:rsidRDefault="00392F2E" w:rsidP="00392F2E">
      <w:pPr>
        <w:pStyle w:val="ListBullet"/>
      </w:pPr>
      <w:r>
        <w:t>Ensure that the advice provided through this ‘consulting approach’ also focuses on pathways into tertiary education and pathways out for graduate employment</w:t>
      </w:r>
      <w:r w:rsidR="00CE376A">
        <w:t xml:space="preserve"> </w:t>
      </w:r>
      <w:r w:rsidR="00CE376A" w:rsidRPr="00CE376A">
        <w:t>including linkages for work placement and building relationships with prospective employers.</w:t>
      </w:r>
    </w:p>
    <w:p w14:paraId="16463179" w14:textId="711C742F" w:rsidR="006F40EE" w:rsidRDefault="00FC557C" w:rsidP="006F40EE">
      <w:pPr>
        <w:pStyle w:val="ListBullet"/>
      </w:pPr>
      <w:r>
        <w:t>S</w:t>
      </w:r>
      <w:r w:rsidR="006F40EE" w:rsidRPr="00EB7F93">
        <w:t xml:space="preserve">ome form of </w:t>
      </w:r>
      <w:r w:rsidR="00B241D9">
        <w:t>‘</w:t>
      </w:r>
      <w:r w:rsidR="006F40EE" w:rsidRPr="00EB7F93">
        <w:t>scorecard</w:t>
      </w:r>
      <w:r w:rsidR="00B241D9">
        <w:t>’</w:t>
      </w:r>
      <w:r w:rsidR="006F40EE" w:rsidRPr="00EB7F93">
        <w:t xml:space="preserve"> for those institutions who claim to provide reasonable adjustments, that are tailored to the individual needs of students has significant appeal</w:t>
      </w:r>
      <w:r w:rsidR="00E62224">
        <w:t>, particularly if published on a recognised website.</w:t>
      </w:r>
      <w:r w:rsidR="006F40EE" w:rsidRPr="00EB7F93">
        <w:t xml:space="preserve"> </w:t>
      </w:r>
    </w:p>
    <w:p w14:paraId="7B717A16" w14:textId="1877F375" w:rsidR="00DE6B2A" w:rsidRDefault="00B655CC" w:rsidP="00E14791">
      <w:pPr>
        <w:pStyle w:val="ListBullet"/>
      </w:pPr>
      <w:r>
        <w:t>The</w:t>
      </w:r>
      <w:r w:rsidR="00CF48D3">
        <w:t xml:space="preserve"> need to promote this </w:t>
      </w:r>
      <w:r w:rsidR="00D22207">
        <w:t>offering</w:t>
      </w:r>
      <w:r w:rsidR="00CF48D3">
        <w:t xml:space="preserve"> to </w:t>
      </w:r>
      <w:r w:rsidR="00D22207">
        <w:t>institutions</w:t>
      </w:r>
      <w:r w:rsidR="00CF48D3">
        <w:t xml:space="preserve"> that need this support, not just the high performers.</w:t>
      </w:r>
      <w:r w:rsidR="00DE6B2A">
        <w:t xml:space="preserve"> </w:t>
      </w:r>
      <w:r w:rsidR="005712C6">
        <w:t xml:space="preserve">Conversely, </w:t>
      </w:r>
      <w:r w:rsidR="0022217C">
        <w:t xml:space="preserve">if visible </w:t>
      </w:r>
      <w:r w:rsidR="005712C6">
        <w:t>it might incentivise</w:t>
      </w:r>
      <w:r w:rsidR="0022217C">
        <w:t xml:space="preserve"> </w:t>
      </w:r>
      <w:r w:rsidR="006A05CA">
        <w:t xml:space="preserve">involvement by </w:t>
      </w:r>
      <w:r w:rsidR="0022217C">
        <w:t>other</w:t>
      </w:r>
      <w:r w:rsidR="00512F33">
        <w:t xml:space="preserve"> p</w:t>
      </w:r>
      <w:r w:rsidR="00082C3B">
        <w:t>roviders</w:t>
      </w:r>
      <w:r w:rsidR="00C536C6">
        <w:t>.</w:t>
      </w:r>
    </w:p>
    <w:p w14:paraId="27A3790C" w14:textId="60EBC88E" w:rsidR="00C4275A" w:rsidRDefault="00C4275A" w:rsidP="00E14791">
      <w:pPr>
        <w:pStyle w:val="ListBullet"/>
      </w:pPr>
      <w:r>
        <w:t xml:space="preserve">Beyond the </w:t>
      </w:r>
      <w:r w:rsidR="003067DB">
        <w:t>assessment</w:t>
      </w:r>
      <w:r>
        <w:t xml:space="preserve"> process, consider </w:t>
      </w:r>
      <w:r w:rsidR="003067DB">
        <w:t xml:space="preserve">the ability for tertiary institutions to seek </w:t>
      </w:r>
      <w:r w:rsidR="00410D94">
        <w:t>ad</w:t>
      </w:r>
      <w:r w:rsidR="00442790">
        <w:t>-</w:t>
      </w:r>
      <w:r w:rsidR="00410D94">
        <w:t xml:space="preserve">hoc </w:t>
      </w:r>
      <w:r w:rsidR="003067DB">
        <w:t xml:space="preserve">advice </w:t>
      </w:r>
      <w:r w:rsidR="001D0834">
        <w:t xml:space="preserve">on </w:t>
      </w:r>
      <w:r w:rsidR="00A20A12">
        <w:t>program or policy issues</w:t>
      </w:r>
      <w:r w:rsidR="006E68EF">
        <w:t>,</w:t>
      </w:r>
      <w:r w:rsidR="00A20A12">
        <w:t xml:space="preserve"> </w:t>
      </w:r>
      <w:r w:rsidR="00B33E9A">
        <w:t>or in relation to</w:t>
      </w:r>
      <w:r w:rsidR="00A20A12">
        <w:t xml:space="preserve"> developing Disability Action Plan</w:t>
      </w:r>
      <w:r w:rsidR="000B6471">
        <w:t>s</w:t>
      </w:r>
      <w:r w:rsidR="00A20A12">
        <w:t>.</w:t>
      </w:r>
    </w:p>
    <w:p w14:paraId="0A5C5136" w14:textId="77777777" w:rsidR="00AD68AD" w:rsidRDefault="001F6BBA" w:rsidP="003C112B">
      <w:r>
        <w:t>Some NDCOs current</w:t>
      </w:r>
      <w:r w:rsidR="00286D0B">
        <w:t>ly</w:t>
      </w:r>
      <w:r>
        <w:t xml:space="preserve"> provide advice and support </w:t>
      </w:r>
      <w:r w:rsidR="00610939">
        <w:t xml:space="preserve">to tertiary institutions </w:t>
      </w:r>
      <w:r w:rsidR="00367268">
        <w:t xml:space="preserve">in the </w:t>
      </w:r>
      <w:r w:rsidR="00610939">
        <w:t>development of</w:t>
      </w:r>
      <w:r>
        <w:t xml:space="preserve"> Disability Action Plans</w:t>
      </w:r>
      <w:r w:rsidR="000A3E8B">
        <w:t xml:space="preserve">. </w:t>
      </w:r>
      <w:r w:rsidR="000A3E8B" w:rsidRPr="00D66066">
        <w:rPr>
          <w:b/>
          <w:bCs/>
        </w:rPr>
        <w:t xml:space="preserve">This </w:t>
      </w:r>
      <w:r w:rsidR="00702E4A" w:rsidRPr="00D66066">
        <w:rPr>
          <w:b/>
          <w:bCs/>
        </w:rPr>
        <w:t xml:space="preserve">concept extends </w:t>
      </w:r>
      <w:r w:rsidR="000A3E8B" w:rsidRPr="00D66066">
        <w:rPr>
          <w:b/>
          <w:bCs/>
        </w:rPr>
        <w:t xml:space="preserve">this approach to </w:t>
      </w:r>
      <w:r w:rsidR="00702E4A" w:rsidRPr="00D66066">
        <w:rPr>
          <w:b/>
          <w:bCs/>
        </w:rPr>
        <w:t xml:space="preserve">provide </w:t>
      </w:r>
      <w:r w:rsidR="00CB0184" w:rsidRPr="00D66066">
        <w:rPr>
          <w:b/>
          <w:bCs/>
        </w:rPr>
        <w:t xml:space="preserve">independent and expert advice to tertiary </w:t>
      </w:r>
      <w:r w:rsidR="005F131C" w:rsidRPr="00D66066">
        <w:rPr>
          <w:b/>
          <w:bCs/>
        </w:rPr>
        <w:t>institutions</w:t>
      </w:r>
      <w:r w:rsidR="00850B7A" w:rsidRPr="00D66066">
        <w:rPr>
          <w:b/>
          <w:bCs/>
        </w:rPr>
        <w:t xml:space="preserve"> to support implementation of the </w:t>
      </w:r>
      <w:r w:rsidR="00EA6C8B" w:rsidRPr="00D66066">
        <w:rPr>
          <w:b/>
          <w:bCs/>
        </w:rPr>
        <w:t>Standards</w:t>
      </w:r>
      <w:r w:rsidR="003F1E75" w:rsidRPr="00D66066">
        <w:rPr>
          <w:b/>
          <w:bCs/>
        </w:rPr>
        <w:t>.</w:t>
      </w:r>
      <w:r w:rsidR="00EB64F3">
        <w:t xml:space="preserve"> </w:t>
      </w:r>
      <w:r w:rsidR="00B51530">
        <w:t xml:space="preserve">Extending </w:t>
      </w:r>
      <w:r w:rsidR="00850B7A">
        <w:t xml:space="preserve">the advice </w:t>
      </w:r>
      <w:r w:rsidR="00B51530">
        <w:t xml:space="preserve">beyond the </w:t>
      </w:r>
      <w:r w:rsidR="00EA6C8B">
        <w:t>S</w:t>
      </w:r>
      <w:r w:rsidR="00B51530">
        <w:t>tandards</w:t>
      </w:r>
      <w:r w:rsidR="00FD61D1">
        <w:t xml:space="preserve"> to include tertiary </w:t>
      </w:r>
      <w:r w:rsidR="00D042F3">
        <w:t>providers</w:t>
      </w:r>
      <w:r w:rsidR="0026129C">
        <w:t>’</w:t>
      </w:r>
      <w:r w:rsidR="00D042F3">
        <w:t xml:space="preserve"> role and partnerships to create entry and exit </w:t>
      </w:r>
      <w:r w:rsidR="00FD61D1">
        <w:t>pathways</w:t>
      </w:r>
      <w:r w:rsidR="00B51530">
        <w:t xml:space="preserve"> may also allow for promotion of scaling </w:t>
      </w:r>
      <w:r w:rsidR="00B65744">
        <w:t xml:space="preserve">the </w:t>
      </w:r>
      <w:r w:rsidR="00AD4739" w:rsidRPr="00AD4739">
        <w:t>University Specialist Employment Partnership (USEP)</w:t>
      </w:r>
      <w:r w:rsidR="00B65744" w:rsidRPr="00AD4739">
        <w:t xml:space="preserve"> and </w:t>
      </w:r>
      <w:r w:rsidR="00AD4739" w:rsidRPr="00AD4739">
        <w:t>TAFE Specialist Employment Partnership (TSEP)</w:t>
      </w:r>
      <w:r w:rsidR="00B65744" w:rsidRPr="00AD4739">
        <w:t xml:space="preserve"> </w:t>
      </w:r>
      <w:r w:rsidR="00B65744">
        <w:t>projects</w:t>
      </w:r>
      <w:r w:rsidR="00AD4739">
        <w:rPr>
          <w:rStyle w:val="FootnoteReference"/>
        </w:rPr>
        <w:footnoteReference w:id="6"/>
      </w:r>
      <w:r w:rsidR="004A7348">
        <w:t>,</w:t>
      </w:r>
      <w:r w:rsidR="00B65744">
        <w:t xml:space="preserve"> </w:t>
      </w:r>
      <w:r w:rsidR="00B51530">
        <w:t>and in</w:t>
      </w:r>
      <w:r w:rsidR="0026129C">
        <w:t xml:space="preserve"> </w:t>
      </w:r>
      <w:r w:rsidR="00B51530">
        <w:t xml:space="preserve">time </w:t>
      </w:r>
      <w:r w:rsidR="00640DB9">
        <w:t>provide</w:t>
      </w:r>
      <w:r w:rsidR="00B51530">
        <w:t xml:space="preserve"> a platform for the </w:t>
      </w:r>
      <w:r w:rsidR="00640DB9">
        <w:t>third</w:t>
      </w:r>
      <w:r w:rsidR="00B51530">
        <w:t xml:space="preserve"> concept, </w:t>
      </w:r>
      <w:r w:rsidR="000A395A">
        <w:t xml:space="preserve">a </w:t>
      </w:r>
      <w:r w:rsidR="00B51530">
        <w:t xml:space="preserve">Universal Design Framework. </w:t>
      </w:r>
    </w:p>
    <w:p w14:paraId="61661A04" w14:textId="68547012" w:rsidR="00DF3F29" w:rsidRDefault="0016046E" w:rsidP="003C112B">
      <w:r>
        <w:t xml:space="preserve">This would also </w:t>
      </w:r>
      <w:r w:rsidR="009C1A47">
        <w:t>facilitate</w:t>
      </w:r>
      <w:r>
        <w:t xml:space="preserve"> greater awareness and utilisation of other government initiatives such as</w:t>
      </w:r>
      <w:r w:rsidR="006424D0">
        <w:t xml:space="preserve"> the</w:t>
      </w:r>
      <w:r w:rsidR="00B65744">
        <w:t xml:space="preserve"> </w:t>
      </w:r>
      <w:r w:rsidR="006424D0">
        <w:t xml:space="preserve">Higher Education Participation and Partnerships Program (HEPPP) National Priorities Pool; </w:t>
      </w:r>
      <w:r w:rsidR="006A2390" w:rsidRPr="006A2390">
        <w:t>National Priorities and Industry Linkage Fund (NPILF)</w:t>
      </w:r>
      <w:r w:rsidR="006A2390">
        <w:t xml:space="preserve">, </w:t>
      </w:r>
      <w:r w:rsidR="00872C22" w:rsidRPr="00872C22">
        <w:t>Stepping into Internships program</w:t>
      </w:r>
      <w:r w:rsidR="00872C22">
        <w:t xml:space="preserve"> via Australian Network on Disability, an</w:t>
      </w:r>
      <w:r w:rsidR="00CE3396">
        <w:t xml:space="preserve">d others as identified </w:t>
      </w:r>
      <w:r w:rsidR="00D042F3">
        <w:t xml:space="preserve">in the desktop research </w:t>
      </w:r>
      <w:r w:rsidR="00CE3396">
        <w:t xml:space="preserve">as relevant </w:t>
      </w:r>
      <w:r w:rsidR="00CE3396" w:rsidRPr="00875A0E">
        <w:t>in Appendix B.</w:t>
      </w:r>
      <w:r w:rsidR="00420369">
        <w:t xml:space="preserve"> </w:t>
      </w:r>
    </w:p>
    <w:p w14:paraId="32B3E548" w14:textId="127CF224" w:rsidR="00420369" w:rsidRDefault="00420369" w:rsidP="003C112B">
      <w:r>
        <w:t>Students saw this concept as having the most tangible impact on the experience of students</w:t>
      </w:r>
      <w:r w:rsidR="00193F55">
        <w:t>,</w:t>
      </w:r>
      <w:r>
        <w:t xml:space="preserve"> and aligned to the need for tertiary institutions </w:t>
      </w:r>
      <w:r w:rsidR="004B3628">
        <w:t>to have greater accountability</w:t>
      </w:r>
      <w:r w:rsidR="00DF56D4">
        <w:t xml:space="preserve"> in their role for providing inclusive education. </w:t>
      </w:r>
    </w:p>
    <w:p w14:paraId="1E0BDB32" w14:textId="16156CFF" w:rsidR="00CB0184" w:rsidRDefault="00813B45" w:rsidP="000D72C3">
      <w:pPr>
        <w:pStyle w:val="Heading5"/>
      </w:pPr>
      <w:r>
        <w:t xml:space="preserve">Progress a </w:t>
      </w:r>
      <w:r w:rsidRPr="00813B45">
        <w:t>‘Universal Design Framework’</w:t>
      </w:r>
      <w:r w:rsidR="00C266FB">
        <w:t xml:space="preserve"> for learning</w:t>
      </w:r>
    </w:p>
    <w:p w14:paraId="27EEBE79" w14:textId="2E194D03" w:rsidR="00C266FB" w:rsidRPr="00ED6550" w:rsidRDefault="00FD61D1" w:rsidP="0046727F">
      <w:r>
        <w:t xml:space="preserve">While </w:t>
      </w:r>
      <w:r w:rsidR="00B11EC7">
        <w:t xml:space="preserve">NDCOs have been working with </w:t>
      </w:r>
      <w:r w:rsidR="003A6C5E">
        <w:t xml:space="preserve">ADCET and </w:t>
      </w:r>
      <w:r w:rsidR="009F46EC">
        <w:t>NCSEHE</w:t>
      </w:r>
      <w:r w:rsidR="005C2492">
        <w:t xml:space="preserve"> </w:t>
      </w:r>
      <w:r w:rsidR="007D7C40">
        <w:t>on the development of resources for universal</w:t>
      </w:r>
      <w:r w:rsidR="00BF3EFD">
        <w:t xml:space="preserve"> design </w:t>
      </w:r>
      <w:r w:rsidR="007C1397">
        <w:t>for</w:t>
      </w:r>
      <w:r w:rsidR="00BF3EFD">
        <w:t xml:space="preserve"> learning</w:t>
      </w:r>
      <w:r w:rsidR="007227CF">
        <w:t>, development of a comprehensive framework that is adopted</w:t>
      </w:r>
      <w:r w:rsidR="004742E4">
        <w:t xml:space="preserve"> within the sector is a longer</w:t>
      </w:r>
      <w:r w:rsidR="00E24634">
        <w:t>-</w:t>
      </w:r>
      <w:r w:rsidR="00AA5112">
        <w:t>term</w:t>
      </w:r>
      <w:r w:rsidR="00DF7551">
        <w:t xml:space="preserve"> </w:t>
      </w:r>
      <w:r w:rsidR="004742E4">
        <w:t xml:space="preserve">pursuit. </w:t>
      </w:r>
      <w:r w:rsidR="00634354">
        <w:t>This program initiative</w:t>
      </w:r>
      <w:r w:rsidR="00F75335">
        <w:t xml:space="preserve"> responds to </w:t>
      </w:r>
      <w:r w:rsidR="0067543D">
        <w:t>the diversity in learning needs of students</w:t>
      </w:r>
      <w:r w:rsidR="00722BBF">
        <w:t xml:space="preserve"> </w:t>
      </w:r>
      <w:r w:rsidR="009E3B11">
        <w:t xml:space="preserve">and </w:t>
      </w:r>
      <w:r w:rsidR="00071CC7">
        <w:t xml:space="preserve">reduces the </w:t>
      </w:r>
      <w:r w:rsidR="00071CC7" w:rsidRPr="00ED6550">
        <w:t xml:space="preserve">need for students to </w:t>
      </w:r>
      <w:r w:rsidR="005D447F" w:rsidRPr="00ED6550">
        <w:t xml:space="preserve">evidence and </w:t>
      </w:r>
      <w:r w:rsidR="008711FC" w:rsidRPr="00ED6550">
        <w:t>disclose disability</w:t>
      </w:r>
      <w:r w:rsidR="005D447F" w:rsidRPr="00ED6550">
        <w:t xml:space="preserve">. </w:t>
      </w:r>
      <w:r w:rsidR="004F1EEB" w:rsidRPr="00ED6550">
        <w:t>The role of the program may be to contribute to the framework and materials developed over</w:t>
      </w:r>
      <w:r w:rsidR="00215822" w:rsidRPr="00ED6550">
        <w:t xml:space="preserve"> </w:t>
      </w:r>
      <w:r w:rsidR="004F1EEB" w:rsidRPr="00ED6550">
        <w:t>time,</w:t>
      </w:r>
      <w:r w:rsidR="00F9015A" w:rsidRPr="00ED6550">
        <w:t xml:space="preserve"> including utilising the tertiary disability equity network,</w:t>
      </w:r>
      <w:r w:rsidR="00B65B8B" w:rsidRPr="00ED6550">
        <w:t xml:space="preserve"> and supporting implementation through the</w:t>
      </w:r>
      <w:r w:rsidR="00A059FD" w:rsidRPr="00ED6550">
        <w:t xml:space="preserve"> consulting </w:t>
      </w:r>
      <w:r w:rsidR="00B65B8B" w:rsidRPr="00ED6550">
        <w:t>role</w:t>
      </w:r>
      <w:r w:rsidR="00A059FD" w:rsidRPr="00ED6550">
        <w:t xml:space="preserve">. </w:t>
      </w:r>
    </w:p>
    <w:p w14:paraId="75D4C3F3" w14:textId="53B797CD" w:rsidR="00640DB9" w:rsidRDefault="00640DB9" w:rsidP="00640DB9">
      <w:r w:rsidRPr="00ED6550">
        <w:t xml:space="preserve">Design considerations </w:t>
      </w:r>
      <w:r w:rsidR="00FD6FFD" w:rsidRPr="00ED6550">
        <w:t>identified at the</w:t>
      </w:r>
      <w:r w:rsidRPr="00ED6550">
        <w:t xml:space="preserve"> co-creation</w:t>
      </w:r>
      <w:r>
        <w:t xml:space="preserve"> workshops:</w:t>
      </w:r>
    </w:p>
    <w:p w14:paraId="4D9870F3" w14:textId="0DAF54EC" w:rsidR="00640DB9" w:rsidRDefault="00046230" w:rsidP="00E14791">
      <w:pPr>
        <w:pStyle w:val="ListBullet"/>
      </w:pPr>
      <w:r>
        <w:t xml:space="preserve">Concerns that institutions may not invest </w:t>
      </w:r>
      <w:r w:rsidR="00BA4519">
        <w:t xml:space="preserve">for broad universal </w:t>
      </w:r>
      <w:r w:rsidR="003F79F3">
        <w:t>design;</w:t>
      </w:r>
      <w:r w:rsidR="001A6256">
        <w:t xml:space="preserve"> however the value of this model is that it support</w:t>
      </w:r>
      <w:r w:rsidR="00882207">
        <w:t>s</w:t>
      </w:r>
      <w:r w:rsidR="001A6256">
        <w:t xml:space="preserve"> all students, not just students </w:t>
      </w:r>
      <w:r w:rsidR="00991256">
        <w:t>with disability</w:t>
      </w:r>
      <w:r w:rsidR="00B95C96">
        <w:t>.</w:t>
      </w:r>
    </w:p>
    <w:p w14:paraId="5CE7D26D" w14:textId="50516EE0" w:rsidR="00145B8A" w:rsidRDefault="00BA35D4" w:rsidP="00E14791">
      <w:pPr>
        <w:pStyle w:val="ListBullet"/>
      </w:pPr>
      <w:r>
        <w:t>T</w:t>
      </w:r>
      <w:r w:rsidR="00244F8A">
        <w:t>he legislation only requires</w:t>
      </w:r>
      <w:r w:rsidR="00D22A1F">
        <w:t xml:space="preserve"> institutions to </w:t>
      </w:r>
      <w:r w:rsidR="00ED4D6F">
        <w:t>offer</w:t>
      </w:r>
      <w:r w:rsidR="00244F8A">
        <w:t xml:space="preserve"> reasonable adjustments</w:t>
      </w:r>
      <w:r w:rsidR="005C57EE">
        <w:t xml:space="preserve"> and therefore whilst the concept of universal design is </w:t>
      </w:r>
      <w:r w:rsidR="00BE09D3">
        <w:t xml:space="preserve">endorsed, </w:t>
      </w:r>
      <w:r w:rsidR="006A2017">
        <w:t xml:space="preserve">implementation may </w:t>
      </w:r>
      <w:r w:rsidR="00CF6755">
        <w:t xml:space="preserve">require </w:t>
      </w:r>
      <w:r w:rsidR="00A25DCD">
        <w:t>a legal / compliance framework</w:t>
      </w:r>
      <w:r w:rsidR="00B760FA">
        <w:t>.</w:t>
      </w:r>
    </w:p>
    <w:p w14:paraId="26ECB2EB" w14:textId="7B50CDB4" w:rsidR="00882207" w:rsidRDefault="00FF6A6C" w:rsidP="00E14791">
      <w:pPr>
        <w:pStyle w:val="ListBullet"/>
      </w:pPr>
      <w:r>
        <w:t>Support</w:t>
      </w:r>
      <w:r w:rsidR="00DC0374">
        <w:t>s</w:t>
      </w:r>
      <w:r>
        <w:t xml:space="preserve"> the perspective that </w:t>
      </w:r>
      <w:r w:rsidR="00DC0374">
        <w:t xml:space="preserve">disability is </w:t>
      </w:r>
      <w:r w:rsidR="009E6BF3">
        <w:t xml:space="preserve">a </w:t>
      </w:r>
      <w:r w:rsidR="00DC0374">
        <w:t>social construct</w:t>
      </w:r>
      <w:r w:rsidR="005F7DAB">
        <w:t xml:space="preserve"> – </w:t>
      </w:r>
      <w:r w:rsidR="00ED6550">
        <w:t xml:space="preserve">that is, people with disability face barriers as a feature of society rather than </w:t>
      </w:r>
      <w:r w:rsidR="005F7DAB">
        <w:t xml:space="preserve">due to </w:t>
      </w:r>
      <w:r w:rsidR="00ED6550">
        <w:t>their impairment or difference</w:t>
      </w:r>
      <w:r w:rsidR="00F975C3">
        <w:t xml:space="preserve"> – </w:t>
      </w:r>
      <w:r w:rsidR="005F7DAB">
        <w:t xml:space="preserve">which </w:t>
      </w:r>
      <w:r w:rsidR="00F975C3">
        <w:t xml:space="preserve">should also </w:t>
      </w:r>
      <w:r w:rsidR="005F7DAB">
        <w:t>underpin</w:t>
      </w:r>
      <w:r w:rsidR="00F975C3">
        <w:t xml:space="preserve"> the ‘backbone’. </w:t>
      </w:r>
    </w:p>
    <w:p w14:paraId="23B3D118" w14:textId="2BBCACFE" w:rsidR="00DC0374" w:rsidRDefault="002434D6" w:rsidP="00E14791">
      <w:pPr>
        <w:pStyle w:val="ListBullet"/>
      </w:pPr>
      <w:r>
        <w:t xml:space="preserve">Tailoring </w:t>
      </w:r>
      <w:r w:rsidR="00227C87">
        <w:t>for individual support needs would still be required</w:t>
      </w:r>
      <w:r w:rsidR="00E927FA">
        <w:t xml:space="preserve">, </w:t>
      </w:r>
      <w:r w:rsidR="00C8675C">
        <w:t>therefore students will still need to know what options are available as relevant to their needs.</w:t>
      </w:r>
      <w:r w:rsidR="00631C08">
        <w:t xml:space="preserve">  </w:t>
      </w:r>
    </w:p>
    <w:p w14:paraId="7A466D1B" w14:textId="2A07E638" w:rsidR="0019584B" w:rsidRDefault="005B394E" w:rsidP="00E14791">
      <w:pPr>
        <w:pStyle w:val="ListBullet"/>
      </w:pPr>
      <w:r>
        <w:t>May require resources to support the model being imple</w:t>
      </w:r>
      <w:r w:rsidR="0019584B">
        <w:t>mented, particularly in setting a baseline for all institutions.</w:t>
      </w:r>
    </w:p>
    <w:p w14:paraId="3170125A" w14:textId="3CAA3AB9" w:rsidR="0032790F" w:rsidRDefault="007E6E4D" w:rsidP="00E14791">
      <w:pPr>
        <w:pStyle w:val="ListBullet"/>
      </w:pPr>
      <w:r>
        <w:t xml:space="preserve">Progression </w:t>
      </w:r>
      <w:r w:rsidR="005364D3">
        <w:t>of universal design assist</w:t>
      </w:r>
      <w:r w:rsidR="001D6980">
        <w:t>ance</w:t>
      </w:r>
      <w:r w:rsidR="005364D3">
        <w:t xml:space="preserve"> to </w:t>
      </w:r>
      <w:r w:rsidR="0032790F">
        <w:t>embed a culture of acceptance of different student learning needs.</w:t>
      </w:r>
    </w:p>
    <w:p w14:paraId="2F6101F5" w14:textId="14B7BA14" w:rsidR="00C84EF4" w:rsidRDefault="00C84EF4" w:rsidP="00972D27">
      <w:pPr>
        <w:pStyle w:val="ListBullet"/>
      </w:pPr>
      <w:r>
        <w:t xml:space="preserve">Could </w:t>
      </w:r>
      <w:r w:rsidR="00954491">
        <w:t>become</w:t>
      </w:r>
      <w:r>
        <w:t xml:space="preserve"> part of the consulting model </w:t>
      </w:r>
      <w:r w:rsidR="001209CB">
        <w:t>over time</w:t>
      </w:r>
      <w:r>
        <w:t>.</w:t>
      </w:r>
    </w:p>
    <w:p w14:paraId="676A56A6" w14:textId="1A47A401" w:rsidR="00396639" w:rsidRDefault="00396639" w:rsidP="00D66066">
      <w:pPr>
        <w:pStyle w:val="ListBullet"/>
        <w:numPr>
          <w:ilvl w:val="0"/>
          <w:numId w:val="0"/>
        </w:numPr>
        <w:ind w:left="720" w:hanging="360"/>
      </w:pPr>
      <w:r>
        <w:t xml:space="preserve">Given the breadth of issues universal design for learning could cover, it would be important to </w:t>
      </w:r>
      <w:r w:rsidR="00D20120">
        <w:t>identify what work has been done to date and by whom</w:t>
      </w:r>
      <w:r w:rsidR="00352B02">
        <w:t>,</w:t>
      </w:r>
      <w:r w:rsidR="00D20120">
        <w:t xml:space="preserve"> and agree on what elements should be progressed </w:t>
      </w:r>
      <w:r>
        <w:t>that would have the most impact for students.</w:t>
      </w:r>
    </w:p>
    <w:p w14:paraId="43EA0CF9" w14:textId="0E743EC9" w:rsidR="00515641" w:rsidRDefault="00AF5B32" w:rsidP="007F009B">
      <w:pPr>
        <w:pStyle w:val="Heading2"/>
      </w:pPr>
      <w:bookmarkStart w:id="29" w:name="_Toc95836744"/>
      <w:r>
        <w:t>Improve the o</w:t>
      </w:r>
      <w:r w:rsidR="007F009B">
        <w:t>perational efficiency</w:t>
      </w:r>
      <w:r w:rsidR="001F5061">
        <w:t xml:space="preserve"> through one-program-one-plan</w:t>
      </w:r>
      <w:bookmarkEnd w:id="29"/>
    </w:p>
    <w:p w14:paraId="57ABFF64" w14:textId="7C63D386" w:rsidR="007F009B" w:rsidRDefault="00625CAE" w:rsidP="007F009B">
      <w:r w:rsidRPr="00625CAE">
        <w:t xml:space="preserve">As identified in our review, </w:t>
      </w:r>
      <w:r w:rsidRPr="00D66066">
        <w:rPr>
          <w:b/>
          <w:bCs/>
        </w:rPr>
        <w:t xml:space="preserve">one of the weaknesses of the current program is the lack of </w:t>
      </w:r>
      <w:r w:rsidR="003D0D6D" w:rsidRPr="00D66066">
        <w:rPr>
          <w:b/>
          <w:bCs/>
        </w:rPr>
        <w:t>coordination</w:t>
      </w:r>
      <w:r w:rsidR="00C4353E" w:rsidRPr="00D66066">
        <w:rPr>
          <w:b/>
          <w:bCs/>
        </w:rPr>
        <w:t>,</w:t>
      </w:r>
      <w:r w:rsidR="004D4D64" w:rsidRPr="00D66066">
        <w:rPr>
          <w:b/>
          <w:bCs/>
        </w:rPr>
        <w:t xml:space="preserve"> </w:t>
      </w:r>
      <w:r w:rsidRPr="00D66066">
        <w:rPr>
          <w:b/>
          <w:bCs/>
        </w:rPr>
        <w:t xml:space="preserve">leading to operational inefficiencies including </w:t>
      </w:r>
      <w:r w:rsidR="004D4D64" w:rsidRPr="00D66066">
        <w:rPr>
          <w:b/>
          <w:bCs/>
        </w:rPr>
        <w:t>duplication</w:t>
      </w:r>
      <w:r w:rsidR="00834758" w:rsidRPr="00D66066">
        <w:rPr>
          <w:b/>
          <w:bCs/>
        </w:rPr>
        <w:t xml:space="preserve"> and wasted </w:t>
      </w:r>
      <w:r w:rsidR="001D2D67" w:rsidRPr="00D66066">
        <w:rPr>
          <w:b/>
          <w:bCs/>
        </w:rPr>
        <w:t>effort</w:t>
      </w:r>
      <w:r w:rsidR="003845A2" w:rsidRPr="00D66066">
        <w:rPr>
          <w:b/>
          <w:bCs/>
        </w:rPr>
        <w:t xml:space="preserve"> </w:t>
      </w:r>
      <w:r w:rsidR="0027161A" w:rsidRPr="00D66066">
        <w:rPr>
          <w:b/>
          <w:bCs/>
        </w:rPr>
        <w:t>–</w:t>
      </w:r>
      <w:r w:rsidR="003845A2" w:rsidRPr="00D66066">
        <w:rPr>
          <w:b/>
          <w:bCs/>
        </w:rPr>
        <w:t xml:space="preserve"> </w:t>
      </w:r>
      <w:r w:rsidR="0027161A" w:rsidRPr="00D66066">
        <w:rPr>
          <w:b/>
          <w:bCs/>
        </w:rPr>
        <w:t xml:space="preserve">both for government and for program partners. </w:t>
      </w:r>
    </w:p>
    <w:p w14:paraId="4F2A9C7C" w14:textId="5767CA00" w:rsidR="00AF5B32" w:rsidRDefault="00376B56" w:rsidP="007F009B">
      <w:r w:rsidRPr="00D66066">
        <w:rPr>
          <w:b/>
          <w:bCs/>
        </w:rPr>
        <w:t>W</w:t>
      </w:r>
      <w:r w:rsidR="007C70DD" w:rsidRPr="00D66066">
        <w:rPr>
          <w:b/>
          <w:bCs/>
        </w:rPr>
        <w:t>e</w:t>
      </w:r>
      <w:r w:rsidRPr="00D66066">
        <w:rPr>
          <w:b/>
          <w:bCs/>
        </w:rPr>
        <w:t xml:space="preserve"> recommend that the </w:t>
      </w:r>
      <w:r w:rsidR="007C70DD" w:rsidRPr="00D66066">
        <w:rPr>
          <w:b/>
          <w:bCs/>
        </w:rPr>
        <w:t>department take a one-program-one-plan approach</w:t>
      </w:r>
      <w:r w:rsidR="007C70DD">
        <w:t xml:space="preserve"> and consider the following actions that would need to be take</w:t>
      </w:r>
      <w:r w:rsidR="001F5061">
        <w:t>n to</w:t>
      </w:r>
      <w:r w:rsidR="003E0DF6">
        <w:t>.</w:t>
      </w:r>
    </w:p>
    <w:p w14:paraId="62A1387B" w14:textId="6FB7E37B" w:rsidR="00023BD6" w:rsidRDefault="003E0DF6" w:rsidP="00E14791">
      <w:pPr>
        <w:pStyle w:val="ListBullet"/>
      </w:pPr>
      <w:r>
        <w:t xml:space="preserve">Establish one strategic plan </w:t>
      </w:r>
      <w:r w:rsidR="00965284">
        <w:t xml:space="preserve">to be accompanied by </w:t>
      </w:r>
      <w:r w:rsidR="00364B28">
        <w:t>a</w:t>
      </w:r>
      <w:r w:rsidR="00965284">
        <w:t xml:space="preserve"> </w:t>
      </w:r>
      <w:r w:rsidR="0002259B">
        <w:t xml:space="preserve">program </w:t>
      </w:r>
      <w:r w:rsidR="00965284">
        <w:t>action plan which details the</w:t>
      </w:r>
      <w:r w:rsidR="00900BAB">
        <w:t xml:space="preserve"> </w:t>
      </w:r>
      <w:r w:rsidR="00FA5648">
        <w:t xml:space="preserve">program initiatives, </w:t>
      </w:r>
      <w:r w:rsidR="00184784">
        <w:t>program outputs</w:t>
      </w:r>
      <w:r w:rsidR="00DC11BD">
        <w:t xml:space="preserve">, </w:t>
      </w:r>
      <w:r w:rsidR="00900BAB">
        <w:t>target milestones</w:t>
      </w:r>
      <w:r w:rsidR="00DC11BD">
        <w:t>, responsible owner</w:t>
      </w:r>
      <w:r w:rsidR="00367030">
        <w:t xml:space="preserve"> or lead, </w:t>
      </w:r>
      <w:r w:rsidR="006C645E">
        <w:t>articulated role of program staff and approach f</w:t>
      </w:r>
      <w:r w:rsidR="00364B28">
        <w:t>or external engagement</w:t>
      </w:r>
      <w:r w:rsidR="000644A3">
        <w:t>,</w:t>
      </w:r>
      <w:r w:rsidR="00364B28">
        <w:t xml:space="preserve"> as required. </w:t>
      </w:r>
      <w:r w:rsidR="00BB223A">
        <w:t xml:space="preserve">While </w:t>
      </w:r>
      <w:r w:rsidR="00165DCB">
        <w:t xml:space="preserve">delivery partners and/or </w:t>
      </w:r>
      <w:r w:rsidR="00BB223A">
        <w:t xml:space="preserve">program staff may have project plans </w:t>
      </w:r>
      <w:r w:rsidR="00165DB8">
        <w:t>to support</w:t>
      </w:r>
      <w:r w:rsidR="00301E2F">
        <w:t xml:space="preserve"> execution</w:t>
      </w:r>
      <w:r w:rsidR="00BB223A">
        <w:t>, the program plan</w:t>
      </w:r>
      <w:r w:rsidR="00E02244">
        <w:t xml:space="preserve"> would form the basis of </w:t>
      </w:r>
      <w:r w:rsidR="008D1BD3">
        <w:t xml:space="preserve">program </w:t>
      </w:r>
      <w:r w:rsidR="00E02244">
        <w:t>performance review</w:t>
      </w:r>
      <w:r w:rsidR="008D1BD3">
        <w:t>.</w:t>
      </w:r>
      <w:r w:rsidR="001906D9">
        <w:t xml:space="preserve"> This should also translate into a </w:t>
      </w:r>
      <w:r w:rsidR="001943CE">
        <w:t xml:space="preserve">single </w:t>
      </w:r>
      <w:r w:rsidR="001906D9">
        <w:t>final report that documents</w:t>
      </w:r>
      <w:r w:rsidR="006C0CEA">
        <w:t xml:space="preserve"> the outputs of the program as a whole</w:t>
      </w:r>
      <w:r w:rsidR="0040006C">
        <w:t>.</w:t>
      </w:r>
    </w:p>
    <w:p w14:paraId="50201C95" w14:textId="4A6A147F" w:rsidR="003E0DF6" w:rsidRDefault="008D1BD3" w:rsidP="00E14791">
      <w:pPr>
        <w:pStyle w:val="ListBullet"/>
        <w:numPr>
          <w:ilvl w:val="2"/>
          <w:numId w:val="9"/>
        </w:numPr>
      </w:pPr>
      <w:r>
        <w:t xml:space="preserve">This eliminates the need for 30 workplans and 30 reports. </w:t>
      </w:r>
    </w:p>
    <w:p w14:paraId="6BA00D3B" w14:textId="240EA7E8" w:rsidR="00D43DB1" w:rsidRDefault="00D43DB1" w:rsidP="00E14791">
      <w:pPr>
        <w:pStyle w:val="ListBullet"/>
        <w:numPr>
          <w:ilvl w:val="2"/>
          <w:numId w:val="9"/>
        </w:numPr>
      </w:pPr>
      <w:r>
        <w:t xml:space="preserve">This model would also </w:t>
      </w:r>
      <w:r w:rsidR="00AD12FC">
        <w:t>provide clarity</w:t>
      </w:r>
      <w:r>
        <w:t xml:space="preserve"> </w:t>
      </w:r>
      <w:r w:rsidR="00A44E3D">
        <w:t xml:space="preserve">on </w:t>
      </w:r>
      <w:r w:rsidR="00F34A5F">
        <w:t>specific</w:t>
      </w:r>
      <w:r w:rsidR="00A44E3D">
        <w:t xml:space="preserve"> contribution </w:t>
      </w:r>
      <w:r>
        <w:t xml:space="preserve">where there are multiple delivery partners. </w:t>
      </w:r>
    </w:p>
    <w:p w14:paraId="7BD0BC1D" w14:textId="18512C3D" w:rsidR="0040006C" w:rsidRDefault="0040006C" w:rsidP="00E14791">
      <w:pPr>
        <w:pStyle w:val="ListBullet"/>
        <w:numPr>
          <w:ilvl w:val="2"/>
          <w:numId w:val="9"/>
        </w:numPr>
      </w:pPr>
      <w:r>
        <w:t xml:space="preserve">Contract KPIs should </w:t>
      </w:r>
      <w:r w:rsidR="00382E13">
        <w:t xml:space="preserve">be </w:t>
      </w:r>
      <w:r>
        <w:t>align</w:t>
      </w:r>
      <w:r w:rsidR="00382E13">
        <w:t>ed</w:t>
      </w:r>
      <w:r>
        <w:t xml:space="preserve"> to execution of the program as per the plan. </w:t>
      </w:r>
    </w:p>
    <w:p w14:paraId="43ABFFEF" w14:textId="1AC39AEE" w:rsidR="0040006C" w:rsidRDefault="00E4274B" w:rsidP="00E14791">
      <w:pPr>
        <w:pStyle w:val="ListBullet"/>
        <w:numPr>
          <w:ilvl w:val="2"/>
          <w:numId w:val="9"/>
        </w:numPr>
      </w:pPr>
      <w:r>
        <w:t>More explicit engagement and communication</w:t>
      </w:r>
      <w:r w:rsidR="00F274C8">
        <w:t xml:space="preserve"> plan</w:t>
      </w:r>
      <w:r>
        <w:t xml:space="preserve"> could be developed</w:t>
      </w:r>
      <w:r w:rsidR="00CE601B">
        <w:t xml:space="preserve"> for</w:t>
      </w:r>
      <w:r w:rsidR="00F274C8">
        <w:t xml:space="preserve"> </w:t>
      </w:r>
      <w:r w:rsidR="00B1290E">
        <w:t xml:space="preserve">the </w:t>
      </w:r>
      <w:r w:rsidR="00CE601B">
        <w:t xml:space="preserve">program </w:t>
      </w:r>
      <w:r w:rsidR="00D92C1D">
        <w:t>initiatives</w:t>
      </w:r>
      <w:r w:rsidR="00CE601B">
        <w:t xml:space="preserve">, and should form part of the program KPIs. </w:t>
      </w:r>
    </w:p>
    <w:p w14:paraId="23D36780" w14:textId="3F5DEA99" w:rsidR="003D70DD" w:rsidRDefault="00154A57" w:rsidP="00E14791">
      <w:pPr>
        <w:pStyle w:val="ListBullet"/>
      </w:pPr>
      <w:r>
        <w:t xml:space="preserve">Consolidate online resources onto </w:t>
      </w:r>
      <w:r w:rsidR="006A627B">
        <w:t>one central online</w:t>
      </w:r>
      <w:r>
        <w:t xml:space="preserve"> platform</w:t>
      </w:r>
      <w:r w:rsidR="00295B97">
        <w:t xml:space="preserve">, and publish the strategic plan to provide greater </w:t>
      </w:r>
      <w:r w:rsidR="001C638F">
        <w:t>sector awareness of the program</w:t>
      </w:r>
      <w:r w:rsidR="00DD5E96">
        <w:t xml:space="preserve"> activities and how to connect</w:t>
      </w:r>
      <w:r w:rsidR="00092C8A">
        <w:t xml:space="preserve"> to these initiatives. </w:t>
      </w:r>
    </w:p>
    <w:p w14:paraId="1BDEE14B" w14:textId="43C6567F" w:rsidR="002C14BE" w:rsidRDefault="003D70DD" w:rsidP="00E14791">
      <w:pPr>
        <w:pStyle w:val="ListBullet"/>
      </w:pPr>
      <w:r>
        <w:t>Reconsider the need and ownership for the</w:t>
      </w:r>
      <w:r w:rsidR="004D32AB">
        <w:t xml:space="preserve"> local</w:t>
      </w:r>
      <w:r w:rsidR="00500C65">
        <w:t xml:space="preserve"> </w:t>
      </w:r>
      <w:r w:rsidR="00CB3DB1">
        <w:t xml:space="preserve">network </w:t>
      </w:r>
      <w:r w:rsidR="00500C65">
        <w:t>mail</w:t>
      </w:r>
      <w:r w:rsidR="00866FDE">
        <w:t>ing</w:t>
      </w:r>
      <w:r w:rsidR="00500C65">
        <w:t xml:space="preserve"> list</w:t>
      </w:r>
      <w:r>
        <w:t>.</w:t>
      </w:r>
      <w:r w:rsidR="007A6AB1">
        <w:t xml:space="preserve"> </w:t>
      </w:r>
      <w:r w:rsidR="002D57B1">
        <w:t xml:space="preserve">Current </w:t>
      </w:r>
      <w:r w:rsidR="00CE393A">
        <w:t>mailing lists</w:t>
      </w:r>
      <w:r w:rsidR="008D0EDD">
        <w:t xml:space="preserve"> </w:t>
      </w:r>
      <w:r w:rsidR="002D57B1">
        <w:t xml:space="preserve">might be useful to </w:t>
      </w:r>
      <w:r w:rsidR="00A743CD">
        <w:t xml:space="preserve">communicate program changes </w:t>
      </w:r>
      <w:r w:rsidR="00BA4982">
        <w:t>and promotion of the activities</w:t>
      </w:r>
      <w:r w:rsidR="00E16B72">
        <w:t xml:space="preserve">, however </w:t>
      </w:r>
      <w:r w:rsidR="0059408E">
        <w:t>the management of these could be centralised</w:t>
      </w:r>
      <w:r w:rsidR="00887588">
        <w:t>.</w:t>
      </w:r>
    </w:p>
    <w:p w14:paraId="2AF11DF4" w14:textId="54D854A8" w:rsidR="00981F0C" w:rsidRDefault="004E66AF" w:rsidP="00E14791">
      <w:pPr>
        <w:pStyle w:val="ListBullet"/>
      </w:pPr>
      <w:r>
        <w:t>Collect</w:t>
      </w:r>
      <w:r w:rsidR="00981F0C">
        <w:t xml:space="preserve"> data on program outputs and outcomes </w:t>
      </w:r>
      <w:r>
        <w:t xml:space="preserve">informed by </w:t>
      </w:r>
      <w:r w:rsidR="00981F0C">
        <w:t>the longer term outcomes as indicated in Australia’s Disability Strategy (see also Section V)</w:t>
      </w:r>
      <w:r>
        <w:t xml:space="preserve"> and the broader whole of government reporting requirements</w:t>
      </w:r>
      <w:r w:rsidR="00981F0C">
        <w:t xml:space="preserve">.  </w:t>
      </w:r>
    </w:p>
    <w:p w14:paraId="0A9D7259" w14:textId="77777777" w:rsidR="009B4C51" w:rsidRDefault="009B4C51" w:rsidP="00E14791">
      <w:pPr>
        <w:pStyle w:val="ListBullet"/>
        <w:numPr>
          <w:ilvl w:val="0"/>
          <w:numId w:val="0"/>
        </w:numPr>
      </w:pPr>
    </w:p>
    <w:p w14:paraId="31BBD5D5" w14:textId="77777777" w:rsidR="005105F9" w:rsidRPr="00ED6550" w:rsidRDefault="00A2560E" w:rsidP="00E14791">
      <w:pPr>
        <w:pStyle w:val="ListBullet"/>
        <w:numPr>
          <w:ilvl w:val="0"/>
          <w:numId w:val="0"/>
        </w:numPr>
      </w:pPr>
      <w:r w:rsidRPr="00ED6550">
        <w:t xml:space="preserve">It is recommended that changes in the program model, including its leadership structure and activities, be undertaken with the careful consideration of change impacts. </w:t>
      </w:r>
    </w:p>
    <w:p w14:paraId="3F66D127" w14:textId="77777777" w:rsidR="005105F9" w:rsidRPr="00ED6550" w:rsidRDefault="005105F9" w:rsidP="00E14791">
      <w:pPr>
        <w:pStyle w:val="ListBullet"/>
        <w:numPr>
          <w:ilvl w:val="0"/>
          <w:numId w:val="0"/>
        </w:numPr>
      </w:pPr>
    </w:p>
    <w:p w14:paraId="7501385D" w14:textId="00D5619A" w:rsidR="009B4C51" w:rsidRPr="00ED6550" w:rsidRDefault="00A2560E" w:rsidP="00E14791">
      <w:pPr>
        <w:pStyle w:val="ListBullet"/>
        <w:numPr>
          <w:ilvl w:val="0"/>
          <w:numId w:val="0"/>
        </w:numPr>
      </w:pPr>
      <w:r w:rsidRPr="00ED6550">
        <w:t xml:space="preserve">This might include a staged approach where further co-creation with stakeholders </w:t>
      </w:r>
      <w:r w:rsidR="005A743C" w:rsidRPr="00ED6550">
        <w:t>occurs</w:t>
      </w:r>
      <w:r w:rsidRPr="00ED6550">
        <w:t>, and a planned approach to knowledge retention and/or system centralisation.</w:t>
      </w:r>
    </w:p>
    <w:p w14:paraId="7FA6E15A" w14:textId="33D4CBCB" w:rsidR="00822C3C" w:rsidRDefault="00822C3C" w:rsidP="00E14791">
      <w:pPr>
        <w:pStyle w:val="ListBullet"/>
        <w:numPr>
          <w:ilvl w:val="0"/>
          <w:numId w:val="0"/>
        </w:numPr>
        <w:sectPr w:rsidR="00822C3C" w:rsidSect="008B4F01">
          <w:headerReference w:type="default" r:id="rId23"/>
          <w:pgSz w:w="11906" w:h="16838"/>
          <w:pgMar w:top="1440" w:right="1440" w:bottom="1276" w:left="1440" w:header="708" w:footer="708" w:gutter="0"/>
          <w:pgNumType w:start="1"/>
          <w:cols w:space="708"/>
          <w:docGrid w:linePitch="360"/>
        </w:sectPr>
      </w:pPr>
    </w:p>
    <w:p w14:paraId="2C418A41" w14:textId="752CADB6" w:rsidR="007F009B" w:rsidRPr="007F009B" w:rsidRDefault="007F009B" w:rsidP="00F84F0D">
      <w:pPr>
        <w:pStyle w:val="Heading1"/>
      </w:pPr>
      <w:bookmarkStart w:id="30" w:name="_Toc95836745"/>
      <w:r w:rsidRPr="00F84F0D">
        <w:t>Revised</w:t>
      </w:r>
      <w:r>
        <w:t xml:space="preserve"> program logic based on the recommendations</w:t>
      </w:r>
      <w:bookmarkEnd w:id="30"/>
    </w:p>
    <w:p w14:paraId="40B6DA10" w14:textId="1F1799C8" w:rsidR="007F009B" w:rsidRDefault="00C20BDF" w:rsidP="0046727F">
      <w:r w:rsidRPr="002D116A">
        <w:rPr>
          <w:highlight w:val="white"/>
        </w:rPr>
        <w:t>The purpose of a Program Logic is to communicate how a program is intended to work – enabling all stakeholder</w:t>
      </w:r>
      <w:r>
        <w:rPr>
          <w:highlight w:val="white"/>
        </w:rPr>
        <w:t>s</w:t>
      </w:r>
      <w:r w:rsidRPr="002D116A">
        <w:rPr>
          <w:highlight w:val="white"/>
        </w:rPr>
        <w:t xml:space="preserve"> involved to understand the intended impact of the program and, working backwards, the required resources and activities that lead to the short-, medium- and longer-term program outcomes.</w:t>
      </w:r>
    </w:p>
    <w:p w14:paraId="768BF3EE" w14:textId="0C8EA557" w:rsidR="00BE1837" w:rsidRDefault="005235E9" w:rsidP="005235E9">
      <w:pPr>
        <w:pStyle w:val="Heading9"/>
      </w:pPr>
      <w:r>
        <w:t>Measurement factors:</w:t>
      </w:r>
    </w:p>
    <w:p w14:paraId="1C2803A8" w14:textId="760F6EB1" w:rsidR="00C07B0B" w:rsidRPr="00C07B0B" w:rsidRDefault="00A85351" w:rsidP="00C07B0B">
      <w:r>
        <w:t>The Department has established</w:t>
      </w:r>
      <w:r w:rsidR="00BA70E4">
        <w:t xml:space="preserve"> social</w:t>
      </w:r>
      <w:r>
        <w:t xml:space="preserve"> outcome measures</w:t>
      </w:r>
      <w:r w:rsidR="00BA70E4">
        <w:t xml:space="preserve"> </w:t>
      </w:r>
      <w:r w:rsidR="006A2D67">
        <w:t xml:space="preserve">for equitable opportunities </w:t>
      </w:r>
      <w:r w:rsidR="00777B1C">
        <w:t xml:space="preserve">of tertiary </w:t>
      </w:r>
      <w:r w:rsidR="006A2D67">
        <w:t>access</w:t>
      </w:r>
      <w:r w:rsidR="00FB3B9C">
        <w:t>, parti</w:t>
      </w:r>
      <w:r w:rsidR="00777B1C">
        <w:t xml:space="preserve">cipation and graduate employment as documented in Australia’s Disability Strategy. The program logic above, aligns with these aspirations given </w:t>
      </w:r>
      <w:r w:rsidR="00246972">
        <w:t xml:space="preserve">it contributes to these outcomes. However the program alone </w:t>
      </w:r>
      <w:r w:rsidR="00566A7E">
        <w:t>cannot</w:t>
      </w:r>
      <w:r w:rsidR="00246972">
        <w:t xml:space="preserve"> be responsible for this change. </w:t>
      </w:r>
      <w:r w:rsidR="000A39CF">
        <w:t xml:space="preserve">Program measures should be based on the </w:t>
      </w:r>
      <w:r w:rsidR="00192B27">
        <w:t>successful</w:t>
      </w:r>
      <w:r w:rsidR="000A39CF">
        <w:t xml:space="preserve"> delivery of </w:t>
      </w:r>
      <w:r w:rsidR="00192B27">
        <w:t>program</w:t>
      </w:r>
      <w:r w:rsidR="000A39CF">
        <w:t xml:space="preserve"> </w:t>
      </w:r>
      <w:r w:rsidR="00402718">
        <w:t>outputs</w:t>
      </w:r>
      <w:r w:rsidR="000B2478">
        <w:t xml:space="preserve"> given their alignment in producing the intended</w:t>
      </w:r>
      <w:r w:rsidR="0047770B">
        <w:t xml:space="preserve"> short- and medium-term</w:t>
      </w:r>
      <w:r w:rsidR="000B2478">
        <w:t xml:space="preserve"> outcomes.</w:t>
      </w:r>
      <w:r w:rsidR="00402718">
        <w:t xml:space="preserve"> </w:t>
      </w:r>
      <w:r w:rsidR="00981F0C">
        <w:t xml:space="preserve">They should also be aligned to the whole of government outcomes as documented in Australia’s Disability Strategy. </w:t>
      </w:r>
      <w:r w:rsidR="00402718">
        <w:t>Consideration</w:t>
      </w:r>
      <w:r w:rsidR="00CC7126">
        <w:t>s</w:t>
      </w:r>
      <w:r w:rsidR="00402718">
        <w:t xml:space="preserve"> for </w:t>
      </w:r>
      <w:r w:rsidR="00CC7126">
        <w:t xml:space="preserve">program </w:t>
      </w:r>
      <w:r w:rsidR="00402718">
        <w:t xml:space="preserve">measurement </w:t>
      </w:r>
      <w:r w:rsidR="00CC7126">
        <w:t xml:space="preserve">are provided below. </w:t>
      </w:r>
    </w:p>
    <w:p w14:paraId="699E3FF5" w14:textId="3E7B2B13" w:rsidR="001A7E90" w:rsidRDefault="001A7E90" w:rsidP="00E14791">
      <w:pPr>
        <w:pStyle w:val="ListBullet"/>
      </w:pPr>
      <w:r>
        <w:t>Delivery of strategic action plan and related KPIs</w:t>
      </w:r>
      <w:r w:rsidR="00602B41" w:rsidRPr="00602B41">
        <w:t xml:space="preserve"> </w:t>
      </w:r>
      <w:r w:rsidR="00602B41">
        <w:t>including reach of activities via partners</w:t>
      </w:r>
      <w:r w:rsidR="007720F4">
        <w:t xml:space="preserve">, uptake of the consulting approach, engagement with the </w:t>
      </w:r>
      <w:r w:rsidR="00773A71">
        <w:t>‘backbone’</w:t>
      </w:r>
      <w:r w:rsidR="00DC16B8">
        <w:t xml:space="preserve">, and </w:t>
      </w:r>
      <w:r w:rsidR="005216E2">
        <w:t>demonstrated influence on sector priorities/activities.</w:t>
      </w:r>
    </w:p>
    <w:p w14:paraId="0DE61AAE" w14:textId="28D43F54" w:rsidR="005235E9" w:rsidRDefault="005235E9" w:rsidP="00E14791">
      <w:pPr>
        <w:pStyle w:val="ListBullet"/>
      </w:pPr>
      <w:r>
        <w:t xml:space="preserve">Student and stakeholder surveys – </w:t>
      </w:r>
      <w:r w:rsidR="001A7E90">
        <w:t xml:space="preserve">Department </w:t>
      </w:r>
      <w:r>
        <w:t xml:space="preserve">national </w:t>
      </w:r>
      <w:r w:rsidR="00303983">
        <w:t xml:space="preserve">annual </w:t>
      </w:r>
      <w:r w:rsidR="00FC1C5C">
        <w:t>survey</w:t>
      </w:r>
      <w:r w:rsidR="00AF24D8">
        <w:t xml:space="preserve"> as identified in Australia’s Disability Strategy</w:t>
      </w:r>
      <w:r w:rsidR="00FC1C5C">
        <w:t xml:space="preserve"> </w:t>
      </w:r>
      <w:r w:rsidR="00303983">
        <w:t>and</w:t>
      </w:r>
      <w:r>
        <w:t xml:space="preserve">/or </w:t>
      </w:r>
      <w:r w:rsidR="001A6DBE">
        <w:t>institution</w:t>
      </w:r>
      <w:r w:rsidR="00541108">
        <w:t>-</w:t>
      </w:r>
      <w:r w:rsidR="00DD1168">
        <w:t xml:space="preserve">based </w:t>
      </w:r>
      <w:r w:rsidR="001A6DBE">
        <w:t>surveys as part of consulting approach</w:t>
      </w:r>
      <w:r w:rsidR="00EF1AD7">
        <w:t>.</w:t>
      </w:r>
    </w:p>
    <w:p w14:paraId="5D27A130" w14:textId="181E2FB0" w:rsidR="007479AA" w:rsidRDefault="007479AA" w:rsidP="00E14791">
      <w:pPr>
        <w:pStyle w:val="ListBullet"/>
      </w:pPr>
      <w:r>
        <w:t>Network stakeholder surveys</w:t>
      </w:r>
      <w:r w:rsidR="000E55E0">
        <w:t xml:space="preserve"> – including </w:t>
      </w:r>
      <w:r w:rsidR="006D650B">
        <w:t xml:space="preserve">increased knowledge of the program, </w:t>
      </w:r>
      <w:r w:rsidR="00FE5939">
        <w:t>the Standards</w:t>
      </w:r>
      <w:r w:rsidR="006D650B">
        <w:t xml:space="preserve"> and actions to support </w:t>
      </w:r>
      <w:r w:rsidR="00AF24D8">
        <w:t>equitable tertiary access for students with disability</w:t>
      </w:r>
      <w:r w:rsidR="00EF1AD7">
        <w:t>.</w:t>
      </w:r>
    </w:p>
    <w:p w14:paraId="5403399B" w14:textId="7C548FCE" w:rsidR="000939D8" w:rsidRDefault="000939D8" w:rsidP="00E14791">
      <w:pPr>
        <w:pStyle w:val="ListBullet"/>
      </w:pPr>
      <w:r>
        <w:t>Execution of communication and</w:t>
      </w:r>
      <w:r w:rsidR="00DD1CB8">
        <w:t xml:space="preserve"> engagement plans</w:t>
      </w:r>
      <w:r w:rsidR="00EB479A">
        <w:t>.</w:t>
      </w:r>
    </w:p>
    <w:p w14:paraId="331A21D1" w14:textId="77777777" w:rsidR="0026346D" w:rsidRDefault="0026346D" w:rsidP="0026346D">
      <w:pPr>
        <w:pStyle w:val="ListBullet"/>
        <w:numPr>
          <w:ilvl w:val="0"/>
          <w:numId w:val="0"/>
        </w:numPr>
        <w:ind w:left="720"/>
        <w:sectPr w:rsidR="0026346D" w:rsidSect="00E1069B">
          <w:headerReference w:type="default" r:id="rId24"/>
          <w:pgSz w:w="11906" w:h="16838"/>
          <w:pgMar w:top="1440" w:right="1440" w:bottom="1440" w:left="1440" w:header="708" w:footer="708" w:gutter="0"/>
          <w:cols w:space="708"/>
          <w:docGrid w:linePitch="360"/>
        </w:sectPr>
      </w:pPr>
    </w:p>
    <w:tbl>
      <w:tblPr>
        <w:tblStyle w:val="TableGrid"/>
        <w:tblpPr w:leftFromText="180" w:rightFromText="180" w:vertAnchor="page" w:horzAnchor="margin" w:tblpY="1608"/>
        <w:tblW w:w="14454" w:type="dxa"/>
        <w:tblLook w:val="04A0" w:firstRow="1" w:lastRow="0" w:firstColumn="1" w:lastColumn="0" w:noHBand="0" w:noVBand="1"/>
      </w:tblPr>
      <w:tblGrid>
        <w:gridCol w:w="2547"/>
        <w:gridCol w:w="2467"/>
        <w:gridCol w:w="2410"/>
        <w:gridCol w:w="2418"/>
        <w:gridCol w:w="2410"/>
        <w:gridCol w:w="2202"/>
      </w:tblGrid>
      <w:tr w:rsidR="0026346D" w14:paraId="0E9F5902" w14:textId="77777777" w:rsidTr="00D66066">
        <w:trPr>
          <w:trHeight w:val="704"/>
        </w:trPr>
        <w:tc>
          <w:tcPr>
            <w:tcW w:w="14454" w:type="dxa"/>
            <w:gridSpan w:val="6"/>
            <w:shd w:val="clear" w:color="auto" w:fill="172983"/>
          </w:tcPr>
          <w:p w14:paraId="2AA920B2" w14:textId="77777777" w:rsidR="0026346D" w:rsidRDefault="0026346D" w:rsidP="0026346D">
            <w:pPr>
              <w:rPr>
                <w:b/>
                <w:bCs/>
                <w:i/>
                <w:iCs/>
                <w:sz w:val="18"/>
                <w:szCs w:val="18"/>
              </w:rPr>
            </w:pPr>
            <w:r w:rsidRPr="007878CA">
              <w:rPr>
                <w:b/>
                <w:bCs/>
              </w:rPr>
              <w:t>Impact</w:t>
            </w:r>
            <w:r>
              <w:rPr>
                <w:b/>
                <w:bCs/>
              </w:rPr>
              <w:t xml:space="preserve"> </w:t>
            </w:r>
            <w:r>
              <w:rPr>
                <w:b/>
                <w:bCs/>
                <w:i/>
                <w:iCs/>
                <w:sz w:val="18"/>
                <w:szCs w:val="18"/>
              </w:rPr>
              <w:t>(</w:t>
            </w:r>
            <w:r w:rsidRPr="007878CA">
              <w:rPr>
                <w:b/>
                <w:bCs/>
                <w:i/>
                <w:iCs/>
                <w:sz w:val="18"/>
                <w:szCs w:val="18"/>
              </w:rPr>
              <w:t>Intended societal change</w:t>
            </w:r>
            <w:r>
              <w:rPr>
                <w:b/>
                <w:bCs/>
                <w:i/>
                <w:iCs/>
                <w:sz w:val="18"/>
                <w:szCs w:val="18"/>
              </w:rPr>
              <w:t>)</w:t>
            </w:r>
          </w:p>
          <w:p w14:paraId="35581160" w14:textId="77777777" w:rsidR="0026346D" w:rsidRPr="001B2DB4" w:rsidRDefault="0026346D" w:rsidP="0026346D">
            <w:pPr>
              <w:rPr>
                <w:color w:val="FFFFFF" w:themeColor="background1"/>
              </w:rPr>
            </w:pPr>
            <w:r w:rsidRPr="00516D3A">
              <w:rPr>
                <w:color w:val="FFFFFF" w:themeColor="background1"/>
              </w:rPr>
              <w:t>People with disability have equitable opportunity to access</w:t>
            </w:r>
            <w:r>
              <w:rPr>
                <w:color w:val="FFFFFF" w:themeColor="background1"/>
              </w:rPr>
              <w:t>,</w:t>
            </w:r>
            <w:r w:rsidRPr="00516D3A">
              <w:rPr>
                <w:color w:val="FFFFFF" w:themeColor="background1"/>
              </w:rPr>
              <w:t xml:space="preserve"> participate and achieve their goals in tertiary education and subsequent employment</w:t>
            </w:r>
          </w:p>
        </w:tc>
      </w:tr>
      <w:tr w:rsidR="0026346D" w14:paraId="71203CA3" w14:textId="77777777" w:rsidTr="0026346D">
        <w:trPr>
          <w:trHeight w:val="1258"/>
        </w:trPr>
        <w:tc>
          <w:tcPr>
            <w:tcW w:w="2547" w:type="dxa"/>
            <w:shd w:val="clear" w:color="auto" w:fill="DAEEF3" w:themeFill="accent5" w:themeFillTint="33"/>
          </w:tcPr>
          <w:p w14:paraId="12265FFF" w14:textId="77777777" w:rsidR="0026346D" w:rsidRDefault="0026346D" w:rsidP="0026346D">
            <w:pPr>
              <w:jc w:val="left"/>
              <w:rPr>
                <w:b/>
                <w:bCs/>
              </w:rPr>
            </w:pPr>
            <w:r w:rsidRPr="007878CA">
              <w:rPr>
                <w:b/>
                <w:bCs/>
              </w:rPr>
              <w:t>Inputs</w:t>
            </w:r>
          </w:p>
          <w:p w14:paraId="653D6AF0" w14:textId="77777777" w:rsidR="0026346D" w:rsidRDefault="0026346D" w:rsidP="0026346D">
            <w:pPr>
              <w:jc w:val="left"/>
              <w:rPr>
                <w:b/>
                <w:bCs/>
              </w:rPr>
            </w:pPr>
          </w:p>
          <w:p w14:paraId="003C66F6" w14:textId="77777777" w:rsidR="0026346D" w:rsidRPr="007878CA" w:rsidRDefault="0026346D" w:rsidP="0026346D">
            <w:pPr>
              <w:jc w:val="left"/>
              <w:rPr>
                <w:b/>
                <w:bCs/>
              </w:rPr>
            </w:pPr>
            <w:r w:rsidRPr="007878CA">
              <w:rPr>
                <w:b/>
                <w:bCs/>
                <w:i/>
                <w:iCs/>
                <w:sz w:val="18"/>
                <w:szCs w:val="18"/>
              </w:rPr>
              <w:t xml:space="preserve">The </w:t>
            </w:r>
            <w:r>
              <w:rPr>
                <w:b/>
                <w:bCs/>
                <w:i/>
                <w:iCs/>
                <w:sz w:val="18"/>
                <w:szCs w:val="18"/>
              </w:rPr>
              <w:t>tangible resources</w:t>
            </w:r>
            <w:r w:rsidRPr="007878CA">
              <w:rPr>
                <w:b/>
                <w:bCs/>
                <w:i/>
                <w:iCs/>
                <w:sz w:val="18"/>
                <w:szCs w:val="18"/>
              </w:rPr>
              <w:t xml:space="preserve"> needed to do the work</w:t>
            </w:r>
          </w:p>
        </w:tc>
        <w:tc>
          <w:tcPr>
            <w:tcW w:w="2467" w:type="dxa"/>
            <w:shd w:val="clear" w:color="auto" w:fill="DAEEF3" w:themeFill="accent5" w:themeFillTint="33"/>
          </w:tcPr>
          <w:p w14:paraId="2846A2D1" w14:textId="77777777" w:rsidR="0026346D" w:rsidRDefault="0026346D" w:rsidP="0026346D">
            <w:pPr>
              <w:jc w:val="left"/>
              <w:rPr>
                <w:b/>
                <w:bCs/>
              </w:rPr>
            </w:pPr>
            <w:r>
              <w:rPr>
                <w:b/>
                <w:bCs/>
              </w:rPr>
              <w:t>Activities</w:t>
            </w:r>
          </w:p>
          <w:p w14:paraId="38E0EF4A" w14:textId="77777777" w:rsidR="0026346D" w:rsidRDefault="0026346D" w:rsidP="0026346D">
            <w:pPr>
              <w:jc w:val="left"/>
              <w:rPr>
                <w:b/>
                <w:bCs/>
              </w:rPr>
            </w:pPr>
          </w:p>
          <w:p w14:paraId="2848B710" w14:textId="77777777" w:rsidR="0026346D" w:rsidRPr="007878CA" w:rsidRDefault="0026346D" w:rsidP="0026346D">
            <w:pPr>
              <w:jc w:val="left"/>
              <w:rPr>
                <w:b/>
                <w:bCs/>
              </w:rPr>
            </w:pPr>
            <w:r w:rsidRPr="00684D46">
              <w:rPr>
                <w:b/>
                <w:bCs/>
                <w:i/>
                <w:iCs/>
                <w:sz w:val="18"/>
                <w:szCs w:val="18"/>
              </w:rPr>
              <w:t>Processes or actions to accomplish objectives</w:t>
            </w:r>
          </w:p>
        </w:tc>
        <w:tc>
          <w:tcPr>
            <w:tcW w:w="2410" w:type="dxa"/>
            <w:shd w:val="clear" w:color="auto" w:fill="DAEEF3" w:themeFill="accent5" w:themeFillTint="33"/>
          </w:tcPr>
          <w:p w14:paraId="08A397BD" w14:textId="77777777" w:rsidR="0026346D" w:rsidRDefault="0026346D" w:rsidP="0026346D">
            <w:pPr>
              <w:jc w:val="left"/>
              <w:rPr>
                <w:b/>
                <w:bCs/>
              </w:rPr>
            </w:pPr>
            <w:r w:rsidRPr="007878CA">
              <w:rPr>
                <w:b/>
                <w:bCs/>
              </w:rPr>
              <w:t>Outputs</w:t>
            </w:r>
          </w:p>
          <w:p w14:paraId="0700E69C" w14:textId="77777777" w:rsidR="0026346D" w:rsidRDefault="0026346D" w:rsidP="0026346D">
            <w:pPr>
              <w:jc w:val="left"/>
              <w:rPr>
                <w:b/>
                <w:bCs/>
                <w:i/>
                <w:iCs/>
              </w:rPr>
            </w:pPr>
          </w:p>
          <w:p w14:paraId="489BA3F2" w14:textId="77777777" w:rsidR="0026346D" w:rsidRPr="007878CA" w:rsidRDefault="0026346D" w:rsidP="0026346D">
            <w:pPr>
              <w:jc w:val="left"/>
              <w:rPr>
                <w:b/>
                <w:bCs/>
              </w:rPr>
            </w:pPr>
            <w:r w:rsidRPr="007878CA">
              <w:rPr>
                <w:b/>
                <w:bCs/>
                <w:i/>
                <w:iCs/>
                <w:sz w:val="18"/>
                <w:szCs w:val="18"/>
              </w:rPr>
              <w:t>What is produced or created as a result of the work</w:t>
            </w:r>
          </w:p>
        </w:tc>
        <w:tc>
          <w:tcPr>
            <w:tcW w:w="2418" w:type="dxa"/>
            <w:shd w:val="clear" w:color="auto" w:fill="DAEEF3" w:themeFill="accent5" w:themeFillTint="33"/>
          </w:tcPr>
          <w:p w14:paraId="15ED5A60" w14:textId="77777777" w:rsidR="0026346D" w:rsidRDefault="0026346D" w:rsidP="0026346D">
            <w:pPr>
              <w:jc w:val="left"/>
              <w:rPr>
                <w:b/>
                <w:bCs/>
              </w:rPr>
            </w:pPr>
            <w:r>
              <w:rPr>
                <w:b/>
                <w:bCs/>
              </w:rPr>
              <w:t>Short term outcomes</w:t>
            </w:r>
          </w:p>
          <w:p w14:paraId="4DB0D816" w14:textId="77777777" w:rsidR="0026346D" w:rsidRDefault="0026346D" w:rsidP="0026346D">
            <w:pPr>
              <w:jc w:val="left"/>
              <w:rPr>
                <w:b/>
                <w:bCs/>
              </w:rPr>
            </w:pPr>
          </w:p>
          <w:p w14:paraId="145E9B36" w14:textId="77777777" w:rsidR="0026346D" w:rsidRDefault="0026346D" w:rsidP="0026346D">
            <w:pPr>
              <w:jc w:val="left"/>
              <w:rPr>
                <w:b/>
                <w:bCs/>
              </w:rPr>
            </w:pPr>
            <w:r>
              <w:rPr>
                <w:b/>
                <w:bCs/>
                <w:i/>
                <w:iCs/>
                <w:sz w:val="18"/>
                <w:szCs w:val="18"/>
              </w:rPr>
              <w:t>What the outputs will create</w:t>
            </w:r>
          </w:p>
        </w:tc>
        <w:tc>
          <w:tcPr>
            <w:tcW w:w="2410" w:type="dxa"/>
            <w:shd w:val="clear" w:color="auto" w:fill="DAEEF3" w:themeFill="accent5" w:themeFillTint="33"/>
          </w:tcPr>
          <w:p w14:paraId="0C752A95" w14:textId="77777777" w:rsidR="0026346D" w:rsidRDefault="0026346D" w:rsidP="0026346D">
            <w:pPr>
              <w:jc w:val="left"/>
              <w:rPr>
                <w:b/>
                <w:bCs/>
              </w:rPr>
            </w:pPr>
            <w:r>
              <w:rPr>
                <w:b/>
                <w:bCs/>
              </w:rPr>
              <w:t>M</w:t>
            </w:r>
            <w:r w:rsidRPr="007878CA">
              <w:rPr>
                <w:b/>
                <w:bCs/>
              </w:rPr>
              <w:t>edium</w:t>
            </w:r>
            <w:r>
              <w:rPr>
                <w:b/>
                <w:bCs/>
              </w:rPr>
              <w:t>-</w:t>
            </w:r>
            <w:r w:rsidRPr="007878CA">
              <w:rPr>
                <w:b/>
                <w:bCs/>
              </w:rPr>
              <w:t>term outcomes</w:t>
            </w:r>
          </w:p>
          <w:p w14:paraId="05EF3FF1" w14:textId="77777777" w:rsidR="0026346D" w:rsidRPr="00983792" w:rsidRDefault="0026346D" w:rsidP="0026346D">
            <w:pPr>
              <w:jc w:val="left"/>
              <w:rPr>
                <w:b/>
                <w:bCs/>
                <w:sz w:val="18"/>
                <w:szCs w:val="18"/>
              </w:rPr>
            </w:pPr>
            <w:r w:rsidRPr="007878CA">
              <w:rPr>
                <w:b/>
                <w:bCs/>
                <w:i/>
                <w:iCs/>
                <w:sz w:val="18"/>
                <w:szCs w:val="18"/>
              </w:rPr>
              <w:t xml:space="preserve">Change in </w:t>
            </w:r>
            <w:r w:rsidRPr="007878CA">
              <w:rPr>
                <w:b/>
                <w:bCs/>
                <w:i/>
                <w:iCs/>
                <w:sz w:val="18"/>
                <w:szCs w:val="18"/>
                <w:u w:val="single"/>
              </w:rPr>
              <w:t>people</w:t>
            </w:r>
            <w:r w:rsidRPr="007878CA">
              <w:rPr>
                <w:b/>
                <w:bCs/>
                <w:i/>
                <w:iCs/>
                <w:sz w:val="18"/>
                <w:szCs w:val="18"/>
              </w:rPr>
              <w:t xml:space="preserve"> or organisations as a result of these outputs</w:t>
            </w:r>
          </w:p>
        </w:tc>
        <w:tc>
          <w:tcPr>
            <w:tcW w:w="2202" w:type="dxa"/>
            <w:shd w:val="clear" w:color="auto" w:fill="DAEEF3" w:themeFill="accent5" w:themeFillTint="33"/>
          </w:tcPr>
          <w:p w14:paraId="4674C1AA" w14:textId="77777777" w:rsidR="0026346D" w:rsidRDefault="0026346D" w:rsidP="0026346D">
            <w:pPr>
              <w:jc w:val="left"/>
              <w:rPr>
                <w:b/>
                <w:bCs/>
              </w:rPr>
            </w:pPr>
            <w:r w:rsidRPr="007878CA">
              <w:rPr>
                <w:b/>
                <w:bCs/>
              </w:rPr>
              <w:t>Long-term outcomes</w:t>
            </w:r>
          </w:p>
          <w:p w14:paraId="08366AAE" w14:textId="77777777" w:rsidR="0026346D" w:rsidRDefault="0026346D" w:rsidP="0026346D">
            <w:pPr>
              <w:jc w:val="left"/>
              <w:rPr>
                <w:b/>
                <w:bCs/>
                <w:i/>
                <w:iCs/>
              </w:rPr>
            </w:pPr>
          </w:p>
          <w:p w14:paraId="2AA75979" w14:textId="77777777" w:rsidR="0026346D" w:rsidRPr="007878CA" w:rsidRDefault="0026346D" w:rsidP="0026346D">
            <w:pPr>
              <w:jc w:val="left"/>
              <w:rPr>
                <w:b/>
                <w:bCs/>
              </w:rPr>
            </w:pPr>
            <w:r w:rsidRPr="007878CA">
              <w:rPr>
                <w:b/>
                <w:bCs/>
                <w:i/>
                <w:iCs/>
                <w:sz w:val="18"/>
                <w:szCs w:val="18"/>
              </w:rPr>
              <w:t xml:space="preserve">Change in </w:t>
            </w:r>
            <w:r w:rsidRPr="007878CA">
              <w:rPr>
                <w:b/>
                <w:bCs/>
                <w:i/>
                <w:iCs/>
                <w:sz w:val="18"/>
                <w:szCs w:val="18"/>
                <w:u w:val="single"/>
              </w:rPr>
              <w:t>people</w:t>
            </w:r>
            <w:r w:rsidRPr="007878CA">
              <w:rPr>
                <w:b/>
                <w:bCs/>
                <w:i/>
                <w:iCs/>
                <w:sz w:val="18"/>
                <w:szCs w:val="18"/>
              </w:rPr>
              <w:t xml:space="preserve"> or organisations as a result of these outputs</w:t>
            </w:r>
          </w:p>
        </w:tc>
      </w:tr>
      <w:tr w:rsidR="0026346D" w14:paraId="1E5C2FCA" w14:textId="77777777" w:rsidTr="00352B02">
        <w:tc>
          <w:tcPr>
            <w:tcW w:w="2547" w:type="dxa"/>
          </w:tcPr>
          <w:p w14:paraId="7CC33691" w14:textId="77777777" w:rsidR="0026346D" w:rsidRDefault="0026346D" w:rsidP="0026346D">
            <w:pPr>
              <w:rPr>
                <w:sz w:val="20"/>
                <w:szCs w:val="20"/>
              </w:rPr>
            </w:pPr>
            <w:r w:rsidRPr="00CE593B">
              <w:rPr>
                <w:sz w:val="20"/>
                <w:szCs w:val="20"/>
                <w:u w:val="single"/>
              </w:rPr>
              <w:t>Resourcing:</w:t>
            </w:r>
            <w:r>
              <w:rPr>
                <w:sz w:val="20"/>
                <w:szCs w:val="20"/>
              </w:rPr>
              <w:t xml:space="preserve"> </w:t>
            </w:r>
          </w:p>
          <w:p w14:paraId="68115488" w14:textId="77777777" w:rsidR="0026346D" w:rsidRPr="00707C1A" w:rsidRDefault="0026346D" w:rsidP="0026346D">
            <w:pPr>
              <w:pStyle w:val="ListParagraph"/>
              <w:numPr>
                <w:ilvl w:val="0"/>
                <w:numId w:val="21"/>
              </w:numPr>
              <w:ind w:left="360"/>
              <w:jc w:val="left"/>
              <w:rPr>
                <w:sz w:val="20"/>
                <w:szCs w:val="20"/>
              </w:rPr>
            </w:pPr>
            <w:r>
              <w:rPr>
                <w:sz w:val="20"/>
                <w:szCs w:val="20"/>
              </w:rPr>
              <w:t>$4.4 million annually</w:t>
            </w:r>
          </w:p>
          <w:p w14:paraId="7BE4C8FC" w14:textId="77777777" w:rsidR="0026346D" w:rsidRPr="00707C1A" w:rsidRDefault="0026346D" w:rsidP="0026346D">
            <w:pPr>
              <w:pStyle w:val="ListParagraph"/>
              <w:numPr>
                <w:ilvl w:val="0"/>
                <w:numId w:val="21"/>
              </w:numPr>
              <w:ind w:left="360"/>
              <w:jc w:val="left"/>
              <w:rPr>
                <w:sz w:val="20"/>
                <w:szCs w:val="20"/>
              </w:rPr>
            </w:pPr>
            <w:r>
              <w:rPr>
                <w:sz w:val="20"/>
                <w:szCs w:val="20"/>
              </w:rPr>
              <w:t>Delivery partners and program staff</w:t>
            </w:r>
          </w:p>
          <w:p w14:paraId="12FF54C0" w14:textId="77777777" w:rsidR="0026346D" w:rsidRDefault="0026346D" w:rsidP="0026346D">
            <w:pPr>
              <w:pStyle w:val="ListParagraph"/>
              <w:numPr>
                <w:ilvl w:val="0"/>
                <w:numId w:val="21"/>
              </w:numPr>
              <w:ind w:left="360"/>
              <w:jc w:val="left"/>
              <w:rPr>
                <w:sz w:val="20"/>
                <w:szCs w:val="20"/>
              </w:rPr>
            </w:pPr>
            <w:r>
              <w:rPr>
                <w:sz w:val="20"/>
                <w:szCs w:val="20"/>
              </w:rPr>
              <w:t xml:space="preserve">DESE contract management and program monitoring </w:t>
            </w:r>
          </w:p>
          <w:p w14:paraId="6862FE1F" w14:textId="77777777" w:rsidR="0026346D" w:rsidRDefault="0026346D" w:rsidP="0026346D">
            <w:pPr>
              <w:rPr>
                <w:sz w:val="20"/>
                <w:szCs w:val="20"/>
              </w:rPr>
            </w:pPr>
          </w:p>
          <w:p w14:paraId="38BBEA31" w14:textId="77777777" w:rsidR="0026346D" w:rsidRPr="00297654" w:rsidRDefault="0026346D" w:rsidP="0026346D">
            <w:pPr>
              <w:rPr>
                <w:sz w:val="20"/>
                <w:szCs w:val="20"/>
                <w:u w:val="single"/>
              </w:rPr>
            </w:pPr>
            <w:r>
              <w:rPr>
                <w:sz w:val="20"/>
                <w:szCs w:val="20"/>
                <w:u w:val="single"/>
              </w:rPr>
              <w:t>Program s</w:t>
            </w:r>
            <w:r w:rsidRPr="00297654">
              <w:rPr>
                <w:sz w:val="20"/>
                <w:szCs w:val="20"/>
                <w:u w:val="single"/>
              </w:rPr>
              <w:t>kills:</w:t>
            </w:r>
          </w:p>
          <w:p w14:paraId="1C14281A" w14:textId="77777777" w:rsidR="0026346D" w:rsidRDefault="0026346D" w:rsidP="0026346D">
            <w:pPr>
              <w:pStyle w:val="ListParagraph"/>
              <w:numPr>
                <w:ilvl w:val="0"/>
                <w:numId w:val="21"/>
              </w:numPr>
              <w:ind w:left="360"/>
              <w:jc w:val="left"/>
              <w:rPr>
                <w:sz w:val="20"/>
                <w:szCs w:val="20"/>
              </w:rPr>
            </w:pPr>
            <w:r w:rsidRPr="00780152">
              <w:rPr>
                <w:sz w:val="20"/>
                <w:szCs w:val="20"/>
              </w:rPr>
              <w:t>Negotiating and influencing</w:t>
            </w:r>
          </w:p>
          <w:p w14:paraId="4C53402A" w14:textId="77777777" w:rsidR="0026346D" w:rsidRPr="00237C55" w:rsidRDefault="0026346D" w:rsidP="0026346D">
            <w:pPr>
              <w:pStyle w:val="ListParagraph"/>
              <w:numPr>
                <w:ilvl w:val="0"/>
                <w:numId w:val="21"/>
              </w:numPr>
              <w:ind w:left="360"/>
              <w:jc w:val="left"/>
              <w:rPr>
                <w:sz w:val="20"/>
                <w:szCs w:val="20"/>
              </w:rPr>
            </w:pPr>
            <w:r>
              <w:rPr>
                <w:sz w:val="20"/>
                <w:szCs w:val="20"/>
              </w:rPr>
              <w:t>Strategic planning and project management</w:t>
            </w:r>
          </w:p>
          <w:p w14:paraId="30D1797B" w14:textId="77777777" w:rsidR="0026346D" w:rsidRDefault="0026346D" w:rsidP="0026346D">
            <w:pPr>
              <w:pStyle w:val="ListParagraph"/>
              <w:numPr>
                <w:ilvl w:val="0"/>
                <w:numId w:val="21"/>
              </w:numPr>
              <w:ind w:left="360"/>
              <w:jc w:val="left"/>
              <w:rPr>
                <w:sz w:val="20"/>
                <w:szCs w:val="20"/>
              </w:rPr>
            </w:pPr>
            <w:r>
              <w:rPr>
                <w:sz w:val="20"/>
                <w:szCs w:val="20"/>
              </w:rPr>
              <w:t>Specialised knowledge - tertiary sector, inclusive practices</w:t>
            </w:r>
          </w:p>
          <w:p w14:paraId="6F2E1E93" w14:textId="77777777" w:rsidR="0026346D" w:rsidRPr="00780152" w:rsidRDefault="0026346D" w:rsidP="0026346D">
            <w:pPr>
              <w:pStyle w:val="ListParagraph"/>
              <w:numPr>
                <w:ilvl w:val="0"/>
                <w:numId w:val="21"/>
              </w:numPr>
              <w:ind w:left="360"/>
              <w:jc w:val="left"/>
              <w:rPr>
                <w:sz w:val="20"/>
                <w:szCs w:val="20"/>
              </w:rPr>
            </w:pPr>
            <w:r w:rsidRPr="00780152">
              <w:rPr>
                <w:sz w:val="20"/>
                <w:szCs w:val="20"/>
              </w:rPr>
              <w:t>Communications</w:t>
            </w:r>
            <w:r>
              <w:rPr>
                <w:sz w:val="20"/>
                <w:szCs w:val="20"/>
              </w:rPr>
              <w:t xml:space="preserve"> and engagement</w:t>
            </w:r>
          </w:p>
          <w:p w14:paraId="5757E4C3" w14:textId="77777777" w:rsidR="0026346D" w:rsidRDefault="0026346D" w:rsidP="0026346D">
            <w:pPr>
              <w:rPr>
                <w:sz w:val="20"/>
                <w:szCs w:val="20"/>
              </w:rPr>
            </w:pPr>
          </w:p>
          <w:p w14:paraId="61EFF450" w14:textId="77777777" w:rsidR="0026346D" w:rsidRPr="00CE593B" w:rsidRDefault="0026346D" w:rsidP="0026346D">
            <w:pPr>
              <w:rPr>
                <w:sz w:val="20"/>
                <w:szCs w:val="20"/>
                <w:u w:val="single"/>
              </w:rPr>
            </w:pPr>
            <w:r>
              <w:rPr>
                <w:sz w:val="20"/>
                <w:szCs w:val="20"/>
                <w:u w:val="single"/>
              </w:rPr>
              <w:t xml:space="preserve">Program </w:t>
            </w:r>
          </w:p>
          <w:p w14:paraId="4D7C9B58" w14:textId="77777777" w:rsidR="0026346D" w:rsidRPr="00422A31" w:rsidRDefault="0026346D" w:rsidP="0026346D">
            <w:pPr>
              <w:pStyle w:val="ListParagraph"/>
              <w:numPr>
                <w:ilvl w:val="0"/>
                <w:numId w:val="21"/>
              </w:numPr>
              <w:ind w:left="360"/>
              <w:jc w:val="left"/>
              <w:rPr>
                <w:sz w:val="20"/>
                <w:szCs w:val="20"/>
              </w:rPr>
            </w:pPr>
            <w:r>
              <w:rPr>
                <w:sz w:val="20"/>
                <w:szCs w:val="20"/>
              </w:rPr>
              <w:t>Program strategy and annual activity plan including KPIs</w:t>
            </w:r>
          </w:p>
          <w:p w14:paraId="40606998" w14:textId="77777777" w:rsidR="0026346D" w:rsidRPr="000B57E4" w:rsidRDefault="0026346D" w:rsidP="0026346D">
            <w:pPr>
              <w:pStyle w:val="ListParagraph"/>
              <w:numPr>
                <w:ilvl w:val="0"/>
                <w:numId w:val="21"/>
              </w:numPr>
              <w:ind w:left="360"/>
              <w:jc w:val="left"/>
              <w:rPr>
                <w:sz w:val="20"/>
                <w:szCs w:val="20"/>
              </w:rPr>
            </w:pPr>
            <w:r w:rsidRPr="00AE0350">
              <w:rPr>
                <w:sz w:val="20"/>
                <w:szCs w:val="20"/>
              </w:rPr>
              <w:t>Engagement and communications plan</w:t>
            </w:r>
          </w:p>
          <w:p w14:paraId="4DBFB1E7" w14:textId="77777777" w:rsidR="0026346D" w:rsidRPr="006821FB" w:rsidRDefault="0026346D" w:rsidP="0026346D">
            <w:pPr>
              <w:rPr>
                <w:sz w:val="20"/>
                <w:szCs w:val="20"/>
              </w:rPr>
            </w:pPr>
          </w:p>
        </w:tc>
        <w:tc>
          <w:tcPr>
            <w:tcW w:w="2467" w:type="dxa"/>
          </w:tcPr>
          <w:p w14:paraId="4E18C1E9" w14:textId="61B39C82" w:rsidR="0026346D" w:rsidRDefault="0026346D" w:rsidP="0026346D">
            <w:pPr>
              <w:pStyle w:val="ListParagraph"/>
              <w:numPr>
                <w:ilvl w:val="0"/>
                <w:numId w:val="20"/>
              </w:numPr>
              <w:ind w:left="174" w:hanging="142"/>
              <w:jc w:val="left"/>
              <w:rPr>
                <w:sz w:val="20"/>
                <w:szCs w:val="20"/>
              </w:rPr>
            </w:pPr>
            <w:r>
              <w:rPr>
                <w:sz w:val="20"/>
                <w:szCs w:val="20"/>
              </w:rPr>
              <w:t>Strategic planning and prioritisation</w:t>
            </w:r>
          </w:p>
          <w:p w14:paraId="77C0640E" w14:textId="5AAE3996" w:rsidR="00E02B5A" w:rsidRDefault="00E02B5A" w:rsidP="00E02B5A">
            <w:pPr>
              <w:pStyle w:val="ListParagraph"/>
              <w:numPr>
                <w:ilvl w:val="0"/>
                <w:numId w:val="20"/>
              </w:numPr>
              <w:ind w:left="174" w:hanging="142"/>
              <w:jc w:val="left"/>
              <w:rPr>
                <w:sz w:val="20"/>
                <w:szCs w:val="20"/>
              </w:rPr>
            </w:pPr>
            <w:r w:rsidRPr="00E02B5A">
              <w:rPr>
                <w:sz w:val="20"/>
                <w:szCs w:val="20"/>
              </w:rPr>
              <w:t xml:space="preserve">Strategically connect and leverage the national tertiary equity disability ecosystem </w:t>
            </w:r>
          </w:p>
          <w:p w14:paraId="68E421C1" w14:textId="086F2A87" w:rsidR="00E02B5A" w:rsidRDefault="00E02B5A" w:rsidP="00D66066">
            <w:pPr>
              <w:pStyle w:val="ListParagraph"/>
              <w:ind w:left="174"/>
              <w:jc w:val="left"/>
              <w:rPr>
                <w:sz w:val="20"/>
                <w:szCs w:val="20"/>
              </w:rPr>
            </w:pPr>
            <w:r>
              <w:rPr>
                <w:sz w:val="20"/>
                <w:szCs w:val="20"/>
              </w:rPr>
              <w:t>– enlist industry support, develop partnerships/ alliances</w:t>
            </w:r>
          </w:p>
          <w:p w14:paraId="3D8AFEDA" w14:textId="3EFD1E9E" w:rsidR="00E02B5A" w:rsidRDefault="00E02B5A" w:rsidP="00E02B5A">
            <w:pPr>
              <w:pStyle w:val="ListParagraph"/>
              <w:ind w:left="174"/>
              <w:jc w:val="left"/>
              <w:rPr>
                <w:sz w:val="20"/>
                <w:szCs w:val="20"/>
              </w:rPr>
            </w:pPr>
            <w:r>
              <w:rPr>
                <w:sz w:val="20"/>
                <w:szCs w:val="20"/>
              </w:rPr>
              <w:t>– promote inclusion in national policy / initiatives</w:t>
            </w:r>
          </w:p>
          <w:p w14:paraId="0F8C56C3" w14:textId="2A405E9F" w:rsidR="00E02B5A" w:rsidRPr="00D66066" w:rsidRDefault="00E02B5A" w:rsidP="00D66066">
            <w:pPr>
              <w:ind w:left="145"/>
              <w:jc w:val="left"/>
              <w:rPr>
                <w:sz w:val="20"/>
                <w:szCs w:val="20"/>
              </w:rPr>
            </w:pPr>
            <w:r w:rsidRPr="00525EAC">
              <w:rPr>
                <w:sz w:val="20"/>
                <w:szCs w:val="20"/>
              </w:rPr>
              <w:t>–</w:t>
            </w:r>
            <w:r>
              <w:rPr>
                <w:sz w:val="20"/>
                <w:szCs w:val="20"/>
              </w:rPr>
              <w:t xml:space="preserve"> support project scaling</w:t>
            </w:r>
          </w:p>
          <w:p w14:paraId="72A1B4C7" w14:textId="47EB7B9A" w:rsidR="00E02B5A" w:rsidRDefault="00E02B5A" w:rsidP="00E02B5A">
            <w:pPr>
              <w:pStyle w:val="ListParagraph"/>
              <w:numPr>
                <w:ilvl w:val="0"/>
                <w:numId w:val="20"/>
              </w:numPr>
              <w:ind w:left="174" w:hanging="142"/>
              <w:jc w:val="left"/>
              <w:rPr>
                <w:sz w:val="20"/>
                <w:szCs w:val="20"/>
              </w:rPr>
            </w:pPr>
            <w:r w:rsidRPr="00E02B5A">
              <w:rPr>
                <w:sz w:val="20"/>
                <w:szCs w:val="20"/>
              </w:rPr>
              <w:t>Support tertiary institution</w:t>
            </w:r>
            <w:r w:rsidR="005614FF">
              <w:rPr>
                <w:sz w:val="20"/>
                <w:szCs w:val="20"/>
              </w:rPr>
              <w:t>s’</w:t>
            </w:r>
            <w:r w:rsidRPr="00E02B5A">
              <w:rPr>
                <w:sz w:val="20"/>
                <w:szCs w:val="20"/>
              </w:rPr>
              <w:t xml:space="preserve"> translation of information and research into practice </w:t>
            </w:r>
          </w:p>
          <w:p w14:paraId="3605C917" w14:textId="02072EF2" w:rsidR="00E02B5A" w:rsidRPr="00CF670D" w:rsidRDefault="00E02B5A" w:rsidP="00E02B5A">
            <w:pPr>
              <w:ind w:left="174"/>
              <w:jc w:val="left"/>
              <w:rPr>
                <w:sz w:val="20"/>
                <w:szCs w:val="20"/>
              </w:rPr>
            </w:pPr>
            <w:r w:rsidRPr="00525EAC">
              <w:rPr>
                <w:sz w:val="20"/>
                <w:szCs w:val="20"/>
              </w:rPr>
              <w:t>–</w:t>
            </w:r>
            <w:r>
              <w:rPr>
                <w:sz w:val="20"/>
                <w:szCs w:val="20"/>
              </w:rPr>
              <w:t xml:space="preserve"> provide advice on practice </w:t>
            </w:r>
          </w:p>
          <w:p w14:paraId="17004150" w14:textId="22F1BD51" w:rsidR="00E02B5A" w:rsidRDefault="00E02B5A" w:rsidP="00E02B5A">
            <w:pPr>
              <w:ind w:left="145"/>
              <w:jc w:val="left"/>
              <w:rPr>
                <w:sz w:val="20"/>
                <w:szCs w:val="20"/>
              </w:rPr>
            </w:pPr>
            <w:r w:rsidRPr="00525EAC">
              <w:rPr>
                <w:sz w:val="20"/>
                <w:szCs w:val="20"/>
              </w:rPr>
              <w:t>–</w:t>
            </w:r>
            <w:r>
              <w:rPr>
                <w:sz w:val="20"/>
                <w:szCs w:val="20"/>
              </w:rPr>
              <w:t xml:space="preserve"> promote</w:t>
            </w:r>
            <w:r w:rsidRPr="00B82F6C">
              <w:rPr>
                <w:sz w:val="20"/>
                <w:szCs w:val="20"/>
              </w:rPr>
              <w:t xml:space="preserve"> </w:t>
            </w:r>
            <w:r>
              <w:rPr>
                <w:sz w:val="20"/>
                <w:szCs w:val="20"/>
              </w:rPr>
              <w:t xml:space="preserve">uptake of resources and </w:t>
            </w:r>
            <w:r w:rsidRPr="00B82F6C">
              <w:rPr>
                <w:sz w:val="20"/>
                <w:szCs w:val="20"/>
              </w:rPr>
              <w:t>training</w:t>
            </w:r>
            <w:r>
              <w:rPr>
                <w:sz w:val="20"/>
                <w:szCs w:val="20"/>
              </w:rPr>
              <w:t xml:space="preserve"> </w:t>
            </w:r>
          </w:p>
          <w:p w14:paraId="7FD65840" w14:textId="77777777" w:rsidR="00E02B5A" w:rsidRDefault="00E02B5A" w:rsidP="00E02B5A">
            <w:pPr>
              <w:ind w:left="145"/>
              <w:jc w:val="left"/>
              <w:rPr>
                <w:sz w:val="20"/>
                <w:szCs w:val="20"/>
              </w:rPr>
            </w:pPr>
            <w:r w:rsidRPr="00525EAC">
              <w:rPr>
                <w:sz w:val="20"/>
                <w:szCs w:val="20"/>
              </w:rPr>
              <w:t>–</w:t>
            </w:r>
            <w:r>
              <w:rPr>
                <w:sz w:val="20"/>
                <w:szCs w:val="20"/>
              </w:rPr>
              <w:t xml:space="preserve"> promote awareness of government intersection programs </w:t>
            </w:r>
          </w:p>
          <w:p w14:paraId="5D04864F" w14:textId="02A31B73" w:rsidR="00E02B5A" w:rsidRPr="00972491" w:rsidRDefault="00E02B5A" w:rsidP="00E02B5A">
            <w:pPr>
              <w:ind w:left="145"/>
              <w:jc w:val="left"/>
              <w:rPr>
                <w:sz w:val="20"/>
                <w:szCs w:val="20"/>
              </w:rPr>
            </w:pPr>
            <w:r w:rsidRPr="00525EAC">
              <w:rPr>
                <w:sz w:val="20"/>
                <w:szCs w:val="20"/>
              </w:rPr>
              <w:t>–</w:t>
            </w:r>
            <w:r>
              <w:rPr>
                <w:sz w:val="20"/>
                <w:szCs w:val="20"/>
              </w:rPr>
              <w:t xml:space="preserve"> support project scaling</w:t>
            </w:r>
          </w:p>
          <w:p w14:paraId="5C253E3A" w14:textId="77777777" w:rsidR="00E02B5A" w:rsidRPr="00E02B5A" w:rsidRDefault="00E02B5A" w:rsidP="00D66066">
            <w:pPr>
              <w:pStyle w:val="ListParagraph"/>
              <w:ind w:left="174"/>
              <w:jc w:val="left"/>
              <w:rPr>
                <w:sz w:val="20"/>
                <w:szCs w:val="20"/>
              </w:rPr>
            </w:pPr>
          </w:p>
          <w:p w14:paraId="19169E9B" w14:textId="246EC982" w:rsidR="00E02B5A" w:rsidRDefault="00E02B5A" w:rsidP="00D66066">
            <w:pPr>
              <w:pStyle w:val="ListParagraph"/>
              <w:numPr>
                <w:ilvl w:val="0"/>
                <w:numId w:val="20"/>
              </w:numPr>
              <w:ind w:left="174" w:hanging="142"/>
              <w:jc w:val="left"/>
              <w:rPr>
                <w:sz w:val="20"/>
                <w:szCs w:val="20"/>
              </w:rPr>
            </w:pPr>
            <w:r w:rsidRPr="00E02B5A">
              <w:rPr>
                <w:sz w:val="20"/>
                <w:szCs w:val="20"/>
              </w:rPr>
              <w:t>Continue to progress universal design for learning in tertiary settings</w:t>
            </w:r>
          </w:p>
          <w:p w14:paraId="07170710" w14:textId="530CC33B" w:rsidR="0026346D" w:rsidRPr="00427E93" w:rsidRDefault="0026346D" w:rsidP="0026346D">
            <w:pPr>
              <w:ind w:left="174"/>
              <w:jc w:val="left"/>
              <w:rPr>
                <w:sz w:val="20"/>
                <w:szCs w:val="20"/>
              </w:rPr>
            </w:pPr>
            <w:r w:rsidRPr="00427E93">
              <w:rPr>
                <w:sz w:val="20"/>
                <w:szCs w:val="20"/>
              </w:rPr>
              <w:t>–</w:t>
            </w:r>
            <w:r>
              <w:rPr>
                <w:sz w:val="20"/>
                <w:szCs w:val="20"/>
              </w:rPr>
              <w:t xml:space="preserve"> contribute</w:t>
            </w:r>
            <w:r w:rsidR="00E02B5A">
              <w:rPr>
                <w:sz w:val="20"/>
                <w:szCs w:val="20"/>
              </w:rPr>
              <w:t xml:space="preserve"> to priorities, framework</w:t>
            </w:r>
            <w:r>
              <w:rPr>
                <w:sz w:val="20"/>
                <w:szCs w:val="20"/>
              </w:rPr>
              <w:t xml:space="preserve"> and promot</w:t>
            </w:r>
            <w:r w:rsidR="00E02B5A">
              <w:rPr>
                <w:sz w:val="20"/>
                <w:szCs w:val="20"/>
              </w:rPr>
              <w:t>ion of</w:t>
            </w:r>
            <w:r>
              <w:rPr>
                <w:sz w:val="20"/>
                <w:szCs w:val="20"/>
              </w:rPr>
              <w:t xml:space="preserve"> universal design for learning </w:t>
            </w:r>
          </w:p>
          <w:p w14:paraId="4DCD9AF8" w14:textId="77777777" w:rsidR="0026346D" w:rsidRPr="00525EAC" w:rsidRDefault="0026346D" w:rsidP="00D66066">
            <w:pPr>
              <w:ind w:left="145"/>
              <w:jc w:val="left"/>
              <w:rPr>
                <w:sz w:val="20"/>
                <w:szCs w:val="20"/>
              </w:rPr>
            </w:pPr>
          </w:p>
        </w:tc>
        <w:tc>
          <w:tcPr>
            <w:tcW w:w="2410" w:type="dxa"/>
          </w:tcPr>
          <w:p w14:paraId="63BF07C4" w14:textId="77777777" w:rsidR="0026346D" w:rsidRDefault="0026346D" w:rsidP="0026346D">
            <w:pPr>
              <w:pStyle w:val="ListParagraph"/>
              <w:numPr>
                <w:ilvl w:val="0"/>
                <w:numId w:val="22"/>
              </w:numPr>
              <w:jc w:val="left"/>
              <w:rPr>
                <w:iCs/>
                <w:sz w:val="20"/>
                <w:szCs w:val="20"/>
              </w:rPr>
            </w:pPr>
            <w:r>
              <w:rPr>
                <w:iCs/>
                <w:sz w:val="20"/>
                <w:szCs w:val="20"/>
              </w:rPr>
              <w:t>Establishment and operational support for ‘backbone’</w:t>
            </w:r>
          </w:p>
          <w:p w14:paraId="3299C4B8" w14:textId="500FB9B1" w:rsidR="0026346D" w:rsidRDefault="0026346D" w:rsidP="0026346D">
            <w:pPr>
              <w:pStyle w:val="ListParagraph"/>
              <w:numPr>
                <w:ilvl w:val="0"/>
                <w:numId w:val="22"/>
              </w:numPr>
              <w:jc w:val="left"/>
              <w:rPr>
                <w:iCs/>
                <w:sz w:val="20"/>
                <w:szCs w:val="20"/>
              </w:rPr>
            </w:pPr>
            <w:r>
              <w:rPr>
                <w:iCs/>
                <w:sz w:val="20"/>
                <w:szCs w:val="20"/>
              </w:rPr>
              <w:t>Agreed partnership outputs via backbone i.e. linkages to programs, support for activities</w:t>
            </w:r>
            <w:r w:rsidR="00FB5A14">
              <w:rPr>
                <w:iCs/>
                <w:sz w:val="20"/>
                <w:szCs w:val="20"/>
              </w:rPr>
              <w:t>, co-design</w:t>
            </w:r>
            <w:r>
              <w:rPr>
                <w:iCs/>
                <w:sz w:val="20"/>
                <w:szCs w:val="20"/>
              </w:rPr>
              <w:t xml:space="preserve"> </w:t>
            </w:r>
          </w:p>
          <w:p w14:paraId="501C8A81" w14:textId="77777777" w:rsidR="0026346D" w:rsidRPr="00685F96" w:rsidRDefault="0026346D" w:rsidP="0026346D">
            <w:pPr>
              <w:pStyle w:val="ListParagraph"/>
              <w:numPr>
                <w:ilvl w:val="0"/>
                <w:numId w:val="22"/>
              </w:numPr>
              <w:jc w:val="left"/>
              <w:rPr>
                <w:iCs/>
                <w:sz w:val="20"/>
                <w:szCs w:val="20"/>
              </w:rPr>
            </w:pPr>
            <w:r>
              <w:rPr>
                <w:iCs/>
                <w:sz w:val="20"/>
                <w:szCs w:val="20"/>
              </w:rPr>
              <w:t xml:space="preserve">National collaborations for program priorities </w:t>
            </w:r>
          </w:p>
          <w:p w14:paraId="71FA5186" w14:textId="15E3205F" w:rsidR="0026346D" w:rsidRPr="00E37CBC" w:rsidRDefault="0026346D" w:rsidP="0026346D">
            <w:pPr>
              <w:pStyle w:val="ListParagraph"/>
              <w:numPr>
                <w:ilvl w:val="0"/>
                <w:numId w:val="22"/>
              </w:numPr>
              <w:jc w:val="left"/>
              <w:rPr>
                <w:i/>
                <w:sz w:val="20"/>
                <w:szCs w:val="20"/>
              </w:rPr>
            </w:pPr>
            <w:r>
              <w:rPr>
                <w:iCs/>
                <w:sz w:val="20"/>
                <w:szCs w:val="20"/>
              </w:rPr>
              <w:t xml:space="preserve">Pilot testing of tertiary consulting model </w:t>
            </w:r>
            <w:r w:rsidR="00E02B5A">
              <w:rPr>
                <w:iCs/>
                <w:sz w:val="20"/>
                <w:szCs w:val="20"/>
              </w:rPr>
              <w:t>and products</w:t>
            </w:r>
          </w:p>
          <w:p w14:paraId="2B1679A4" w14:textId="77777777" w:rsidR="0026346D" w:rsidRPr="00494391" w:rsidRDefault="0026346D" w:rsidP="0026346D">
            <w:pPr>
              <w:pStyle w:val="ListParagraph"/>
              <w:numPr>
                <w:ilvl w:val="0"/>
                <w:numId w:val="22"/>
              </w:numPr>
              <w:jc w:val="left"/>
              <w:rPr>
                <w:i/>
                <w:sz w:val="20"/>
                <w:szCs w:val="20"/>
              </w:rPr>
            </w:pPr>
            <w:r>
              <w:rPr>
                <w:iCs/>
                <w:sz w:val="20"/>
                <w:szCs w:val="20"/>
              </w:rPr>
              <w:t>Tertiary institutions assessment and support cards undertaken (national &amp; diverse institution coverage)</w:t>
            </w:r>
          </w:p>
          <w:p w14:paraId="45D4A8B3" w14:textId="5F412055" w:rsidR="00E02B5A" w:rsidRPr="00352B02" w:rsidRDefault="0026346D" w:rsidP="00352B02">
            <w:pPr>
              <w:pStyle w:val="ListParagraph"/>
              <w:numPr>
                <w:ilvl w:val="0"/>
                <w:numId w:val="22"/>
              </w:numPr>
              <w:jc w:val="left"/>
              <w:rPr>
                <w:i/>
                <w:sz w:val="20"/>
                <w:szCs w:val="20"/>
              </w:rPr>
            </w:pPr>
            <w:r w:rsidRPr="00E02B5A">
              <w:rPr>
                <w:iCs/>
                <w:sz w:val="20"/>
                <w:szCs w:val="20"/>
              </w:rPr>
              <w:t>Consultancy advice provided based on translation of research into practice</w:t>
            </w:r>
          </w:p>
          <w:p w14:paraId="142B4DB8" w14:textId="77777777" w:rsidR="00352B02" w:rsidRPr="00587C61" w:rsidRDefault="00352B02" w:rsidP="00352B02">
            <w:pPr>
              <w:pStyle w:val="ListParagraph"/>
              <w:numPr>
                <w:ilvl w:val="0"/>
                <w:numId w:val="22"/>
              </w:numPr>
              <w:jc w:val="left"/>
              <w:rPr>
                <w:iCs/>
                <w:sz w:val="20"/>
                <w:szCs w:val="20"/>
              </w:rPr>
            </w:pPr>
            <w:r w:rsidRPr="00587C61">
              <w:rPr>
                <w:iCs/>
                <w:sz w:val="20"/>
                <w:szCs w:val="20"/>
              </w:rPr>
              <w:t>Universal Design framework</w:t>
            </w:r>
          </w:p>
          <w:p w14:paraId="37C3C138" w14:textId="011A94E4" w:rsidR="0026346D" w:rsidRPr="00352B02" w:rsidRDefault="00E02B5A" w:rsidP="00E02B5A">
            <w:pPr>
              <w:pStyle w:val="ListParagraph"/>
              <w:numPr>
                <w:ilvl w:val="0"/>
                <w:numId w:val="22"/>
              </w:numPr>
              <w:jc w:val="left"/>
              <w:rPr>
                <w:i/>
                <w:sz w:val="20"/>
                <w:szCs w:val="20"/>
              </w:rPr>
            </w:pPr>
            <w:r>
              <w:rPr>
                <w:sz w:val="20"/>
                <w:szCs w:val="20"/>
              </w:rPr>
              <w:t>New r</w:t>
            </w:r>
            <w:r w:rsidR="0026346D" w:rsidRPr="00E02B5A">
              <w:rPr>
                <w:sz w:val="20"/>
                <w:szCs w:val="20"/>
              </w:rPr>
              <w:t>esources produced via program and/or in collaboration</w:t>
            </w:r>
          </w:p>
          <w:p w14:paraId="6BD84899" w14:textId="77777777" w:rsidR="0026346D" w:rsidRPr="00822C3C" w:rsidRDefault="0026346D" w:rsidP="0026346D">
            <w:pPr>
              <w:pStyle w:val="ListParagraph"/>
              <w:numPr>
                <w:ilvl w:val="0"/>
                <w:numId w:val="22"/>
              </w:numPr>
              <w:jc w:val="left"/>
              <w:rPr>
                <w:iCs/>
                <w:sz w:val="20"/>
                <w:szCs w:val="20"/>
              </w:rPr>
            </w:pPr>
            <w:r w:rsidRPr="00712FBC">
              <w:rPr>
                <w:sz w:val="20"/>
                <w:szCs w:val="20"/>
              </w:rPr>
              <w:t>Engagement</w:t>
            </w:r>
            <w:r w:rsidRPr="00625473">
              <w:rPr>
                <w:iCs/>
                <w:sz w:val="20"/>
                <w:szCs w:val="20"/>
              </w:rPr>
              <w:t xml:space="preserve"> resulting in extended reach of program information, adoption of resources / projects etc.</w:t>
            </w:r>
          </w:p>
        </w:tc>
        <w:tc>
          <w:tcPr>
            <w:tcW w:w="2418" w:type="dxa"/>
          </w:tcPr>
          <w:p w14:paraId="63660BD1" w14:textId="2EDF5086" w:rsidR="0026346D" w:rsidRDefault="0026346D" w:rsidP="0026346D">
            <w:pPr>
              <w:pStyle w:val="ListParagraph"/>
              <w:numPr>
                <w:ilvl w:val="0"/>
                <w:numId w:val="20"/>
              </w:numPr>
              <w:ind w:left="174" w:hanging="142"/>
              <w:jc w:val="left"/>
              <w:rPr>
                <w:sz w:val="20"/>
                <w:szCs w:val="20"/>
              </w:rPr>
            </w:pPr>
            <w:r>
              <w:rPr>
                <w:sz w:val="20"/>
                <w:szCs w:val="20"/>
              </w:rPr>
              <w:t>Strategic s</w:t>
            </w:r>
            <w:r w:rsidRPr="00CE676F">
              <w:rPr>
                <w:sz w:val="20"/>
                <w:szCs w:val="20"/>
              </w:rPr>
              <w:t xml:space="preserve">takeholders commit </w:t>
            </w:r>
            <w:r>
              <w:rPr>
                <w:sz w:val="20"/>
                <w:szCs w:val="20"/>
              </w:rPr>
              <w:t xml:space="preserve">support progress </w:t>
            </w:r>
            <w:r w:rsidR="00E25DE0">
              <w:rPr>
                <w:sz w:val="20"/>
                <w:szCs w:val="20"/>
              </w:rPr>
              <w:t xml:space="preserve">in </w:t>
            </w:r>
            <w:r>
              <w:rPr>
                <w:sz w:val="20"/>
                <w:szCs w:val="20"/>
              </w:rPr>
              <w:t>tertiary disability equity as per the program</w:t>
            </w:r>
            <w:r w:rsidRPr="00CE676F">
              <w:rPr>
                <w:sz w:val="20"/>
                <w:szCs w:val="20"/>
              </w:rPr>
              <w:t xml:space="preserve"> (national / state) </w:t>
            </w:r>
          </w:p>
          <w:p w14:paraId="5CE0430A" w14:textId="77777777" w:rsidR="0026346D" w:rsidRDefault="0026346D" w:rsidP="0026346D">
            <w:pPr>
              <w:pStyle w:val="ListParagraph"/>
              <w:numPr>
                <w:ilvl w:val="0"/>
                <w:numId w:val="20"/>
              </w:numPr>
              <w:ind w:left="174" w:hanging="142"/>
              <w:jc w:val="left"/>
              <w:rPr>
                <w:sz w:val="20"/>
                <w:szCs w:val="20"/>
              </w:rPr>
            </w:pPr>
            <w:r>
              <w:rPr>
                <w:sz w:val="20"/>
                <w:szCs w:val="20"/>
              </w:rPr>
              <w:t>Tertiary stakeholders promote inclusive learning approaches</w:t>
            </w:r>
          </w:p>
          <w:p w14:paraId="2278C8FA" w14:textId="77777777" w:rsidR="0026346D" w:rsidRPr="00CE676F" w:rsidRDefault="0026346D" w:rsidP="0026346D">
            <w:pPr>
              <w:pStyle w:val="ListParagraph"/>
              <w:numPr>
                <w:ilvl w:val="0"/>
                <w:numId w:val="20"/>
              </w:numPr>
              <w:ind w:left="174" w:hanging="142"/>
              <w:jc w:val="left"/>
              <w:rPr>
                <w:sz w:val="20"/>
                <w:szCs w:val="20"/>
              </w:rPr>
            </w:pPr>
            <w:r w:rsidRPr="00CE676F">
              <w:rPr>
                <w:sz w:val="20"/>
                <w:szCs w:val="20"/>
              </w:rPr>
              <w:t xml:space="preserve">Improved knowledge of rights and responsibilities </w:t>
            </w:r>
            <w:r>
              <w:rPr>
                <w:sz w:val="20"/>
                <w:szCs w:val="20"/>
              </w:rPr>
              <w:t>in implementing the Standards</w:t>
            </w:r>
          </w:p>
          <w:p w14:paraId="0EC2D958" w14:textId="3E7D5457" w:rsidR="0026346D" w:rsidRPr="00CE676F" w:rsidRDefault="0026346D" w:rsidP="0026346D">
            <w:pPr>
              <w:pStyle w:val="ListParagraph"/>
              <w:numPr>
                <w:ilvl w:val="0"/>
                <w:numId w:val="20"/>
              </w:numPr>
              <w:ind w:left="174" w:hanging="142"/>
              <w:jc w:val="left"/>
              <w:rPr>
                <w:sz w:val="20"/>
                <w:szCs w:val="20"/>
              </w:rPr>
            </w:pPr>
            <w:r>
              <w:rPr>
                <w:sz w:val="20"/>
                <w:szCs w:val="20"/>
              </w:rPr>
              <w:t xml:space="preserve">Tertiary stakeholders are aware </w:t>
            </w:r>
            <w:r w:rsidR="00E25DE0">
              <w:rPr>
                <w:sz w:val="20"/>
                <w:szCs w:val="20"/>
              </w:rPr>
              <w:t xml:space="preserve">of </w:t>
            </w:r>
            <w:r>
              <w:rPr>
                <w:sz w:val="20"/>
                <w:szCs w:val="20"/>
              </w:rPr>
              <w:t>practicable ways to support</w:t>
            </w:r>
            <w:r w:rsidRPr="00CE676F">
              <w:rPr>
                <w:sz w:val="20"/>
                <w:szCs w:val="20"/>
              </w:rPr>
              <w:t xml:space="preserve"> inclusive education </w:t>
            </w:r>
          </w:p>
          <w:p w14:paraId="6418B31F" w14:textId="77777777" w:rsidR="0026346D" w:rsidRPr="00CE676F" w:rsidRDefault="0026346D" w:rsidP="0026346D">
            <w:pPr>
              <w:pStyle w:val="ListParagraph"/>
              <w:numPr>
                <w:ilvl w:val="0"/>
                <w:numId w:val="20"/>
              </w:numPr>
              <w:ind w:left="174" w:hanging="142"/>
              <w:jc w:val="left"/>
              <w:rPr>
                <w:sz w:val="20"/>
                <w:szCs w:val="20"/>
              </w:rPr>
            </w:pPr>
            <w:r w:rsidRPr="00CE676F">
              <w:rPr>
                <w:sz w:val="20"/>
                <w:szCs w:val="20"/>
              </w:rPr>
              <w:t xml:space="preserve">Greater student awareness </w:t>
            </w:r>
            <w:r>
              <w:rPr>
                <w:sz w:val="20"/>
                <w:szCs w:val="20"/>
              </w:rPr>
              <w:t xml:space="preserve">and confidence in </w:t>
            </w:r>
            <w:r w:rsidRPr="00CE676F">
              <w:rPr>
                <w:sz w:val="20"/>
                <w:szCs w:val="20"/>
              </w:rPr>
              <w:t>tertiary options</w:t>
            </w:r>
            <w:r>
              <w:rPr>
                <w:sz w:val="20"/>
                <w:szCs w:val="20"/>
              </w:rPr>
              <w:t xml:space="preserve"> to meet career goals </w:t>
            </w:r>
            <w:r w:rsidRPr="00CE676F">
              <w:rPr>
                <w:sz w:val="20"/>
                <w:szCs w:val="20"/>
              </w:rPr>
              <w:t xml:space="preserve">and </w:t>
            </w:r>
            <w:r>
              <w:rPr>
                <w:sz w:val="20"/>
                <w:szCs w:val="20"/>
              </w:rPr>
              <w:t xml:space="preserve">the </w:t>
            </w:r>
            <w:r w:rsidRPr="00CE676F">
              <w:rPr>
                <w:sz w:val="20"/>
                <w:szCs w:val="20"/>
              </w:rPr>
              <w:t xml:space="preserve">support available </w:t>
            </w:r>
          </w:p>
          <w:p w14:paraId="229CA845" w14:textId="77777777" w:rsidR="0026346D" w:rsidRPr="00237C55" w:rsidRDefault="0026346D" w:rsidP="0026346D">
            <w:pPr>
              <w:ind w:left="32"/>
              <w:jc w:val="left"/>
              <w:rPr>
                <w:sz w:val="20"/>
                <w:szCs w:val="20"/>
              </w:rPr>
            </w:pPr>
          </w:p>
          <w:p w14:paraId="6EF02A24" w14:textId="77777777" w:rsidR="0026346D" w:rsidRPr="00FF3795" w:rsidRDefault="0026346D" w:rsidP="0026346D">
            <w:pPr>
              <w:ind w:left="32"/>
              <w:jc w:val="left"/>
              <w:rPr>
                <w:sz w:val="20"/>
                <w:szCs w:val="20"/>
              </w:rPr>
            </w:pPr>
          </w:p>
          <w:p w14:paraId="0E8DA76F" w14:textId="77777777" w:rsidR="0026346D" w:rsidRPr="00CE648E" w:rsidRDefault="0026346D" w:rsidP="0026346D">
            <w:pPr>
              <w:ind w:left="32"/>
              <w:rPr>
                <w:color w:val="4F81BD" w:themeColor="accent1"/>
                <w:sz w:val="20"/>
                <w:szCs w:val="20"/>
              </w:rPr>
            </w:pPr>
          </w:p>
        </w:tc>
        <w:tc>
          <w:tcPr>
            <w:tcW w:w="2410" w:type="dxa"/>
          </w:tcPr>
          <w:p w14:paraId="6B5D06A4" w14:textId="77777777" w:rsidR="0026346D" w:rsidRPr="00CE676F" w:rsidRDefault="0026346D" w:rsidP="0026346D">
            <w:pPr>
              <w:pStyle w:val="ListParagraph"/>
              <w:numPr>
                <w:ilvl w:val="0"/>
                <w:numId w:val="20"/>
              </w:numPr>
              <w:ind w:left="174" w:hanging="142"/>
              <w:jc w:val="left"/>
              <w:rPr>
                <w:sz w:val="20"/>
                <w:szCs w:val="20"/>
              </w:rPr>
            </w:pPr>
            <w:r w:rsidRPr="00CE676F">
              <w:rPr>
                <w:sz w:val="20"/>
                <w:szCs w:val="20"/>
              </w:rPr>
              <w:t xml:space="preserve">Students </w:t>
            </w:r>
            <w:r>
              <w:rPr>
                <w:sz w:val="20"/>
                <w:szCs w:val="20"/>
              </w:rPr>
              <w:t xml:space="preserve">with disability </w:t>
            </w:r>
            <w:r w:rsidRPr="00CE676F">
              <w:rPr>
                <w:sz w:val="20"/>
                <w:szCs w:val="20"/>
              </w:rPr>
              <w:t>choose tertiary education as a pathway to employment</w:t>
            </w:r>
            <w:r>
              <w:rPr>
                <w:sz w:val="20"/>
                <w:szCs w:val="20"/>
              </w:rPr>
              <w:t>, and access adjustments if required</w:t>
            </w:r>
          </w:p>
          <w:p w14:paraId="6AD4C00E" w14:textId="77777777" w:rsidR="0026346D" w:rsidRPr="00CE676F" w:rsidRDefault="0026346D" w:rsidP="0026346D">
            <w:pPr>
              <w:pStyle w:val="ListParagraph"/>
              <w:numPr>
                <w:ilvl w:val="0"/>
                <w:numId w:val="20"/>
              </w:numPr>
              <w:ind w:left="174" w:hanging="142"/>
              <w:jc w:val="left"/>
              <w:rPr>
                <w:sz w:val="20"/>
                <w:szCs w:val="20"/>
              </w:rPr>
            </w:pPr>
            <w:r>
              <w:rPr>
                <w:sz w:val="20"/>
                <w:szCs w:val="20"/>
              </w:rPr>
              <w:t xml:space="preserve">Tertiary </w:t>
            </w:r>
            <w:r w:rsidRPr="00CE676F">
              <w:rPr>
                <w:sz w:val="20"/>
                <w:szCs w:val="20"/>
              </w:rPr>
              <w:t>stakeholder</w:t>
            </w:r>
            <w:r>
              <w:rPr>
                <w:sz w:val="20"/>
                <w:szCs w:val="20"/>
              </w:rPr>
              <w:t xml:space="preserve">s are capable in identifying, planning and implementing </w:t>
            </w:r>
            <w:r w:rsidRPr="00CE676F">
              <w:rPr>
                <w:sz w:val="20"/>
                <w:szCs w:val="20"/>
              </w:rPr>
              <w:t>adjustments</w:t>
            </w:r>
          </w:p>
          <w:p w14:paraId="7ED8CA4D" w14:textId="77777777" w:rsidR="0026346D" w:rsidRDefault="0026346D" w:rsidP="0026346D">
            <w:pPr>
              <w:pStyle w:val="ListParagraph"/>
              <w:numPr>
                <w:ilvl w:val="0"/>
                <w:numId w:val="20"/>
              </w:numPr>
              <w:ind w:left="174" w:hanging="142"/>
              <w:jc w:val="left"/>
              <w:rPr>
                <w:sz w:val="20"/>
                <w:szCs w:val="20"/>
              </w:rPr>
            </w:pPr>
            <w:r w:rsidRPr="00C1585F">
              <w:rPr>
                <w:sz w:val="20"/>
                <w:szCs w:val="20"/>
              </w:rPr>
              <w:t xml:space="preserve">The </w:t>
            </w:r>
            <w:r>
              <w:rPr>
                <w:sz w:val="20"/>
                <w:szCs w:val="20"/>
              </w:rPr>
              <w:t>tertiary education</w:t>
            </w:r>
            <w:r w:rsidRPr="00C1585F">
              <w:rPr>
                <w:sz w:val="20"/>
                <w:szCs w:val="20"/>
              </w:rPr>
              <w:t xml:space="preserve"> system supports </w:t>
            </w:r>
            <w:r>
              <w:rPr>
                <w:sz w:val="20"/>
                <w:szCs w:val="20"/>
              </w:rPr>
              <w:t>students with disability to successfully participate in tertiary education and transition to related employment</w:t>
            </w:r>
            <w:r w:rsidRPr="00C1585F">
              <w:rPr>
                <w:sz w:val="20"/>
                <w:szCs w:val="20"/>
              </w:rPr>
              <w:t xml:space="preserve"> </w:t>
            </w:r>
          </w:p>
          <w:p w14:paraId="5DD5D77E" w14:textId="77777777" w:rsidR="0026346D" w:rsidRPr="009A51DA" w:rsidRDefault="0026346D" w:rsidP="0026346D">
            <w:pPr>
              <w:ind w:left="32"/>
              <w:jc w:val="left"/>
              <w:rPr>
                <w:sz w:val="20"/>
                <w:szCs w:val="20"/>
              </w:rPr>
            </w:pPr>
          </w:p>
        </w:tc>
        <w:tc>
          <w:tcPr>
            <w:tcW w:w="2202" w:type="dxa"/>
          </w:tcPr>
          <w:p w14:paraId="6FB8EFC9" w14:textId="77777777" w:rsidR="0026346D" w:rsidRDefault="0026346D" w:rsidP="0026346D">
            <w:pPr>
              <w:pStyle w:val="ListParagraph"/>
              <w:numPr>
                <w:ilvl w:val="0"/>
                <w:numId w:val="20"/>
              </w:numPr>
              <w:ind w:left="174" w:hanging="142"/>
              <w:jc w:val="left"/>
              <w:rPr>
                <w:sz w:val="20"/>
                <w:szCs w:val="20"/>
              </w:rPr>
            </w:pPr>
            <w:r>
              <w:rPr>
                <w:sz w:val="20"/>
                <w:szCs w:val="20"/>
              </w:rPr>
              <w:t xml:space="preserve">Reduction in the gap of tertiary students’ access, participation and graduate employment outcomes between students with and without a disability </w:t>
            </w:r>
          </w:p>
          <w:p w14:paraId="24D3EB41" w14:textId="77777777" w:rsidR="0026346D" w:rsidRDefault="0026346D" w:rsidP="0026346D">
            <w:pPr>
              <w:pStyle w:val="ListParagraph"/>
              <w:ind w:left="174"/>
              <w:jc w:val="left"/>
              <w:rPr>
                <w:sz w:val="20"/>
                <w:szCs w:val="20"/>
              </w:rPr>
            </w:pPr>
          </w:p>
          <w:p w14:paraId="70F4F28E" w14:textId="77777777" w:rsidR="0026346D" w:rsidRPr="00CE676F" w:rsidRDefault="0026346D" w:rsidP="0026346D">
            <w:pPr>
              <w:pStyle w:val="ListParagraph"/>
              <w:numPr>
                <w:ilvl w:val="0"/>
                <w:numId w:val="20"/>
              </w:numPr>
              <w:ind w:left="174" w:hanging="142"/>
              <w:jc w:val="left"/>
              <w:rPr>
                <w:sz w:val="20"/>
                <w:szCs w:val="20"/>
              </w:rPr>
            </w:pPr>
            <w:r w:rsidRPr="00CE676F">
              <w:rPr>
                <w:sz w:val="20"/>
                <w:szCs w:val="20"/>
              </w:rPr>
              <w:t xml:space="preserve">Improved student experience </w:t>
            </w:r>
            <w:r>
              <w:rPr>
                <w:sz w:val="20"/>
                <w:szCs w:val="20"/>
              </w:rPr>
              <w:t>in accessing flexible and inclusive learning</w:t>
            </w:r>
          </w:p>
          <w:p w14:paraId="000A188B" w14:textId="77777777" w:rsidR="0026346D" w:rsidRPr="00F1576C" w:rsidRDefault="0026346D" w:rsidP="0026346D">
            <w:pPr>
              <w:rPr>
                <w:sz w:val="20"/>
                <w:szCs w:val="20"/>
              </w:rPr>
            </w:pPr>
          </w:p>
        </w:tc>
      </w:tr>
    </w:tbl>
    <w:p w14:paraId="531DD928" w14:textId="32B1ACB0" w:rsidR="0026346D" w:rsidRDefault="0026346D" w:rsidP="0026346D">
      <w:pPr>
        <w:pStyle w:val="ListBullet"/>
        <w:numPr>
          <w:ilvl w:val="0"/>
          <w:numId w:val="0"/>
        </w:numPr>
        <w:ind w:left="720"/>
      </w:pPr>
    </w:p>
    <w:tbl>
      <w:tblPr>
        <w:tblStyle w:val="TableGrid"/>
        <w:tblpPr w:leftFromText="180" w:rightFromText="180" w:vertAnchor="text" w:horzAnchor="margin" w:tblpY="60"/>
        <w:tblW w:w="0" w:type="auto"/>
        <w:tblLook w:val="04A0" w:firstRow="1" w:lastRow="0" w:firstColumn="1" w:lastColumn="0" w:noHBand="0" w:noVBand="1"/>
      </w:tblPr>
      <w:tblGrid>
        <w:gridCol w:w="4649"/>
        <w:gridCol w:w="4649"/>
        <w:gridCol w:w="4650"/>
      </w:tblGrid>
      <w:tr w:rsidR="00D44040" w14:paraId="200006D6" w14:textId="77777777" w:rsidTr="00D44040">
        <w:tc>
          <w:tcPr>
            <w:tcW w:w="4649" w:type="dxa"/>
            <w:shd w:val="clear" w:color="auto" w:fill="B6DDE8" w:themeFill="accent5" w:themeFillTint="66"/>
          </w:tcPr>
          <w:p w14:paraId="436360D3" w14:textId="77777777" w:rsidR="00D44040" w:rsidRPr="00A221C8" w:rsidRDefault="00D44040" w:rsidP="00D44040">
            <w:pPr>
              <w:rPr>
                <w:b/>
                <w:bCs/>
              </w:rPr>
            </w:pPr>
            <w:r>
              <w:rPr>
                <w:b/>
                <w:bCs/>
              </w:rPr>
              <w:t>Assumptions</w:t>
            </w:r>
          </w:p>
        </w:tc>
        <w:tc>
          <w:tcPr>
            <w:tcW w:w="4649" w:type="dxa"/>
            <w:shd w:val="clear" w:color="auto" w:fill="B6DDE8" w:themeFill="accent5" w:themeFillTint="66"/>
          </w:tcPr>
          <w:p w14:paraId="5686550B" w14:textId="77777777" w:rsidR="00D44040" w:rsidRPr="00A221C8" w:rsidRDefault="00D44040" w:rsidP="00D44040">
            <w:pPr>
              <w:rPr>
                <w:b/>
                <w:bCs/>
              </w:rPr>
            </w:pPr>
            <w:r w:rsidRPr="00A221C8">
              <w:rPr>
                <w:b/>
                <w:bCs/>
              </w:rPr>
              <w:t>Enablers</w:t>
            </w:r>
          </w:p>
        </w:tc>
        <w:tc>
          <w:tcPr>
            <w:tcW w:w="4650" w:type="dxa"/>
            <w:shd w:val="clear" w:color="auto" w:fill="B6DDE8" w:themeFill="accent5" w:themeFillTint="66"/>
          </w:tcPr>
          <w:p w14:paraId="7A797164" w14:textId="77777777" w:rsidR="00D44040" w:rsidRPr="00A221C8" w:rsidRDefault="00D44040" w:rsidP="00D44040">
            <w:pPr>
              <w:rPr>
                <w:b/>
                <w:bCs/>
              </w:rPr>
            </w:pPr>
            <w:r w:rsidRPr="00A221C8">
              <w:rPr>
                <w:b/>
                <w:bCs/>
              </w:rPr>
              <w:t>Derailers</w:t>
            </w:r>
            <w:r>
              <w:rPr>
                <w:b/>
                <w:bCs/>
              </w:rPr>
              <w:t xml:space="preserve"> / External Factors</w:t>
            </w:r>
          </w:p>
        </w:tc>
      </w:tr>
      <w:tr w:rsidR="00D44040" w14:paraId="71007BEB" w14:textId="77777777" w:rsidTr="00D44040">
        <w:tc>
          <w:tcPr>
            <w:tcW w:w="4649" w:type="dxa"/>
          </w:tcPr>
          <w:p w14:paraId="3C12FCCF" w14:textId="77777777" w:rsidR="00D44040" w:rsidRPr="006439EF" w:rsidRDefault="00D44040" w:rsidP="00D44040">
            <w:pPr>
              <w:jc w:val="left"/>
              <w:rPr>
                <w:sz w:val="20"/>
                <w:szCs w:val="20"/>
              </w:rPr>
            </w:pPr>
            <w:r w:rsidRPr="006439EF">
              <w:rPr>
                <w:sz w:val="20"/>
                <w:szCs w:val="20"/>
              </w:rPr>
              <w:t>Increase</w:t>
            </w:r>
            <w:r>
              <w:rPr>
                <w:sz w:val="20"/>
                <w:szCs w:val="20"/>
              </w:rPr>
              <w:t xml:space="preserve"> in students with disability</w:t>
            </w:r>
            <w:r w:rsidRPr="006439EF">
              <w:rPr>
                <w:sz w:val="20"/>
                <w:szCs w:val="20"/>
              </w:rPr>
              <w:t xml:space="preserve"> is related to new enrolments (increased demand) </w:t>
            </w:r>
            <w:r w:rsidRPr="00BA02D4">
              <w:rPr>
                <w:sz w:val="20"/>
                <w:szCs w:val="20"/>
              </w:rPr>
              <w:t>and</w:t>
            </w:r>
            <w:r>
              <w:rPr>
                <w:sz w:val="20"/>
                <w:szCs w:val="20"/>
              </w:rPr>
              <w:t xml:space="preserve"> comfort in </w:t>
            </w:r>
            <w:r w:rsidRPr="006439EF">
              <w:rPr>
                <w:sz w:val="20"/>
                <w:szCs w:val="20"/>
              </w:rPr>
              <w:t>people disclosing their disability</w:t>
            </w:r>
            <w:r>
              <w:rPr>
                <w:sz w:val="20"/>
                <w:szCs w:val="20"/>
              </w:rPr>
              <w:t xml:space="preserve"> (latent demand)</w:t>
            </w:r>
          </w:p>
          <w:p w14:paraId="3F796C76" w14:textId="77777777" w:rsidR="00D44040" w:rsidRPr="006439EF" w:rsidRDefault="00D44040" w:rsidP="00D44040">
            <w:pPr>
              <w:jc w:val="left"/>
              <w:rPr>
                <w:sz w:val="20"/>
                <w:szCs w:val="20"/>
              </w:rPr>
            </w:pPr>
          </w:p>
          <w:p w14:paraId="3042CDD9" w14:textId="77777777" w:rsidR="00D44040" w:rsidRPr="006439EF" w:rsidRDefault="00D44040" w:rsidP="00D44040">
            <w:pPr>
              <w:jc w:val="left"/>
              <w:rPr>
                <w:sz w:val="20"/>
                <w:szCs w:val="20"/>
              </w:rPr>
            </w:pPr>
            <w:r>
              <w:rPr>
                <w:sz w:val="20"/>
                <w:szCs w:val="20"/>
              </w:rPr>
              <w:t xml:space="preserve">Supporting systemic change and practice implementation </w:t>
            </w:r>
            <w:r w:rsidRPr="006439EF">
              <w:rPr>
                <w:sz w:val="20"/>
                <w:szCs w:val="20"/>
              </w:rPr>
              <w:t>will support a change in attitudes, behaviour and commitment to disability inclusion</w:t>
            </w:r>
          </w:p>
          <w:p w14:paraId="0DDFD5A7" w14:textId="77777777" w:rsidR="00D44040" w:rsidRPr="006439EF" w:rsidRDefault="00D44040" w:rsidP="00D44040">
            <w:pPr>
              <w:jc w:val="left"/>
              <w:rPr>
                <w:sz w:val="20"/>
                <w:szCs w:val="20"/>
              </w:rPr>
            </w:pPr>
          </w:p>
          <w:p w14:paraId="5F1416A5" w14:textId="77777777" w:rsidR="00D44040" w:rsidRDefault="00D44040" w:rsidP="00D44040">
            <w:pPr>
              <w:jc w:val="left"/>
              <w:rPr>
                <w:sz w:val="20"/>
                <w:szCs w:val="20"/>
              </w:rPr>
            </w:pPr>
            <w:r>
              <w:rPr>
                <w:sz w:val="20"/>
                <w:szCs w:val="20"/>
              </w:rPr>
              <w:t>Broader systemic engagement and specialisation of program will increase status and influence in the sector</w:t>
            </w:r>
          </w:p>
          <w:p w14:paraId="20B5B3E0" w14:textId="77777777" w:rsidR="00D44040" w:rsidRPr="0026346D" w:rsidRDefault="00D44040" w:rsidP="00D44040">
            <w:pPr>
              <w:rPr>
                <w:sz w:val="20"/>
                <w:szCs w:val="20"/>
              </w:rPr>
            </w:pPr>
          </w:p>
          <w:p w14:paraId="75C25C7B" w14:textId="77777777" w:rsidR="00D44040" w:rsidRPr="0026346D" w:rsidRDefault="00D44040" w:rsidP="00D44040">
            <w:pPr>
              <w:rPr>
                <w:sz w:val="20"/>
                <w:szCs w:val="20"/>
              </w:rPr>
            </w:pPr>
          </w:p>
          <w:p w14:paraId="3C62DF28" w14:textId="77777777" w:rsidR="00D44040" w:rsidRPr="0026346D" w:rsidRDefault="00D44040" w:rsidP="00D44040">
            <w:pPr>
              <w:rPr>
                <w:sz w:val="20"/>
                <w:szCs w:val="20"/>
              </w:rPr>
            </w:pPr>
          </w:p>
          <w:p w14:paraId="754B849C" w14:textId="77777777" w:rsidR="00D44040" w:rsidRDefault="00D44040" w:rsidP="00D44040">
            <w:pPr>
              <w:rPr>
                <w:sz w:val="20"/>
                <w:szCs w:val="20"/>
              </w:rPr>
            </w:pPr>
          </w:p>
          <w:p w14:paraId="6D2B5C4A" w14:textId="6913CBED" w:rsidR="00D44040" w:rsidRPr="0026346D" w:rsidRDefault="00D44040" w:rsidP="00D44040">
            <w:pPr>
              <w:tabs>
                <w:tab w:val="left" w:pos="1334"/>
              </w:tabs>
              <w:rPr>
                <w:sz w:val="20"/>
                <w:szCs w:val="20"/>
              </w:rPr>
            </w:pPr>
          </w:p>
        </w:tc>
        <w:tc>
          <w:tcPr>
            <w:tcW w:w="4649" w:type="dxa"/>
          </w:tcPr>
          <w:p w14:paraId="33807A65" w14:textId="77777777" w:rsidR="00D44040" w:rsidRDefault="00D44040" w:rsidP="00D44040">
            <w:pPr>
              <w:jc w:val="left"/>
              <w:rPr>
                <w:sz w:val="20"/>
                <w:szCs w:val="20"/>
              </w:rPr>
            </w:pPr>
            <w:r>
              <w:rPr>
                <w:sz w:val="20"/>
                <w:szCs w:val="20"/>
              </w:rPr>
              <w:t xml:space="preserve">Increased student aspiration and career planning in school. </w:t>
            </w:r>
          </w:p>
          <w:p w14:paraId="62E443BD" w14:textId="77777777" w:rsidR="00D44040" w:rsidRDefault="00D44040" w:rsidP="00D44040">
            <w:pPr>
              <w:jc w:val="left"/>
              <w:rPr>
                <w:sz w:val="20"/>
                <w:szCs w:val="20"/>
              </w:rPr>
            </w:pPr>
          </w:p>
          <w:p w14:paraId="6A079BB3" w14:textId="77777777" w:rsidR="00D44040" w:rsidRPr="006439EF" w:rsidRDefault="00D44040" w:rsidP="00D44040">
            <w:pPr>
              <w:jc w:val="left"/>
              <w:rPr>
                <w:sz w:val="20"/>
                <w:szCs w:val="20"/>
              </w:rPr>
            </w:pPr>
            <w:r w:rsidRPr="006439EF">
              <w:rPr>
                <w:sz w:val="20"/>
                <w:szCs w:val="20"/>
              </w:rPr>
              <w:t xml:space="preserve">Alliances / Influencers extend the reach </w:t>
            </w:r>
            <w:r>
              <w:rPr>
                <w:sz w:val="20"/>
                <w:szCs w:val="20"/>
              </w:rPr>
              <w:t>and</w:t>
            </w:r>
            <w:r w:rsidRPr="006439EF">
              <w:rPr>
                <w:sz w:val="20"/>
                <w:szCs w:val="20"/>
              </w:rPr>
              <w:t xml:space="preserve"> advocacy </w:t>
            </w:r>
            <w:r>
              <w:rPr>
                <w:sz w:val="20"/>
                <w:szCs w:val="20"/>
              </w:rPr>
              <w:t>for</w:t>
            </w:r>
            <w:r w:rsidRPr="006439EF">
              <w:rPr>
                <w:sz w:val="20"/>
                <w:szCs w:val="20"/>
              </w:rPr>
              <w:t xml:space="preserve"> inclusive practice</w:t>
            </w:r>
            <w:r>
              <w:rPr>
                <w:sz w:val="20"/>
                <w:szCs w:val="20"/>
              </w:rPr>
              <w:t>s</w:t>
            </w:r>
          </w:p>
          <w:p w14:paraId="40ED0D66" w14:textId="77777777" w:rsidR="00D44040" w:rsidRPr="006439EF" w:rsidRDefault="00D44040" w:rsidP="00D44040">
            <w:pPr>
              <w:jc w:val="left"/>
              <w:rPr>
                <w:sz w:val="20"/>
                <w:szCs w:val="20"/>
              </w:rPr>
            </w:pPr>
          </w:p>
          <w:p w14:paraId="6127E70E" w14:textId="77777777" w:rsidR="00D44040" w:rsidRPr="006439EF" w:rsidRDefault="00D44040" w:rsidP="00D44040">
            <w:pPr>
              <w:jc w:val="left"/>
              <w:rPr>
                <w:sz w:val="20"/>
                <w:szCs w:val="20"/>
              </w:rPr>
            </w:pPr>
            <w:r w:rsidRPr="00DC7AB5">
              <w:rPr>
                <w:sz w:val="20"/>
                <w:szCs w:val="20"/>
              </w:rPr>
              <w:t>Research partnerships with NCVER</w:t>
            </w:r>
            <w:r>
              <w:rPr>
                <w:sz w:val="20"/>
                <w:szCs w:val="20"/>
              </w:rPr>
              <w:t xml:space="preserve"> and </w:t>
            </w:r>
            <w:r w:rsidRPr="00DC7AB5">
              <w:rPr>
                <w:sz w:val="20"/>
                <w:szCs w:val="20"/>
              </w:rPr>
              <w:t>NCSEHE</w:t>
            </w:r>
            <w:r>
              <w:rPr>
                <w:sz w:val="20"/>
                <w:szCs w:val="20"/>
              </w:rPr>
              <w:t xml:space="preserve">, and </w:t>
            </w:r>
          </w:p>
          <w:p w14:paraId="52D7FE98" w14:textId="77777777" w:rsidR="00D44040" w:rsidRPr="006439EF" w:rsidRDefault="00D44040" w:rsidP="00D44040">
            <w:pPr>
              <w:jc w:val="left"/>
              <w:rPr>
                <w:sz w:val="20"/>
                <w:szCs w:val="20"/>
              </w:rPr>
            </w:pPr>
            <w:r w:rsidRPr="006439EF">
              <w:rPr>
                <w:sz w:val="20"/>
                <w:szCs w:val="20"/>
              </w:rPr>
              <w:t>Australian Disability Clearinghouse on Education and Training (ADCET) as centralised hub for information on inclusive teaching practices for the tertiary education sector</w:t>
            </w:r>
            <w:r>
              <w:rPr>
                <w:sz w:val="20"/>
                <w:szCs w:val="20"/>
              </w:rPr>
              <w:t>.</w:t>
            </w:r>
          </w:p>
          <w:p w14:paraId="434EE662" w14:textId="77777777" w:rsidR="00D44040" w:rsidRPr="006439EF" w:rsidRDefault="00D44040" w:rsidP="00D44040">
            <w:pPr>
              <w:jc w:val="left"/>
              <w:rPr>
                <w:sz w:val="20"/>
                <w:szCs w:val="20"/>
              </w:rPr>
            </w:pPr>
          </w:p>
          <w:p w14:paraId="44E91D49" w14:textId="77777777" w:rsidR="00D44040" w:rsidRDefault="00D44040" w:rsidP="00D44040">
            <w:pPr>
              <w:jc w:val="left"/>
              <w:rPr>
                <w:sz w:val="20"/>
                <w:szCs w:val="20"/>
              </w:rPr>
            </w:pPr>
            <w:r w:rsidRPr="006439EF">
              <w:rPr>
                <w:sz w:val="20"/>
                <w:szCs w:val="20"/>
              </w:rPr>
              <w:t>Enrolment based model of access to the Disability Support Program</w:t>
            </w:r>
          </w:p>
          <w:p w14:paraId="3E1551A3" w14:textId="77777777" w:rsidR="00D44040" w:rsidRPr="006439EF" w:rsidRDefault="00D44040" w:rsidP="00D44040">
            <w:pPr>
              <w:jc w:val="left"/>
              <w:rPr>
                <w:sz w:val="20"/>
                <w:szCs w:val="20"/>
              </w:rPr>
            </w:pPr>
          </w:p>
          <w:p w14:paraId="52E9A511" w14:textId="77777777" w:rsidR="00D44040" w:rsidRDefault="00D44040" w:rsidP="00D44040">
            <w:pPr>
              <w:jc w:val="left"/>
              <w:rPr>
                <w:sz w:val="20"/>
                <w:szCs w:val="20"/>
              </w:rPr>
            </w:pPr>
            <w:r>
              <w:rPr>
                <w:sz w:val="20"/>
                <w:szCs w:val="20"/>
              </w:rPr>
              <w:t>Intersecting government programs support inclusion of people with disability (e.g. tertiary grants and student support</w:t>
            </w:r>
            <w:r w:rsidRPr="006439EF">
              <w:rPr>
                <w:sz w:val="20"/>
                <w:szCs w:val="20"/>
              </w:rPr>
              <w:t xml:space="preserve"> funding for Indigenous, low SES and regional / remote students</w:t>
            </w:r>
            <w:r>
              <w:rPr>
                <w:sz w:val="20"/>
                <w:szCs w:val="20"/>
              </w:rPr>
              <w:t>, tertiary capacity building grants)</w:t>
            </w:r>
          </w:p>
          <w:p w14:paraId="686E689F" w14:textId="77777777" w:rsidR="00D44040" w:rsidRDefault="00D44040" w:rsidP="00D44040">
            <w:pPr>
              <w:jc w:val="left"/>
              <w:rPr>
                <w:sz w:val="20"/>
                <w:szCs w:val="20"/>
              </w:rPr>
            </w:pPr>
          </w:p>
          <w:p w14:paraId="6EB087BB" w14:textId="77777777" w:rsidR="00D44040" w:rsidRPr="006439EF" w:rsidRDefault="00D44040" w:rsidP="00D44040">
            <w:pPr>
              <w:jc w:val="left"/>
              <w:rPr>
                <w:sz w:val="20"/>
                <w:szCs w:val="20"/>
              </w:rPr>
            </w:pPr>
            <w:r>
              <w:rPr>
                <w:sz w:val="20"/>
                <w:szCs w:val="20"/>
              </w:rPr>
              <w:t>Programs and initiatives that improve tertiary work placement experiences and/or connection to employers e.g. Work Integrated Learning, TSEP, USEP.</w:t>
            </w:r>
          </w:p>
        </w:tc>
        <w:tc>
          <w:tcPr>
            <w:tcW w:w="4650" w:type="dxa"/>
          </w:tcPr>
          <w:p w14:paraId="05540753" w14:textId="77777777" w:rsidR="00D44040" w:rsidRPr="006439EF" w:rsidRDefault="00D44040" w:rsidP="00D44040">
            <w:pPr>
              <w:jc w:val="left"/>
              <w:rPr>
                <w:sz w:val="20"/>
                <w:szCs w:val="20"/>
              </w:rPr>
            </w:pPr>
            <w:r w:rsidRPr="006439EF">
              <w:rPr>
                <w:sz w:val="20"/>
                <w:szCs w:val="20"/>
              </w:rPr>
              <w:t xml:space="preserve">Policy promoting disability employment does not identify tertiary options as a pathway </w:t>
            </w:r>
          </w:p>
          <w:p w14:paraId="03A9AE55" w14:textId="77777777" w:rsidR="00D44040" w:rsidRPr="006439EF" w:rsidRDefault="00D44040" w:rsidP="00D44040">
            <w:pPr>
              <w:jc w:val="left"/>
              <w:rPr>
                <w:sz w:val="20"/>
                <w:szCs w:val="20"/>
              </w:rPr>
            </w:pPr>
          </w:p>
          <w:p w14:paraId="1F91A8AE" w14:textId="77777777" w:rsidR="00D44040" w:rsidRPr="006439EF" w:rsidRDefault="00D44040" w:rsidP="00D44040">
            <w:pPr>
              <w:jc w:val="left"/>
              <w:rPr>
                <w:sz w:val="20"/>
                <w:szCs w:val="20"/>
              </w:rPr>
            </w:pPr>
            <w:r>
              <w:rPr>
                <w:sz w:val="20"/>
                <w:szCs w:val="20"/>
              </w:rPr>
              <w:t xml:space="preserve">Students’ choice in </w:t>
            </w:r>
            <w:r w:rsidRPr="006439EF">
              <w:rPr>
                <w:sz w:val="20"/>
                <w:szCs w:val="20"/>
              </w:rPr>
              <w:t>not identify</w:t>
            </w:r>
            <w:r>
              <w:rPr>
                <w:sz w:val="20"/>
                <w:szCs w:val="20"/>
              </w:rPr>
              <w:t>ing, evidencing</w:t>
            </w:r>
            <w:r w:rsidRPr="006439EF">
              <w:rPr>
                <w:sz w:val="20"/>
                <w:szCs w:val="20"/>
              </w:rPr>
              <w:t xml:space="preserve"> or disclos</w:t>
            </w:r>
            <w:r>
              <w:rPr>
                <w:sz w:val="20"/>
                <w:szCs w:val="20"/>
              </w:rPr>
              <w:t>ing their</w:t>
            </w:r>
            <w:r w:rsidRPr="006439EF">
              <w:rPr>
                <w:sz w:val="20"/>
                <w:szCs w:val="20"/>
              </w:rPr>
              <w:t xml:space="preserve"> disability </w:t>
            </w:r>
          </w:p>
          <w:p w14:paraId="3200DEB9" w14:textId="77777777" w:rsidR="00D44040" w:rsidRPr="006439EF" w:rsidRDefault="00D44040" w:rsidP="00D44040">
            <w:pPr>
              <w:jc w:val="left"/>
              <w:rPr>
                <w:sz w:val="20"/>
                <w:szCs w:val="20"/>
              </w:rPr>
            </w:pPr>
          </w:p>
          <w:p w14:paraId="666D2BEE" w14:textId="77777777" w:rsidR="00D44040" w:rsidRDefault="00D44040" w:rsidP="00D44040">
            <w:pPr>
              <w:jc w:val="left"/>
              <w:rPr>
                <w:sz w:val="20"/>
                <w:szCs w:val="20"/>
              </w:rPr>
            </w:pPr>
            <w:r w:rsidRPr="006439EF">
              <w:rPr>
                <w:sz w:val="20"/>
                <w:szCs w:val="20"/>
              </w:rPr>
              <w:t>Unintended consequences of</w:t>
            </w:r>
            <w:r>
              <w:rPr>
                <w:sz w:val="20"/>
                <w:szCs w:val="20"/>
              </w:rPr>
              <w:t xml:space="preserve"> emerging</w:t>
            </w:r>
            <w:r w:rsidRPr="006439EF">
              <w:rPr>
                <w:sz w:val="20"/>
                <w:szCs w:val="20"/>
              </w:rPr>
              <w:t xml:space="preserve"> policy </w:t>
            </w:r>
            <w:r>
              <w:rPr>
                <w:sz w:val="20"/>
                <w:szCs w:val="20"/>
              </w:rPr>
              <w:t>(e.g.</w:t>
            </w:r>
            <w:r w:rsidRPr="006439EF">
              <w:rPr>
                <w:sz w:val="20"/>
                <w:szCs w:val="20"/>
              </w:rPr>
              <w:t xml:space="preserve"> </w:t>
            </w:r>
            <w:r>
              <w:rPr>
                <w:sz w:val="20"/>
                <w:szCs w:val="20"/>
              </w:rPr>
              <w:t xml:space="preserve">work first policy and </w:t>
            </w:r>
            <w:r w:rsidRPr="006439EF">
              <w:rPr>
                <w:sz w:val="20"/>
                <w:szCs w:val="20"/>
              </w:rPr>
              <w:t xml:space="preserve">employment </w:t>
            </w:r>
            <w:r>
              <w:rPr>
                <w:sz w:val="20"/>
                <w:szCs w:val="20"/>
              </w:rPr>
              <w:t xml:space="preserve">strategies that don’t </w:t>
            </w:r>
            <w:r w:rsidRPr="006439EF">
              <w:rPr>
                <w:sz w:val="20"/>
                <w:szCs w:val="20"/>
              </w:rPr>
              <w:t xml:space="preserve">promoting graduate </w:t>
            </w:r>
            <w:r>
              <w:rPr>
                <w:sz w:val="20"/>
                <w:szCs w:val="20"/>
              </w:rPr>
              <w:t>pathways with disability)</w:t>
            </w:r>
          </w:p>
          <w:p w14:paraId="053B49AB" w14:textId="77777777" w:rsidR="00D44040" w:rsidRDefault="00D44040" w:rsidP="00D44040">
            <w:pPr>
              <w:jc w:val="left"/>
              <w:rPr>
                <w:sz w:val="20"/>
                <w:szCs w:val="20"/>
              </w:rPr>
            </w:pPr>
          </w:p>
          <w:p w14:paraId="4E85D06E" w14:textId="77777777" w:rsidR="00D44040" w:rsidRPr="006439EF" w:rsidRDefault="00D44040" w:rsidP="00D44040">
            <w:pPr>
              <w:jc w:val="left"/>
              <w:rPr>
                <w:sz w:val="20"/>
                <w:szCs w:val="20"/>
              </w:rPr>
            </w:pPr>
            <w:r>
              <w:rPr>
                <w:sz w:val="20"/>
                <w:szCs w:val="20"/>
              </w:rPr>
              <w:t>Students not finding work in their related field of study.</w:t>
            </w:r>
          </w:p>
          <w:p w14:paraId="7E99E559" w14:textId="77777777" w:rsidR="00D44040" w:rsidRPr="006439EF" w:rsidRDefault="00D44040" w:rsidP="00D44040">
            <w:pPr>
              <w:jc w:val="left"/>
              <w:rPr>
                <w:sz w:val="20"/>
                <w:szCs w:val="20"/>
              </w:rPr>
            </w:pPr>
          </w:p>
        </w:tc>
      </w:tr>
    </w:tbl>
    <w:p w14:paraId="1DF0CA9E" w14:textId="77777777" w:rsidR="00D44040" w:rsidRDefault="00D44040" w:rsidP="0026346D">
      <w:pPr>
        <w:pStyle w:val="ListBullet"/>
        <w:numPr>
          <w:ilvl w:val="0"/>
          <w:numId w:val="0"/>
        </w:numPr>
        <w:ind w:left="720"/>
        <w:sectPr w:rsidR="00D44040" w:rsidSect="0026346D">
          <w:pgSz w:w="16838" w:h="11906" w:orient="landscape"/>
          <w:pgMar w:top="1440" w:right="1440" w:bottom="1440" w:left="1440" w:header="708" w:footer="708" w:gutter="0"/>
          <w:cols w:space="708"/>
          <w:docGrid w:linePitch="360"/>
        </w:sectPr>
      </w:pPr>
    </w:p>
    <w:p w14:paraId="5098D886" w14:textId="2C557D59" w:rsidR="005A528B" w:rsidRDefault="005A528B" w:rsidP="005A528B">
      <w:pPr>
        <w:pStyle w:val="Heading1"/>
      </w:pPr>
      <w:bookmarkStart w:id="31" w:name="_Toc95836746"/>
      <w:r>
        <w:t xml:space="preserve">Examples </w:t>
      </w:r>
      <w:r w:rsidR="009532CC">
        <w:t xml:space="preserve">of </w:t>
      </w:r>
      <w:r w:rsidR="00C540BD">
        <w:t xml:space="preserve">partnership </w:t>
      </w:r>
      <w:r>
        <w:t>structures</w:t>
      </w:r>
      <w:bookmarkEnd w:id="31"/>
    </w:p>
    <w:p w14:paraId="6430C804" w14:textId="19BD6BA4" w:rsidR="000B4BD8" w:rsidRPr="000B4BD8" w:rsidRDefault="000B4BD8" w:rsidP="00C47436">
      <w:pPr>
        <w:pStyle w:val="Heading5"/>
        <w:jc w:val="left"/>
      </w:pPr>
      <w:r w:rsidRPr="000B4BD8">
        <w:t xml:space="preserve">Government Initiative: Boosting Local Care Workforces (Aust) </w:t>
      </w:r>
      <w:hyperlink r:id="rId25" w:history="1">
        <w:r w:rsidRPr="000C7B9B">
          <w:rPr>
            <w:rStyle w:val="Hyperlink"/>
          </w:rPr>
          <w:t>https://blcw.dss.gov.au/</w:t>
        </w:r>
      </w:hyperlink>
      <w:r>
        <w:t xml:space="preserve"> </w:t>
      </w:r>
      <w:r w:rsidRPr="000B4BD8">
        <w:t xml:space="preserve"> </w:t>
      </w:r>
    </w:p>
    <w:p w14:paraId="3E761CDE" w14:textId="77777777" w:rsidR="000B4BD8" w:rsidRPr="000B4BD8" w:rsidRDefault="000B4BD8" w:rsidP="000B4BD8">
      <w:r w:rsidRPr="000B4BD8">
        <w:t>The Boosting the Local Care Workforce Program (BLCW Program) is delivered by Ernst &amp; Young, with the First Peoples Disability Network (Australia), and the Community Services Industry Alliance.</w:t>
      </w:r>
    </w:p>
    <w:p w14:paraId="30735FEE" w14:textId="7E18A3DB" w:rsidR="005A528B" w:rsidRDefault="000B4BD8" w:rsidP="000B4BD8">
      <w:r>
        <w:t>U</w:t>
      </w:r>
      <w:r w:rsidRPr="000B4BD8">
        <w:t>p to 25 Regional Coordinators work with existing and prospective service providers and key stakeholders in their geographic area to provide localised support, gather intelligence on local issues, facilitate workshops and connect stakeholders with complementary programs and initiatives in the disability and aged care sectors.</w:t>
      </w:r>
    </w:p>
    <w:p w14:paraId="2A5B2540" w14:textId="3269DE57" w:rsidR="0008051A" w:rsidRDefault="0008051A" w:rsidP="00C47436">
      <w:pPr>
        <w:jc w:val="left"/>
        <w:rPr>
          <w:i/>
          <w:color w:val="172983"/>
          <w:sz w:val="26"/>
          <w:szCs w:val="26"/>
        </w:rPr>
      </w:pPr>
      <w:r w:rsidRPr="0008051A">
        <w:rPr>
          <w:i/>
          <w:color w:val="172983"/>
          <w:sz w:val="26"/>
          <w:szCs w:val="26"/>
        </w:rPr>
        <w:t xml:space="preserve">Government seeded / Membership based: ACHIEVE (NZ) </w:t>
      </w:r>
      <w:hyperlink r:id="rId26" w:history="1">
        <w:r w:rsidRPr="0008051A">
          <w:rPr>
            <w:rStyle w:val="Hyperlink"/>
            <w:i/>
            <w:sz w:val="26"/>
            <w:szCs w:val="26"/>
          </w:rPr>
          <w:t>https://www.achieve.org.nz/</w:t>
        </w:r>
      </w:hyperlink>
    </w:p>
    <w:p w14:paraId="3B483178" w14:textId="0E8B2DAE" w:rsidR="0008051A" w:rsidRPr="0008051A" w:rsidRDefault="0008051A" w:rsidP="0008051A">
      <w:r>
        <w:t>A</w:t>
      </w:r>
      <w:r w:rsidRPr="0008051A">
        <w:t xml:space="preserve"> national network seed funded by Tertiary Education Commission (TEC). Achieve largely operates from members and sponsors. TEC sees Achieve as an independent network with a ‘stronger more relevant voice’.</w:t>
      </w:r>
    </w:p>
    <w:p w14:paraId="637D3985" w14:textId="637CF713" w:rsidR="000B4BD8" w:rsidRDefault="0008051A" w:rsidP="0008051A">
      <w:r w:rsidRPr="0008051A">
        <w:t xml:space="preserve">A coordinated national effort in securing quality educational opportunities for students with impairments in post-secondary education and training. </w:t>
      </w:r>
      <w:proofErr w:type="gramStart"/>
      <w:r w:rsidRPr="0008051A">
        <w:t>Members</w:t>
      </w:r>
      <w:proofErr w:type="gramEnd"/>
      <w:r w:rsidRPr="0008051A">
        <w:t xml:space="preserve"> network, support and learn from each other. </w:t>
      </w:r>
      <w:proofErr w:type="gramStart"/>
      <w:r w:rsidR="009532CC">
        <w:t>They</w:t>
      </w:r>
      <w:proofErr w:type="gramEnd"/>
      <w:r w:rsidR="009532CC">
        <w:t xml:space="preserve"> also: m</w:t>
      </w:r>
      <w:r w:rsidRPr="0008051A">
        <w:t>onitor and advocate equal education policies developed by Government, TEC and post-secondary institutions</w:t>
      </w:r>
      <w:r w:rsidR="009532CC">
        <w:t>;</w:t>
      </w:r>
      <w:r w:rsidRPr="0008051A">
        <w:t xml:space="preserve"> </w:t>
      </w:r>
      <w:r w:rsidR="009532CC">
        <w:t>l</w:t>
      </w:r>
      <w:r w:rsidRPr="0008051A">
        <w:t>iaise with groups and bodies who have similar interests</w:t>
      </w:r>
      <w:r w:rsidR="009532CC">
        <w:t>;</w:t>
      </w:r>
      <w:r w:rsidRPr="0008051A">
        <w:t xml:space="preserve"> </w:t>
      </w:r>
      <w:r w:rsidR="009532CC">
        <w:t>p</w:t>
      </w:r>
      <w:r w:rsidRPr="0008051A">
        <w:t>rovide advice, support and information</w:t>
      </w:r>
      <w:r w:rsidR="009532CC">
        <w:t>; and</w:t>
      </w:r>
      <w:r w:rsidRPr="0008051A">
        <w:t xml:space="preserve"> </w:t>
      </w:r>
      <w:r w:rsidR="009532CC">
        <w:t>h</w:t>
      </w:r>
      <w:r w:rsidRPr="0008051A">
        <w:t>ost TEC resources.</w:t>
      </w:r>
    </w:p>
    <w:p w14:paraId="43259FFF" w14:textId="77777777" w:rsidR="00D07362" w:rsidRPr="00D07362" w:rsidRDefault="00D07362" w:rsidP="00C47436">
      <w:pPr>
        <w:jc w:val="left"/>
        <w:rPr>
          <w:i/>
          <w:color w:val="172983"/>
          <w:sz w:val="26"/>
          <w:szCs w:val="26"/>
        </w:rPr>
      </w:pPr>
      <w:r w:rsidRPr="00D07362">
        <w:rPr>
          <w:i/>
          <w:color w:val="172983"/>
          <w:sz w:val="26"/>
          <w:szCs w:val="26"/>
        </w:rPr>
        <w:t xml:space="preserve">Independent / Member based: Association on Higher Education and Disability </w:t>
      </w:r>
    </w:p>
    <w:p w14:paraId="1577CC96" w14:textId="6D3B50C8" w:rsidR="00D07362" w:rsidRPr="00D07362" w:rsidRDefault="00D07362" w:rsidP="00D07362">
      <w:r w:rsidRPr="00D07362">
        <w:rPr>
          <w:rStyle w:val="Strong"/>
        </w:rPr>
        <w:t>US model</w:t>
      </w:r>
      <w:r w:rsidRPr="00D07362">
        <w:t xml:space="preserve"> </w:t>
      </w:r>
      <w:hyperlink r:id="rId27" w:history="1">
        <w:r w:rsidRPr="00D07362">
          <w:rPr>
            <w:rStyle w:val="Hyperlink"/>
          </w:rPr>
          <w:t>https://www.ahead.org/</w:t>
        </w:r>
      </w:hyperlink>
      <w:r>
        <w:t xml:space="preserve"> </w:t>
      </w:r>
      <w:r w:rsidRPr="00D07362">
        <w:t>Professional Association facilitated by membership – focuses on diverse practitioners.</w:t>
      </w:r>
    </w:p>
    <w:p w14:paraId="3CB15ADE" w14:textId="3616ADAF" w:rsidR="0008051A" w:rsidRDefault="00D07362" w:rsidP="00D07362">
      <w:r w:rsidRPr="00FA173A">
        <w:rPr>
          <w:rStyle w:val="Strong"/>
        </w:rPr>
        <w:t>Ireland model</w:t>
      </w:r>
      <w:r w:rsidRPr="00D07362">
        <w:t xml:space="preserve"> </w:t>
      </w:r>
      <w:hyperlink r:id="rId28" w:history="1">
        <w:r w:rsidR="00FA173A" w:rsidRPr="000C7B9B">
          <w:rPr>
            <w:rStyle w:val="Hyperlink"/>
          </w:rPr>
          <w:t>https://www.ahead.ie/</w:t>
        </w:r>
      </w:hyperlink>
      <w:r w:rsidR="00D3109C">
        <w:t xml:space="preserve"> -</w:t>
      </w:r>
      <w:r w:rsidR="00FA173A">
        <w:t xml:space="preserve"> </w:t>
      </w:r>
      <w:r w:rsidRPr="00D07362">
        <w:t>Not for Profit/Registered Charity</w:t>
      </w:r>
      <w:r w:rsidR="00D3109C">
        <w:t>. P</w:t>
      </w:r>
      <w:r w:rsidRPr="00D07362">
        <w:t>rovides resources to students and graduates with disabilities, teachers, guidance counsellors and parents on disability issues in education. Other activities include national research, contribut</w:t>
      </w:r>
      <w:r w:rsidR="009532CC">
        <w:t>ing</w:t>
      </w:r>
      <w:r w:rsidRPr="00D07362">
        <w:t xml:space="preserve"> to national policy forums and provid</w:t>
      </w:r>
      <w:r w:rsidR="009532CC">
        <w:t>ing</w:t>
      </w:r>
      <w:r w:rsidRPr="00D07362">
        <w:t xml:space="preserve"> professional development opportunities to staff. Part of LINK network.</w:t>
      </w:r>
    </w:p>
    <w:p w14:paraId="08C69116" w14:textId="55587EC3" w:rsidR="00C47436" w:rsidRPr="00C47436" w:rsidRDefault="00C47436" w:rsidP="00C47436">
      <w:pPr>
        <w:jc w:val="left"/>
        <w:rPr>
          <w:i/>
          <w:color w:val="172983"/>
          <w:sz w:val="26"/>
          <w:szCs w:val="26"/>
        </w:rPr>
      </w:pPr>
      <w:r w:rsidRPr="00C47436">
        <w:rPr>
          <w:i/>
          <w:color w:val="172983"/>
          <w:sz w:val="26"/>
          <w:szCs w:val="26"/>
        </w:rPr>
        <w:t xml:space="preserve">Government Partnership: Support Centre Inclusive Education (Belgium) </w:t>
      </w:r>
      <w:hyperlink r:id="rId29" w:history="1">
        <w:r w:rsidRPr="00C47436">
          <w:rPr>
            <w:rStyle w:val="Hyperlink"/>
            <w:i/>
            <w:sz w:val="26"/>
            <w:szCs w:val="26"/>
          </w:rPr>
          <w:t>https://www.siho.be/</w:t>
        </w:r>
      </w:hyperlink>
      <w:r>
        <w:rPr>
          <w:i/>
          <w:color w:val="172983"/>
          <w:sz w:val="26"/>
          <w:szCs w:val="26"/>
        </w:rPr>
        <w:t xml:space="preserve"> </w:t>
      </w:r>
    </w:p>
    <w:p w14:paraId="06EEDC8F" w14:textId="03455CBC" w:rsidR="000B4BD8" w:rsidRDefault="00C47436" w:rsidP="00C47436">
      <w:r w:rsidRPr="00C47436">
        <w:t xml:space="preserve">Partnership between the five universities associations and the Flemish Government – to create/build regional and international partnership and network between institutions, stimulate research, strengthen positive image of inclusive education, develop coaching initiatives for students. Website has information for all audiences, provides university contact points, guidance. Program coordinator with project, communication and administrative </w:t>
      </w:r>
      <w:r w:rsidR="00DC086B">
        <w:t>staff</w:t>
      </w:r>
      <w:r w:rsidRPr="00C47436">
        <w:t>.</w:t>
      </w:r>
    </w:p>
    <w:p w14:paraId="76814574" w14:textId="77777777" w:rsidR="00DC086B" w:rsidRDefault="00DC086B" w:rsidP="00C47436"/>
    <w:sectPr w:rsidR="00DC086B" w:rsidSect="00D44040">
      <w:head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CF4FD" w14:textId="77777777" w:rsidR="00355F93" w:rsidRDefault="00355F93" w:rsidP="001C4803">
      <w:r>
        <w:separator/>
      </w:r>
    </w:p>
  </w:endnote>
  <w:endnote w:type="continuationSeparator" w:id="0">
    <w:p w14:paraId="3EB1BC03" w14:textId="77777777" w:rsidR="00355F93" w:rsidRDefault="00355F93" w:rsidP="001C4803">
      <w:r>
        <w:continuationSeparator/>
      </w:r>
    </w:p>
  </w:endnote>
  <w:endnote w:type="continuationNotice" w:id="1">
    <w:p w14:paraId="1E214E93" w14:textId="77777777" w:rsidR="00355F93" w:rsidRDefault="00355F9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2C96" w14:textId="77777777" w:rsidR="002410CC" w:rsidRDefault="00241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1D65" w14:textId="5E93907C" w:rsidR="006F0B65" w:rsidRPr="00133589" w:rsidRDefault="006F0B65" w:rsidP="001C4803">
    <w:pPr>
      <w:pStyle w:val="Footer"/>
    </w:pPr>
    <w:r>
      <w:t>#</w:t>
    </w:r>
    <w:r w:rsidR="00DE0890">
      <w:t>5198 Review of the National Disability Coordination Officer Program</w:t>
    </w:r>
    <w:r w:rsidRPr="00133589">
      <w:tab/>
    </w:r>
    <w:r w:rsidRPr="00133589">
      <w:rPr>
        <w:noProof/>
      </w:rPr>
      <w:drawing>
        <wp:inline distT="0" distB="0" distL="0" distR="0" wp14:anchorId="453C70E9" wp14:editId="3AC47AC7">
          <wp:extent cx="1352550" cy="638175"/>
          <wp:effectExtent l="0" t="0" r="0" b="9525"/>
          <wp:docPr id="6" name="Picture 6" title="ORIMA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ma_ReportTemp_NarrowMrg_LogoFooter.jpg"/>
                  <pic:cNvPicPr/>
                </pic:nvPicPr>
                <pic:blipFill rotWithShape="1">
                  <a:blip r:embed="rId1">
                    <a:extLst>
                      <a:ext uri="{28A0092B-C50C-407E-A947-70E740481C1C}">
                        <a14:useLocalDpi xmlns:a14="http://schemas.microsoft.com/office/drawing/2010/main" val="0"/>
                      </a:ext>
                    </a:extLst>
                  </a:blip>
                  <a:srcRect t="5769" r="35676" b="29808"/>
                  <a:stretch/>
                </pic:blipFill>
                <pic:spPr bwMode="auto">
                  <a:xfrm>
                    <a:off x="0" y="0"/>
                    <a:ext cx="1353645" cy="63869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6DEC" w14:textId="77777777" w:rsidR="002410CC" w:rsidRDefault="00241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7172B" w14:textId="77777777" w:rsidR="00355F93" w:rsidRDefault="00355F93" w:rsidP="001C4803">
      <w:r>
        <w:separator/>
      </w:r>
    </w:p>
  </w:footnote>
  <w:footnote w:type="continuationSeparator" w:id="0">
    <w:p w14:paraId="41475D99" w14:textId="77777777" w:rsidR="00355F93" w:rsidRDefault="00355F93" w:rsidP="001C4803">
      <w:r>
        <w:continuationSeparator/>
      </w:r>
    </w:p>
  </w:footnote>
  <w:footnote w:type="continuationNotice" w:id="1">
    <w:p w14:paraId="19DBB678" w14:textId="77777777" w:rsidR="00355F93" w:rsidRDefault="00355F93">
      <w:pPr>
        <w:spacing w:before="0"/>
      </w:pPr>
    </w:p>
  </w:footnote>
  <w:footnote w:id="2">
    <w:p w14:paraId="5630F19D" w14:textId="3C399828" w:rsidR="00402760" w:rsidRPr="007E2A74" w:rsidRDefault="00402760" w:rsidP="00431CB3">
      <w:pPr>
        <w:pStyle w:val="FootnoteText"/>
        <w:tabs>
          <w:tab w:val="clear" w:pos="426"/>
          <w:tab w:val="left" w:pos="142"/>
        </w:tabs>
        <w:ind w:left="0" w:firstLine="0"/>
        <w:rPr>
          <w:sz w:val="16"/>
          <w:szCs w:val="16"/>
        </w:rPr>
      </w:pPr>
      <w:r>
        <w:rPr>
          <w:rStyle w:val="FootnoteReference"/>
        </w:rPr>
        <w:footnoteRef/>
      </w:r>
      <w:r>
        <w:t xml:space="preserve"> </w:t>
      </w:r>
      <w:r>
        <w:rPr>
          <w:sz w:val="16"/>
          <w:szCs w:val="16"/>
        </w:rPr>
        <w:t xml:space="preserve">A practitioner is </w:t>
      </w:r>
      <w:r w:rsidRPr="001F2EFC">
        <w:rPr>
          <w:sz w:val="16"/>
          <w:szCs w:val="16"/>
        </w:rPr>
        <w:t>an individual who is primarily employed as a disability practitioner in the Higher Education and Vocational Education Training Sectors, whose primary focus of work in their professional capacity involves working to enhance tertiary education opportunities and access for people with disability</w:t>
      </w:r>
      <w:r>
        <w:rPr>
          <w:sz w:val="16"/>
          <w:szCs w:val="16"/>
        </w:rPr>
        <w:t>.</w:t>
      </w:r>
    </w:p>
  </w:footnote>
  <w:footnote w:id="3">
    <w:p w14:paraId="06825755" w14:textId="384E84C6" w:rsidR="00402760" w:rsidRDefault="00402760">
      <w:pPr>
        <w:pStyle w:val="FootnoteText"/>
      </w:pPr>
      <w:r>
        <w:rPr>
          <w:rStyle w:val="FootnoteReference"/>
        </w:rPr>
        <w:footnoteRef/>
      </w:r>
      <w:r>
        <w:t xml:space="preserve"> </w:t>
      </w:r>
      <w:r w:rsidRPr="000E78CB">
        <w:rPr>
          <w:sz w:val="16"/>
          <w:szCs w:val="16"/>
        </w:rPr>
        <w:t>This figure is based on the number of respondents who answered at least one non-demographic question</w:t>
      </w:r>
      <w:r>
        <w:rPr>
          <w:sz w:val="16"/>
          <w:szCs w:val="16"/>
        </w:rPr>
        <w:t>.</w:t>
      </w:r>
    </w:p>
  </w:footnote>
  <w:footnote w:id="4">
    <w:p w14:paraId="5EC4684A" w14:textId="36AFBFC6" w:rsidR="001569A5" w:rsidRDefault="001569A5">
      <w:pPr>
        <w:pStyle w:val="FootnoteText"/>
      </w:pPr>
      <w:r>
        <w:rPr>
          <w:rStyle w:val="FootnoteReference"/>
        </w:rPr>
        <w:footnoteRef/>
      </w:r>
      <w:r>
        <w:t xml:space="preserve"> Note: This was based on a small number of responses and </w:t>
      </w:r>
      <w:r w:rsidR="00EC4C36">
        <w:t xml:space="preserve">hence </w:t>
      </w:r>
      <w:r>
        <w:t xml:space="preserve">caution should be </w:t>
      </w:r>
      <w:r w:rsidR="00EC4C36">
        <w:t>exercised in extrapolating this finding to the underlying population</w:t>
      </w:r>
      <w:r w:rsidR="006D6362">
        <w:t>.</w:t>
      </w:r>
    </w:p>
  </w:footnote>
  <w:footnote w:id="5">
    <w:p w14:paraId="588CF7E7" w14:textId="3EE6ACC1" w:rsidR="007C5F96" w:rsidRDefault="007C5F96">
      <w:pPr>
        <w:pStyle w:val="FootnoteText"/>
      </w:pPr>
      <w:r>
        <w:rPr>
          <w:rStyle w:val="FootnoteReference"/>
        </w:rPr>
        <w:footnoteRef/>
      </w:r>
      <w:r>
        <w:t xml:space="preserve"> </w:t>
      </w:r>
      <w:r w:rsidRPr="007C5F96">
        <w:t>Intersectionality recognises that a person or group of people can be affected by multiple forms of discrimination and disadvantage due to their race, sex, gender identity, sexual orientation, impairment, class, religion, age, social origin and other identity markers.</w:t>
      </w:r>
    </w:p>
  </w:footnote>
  <w:footnote w:id="6">
    <w:p w14:paraId="6D290BB9" w14:textId="1C1D0D9F" w:rsidR="00AD4739" w:rsidRDefault="00AD4739">
      <w:pPr>
        <w:pStyle w:val="FootnoteText"/>
      </w:pPr>
      <w:r>
        <w:rPr>
          <w:rStyle w:val="FootnoteReference"/>
        </w:rPr>
        <w:footnoteRef/>
      </w:r>
      <w:r>
        <w:t xml:space="preserve"> </w:t>
      </w:r>
      <w:r w:rsidR="00D92845" w:rsidRPr="00D92845">
        <w:t>NDCOs identified a gap in services provided to graduates with disability in finding employment. Both initiatives follow a similar model and place a specialist disability consultant from an employment provider onto a university campus or TAFE campus weekly, to work with career advisors in placing graduates into employment.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B802" w14:textId="77777777" w:rsidR="002410CC" w:rsidRDefault="00241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3B30" w14:textId="77777777" w:rsidR="006F0B65" w:rsidRPr="00C12273" w:rsidRDefault="006F0B65" w:rsidP="001C4803">
    <w:pPr>
      <w:pStyle w:val="Header"/>
    </w:pPr>
    <w:r w:rsidRPr="00C12273">
      <w:t>Commercial-in-Confidence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F7A4" w14:textId="77777777" w:rsidR="002410CC" w:rsidRDefault="002410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513F" w14:textId="78E19B4C" w:rsidR="00AB4651" w:rsidRPr="000241EA" w:rsidRDefault="00AB4651" w:rsidP="000241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D930" w14:textId="77777777" w:rsidR="006F0B65" w:rsidRPr="00C12273" w:rsidRDefault="006F0B65" w:rsidP="00C12273">
    <w:pPr>
      <w:pStyle w:val="Header"/>
    </w:pPr>
    <w:r w:rsidRPr="00C12273">
      <w:t>Commercial-in-Confidence</w:t>
    </w:r>
    <w:r>
      <w:tab/>
    </w:r>
    <w:r w:rsidRPr="004A00C2">
      <w:rPr>
        <w:i/>
        <w:color w:val="FF0000"/>
      </w:rPr>
      <w:t>Draft [Date]</w:t>
    </w:r>
    <w:r>
      <w:rPr>
        <w:i/>
        <w:color w:val="FF0000"/>
      </w:rPr>
      <w:tab/>
    </w:r>
    <w:r w:rsidRPr="00181D7C">
      <w:rPr>
        <w:rStyle w:val="PageNumber"/>
      </w:rPr>
      <w:fldChar w:fldCharType="begin"/>
    </w:r>
    <w:r w:rsidRPr="00181D7C">
      <w:rPr>
        <w:rStyle w:val="PageNumber"/>
      </w:rPr>
      <w:instrText xml:space="preserve"> PAGE  </w:instrText>
    </w:r>
    <w:r w:rsidRPr="00181D7C">
      <w:rPr>
        <w:rStyle w:val="PageNumber"/>
      </w:rPr>
      <w:fldChar w:fldCharType="separate"/>
    </w:r>
    <w:r>
      <w:rPr>
        <w:rStyle w:val="PageNumber"/>
        <w:noProof/>
      </w:rPr>
      <w:t>2</w:t>
    </w:r>
    <w:r w:rsidRPr="00181D7C">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B997" w14:textId="67306BF7" w:rsidR="006F0B65" w:rsidRPr="00C12273" w:rsidRDefault="000241EA" w:rsidP="00364644">
    <w:pPr>
      <w:pStyle w:val="Header"/>
      <w:tabs>
        <w:tab w:val="clear" w:pos="4513"/>
      </w:tabs>
    </w:pPr>
    <w:r>
      <w:rPr>
        <w:i/>
        <w:color w:val="FF0000"/>
      </w:rPr>
      <w:t xml:space="preserve"> </w:t>
    </w:r>
    <w:r w:rsidR="006F0B65">
      <w:rPr>
        <w:i/>
        <w:color w:val="FF0000"/>
      </w:rPr>
      <w:tab/>
    </w:r>
    <w:r w:rsidR="00822C3C" w:rsidRPr="00181D7C">
      <w:rPr>
        <w:rStyle w:val="PageNumber"/>
      </w:rPr>
      <w:fldChar w:fldCharType="begin"/>
    </w:r>
    <w:r w:rsidR="00822C3C" w:rsidRPr="00181D7C">
      <w:rPr>
        <w:rStyle w:val="PageNumber"/>
      </w:rPr>
      <w:instrText xml:space="preserve"> PAGE  </w:instrText>
    </w:r>
    <w:r w:rsidR="00822C3C" w:rsidRPr="00181D7C">
      <w:rPr>
        <w:rStyle w:val="PageNumber"/>
      </w:rPr>
      <w:fldChar w:fldCharType="separate"/>
    </w:r>
    <w:r w:rsidR="00822C3C">
      <w:rPr>
        <w:rStyle w:val="PageNumber"/>
      </w:rPr>
      <w:t>29</w:t>
    </w:r>
    <w:r w:rsidR="00822C3C" w:rsidRPr="00181D7C">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05FE" w14:textId="77777777" w:rsidR="00822C3C" w:rsidRPr="00C12273" w:rsidRDefault="00822C3C" w:rsidP="00364644">
    <w:pPr>
      <w:pStyle w:val="Header"/>
      <w:tabs>
        <w:tab w:val="clear" w:pos="4513"/>
      </w:tabs>
    </w:pPr>
    <w:r>
      <w:rPr>
        <w:i/>
        <w:color w:val="FF0000"/>
      </w:rPr>
      <w:t xml:space="preserve"> </w:t>
    </w:r>
    <w:r>
      <w:rPr>
        <w:i/>
        <w:color w:val="FF0000"/>
      </w:rPr>
      <w:tab/>
    </w:r>
    <w:r w:rsidRPr="00181D7C">
      <w:rPr>
        <w:rStyle w:val="PageNumber"/>
      </w:rPr>
      <w:fldChar w:fldCharType="begin"/>
    </w:r>
    <w:r w:rsidRPr="00181D7C">
      <w:rPr>
        <w:rStyle w:val="PageNumber"/>
      </w:rPr>
      <w:instrText xml:space="preserve"> PAGE  </w:instrText>
    </w:r>
    <w:r w:rsidRPr="00181D7C">
      <w:rPr>
        <w:rStyle w:val="PageNumber"/>
      </w:rPr>
      <w:fldChar w:fldCharType="separate"/>
    </w:r>
    <w:r>
      <w:rPr>
        <w:rStyle w:val="PageNumber"/>
      </w:rPr>
      <w:t>29</w:t>
    </w:r>
    <w:r w:rsidRPr="00181D7C">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1CD0" w14:textId="494826B6" w:rsidR="0084462E" w:rsidRPr="004A00C2" w:rsidRDefault="004A00C2" w:rsidP="004A00C2">
    <w:pPr>
      <w:pStyle w:val="Header"/>
      <w:ind w:left="8640"/>
    </w:pPr>
    <w:r w:rsidRPr="00181D7C">
      <w:rPr>
        <w:rStyle w:val="PageNumber"/>
      </w:rPr>
      <w:fldChar w:fldCharType="begin"/>
    </w:r>
    <w:r w:rsidRPr="00181D7C">
      <w:rPr>
        <w:rStyle w:val="PageNumber"/>
      </w:rPr>
      <w:instrText xml:space="preserve"> PAGE  </w:instrText>
    </w:r>
    <w:r w:rsidRPr="00181D7C">
      <w:rPr>
        <w:rStyle w:val="PageNumber"/>
      </w:rPr>
      <w:fldChar w:fldCharType="separate"/>
    </w:r>
    <w:r>
      <w:rPr>
        <w:rStyle w:val="PageNumber"/>
      </w:rPr>
      <w:t>35</w:t>
    </w:r>
    <w:r w:rsidRPr="00181D7C">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88C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56001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766455A"/>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8BE5D8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E89085B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875F3F"/>
    <w:multiLevelType w:val="hybridMultilevel"/>
    <w:tmpl w:val="A4804454"/>
    <w:lvl w:ilvl="0" w:tplc="AA643F44">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2D42756"/>
    <w:multiLevelType w:val="hybridMultilevel"/>
    <w:tmpl w:val="A9D4BBBA"/>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7" w15:restartNumberingAfterBreak="0">
    <w:nsid w:val="038D5C1D"/>
    <w:multiLevelType w:val="hybridMultilevel"/>
    <w:tmpl w:val="4910566E"/>
    <w:lvl w:ilvl="0" w:tplc="219A8E6E">
      <w:start w:val="1"/>
      <w:numFmt w:val="bullet"/>
      <w:pStyle w:val="BoxBullet2"/>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4EC0DEB"/>
    <w:multiLevelType w:val="hybridMultilevel"/>
    <w:tmpl w:val="43E05E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CD50A5"/>
    <w:multiLevelType w:val="multilevel"/>
    <w:tmpl w:val="38A8CCB8"/>
    <w:styleLink w:val="AppendixHeadings"/>
    <w:lvl w:ilvl="0">
      <w:start w:val="1"/>
      <w:numFmt w:val="upperRoman"/>
      <w:lvlText w:val="%1."/>
      <w:lvlJc w:val="left"/>
      <w:pPr>
        <w:ind w:left="0" w:firstLine="0"/>
      </w:pPr>
      <w:rPr>
        <w:rFonts w:ascii="Calibri" w:hAnsi="Calibri" w:hint="default"/>
        <w:color w:val="172983"/>
        <w:sz w:val="36"/>
      </w:rPr>
    </w:lvl>
    <w:lvl w:ilvl="1">
      <w:start w:val="1"/>
      <w:numFmt w:val="upperLetter"/>
      <w:lvlText w:val="%2."/>
      <w:lvlJc w:val="left"/>
      <w:pPr>
        <w:ind w:left="0" w:firstLine="0"/>
      </w:pPr>
      <w:rPr>
        <w:rFonts w:asciiTheme="minorHAnsi" w:hAnsiTheme="minorHAnsi" w:hint="default"/>
        <w:color w:val="172983"/>
        <w:sz w:val="32"/>
      </w:rPr>
    </w:lvl>
    <w:lvl w:ilvl="2">
      <w:start w:val="1"/>
      <w:numFmt w:val="lowerRoman"/>
      <w:lvlText w:val="%3."/>
      <w:lvlJc w:val="right"/>
      <w:pPr>
        <w:ind w:left="5400" w:hanging="180"/>
      </w:pPr>
      <w:rPr>
        <w:rFonts w:hint="default"/>
      </w:rPr>
    </w:lvl>
    <w:lvl w:ilvl="3">
      <w:start w:val="1"/>
      <w:numFmt w:val="decimal"/>
      <w:lvlText w:val="%4."/>
      <w:lvlJc w:val="left"/>
      <w:pPr>
        <w:ind w:left="6120" w:hanging="360"/>
      </w:pPr>
      <w:rPr>
        <w:rFonts w:hint="default"/>
      </w:rPr>
    </w:lvl>
    <w:lvl w:ilvl="4">
      <w:start w:val="1"/>
      <w:numFmt w:val="lowerLetter"/>
      <w:lvlText w:val="%5."/>
      <w:lvlJc w:val="left"/>
      <w:pPr>
        <w:ind w:left="6840" w:hanging="360"/>
      </w:pPr>
      <w:rPr>
        <w:rFonts w:hint="default"/>
      </w:rPr>
    </w:lvl>
    <w:lvl w:ilvl="5">
      <w:start w:val="1"/>
      <w:numFmt w:val="lowerRoman"/>
      <w:lvlText w:val="%6."/>
      <w:lvlJc w:val="right"/>
      <w:pPr>
        <w:ind w:left="7560" w:hanging="1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10" w15:restartNumberingAfterBreak="0">
    <w:nsid w:val="0F433FF2"/>
    <w:multiLevelType w:val="multilevel"/>
    <w:tmpl w:val="4418DEF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o"/>
      <w:lvlJc w:val="left"/>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07D4038"/>
    <w:multiLevelType w:val="multilevel"/>
    <w:tmpl w:val="DE38B62E"/>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595013"/>
    <w:multiLevelType w:val="hybridMultilevel"/>
    <w:tmpl w:val="457C0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AC352F"/>
    <w:multiLevelType w:val="hybridMultilevel"/>
    <w:tmpl w:val="F2A0A634"/>
    <w:lvl w:ilvl="0" w:tplc="C7164EA4">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9C54535"/>
    <w:multiLevelType w:val="hybridMultilevel"/>
    <w:tmpl w:val="8356D8F6"/>
    <w:lvl w:ilvl="0" w:tplc="C7164EA4">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3B56DB"/>
    <w:multiLevelType w:val="hybridMultilevel"/>
    <w:tmpl w:val="5CD495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FC91BA8"/>
    <w:multiLevelType w:val="multilevel"/>
    <w:tmpl w:val="4418DEF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o"/>
      <w:lvlJc w:val="left"/>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5D62A84"/>
    <w:multiLevelType w:val="multilevel"/>
    <w:tmpl w:val="A1C4814E"/>
    <w:lvl w:ilvl="0">
      <w:start w:val="1"/>
      <w:numFmt w:val="bullet"/>
      <w:lvlText w:val=""/>
      <w:lvlJc w:val="left"/>
      <w:pPr>
        <w:ind w:left="72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o"/>
      <w:lvlJc w:val="left"/>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26DA2BF4"/>
    <w:multiLevelType w:val="hybridMultilevel"/>
    <w:tmpl w:val="EDCE8CCC"/>
    <w:lvl w:ilvl="0" w:tplc="0C090001">
      <w:start w:val="1"/>
      <w:numFmt w:val="bullet"/>
      <w:lvlText w:val=""/>
      <w:lvlJc w:val="left"/>
      <w:pPr>
        <w:ind w:left="720" w:hanging="360"/>
      </w:pPr>
      <w:rPr>
        <w:rFonts w:ascii="Symbol" w:hAnsi="Symbol" w:hint="default"/>
      </w:rPr>
    </w:lvl>
    <w:lvl w:ilvl="1" w:tplc="00DEBD5C">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250D1E"/>
    <w:multiLevelType w:val="hybridMultilevel"/>
    <w:tmpl w:val="EC5C2D88"/>
    <w:lvl w:ilvl="0" w:tplc="08E82E4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A074CF"/>
    <w:multiLevelType w:val="multilevel"/>
    <w:tmpl w:val="4C90C808"/>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2C4176AB"/>
    <w:multiLevelType w:val="multilevel"/>
    <w:tmpl w:val="0CF094AC"/>
    <w:lvl w:ilvl="0">
      <w:start w:val="1"/>
      <w:numFmt w:val="bullet"/>
      <w:lvlText w:val=""/>
      <w:lvlJc w:val="left"/>
      <w:pPr>
        <w:ind w:left="360" w:hanging="360"/>
      </w:pPr>
      <w:rPr>
        <w:rFonts w:ascii="Wingdings" w:hAnsi="Wingdings" w:hint="default"/>
      </w:rPr>
    </w:lvl>
    <w:lvl w:ilvl="1">
      <w:start w:val="1"/>
      <w:numFmt w:val="bullet"/>
      <w:pStyle w:val="ListBullet2"/>
      <w:lvlText w:val=""/>
      <w:lvlJc w:val="left"/>
      <w:pPr>
        <w:ind w:left="720" w:hanging="360"/>
      </w:pPr>
      <w:rPr>
        <w:rFonts w:ascii="Wingdings" w:hAnsi="Wingdings" w:hint="default"/>
      </w:rPr>
    </w:lvl>
    <w:lvl w:ilvl="2">
      <w:start w:val="1"/>
      <w:numFmt w:val="bullet"/>
      <w:pStyle w:val="ListBullet3"/>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31CB661F"/>
    <w:multiLevelType w:val="multilevel"/>
    <w:tmpl w:val="4CEC827C"/>
    <w:styleLink w:val="ReportHeadings"/>
    <w:lvl w:ilvl="0">
      <w:start w:val="1"/>
      <w:numFmt w:val="upperRoman"/>
      <w:pStyle w:val="Heading1"/>
      <w:lvlText w:val="%1."/>
      <w:lvlJc w:val="left"/>
      <w:pPr>
        <w:ind w:left="567" w:hanging="567"/>
      </w:pPr>
      <w:rPr>
        <w:rFonts w:asciiTheme="minorHAnsi" w:hAnsiTheme="minorHAnsi" w:hint="default"/>
        <w:b/>
        <w:i w:val="0"/>
        <w:strike w:val="0"/>
        <w:dstrike w:val="0"/>
        <w:vanish w:val="0"/>
        <w:color w:val="172983"/>
        <w:sz w:val="40"/>
        <w:vertAlign w:val="baseline"/>
      </w:rPr>
    </w:lvl>
    <w:lvl w:ilvl="1">
      <w:start w:val="1"/>
      <w:numFmt w:val="upperLetter"/>
      <w:pStyle w:val="Heading2"/>
      <w:lvlText w:val="%2."/>
      <w:lvlJc w:val="left"/>
      <w:rPr>
        <w:rFonts w:asciiTheme="minorHAnsi" w:hAnsiTheme="minorHAnsi" w:hint="default"/>
        <w:b/>
        <w:bCs/>
        <w:i w:val="0"/>
        <w:iCs w:val="0"/>
        <w:caps w:val="0"/>
        <w:smallCaps w:val="0"/>
        <w:strike w:val="0"/>
        <w:dstrike w:val="0"/>
        <w:vanish w:val="0"/>
        <w:color w:val="172983"/>
        <w:spacing w:val="0"/>
        <w:kern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Roman"/>
      <w:lvlText w:val="%3."/>
      <w:lvlJc w:val="left"/>
      <w:pPr>
        <w:tabs>
          <w:tab w:val="num" w:pos="1106"/>
        </w:tabs>
        <w:ind w:left="567" w:hanging="567"/>
      </w:pPr>
      <w:rPr>
        <w:rFonts w:asciiTheme="minorHAnsi" w:hAnsiTheme="minorHAnsi" w:hint="default"/>
        <w:b/>
        <w:color w:val="172983"/>
        <w:sz w:val="32"/>
      </w:rPr>
    </w:lvl>
    <w:lvl w:ilvl="3">
      <w:start w:val="1"/>
      <w:numFmt w:val="none"/>
      <w:lvlText w:val=""/>
      <w:lvlJc w:val="left"/>
      <w:pPr>
        <w:tabs>
          <w:tab w:val="num" w:pos="284"/>
        </w:tabs>
        <w:ind w:left="284" w:firstLine="0"/>
      </w:pPr>
      <w:rPr>
        <w:rFonts w:asciiTheme="minorHAnsi" w:hAnsiTheme="minorHAnsi" w:hint="default"/>
        <w:i/>
        <w:color w:val="172983"/>
        <w:sz w:val="28"/>
      </w:rPr>
    </w:lvl>
    <w:lvl w:ilvl="4">
      <w:start w:val="1"/>
      <w:numFmt w:val="none"/>
      <w:lvlText w:val=""/>
      <w:lvlJc w:val="left"/>
      <w:pPr>
        <w:tabs>
          <w:tab w:val="num" w:pos="284"/>
        </w:tabs>
        <w:ind w:left="284" w:firstLine="0"/>
      </w:pPr>
      <w:rPr>
        <w:rFonts w:hint="default"/>
      </w:rPr>
    </w:lvl>
    <w:lvl w:ilvl="5">
      <w:start w:val="1"/>
      <w:numFmt w:val="none"/>
      <w:lvlText w:val=""/>
      <w:lvlJc w:val="left"/>
      <w:pPr>
        <w:tabs>
          <w:tab w:val="num" w:pos="284"/>
        </w:tabs>
        <w:ind w:left="284" w:firstLine="0"/>
      </w:pPr>
      <w:rPr>
        <w:rFonts w:hint="default"/>
      </w:rPr>
    </w:lvl>
    <w:lvl w:ilvl="6">
      <w:start w:val="1"/>
      <w:numFmt w:val="none"/>
      <w:lvlText w:val=""/>
      <w:lvlJc w:val="left"/>
      <w:pPr>
        <w:tabs>
          <w:tab w:val="num" w:pos="284"/>
        </w:tabs>
        <w:ind w:left="284" w:firstLine="0"/>
      </w:pPr>
      <w:rPr>
        <w:rFonts w:hint="default"/>
      </w:rPr>
    </w:lvl>
    <w:lvl w:ilvl="7">
      <w:start w:val="1"/>
      <w:numFmt w:val="none"/>
      <w:lvlText w:val=""/>
      <w:lvlJc w:val="left"/>
      <w:pPr>
        <w:tabs>
          <w:tab w:val="num" w:pos="284"/>
        </w:tabs>
        <w:ind w:left="284" w:firstLine="0"/>
      </w:pPr>
      <w:rPr>
        <w:rFonts w:hint="default"/>
      </w:rPr>
    </w:lvl>
    <w:lvl w:ilvl="8">
      <w:start w:val="1"/>
      <w:numFmt w:val="none"/>
      <w:lvlText w:val=""/>
      <w:lvlJc w:val="left"/>
      <w:pPr>
        <w:tabs>
          <w:tab w:val="num" w:pos="284"/>
        </w:tabs>
        <w:ind w:left="284" w:firstLine="0"/>
      </w:pPr>
      <w:rPr>
        <w:rFonts w:hint="default"/>
      </w:rPr>
    </w:lvl>
  </w:abstractNum>
  <w:abstractNum w:abstractNumId="23" w15:restartNumberingAfterBreak="0">
    <w:nsid w:val="31EA2186"/>
    <w:multiLevelType w:val="multilevel"/>
    <w:tmpl w:val="A3AA2CDC"/>
    <w:lvl w:ilvl="0">
      <w:start w:val="1"/>
      <w:numFmt w:val="bullet"/>
      <w:pStyle w:val="DotPoints2"/>
      <w:lvlText w:val=""/>
      <w:lvlJc w:val="left"/>
      <w:pPr>
        <w:tabs>
          <w:tab w:val="num" w:pos="993"/>
        </w:tabs>
        <w:ind w:left="993" w:hanging="425"/>
      </w:pPr>
      <w:rPr>
        <w:rFonts w:ascii="Symbol" w:hAnsi="Symbol" w:hint="default"/>
        <w:color w:val="auto"/>
      </w:rPr>
    </w:lvl>
    <w:lvl w:ilvl="1">
      <w:start w:val="1"/>
      <w:numFmt w:val="bullet"/>
      <w:lvlRestart w:val="0"/>
      <w:pStyle w:val="Bullets2"/>
      <w:lvlText w:val=""/>
      <w:lvlJc w:val="left"/>
      <w:pPr>
        <w:tabs>
          <w:tab w:val="num" w:pos="1278"/>
        </w:tabs>
        <w:ind w:left="1278" w:hanging="426"/>
      </w:pPr>
      <w:rPr>
        <w:rFonts w:ascii="Wingdings" w:hAnsi="Wingdings" w:hint="default"/>
      </w:rPr>
    </w:lvl>
    <w:lvl w:ilvl="2">
      <w:start w:val="1"/>
      <w:numFmt w:val="bullet"/>
      <w:lvlRestart w:val="0"/>
      <w:lvlText w:val=""/>
      <w:lvlJc w:val="left"/>
      <w:pPr>
        <w:tabs>
          <w:tab w:val="num" w:pos="1561"/>
        </w:tabs>
        <w:ind w:left="1561" w:hanging="425"/>
      </w:pPr>
      <w:rPr>
        <w:rFonts w:ascii="Symbol" w:hAnsi="Symbol" w:hint="default"/>
      </w:rPr>
    </w:lvl>
    <w:lvl w:ilvl="3">
      <w:start w:val="1"/>
      <w:numFmt w:val="bullet"/>
      <w:lvlRestart w:val="0"/>
      <w:lvlText w:val=""/>
      <w:lvlJc w:val="left"/>
      <w:pPr>
        <w:tabs>
          <w:tab w:val="num" w:pos="1986"/>
        </w:tabs>
        <w:ind w:left="1986" w:hanging="425"/>
      </w:pPr>
      <w:rPr>
        <w:rFonts w:ascii="Wingdings" w:hAnsi="Wingdings" w:hint="default"/>
      </w:rPr>
    </w:lvl>
    <w:lvl w:ilvl="4">
      <w:start w:val="1"/>
      <w:numFmt w:val="decimal"/>
      <w:lvlText w:val="%5)"/>
      <w:lvlJc w:val="left"/>
      <w:pPr>
        <w:tabs>
          <w:tab w:val="num" w:pos="1293"/>
        </w:tabs>
        <w:ind w:left="1293" w:hanging="432"/>
      </w:pPr>
      <w:rPr>
        <w:rFonts w:hint="default"/>
      </w:rPr>
    </w:lvl>
    <w:lvl w:ilvl="5">
      <w:start w:val="1"/>
      <w:numFmt w:val="lowerLetter"/>
      <w:lvlText w:val="%6)"/>
      <w:lvlJc w:val="left"/>
      <w:pPr>
        <w:tabs>
          <w:tab w:val="num" w:pos="1437"/>
        </w:tabs>
        <w:ind w:left="1437" w:hanging="432"/>
      </w:pPr>
      <w:rPr>
        <w:rFonts w:hint="default"/>
      </w:rPr>
    </w:lvl>
    <w:lvl w:ilvl="6">
      <w:start w:val="1"/>
      <w:numFmt w:val="lowerRoman"/>
      <w:lvlText w:val="%7)"/>
      <w:lvlJc w:val="right"/>
      <w:pPr>
        <w:tabs>
          <w:tab w:val="num" w:pos="1581"/>
        </w:tabs>
        <w:ind w:left="1581" w:hanging="288"/>
      </w:pPr>
      <w:rPr>
        <w:rFonts w:hint="default"/>
      </w:rPr>
    </w:lvl>
    <w:lvl w:ilvl="7">
      <w:start w:val="1"/>
      <w:numFmt w:val="lowerLetter"/>
      <w:lvlText w:val="%8."/>
      <w:lvlJc w:val="left"/>
      <w:pPr>
        <w:tabs>
          <w:tab w:val="num" w:pos="1725"/>
        </w:tabs>
        <w:ind w:left="1725" w:hanging="432"/>
      </w:pPr>
      <w:rPr>
        <w:rFonts w:hint="default"/>
      </w:rPr>
    </w:lvl>
    <w:lvl w:ilvl="8">
      <w:start w:val="1"/>
      <w:numFmt w:val="lowerRoman"/>
      <w:lvlText w:val="%9."/>
      <w:lvlJc w:val="right"/>
      <w:pPr>
        <w:tabs>
          <w:tab w:val="num" w:pos="1869"/>
        </w:tabs>
        <w:ind w:left="1869" w:hanging="144"/>
      </w:pPr>
      <w:rPr>
        <w:rFonts w:hint="default"/>
      </w:rPr>
    </w:lvl>
  </w:abstractNum>
  <w:abstractNum w:abstractNumId="24" w15:restartNumberingAfterBreak="0">
    <w:nsid w:val="35717A02"/>
    <w:multiLevelType w:val="hybridMultilevel"/>
    <w:tmpl w:val="DD38554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5A07AF6"/>
    <w:multiLevelType w:val="hybridMultilevel"/>
    <w:tmpl w:val="E1DC761C"/>
    <w:lvl w:ilvl="0" w:tplc="84EA82CE">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6E442B"/>
    <w:multiLevelType w:val="hybridMultilevel"/>
    <w:tmpl w:val="C8DC4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9532F6"/>
    <w:multiLevelType w:val="hybridMultilevel"/>
    <w:tmpl w:val="756C0A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3DF65A50"/>
    <w:multiLevelType w:val="hybridMultilevel"/>
    <w:tmpl w:val="14CE6C90"/>
    <w:lvl w:ilvl="0" w:tplc="4364CFB0">
      <w:start w:val="1"/>
      <w:numFmt w:val="bullet"/>
      <w:lvlText w:val=""/>
      <w:lvlJc w:val="left"/>
      <w:pPr>
        <w:ind w:left="720" w:hanging="360"/>
      </w:pPr>
      <w:rPr>
        <w:rFonts w:ascii="Symbol" w:hAnsi="Symbol" w:hint="default"/>
        <w:color w:val="404040" w:themeColor="text1" w:themeTint="B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DD724F"/>
    <w:multiLevelType w:val="hybridMultilevel"/>
    <w:tmpl w:val="39388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5C75CC"/>
    <w:multiLevelType w:val="hybridMultilevel"/>
    <w:tmpl w:val="192650DA"/>
    <w:lvl w:ilvl="0" w:tplc="22A6B7FA">
      <w:start w:val="1"/>
      <w:numFmt w:val="decimal"/>
      <w:lvlText w:val="%1."/>
      <w:lvlJc w:val="left"/>
      <w:pPr>
        <w:ind w:left="360" w:hanging="360"/>
      </w:pPr>
      <w:rPr>
        <w:b/>
        <w:bCs/>
      </w:rPr>
    </w:lvl>
    <w:lvl w:ilvl="1" w:tplc="C7164EA4">
      <w:start w:val="1"/>
      <w:numFmt w:val="bullet"/>
      <w:lvlText w:val=""/>
      <w:lvlJc w:val="left"/>
      <w:pPr>
        <w:ind w:left="1080" w:hanging="360"/>
      </w:pPr>
      <w:rPr>
        <w:rFonts w:ascii="Symbol" w:hAnsi="Symbol" w:cs="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37508C1"/>
    <w:multiLevelType w:val="hybridMultilevel"/>
    <w:tmpl w:val="3CD412EE"/>
    <w:lvl w:ilvl="0" w:tplc="B9324248">
      <w:start w:val="1"/>
      <w:numFmt w:val="bullet"/>
      <w:pStyle w:val="Foot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814FD1"/>
    <w:multiLevelType w:val="hybridMultilevel"/>
    <w:tmpl w:val="B6D0DF4C"/>
    <w:lvl w:ilvl="0" w:tplc="09041F82">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EA2DE0"/>
    <w:multiLevelType w:val="hybridMultilevel"/>
    <w:tmpl w:val="596CE0C6"/>
    <w:lvl w:ilvl="0" w:tplc="A51E10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A25AC8"/>
    <w:multiLevelType w:val="hybridMultilevel"/>
    <w:tmpl w:val="CD2EF1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6BF0C35"/>
    <w:multiLevelType w:val="hybridMultilevel"/>
    <w:tmpl w:val="0EC60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F31C29"/>
    <w:multiLevelType w:val="multilevel"/>
    <w:tmpl w:val="3F8A049C"/>
    <w:lvl w:ilvl="0">
      <w:start w:val="1"/>
      <w:numFmt w:val="bullet"/>
      <w:pStyle w:val="Box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pStyle w:val="BoxBullet3"/>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70165C9A"/>
    <w:multiLevelType w:val="hybridMultilevel"/>
    <w:tmpl w:val="8E725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9875D0"/>
    <w:multiLevelType w:val="hybridMultilevel"/>
    <w:tmpl w:val="179AD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0324B6"/>
    <w:multiLevelType w:val="hybridMultilevel"/>
    <w:tmpl w:val="3C54E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BB56E5"/>
    <w:multiLevelType w:val="hybridMultilevel"/>
    <w:tmpl w:val="95128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1"/>
  </w:num>
  <w:num w:numId="4">
    <w:abstractNumId w:val="11"/>
  </w:num>
  <w:num w:numId="5">
    <w:abstractNumId w:val="9"/>
  </w:num>
  <w:num w:numId="6">
    <w:abstractNumId w:val="22"/>
  </w:num>
  <w:num w:numId="7">
    <w:abstractNumId w:val="7"/>
  </w:num>
  <w:num w:numId="8">
    <w:abstractNumId w:val="21"/>
  </w:num>
  <w:num w:numId="9">
    <w:abstractNumId w:val="20"/>
  </w:num>
  <w:num w:numId="10">
    <w:abstractNumId w:val="36"/>
  </w:num>
  <w:num w:numId="11">
    <w:abstractNumId w:val="23"/>
  </w:num>
  <w:num w:numId="12">
    <w:abstractNumId w:val="30"/>
  </w:num>
  <w:num w:numId="13">
    <w:abstractNumId w:val="34"/>
  </w:num>
  <w:num w:numId="14">
    <w:abstractNumId w:val="27"/>
  </w:num>
  <w:num w:numId="15">
    <w:abstractNumId w:val="6"/>
  </w:num>
  <w:num w:numId="16">
    <w:abstractNumId w:val="35"/>
  </w:num>
  <w:num w:numId="17">
    <w:abstractNumId w:val="28"/>
  </w:num>
  <w:num w:numId="18">
    <w:abstractNumId w:val="26"/>
  </w:num>
  <w:num w:numId="19">
    <w:abstractNumId w:val="24"/>
  </w:num>
  <w:num w:numId="20">
    <w:abstractNumId w:val="15"/>
  </w:num>
  <w:num w:numId="21">
    <w:abstractNumId w:val="18"/>
  </w:num>
  <w:num w:numId="22">
    <w:abstractNumId w:val="13"/>
  </w:num>
  <w:num w:numId="23">
    <w:abstractNumId w:val="19"/>
  </w:num>
  <w:num w:numId="24">
    <w:abstractNumId w:val="38"/>
  </w:num>
  <w:num w:numId="25">
    <w:abstractNumId w:val="32"/>
  </w:num>
  <w:num w:numId="26">
    <w:abstractNumId w:val="14"/>
  </w:num>
  <w:num w:numId="27">
    <w:abstractNumId w:val="5"/>
  </w:num>
  <w:num w:numId="28">
    <w:abstractNumId w:val="5"/>
  </w:num>
  <w:num w:numId="29">
    <w:abstractNumId w:val="33"/>
  </w:num>
  <w:num w:numId="30">
    <w:abstractNumId w:val="8"/>
  </w:num>
  <w:num w:numId="31">
    <w:abstractNumId w:val="1"/>
  </w:num>
  <w:num w:numId="32">
    <w:abstractNumId w:val="0"/>
  </w:num>
  <w:num w:numId="33">
    <w:abstractNumId w:val="12"/>
  </w:num>
  <w:num w:numId="34">
    <w:abstractNumId w:val="4"/>
  </w:num>
  <w:num w:numId="35">
    <w:abstractNumId w:val="37"/>
  </w:num>
  <w:num w:numId="36">
    <w:abstractNumId w:val="29"/>
  </w:num>
  <w:num w:numId="37">
    <w:abstractNumId w:val="16"/>
  </w:num>
  <w:num w:numId="38">
    <w:abstractNumId w:val="10"/>
  </w:num>
  <w:num w:numId="39">
    <w:abstractNumId w:val="17"/>
  </w:num>
  <w:num w:numId="40">
    <w:abstractNumId w:val="25"/>
  </w:num>
  <w:num w:numId="41">
    <w:abstractNumId w:val="40"/>
  </w:num>
  <w:num w:numId="42">
    <w:abstractNumId w:val="22"/>
  </w:num>
  <w:num w:numId="43">
    <w:abstractNumId w:val="39"/>
  </w:num>
  <w:num w:numId="44">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1EA"/>
    <w:rsid w:val="00000AB9"/>
    <w:rsid w:val="00001540"/>
    <w:rsid w:val="000018BF"/>
    <w:rsid w:val="00001C7C"/>
    <w:rsid w:val="00002A84"/>
    <w:rsid w:val="00002DAD"/>
    <w:rsid w:val="00003152"/>
    <w:rsid w:val="00003408"/>
    <w:rsid w:val="000038FE"/>
    <w:rsid w:val="000039D5"/>
    <w:rsid w:val="00003AE6"/>
    <w:rsid w:val="00003AF0"/>
    <w:rsid w:val="00004096"/>
    <w:rsid w:val="00004104"/>
    <w:rsid w:val="00004A62"/>
    <w:rsid w:val="00006102"/>
    <w:rsid w:val="000061F9"/>
    <w:rsid w:val="00006598"/>
    <w:rsid w:val="00006E20"/>
    <w:rsid w:val="000073E6"/>
    <w:rsid w:val="00007DED"/>
    <w:rsid w:val="00007FE6"/>
    <w:rsid w:val="00010233"/>
    <w:rsid w:val="00010763"/>
    <w:rsid w:val="00010C72"/>
    <w:rsid w:val="00010CD4"/>
    <w:rsid w:val="00011093"/>
    <w:rsid w:val="0001143F"/>
    <w:rsid w:val="00011454"/>
    <w:rsid w:val="0001180A"/>
    <w:rsid w:val="00011BDB"/>
    <w:rsid w:val="00011F93"/>
    <w:rsid w:val="00011FA1"/>
    <w:rsid w:val="0001335B"/>
    <w:rsid w:val="0001339D"/>
    <w:rsid w:val="00013C28"/>
    <w:rsid w:val="00013EC4"/>
    <w:rsid w:val="00014323"/>
    <w:rsid w:val="00014850"/>
    <w:rsid w:val="000149BC"/>
    <w:rsid w:val="00014B11"/>
    <w:rsid w:val="00014C11"/>
    <w:rsid w:val="00014C77"/>
    <w:rsid w:val="00014DA6"/>
    <w:rsid w:val="00014FFE"/>
    <w:rsid w:val="0001506F"/>
    <w:rsid w:val="00015180"/>
    <w:rsid w:val="00015784"/>
    <w:rsid w:val="000159AB"/>
    <w:rsid w:val="00015B37"/>
    <w:rsid w:val="00015DB4"/>
    <w:rsid w:val="00015FE1"/>
    <w:rsid w:val="0001666D"/>
    <w:rsid w:val="000174DD"/>
    <w:rsid w:val="00017CFD"/>
    <w:rsid w:val="0002031F"/>
    <w:rsid w:val="000210E9"/>
    <w:rsid w:val="0002168F"/>
    <w:rsid w:val="000216AC"/>
    <w:rsid w:val="000220D0"/>
    <w:rsid w:val="0002259B"/>
    <w:rsid w:val="00023BD6"/>
    <w:rsid w:val="00023D43"/>
    <w:rsid w:val="00024008"/>
    <w:rsid w:val="000241EA"/>
    <w:rsid w:val="00024ED0"/>
    <w:rsid w:val="00024FC1"/>
    <w:rsid w:val="000254AD"/>
    <w:rsid w:val="000254F5"/>
    <w:rsid w:val="00025AE1"/>
    <w:rsid w:val="00026260"/>
    <w:rsid w:val="0002632F"/>
    <w:rsid w:val="0002642B"/>
    <w:rsid w:val="00027D59"/>
    <w:rsid w:val="00030003"/>
    <w:rsid w:val="00030449"/>
    <w:rsid w:val="000307EB"/>
    <w:rsid w:val="00030FA1"/>
    <w:rsid w:val="0003135F"/>
    <w:rsid w:val="000317D1"/>
    <w:rsid w:val="000318BD"/>
    <w:rsid w:val="00031F91"/>
    <w:rsid w:val="00032AD0"/>
    <w:rsid w:val="00033088"/>
    <w:rsid w:val="0003324E"/>
    <w:rsid w:val="0003327F"/>
    <w:rsid w:val="0003334F"/>
    <w:rsid w:val="000343B7"/>
    <w:rsid w:val="00034A65"/>
    <w:rsid w:val="00035529"/>
    <w:rsid w:val="00036764"/>
    <w:rsid w:val="00036E3C"/>
    <w:rsid w:val="00037A62"/>
    <w:rsid w:val="00040081"/>
    <w:rsid w:val="00040472"/>
    <w:rsid w:val="000411A3"/>
    <w:rsid w:val="000413F8"/>
    <w:rsid w:val="00041A72"/>
    <w:rsid w:val="000425BE"/>
    <w:rsid w:val="00042B4E"/>
    <w:rsid w:val="00042E95"/>
    <w:rsid w:val="000432B2"/>
    <w:rsid w:val="00043696"/>
    <w:rsid w:val="00044879"/>
    <w:rsid w:val="00044D64"/>
    <w:rsid w:val="00044EB0"/>
    <w:rsid w:val="00045AD6"/>
    <w:rsid w:val="00046230"/>
    <w:rsid w:val="0004632E"/>
    <w:rsid w:val="000467A7"/>
    <w:rsid w:val="00046BE1"/>
    <w:rsid w:val="00047BAE"/>
    <w:rsid w:val="00047D81"/>
    <w:rsid w:val="0005000B"/>
    <w:rsid w:val="000500C5"/>
    <w:rsid w:val="00050914"/>
    <w:rsid w:val="00050C28"/>
    <w:rsid w:val="00050DEB"/>
    <w:rsid w:val="00050FC6"/>
    <w:rsid w:val="00051C99"/>
    <w:rsid w:val="00051D05"/>
    <w:rsid w:val="00051FE3"/>
    <w:rsid w:val="0005260C"/>
    <w:rsid w:val="0005266C"/>
    <w:rsid w:val="000526A4"/>
    <w:rsid w:val="0005314C"/>
    <w:rsid w:val="000535B7"/>
    <w:rsid w:val="00053D90"/>
    <w:rsid w:val="00053F4B"/>
    <w:rsid w:val="000541D2"/>
    <w:rsid w:val="0005461B"/>
    <w:rsid w:val="000546D6"/>
    <w:rsid w:val="000550A5"/>
    <w:rsid w:val="00055585"/>
    <w:rsid w:val="00055782"/>
    <w:rsid w:val="00055997"/>
    <w:rsid w:val="000559D3"/>
    <w:rsid w:val="00055D10"/>
    <w:rsid w:val="00055DF5"/>
    <w:rsid w:val="000560D7"/>
    <w:rsid w:val="00056706"/>
    <w:rsid w:val="000572BA"/>
    <w:rsid w:val="00057A84"/>
    <w:rsid w:val="00057BAB"/>
    <w:rsid w:val="000607C5"/>
    <w:rsid w:val="00060900"/>
    <w:rsid w:val="00061348"/>
    <w:rsid w:val="0006175F"/>
    <w:rsid w:val="00061A4A"/>
    <w:rsid w:val="00062343"/>
    <w:rsid w:val="00062A03"/>
    <w:rsid w:val="00062E2F"/>
    <w:rsid w:val="0006305D"/>
    <w:rsid w:val="0006384E"/>
    <w:rsid w:val="00063FBF"/>
    <w:rsid w:val="00064427"/>
    <w:rsid w:val="00064460"/>
    <w:rsid w:val="000644A3"/>
    <w:rsid w:val="000646A3"/>
    <w:rsid w:val="00064DD8"/>
    <w:rsid w:val="00065685"/>
    <w:rsid w:val="0006591C"/>
    <w:rsid w:val="00066374"/>
    <w:rsid w:val="00066467"/>
    <w:rsid w:val="00066707"/>
    <w:rsid w:val="00066A08"/>
    <w:rsid w:val="00067644"/>
    <w:rsid w:val="00067AA7"/>
    <w:rsid w:val="00067DF2"/>
    <w:rsid w:val="00070467"/>
    <w:rsid w:val="000707EA"/>
    <w:rsid w:val="00070AD3"/>
    <w:rsid w:val="00070BFC"/>
    <w:rsid w:val="00071CC7"/>
    <w:rsid w:val="00072690"/>
    <w:rsid w:val="00072864"/>
    <w:rsid w:val="00072FD3"/>
    <w:rsid w:val="0007331B"/>
    <w:rsid w:val="0007417F"/>
    <w:rsid w:val="0007475F"/>
    <w:rsid w:val="00074AC6"/>
    <w:rsid w:val="0007538F"/>
    <w:rsid w:val="0007560E"/>
    <w:rsid w:val="00075CA0"/>
    <w:rsid w:val="000765CB"/>
    <w:rsid w:val="0007742D"/>
    <w:rsid w:val="00077519"/>
    <w:rsid w:val="00077E66"/>
    <w:rsid w:val="0008051A"/>
    <w:rsid w:val="00080681"/>
    <w:rsid w:val="00080C6E"/>
    <w:rsid w:val="00080E92"/>
    <w:rsid w:val="000817F5"/>
    <w:rsid w:val="0008208F"/>
    <w:rsid w:val="000822AC"/>
    <w:rsid w:val="00082521"/>
    <w:rsid w:val="000829DE"/>
    <w:rsid w:val="00082C3B"/>
    <w:rsid w:val="00083A64"/>
    <w:rsid w:val="00083C39"/>
    <w:rsid w:val="00084A34"/>
    <w:rsid w:val="00084BA5"/>
    <w:rsid w:val="00084F8C"/>
    <w:rsid w:val="0008511B"/>
    <w:rsid w:val="000856A4"/>
    <w:rsid w:val="00085E5A"/>
    <w:rsid w:val="00086C67"/>
    <w:rsid w:val="00086EA5"/>
    <w:rsid w:val="000910B3"/>
    <w:rsid w:val="00091474"/>
    <w:rsid w:val="00091C27"/>
    <w:rsid w:val="00091DDA"/>
    <w:rsid w:val="00091E8A"/>
    <w:rsid w:val="00092C8A"/>
    <w:rsid w:val="00092F78"/>
    <w:rsid w:val="00093149"/>
    <w:rsid w:val="000938AD"/>
    <w:rsid w:val="000939D8"/>
    <w:rsid w:val="00093D3B"/>
    <w:rsid w:val="0009455A"/>
    <w:rsid w:val="00094ACD"/>
    <w:rsid w:val="00094CF4"/>
    <w:rsid w:val="00094D01"/>
    <w:rsid w:val="000953CE"/>
    <w:rsid w:val="000956AD"/>
    <w:rsid w:val="00095ECB"/>
    <w:rsid w:val="00096825"/>
    <w:rsid w:val="00097D35"/>
    <w:rsid w:val="000A05E5"/>
    <w:rsid w:val="000A083F"/>
    <w:rsid w:val="000A08D9"/>
    <w:rsid w:val="000A16F2"/>
    <w:rsid w:val="000A19A0"/>
    <w:rsid w:val="000A1CB0"/>
    <w:rsid w:val="000A21A7"/>
    <w:rsid w:val="000A26DE"/>
    <w:rsid w:val="000A2E8D"/>
    <w:rsid w:val="000A2F1F"/>
    <w:rsid w:val="000A2FD1"/>
    <w:rsid w:val="000A395A"/>
    <w:rsid w:val="000A39CF"/>
    <w:rsid w:val="000A3DBD"/>
    <w:rsid w:val="000A3E8B"/>
    <w:rsid w:val="000A4278"/>
    <w:rsid w:val="000A4E77"/>
    <w:rsid w:val="000A576F"/>
    <w:rsid w:val="000A57EB"/>
    <w:rsid w:val="000A622D"/>
    <w:rsid w:val="000A6990"/>
    <w:rsid w:val="000A6D90"/>
    <w:rsid w:val="000B0303"/>
    <w:rsid w:val="000B0460"/>
    <w:rsid w:val="000B0D6D"/>
    <w:rsid w:val="000B0E9B"/>
    <w:rsid w:val="000B157E"/>
    <w:rsid w:val="000B16B9"/>
    <w:rsid w:val="000B1763"/>
    <w:rsid w:val="000B19E0"/>
    <w:rsid w:val="000B19E7"/>
    <w:rsid w:val="000B1A18"/>
    <w:rsid w:val="000B1D4E"/>
    <w:rsid w:val="000B1D95"/>
    <w:rsid w:val="000B1EAC"/>
    <w:rsid w:val="000B2478"/>
    <w:rsid w:val="000B2C8F"/>
    <w:rsid w:val="000B348E"/>
    <w:rsid w:val="000B412B"/>
    <w:rsid w:val="000B436E"/>
    <w:rsid w:val="000B4427"/>
    <w:rsid w:val="000B4BD8"/>
    <w:rsid w:val="000B4E39"/>
    <w:rsid w:val="000B4F82"/>
    <w:rsid w:val="000B57E4"/>
    <w:rsid w:val="000B59F7"/>
    <w:rsid w:val="000B5A48"/>
    <w:rsid w:val="000B5C79"/>
    <w:rsid w:val="000B5EF0"/>
    <w:rsid w:val="000B60FE"/>
    <w:rsid w:val="000B6471"/>
    <w:rsid w:val="000B6B68"/>
    <w:rsid w:val="000B7785"/>
    <w:rsid w:val="000B7AEF"/>
    <w:rsid w:val="000C0323"/>
    <w:rsid w:val="000C06A9"/>
    <w:rsid w:val="000C0F4B"/>
    <w:rsid w:val="000C12C6"/>
    <w:rsid w:val="000C178E"/>
    <w:rsid w:val="000C1E61"/>
    <w:rsid w:val="000C20A9"/>
    <w:rsid w:val="000C2508"/>
    <w:rsid w:val="000C256E"/>
    <w:rsid w:val="000C2CFE"/>
    <w:rsid w:val="000C2D70"/>
    <w:rsid w:val="000C39C6"/>
    <w:rsid w:val="000C3C6D"/>
    <w:rsid w:val="000C4024"/>
    <w:rsid w:val="000C42DD"/>
    <w:rsid w:val="000C454A"/>
    <w:rsid w:val="000C4862"/>
    <w:rsid w:val="000C4EB1"/>
    <w:rsid w:val="000C5255"/>
    <w:rsid w:val="000C59F8"/>
    <w:rsid w:val="000C6915"/>
    <w:rsid w:val="000D0506"/>
    <w:rsid w:val="000D0DB0"/>
    <w:rsid w:val="000D10BC"/>
    <w:rsid w:val="000D180A"/>
    <w:rsid w:val="000D1E4F"/>
    <w:rsid w:val="000D256E"/>
    <w:rsid w:val="000D288D"/>
    <w:rsid w:val="000D3430"/>
    <w:rsid w:val="000D3A95"/>
    <w:rsid w:val="000D4439"/>
    <w:rsid w:val="000D4786"/>
    <w:rsid w:val="000D5769"/>
    <w:rsid w:val="000D5F0F"/>
    <w:rsid w:val="000D67DC"/>
    <w:rsid w:val="000D6F11"/>
    <w:rsid w:val="000D72C3"/>
    <w:rsid w:val="000D7395"/>
    <w:rsid w:val="000D7C6E"/>
    <w:rsid w:val="000E0434"/>
    <w:rsid w:val="000E0702"/>
    <w:rsid w:val="000E07A0"/>
    <w:rsid w:val="000E0918"/>
    <w:rsid w:val="000E0B1B"/>
    <w:rsid w:val="000E0C40"/>
    <w:rsid w:val="000E0E77"/>
    <w:rsid w:val="000E1731"/>
    <w:rsid w:val="000E1861"/>
    <w:rsid w:val="000E1EA3"/>
    <w:rsid w:val="000E2AF7"/>
    <w:rsid w:val="000E2BB5"/>
    <w:rsid w:val="000E37A8"/>
    <w:rsid w:val="000E483E"/>
    <w:rsid w:val="000E4DBA"/>
    <w:rsid w:val="000E5532"/>
    <w:rsid w:val="000E55E0"/>
    <w:rsid w:val="000E57E2"/>
    <w:rsid w:val="000E5BCD"/>
    <w:rsid w:val="000E5F35"/>
    <w:rsid w:val="000E6D4D"/>
    <w:rsid w:val="000E6E00"/>
    <w:rsid w:val="000E74AB"/>
    <w:rsid w:val="000E7A45"/>
    <w:rsid w:val="000F029C"/>
    <w:rsid w:val="000F0820"/>
    <w:rsid w:val="000F09F7"/>
    <w:rsid w:val="000F0E48"/>
    <w:rsid w:val="000F0EAC"/>
    <w:rsid w:val="000F1663"/>
    <w:rsid w:val="000F23A5"/>
    <w:rsid w:val="000F3616"/>
    <w:rsid w:val="000F39F7"/>
    <w:rsid w:val="000F3FE0"/>
    <w:rsid w:val="000F4BA9"/>
    <w:rsid w:val="000F57CC"/>
    <w:rsid w:val="000F5852"/>
    <w:rsid w:val="000F58F8"/>
    <w:rsid w:val="000F5C0F"/>
    <w:rsid w:val="000F6065"/>
    <w:rsid w:val="000F6706"/>
    <w:rsid w:val="000F76DA"/>
    <w:rsid w:val="000F7A63"/>
    <w:rsid w:val="000F7B6F"/>
    <w:rsid w:val="000F7BF0"/>
    <w:rsid w:val="000F7E2A"/>
    <w:rsid w:val="0010012C"/>
    <w:rsid w:val="001006CC"/>
    <w:rsid w:val="00100C0F"/>
    <w:rsid w:val="00100D54"/>
    <w:rsid w:val="00101252"/>
    <w:rsid w:val="00101263"/>
    <w:rsid w:val="00101B69"/>
    <w:rsid w:val="00101C93"/>
    <w:rsid w:val="001022F2"/>
    <w:rsid w:val="00102440"/>
    <w:rsid w:val="001024A8"/>
    <w:rsid w:val="001035EE"/>
    <w:rsid w:val="00103988"/>
    <w:rsid w:val="00103AF5"/>
    <w:rsid w:val="00104B83"/>
    <w:rsid w:val="00104D7A"/>
    <w:rsid w:val="0010506B"/>
    <w:rsid w:val="00105125"/>
    <w:rsid w:val="00106ACF"/>
    <w:rsid w:val="00106CF7"/>
    <w:rsid w:val="0010777F"/>
    <w:rsid w:val="00107850"/>
    <w:rsid w:val="00107CE1"/>
    <w:rsid w:val="001106AF"/>
    <w:rsid w:val="00110F19"/>
    <w:rsid w:val="001110CD"/>
    <w:rsid w:val="00111138"/>
    <w:rsid w:val="001114B8"/>
    <w:rsid w:val="0011199B"/>
    <w:rsid w:val="00111E8D"/>
    <w:rsid w:val="00111EF9"/>
    <w:rsid w:val="00111FAB"/>
    <w:rsid w:val="00112673"/>
    <w:rsid w:val="00112888"/>
    <w:rsid w:val="001129CD"/>
    <w:rsid w:val="00113070"/>
    <w:rsid w:val="001138E3"/>
    <w:rsid w:val="00113B43"/>
    <w:rsid w:val="00113BD7"/>
    <w:rsid w:val="00113E7E"/>
    <w:rsid w:val="00114466"/>
    <w:rsid w:val="00114691"/>
    <w:rsid w:val="001151B7"/>
    <w:rsid w:val="001152B4"/>
    <w:rsid w:val="00115814"/>
    <w:rsid w:val="00115935"/>
    <w:rsid w:val="001164A2"/>
    <w:rsid w:val="00116518"/>
    <w:rsid w:val="00117471"/>
    <w:rsid w:val="00117772"/>
    <w:rsid w:val="00117DB1"/>
    <w:rsid w:val="001209CB"/>
    <w:rsid w:val="00120DE9"/>
    <w:rsid w:val="00120E96"/>
    <w:rsid w:val="00121613"/>
    <w:rsid w:val="00122193"/>
    <w:rsid w:val="001224A6"/>
    <w:rsid w:val="001229BA"/>
    <w:rsid w:val="00122B2D"/>
    <w:rsid w:val="00124081"/>
    <w:rsid w:val="00124935"/>
    <w:rsid w:val="00125CBF"/>
    <w:rsid w:val="0012605D"/>
    <w:rsid w:val="0012689B"/>
    <w:rsid w:val="001269C6"/>
    <w:rsid w:val="00126BF9"/>
    <w:rsid w:val="001273C2"/>
    <w:rsid w:val="00127718"/>
    <w:rsid w:val="00127979"/>
    <w:rsid w:val="00127C6F"/>
    <w:rsid w:val="00127EAC"/>
    <w:rsid w:val="001300C3"/>
    <w:rsid w:val="001303C8"/>
    <w:rsid w:val="00130869"/>
    <w:rsid w:val="001309FE"/>
    <w:rsid w:val="0013101A"/>
    <w:rsid w:val="00131BF9"/>
    <w:rsid w:val="00131C4D"/>
    <w:rsid w:val="001321B6"/>
    <w:rsid w:val="001330B7"/>
    <w:rsid w:val="001332C9"/>
    <w:rsid w:val="0013331D"/>
    <w:rsid w:val="00133589"/>
    <w:rsid w:val="00133EFA"/>
    <w:rsid w:val="0013424B"/>
    <w:rsid w:val="001343E4"/>
    <w:rsid w:val="00134654"/>
    <w:rsid w:val="001353FB"/>
    <w:rsid w:val="001356D2"/>
    <w:rsid w:val="001359F7"/>
    <w:rsid w:val="00136019"/>
    <w:rsid w:val="00137A2D"/>
    <w:rsid w:val="00140020"/>
    <w:rsid w:val="00140608"/>
    <w:rsid w:val="00140CB0"/>
    <w:rsid w:val="00140E19"/>
    <w:rsid w:val="001411AB"/>
    <w:rsid w:val="0014127E"/>
    <w:rsid w:val="00141AB4"/>
    <w:rsid w:val="00141C41"/>
    <w:rsid w:val="00141DC1"/>
    <w:rsid w:val="00141E82"/>
    <w:rsid w:val="001423F7"/>
    <w:rsid w:val="00142CFB"/>
    <w:rsid w:val="00142D3F"/>
    <w:rsid w:val="00142DAA"/>
    <w:rsid w:val="0014329C"/>
    <w:rsid w:val="00143459"/>
    <w:rsid w:val="00143EAF"/>
    <w:rsid w:val="00143FA5"/>
    <w:rsid w:val="001442EE"/>
    <w:rsid w:val="00144EEB"/>
    <w:rsid w:val="001454C5"/>
    <w:rsid w:val="0014554D"/>
    <w:rsid w:val="001459C9"/>
    <w:rsid w:val="00145A00"/>
    <w:rsid w:val="00145B8A"/>
    <w:rsid w:val="00145BED"/>
    <w:rsid w:val="00145DC6"/>
    <w:rsid w:val="00145DF1"/>
    <w:rsid w:val="00145F59"/>
    <w:rsid w:val="0014634E"/>
    <w:rsid w:val="0014651C"/>
    <w:rsid w:val="001467E1"/>
    <w:rsid w:val="001467F0"/>
    <w:rsid w:val="00146E0A"/>
    <w:rsid w:val="00147371"/>
    <w:rsid w:val="00147481"/>
    <w:rsid w:val="0014796F"/>
    <w:rsid w:val="00151876"/>
    <w:rsid w:val="00151BCE"/>
    <w:rsid w:val="00151FD6"/>
    <w:rsid w:val="001523B2"/>
    <w:rsid w:val="001523EA"/>
    <w:rsid w:val="00152561"/>
    <w:rsid w:val="00152A9A"/>
    <w:rsid w:val="00152CC2"/>
    <w:rsid w:val="00153773"/>
    <w:rsid w:val="0015385A"/>
    <w:rsid w:val="00153860"/>
    <w:rsid w:val="00154A57"/>
    <w:rsid w:val="00155504"/>
    <w:rsid w:val="001569A5"/>
    <w:rsid w:val="00156BD1"/>
    <w:rsid w:val="00156DBC"/>
    <w:rsid w:val="001573E3"/>
    <w:rsid w:val="00157AC0"/>
    <w:rsid w:val="00157C0E"/>
    <w:rsid w:val="00157EA5"/>
    <w:rsid w:val="001601CA"/>
    <w:rsid w:val="0016046E"/>
    <w:rsid w:val="0016048D"/>
    <w:rsid w:val="00160511"/>
    <w:rsid w:val="001606D9"/>
    <w:rsid w:val="001607DA"/>
    <w:rsid w:val="001607FC"/>
    <w:rsid w:val="00160A3A"/>
    <w:rsid w:val="001619F2"/>
    <w:rsid w:val="00161BB3"/>
    <w:rsid w:val="00161BFB"/>
    <w:rsid w:val="00161EA2"/>
    <w:rsid w:val="001622EF"/>
    <w:rsid w:val="001627C1"/>
    <w:rsid w:val="00162A31"/>
    <w:rsid w:val="00162B0E"/>
    <w:rsid w:val="00162CCE"/>
    <w:rsid w:val="00162EBB"/>
    <w:rsid w:val="00163145"/>
    <w:rsid w:val="001633CF"/>
    <w:rsid w:val="0016513D"/>
    <w:rsid w:val="001657FB"/>
    <w:rsid w:val="00165DB8"/>
    <w:rsid w:val="00165DCB"/>
    <w:rsid w:val="0016608D"/>
    <w:rsid w:val="001668A7"/>
    <w:rsid w:val="00166B84"/>
    <w:rsid w:val="00167694"/>
    <w:rsid w:val="00167A52"/>
    <w:rsid w:val="00167B28"/>
    <w:rsid w:val="001701B8"/>
    <w:rsid w:val="00170334"/>
    <w:rsid w:val="00170B26"/>
    <w:rsid w:val="00170C63"/>
    <w:rsid w:val="0017188C"/>
    <w:rsid w:val="00171AE1"/>
    <w:rsid w:val="00171F58"/>
    <w:rsid w:val="00172397"/>
    <w:rsid w:val="001724C3"/>
    <w:rsid w:val="0017254F"/>
    <w:rsid w:val="00172832"/>
    <w:rsid w:val="001730DA"/>
    <w:rsid w:val="001736CC"/>
    <w:rsid w:val="00174A05"/>
    <w:rsid w:val="00174E43"/>
    <w:rsid w:val="001751D6"/>
    <w:rsid w:val="00175EBC"/>
    <w:rsid w:val="001765CB"/>
    <w:rsid w:val="00176ABD"/>
    <w:rsid w:val="00180A6B"/>
    <w:rsid w:val="0018109E"/>
    <w:rsid w:val="0018124A"/>
    <w:rsid w:val="00181677"/>
    <w:rsid w:val="00181AB9"/>
    <w:rsid w:val="00181D7C"/>
    <w:rsid w:val="00181F68"/>
    <w:rsid w:val="00182020"/>
    <w:rsid w:val="0018216B"/>
    <w:rsid w:val="001824AE"/>
    <w:rsid w:val="00182C99"/>
    <w:rsid w:val="00182EE8"/>
    <w:rsid w:val="00183132"/>
    <w:rsid w:val="001839B9"/>
    <w:rsid w:val="00184056"/>
    <w:rsid w:val="001841F4"/>
    <w:rsid w:val="001842F8"/>
    <w:rsid w:val="0018436D"/>
    <w:rsid w:val="00184784"/>
    <w:rsid w:val="00184979"/>
    <w:rsid w:val="00184C89"/>
    <w:rsid w:val="00184E7D"/>
    <w:rsid w:val="00184F77"/>
    <w:rsid w:val="00185344"/>
    <w:rsid w:val="00185F71"/>
    <w:rsid w:val="00186513"/>
    <w:rsid w:val="001865F2"/>
    <w:rsid w:val="00186825"/>
    <w:rsid w:val="00187BB9"/>
    <w:rsid w:val="00190293"/>
    <w:rsid w:val="001906D9"/>
    <w:rsid w:val="00190B9E"/>
    <w:rsid w:val="00190BB4"/>
    <w:rsid w:val="00190D77"/>
    <w:rsid w:val="00191056"/>
    <w:rsid w:val="001911C1"/>
    <w:rsid w:val="0019138F"/>
    <w:rsid w:val="001914A1"/>
    <w:rsid w:val="00192232"/>
    <w:rsid w:val="00192B27"/>
    <w:rsid w:val="00193F55"/>
    <w:rsid w:val="001943CE"/>
    <w:rsid w:val="00194860"/>
    <w:rsid w:val="0019584B"/>
    <w:rsid w:val="001958DE"/>
    <w:rsid w:val="0019594B"/>
    <w:rsid w:val="00195A9E"/>
    <w:rsid w:val="00195D83"/>
    <w:rsid w:val="001964E7"/>
    <w:rsid w:val="00196DC6"/>
    <w:rsid w:val="00196F8E"/>
    <w:rsid w:val="00197CA2"/>
    <w:rsid w:val="001A0012"/>
    <w:rsid w:val="001A009C"/>
    <w:rsid w:val="001A0590"/>
    <w:rsid w:val="001A08C9"/>
    <w:rsid w:val="001A0ED4"/>
    <w:rsid w:val="001A17EC"/>
    <w:rsid w:val="001A1900"/>
    <w:rsid w:val="001A19E5"/>
    <w:rsid w:val="001A1B53"/>
    <w:rsid w:val="001A1C63"/>
    <w:rsid w:val="001A2965"/>
    <w:rsid w:val="001A2D7D"/>
    <w:rsid w:val="001A38F5"/>
    <w:rsid w:val="001A3C51"/>
    <w:rsid w:val="001A44F2"/>
    <w:rsid w:val="001A4EA3"/>
    <w:rsid w:val="001A51CF"/>
    <w:rsid w:val="001A53B3"/>
    <w:rsid w:val="001A552C"/>
    <w:rsid w:val="001A5A20"/>
    <w:rsid w:val="001A5C68"/>
    <w:rsid w:val="001A5F97"/>
    <w:rsid w:val="001A6034"/>
    <w:rsid w:val="001A6256"/>
    <w:rsid w:val="001A6DBE"/>
    <w:rsid w:val="001A6FD7"/>
    <w:rsid w:val="001A7456"/>
    <w:rsid w:val="001A7E90"/>
    <w:rsid w:val="001B03B5"/>
    <w:rsid w:val="001B0537"/>
    <w:rsid w:val="001B0775"/>
    <w:rsid w:val="001B0AB3"/>
    <w:rsid w:val="001B0E9C"/>
    <w:rsid w:val="001B154F"/>
    <w:rsid w:val="001B1825"/>
    <w:rsid w:val="001B2926"/>
    <w:rsid w:val="001B2C66"/>
    <w:rsid w:val="001B2DAB"/>
    <w:rsid w:val="001B2DB4"/>
    <w:rsid w:val="001B3A38"/>
    <w:rsid w:val="001B4184"/>
    <w:rsid w:val="001B43EC"/>
    <w:rsid w:val="001B4920"/>
    <w:rsid w:val="001B510B"/>
    <w:rsid w:val="001B52F1"/>
    <w:rsid w:val="001B5314"/>
    <w:rsid w:val="001B5AEF"/>
    <w:rsid w:val="001B5C2C"/>
    <w:rsid w:val="001B728E"/>
    <w:rsid w:val="001B7450"/>
    <w:rsid w:val="001B7C93"/>
    <w:rsid w:val="001B7D3A"/>
    <w:rsid w:val="001C0979"/>
    <w:rsid w:val="001C0A34"/>
    <w:rsid w:val="001C22D7"/>
    <w:rsid w:val="001C2311"/>
    <w:rsid w:val="001C2681"/>
    <w:rsid w:val="001C2BF9"/>
    <w:rsid w:val="001C3552"/>
    <w:rsid w:val="001C35E0"/>
    <w:rsid w:val="001C3ADD"/>
    <w:rsid w:val="001C3CDC"/>
    <w:rsid w:val="001C4803"/>
    <w:rsid w:val="001C52F9"/>
    <w:rsid w:val="001C56C4"/>
    <w:rsid w:val="001C5F4D"/>
    <w:rsid w:val="001C638F"/>
    <w:rsid w:val="001C6929"/>
    <w:rsid w:val="001C7FC6"/>
    <w:rsid w:val="001D07EB"/>
    <w:rsid w:val="001D0834"/>
    <w:rsid w:val="001D0B0D"/>
    <w:rsid w:val="001D1C09"/>
    <w:rsid w:val="001D1C2B"/>
    <w:rsid w:val="001D1F19"/>
    <w:rsid w:val="001D210F"/>
    <w:rsid w:val="001D24C6"/>
    <w:rsid w:val="001D2515"/>
    <w:rsid w:val="001D2620"/>
    <w:rsid w:val="001D2D67"/>
    <w:rsid w:val="001D2F83"/>
    <w:rsid w:val="001D3A5E"/>
    <w:rsid w:val="001D403D"/>
    <w:rsid w:val="001D41D1"/>
    <w:rsid w:val="001D488F"/>
    <w:rsid w:val="001D48D4"/>
    <w:rsid w:val="001D4B58"/>
    <w:rsid w:val="001D5073"/>
    <w:rsid w:val="001D5BB9"/>
    <w:rsid w:val="001D6980"/>
    <w:rsid w:val="001D6D41"/>
    <w:rsid w:val="001D6EAB"/>
    <w:rsid w:val="001D7283"/>
    <w:rsid w:val="001D737C"/>
    <w:rsid w:val="001D74D7"/>
    <w:rsid w:val="001D7528"/>
    <w:rsid w:val="001D76B1"/>
    <w:rsid w:val="001D7D21"/>
    <w:rsid w:val="001E0226"/>
    <w:rsid w:val="001E05C0"/>
    <w:rsid w:val="001E0907"/>
    <w:rsid w:val="001E0948"/>
    <w:rsid w:val="001E14F8"/>
    <w:rsid w:val="001E1687"/>
    <w:rsid w:val="001E1CD5"/>
    <w:rsid w:val="001E27F1"/>
    <w:rsid w:val="001E2944"/>
    <w:rsid w:val="001E35AB"/>
    <w:rsid w:val="001E41B2"/>
    <w:rsid w:val="001E4B57"/>
    <w:rsid w:val="001E4CF3"/>
    <w:rsid w:val="001E50A6"/>
    <w:rsid w:val="001E55F8"/>
    <w:rsid w:val="001E59AE"/>
    <w:rsid w:val="001E66E5"/>
    <w:rsid w:val="001E6731"/>
    <w:rsid w:val="001E6A45"/>
    <w:rsid w:val="001E6BD6"/>
    <w:rsid w:val="001E719F"/>
    <w:rsid w:val="001E7A29"/>
    <w:rsid w:val="001E7AD7"/>
    <w:rsid w:val="001E7D77"/>
    <w:rsid w:val="001F067E"/>
    <w:rsid w:val="001F069C"/>
    <w:rsid w:val="001F09DD"/>
    <w:rsid w:val="001F0AFA"/>
    <w:rsid w:val="001F0E4D"/>
    <w:rsid w:val="001F127A"/>
    <w:rsid w:val="001F14CC"/>
    <w:rsid w:val="001F18AB"/>
    <w:rsid w:val="001F2783"/>
    <w:rsid w:val="001F2982"/>
    <w:rsid w:val="001F36FE"/>
    <w:rsid w:val="001F3B69"/>
    <w:rsid w:val="001F3BFC"/>
    <w:rsid w:val="001F3D2F"/>
    <w:rsid w:val="001F4226"/>
    <w:rsid w:val="001F42F1"/>
    <w:rsid w:val="001F5061"/>
    <w:rsid w:val="001F5558"/>
    <w:rsid w:val="001F56B1"/>
    <w:rsid w:val="001F680E"/>
    <w:rsid w:val="001F6ABD"/>
    <w:rsid w:val="001F6BBA"/>
    <w:rsid w:val="001F7A68"/>
    <w:rsid w:val="001F7D00"/>
    <w:rsid w:val="001F7FFB"/>
    <w:rsid w:val="002007C1"/>
    <w:rsid w:val="002007C3"/>
    <w:rsid w:val="00201374"/>
    <w:rsid w:val="00201CA1"/>
    <w:rsid w:val="0020263F"/>
    <w:rsid w:val="00202A2A"/>
    <w:rsid w:val="00202FCB"/>
    <w:rsid w:val="00202FDC"/>
    <w:rsid w:val="00203064"/>
    <w:rsid w:val="00203427"/>
    <w:rsid w:val="00203714"/>
    <w:rsid w:val="00203BFB"/>
    <w:rsid w:val="00203FD9"/>
    <w:rsid w:val="002042A9"/>
    <w:rsid w:val="00204AC1"/>
    <w:rsid w:val="00205C9E"/>
    <w:rsid w:val="002062DC"/>
    <w:rsid w:val="00207079"/>
    <w:rsid w:val="00207908"/>
    <w:rsid w:val="00210C20"/>
    <w:rsid w:val="00210E04"/>
    <w:rsid w:val="002110D2"/>
    <w:rsid w:val="002111B1"/>
    <w:rsid w:val="002116EC"/>
    <w:rsid w:val="00211777"/>
    <w:rsid w:val="00211960"/>
    <w:rsid w:val="002121C3"/>
    <w:rsid w:val="00212562"/>
    <w:rsid w:val="00212B76"/>
    <w:rsid w:val="00213719"/>
    <w:rsid w:val="00213F43"/>
    <w:rsid w:val="0021561A"/>
    <w:rsid w:val="00215787"/>
    <w:rsid w:val="002157CE"/>
    <w:rsid w:val="00215822"/>
    <w:rsid w:val="00215A87"/>
    <w:rsid w:val="00215D5B"/>
    <w:rsid w:val="00216478"/>
    <w:rsid w:val="00216691"/>
    <w:rsid w:val="00216B61"/>
    <w:rsid w:val="00216DFD"/>
    <w:rsid w:val="002172D4"/>
    <w:rsid w:val="0021798D"/>
    <w:rsid w:val="00217D48"/>
    <w:rsid w:val="00220623"/>
    <w:rsid w:val="00220A0D"/>
    <w:rsid w:val="00221122"/>
    <w:rsid w:val="002211E5"/>
    <w:rsid w:val="00221266"/>
    <w:rsid w:val="002213B5"/>
    <w:rsid w:val="00221809"/>
    <w:rsid w:val="00221B5C"/>
    <w:rsid w:val="00221FC7"/>
    <w:rsid w:val="0022217C"/>
    <w:rsid w:val="00222253"/>
    <w:rsid w:val="0022232F"/>
    <w:rsid w:val="0022239C"/>
    <w:rsid w:val="00222546"/>
    <w:rsid w:val="00222552"/>
    <w:rsid w:val="00222849"/>
    <w:rsid w:val="00222956"/>
    <w:rsid w:val="0022304A"/>
    <w:rsid w:val="002232BB"/>
    <w:rsid w:val="00223ACC"/>
    <w:rsid w:val="00223BD6"/>
    <w:rsid w:val="00223F4A"/>
    <w:rsid w:val="0022416D"/>
    <w:rsid w:val="002244CD"/>
    <w:rsid w:val="00224CFE"/>
    <w:rsid w:val="00225248"/>
    <w:rsid w:val="00225357"/>
    <w:rsid w:val="00225555"/>
    <w:rsid w:val="00226744"/>
    <w:rsid w:val="00226A43"/>
    <w:rsid w:val="00226D0B"/>
    <w:rsid w:val="00226FC8"/>
    <w:rsid w:val="002276DD"/>
    <w:rsid w:val="00227BE2"/>
    <w:rsid w:val="00227C87"/>
    <w:rsid w:val="002302D6"/>
    <w:rsid w:val="00230C80"/>
    <w:rsid w:val="00230E99"/>
    <w:rsid w:val="002316F7"/>
    <w:rsid w:val="00231FB2"/>
    <w:rsid w:val="0023291F"/>
    <w:rsid w:val="00233CDA"/>
    <w:rsid w:val="00234B23"/>
    <w:rsid w:val="00234F2F"/>
    <w:rsid w:val="0023620C"/>
    <w:rsid w:val="0023628B"/>
    <w:rsid w:val="0023695C"/>
    <w:rsid w:val="00236BEA"/>
    <w:rsid w:val="00236D54"/>
    <w:rsid w:val="00237939"/>
    <w:rsid w:val="00237C4E"/>
    <w:rsid w:val="00237C55"/>
    <w:rsid w:val="00240441"/>
    <w:rsid w:val="002410CC"/>
    <w:rsid w:val="0024116E"/>
    <w:rsid w:val="00242176"/>
    <w:rsid w:val="002426BD"/>
    <w:rsid w:val="002427DE"/>
    <w:rsid w:val="00242D87"/>
    <w:rsid w:val="002434D6"/>
    <w:rsid w:val="00243BED"/>
    <w:rsid w:val="002440C9"/>
    <w:rsid w:val="00244307"/>
    <w:rsid w:val="0024431A"/>
    <w:rsid w:val="00244402"/>
    <w:rsid w:val="00244491"/>
    <w:rsid w:val="00244F8A"/>
    <w:rsid w:val="002451FF"/>
    <w:rsid w:val="00245A79"/>
    <w:rsid w:val="00245B33"/>
    <w:rsid w:val="00245D6E"/>
    <w:rsid w:val="00246972"/>
    <w:rsid w:val="00246D38"/>
    <w:rsid w:val="00246F53"/>
    <w:rsid w:val="00247A3F"/>
    <w:rsid w:val="00247E49"/>
    <w:rsid w:val="0025001C"/>
    <w:rsid w:val="00250386"/>
    <w:rsid w:val="00250A65"/>
    <w:rsid w:val="00250ABB"/>
    <w:rsid w:val="002510AD"/>
    <w:rsid w:val="002515AE"/>
    <w:rsid w:val="00252684"/>
    <w:rsid w:val="002527E8"/>
    <w:rsid w:val="00253345"/>
    <w:rsid w:val="0025353C"/>
    <w:rsid w:val="00253607"/>
    <w:rsid w:val="00253B2C"/>
    <w:rsid w:val="002545B3"/>
    <w:rsid w:val="0025490A"/>
    <w:rsid w:val="00254A92"/>
    <w:rsid w:val="00254EF5"/>
    <w:rsid w:val="0025521C"/>
    <w:rsid w:val="002552B6"/>
    <w:rsid w:val="00255619"/>
    <w:rsid w:val="00255B3E"/>
    <w:rsid w:val="00255B7B"/>
    <w:rsid w:val="00255C62"/>
    <w:rsid w:val="00255ECE"/>
    <w:rsid w:val="00256226"/>
    <w:rsid w:val="002567C9"/>
    <w:rsid w:val="00256810"/>
    <w:rsid w:val="002568A5"/>
    <w:rsid w:val="00256BA1"/>
    <w:rsid w:val="00257423"/>
    <w:rsid w:val="00257485"/>
    <w:rsid w:val="00257A49"/>
    <w:rsid w:val="0026129C"/>
    <w:rsid w:val="0026163C"/>
    <w:rsid w:val="002616C1"/>
    <w:rsid w:val="00261A66"/>
    <w:rsid w:val="0026227E"/>
    <w:rsid w:val="00262953"/>
    <w:rsid w:val="002631BA"/>
    <w:rsid w:val="0026346D"/>
    <w:rsid w:val="002634AD"/>
    <w:rsid w:val="00263A20"/>
    <w:rsid w:val="00263E7F"/>
    <w:rsid w:val="00264616"/>
    <w:rsid w:val="00264934"/>
    <w:rsid w:val="00264943"/>
    <w:rsid w:val="00265868"/>
    <w:rsid w:val="00265D88"/>
    <w:rsid w:val="002671D2"/>
    <w:rsid w:val="00267690"/>
    <w:rsid w:val="00267DFE"/>
    <w:rsid w:val="00271204"/>
    <w:rsid w:val="0027161A"/>
    <w:rsid w:val="0027163F"/>
    <w:rsid w:val="00271793"/>
    <w:rsid w:val="00271B2E"/>
    <w:rsid w:val="00271B60"/>
    <w:rsid w:val="0027224D"/>
    <w:rsid w:val="002730B1"/>
    <w:rsid w:val="002740E4"/>
    <w:rsid w:val="002747DF"/>
    <w:rsid w:val="00274A3A"/>
    <w:rsid w:val="00274FEB"/>
    <w:rsid w:val="00275EE2"/>
    <w:rsid w:val="00277016"/>
    <w:rsid w:val="002770FC"/>
    <w:rsid w:val="002777A2"/>
    <w:rsid w:val="002809CC"/>
    <w:rsid w:val="00280BC0"/>
    <w:rsid w:val="002810C5"/>
    <w:rsid w:val="00281A55"/>
    <w:rsid w:val="002820C2"/>
    <w:rsid w:val="002826C1"/>
    <w:rsid w:val="00282782"/>
    <w:rsid w:val="00282880"/>
    <w:rsid w:val="0028314D"/>
    <w:rsid w:val="002831F6"/>
    <w:rsid w:val="00283C34"/>
    <w:rsid w:val="00284041"/>
    <w:rsid w:val="00284481"/>
    <w:rsid w:val="0028498F"/>
    <w:rsid w:val="0028508A"/>
    <w:rsid w:val="00285204"/>
    <w:rsid w:val="00285840"/>
    <w:rsid w:val="00285E9B"/>
    <w:rsid w:val="002861B4"/>
    <w:rsid w:val="00286255"/>
    <w:rsid w:val="0028649C"/>
    <w:rsid w:val="00286A37"/>
    <w:rsid w:val="00286D0B"/>
    <w:rsid w:val="00286F19"/>
    <w:rsid w:val="00287A04"/>
    <w:rsid w:val="00287E88"/>
    <w:rsid w:val="0029044F"/>
    <w:rsid w:val="0029058D"/>
    <w:rsid w:val="0029079D"/>
    <w:rsid w:val="002907C4"/>
    <w:rsid w:val="00290F80"/>
    <w:rsid w:val="00291320"/>
    <w:rsid w:val="002918BF"/>
    <w:rsid w:val="00291951"/>
    <w:rsid w:val="00291B12"/>
    <w:rsid w:val="00291F2A"/>
    <w:rsid w:val="00291FA2"/>
    <w:rsid w:val="00291FBA"/>
    <w:rsid w:val="0029200D"/>
    <w:rsid w:val="00292665"/>
    <w:rsid w:val="00293059"/>
    <w:rsid w:val="002930F9"/>
    <w:rsid w:val="002932B7"/>
    <w:rsid w:val="00294BF6"/>
    <w:rsid w:val="00295007"/>
    <w:rsid w:val="002953A7"/>
    <w:rsid w:val="002956D7"/>
    <w:rsid w:val="002956ED"/>
    <w:rsid w:val="00295B12"/>
    <w:rsid w:val="00295B97"/>
    <w:rsid w:val="00295C30"/>
    <w:rsid w:val="002963F5"/>
    <w:rsid w:val="00297026"/>
    <w:rsid w:val="002975F9"/>
    <w:rsid w:val="002975FC"/>
    <w:rsid w:val="00297D52"/>
    <w:rsid w:val="00297D58"/>
    <w:rsid w:val="002A06D8"/>
    <w:rsid w:val="002A0D5E"/>
    <w:rsid w:val="002A0EC8"/>
    <w:rsid w:val="002A1257"/>
    <w:rsid w:val="002A15EB"/>
    <w:rsid w:val="002A1EA9"/>
    <w:rsid w:val="002A23DE"/>
    <w:rsid w:val="002A24AE"/>
    <w:rsid w:val="002A265B"/>
    <w:rsid w:val="002A2EF2"/>
    <w:rsid w:val="002A308E"/>
    <w:rsid w:val="002A34A2"/>
    <w:rsid w:val="002A3E71"/>
    <w:rsid w:val="002A433F"/>
    <w:rsid w:val="002A4691"/>
    <w:rsid w:val="002A4A50"/>
    <w:rsid w:val="002A5B7A"/>
    <w:rsid w:val="002A613E"/>
    <w:rsid w:val="002A6588"/>
    <w:rsid w:val="002A65C4"/>
    <w:rsid w:val="002A6749"/>
    <w:rsid w:val="002A6889"/>
    <w:rsid w:val="002A6985"/>
    <w:rsid w:val="002A6D4B"/>
    <w:rsid w:val="002A6EB1"/>
    <w:rsid w:val="002A7079"/>
    <w:rsid w:val="002A76A3"/>
    <w:rsid w:val="002A7B39"/>
    <w:rsid w:val="002B04D3"/>
    <w:rsid w:val="002B0662"/>
    <w:rsid w:val="002B09F1"/>
    <w:rsid w:val="002B0AFB"/>
    <w:rsid w:val="002B0E36"/>
    <w:rsid w:val="002B16B5"/>
    <w:rsid w:val="002B1808"/>
    <w:rsid w:val="002B19DD"/>
    <w:rsid w:val="002B1BF7"/>
    <w:rsid w:val="002B215E"/>
    <w:rsid w:val="002B2734"/>
    <w:rsid w:val="002B2B74"/>
    <w:rsid w:val="002B3148"/>
    <w:rsid w:val="002B3392"/>
    <w:rsid w:val="002B3CC7"/>
    <w:rsid w:val="002B486A"/>
    <w:rsid w:val="002B49C1"/>
    <w:rsid w:val="002B4FA8"/>
    <w:rsid w:val="002B5A77"/>
    <w:rsid w:val="002B6526"/>
    <w:rsid w:val="002B7226"/>
    <w:rsid w:val="002B795F"/>
    <w:rsid w:val="002B79D9"/>
    <w:rsid w:val="002B7CAF"/>
    <w:rsid w:val="002C05DF"/>
    <w:rsid w:val="002C08D2"/>
    <w:rsid w:val="002C141C"/>
    <w:rsid w:val="002C14BE"/>
    <w:rsid w:val="002C3315"/>
    <w:rsid w:val="002C381A"/>
    <w:rsid w:val="002C3AAD"/>
    <w:rsid w:val="002C3CC6"/>
    <w:rsid w:val="002C3DF1"/>
    <w:rsid w:val="002C417F"/>
    <w:rsid w:val="002C4725"/>
    <w:rsid w:val="002C4801"/>
    <w:rsid w:val="002C4939"/>
    <w:rsid w:val="002C4CDE"/>
    <w:rsid w:val="002C524B"/>
    <w:rsid w:val="002C53BE"/>
    <w:rsid w:val="002C591B"/>
    <w:rsid w:val="002C59A7"/>
    <w:rsid w:val="002C5AF0"/>
    <w:rsid w:val="002C669B"/>
    <w:rsid w:val="002C68EB"/>
    <w:rsid w:val="002C721E"/>
    <w:rsid w:val="002C7628"/>
    <w:rsid w:val="002C7827"/>
    <w:rsid w:val="002C7A0F"/>
    <w:rsid w:val="002D0250"/>
    <w:rsid w:val="002D03BC"/>
    <w:rsid w:val="002D0710"/>
    <w:rsid w:val="002D0A91"/>
    <w:rsid w:val="002D0EAD"/>
    <w:rsid w:val="002D1160"/>
    <w:rsid w:val="002D16DB"/>
    <w:rsid w:val="002D2138"/>
    <w:rsid w:val="002D29AC"/>
    <w:rsid w:val="002D2A08"/>
    <w:rsid w:val="002D2A2C"/>
    <w:rsid w:val="002D300B"/>
    <w:rsid w:val="002D37B6"/>
    <w:rsid w:val="002D38DA"/>
    <w:rsid w:val="002D3B1A"/>
    <w:rsid w:val="002D3C9F"/>
    <w:rsid w:val="002D3D8A"/>
    <w:rsid w:val="002D3E7F"/>
    <w:rsid w:val="002D3F8F"/>
    <w:rsid w:val="002D47E9"/>
    <w:rsid w:val="002D53BA"/>
    <w:rsid w:val="002D579F"/>
    <w:rsid w:val="002D57B1"/>
    <w:rsid w:val="002D621A"/>
    <w:rsid w:val="002D64AE"/>
    <w:rsid w:val="002D690A"/>
    <w:rsid w:val="002D6D34"/>
    <w:rsid w:val="002D6FA7"/>
    <w:rsid w:val="002D761B"/>
    <w:rsid w:val="002D7705"/>
    <w:rsid w:val="002E009E"/>
    <w:rsid w:val="002E08EB"/>
    <w:rsid w:val="002E0B69"/>
    <w:rsid w:val="002E2060"/>
    <w:rsid w:val="002E2261"/>
    <w:rsid w:val="002E2708"/>
    <w:rsid w:val="002E2BB9"/>
    <w:rsid w:val="002E31E0"/>
    <w:rsid w:val="002E33A9"/>
    <w:rsid w:val="002E3451"/>
    <w:rsid w:val="002E368D"/>
    <w:rsid w:val="002E3BAA"/>
    <w:rsid w:val="002E453B"/>
    <w:rsid w:val="002E4A03"/>
    <w:rsid w:val="002E511F"/>
    <w:rsid w:val="002E5A81"/>
    <w:rsid w:val="002E5E2C"/>
    <w:rsid w:val="002E6218"/>
    <w:rsid w:val="002E63D3"/>
    <w:rsid w:val="002E6519"/>
    <w:rsid w:val="002E691C"/>
    <w:rsid w:val="002E7C42"/>
    <w:rsid w:val="002E7FCD"/>
    <w:rsid w:val="002F01B1"/>
    <w:rsid w:val="002F0409"/>
    <w:rsid w:val="002F0C3C"/>
    <w:rsid w:val="002F1594"/>
    <w:rsid w:val="002F17A4"/>
    <w:rsid w:val="002F1BFE"/>
    <w:rsid w:val="002F1DC2"/>
    <w:rsid w:val="002F1DFD"/>
    <w:rsid w:val="002F2289"/>
    <w:rsid w:val="002F2B93"/>
    <w:rsid w:val="002F2F4C"/>
    <w:rsid w:val="002F2FA1"/>
    <w:rsid w:val="002F3317"/>
    <w:rsid w:val="002F35D1"/>
    <w:rsid w:val="002F35F8"/>
    <w:rsid w:val="002F429C"/>
    <w:rsid w:val="002F4AC9"/>
    <w:rsid w:val="002F4C40"/>
    <w:rsid w:val="002F4FC8"/>
    <w:rsid w:val="002F50F6"/>
    <w:rsid w:val="002F545F"/>
    <w:rsid w:val="002F566D"/>
    <w:rsid w:val="002F5675"/>
    <w:rsid w:val="002F7671"/>
    <w:rsid w:val="002F7DD2"/>
    <w:rsid w:val="0030022A"/>
    <w:rsid w:val="0030091F"/>
    <w:rsid w:val="00300D09"/>
    <w:rsid w:val="00301C10"/>
    <w:rsid w:val="00301DBF"/>
    <w:rsid w:val="00301E2F"/>
    <w:rsid w:val="00301E81"/>
    <w:rsid w:val="003024E7"/>
    <w:rsid w:val="00302BEA"/>
    <w:rsid w:val="00302F78"/>
    <w:rsid w:val="00302FA1"/>
    <w:rsid w:val="003038EC"/>
    <w:rsid w:val="00303983"/>
    <w:rsid w:val="00303AB1"/>
    <w:rsid w:val="00303AB5"/>
    <w:rsid w:val="00303F44"/>
    <w:rsid w:val="00304793"/>
    <w:rsid w:val="00304951"/>
    <w:rsid w:val="00304B58"/>
    <w:rsid w:val="00304D34"/>
    <w:rsid w:val="0030516E"/>
    <w:rsid w:val="0030553B"/>
    <w:rsid w:val="00305976"/>
    <w:rsid w:val="00306076"/>
    <w:rsid w:val="003067DB"/>
    <w:rsid w:val="0030697D"/>
    <w:rsid w:val="003071AC"/>
    <w:rsid w:val="00307506"/>
    <w:rsid w:val="00307ED4"/>
    <w:rsid w:val="00307FDD"/>
    <w:rsid w:val="0031045B"/>
    <w:rsid w:val="00310517"/>
    <w:rsid w:val="003108CA"/>
    <w:rsid w:val="0031182E"/>
    <w:rsid w:val="00311B12"/>
    <w:rsid w:val="00311E2B"/>
    <w:rsid w:val="00311F61"/>
    <w:rsid w:val="00313DEC"/>
    <w:rsid w:val="00314847"/>
    <w:rsid w:val="00315C9A"/>
    <w:rsid w:val="0031687C"/>
    <w:rsid w:val="00316AA1"/>
    <w:rsid w:val="003171F5"/>
    <w:rsid w:val="0032053D"/>
    <w:rsid w:val="00320A91"/>
    <w:rsid w:val="00320E5F"/>
    <w:rsid w:val="003211CF"/>
    <w:rsid w:val="003225C0"/>
    <w:rsid w:val="00322682"/>
    <w:rsid w:val="0032269F"/>
    <w:rsid w:val="00322A67"/>
    <w:rsid w:val="00322F35"/>
    <w:rsid w:val="003232E4"/>
    <w:rsid w:val="0032365F"/>
    <w:rsid w:val="003237EA"/>
    <w:rsid w:val="0032451C"/>
    <w:rsid w:val="00324B68"/>
    <w:rsid w:val="00324D90"/>
    <w:rsid w:val="00325A95"/>
    <w:rsid w:val="00325B90"/>
    <w:rsid w:val="003262BF"/>
    <w:rsid w:val="00326BB1"/>
    <w:rsid w:val="003270C9"/>
    <w:rsid w:val="00327149"/>
    <w:rsid w:val="00327318"/>
    <w:rsid w:val="003273D2"/>
    <w:rsid w:val="0032790F"/>
    <w:rsid w:val="00327DAD"/>
    <w:rsid w:val="003302F7"/>
    <w:rsid w:val="00330462"/>
    <w:rsid w:val="00330704"/>
    <w:rsid w:val="00330727"/>
    <w:rsid w:val="003308BD"/>
    <w:rsid w:val="0033095F"/>
    <w:rsid w:val="00330ADE"/>
    <w:rsid w:val="00330D43"/>
    <w:rsid w:val="00330DD8"/>
    <w:rsid w:val="0033268E"/>
    <w:rsid w:val="003327D8"/>
    <w:rsid w:val="00332982"/>
    <w:rsid w:val="00332F19"/>
    <w:rsid w:val="003330ED"/>
    <w:rsid w:val="003331CA"/>
    <w:rsid w:val="003333A6"/>
    <w:rsid w:val="003336A9"/>
    <w:rsid w:val="003337C9"/>
    <w:rsid w:val="00333901"/>
    <w:rsid w:val="00333F5B"/>
    <w:rsid w:val="00333F93"/>
    <w:rsid w:val="003344E1"/>
    <w:rsid w:val="00334EF0"/>
    <w:rsid w:val="003355AF"/>
    <w:rsid w:val="003355F3"/>
    <w:rsid w:val="00335683"/>
    <w:rsid w:val="0033586C"/>
    <w:rsid w:val="00335C4D"/>
    <w:rsid w:val="00336452"/>
    <w:rsid w:val="0033677B"/>
    <w:rsid w:val="00336C0C"/>
    <w:rsid w:val="00336C88"/>
    <w:rsid w:val="0033701B"/>
    <w:rsid w:val="00337336"/>
    <w:rsid w:val="003374B1"/>
    <w:rsid w:val="003402F3"/>
    <w:rsid w:val="003411B2"/>
    <w:rsid w:val="003411D7"/>
    <w:rsid w:val="00341258"/>
    <w:rsid w:val="003417E7"/>
    <w:rsid w:val="003420E5"/>
    <w:rsid w:val="003421F6"/>
    <w:rsid w:val="00342521"/>
    <w:rsid w:val="003427D5"/>
    <w:rsid w:val="003429A5"/>
    <w:rsid w:val="00342B37"/>
    <w:rsid w:val="00342C7A"/>
    <w:rsid w:val="0034386B"/>
    <w:rsid w:val="00343978"/>
    <w:rsid w:val="00343B24"/>
    <w:rsid w:val="00343B2D"/>
    <w:rsid w:val="003440B3"/>
    <w:rsid w:val="00344646"/>
    <w:rsid w:val="003451A7"/>
    <w:rsid w:val="003457C8"/>
    <w:rsid w:val="003458D0"/>
    <w:rsid w:val="00345AB3"/>
    <w:rsid w:val="00345FAF"/>
    <w:rsid w:val="0034673F"/>
    <w:rsid w:val="003469F3"/>
    <w:rsid w:val="0034782E"/>
    <w:rsid w:val="00347944"/>
    <w:rsid w:val="00347CAC"/>
    <w:rsid w:val="00347E8D"/>
    <w:rsid w:val="003500D1"/>
    <w:rsid w:val="003505C2"/>
    <w:rsid w:val="00350934"/>
    <w:rsid w:val="00350C71"/>
    <w:rsid w:val="003513BD"/>
    <w:rsid w:val="0035155F"/>
    <w:rsid w:val="00351A62"/>
    <w:rsid w:val="003521B6"/>
    <w:rsid w:val="0035233B"/>
    <w:rsid w:val="0035244D"/>
    <w:rsid w:val="00352517"/>
    <w:rsid w:val="00352B02"/>
    <w:rsid w:val="00352C2D"/>
    <w:rsid w:val="00353358"/>
    <w:rsid w:val="003534CB"/>
    <w:rsid w:val="003535F4"/>
    <w:rsid w:val="00353CE4"/>
    <w:rsid w:val="00353D29"/>
    <w:rsid w:val="0035465B"/>
    <w:rsid w:val="00354CEE"/>
    <w:rsid w:val="00355060"/>
    <w:rsid w:val="0035527F"/>
    <w:rsid w:val="00355C89"/>
    <w:rsid w:val="00355F03"/>
    <w:rsid w:val="00355F93"/>
    <w:rsid w:val="003560BE"/>
    <w:rsid w:val="003569AC"/>
    <w:rsid w:val="00357DD3"/>
    <w:rsid w:val="00360461"/>
    <w:rsid w:val="00360832"/>
    <w:rsid w:val="003616ED"/>
    <w:rsid w:val="0036180A"/>
    <w:rsid w:val="00362445"/>
    <w:rsid w:val="003629EF"/>
    <w:rsid w:val="00362B7D"/>
    <w:rsid w:val="00362F06"/>
    <w:rsid w:val="00363027"/>
    <w:rsid w:val="00364644"/>
    <w:rsid w:val="00364846"/>
    <w:rsid w:val="0036490D"/>
    <w:rsid w:val="00364B28"/>
    <w:rsid w:val="00364B9B"/>
    <w:rsid w:val="00365B66"/>
    <w:rsid w:val="00366000"/>
    <w:rsid w:val="003661E6"/>
    <w:rsid w:val="00366248"/>
    <w:rsid w:val="003662F9"/>
    <w:rsid w:val="003668C4"/>
    <w:rsid w:val="00366A85"/>
    <w:rsid w:val="00366C7F"/>
    <w:rsid w:val="00367030"/>
    <w:rsid w:val="003670C8"/>
    <w:rsid w:val="00367157"/>
    <w:rsid w:val="00367229"/>
    <w:rsid w:val="00367268"/>
    <w:rsid w:val="0037018C"/>
    <w:rsid w:val="003703BD"/>
    <w:rsid w:val="003704A8"/>
    <w:rsid w:val="00370985"/>
    <w:rsid w:val="00370E81"/>
    <w:rsid w:val="0037114D"/>
    <w:rsid w:val="00371451"/>
    <w:rsid w:val="0037166B"/>
    <w:rsid w:val="003721DC"/>
    <w:rsid w:val="00372B2B"/>
    <w:rsid w:val="00372FCE"/>
    <w:rsid w:val="003730A4"/>
    <w:rsid w:val="003739C1"/>
    <w:rsid w:val="00373B92"/>
    <w:rsid w:val="00373D7D"/>
    <w:rsid w:val="00374092"/>
    <w:rsid w:val="003741FF"/>
    <w:rsid w:val="00374273"/>
    <w:rsid w:val="003742F8"/>
    <w:rsid w:val="00374B5F"/>
    <w:rsid w:val="00375934"/>
    <w:rsid w:val="00375FD5"/>
    <w:rsid w:val="00376B56"/>
    <w:rsid w:val="00377AB3"/>
    <w:rsid w:val="00377B75"/>
    <w:rsid w:val="00377F83"/>
    <w:rsid w:val="00377FC1"/>
    <w:rsid w:val="003800C8"/>
    <w:rsid w:val="003807D7"/>
    <w:rsid w:val="003809AD"/>
    <w:rsid w:val="0038128E"/>
    <w:rsid w:val="003815FD"/>
    <w:rsid w:val="00381DB1"/>
    <w:rsid w:val="00382097"/>
    <w:rsid w:val="00382E13"/>
    <w:rsid w:val="00383A81"/>
    <w:rsid w:val="00383D50"/>
    <w:rsid w:val="00383DAE"/>
    <w:rsid w:val="00383F12"/>
    <w:rsid w:val="00383FD8"/>
    <w:rsid w:val="003840DF"/>
    <w:rsid w:val="0038435A"/>
    <w:rsid w:val="0038453F"/>
    <w:rsid w:val="00384581"/>
    <w:rsid w:val="003845A2"/>
    <w:rsid w:val="003850D0"/>
    <w:rsid w:val="0038623C"/>
    <w:rsid w:val="0038689F"/>
    <w:rsid w:val="003871F3"/>
    <w:rsid w:val="00387795"/>
    <w:rsid w:val="003879D4"/>
    <w:rsid w:val="0039057E"/>
    <w:rsid w:val="00390E09"/>
    <w:rsid w:val="003912ED"/>
    <w:rsid w:val="00391AA0"/>
    <w:rsid w:val="00391C99"/>
    <w:rsid w:val="00392C85"/>
    <w:rsid w:val="00392EEE"/>
    <w:rsid w:val="00392F2E"/>
    <w:rsid w:val="00393769"/>
    <w:rsid w:val="00393DEE"/>
    <w:rsid w:val="0039410D"/>
    <w:rsid w:val="00395892"/>
    <w:rsid w:val="003965FF"/>
    <w:rsid w:val="00396639"/>
    <w:rsid w:val="00396ABC"/>
    <w:rsid w:val="00397559"/>
    <w:rsid w:val="003978EB"/>
    <w:rsid w:val="00397AFE"/>
    <w:rsid w:val="00397CAE"/>
    <w:rsid w:val="003A0156"/>
    <w:rsid w:val="003A0981"/>
    <w:rsid w:val="003A0A9C"/>
    <w:rsid w:val="003A164C"/>
    <w:rsid w:val="003A2E8E"/>
    <w:rsid w:val="003A398E"/>
    <w:rsid w:val="003A3C81"/>
    <w:rsid w:val="003A4219"/>
    <w:rsid w:val="003A494E"/>
    <w:rsid w:val="003A505B"/>
    <w:rsid w:val="003A5487"/>
    <w:rsid w:val="003A596F"/>
    <w:rsid w:val="003A5D8A"/>
    <w:rsid w:val="003A5E76"/>
    <w:rsid w:val="003A662B"/>
    <w:rsid w:val="003A6B49"/>
    <w:rsid w:val="003A6C5E"/>
    <w:rsid w:val="003A6F96"/>
    <w:rsid w:val="003A7201"/>
    <w:rsid w:val="003A753C"/>
    <w:rsid w:val="003A7CB8"/>
    <w:rsid w:val="003B029A"/>
    <w:rsid w:val="003B04F6"/>
    <w:rsid w:val="003B0BDC"/>
    <w:rsid w:val="003B0D78"/>
    <w:rsid w:val="003B10BA"/>
    <w:rsid w:val="003B17C4"/>
    <w:rsid w:val="003B1C58"/>
    <w:rsid w:val="003B1E91"/>
    <w:rsid w:val="003B1EE4"/>
    <w:rsid w:val="003B35FA"/>
    <w:rsid w:val="003B3936"/>
    <w:rsid w:val="003B39DF"/>
    <w:rsid w:val="003B3BB9"/>
    <w:rsid w:val="003B4214"/>
    <w:rsid w:val="003B4B8D"/>
    <w:rsid w:val="003B5749"/>
    <w:rsid w:val="003B5E6C"/>
    <w:rsid w:val="003B603D"/>
    <w:rsid w:val="003B6D76"/>
    <w:rsid w:val="003B704C"/>
    <w:rsid w:val="003B70F3"/>
    <w:rsid w:val="003B7146"/>
    <w:rsid w:val="003B720F"/>
    <w:rsid w:val="003B7343"/>
    <w:rsid w:val="003B77D5"/>
    <w:rsid w:val="003B7833"/>
    <w:rsid w:val="003B786D"/>
    <w:rsid w:val="003B7ABF"/>
    <w:rsid w:val="003C029B"/>
    <w:rsid w:val="003C03D4"/>
    <w:rsid w:val="003C10CB"/>
    <w:rsid w:val="003C112B"/>
    <w:rsid w:val="003C2544"/>
    <w:rsid w:val="003C32FB"/>
    <w:rsid w:val="003C362E"/>
    <w:rsid w:val="003C3E56"/>
    <w:rsid w:val="003C403C"/>
    <w:rsid w:val="003C435C"/>
    <w:rsid w:val="003C4FB7"/>
    <w:rsid w:val="003C57D6"/>
    <w:rsid w:val="003C5DA2"/>
    <w:rsid w:val="003C6968"/>
    <w:rsid w:val="003C70D2"/>
    <w:rsid w:val="003C76C1"/>
    <w:rsid w:val="003C78B7"/>
    <w:rsid w:val="003D056D"/>
    <w:rsid w:val="003D0D6D"/>
    <w:rsid w:val="003D1109"/>
    <w:rsid w:val="003D1EA4"/>
    <w:rsid w:val="003D2591"/>
    <w:rsid w:val="003D2E7A"/>
    <w:rsid w:val="003D3E98"/>
    <w:rsid w:val="003D3EA1"/>
    <w:rsid w:val="003D44DD"/>
    <w:rsid w:val="003D464A"/>
    <w:rsid w:val="003D4904"/>
    <w:rsid w:val="003D495B"/>
    <w:rsid w:val="003D52CB"/>
    <w:rsid w:val="003D5467"/>
    <w:rsid w:val="003D5A27"/>
    <w:rsid w:val="003D70DD"/>
    <w:rsid w:val="003D7110"/>
    <w:rsid w:val="003D7168"/>
    <w:rsid w:val="003D7933"/>
    <w:rsid w:val="003D7C79"/>
    <w:rsid w:val="003D7CF7"/>
    <w:rsid w:val="003D7E7A"/>
    <w:rsid w:val="003E0344"/>
    <w:rsid w:val="003E0458"/>
    <w:rsid w:val="003E0DF6"/>
    <w:rsid w:val="003E15BB"/>
    <w:rsid w:val="003E176C"/>
    <w:rsid w:val="003E2980"/>
    <w:rsid w:val="003E2A8F"/>
    <w:rsid w:val="003E2CE2"/>
    <w:rsid w:val="003E34EE"/>
    <w:rsid w:val="003E361B"/>
    <w:rsid w:val="003E3E8C"/>
    <w:rsid w:val="003E4189"/>
    <w:rsid w:val="003E4452"/>
    <w:rsid w:val="003E46B7"/>
    <w:rsid w:val="003E543D"/>
    <w:rsid w:val="003E5570"/>
    <w:rsid w:val="003E5EE5"/>
    <w:rsid w:val="003E6281"/>
    <w:rsid w:val="003E6E55"/>
    <w:rsid w:val="003E6F61"/>
    <w:rsid w:val="003E7478"/>
    <w:rsid w:val="003E7BD9"/>
    <w:rsid w:val="003F020D"/>
    <w:rsid w:val="003F02C7"/>
    <w:rsid w:val="003F0483"/>
    <w:rsid w:val="003F06D2"/>
    <w:rsid w:val="003F0736"/>
    <w:rsid w:val="003F0A96"/>
    <w:rsid w:val="003F0CA3"/>
    <w:rsid w:val="003F14E4"/>
    <w:rsid w:val="003F1DBB"/>
    <w:rsid w:val="003F1E66"/>
    <w:rsid w:val="003F1E75"/>
    <w:rsid w:val="003F20A3"/>
    <w:rsid w:val="003F212E"/>
    <w:rsid w:val="003F2185"/>
    <w:rsid w:val="003F2B6D"/>
    <w:rsid w:val="003F2F62"/>
    <w:rsid w:val="003F3A78"/>
    <w:rsid w:val="003F4563"/>
    <w:rsid w:val="003F4567"/>
    <w:rsid w:val="003F47DE"/>
    <w:rsid w:val="003F4B86"/>
    <w:rsid w:val="003F529E"/>
    <w:rsid w:val="003F558D"/>
    <w:rsid w:val="003F5AE6"/>
    <w:rsid w:val="003F5E92"/>
    <w:rsid w:val="003F61AD"/>
    <w:rsid w:val="003F6335"/>
    <w:rsid w:val="003F6882"/>
    <w:rsid w:val="003F7052"/>
    <w:rsid w:val="003F741F"/>
    <w:rsid w:val="003F74D5"/>
    <w:rsid w:val="003F75AE"/>
    <w:rsid w:val="003F79F3"/>
    <w:rsid w:val="0040006C"/>
    <w:rsid w:val="0040010D"/>
    <w:rsid w:val="00400E27"/>
    <w:rsid w:val="0040185C"/>
    <w:rsid w:val="00402067"/>
    <w:rsid w:val="00402718"/>
    <w:rsid w:val="00402760"/>
    <w:rsid w:val="00404046"/>
    <w:rsid w:val="0040412D"/>
    <w:rsid w:val="004042BA"/>
    <w:rsid w:val="00404733"/>
    <w:rsid w:val="0040598C"/>
    <w:rsid w:val="00405B18"/>
    <w:rsid w:val="00406349"/>
    <w:rsid w:val="00406947"/>
    <w:rsid w:val="00406A8E"/>
    <w:rsid w:val="00406B18"/>
    <w:rsid w:val="00407535"/>
    <w:rsid w:val="00407F13"/>
    <w:rsid w:val="00410D7C"/>
    <w:rsid w:val="00410D94"/>
    <w:rsid w:val="00410F11"/>
    <w:rsid w:val="0041184C"/>
    <w:rsid w:val="004120BA"/>
    <w:rsid w:val="00412ADC"/>
    <w:rsid w:val="00413B96"/>
    <w:rsid w:val="00413C1A"/>
    <w:rsid w:val="00413C49"/>
    <w:rsid w:val="004144B9"/>
    <w:rsid w:val="0041472A"/>
    <w:rsid w:val="004149CE"/>
    <w:rsid w:val="00414AD6"/>
    <w:rsid w:val="00414D24"/>
    <w:rsid w:val="00414D3D"/>
    <w:rsid w:val="00415670"/>
    <w:rsid w:val="004156ED"/>
    <w:rsid w:val="00415CC9"/>
    <w:rsid w:val="00416CCB"/>
    <w:rsid w:val="00416FC8"/>
    <w:rsid w:val="00420048"/>
    <w:rsid w:val="0042014D"/>
    <w:rsid w:val="00420369"/>
    <w:rsid w:val="004206C9"/>
    <w:rsid w:val="0042085A"/>
    <w:rsid w:val="00420A8E"/>
    <w:rsid w:val="004213F0"/>
    <w:rsid w:val="0042156B"/>
    <w:rsid w:val="0042193D"/>
    <w:rsid w:val="00421CC8"/>
    <w:rsid w:val="00421D56"/>
    <w:rsid w:val="00422033"/>
    <w:rsid w:val="0042283C"/>
    <w:rsid w:val="00422A31"/>
    <w:rsid w:val="00422C9F"/>
    <w:rsid w:val="004237AB"/>
    <w:rsid w:val="00423AC8"/>
    <w:rsid w:val="00423BA2"/>
    <w:rsid w:val="00424683"/>
    <w:rsid w:val="00425B58"/>
    <w:rsid w:val="0042639E"/>
    <w:rsid w:val="00426C32"/>
    <w:rsid w:val="00426CE8"/>
    <w:rsid w:val="004275B2"/>
    <w:rsid w:val="00427DCB"/>
    <w:rsid w:val="00427E93"/>
    <w:rsid w:val="004307B1"/>
    <w:rsid w:val="00430916"/>
    <w:rsid w:val="00430E55"/>
    <w:rsid w:val="00430EAC"/>
    <w:rsid w:val="00431153"/>
    <w:rsid w:val="004313D9"/>
    <w:rsid w:val="004318CE"/>
    <w:rsid w:val="00431A1F"/>
    <w:rsid w:val="00431CB3"/>
    <w:rsid w:val="004325A8"/>
    <w:rsid w:val="004328CE"/>
    <w:rsid w:val="00432D06"/>
    <w:rsid w:val="004331DB"/>
    <w:rsid w:val="004335E4"/>
    <w:rsid w:val="004349AE"/>
    <w:rsid w:val="00435142"/>
    <w:rsid w:val="004351E9"/>
    <w:rsid w:val="0043544D"/>
    <w:rsid w:val="00435503"/>
    <w:rsid w:val="004358FF"/>
    <w:rsid w:val="00435E77"/>
    <w:rsid w:val="004363A3"/>
    <w:rsid w:val="00436420"/>
    <w:rsid w:val="004364C7"/>
    <w:rsid w:val="00436698"/>
    <w:rsid w:val="0043681D"/>
    <w:rsid w:val="004368F2"/>
    <w:rsid w:val="00437279"/>
    <w:rsid w:val="00437321"/>
    <w:rsid w:val="004379A8"/>
    <w:rsid w:val="004413D7"/>
    <w:rsid w:val="0044149D"/>
    <w:rsid w:val="00441575"/>
    <w:rsid w:val="00441771"/>
    <w:rsid w:val="00441CC8"/>
    <w:rsid w:val="00441FCD"/>
    <w:rsid w:val="00442371"/>
    <w:rsid w:val="004424E5"/>
    <w:rsid w:val="00442790"/>
    <w:rsid w:val="00442A72"/>
    <w:rsid w:val="0044355B"/>
    <w:rsid w:val="004435B1"/>
    <w:rsid w:val="00443B70"/>
    <w:rsid w:val="00444B2B"/>
    <w:rsid w:val="00444BC2"/>
    <w:rsid w:val="004452F2"/>
    <w:rsid w:val="004459E5"/>
    <w:rsid w:val="0044696D"/>
    <w:rsid w:val="00447368"/>
    <w:rsid w:val="00450150"/>
    <w:rsid w:val="004503B3"/>
    <w:rsid w:val="004516C8"/>
    <w:rsid w:val="004516EA"/>
    <w:rsid w:val="00452665"/>
    <w:rsid w:val="00452A64"/>
    <w:rsid w:val="00453828"/>
    <w:rsid w:val="00453A39"/>
    <w:rsid w:val="00453B71"/>
    <w:rsid w:val="004540EF"/>
    <w:rsid w:val="00454D7F"/>
    <w:rsid w:val="00455626"/>
    <w:rsid w:val="00455C4A"/>
    <w:rsid w:val="00455C76"/>
    <w:rsid w:val="0045611D"/>
    <w:rsid w:val="004563D8"/>
    <w:rsid w:val="00456973"/>
    <w:rsid w:val="00456C5B"/>
    <w:rsid w:val="00456E11"/>
    <w:rsid w:val="00457342"/>
    <w:rsid w:val="004575F1"/>
    <w:rsid w:val="0045760A"/>
    <w:rsid w:val="00460306"/>
    <w:rsid w:val="00460493"/>
    <w:rsid w:val="004604B4"/>
    <w:rsid w:val="004608FB"/>
    <w:rsid w:val="00460BE9"/>
    <w:rsid w:val="004610C1"/>
    <w:rsid w:val="00461611"/>
    <w:rsid w:val="004616A3"/>
    <w:rsid w:val="0046211F"/>
    <w:rsid w:val="00462DE5"/>
    <w:rsid w:val="004639F6"/>
    <w:rsid w:val="00463AE3"/>
    <w:rsid w:val="00464470"/>
    <w:rsid w:val="0046464D"/>
    <w:rsid w:val="00464679"/>
    <w:rsid w:val="004647E0"/>
    <w:rsid w:val="00464A8E"/>
    <w:rsid w:val="00464F23"/>
    <w:rsid w:val="00465245"/>
    <w:rsid w:val="004654C2"/>
    <w:rsid w:val="0046612D"/>
    <w:rsid w:val="00466450"/>
    <w:rsid w:val="004667AA"/>
    <w:rsid w:val="00466919"/>
    <w:rsid w:val="00467104"/>
    <w:rsid w:val="0046727F"/>
    <w:rsid w:val="00467452"/>
    <w:rsid w:val="00467AC3"/>
    <w:rsid w:val="00467F38"/>
    <w:rsid w:val="004710B7"/>
    <w:rsid w:val="00471982"/>
    <w:rsid w:val="00471D7F"/>
    <w:rsid w:val="00471DA4"/>
    <w:rsid w:val="00471DBD"/>
    <w:rsid w:val="0047250C"/>
    <w:rsid w:val="00472E33"/>
    <w:rsid w:val="004733D0"/>
    <w:rsid w:val="0047379F"/>
    <w:rsid w:val="004742E4"/>
    <w:rsid w:val="00474462"/>
    <w:rsid w:val="00474511"/>
    <w:rsid w:val="00474615"/>
    <w:rsid w:val="00474915"/>
    <w:rsid w:val="00474DFC"/>
    <w:rsid w:val="0047523F"/>
    <w:rsid w:val="00475275"/>
    <w:rsid w:val="00475442"/>
    <w:rsid w:val="00475AC6"/>
    <w:rsid w:val="004760A5"/>
    <w:rsid w:val="0047688E"/>
    <w:rsid w:val="004769B1"/>
    <w:rsid w:val="0047770B"/>
    <w:rsid w:val="00477ECA"/>
    <w:rsid w:val="004801D9"/>
    <w:rsid w:val="004803D8"/>
    <w:rsid w:val="004804D6"/>
    <w:rsid w:val="00480659"/>
    <w:rsid w:val="00480B68"/>
    <w:rsid w:val="004818C6"/>
    <w:rsid w:val="00481C0E"/>
    <w:rsid w:val="0048203D"/>
    <w:rsid w:val="004829D4"/>
    <w:rsid w:val="004831D4"/>
    <w:rsid w:val="00483303"/>
    <w:rsid w:val="0048332C"/>
    <w:rsid w:val="004838A3"/>
    <w:rsid w:val="00483BBE"/>
    <w:rsid w:val="00484EF7"/>
    <w:rsid w:val="00484F08"/>
    <w:rsid w:val="00485612"/>
    <w:rsid w:val="004866A2"/>
    <w:rsid w:val="0048729E"/>
    <w:rsid w:val="0048755C"/>
    <w:rsid w:val="00487819"/>
    <w:rsid w:val="0048781D"/>
    <w:rsid w:val="00490FED"/>
    <w:rsid w:val="0049116D"/>
    <w:rsid w:val="00491CFC"/>
    <w:rsid w:val="00491FC5"/>
    <w:rsid w:val="00492019"/>
    <w:rsid w:val="0049299D"/>
    <w:rsid w:val="00492A89"/>
    <w:rsid w:val="00493506"/>
    <w:rsid w:val="0049387A"/>
    <w:rsid w:val="00493CDD"/>
    <w:rsid w:val="00493F24"/>
    <w:rsid w:val="00494064"/>
    <w:rsid w:val="00494391"/>
    <w:rsid w:val="004944A2"/>
    <w:rsid w:val="004945A6"/>
    <w:rsid w:val="0049520E"/>
    <w:rsid w:val="0049585D"/>
    <w:rsid w:val="00495A08"/>
    <w:rsid w:val="0049654F"/>
    <w:rsid w:val="00496E8A"/>
    <w:rsid w:val="00497600"/>
    <w:rsid w:val="00497ADD"/>
    <w:rsid w:val="004A00C2"/>
    <w:rsid w:val="004A0569"/>
    <w:rsid w:val="004A0F03"/>
    <w:rsid w:val="004A10E2"/>
    <w:rsid w:val="004A124F"/>
    <w:rsid w:val="004A205D"/>
    <w:rsid w:val="004A2153"/>
    <w:rsid w:val="004A2851"/>
    <w:rsid w:val="004A29AA"/>
    <w:rsid w:val="004A2BC7"/>
    <w:rsid w:val="004A2D2C"/>
    <w:rsid w:val="004A3A74"/>
    <w:rsid w:val="004A3B31"/>
    <w:rsid w:val="004A3DC3"/>
    <w:rsid w:val="004A49D9"/>
    <w:rsid w:val="004A4F2E"/>
    <w:rsid w:val="004A5074"/>
    <w:rsid w:val="004A50B5"/>
    <w:rsid w:val="004A5601"/>
    <w:rsid w:val="004A561A"/>
    <w:rsid w:val="004A5AD3"/>
    <w:rsid w:val="004A5CD2"/>
    <w:rsid w:val="004A5F6C"/>
    <w:rsid w:val="004A6005"/>
    <w:rsid w:val="004A6111"/>
    <w:rsid w:val="004A69F0"/>
    <w:rsid w:val="004A6EE7"/>
    <w:rsid w:val="004A6F94"/>
    <w:rsid w:val="004A7348"/>
    <w:rsid w:val="004A7A05"/>
    <w:rsid w:val="004A7B83"/>
    <w:rsid w:val="004A7E2B"/>
    <w:rsid w:val="004B0DA8"/>
    <w:rsid w:val="004B1BD1"/>
    <w:rsid w:val="004B1C5F"/>
    <w:rsid w:val="004B1CCD"/>
    <w:rsid w:val="004B278F"/>
    <w:rsid w:val="004B27AF"/>
    <w:rsid w:val="004B29F4"/>
    <w:rsid w:val="004B3628"/>
    <w:rsid w:val="004B3A5C"/>
    <w:rsid w:val="004B3B7F"/>
    <w:rsid w:val="004B3CD2"/>
    <w:rsid w:val="004B3F86"/>
    <w:rsid w:val="004B4336"/>
    <w:rsid w:val="004B4578"/>
    <w:rsid w:val="004B55FD"/>
    <w:rsid w:val="004B5E14"/>
    <w:rsid w:val="004B692D"/>
    <w:rsid w:val="004B6EF5"/>
    <w:rsid w:val="004C042E"/>
    <w:rsid w:val="004C0500"/>
    <w:rsid w:val="004C21F5"/>
    <w:rsid w:val="004C257A"/>
    <w:rsid w:val="004C3901"/>
    <w:rsid w:val="004C404C"/>
    <w:rsid w:val="004C4467"/>
    <w:rsid w:val="004C619F"/>
    <w:rsid w:val="004C6478"/>
    <w:rsid w:val="004C6B30"/>
    <w:rsid w:val="004C6E40"/>
    <w:rsid w:val="004C6E74"/>
    <w:rsid w:val="004C6FF3"/>
    <w:rsid w:val="004C7E7E"/>
    <w:rsid w:val="004D0023"/>
    <w:rsid w:val="004D11FC"/>
    <w:rsid w:val="004D1490"/>
    <w:rsid w:val="004D32AB"/>
    <w:rsid w:val="004D3591"/>
    <w:rsid w:val="004D35EB"/>
    <w:rsid w:val="004D4582"/>
    <w:rsid w:val="004D471C"/>
    <w:rsid w:val="004D4D64"/>
    <w:rsid w:val="004D4F77"/>
    <w:rsid w:val="004D502E"/>
    <w:rsid w:val="004D5054"/>
    <w:rsid w:val="004D550D"/>
    <w:rsid w:val="004D563F"/>
    <w:rsid w:val="004D5983"/>
    <w:rsid w:val="004D5DBA"/>
    <w:rsid w:val="004D6459"/>
    <w:rsid w:val="004D6612"/>
    <w:rsid w:val="004D6980"/>
    <w:rsid w:val="004D731E"/>
    <w:rsid w:val="004D7FB6"/>
    <w:rsid w:val="004E0542"/>
    <w:rsid w:val="004E1F05"/>
    <w:rsid w:val="004E241C"/>
    <w:rsid w:val="004E2B76"/>
    <w:rsid w:val="004E2F59"/>
    <w:rsid w:val="004E3209"/>
    <w:rsid w:val="004E3BAC"/>
    <w:rsid w:val="004E3E2B"/>
    <w:rsid w:val="004E400E"/>
    <w:rsid w:val="004E411C"/>
    <w:rsid w:val="004E44C6"/>
    <w:rsid w:val="004E490D"/>
    <w:rsid w:val="004E5023"/>
    <w:rsid w:val="004E60E1"/>
    <w:rsid w:val="004E6173"/>
    <w:rsid w:val="004E61FD"/>
    <w:rsid w:val="004E660F"/>
    <w:rsid w:val="004E66AF"/>
    <w:rsid w:val="004E6740"/>
    <w:rsid w:val="004E6AC5"/>
    <w:rsid w:val="004E751C"/>
    <w:rsid w:val="004E7E7E"/>
    <w:rsid w:val="004F064D"/>
    <w:rsid w:val="004F0A44"/>
    <w:rsid w:val="004F0E9A"/>
    <w:rsid w:val="004F1EEB"/>
    <w:rsid w:val="004F238A"/>
    <w:rsid w:val="004F2754"/>
    <w:rsid w:val="004F36E7"/>
    <w:rsid w:val="004F37EA"/>
    <w:rsid w:val="004F3BC0"/>
    <w:rsid w:val="004F3EE6"/>
    <w:rsid w:val="004F3F97"/>
    <w:rsid w:val="004F42F1"/>
    <w:rsid w:val="004F4A45"/>
    <w:rsid w:val="004F4AD0"/>
    <w:rsid w:val="004F500D"/>
    <w:rsid w:val="004F5920"/>
    <w:rsid w:val="004F5FC8"/>
    <w:rsid w:val="004F66AF"/>
    <w:rsid w:val="004F686C"/>
    <w:rsid w:val="004F72CE"/>
    <w:rsid w:val="004F73F0"/>
    <w:rsid w:val="004F7670"/>
    <w:rsid w:val="004F7AD4"/>
    <w:rsid w:val="004F7BD5"/>
    <w:rsid w:val="004F7C2C"/>
    <w:rsid w:val="00500AB3"/>
    <w:rsid w:val="00500C3B"/>
    <w:rsid w:val="00500C65"/>
    <w:rsid w:val="00501D52"/>
    <w:rsid w:val="00501E06"/>
    <w:rsid w:val="0050293B"/>
    <w:rsid w:val="00503348"/>
    <w:rsid w:val="00503F1D"/>
    <w:rsid w:val="005040B3"/>
    <w:rsid w:val="00504D24"/>
    <w:rsid w:val="005053AB"/>
    <w:rsid w:val="00505510"/>
    <w:rsid w:val="005056D0"/>
    <w:rsid w:val="005058C2"/>
    <w:rsid w:val="00505A1B"/>
    <w:rsid w:val="00505AAD"/>
    <w:rsid w:val="00505CC3"/>
    <w:rsid w:val="00505ECE"/>
    <w:rsid w:val="0050673B"/>
    <w:rsid w:val="00507FD4"/>
    <w:rsid w:val="00510203"/>
    <w:rsid w:val="005103B3"/>
    <w:rsid w:val="005105F9"/>
    <w:rsid w:val="00510CCD"/>
    <w:rsid w:val="0051131A"/>
    <w:rsid w:val="005116FA"/>
    <w:rsid w:val="005117DC"/>
    <w:rsid w:val="0051190E"/>
    <w:rsid w:val="00511D1E"/>
    <w:rsid w:val="00511F3E"/>
    <w:rsid w:val="0051201C"/>
    <w:rsid w:val="00512F33"/>
    <w:rsid w:val="00513489"/>
    <w:rsid w:val="005135ED"/>
    <w:rsid w:val="00513AE5"/>
    <w:rsid w:val="00514521"/>
    <w:rsid w:val="005146A6"/>
    <w:rsid w:val="00514D03"/>
    <w:rsid w:val="00514E7A"/>
    <w:rsid w:val="00514F6F"/>
    <w:rsid w:val="0051556E"/>
    <w:rsid w:val="00515641"/>
    <w:rsid w:val="00516690"/>
    <w:rsid w:val="00516E54"/>
    <w:rsid w:val="0051760A"/>
    <w:rsid w:val="005176EF"/>
    <w:rsid w:val="00520C83"/>
    <w:rsid w:val="00520C98"/>
    <w:rsid w:val="00520DF1"/>
    <w:rsid w:val="0052126F"/>
    <w:rsid w:val="00521674"/>
    <w:rsid w:val="005216E2"/>
    <w:rsid w:val="00522716"/>
    <w:rsid w:val="00522933"/>
    <w:rsid w:val="00522BE9"/>
    <w:rsid w:val="005234CA"/>
    <w:rsid w:val="005235E9"/>
    <w:rsid w:val="0052375D"/>
    <w:rsid w:val="00524690"/>
    <w:rsid w:val="00524A55"/>
    <w:rsid w:val="00525128"/>
    <w:rsid w:val="00525F0F"/>
    <w:rsid w:val="00525F16"/>
    <w:rsid w:val="005262B4"/>
    <w:rsid w:val="005265D3"/>
    <w:rsid w:val="005266C0"/>
    <w:rsid w:val="00526732"/>
    <w:rsid w:val="00526FE5"/>
    <w:rsid w:val="005277B0"/>
    <w:rsid w:val="005278D8"/>
    <w:rsid w:val="005279BC"/>
    <w:rsid w:val="00530958"/>
    <w:rsid w:val="00530A07"/>
    <w:rsid w:val="00530A30"/>
    <w:rsid w:val="0053102C"/>
    <w:rsid w:val="00531039"/>
    <w:rsid w:val="005315DB"/>
    <w:rsid w:val="005319E3"/>
    <w:rsid w:val="00531FF6"/>
    <w:rsid w:val="005322E3"/>
    <w:rsid w:val="005323A5"/>
    <w:rsid w:val="005330BF"/>
    <w:rsid w:val="005335D8"/>
    <w:rsid w:val="0053361E"/>
    <w:rsid w:val="0053390E"/>
    <w:rsid w:val="00533EE2"/>
    <w:rsid w:val="005341D6"/>
    <w:rsid w:val="00534328"/>
    <w:rsid w:val="00535908"/>
    <w:rsid w:val="005359FA"/>
    <w:rsid w:val="00535A23"/>
    <w:rsid w:val="00535AE1"/>
    <w:rsid w:val="00535D6F"/>
    <w:rsid w:val="005364D3"/>
    <w:rsid w:val="005367E1"/>
    <w:rsid w:val="005368AB"/>
    <w:rsid w:val="00537729"/>
    <w:rsid w:val="005379C8"/>
    <w:rsid w:val="00537A4C"/>
    <w:rsid w:val="00537B7F"/>
    <w:rsid w:val="00537DBA"/>
    <w:rsid w:val="0054002C"/>
    <w:rsid w:val="0054096F"/>
    <w:rsid w:val="005410BB"/>
    <w:rsid w:val="005410E1"/>
    <w:rsid w:val="00541108"/>
    <w:rsid w:val="00541FED"/>
    <w:rsid w:val="00542252"/>
    <w:rsid w:val="005423D2"/>
    <w:rsid w:val="0054259A"/>
    <w:rsid w:val="00542E72"/>
    <w:rsid w:val="00543487"/>
    <w:rsid w:val="0054350C"/>
    <w:rsid w:val="00543FDA"/>
    <w:rsid w:val="005442E7"/>
    <w:rsid w:val="00544B2E"/>
    <w:rsid w:val="00545015"/>
    <w:rsid w:val="00545719"/>
    <w:rsid w:val="005464C1"/>
    <w:rsid w:val="0054654E"/>
    <w:rsid w:val="005465C3"/>
    <w:rsid w:val="0054693F"/>
    <w:rsid w:val="00547281"/>
    <w:rsid w:val="00547569"/>
    <w:rsid w:val="0054791E"/>
    <w:rsid w:val="00547959"/>
    <w:rsid w:val="00547DB2"/>
    <w:rsid w:val="00550B96"/>
    <w:rsid w:val="00551566"/>
    <w:rsid w:val="0055183C"/>
    <w:rsid w:val="005519CF"/>
    <w:rsid w:val="00551C91"/>
    <w:rsid w:val="005531D5"/>
    <w:rsid w:val="005537FA"/>
    <w:rsid w:val="00553E1A"/>
    <w:rsid w:val="005547C2"/>
    <w:rsid w:val="00554E43"/>
    <w:rsid w:val="005569BE"/>
    <w:rsid w:val="00556BD9"/>
    <w:rsid w:val="00556C27"/>
    <w:rsid w:val="005578BC"/>
    <w:rsid w:val="00560189"/>
    <w:rsid w:val="005604FD"/>
    <w:rsid w:val="005607CB"/>
    <w:rsid w:val="005609E8"/>
    <w:rsid w:val="00560A7F"/>
    <w:rsid w:val="00560A81"/>
    <w:rsid w:val="00560AB4"/>
    <w:rsid w:val="005614FF"/>
    <w:rsid w:val="00561999"/>
    <w:rsid w:val="005621FE"/>
    <w:rsid w:val="0056282C"/>
    <w:rsid w:val="005629A4"/>
    <w:rsid w:val="00562DE6"/>
    <w:rsid w:val="00562F47"/>
    <w:rsid w:val="0056300A"/>
    <w:rsid w:val="00563322"/>
    <w:rsid w:val="005638BF"/>
    <w:rsid w:val="0056394F"/>
    <w:rsid w:val="00563FDC"/>
    <w:rsid w:val="00564E62"/>
    <w:rsid w:val="005651C2"/>
    <w:rsid w:val="00565F39"/>
    <w:rsid w:val="00566055"/>
    <w:rsid w:val="005662AF"/>
    <w:rsid w:val="00566577"/>
    <w:rsid w:val="00566654"/>
    <w:rsid w:val="00566A7E"/>
    <w:rsid w:val="00566D7C"/>
    <w:rsid w:val="00567627"/>
    <w:rsid w:val="005678F6"/>
    <w:rsid w:val="00570E06"/>
    <w:rsid w:val="00570E76"/>
    <w:rsid w:val="005712C6"/>
    <w:rsid w:val="005719EE"/>
    <w:rsid w:val="00571D29"/>
    <w:rsid w:val="00571F59"/>
    <w:rsid w:val="0057202A"/>
    <w:rsid w:val="00572532"/>
    <w:rsid w:val="005731F1"/>
    <w:rsid w:val="00573A06"/>
    <w:rsid w:val="0057439E"/>
    <w:rsid w:val="00574C00"/>
    <w:rsid w:val="0057514A"/>
    <w:rsid w:val="00575638"/>
    <w:rsid w:val="005768D5"/>
    <w:rsid w:val="00577249"/>
    <w:rsid w:val="0058018E"/>
    <w:rsid w:val="005804AB"/>
    <w:rsid w:val="00580864"/>
    <w:rsid w:val="0058097F"/>
    <w:rsid w:val="00580C73"/>
    <w:rsid w:val="00580DE7"/>
    <w:rsid w:val="00580F1A"/>
    <w:rsid w:val="00581728"/>
    <w:rsid w:val="0058176A"/>
    <w:rsid w:val="005819F1"/>
    <w:rsid w:val="00582444"/>
    <w:rsid w:val="00582629"/>
    <w:rsid w:val="00582CCC"/>
    <w:rsid w:val="00583678"/>
    <w:rsid w:val="0058400B"/>
    <w:rsid w:val="0058462E"/>
    <w:rsid w:val="00584985"/>
    <w:rsid w:val="00584EB3"/>
    <w:rsid w:val="005853A2"/>
    <w:rsid w:val="00585B0B"/>
    <w:rsid w:val="00585E52"/>
    <w:rsid w:val="00586CEF"/>
    <w:rsid w:val="00587C95"/>
    <w:rsid w:val="00587D93"/>
    <w:rsid w:val="0059072B"/>
    <w:rsid w:val="00590D75"/>
    <w:rsid w:val="00590E86"/>
    <w:rsid w:val="0059103E"/>
    <w:rsid w:val="00591700"/>
    <w:rsid w:val="00591D02"/>
    <w:rsid w:val="005929C8"/>
    <w:rsid w:val="00592BB7"/>
    <w:rsid w:val="00593176"/>
    <w:rsid w:val="005932B1"/>
    <w:rsid w:val="00593445"/>
    <w:rsid w:val="0059356C"/>
    <w:rsid w:val="00593886"/>
    <w:rsid w:val="00593F69"/>
    <w:rsid w:val="00593FFA"/>
    <w:rsid w:val="0059408E"/>
    <w:rsid w:val="00594E33"/>
    <w:rsid w:val="0059574D"/>
    <w:rsid w:val="00595965"/>
    <w:rsid w:val="0059618A"/>
    <w:rsid w:val="005965C0"/>
    <w:rsid w:val="005965F1"/>
    <w:rsid w:val="0059672A"/>
    <w:rsid w:val="00596EAD"/>
    <w:rsid w:val="00596F8E"/>
    <w:rsid w:val="005A0856"/>
    <w:rsid w:val="005A0975"/>
    <w:rsid w:val="005A138F"/>
    <w:rsid w:val="005A1A28"/>
    <w:rsid w:val="005A1AF1"/>
    <w:rsid w:val="005A2829"/>
    <w:rsid w:val="005A3759"/>
    <w:rsid w:val="005A3A67"/>
    <w:rsid w:val="005A3E4F"/>
    <w:rsid w:val="005A3F43"/>
    <w:rsid w:val="005A40F7"/>
    <w:rsid w:val="005A425B"/>
    <w:rsid w:val="005A4E37"/>
    <w:rsid w:val="005A528B"/>
    <w:rsid w:val="005A57D8"/>
    <w:rsid w:val="005A615C"/>
    <w:rsid w:val="005A6904"/>
    <w:rsid w:val="005A6983"/>
    <w:rsid w:val="005A6A74"/>
    <w:rsid w:val="005A6B1C"/>
    <w:rsid w:val="005A6BF3"/>
    <w:rsid w:val="005A743C"/>
    <w:rsid w:val="005A7E13"/>
    <w:rsid w:val="005B01A6"/>
    <w:rsid w:val="005B0623"/>
    <w:rsid w:val="005B089D"/>
    <w:rsid w:val="005B0E04"/>
    <w:rsid w:val="005B0E42"/>
    <w:rsid w:val="005B1148"/>
    <w:rsid w:val="005B172C"/>
    <w:rsid w:val="005B2206"/>
    <w:rsid w:val="005B258C"/>
    <w:rsid w:val="005B33D9"/>
    <w:rsid w:val="005B394E"/>
    <w:rsid w:val="005B3A17"/>
    <w:rsid w:val="005B40B4"/>
    <w:rsid w:val="005B4330"/>
    <w:rsid w:val="005B45F8"/>
    <w:rsid w:val="005B466F"/>
    <w:rsid w:val="005B48A4"/>
    <w:rsid w:val="005B4D12"/>
    <w:rsid w:val="005B58F6"/>
    <w:rsid w:val="005B59C6"/>
    <w:rsid w:val="005B59DD"/>
    <w:rsid w:val="005B797B"/>
    <w:rsid w:val="005C010A"/>
    <w:rsid w:val="005C08FF"/>
    <w:rsid w:val="005C1106"/>
    <w:rsid w:val="005C11BD"/>
    <w:rsid w:val="005C1A42"/>
    <w:rsid w:val="005C1A4D"/>
    <w:rsid w:val="005C1B20"/>
    <w:rsid w:val="005C1D8F"/>
    <w:rsid w:val="005C245D"/>
    <w:rsid w:val="005C2492"/>
    <w:rsid w:val="005C2537"/>
    <w:rsid w:val="005C25F8"/>
    <w:rsid w:val="005C270B"/>
    <w:rsid w:val="005C2F8D"/>
    <w:rsid w:val="005C4D82"/>
    <w:rsid w:val="005C501B"/>
    <w:rsid w:val="005C50BE"/>
    <w:rsid w:val="005C51B9"/>
    <w:rsid w:val="005C53B6"/>
    <w:rsid w:val="005C57EE"/>
    <w:rsid w:val="005C5D77"/>
    <w:rsid w:val="005C5F27"/>
    <w:rsid w:val="005C6C3D"/>
    <w:rsid w:val="005C6D55"/>
    <w:rsid w:val="005C6E25"/>
    <w:rsid w:val="005C7832"/>
    <w:rsid w:val="005C7D30"/>
    <w:rsid w:val="005D0617"/>
    <w:rsid w:val="005D0BBD"/>
    <w:rsid w:val="005D162F"/>
    <w:rsid w:val="005D1B7F"/>
    <w:rsid w:val="005D207E"/>
    <w:rsid w:val="005D2880"/>
    <w:rsid w:val="005D29FF"/>
    <w:rsid w:val="005D2A7C"/>
    <w:rsid w:val="005D3762"/>
    <w:rsid w:val="005D39E9"/>
    <w:rsid w:val="005D3D2B"/>
    <w:rsid w:val="005D3D5A"/>
    <w:rsid w:val="005D40F4"/>
    <w:rsid w:val="005D447F"/>
    <w:rsid w:val="005D5242"/>
    <w:rsid w:val="005D52FB"/>
    <w:rsid w:val="005D55C0"/>
    <w:rsid w:val="005D5912"/>
    <w:rsid w:val="005D59B0"/>
    <w:rsid w:val="005D5D06"/>
    <w:rsid w:val="005D615E"/>
    <w:rsid w:val="005D61D2"/>
    <w:rsid w:val="005D6537"/>
    <w:rsid w:val="005D661C"/>
    <w:rsid w:val="005D6913"/>
    <w:rsid w:val="005D6CCB"/>
    <w:rsid w:val="005D6D93"/>
    <w:rsid w:val="005D6EC6"/>
    <w:rsid w:val="005D754B"/>
    <w:rsid w:val="005D7B55"/>
    <w:rsid w:val="005D7BFB"/>
    <w:rsid w:val="005E0091"/>
    <w:rsid w:val="005E00ED"/>
    <w:rsid w:val="005E0668"/>
    <w:rsid w:val="005E1097"/>
    <w:rsid w:val="005E10E9"/>
    <w:rsid w:val="005E205F"/>
    <w:rsid w:val="005E2547"/>
    <w:rsid w:val="005E38B6"/>
    <w:rsid w:val="005E40F8"/>
    <w:rsid w:val="005E48EA"/>
    <w:rsid w:val="005E4E0C"/>
    <w:rsid w:val="005E4E3D"/>
    <w:rsid w:val="005E50F8"/>
    <w:rsid w:val="005E511B"/>
    <w:rsid w:val="005E574F"/>
    <w:rsid w:val="005E597B"/>
    <w:rsid w:val="005E5BBA"/>
    <w:rsid w:val="005E5D82"/>
    <w:rsid w:val="005E65F7"/>
    <w:rsid w:val="005E6A24"/>
    <w:rsid w:val="005E7AC4"/>
    <w:rsid w:val="005E7FEE"/>
    <w:rsid w:val="005F0600"/>
    <w:rsid w:val="005F0994"/>
    <w:rsid w:val="005F131C"/>
    <w:rsid w:val="005F1C22"/>
    <w:rsid w:val="005F1D63"/>
    <w:rsid w:val="005F1EDD"/>
    <w:rsid w:val="005F225C"/>
    <w:rsid w:val="005F2A7E"/>
    <w:rsid w:val="005F2E27"/>
    <w:rsid w:val="005F35A7"/>
    <w:rsid w:val="005F3E4F"/>
    <w:rsid w:val="005F44D6"/>
    <w:rsid w:val="005F4591"/>
    <w:rsid w:val="005F45CA"/>
    <w:rsid w:val="005F4A4F"/>
    <w:rsid w:val="005F507C"/>
    <w:rsid w:val="005F5C6A"/>
    <w:rsid w:val="005F5D28"/>
    <w:rsid w:val="005F6D36"/>
    <w:rsid w:val="005F6F0B"/>
    <w:rsid w:val="005F71E0"/>
    <w:rsid w:val="005F72F5"/>
    <w:rsid w:val="005F7341"/>
    <w:rsid w:val="005F75A2"/>
    <w:rsid w:val="005F7C19"/>
    <w:rsid w:val="005F7CE8"/>
    <w:rsid w:val="005F7DAB"/>
    <w:rsid w:val="006003C7"/>
    <w:rsid w:val="00600559"/>
    <w:rsid w:val="006005C5"/>
    <w:rsid w:val="006005D1"/>
    <w:rsid w:val="00600D44"/>
    <w:rsid w:val="00600FF5"/>
    <w:rsid w:val="00601D82"/>
    <w:rsid w:val="006027B5"/>
    <w:rsid w:val="00602B41"/>
    <w:rsid w:val="00602D49"/>
    <w:rsid w:val="006032F2"/>
    <w:rsid w:val="00603670"/>
    <w:rsid w:val="00604380"/>
    <w:rsid w:val="00604595"/>
    <w:rsid w:val="006053CC"/>
    <w:rsid w:val="00605925"/>
    <w:rsid w:val="006064A4"/>
    <w:rsid w:val="006065EC"/>
    <w:rsid w:val="00606623"/>
    <w:rsid w:val="0060669C"/>
    <w:rsid w:val="00606DB7"/>
    <w:rsid w:val="006075DB"/>
    <w:rsid w:val="00610794"/>
    <w:rsid w:val="00610939"/>
    <w:rsid w:val="00610A0E"/>
    <w:rsid w:val="00612A6A"/>
    <w:rsid w:val="00612A9B"/>
    <w:rsid w:val="00612E46"/>
    <w:rsid w:val="00613834"/>
    <w:rsid w:val="00613C13"/>
    <w:rsid w:val="006141CD"/>
    <w:rsid w:val="00614404"/>
    <w:rsid w:val="00614A6A"/>
    <w:rsid w:val="00614E07"/>
    <w:rsid w:val="00615FCE"/>
    <w:rsid w:val="00617432"/>
    <w:rsid w:val="0061744A"/>
    <w:rsid w:val="006174F1"/>
    <w:rsid w:val="006178EA"/>
    <w:rsid w:val="00617C9C"/>
    <w:rsid w:val="00617F3B"/>
    <w:rsid w:val="00620105"/>
    <w:rsid w:val="00620646"/>
    <w:rsid w:val="00620935"/>
    <w:rsid w:val="00620B3B"/>
    <w:rsid w:val="006210E2"/>
    <w:rsid w:val="00621589"/>
    <w:rsid w:val="00622A85"/>
    <w:rsid w:val="00624AA6"/>
    <w:rsid w:val="00624B5D"/>
    <w:rsid w:val="0062520D"/>
    <w:rsid w:val="00625473"/>
    <w:rsid w:val="00625AC0"/>
    <w:rsid w:val="00625CAE"/>
    <w:rsid w:val="00626453"/>
    <w:rsid w:val="00626614"/>
    <w:rsid w:val="006275C1"/>
    <w:rsid w:val="00627F11"/>
    <w:rsid w:val="00630547"/>
    <w:rsid w:val="006306B1"/>
    <w:rsid w:val="00630A57"/>
    <w:rsid w:val="00630EB5"/>
    <w:rsid w:val="00631640"/>
    <w:rsid w:val="006316B6"/>
    <w:rsid w:val="006317A8"/>
    <w:rsid w:val="00631C08"/>
    <w:rsid w:val="00632676"/>
    <w:rsid w:val="0063284E"/>
    <w:rsid w:val="0063298E"/>
    <w:rsid w:val="00633000"/>
    <w:rsid w:val="00634354"/>
    <w:rsid w:val="0063439C"/>
    <w:rsid w:val="0063569D"/>
    <w:rsid w:val="0063627C"/>
    <w:rsid w:val="00636885"/>
    <w:rsid w:val="00636E03"/>
    <w:rsid w:val="00636FD7"/>
    <w:rsid w:val="00637364"/>
    <w:rsid w:val="00637696"/>
    <w:rsid w:val="006401CF"/>
    <w:rsid w:val="00640DB9"/>
    <w:rsid w:val="00641252"/>
    <w:rsid w:val="006424D0"/>
    <w:rsid w:val="00642D9B"/>
    <w:rsid w:val="00643132"/>
    <w:rsid w:val="0064392B"/>
    <w:rsid w:val="006439EF"/>
    <w:rsid w:val="00643D88"/>
    <w:rsid w:val="00643DFB"/>
    <w:rsid w:val="00644244"/>
    <w:rsid w:val="00645370"/>
    <w:rsid w:val="00645589"/>
    <w:rsid w:val="0064598B"/>
    <w:rsid w:val="006459EB"/>
    <w:rsid w:val="00646BE4"/>
    <w:rsid w:val="00650180"/>
    <w:rsid w:val="00650569"/>
    <w:rsid w:val="0065061B"/>
    <w:rsid w:val="00650986"/>
    <w:rsid w:val="006509B6"/>
    <w:rsid w:val="00650D1A"/>
    <w:rsid w:val="006511BC"/>
    <w:rsid w:val="006519CD"/>
    <w:rsid w:val="006524BF"/>
    <w:rsid w:val="00653E62"/>
    <w:rsid w:val="0065421C"/>
    <w:rsid w:val="00654993"/>
    <w:rsid w:val="0065532B"/>
    <w:rsid w:val="006559F3"/>
    <w:rsid w:val="00655E8A"/>
    <w:rsid w:val="00656843"/>
    <w:rsid w:val="00656E36"/>
    <w:rsid w:val="00656EA0"/>
    <w:rsid w:val="006576E0"/>
    <w:rsid w:val="00657BA1"/>
    <w:rsid w:val="0066064A"/>
    <w:rsid w:val="006608DC"/>
    <w:rsid w:val="006613A5"/>
    <w:rsid w:val="00661564"/>
    <w:rsid w:val="00661748"/>
    <w:rsid w:val="00661B55"/>
    <w:rsid w:val="00661B63"/>
    <w:rsid w:val="00662629"/>
    <w:rsid w:val="00662A4D"/>
    <w:rsid w:val="00663235"/>
    <w:rsid w:val="00664366"/>
    <w:rsid w:val="00665658"/>
    <w:rsid w:val="006660C0"/>
    <w:rsid w:val="0066666F"/>
    <w:rsid w:val="006667FF"/>
    <w:rsid w:val="00666954"/>
    <w:rsid w:val="00666CAC"/>
    <w:rsid w:val="006670A2"/>
    <w:rsid w:val="00667A5D"/>
    <w:rsid w:val="00670264"/>
    <w:rsid w:val="00670746"/>
    <w:rsid w:val="00670E19"/>
    <w:rsid w:val="00670E6F"/>
    <w:rsid w:val="0067121D"/>
    <w:rsid w:val="006712D7"/>
    <w:rsid w:val="006713E3"/>
    <w:rsid w:val="00671BFA"/>
    <w:rsid w:val="0067212A"/>
    <w:rsid w:val="006723AE"/>
    <w:rsid w:val="006725A9"/>
    <w:rsid w:val="00672B29"/>
    <w:rsid w:val="00672C44"/>
    <w:rsid w:val="00673347"/>
    <w:rsid w:val="00673B80"/>
    <w:rsid w:val="00673C78"/>
    <w:rsid w:val="00673E97"/>
    <w:rsid w:val="0067464A"/>
    <w:rsid w:val="00674EEA"/>
    <w:rsid w:val="00675152"/>
    <w:rsid w:val="0067543D"/>
    <w:rsid w:val="00675D6C"/>
    <w:rsid w:val="006765AD"/>
    <w:rsid w:val="006767B5"/>
    <w:rsid w:val="00676C91"/>
    <w:rsid w:val="0067753E"/>
    <w:rsid w:val="00677A70"/>
    <w:rsid w:val="00677AD5"/>
    <w:rsid w:val="00677F38"/>
    <w:rsid w:val="00680987"/>
    <w:rsid w:val="00680E5A"/>
    <w:rsid w:val="00681D01"/>
    <w:rsid w:val="00682531"/>
    <w:rsid w:val="00682800"/>
    <w:rsid w:val="00682BB1"/>
    <w:rsid w:val="00682DC0"/>
    <w:rsid w:val="0068321D"/>
    <w:rsid w:val="0068367B"/>
    <w:rsid w:val="006840BA"/>
    <w:rsid w:val="006841C8"/>
    <w:rsid w:val="00684472"/>
    <w:rsid w:val="00684E9D"/>
    <w:rsid w:val="00685B3A"/>
    <w:rsid w:val="00685F96"/>
    <w:rsid w:val="00686765"/>
    <w:rsid w:val="00686B3A"/>
    <w:rsid w:val="006872AF"/>
    <w:rsid w:val="006875A6"/>
    <w:rsid w:val="0068767F"/>
    <w:rsid w:val="00690380"/>
    <w:rsid w:val="00690660"/>
    <w:rsid w:val="00690E0D"/>
    <w:rsid w:val="00692587"/>
    <w:rsid w:val="00692BAE"/>
    <w:rsid w:val="00693D51"/>
    <w:rsid w:val="00694017"/>
    <w:rsid w:val="006950B0"/>
    <w:rsid w:val="00695954"/>
    <w:rsid w:val="0069597F"/>
    <w:rsid w:val="00695B71"/>
    <w:rsid w:val="00695BAA"/>
    <w:rsid w:val="00696A92"/>
    <w:rsid w:val="0069736C"/>
    <w:rsid w:val="006976FE"/>
    <w:rsid w:val="00697BC2"/>
    <w:rsid w:val="006A0295"/>
    <w:rsid w:val="006A0390"/>
    <w:rsid w:val="006A048B"/>
    <w:rsid w:val="006A05CA"/>
    <w:rsid w:val="006A0658"/>
    <w:rsid w:val="006A0AD3"/>
    <w:rsid w:val="006A0B26"/>
    <w:rsid w:val="006A1317"/>
    <w:rsid w:val="006A1908"/>
    <w:rsid w:val="006A2017"/>
    <w:rsid w:val="006A2390"/>
    <w:rsid w:val="006A24FF"/>
    <w:rsid w:val="006A26F0"/>
    <w:rsid w:val="006A2D67"/>
    <w:rsid w:val="006A32E8"/>
    <w:rsid w:val="006A4CEA"/>
    <w:rsid w:val="006A4F14"/>
    <w:rsid w:val="006A53D6"/>
    <w:rsid w:val="006A56D7"/>
    <w:rsid w:val="006A5E7D"/>
    <w:rsid w:val="006A627B"/>
    <w:rsid w:val="006A6415"/>
    <w:rsid w:val="006A6485"/>
    <w:rsid w:val="006A6928"/>
    <w:rsid w:val="006A6B1E"/>
    <w:rsid w:val="006A74E6"/>
    <w:rsid w:val="006A7B92"/>
    <w:rsid w:val="006B0060"/>
    <w:rsid w:val="006B0227"/>
    <w:rsid w:val="006B052B"/>
    <w:rsid w:val="006B0DB2"/>
    <w:rsid w:val="006B0DFC"/>
    <w:rsid w:val="006B0E6D"/>
    <w:rsid w:val="006B0F1E"/>
    <w:rsid w:val="006B13FB"/>
    <w:rsid w:val="006B14B5"/>
    <w:rsid w:val="006B1CB0"/>
    <w:rsid w:val="006B1DF2"/>
    <w:rsid w:val="006B29C4"/>
    <w:rsid w:val="006B2CE9"/>
    <w:rsid w:val="006B3288"/>
    <w:rsid w:val="006B36A1"/>
    <w:rsid w:val="006B4B02"/>
    <w:rsid w:val="006B4EF7"/>
    <w:rsid w:val="006B5290"/>
    <w:rsid w:val="006B5652"/>
    <w:rsid w:val="006B5A61"/>
    <w:rsid w:val="006B7577"/>
    <w:rsid w:val="006C0CEA"/>
    <w:rsid w:val="006C145C"/>
    <w:rsid w:val="006C205E"/>
    <w:rsid w:val="006C234D"/>
    <w:rsid w:val="006C26F7"/>
    <w:rsid w:val="006C2901"/>
    <w:rsid w:val="006C2E33"/>
    <w:rsid w:val="006C303F"/>
    <w:rsid w:val="006C32D3"/>
    <w:rsid w:val="006C3D05"/>
    <w:rsid w:val="006C41D6"/>
    <w:rsid w:val="006C4DCB"/>
    <w:rsid w:val="006C4F19"/>
    <w:rsid w:val="006C56E6"/>
    <w:rsid w:val="006C5FF3"/>
    <w:rsid w:val="006C6090"/>
    <w:rsid w:val="006C645E"/>
    <w:rsid w:val="006C726C"/>
    <w:rsid w:val="006D0345"/>
    <w:rsid w:val="006D069E"/>
    <w:rsid w:val="006D0B76"/>
    <w:rsid w:val="006D10CC"/>
    <w:rsid w:val="006D1F73"/>
    <w:rsid w:val="006D246D"/>
    <w:rsid w:val="006D3087"/>
    <w:rsid w:val="006D3135"/>
    <w:rsid w:val="006D33FE"/>
    <w:rsid w:val="006D34AD"/>
    <w:rsid w:val="006D3FC0"/>
    <w:rsid w:val="006D45D6"/>
    <w:rsid w:val="006D4696"/>
    <w:rsid w:val="006D47E9"/>
    <w:rsid w:val="006D4B1C"/>
    <w:rsid w:val="006D50FF"/>
    <w:rsid w:val="006D586A"/>
    <w:rsid w:val="006D5E61"/>
    <w:rsid w:val="006D6362"/>
    <w:rsid w:val="006D650B"/>
    <w:rsid w:val="006D6750"/>
    <w:rsid w:val="006D6B64"/>
    <w:rsid w:val="006D78AA"/>
    <w:rsid w:val="006D7BE6"/>
    <w:rsid w:val="006D7E7C"/>
    <w:rsid w:val="006E0349"/>
    <w:rsid w:val="006E039D"/>
    <w:rsid w:val="006E0F83"/>
    <w:rsid w:val="006E1131"/>
    <w:rsid w:val="006E119D"/>
    <w:rsid w:val="006E12E5"/>
    <w:rsid w:val="006E1A13"/>
    <w:rsid w:val="006E1E54"/>
    <w:rsid w:val="006E255A"/>
    <w:rsid w:val="006E271E"/>
    <w:rsid w:val="006E36B0"/>
    <w:rsid w:val="006E3A1E"/>
    <w:rsid w:val="006E3BFA"/>
    <w:rsid w:val="006E4003"/>
    <w:rsid w:val="006E4383"/>
    <w:rsid w:val="006E4F0E"/>
    <w:rsid w:val="006E56F4"/>
    <w:rsid w:val="006E57CC"/>
    <w:rsid w:val="006E58C2"/>
    <w:rsid w:val="006E5900"/>
    <w:rsid w:val="006E5DEF"/>
    <w:rsid w:val="006E68EF"/>
    <w:rsid w:val="006E6CD9"/>
    <w:rsid w:val="006E6D17"/>
    <w:rsid w:val="006E7144"/>
    <w:rsid w:val="006E718E"/>
    <w:rsid w:val="006E72EC"/>
    <w:rsid w:val="006E75DF"/>
    <w:rsid w:val="006E765F"/>
    <w:rsid w:val="006E7741"/>
    <w:rsid w:val="006E7A94"/>
    <w:rsid w:val="006F0862"/>
    <w:rsid w:val="006F0B65"/>
    <w:rsid w:val="006F1D4A"/>
    <w:rsid w:val="006F2D40"/>
    <w:rsid w:val="006F2D4E"/>
    <w:rsid w:val="006F2E7A"/>
    <w:rsid w:val="006F3033"/>
    <w:rsid w:val="006F30AB"/>
    <w:rsid w:val="006F327E"/>
    <w:rsid w:val="006F4035"/>
    <w:rsid w:val="006F40EE"/>
    <w:rsid w:val="006F46EF"/>
    <w:rsid w:val="006F47DF"/>
    <w:rsid w:val="006F539F"/>
    <w:rsid w:val="006F5421"/>
    <w:rsid w:val="006F5673"/>
    <w:rsid w:val="006F5963"/>
    <w:rsid w:val="006F5CD2"/>
    <w:rsid w:val="006F5D94"/>
    <w:rsid w:val="006F66B7"/>
    <w:rsid w:val="006F714D"/>
    <w:rsid w:val="006F71D8"/>
    <w:rsid w:val="006F76B3"/>
    <w:rsid w:val="00700557"/>
    <w:rsid w:val="007009D2"/>
    <w:rsid w:val="00700B61"/>
    <w:rsid w:val="00700D4F"/>
    <w:rsid w:val="00701CB6"/>
    <w:rsid w:val="00701D3E"/>
    <w:rsid w:val="007020E0"/>
    <w:rsid w:val="007021CF"/>
    <w:rsid w:val="007029F4"/>
    <w:rsid w:val="00702E4A"/>
    <w:rsid w:val="00703138"/>
    <w:rsid w:val="0070355A"/>
    <w:rsid w:val="0070365B"/>
    <w:rsid w:val="007037AF"/>
    <w:rsid w:val="00703B90"/>
    <w:rsid w:val="00703D6A"/>
    <w:rsid w:val="007040E1"/>
    <w:rsid w:val="0070426F"/>
    <w:rsid w:val="007043AD"/>
    <w:rsid w:val="0070472A"/>
    <w:rsid w:val="00704A98"/>
    <w:rsid w:val="00704B44"/>
    <w:rsid w:val="00704CC6"/>
    <w:rsid w:val="007057CE"/>
    <w:rsid w:val="00705B68"/>
    <w:rsid w:val="00706A1F"/>
    <w:rsid w:val="00706AC4"/>
    <w:rsid w:val="00707B7B"/>
    <w:rsid w:val="007100CB"/>
    <w:rsid w:val="00710C9B"/>
    <w:rsid w:val="00710DBF"/>
    <w:rsid w:val="00710F3A"/>
    <w:rsid w:val="00711387"/>
    <w:rsid w:val="00711765"/>
    <w:rsid w:val="007120B0"/>
    <w:rsid w:val="00712643"/>
    <w:rsid w:val="00712866"/>
    <w:rsid w:val="00712989"/>
    <w:rsid w:val="00712FBC"/>
    <w:rsid w:val="00713B0A"/>
    <w:rsid w:val="00713FC8"/>
    <w:rsid w:val="00714227"/>
    <w:rsid w:val="00714248"/>
    <w:rsid w:val="007142BA"/>
    <w:rsid w:val="00714313"/>
    <w:rsid w:val="0071431E"/>
    <w:rsid w:val="00714889"/>
    <w:rsid w:val="00714B6E"/>
    <w:rsid w:val="0071501C"/>
    <w:rsid w:val="00715083"/>
    <w:rsid w:val="0071556F"/>
    <w:rsid w:val="00716232"/>
    <w:rsid w:val="007163A2"/>
    <w:rsid w:val="007168A4"/>
    <w:rsid w:val="0071752B"/>
    <w:rsid w:val="00717558"/>
    <w:rsid w:val="00717B7E"/>
    <w:rsid w:val="007214E7"/>
    <w:rsid w:val="007215CB"/>
    <w:rsid w:val="00721993"/>
    <w:rsid w:val="00721CE9"/>
    <w:rsid w:val="00722625"/>
    <w:rsid w:val="007227CF"/>
    <w:rsid w:val="00722BBF"/>
    <w:rsid w:val="00722FB3"/>
    <w:rsid w:val="00722FDE"/>
    <w:rsid w:val="0072381F"/>
    <w:rsid w:val="00723D50"/>
    <w:rsid w:val="00723DBA"/>
    <w:rsid w:val="007249B3"/>
    <w:rsid w:val="00724A32"/>
    <w:rsid w:val="00724D6E"/>
    <w:rsid w:val="0072526F"/>
    <w:rsid w:val="00725731"/>
    <w:rsid w:val="007257BD"/>
    <w:rsid w:val="0072590B"/>
    <w:rsid w:val="00725BD2"/>
    <w:rsid w:val="00725E3E"/>
    <w:rsid w:val="00727091"/>
    <w:rsid w:val="00727363"/>
    <w:rsid w:val="0072785C"/>
    <w:rsid w:val="007279C0"/>
    <w:rsid w:val="00727F53"/>
    <w:rsid w:val="00730603"/>
    <w:rsid w:val="0073082A"/>
    <w:rsid w:val="00731412"/>
    <w:rsid w:val="00731565"/>
    <w:rsid w:val="0073159E"/>
    <w:rsid w:val="00731DF6"/>
    <w:rsid w:val="00733FD7"/>
    <w:rsid w:val="00735017"/>
    <w:rsid w:val="007353F3"/>
    <w:rsid w:val="00735C6F"/>
    <w:rsid w:val="00736360"/>
    <w:rsid w:val="0073656B"/>
    <w:rsid w:val="00736C27"/>
    <w:rsid w:val="00736E1F"/>
    <w:rsid w:val="0073709E"/>
    <w:rsid w:val="007374A1"/>
    <w:rsid w:val="00737865"/>
    <w:rsid w:val="00740254"/>
    <w:rsid w:val="00740A75"/>
    <w:rsid w:val="00741CC2"/>
    <w:rsid w:val="00743491"/>
    <w:rsid w:val="00743C6E"/>
    <w:rsid w:val="0074410D"/>
    <w:rsid w:val="00744345"/>
    <w:rsid w:val="00744813"/>
    <w:rsid w:val="00745229"/>
    <w:rsid w:val="0074553C"/>
    <w:rsid w:val="007457A6"/>
    <w:rsid w:val="00745B5E"/>
    <w:rsid w:val="007460BC"/>
    <w:rsid w:val="00747242"/>
    <w:rsid w:val="00747266"/>
    <w:rsid w:val="00747431"/>
    <w:rsid w:val="007474A5"/>
    <w:rsid w:val="00747707"/>
    <w:rsid w:val="007479AA"/>
    <w:rsid w:val="00747FC0"/>
    <w:rsid w:val="0075098F"/>
    <w:rsid w:val="00751075"/>
    <w:rsid w:val="00751415"/>
    <w:rsid w:val="00751C2B"/>
    <w:rsid w:val="00751C9D"/>
    <w:rsid w:val="00753777"/>
    <w:rsid w:val="007539E4"/>
    <w:rsid w:val="00753C40"/>
    <w:rsid w:val="007547F8"/>
    <w:rsid w:val="00754BC6"/>
    <w:rsid w:val="00754F1A"/>
    <w:rsid w:val="0075505D"/>
    <w:rsid w:val="0075551B"/>
    <w:rsid w:val="00756121"/>
    <w:rsid w:val="00756259"/>
    <w:rsid w:val="007565B3"/>
    <w:rsid w:val="00756639"/>
    <w:rsid w:val="00756820"/>
    <w:rsid w:val="007569F5"/>
    <w:rsid w:val="00757291"/>
    <w:rsid w:val="007601BB"/>
    <w:rsid w:val="007605D1"/>
    <w:rsid w:val="00760C28"/>
    <w:rsid w:val="00761B3F"/>
    <w:rsid w:val="00761D19"/>
    <w:rsid w:val="00761F24"/>
    <w:rsid w:val="00762CC0"/>
    <w:rsid w:val="0076342B"/>
    <w:rsid w:val="00763C70"/>
    <w:rsid w:val="00764235"/>
    <w:rsid w:val="00764E90"/>
    <w:rsid w:val="007650C5"/>
    <w:rsid w:val="00765893"/>
    <w:rsid w:val="007658C2"/>
    <w:rsid w:val="00765A2E"/>
    <w:rsid w:val="00765EFE"/>
    <w:rsid w:val="007661DA"/>
    <w:rsid w:val="00766309"/>
    <w:rsid w:val="00766E9A"/>
    <w:rsid w:val="00767233"/>
    <w:rsid w:val="007678E0"/>
    <w:rsid w:val="007712F8"/>
    <w:rsid w:val="00771629"/>
    <w:rsid w:val="00771909"/>
    <w:rsid w:val="007719EA"/>
    <w:rsid w:val="007720F4"/>
    <w:rsid w:val="0077213D"/>
    <w:rsid w:val="0077222F"/>
    <w:rsid w:val="0077261D"/>
    <w:rsid w:val="0077337B"/>
    <w:rsid w:val="00773546"/>
    <w:rsid w:val="00773675"/>
    <w:rsid w:val="00773A71"/>
    <w:rsid w:val="00774333"/>
    <w:rsid w:val="00774343"/>
    <w:rsid w:val="00775657"/>
    <w:rsid w:val="00775910"/>
    <w:rsid w:val="0077598F"/>
    <w:rsid w:val="00775F16"/>
    <w:rsid w:val="007762CE"/>
    <w:rsid w:val="007763F7"/>
    <w:rsid w:val="007765C3"/>
    <w:rsid w:val="00776AB2"/>
    <w:rsid w:val="007770D6"/>
    <w:rsid w:val="00777205"/>
    <w:rsid w:val="00777B1C"/>
    <w:rsid w:val="00777C92"/>
    <w:rsid w:val="00777EC7"/>
    <w:rsid w:val="007801D6"/>
    <w:rsid w:val="00780713"/>
    <w:rsid w:val="00780BD0"/>
    <w:rsid w:val="00780E72"/>
    <w:rsid w:val="00781246"/>
    <w:rsid w:val="007815C9"/>
    <w:rsid w:val="00781EE7"/>
    <w:rsid w:val="00782552"/>
    <w:rsid w:val="00782BDC"/>
    <w:rsid w:val="0078323B"/>
    <w:rsid w:val="00783393"/>
    <w:rsid w:val="00783F24"/>
    <w:rsid w:val="00785C80"/>
    <w:rsid w:val="00785DB4"/>
    <w:rsid w:val="00786886"/>
    <w:rsid w:val="00786EB8"/>
    <w:rsid w:val="00787ABA"/>
    <w:rsid w:val="00790538"/>
    <w:rsid w:val="0079054F"/>
    <w:rsid w:val="00790809"/>
    <w:rsid w:val="007909B1"/>
    <w:rsid w:val="00790F95"/>
    <w:rsid w:val="007915D2"/>
    <w:rsid w:val="0079264A"/>
    <w:rsid w:val="007929FD"/>
    <w:rsid w:val="00793285"/>
    <w:rsid w:val="007937CC"/>
    <w:rsid w:val="007948BF"/>
    <w:rsid w:val="00794910"/>
    <w:rsid w:val="00794A68"/>
    <w:rsid w:val="00795853"/>
    <w:rsid w:val="0079664F"/>
    <w:rsid w:val="007973DF"/>
    <w:rsid w:val="007974D8"/>
    <w:rsid w:val="007A0180"/>
    <w:rsid w:val="007A02C5"/>
    <w:rsid w:val="007A03D5"/>
    <w:rsid w:val="007A0746"/>
    <w:rsid w:val="007A134F"/>
    <w:rsid w:val="007A1AC7"/>
    <w:rsid w:val="007A2096"/>
    <w:rsid w:val="007A2D24"/>
    <w:rsid w:val="007A2D5C"/>
    <w:rsid w:val="007A3031"/>
    <w:rsid w:val="007A35AD"/>
    <w:rsid w:val="007A3A0A"/>
    <w:rsid w:val="007A3BEC"/>
    <w:rsid w:val="007A4062"/>
    <w:rsid w:val="007A4444"/>
    <w:rsid w:val="007A457D"/>
    <w:rsid w:val="007A491D"/>
    <w:rsid w:val="007A4E02"/>
    <w:rsid w:val="007A55B4"/>
    <w:rsid w:val="007A57B0"/>
    <w:rsid w:val="007A6106"/>
    <w:rsid w:val="007A610B"/>
    <w:rsid w:val="007A654A"/>
    <w:rsid w:val="007A6AB1"/>
    <w:rsid w:val="007A6E7C"/>
    <w:rsid w:val="007A7884"/>
    <w:rsid w:val="007A79E0"/>
    <w:rsid w:val="007A7A4C"/>
    <w:rsid w:val="007A7E8C"/>
    <w:rsid w:val="007B0C1F"/>
    <w:rsid w:val="007B12FA"/>
    <w:rsid w:val="007B132E"/>
    <w:rsid w:val="007B1746"/>
    <w:rsid w:val="007B1BC2"/>
    <w:rsid w:val="007B2153"/>
    <w:rsid w:val="007B2570"/>
    <w:rsid w:val="007B3E0A"/>
    <w:rsid w:val="007B4B08"/>
    <w:rsid w:val="007B4D1D"/>
    <w:rsid w:val="007B4DBE"/>
    <w:rsid w:val="007B50DE"/>
    <w:rsid w:val="007B564C"/>
    <w:rsid w:val="007B5914"/>
    <w:rsid w:val="007B5BAC"/>
    <w:rsid w:val="007B5C86"/>
    <w:rsid w:val="007B7348"/>
    <w:rsid w:val="007B7552"/>
    <w:rsid w:val="007B7714"/>
    <w:rsid w:val="007B798C"/>
    <w:rsid w:val="007B7D0B"/>
    <w:rsid w:val="007C0783"/>
    <w:rsid w:val="007C1117"/>
    <w:rsid w:val="007C12D9"/>
    <w:rsid w:val="007C1397"/>
    <w:rsid w:val="007C1452"/>
    <w:rsid w:val="007C189D"/>
    <w:rsid w:val="007C1BB3"/>
    <w:rsid w:val="007C1D45"/>
    <w:rsid w:val="007C2957"/>
    <w:rsid w:val="007C2A34"/>
    <w:rsid w:val="007C3F5C"/>
    <w:rsid w:val="007C4C5A"/>
    <w:rsid w:val="007C5A4E"/>
    <w:rsid w:val="007C5B40"/>
    <w:rsid w:val="007C5F96"/>
    <w:rsid w:val="007C6519"/>
    <w:rsid w:val="007C70DD"/>
    <w:rsid w:val="007C743B"/>
    <w:rsid w:val="007C7860"/>
    <w:rsid w:val="007C7DB1"/>
    <w:rsid w:val="007D0585"/>
    <w:rsid w:val="007D15D2"/>
    <w:rsid w:val="007D17AF"/>
    <w:rsid w:val="007D1DF4"/>
    <w:rsid w:val="007D22A8"/>
    <w:rsid w:val="007D235D"/>
    <w:rsid w:val="007D268A"/>
    <w:rsid w:val="007D2692"/>
    <w:rsid w:val="007D2C85"/>
    <w:rsid w:val="007D341B"/>
    <w:rsid w:val="007D342C"/>
    <w:rsid w:val="007D3862"/>
    <w:rsid w:val="007D3A39"/>
    <w:rsid w:val="007D40A7"/>
    <w:rsid w:val="007D4562"/>
    <w:rsid w:val="007D4FE9"/>
    <w:rsid w:val="007D5F84"/>
    <w:rsid w:val="007D65C6"/>
    <w:rsid w:val="007D6848"/>
    <w:rsid w:val="007D6BF0"/>
    <w:rsid w:val="007D6D18"/>
    <w:rsid w:val="007D6F15"/>
    <w:rsid w:val="007D7C40"/>
    <w:rsid w:val="007D7D7E"/>
    <w:rsid w:val="007D7DDB"/>
    <w:rsid w:val="007D7E30"/>
    <w:rsid w:val="007E0317"/>
    <w:rsid w:val="007E0333"/>
    <w:rsid w:val="007E216C"/>
    <w:rsid w:val="007E21B7"/>
    <w:rsid w:val="007E27F1"/>
    <w:rsid w:val="007E2941"/>
    <w:rsid w:val="007E2A74"/>
    <w:rsid w:val="007E2BE0"/>
    <w:rsid w:val="007E3348"/>
    <w:rsid w:val="007E33FA"/>
    <w:rsid w:val="007E3A72"/>
    <w:rsid w:val="007E3CBF"/>
    <w:rsid w:val="007E48EF"/>
    <w:rsid w:val="007E491F"/>
    <w:rsid w:val="007E4D74"/>
    <w:rsid w:val="007E5259"/>
    <w:rsid w:val="007E5EBB"/>
    <w:rsid w:val="007E68FB"/>
    <w:rsid w:val="007E6D09"/>
    <w:rsid w:val="007E6E4D"/>
    <w:rsid w:val="007E6FBF"/>
    <w:rsid w:val="007E7608"/>
    <w:rsid w:val="007F009B"/>
    <w:rsid w:val="007F0185"/>
    <w:rsid w:val="007F03C7"/>
    <w:rsid w:val="007F082B"/>
    <w:rsid w:val="007F1012"/>
    <w:rsid w:val="007F173A"/>
    <w:rsid w:val="007F181B"/>
    <w:rsid w:val="007F21ED"/>
    <w:rsid w:val="007F2A47"/>
    <w:rsid w:val="007F31FD"/>
    <w:rsid w:val="007F3201"/>
    <w:rsid w:val="007F32F3"/>
    <w:rsid w:val="007F3C5B"/>
    <w:rsid w:val="007F4B98"/>
    <w:rsid w:val="007F50C9"/>
    <w:rsid w:val="007F51CB"/>
    <w:rsid w:val="007F55B0"/>
    <w:rsid w:val="007F5844"/>
    <w:rsid w:val="007F5AAD"/>
    <w:rsid w:val="007F5F0C"/>
    <w:rsid w:val="007F69B8"/>
    <w:rsid w:val="007F6A4E"/>
    <w:rsid w:val="007F6D53"/>
    <w:rsid w:val="007F7228"/>
    <w:rsid w:val="007F7D0A"/>
    <w:rsid w:val="007F7F55"/>
    <w:rsid w:val="007F7FB9"/>
    <w:rsid w:val="00800351"/>
    <w:rsid w:val="008012D5"/>
    <w:rsid w:val="008013D1"/>
    <w:rsid w:val="00801403"/>
    <w:rsid w:val="00801496"/>
    <w:rsid w:val="008019CC"/>
    <w:rsid w:val="00801C49"/>
    <w:rsid w:val="00801FA6"/>
    <w:rsid w:val="0080219F"/>
    <w:rsid w:val="008023AE"/>
    <w:rsid w:val="008024F1"/>
    <w:rsid w:val="008026C9"/>
    <w:rsid w:val="0080332F"/>
    <w:rsid w:val="00803FC5"/>
    <w:rsid w:val="00804722"/>
    <w:rsid w:val="00804B11"/>
    <w:rsid w:val="00804B88"/>
    <w:rsid w:val="00804FBA"/>
    <w:rsid w:val="00805023"/>
    <w:rsid w:val="00805549"/>
    <w:rsid w:val="00805628"/>
    <w:rsid w:val="00805889"/>
    <w:rsid w:val="008058DE"/>
    <w:rsid w:val="0080590D"/>
    <w:rsid w:val="00805A9D"/>
    <w:rsid w:val="0080672B"/>
    <w:rsid w:val="00806EA6"/>
    <w:rsid w:val="0080732A"/>
    <w:rsid w:val="00807589"/>
    <w:rsid w:val="0081084E"/>
    <w:rsid w:val="00810DCD"/>
    <w:rsid w:val="008117FC"/>
    <w:rsid w:val="008124B9"/>
    <w:rsid w:val="008125B9"/>
    <w:rsid w:val="008128EA"/>
    <w:rsid w:val="0081329A"/>
    <w:rsid w:val="0081385C"/>
    <w:rsid w:val="00813B45"/>
    <w:rsid w:val="00813B7F"/>
    <w:rsid w:val="008141E9"/>
    <w:rsid w:val="008142F6"/>
    <w:rsid w:val="0081439B"/>
    <w:rsid w:val="00815D4B"/>
    <w:rsid w:val="00816790"/>
    <w:rsid w:val="008169AB"/>
    <w:rsid w:val="00816BEB"/>
    <w:rsid w:val="00816E18"/>
    <w:rsid w:val="00817324"/>
    <w:rsid w:val="00817648"/>
    <w:rsid w:val="008179EE"/>
    <w:rsid w:val="00817C8B"/>
    <w:rsid w:val="00817E02"/>
    <w:rsid w:val="00820B70"/>
    <w:rsid w:val="0082209F"/>
    <w:rsid w:val="00822BA0"/>
    <w:rsid w:val="00822C3C"/>
    <w:rsid w:val="00822D46"/>
    <w:rsid w:val="008231DA"/>
    <w:rsid w:val="00823255"/>
    <w:rsid w:val="00823458"/>
    <w:rsid w:val="008236EE"/>
    <w:rsid w:val="00824189"/>
    <w:rsid w:val="0082447D"/>
    <w:rsid w:val="008247F1"/>
    <w:rsid w:val="00824BA2"/>
    <w:rsid w:val="00824FA7"/>
    <w:rsid w:val="008257AC"/>
    <w:rsid w:val="00825852"/>
    <w:rsid w:val="00825A21"/>
    <w:rsid w:val="00825B4B"/>
    <w:rsid w:val="0082612D"/>
    <w:rsid w:val="008263C3"/>
    <w:rsid w:val="00826715"/>
    <w:rsid w:val="0082681D"/>
    <w:rsid w:val="00826AAD"/>
    <w:rsid w:val="00826B6B"/>
    <w:rsid w:val="00826D89"/>
    <w:rsid w:val="00827214"/>
    <w:rsid w:val="0082758E"/>
    <w:rsid w:val="00827749"/>
    <w:rsid w:val="008302D1"/>
    <w:rsid w:val="008304AE"/>
    <w:rsid w:val="00830629"/>
    <w:rsid w:val="00830EEA"/>
    <w:rsid w:val="00831EDC"/>
    <w:rsid w:val="00832343"/>
    <w:rsid w:val="00832B14"/>
    <w:rsid w:val="008333E7"/>
    <w:rsid w:val="008346FB"/>
    <w:rsid w:val="00834758"/>
    <w:rsid w:val="00834768"/>
    <w:rsid w:val="00835069"/>
    <w:rsid w:val="008356CD"/>
    <w:rsid w:val="00835ADC"/>
    <w:rsid w:val="00835DEB"/>
    <w:rsid w:val="00835DF6"/>
    <w:rsid w:val="00836366"/>
    <w:rsid w:val="00836447"/>
    <w:rsid w:val="00836A2C"/>
    <w:rsid w:val="00836B71"/>
    <w:rsid w:val="00836D91"/>
    <w:rsid w:val="00837E5B"/>
    <w:rsid w:val="008406AE"/>
    <w:rsid w:val="00840AD3"/>
    <w:rsid w:val="00840DD8"/>
    <w:rsid w:val="00841888"/>
    <w:rsid w:val="0084295C"/>
    <w:rsid w:val="008429EF"/>
    <w:rsid w:val="00842AFD"/>
    <w:rsid w:val="00842B40"/>
    <w:rsid w:val="00842BA2"/>
    <w:rsid w:val="0084327B"/>
    <w:rsid w:val="0084359F"/>
    <w:rsid w:val="00843DE4"/>
    <w:rsid w:val="0084413F"/>
    <w:rsid w:val="0084462E"/>
    <w:rsid w:val="008449C8"/>
    <w:rsid w:val="00844CB1"/>
    <w:rsid w:val="008450DE"/>
    <w:rsid w:val="008451A0"/>
    <w:rsid w:val="008453E1"/>
    <w:rsid w:val="00845A0D"/>
    <w:rsid w:val="00845B56"/>
    <w:rsid w:val="00845C75"/>
    <w:rsid w:val="00845DC3"/>
    <w:rsid w:val="00845F1B"/>
    <w:rsid w:val="00846A09"/>
    <w:rsid w:val="00846E62"/>
    <w:rsid w:val="00846FE5"/>
    <w:rsid w:val="0084789F"/>
    <w:rsid w:val="008504A1"/>
    <w:rsid w:val="0085059A"/>
    <w:rsid w:val="00850604"/>
    <w:rsid w:val="00850B7A"/>
    <w:rsid w:val="00850C3F"/>
    <w:rsid w:val="00851192"/>
    <w:rsid w:val="00851475"/>
    <w:rsid w:val="00851636"/>
    <w:rsid w:val="00852B8B"/>
    <w:rsid w:val="0085363C"/>
    <w:rsid w:val="00853778"/>
    <w:rsid w:val="00853828"/>
    <w:rsid w:val="00853E6B"/>
    <w:rsid w:val="00853F74"/>
    <w:rsid w:val="008544DC"/>
    <w:rsid w:val="00854779"/>
    <w:rsid w:val="008549BF"/>
    <w:rsid w:val="008551B0"/>
    <w:rsid w:val="008554D2"/>
    <w:rsid w:val="008554D5"/>
    <w:rsid w:val="00855570"/>
    <w:rsid w:val="00855639"/>
    <w:rsid w:val="00855729"/>
    <w:rsid w:val="00855774"/>
    <w:rsid w:val="0085582B"/>
    <w:rsid w:val="00856067"/>
    <w:rsid w:val="008562E6"/>
    <w:rsid w:val="00856376"/>
    <w:rsid w:val="00856726"/>
    <w:rsid w:val="008569FC"/>
    <w:rsid w:val="00856A19"/>
    <w:rsid w:val="00857088"/>
    <w:rsid w:val="008577FB"/>
    <w:rsid w:val="0085781D"/>
    <w:rsid w:val="00857896"/>
    <w:rsid w:val="008604FA"/>
    <w:rsid w:val="00860D28"/>
    <w:rsid w:val="0086123F"/>
    <w:rsid w:val="00861355"/>
    <w:rsid w:val="008614D4"/>
    <w:rsid w:val="00861FE6"/>
    <w:rsid w:val="00862003"/>
    <w:rsid w:val="008631DF"/>
    <w:rsid w:val="0086349E"/>
    <w:rsid w:val="008635F2"/>
    <w:rsid w:val="008635FA"/>
    <w:rsid w:val="0086361F"/>
    <w:rsid w:val="008641C8"/>
    <w:rsid w:val="00864297"/>
    <w:rsid w:val="00865332"/>
    <w:rsid w:val="008656C8"/>
    <w:rsid w:val="00865B52"/>
    <w:rsid w:val="00865C5C"/>
    <w:rsid w:val="00866899"/>
    <w:rsid w:val="008668D7"/>
    <w:rsid w:val="00866FDE"/>
    <w:rsid w:val="00867179"/>
    <w:rsid w:val="00867A9B"/>
    <w:rsid w:val="00867CCC"/>
    <w:rsid w:val="00870728"/>
    <w:rsid w:val="008711FC"/>
    <w:rsid w:val="00871720"/>
    <w:rsid w:val="00871BAE"/>
    <w:rsid w:val="00871E96"/>
    <w:rsid w:val="0087228F"/>
    <w:rsid w:val="00872434"/>
    <w:rsid w:val="00872986"/>
    <w:rsid w:val="00872C22"/>
    <w:rsid w:val="0087393F"/>
    <w:rsid w:val="00873CD8"/>
    <w:rsid w:val="0087466D"/>
    <w:rsid w:val="00874FCD"/>
    <w:rsid w:val="0087514C"/>
    <w:rsid w:val="00875334"/>
    <w:rsid w:val="00875840"/>
    <w:rsid w:val="00875A0E"/>
    <w:rsid w:val="00876366"/>
    <w:rsid w:val="0087673E"/>
    <w:rsid w:val="008768B0"/>
    <w:rsid w:val="008770DE"/>
    <w:rsid w:val="00877494"/>
    <w:rsid w:val="0087777C"/>
    <w:rsid w:val="008778C6"/>
    <w:rsid w:val="00877977"/>
    <w:rsid w:val="00877D34"/>
    <w:rsid w:val="00880549"/>
    <w:rsid w:val="00880D83"/>
    <w:rsid w:val="00880E93"/>
    <w:rsid w:val="00881456"/>
    <w:rsid w:val="00882207"/>
    <w:rsid w:val="00882F0A"/>
    <w:rsid w:val="008832AF"/>
    <w:rsid w:val="0088416E"/>
    <w:rsid w:val="0088588D"/>
    <w:rsid w:val="008859B1"/>
    <w:rsid w:val="00885AAD"/>
    <w:rsid w:val="00885B10"/>
    <w:rsid w:val="00885F7F"/>
    <w:rsid w:val="008861E9"/>
    <w:rsid w:val="008862DA"/>
    <w:rsid w:val="00886377"/>
    <w:rsid w:val="00886447"/>
    <w:rsid w:val="00886BE6"/>
    <w:rsid w:val="0088711D"/>
    <w:rsid w:val="00887588"/>
    <w:rsid w:val="00887D59"/>
    <w:rsid w:val="0089004D"/>
    <w:rsid w:val="00890CEF"/>
    <w:rsid w:val="00890F68"/>
    <w:rsid w:val="008911F2"/>
    <w:rsid w:val="008912F6"/>
    <w:rsid w:val="00891511"/>
    <w:rsid w:val="00891591"/>
    <w:rsid w:val="00891BE2"/>
    <w:rsid w:val="008921E0"/>
    <w:rsid w:val="0089226A"/>
    <w:rsid w:val="00892C1F"/>
    <w:rsid w:val="00892CBF"/>
    <w:rsid w:val="00892E4F"/>
    <w:rsid w:val="0089366E"/>
    <w:rsid w:val="00893B4A"/>
    <w:rsid w:val="00893D4C"/>
    <w:rsid w:val="0089486F"/>
    <w:rsid w:val="00894C26"/>
    <w:rsid w:val="00894F4E"/>
    <w:rsid w:val="00894FA6"/>
    <w:rsid w:val="00897C93"/>
    <w:rsid w:val="00897DD2"/>
    <w:rsid w:val="008A23A7"/>
    <w:rsid w:val="008A27D1"/>
    <w:rsid w:val="008A2866"/>
    <w:rsid w:val="008A2B0A"/>
    <w:rsid w:val="008A2F3E"/>
    <w:rsid w:val="008A2F5E"/>
    <w:rsid w:val="008A340D"/>
    <w:rsid w:val="008A34C3"/>
    <w:rsid w:val="008A3CF3"/>
    <w:rsid w:val="008A3D17"/>
    <w:rsid w:val="008A4892"/>
    <w:rsid w:val="008A4AE3"/>
    <w:rsid w:val="008A4B35"/>
    <w:rsid w:val="008A4F1C"/>
    <w:rsid w:val="008A5340"/>
    <w:rsid w:val="008A551D"/>
    <w:rsid w:val="008A55EC"/>
    <w:rsid w:val="008A5D74"/>
    <w:rsid w:val="008A61DB"/>
    <w:rsid w:val="008A6350"/>
    <w:rsid w:val="008A6484"/>
    <w:rsid w:val="008A7BCC"/>
    <w:rsid w:val="008A7E6F"/>
    <w:rsid w:val="008B00EF"/>
    <w:rsid w:val="008B01DF"/>
    <w:rsid w:val="008B06DD"/>
    <w:rsid w:val="008B09D0"/>
    <w:rsid w:val="008B17D6"/>
    <w:rsid w:val="008B1B31"/>
    <w:rsid w:val="008B2C63"/>
    <w:rsid w:val="008B3168"/>
    <w:rsid w:val="008B3DA4"/>
    <w:rsid w:val="008B3E31"/>
    <w:rsid w:val="008B4435"/>
    <w:rsid w:val="008B44E7"/>
    <w:rsid w:val="008B4B0B"/>
    <w:rsid w:val="008B4F01"/>
    <w:rsid w:val="008B5226"/>
    <w:rsid w:val="008B5CA0"/>
    <w:rsid w:val="008B60FD"/>
    <w:rsid w:val="008B631F"/>
    <w:rsid w:val="008B6C37"/>
    <w:rsid w:val="008B6E0C"/>
    <w:rsid w:val="008B7011"/>
    <w:rsid w:val="008B704B"/>
    <w:rsid w:val="008B7758"/>
    <w:rsid w:val="008C1059"/>
    <w:rsid w:val="008C10FA"/>
    <w:rsid w:val="008C17E5"/>
    <w:rsid w:val="008C18E1"/>
    <w:rsid w:val="008C1B2A"/>
    <w:rsid w:val="008C32CF"/>
    <w:rsid w:val="008C33C0"/>
    <w:rsid w:val="008C3C99"/>
    <w:rsid w:val="008C4233"/>
    <w:rsid w:val="008C43DD"/>
    <w:rsid w:val="008C4463"/>
    <w:rsid w:val="008C4582"/>
    <w:rsid w:val="008C4B1E"/>
    <w:rsid w:val="008C511A"/>
    <w:rsid w:val="008C53E7"/>
    <w:rsid w:val="008C55FC"/>
    <w:rsid w:val="008C56C2"/>
    <w:rsid w:val="008C5A22"/>
    <w:rsid w:val="008C5BA3"/>
    <w:rsid w:val="008C5C5E"/>
    <w:rsid w:val="008C5E9E"/>
    <w:rsid w:val="008C714F"/>
    <w:rsid w:val="008D0034"/>
    <w:rsid w:val="008D016B"/>
    <w:rsid w:val="008D0323"/>
    <w:rsid w:val="008D0904"/>
    <w:rsid w:val="008D0EDD"/>
    <w:rsid w:val="008D0FF3"/>
    <w:rsid w:val="008D119A"/>
    <w:rsid w:val="008D1986"/>
    <w:rsid w:val="008D1BD3"/>
    <w:rsid w:val="008D1E6C"/>
    <w:rsid w:val="008D1F84"/>
    <w:rsid w:val="008D215C"/>
    <w:rsid w:val="008D286B"/>
    <w:rsid w:val="008D3015"/>
    <w:rsid w:val="008D33BC"/>
    <w:rsid w:val="008D3CE7"/>
    <w:rsid w:val="008D44B1"/>
    <w:rsid w:val="008D49C4"/>
    <w:rsid w:val="008D52BE"/>
    <w:rsid w:val="008D60E3"/>
    <w:rsid w:val="008D66E1"/>
    <w:rsid w:val="008D6F91"/>
    <w:rsid w:val="008D7A7B"/>
    <w:rsid w:val="008E0A97"/>
    <w:rsid w:val="008E112A"/>
    <w:rsid w:val="008E1906"/>
    <w:rsid w:val="008E1D01"/>
    <w:rsid w:val="008E285B"/>
    <w:rsid w:val="008E31AA"/>
    <w:rsid w:val="008E3471"/>
    <w:rsid w:val="008E419F"/>
    <w:rsid w:val="008E438B"/>
    <w:rsid w:val="008E451E"/>
    <w:rsid w:val="008E53C4"/>
    <w:rsid w:val="008E55CA"/>
    <w:rsid w:val="008E72E0"/>
    <w:rsid w:val="008F0083"/>
    <w:rsid w:val="008F03C6"/>
    <w:rsid w:val="008F0ACA"/>
    <w:rsid w:val="008F1851"/>
    <w:rsid w:val="008F20E4"/>
    <w:rsid w:val="008F2684"/>
    <w:rsid w:val="008F37AA"/>
    <w:rsid w:val="008F3A8C"/>
    <w:rsid w:val="008F3B43"/>
    <w:rsid w:val="008F3CA0"/>
    <w:rsid w:val="008F4339"/>
    <w:rsid w:val="008F438B"/>
    <w:rsid w:val="008F4853"/>
    <w:rsid w:val="008F4BA4"/>
    <w:rsid w:val="008F56BD"/>
    <w:rsid w:val="008F576A"/>
    <w:rsid w:val="008F62E1"/>
    <w:rsid w:val="008F726D"/>
    <w:rsid w:val="008F7422"/>
    <w:rsid w:val="008F77A9"/>
    <w:rsid w:val="008F790F"/>
    <w:rsid w:val="008F7A29"/>
    <w:rsid w:val="008F7E95"/>
    <w:rsid w:val="008F7F66"/>
    <w:rsid w:val="008F7FC6"/>
    <w:rsid w:val="008F7FCE"/>
    <w:rsid w:val="0090077A"/>
    <w:rsid w:val="00900BAB"/>
    <w:rsid w:val="00901067"/>
    <w:rsid w:val="0090156E"/>
    <w:rsid w:val="00901EEE"/>
    <w:rsid w:val="00902593"/>
    <w:rsid w:val="00902DD0"/>
    <w:rsid w:val="00903376"/>
    <w:rsid w:val="009039AA"/>
    <w:rsid w:val="00903A37"/>
    <w:rsid w:val="0090427E"/>
    <w:rsid w:val="00904668"/>
    <w:rsid w:val="00904EEF"/>
    <w:rsid w:val="00905354"/>
    <w:rsid w:val="009053AE"/>
    <w:rsid w:val="0090593B"/>
    <w:rsid w:val="009069F0"/>
    <w:rsid w:val="00906B80"/>
    <w:rsid w:val="00907C9A"/>
    <w:rsid w:val="00907D68"/>
    <w:rsid w:val="009106FF"/>
    <w:rsid w:val="00910BD5"/>
    <w:rsid w:val="009114EE"/>
    <w:rsid w:val="00911517"/>
    <w:rsid w:val="0091183F"/>
    <w:rsid w:val="00911CC1"/>
    <w:rsid w:val="00912265"/>
    <w:rsid w:val="0091261B"/>
    <w:rsid w:val="00912637"/>
    <w:rsid w:val="00912C1F"/>
    <w:rsid w:val="00912E6C"/>
    <w:rsid w:val="00913170"/>
    <w:rsid w:val="009139C2"/>
    <w:rsid w:val="00913EF3"/>
    <w:rsid w:val="009145F6"/>
    <w:rsid w:val="009149D5"/>
    <w:rsid w:val="00914CC8"/>
    <w:rsid w:val="00916C12"/>
    <w:rsid w:val="009175FD"/>
    <w:rsid w:val="00917860"/>
    <w:rsid w:val="009179B5"/>
    <w:rsid w:val="00917E33"/>
    <w:rsid w:val="00920A55"/>
    <w:rsid w:val="00920F6E"/>
    <w:rsid w:val="009215A8"/>
    <w:rsid w:val="00921741"/>
    <w:rsid w:val="00921A9A"/>
    <w:rsid w:val="00921DE8"/>
    <w:rsid w:val="00922243"/>
    <w:rsid w:val="009228F9"/>
    <w:rsid w:val="00923A52"/>
    <w:rsid w:val="00923BA2"/>
    <w:rsid w:val="00924064"/>
    <w:rsid w:val="009242C1"/>
    <w:rsid w:val="00924FCB"/>
    <w:rsid w:val="00925C33"/>
    <w:rsid w:val="00925C4B"/>
    <w:rsid w:val="00925FDA"/>
    <w:rsid w:val="0092647E"/>
    <w:rsid w:val="009267F6"/>
    <w:rsid w:val="00926937"/>
    <w:rsid w:val="00927907"/>
    <w:rsid w:val="00927C7E"/>
    <w:rsid w:val="00927F2F"/>
    <w:rsid w:val="00927FB6"/>
    <w:rsid w:val="0093002E"/>
    <w:rsid w:val="00930A74"/>
    <w:rsid w:val="00930B17"/>
    <w:rsid w:val="00930B3E"/>
    <w:rsid w:val="00930F1D"/>
    <w:rsid w:val="00930FD0"/>
    <w:rsid w:val="0093166C"/>
    <w:rsid w:val="00932DD3"/>
    <w:rsid w:val="009333E2"/>
    <w:rsid w:val="00933445"/>
    <w:rsid w:val="00933D51"/>
    <w:rsid w:val="00933E9D"/>
    <w:rsid w:val="00934DF6"/>
    <w:rsid w:val="00934E9C"/>
    <w:rsid w:val="00934FFA"/>
    <w:rsid w:val="00935697"/>
    <w:rsid w:val="0093579E"/>
    <w:rsid w:val="00935F11"/>
    <w:rsid w:val="00935FEF"/>
    <w:rsid w:val="009365B6"/>
    <w:rsid w:val="0093691E"/>
    <w:rsid w:val="00936E6A"/>
    <w:rsid w:val="00937351"/>
    <w:rsid w:val="00937825"/>
    <w:rsid w:val="00937A1B"/>
    <w:rsid w:val="0094015E"/>
    <w:rsid w:val="009401E3"/>
    <w:rsid w:val="009402AB"/>
    <w:rsid w:val="00940465"/>
    <w:rsid w:val="00940EDF"/>
    <w:rsid w:val="009412F6"/>
    <w:rsid w:val="00941F47"/>
    <w:rsid w:val="00942D32"/>
    <w:rsid w:val="009430AC"/>
    <w:rsid w:val="0094435B"/>
    <w:rsid w:val="009443EF"/>
    <w:rsid w:val="009444E1"/>
    <w:rsid w:val="009448B1"/>
    <w:rsid w:val="00944D55"/>
    <w:rsid w:val="00945526"/>
    <w:rsid w:val="0094556E"/>
    <w:rsid w:val="009466D7"/>
    <w:rsid w:val="00946ED8"/>
    <w:rsid w:val="00947487"/>
    <w:rsid w:val="00947558"/>
    <w:rsid w:val="00947BF8"/>
    <w:rsid w:val="0095059C"/>
    <w:rsid w:val="00950A40"/>
    <w:rsid w:val="00950DF2"/>
    <w:rsid w:val="00951360"/>
    <w:rsid w:val="009515C4"/>
    <w:rsid w:val="009519EF"/>
    <w:rsid w:val="00951B5F"/>
    <w:rsid w:val="00951DCC"/>
    <w:rsid w:val="009524D6"/>
    <w:rsid w:val="009532CC"/>
    <w:rsid w:val="00954491"/>
    <w:rsid w:val="0095449C"/>
    <w:rsid w:val="009546E8"/>
    <w:rsid w:val="00954706"/>
    <w:rsid w:val="00954E7A"/>
    <w:rsid w:val="009550CC"/>
    <w:rsid w:val="00955298"/>
    <w:rsid w:val="00955B3A"/>
    <w:rsid w:val="0095660A"/>
    <w:rsid w:val="00956B4F"/>
    <w:rsid w:val="00961113"/>
    <w:rsid w:val="009619AC"/>
    <w:rsid w:val="00961AF1"/>
    <w:rsid w:val="00961C07"/>
    <w:rsid w:val="00961E69"/>
    <w:rsid w:val="00961E8C"/>
    <w:rsid w:val="00962331"/>
    <w:rsid w:val="00962719"/>
    <w:rsid w:val="00962823"/>
    <w:rsid w:val="009639A5"/>
    <w:rsid w:val="00963ACE"/>
    <w:rsid w:val="0096451B"/>
    <w:rsid w:val="00964532"/>
    <w:rsid w:val="009651BD"/>
    <w:rsid w:val="009651EE"/>
    <w:rsid w:val="00965284"/>
    <w:rsid w:val="00965777"/>
    <w:rsid w:val="00965E50"/>
    <w:rsid w:val="0096600E"/>
    <w:rsid w:val="009666B8"/>
    <w:rsid w:val="00966D68"/>
    <w:rsid w:val="00967456"/>
    <w:rsid w:val="0096759F"/>
    <w:rsid w:val="009675B9"/>
    <w:rsid w:val="0097073F"/>
    <w:rsid w:val="00970939"/>
    <w:rsid w:val="00970FCE"/>
    <w:rsid w:val="00971654"/>
    <w:rsid w:val="00971813"/>
    <w:rsid w:val="00972D27"/>
    <w:rsid w:val="00973B92"/>
    <w:rsid w:val="00974900"/>
    <w:rsid w:val="0097565A"/>
    <w:rsid w:val="00975CCA"/>
    <w:rsid w:val="0097623D"/>
    <w:rsid w:val="009763B6"/>
    <w:rsid w:val="00976A9C"/>
    <w:rsid w:val="00976D06"/>
    <w:rsid w:val="0097751A"/>
    <w:rsid w:val="00977A1C"/>
    <w:rsid w:val="00977B3F"/>
    <w:rsid w:val="00977BCE"/>
    <w:rsid w:val="00980109"/>
    <w:rsid w:val="00980221"/>
    <w:rsid w:val="0098060A"/>
    <w:rsid w:val="0098066C"/>
    <w:rsid w:val="009809D7"/>
    <w:rsid w:val="009810DB"/>
    <w:rsid w:val="00981273"/>
    <w:rsid w:val="0098172F"/>
    <w:rsid w:val="00981CB9"/>
    <w:rsid w:val="00981F0C"/>
    <w:rsid w:val="00982445"/>
    <w:rsid w:val="00982C7F"/>
    <w:rsid w:val="00983078"/>
    <w:rsid w:val="009837CC"/>
    <w:rsid w:val="009838D9"/>
    <w:rsid w:val="009853C8"/>
    <w:rsid w:val="009856F7"/>
    <w:rsid w:val="00985B90"/>
    <w:rsid w:val="00985C87"/>
    <w:rsid w:val="00986656"/>
    <w:rsid w:val="00986678"/>
    <w:rsid w:val="00986C80"/>
    <w:rsid w:val="00986DB4"/>
    <w:rsid w:val="00987526"/>
    <w:rsid w:val="009877B3"/>
    <w:rsid w:val="0099017C"/>
    <w:rsid w:val="0099090C"/>
    <w:rsid w:val="0099102D"/>
    <w:rsid w:val="00991049"/>
    <w:rsid w:val="00991256"/>
    <w:rsid w:val="00991482"/>
    <w:rsid w:val="009916D1"/>
    <w:rsid w:val="009926C7"/>
    <w:rsid w:val="00992964"/>
    <w:rsid w:val="00992ADC"/>
    <w:rsid w:val="009940D7"/>
    <w:rsid w:val="0099444E"/>
    <w:rsid w:val="0099486F"/>
    <w:rsid w:val="009957ED"/>
    <w:rsid w:val="00995A03"/>
    <w:rsid w:val="00996131"/>
    <w:rsid w:val="00996592"/>
    <w:rsid w:val="00996980"/>
    <w:rsid w:val="00996DE2"/>
    <w:rsid w:val="00996F37"/>
    <w:rsid w:val="00996F55"/>
    <w:rsid w:val="009A0ED0"/>
    <w:rsid w:val="009A0F46"/>
    <w:rsid w:val="009A13F9"/>
    <w:rsid w:val="009A1A52"/>
    <w:rsid w:val="009A1F59"/>
    <w:rsid w:val="009A21B5"/>
    <w:rsid w:val="009A24B4"/>
    <w:rsid w:val="009A2AE1"/>
    <w:rsid w:val="009A2D45"/>
    <w:rsid w:val="009A3B09"/>
    <w:rsid w:val="009A465C"/>
    <w:rsid w:val="009A4677"/>
    <w:rsid w:val="009A51DA"/>
    <w:rsid w:val="009A590B"/>
    <w:rsid w:val="009A6263"/>
    <w:rsid w:val="009A6953"/>
    <w:rsid w:val="009A69F2"/>
    <w:rsid w:val="009A7067"/>
    <w:rsid w:val="009A7458"/>
    <w:rsid w:val="009A7887"/>
    <w:rsid w:val="009A7ADC"/>
    <w:rsid w:val="009A7D04"/>
    <w:rsid w:val="009B02A8"/>
    <w:rsid w:val="009B035C"/>
    <w:rsid w:val="009B0C19"/>
    <w:rsid w:val="009B10AC"/>
    <w:rsid w:val="009B1274"/>
    <w:rsid w:val="009B17E9"/>
    <w:rsid w:val="009B1ADA"/>
    <w:rsid w:val="009B2478"/>
    <w:rsid w:val="009B2579"/>
    <w:rsid w:val="009B2906"/>
    <w:rsid w:val="009B2C24"/>
    <w:rsid w:val="009B306F"/>
    <w:rsid w:val="009B3225"/>
    <w:rsid w:val="009B3276"/>
    <w:rsid w:val="009B40C8"/>
    <w:rsid w:val="009B4597"/>
    <w:rsid w:val="009B47F5"/>
    <w:rsid w:val="009B4C51"/>
    <w:rsid w:val="009B5719"/>
    <w:rsid w:val="009B5BB8"/>
    <w:rsid w:val="009B64DE"/>
    <w:rsid w:val="009B6687"/>
    <w:rsid w:val="009B6705"/>
    <w:rsid w:val="009B6A8B"/>
    <w:rsid w:val="009B6B92"/>
    <w:rsid w:val="009B6BE3"/>
    <w:rsid w:val="009B7EF7"/>
    <w:rsid w:val="009C0121"/>
    <w:rsid w:val="009C0352"/>
    <w:rsid w:val="009C0863"/>
    <w:rsid w:val="009C089B"/>
    <w:rsid w:val="009C0D7C"/>
    <w:rsid w:val="009C14AB"/>
    <w:rsid w:val="009C16FA"/>
    <w:rsid w:val="009C1A47"/>
    <w:rsid w:val="009C1CC2"/>
    <w:rsid w:val="009C1E30"/>
    <w:rsid w:val="009C1E57"/>
    <w:rsid w:val="009C2008"/>
    <w:rsid w:val="009C22E8"/>
    <w:rsid w:val="009C267F"/>
    <w:rsid w:val="009C28E8"/>
    <w:rsid w:val="009C2A83"/>
    <w:rsid w:val="009C41D3"/>
    <w:rsid w:val="009C4A6B"/>
    <w:rsid w:val="009C4C0A"/>
    <w:rsid w:val="009C4FF1"/>
    <w:rsid w:val="009C59E6"/>
    <w:rsid w:val="009C5D4E"/>
    <w:rsid w:val="009C6447"/>
    <w:rsid w:val="009C7223"/>
    <w:rsid w:val="009C7AA2"/>
    <w:rsid w:val="009D0079"/>
    <w:rsid w:val="009D00DC"/>
    <w:rsid w:val="009D12AF"/>
    <w:rsid w:val="009D16CC"/>
    <w:rsid w:val="009D2235"/>
    <w:rsid w:val="009D3D30"/>
    <w:rsid w:val="009D4EE8"/>
    <w:rsid w:val="009D4F96"/>
    <w:rsid w:val="009D5CB9"/>
    <w:rsid w:val="009D6B5D"/>
    <w:rsid w:val="009D6B97"/>
    <w:rsid w:val="009D6BF0"/>
    <w:rsid w:val="009D6E18"/>
    <w:rsid w:val="009D6E9C"/>
    <w:rsid w:val="009D6EC7"/>
    <w:rsid w:val="009D7603"/>
    <w:rsid w:val="009D797E"/>
    <w:rsid w:val="009D7C72"/>
    <w:rsid w:val="009E050E"/>
    <w:rsid w:val="009E0CAD"/>
    <w:rsid w:val="009E1383"/>
    <w:rsid w:val="009E141D"/>
    <w:rsid w:val="009E1B3F"/>
    <w:rsid w:val="009E2141"/>
    <w:rsid w:val="009E2558"/>
    <w:rsid w:val="009E3375"/>
    <w:rsid w:val="009E39D4"/>
    <w:rsid w:val="009E3B11"/>
    <w:rsid w:val="009E47E9"/>
    <w:rsid w:val="009E48D9"/>
    <w:rsid w:val="009E4CA6"/>
    <w:rsid w:val="009E50D1"/>
    <w:rsid w:val="009E517B"/>
    <w:rsid w:val="009E53DD"/>
    <w:rsid w:val="009E55EE"/>
    <w:rsid w:val="009E5644"/>
    <w:rsid w:val="009E6227"/>
    <w:rsid w:val="009E6BF3"/>
    <w:rsid w:val="009E6DD7"/>
    <w:rsid w:val="009E7149"/>
    <w:rsid w:val="009E784B"/>
    <w:rsid w:val="009E7E93"/>
    <w:rsid w:val="009F0419"/>
    <w:rsid w:val="009F0A39"/>
    <w:rsid w:val="009F1331"/>
    <w:rsid w:val="009F15EB"/>
    <w:rsid w:val="009F19A0"/>
    <w:rsid w:val="009F1A84"/>
    <w:rsid w:val="009F1EC5"/>
    <w:rsid w:val="009F2E39"/>
    <w:rsid w:val="009F2FDB"/>
    <w:rsid w:val="009F344F"/>
    <w:rsid w:val="009F3903"/>
    <w:rsid w:val="009F409E"/>
    <w:rsid w:val="009F4135"/>
    <w:rsid w:val="009F46EC"/>
    <w:rsid w:val="009F4E74"/>
    <w:rsid w:val="009F505B"/>
    <w:rsid w:val="009F5309"/>
    <w:rsid w:val="009F554B"/>
    <w:rsid w:val="009F5728"/>
    <w:rsid w:val="009F5AF7"/>
    <w:rsid w:val="009F5E45"/>
    <w:rsid w:val="009F5F2C"/>
    <w:rsid w:val="009F6110"/>
    <w:rsid w:val="009F621D"/>
    <w:rsid w:val="009F6C5C"/>
    <w:rsid w:val="009F6EC5"/>
    <w:rsid w:val="009F72E0"/>
    <w:rsid w:val="009F7426"/>
    <w:rsid w:val="009F7905"/>
    <w:rsid w:val="00A00117"/>
    <w:rsid w:val="00A00147"/>
    <w:rsid w:val="00A002C2"/>
    <w:rsid w:val="00A00391"/>
    <w:rsid w:val="00A00596"/>
    <w:rsid w:val="00A005F9"/>
    <w:rsid w:val="00A0060B"/>
    <w:rsid w:val="00A00D46"/>
    <w:rsid w:val="00A012A1"/>
    <w:rsid w:val="00A019E0"/>
    <w:rsid w:val="00A0243E"/>
    <w:rsid w:val="00A026F5"/>
    <w:rsid w:val="00A028B7"/>
    <w:rsid w:val="00A029E4"/>
    <w:rsid w:val="00A02E47"/>
    <w:rsid w:val="00A03879"/>
    <w:rsid w:val="00A03A93"/>
    <w:rsid w:val="00A03D16"/>
    <w:rsid w:val="00A04139"/>
    <w:rsid w:val="00A044CE"/>
    <w:rsid w:val="00A04D11"/>
    <w:rsid w:val="00A04D79"/>
    <w:rsid w:val="00A04E06"/>
    <w:rsid w:val="00A0501D"/>
    <w:rsid w:val="00A05281"/>
    <w:rsid w:val="00A0556A"/>
    <w:rsid w:val="00A05848"/>
    <w:rsid w:val="00A059FD"/>
    <w:rsid w:val="00A06FFB"/>
    <w:rsid w:val="00A07705"/>
    <w:rsid w:val="00A07A18"/>
    <w:rsid w:val="00A07EDD"/>
    <w:rsid w:val="00A101E6"/>
    <w:rsid w:val="00A106AF"/>
    <w:rsid w:val="00A10CEF"/>
    <w:rsid w:val="00A11E73"/>
    <w:rsid w:val="00A12AD5"/>
    <w:rsid w:val="00A12AEC"/>
    <w:rsid w:val="00A13340"/>
    <w:rsid w:val="00A13D31"/>
    <w:rsid w:val="00A144F0"/>
    <w:rsid w:val="00A146B1"/>
    <w:rsid w:val="00A14A1D"/>
    <w:rsid w:val="00A15C6A"/>
    <w:rsid w:val="00A16C45"/>
    <w:rsid w:val="00A16DED"/>
    <w:rsid w:val="00A16F55"/>
    <w:rsid w:val="00A17258"/>
    <w:rsid w:val="00A1756A"/>
    <w:rsid w:val="00A177F5"/>
    <w:rsid w:val="00A20A12"/>
    <w:rsid w:val="00A20CD3"/>
    <w:rsid w:val="00A2140E"/>
    <w:rsid w:val="00A224F2"/>
    <w:rsid w:val="00A233D0"/>
    <w:rsid w:val="00A23AE1"/>
    <w:rsid w:val="00A2464F"/>
    <w:rsid w:val="00A2484A"/>
    <w:rsid w:val="00A248BB"/>
    <w:rsid w:val="00A249D6"/>
    <w:rsid w:val="00A249DF"/>
    <w:rsid w:val="00A2560E"/>
    <w:rsid w:val="00A256AB"/>
    <w:rsid w:val="00A25DCD"/>
    <w:rsid w:val="00A25F2C"/>
    <w:rsid w:val="00A277EE"/>
    <w:rsid w:val="00A3008E"/>
    <w:rsid w:val="00A30716"/>
    <w:rsid w:val="00A30D2D"/>
    <w:rsid w:val="00A313B0"/>
    <w:rsid w:val="00A315E7"/>
    <w:rsid w:val="00A3189E"/>
    <w:rsid w:val="00A319DC"/>
    <w:rsid w:val="00A31AF9"/>
    <w:rsid w:val="00A31DEA"/>
    <w:rsid w:val="00A3245F"/>
    <w:rsid w:val="00A32A71"/>
    <w:rsid w:val="00A34EDE"/>
    <w:rsid w:val="00A34FD7"/>
    <w:rsid w:val="00A3523E"/>
    <w:rsid w:val="00A35590"/>
    <w:rsid w:val="00A3575D"/>
    <w:rsid w:val="00A35820"/>
    <w:rsid w:val="00A35F1E"/>
    <w:rsid w:val="00A36274"/>
    <w:rsid w:val="00A36782"/>
    <w:rsid w:val="00A36BE5"/>
    <w:rsid w:val="00A36DA2"/>
    <w:rsid w:val="00A36F13"/>
    <w:rsid w:val="00A36FB2"/>
    <w:rsid w:val="00A370F6"/>
    <w:rsid w:val="00A377D0"/>
    <w:rsid w:val="00A4014C"/>
    <w:rsid w:val="00A40C61"/>
    <w:rsid w:val="00A410D2"/>
    <w:rsid w:val="00A41635"/>
    <w:rsid w:val="00A417AC"/>
    <w:rsid w:val="00A419CC"/>
    <w:rsid w:val="00A41C46"/>
    <w:rsid w:val="00A421A3"/>
    <w:rsid w:val="00A42F91"/>
    <w:rsid w:val="00A435F7"/>
    <w:rsid w:val="00A43756"/>
    <w:rsid w:val="00A44129"/>
    <w:rsid w:val="00A44833"/>
    <w:rsid w:val="00A449F7"/>
    <w:rsid w:val="00A44B25"/>
    <w:rsid w:val="00A44E3D"/>
    <w:rsid w:val="00A451F9"/>
    <w:rsid w:val="00A45225"/>
    <w:rsid w:val="00A45282"/>
    <w:rsid w:val="00A45B5C"/>
    <w:rsid w:val="00A4614E"/>
    <w:rsid w:val="00A46504"/>
    <w:rsid w:val="00A46E65"/>
    <w:rsid w:val="00A46F87"/>
    <w:rsid w:val="00A473D2"/>
    <w:rsid w:val="00A47B9F"/>
    <w:rsid w:val="00A47EB4"/>
    <w:rsid w:val="00A47F1F"/>
    <w:rsid w:val="00A5001C"/>
    <w:rsid w:val="00A50564"/>
    <w:rsid w:val="00A507EE"/>
    <w:rsid w:val="00A50ED5"/>
    <w:rsid w:val="00A51224"/>
    <w:rsid w:val="00A51AC5"/>
    <w:rsid w:val="00A51ADF"/>
    <w:rsid w:val="00A51F14"/>
    <w:rsid w:val="00A520A6"/>
    <w:rsid w:val="00A52676"/>
    <w:rsid w:val="00A5279B"/>
    <w:rsid w:val="00A527A6"/>
    <w:rsid w:val="00A529D9"/>
    <w:rsid w:val="00A52E76"/>
    <w:rsid w:val="00A5312C"/>
    <w:rsid w:val="00A542AD"/>
    <w:rsid w:val="00A547E2"/>
    <w:rsid w:val="00A5482F"/>
    <w:rsid w:val="00A54BCB"/>
    <w:rsid w:val="00A55062"/>
    <w:rsid w:val="00A55742"/>
    <w:rsid w:val="00A5595F"/>
    <w:rsid w:val="00A561BD"/>
    <w:rsid w:val="00A60205"/>
    <w:rsid w:val="00A60247"/>
    <w:rsid w:val="00A6141B"/>
    <w:rsid w:val="00A61740"/>
    <w:rsid w:val="00A618AE"/>
    <w:rsid w:val="00A622D1"/>
    <w:rsid w:val="00A62AD6"/>
    <w:rsid w:val="00A63089"/>
    <w:rsid w:val="00A632AC"/>
    <w:rsid w:val="00A632BF"/>
    <w:rsid w:val="00A639DA"/>
    <w:rsid w:val="00A63A90"/>
    <w:rsid w:val="00A64890"/>
    <w:rsid w:val="00A64E87"/>
    <w:rsid w:val="00A654E0"/>
    <w:rsid w:val="00A656E2"/>
    <w:rsid w:val="00A66FF7"/>
    <w:rsid w:val="00A673CE"/>
    <w:rsid w:val="00A678B7"/>
    <w:rsid w:val="00A67F6D"/>
    <w:rsid w:val="00A70211"/>
    <w:rsid w:val="00A7039E"/>
    <w:rsid w:val="00A706B3"/>
    <w:rsid w:val="00A70E06"/>
    <w:rsid w:val="00A7106D"/>
    <w:rsid w:val="00A71158"/>
    <w:rsid w:val="00A723E8"/>
    <w:rsid w:val="00A7353C"/>
    <w:rsid w:val="00A73E6A"/>
    <w:rsid w:val="00A741B8"/>
    <w:rsid w:val="00A743CD"/>
    <w:rsid w:val="00A74533"/>
    <w:rsid w:val="00A745C5"/>
    <w:rsid w:val="00A7481D"/>
    <w:rsid w:val="00A74833"/>
    <w:rsid w:val="00A74841"/>
    <w:rsid w:val="00A7515F"/>
    <w:rsid w:val="00A75582"/>
    <w:rsid w:val="00A75ED1"/>
    <w:rsid w:val="00A76222"/>
    <w:rsid w:val="00A764D0"/>
    <w:rsid w:val="00A76A42"/>
    <w:rsid w:val="00A77EA2"/>
    <w:rsid w:val="00A802E8"/>
    <w:rsid w:val="00A80AAB"/>
    <w:rsid w:val="00A80EDB"/>
    <w:rsid w:val="00A81156"/>
    <w:rsid w:val="00A81216"/>
    <w:rsid w:val="00A81AF0"/>
    <w:rsid w:val="00A824B9"/>
    <w:rsid w:val="00A828B5"/>
    <w:rsid w:val="00A8305A"/>
    <w:rsid w:val="00A83713"/>
    <w:rsid w:val="00A840B0"/>
    <w:rsid w:val="00A84B18"/>
    <w:rsid w:val="00A84B76"/>
    <w:rsid w:val="00A85351"/>
    <w:rsid w:val="00A85598"/>
    <w:rsid w:val="00A858D5"/>
    <w:rsid w:val="00A86CDA"/>
    <w:rsid w:val="00A87D80"/>
    <w:rsid w:val="00A87F7A"/>
    <w:rsid w:val="00A904A6"/>
    <w:rsid w:val="00A90532"/>
    <w:rsid w:val="00A9165F"/>
    <w:rsid w:val="00A91755"/>
    <w:rsid w:val="00A92005"/>
    <w:rsid w:val="00A92249"/>
    <w:rsid w:val="00A92CDB"/>
    <w:rsid w:val="00A92CF2"/>
    <w:rsid w:val="00A9352B"/>
    <w:rsid w:val="00A935CE"/>
    <w:rsid w:val="00A93AE0"/>
    <w:rsid w:val="00A93EC0"/>
    <w:rsid w:val="00A94517"/>
    <w:rsid w:val="00A94539"/>
    <w:rsid w:val="00A9511B"/>
    <w:rsid w:val="00A966A3"/>
    <w:rsid w:val="00A9672D"/>
    <w:rsid w:val="00A9677B"/>
    <w:rsid w:val="00A975B9"/>
    <w:rsid w:val="00A97793"/>
    <w:rsid w:val="00A97852"/>
    <w:rsid w:val="00A97A7A"/>
    <w:rsid w:val="00A97D5A"/>
    <w:rsid w:val="00AA0139"/>
    <w:rsid w:val="00AA0A5A"/>
    <w:rsid w:val="00AA0C24"/>
    <w:rsid w:val="00AA0DD6"/>
    <w:rsid w:val="00AA167B"/>
    <w:rsid w:val="00AA18F7"/>
    <w:rsid w:val="00AA239C"/>
    <w:rsid w:val="00AA244C"/>
    <w:rsid w:val="00AA2463"/>
    <w:rsid w:val="00AA2911"/>
    <w:rsid w:val="00AA29EA"/>
    <w:rsid w:val="00AA2B98"/>
    <w:rsid w:val="00AA435D"/>
    <w:rsid w:val="00AA45B4"/>
    <w:rsid w:val="00AA472D"/>
    <w:rsid w:val="00AA48BE"/>
    <w:rsid w:val="00AA4B5D"/>
    <w:rsid w:val="00AA5112"/>
    <w:rsid w:val="00AA5302"/>
    <w:rsid w:val="00AA597B"/>
    <w:rsid w:val="00AA599A"/>
    <w:rsid w:val="00AA5E6E"/>
    <w:rsid w:val="00AA6166"/>
    <w:rsid w:val="00AA65AB"/>
    <w:rsid w:val="00AA694C"/>
    <w:rsid w:val="00AA6CDE"/>
    <w:rsid w:val="00AA6F5A"/>
    <w:rsid w:val="00AA7273"/>
    <w:rsid w:val="00AA74D1"/>
    <w:rsid w:val="00AA7637"/>
    <w:rsid w:val="00AB0C8F"/>
    <w:rsid w:val="00AB0D45"/>
    <w:rsid w:val="00AB0DD2"/>
    <w:rsid w:val="00AB1144"/>
    <w:rsid w:val="00AB133A"/>
    <w:rsid w:val="00AB157A"/>
    <w:rsid w:val="00AB1E80"/>
    <w:rsid w:val="00AB34B2"/>
    <w:rsid w:val="00AB44DA"/>
    <w:rsid w:val="00AB4651"/>
    <w:rsid w:val="00AB4C88"/>
    <w:rsid w:val="00AB507F"/>
    <w:rsid w:val="00AB64E2"/>
    <w:rsid w:val="00AB65E3"/>
    <w:rsid w:val="00AB69C4"/>
    <w:rsid w:val="00AB6F0C"/>
    <w:rsid w:val="00AC044E"/>
    <w:rsid w:val="00AC06E5"/>
    <w:rsid w:val="00AC0F41"/>
    <w:rsid w:val="00AC1530"/>
    <w:rsid w:val="00AC1DE0"/>
    <w:rsid w:val="00AC2232"/>
    <w:rsid w:val="00AC2997"/>
    <w:rsid w:val="00AC2E88"/>
    <w:rsid w:val="00AC3D63"/>
    <w:rsid w:val="00AC3F33"/>
    <w:rsid w:val="00AC442B"/>
    <w:rsid w:val="00AC4DFA"/>
    <w:rsid w:val="00AC5F4F"/>
    <w:rsid w:val="00AC5FF0"/>
    <w:rsid w:val="00AC65D8"/>
    <w:rsid w:val="00AC68EE"/>
    <w:rsid w:val="00AC6C4A"/>
    <w:rsid w:val="00AC7342"/>
    <w:rsid w:val="00AC7455"/>
    <w:rsid w:val="00AC74BA"/>
    <w:rsid w:val="00AC7650"/>
    <w:rsid w:val="00AD0B35"/>
    <w:rsid w:val="00AD0EFF"/>
    <w:rsid w:val="00AD12FC"/>
    <w:rsid w:val="00AD1CC5"/>
    <w:rsid w:val="00AD20DD"/>
    <w:rsid w:val="00AD2197"/>
    <w:rsid w:val="00AD2572"/>
    <w:rsid w:val="00AD29DC"/>
    <w:rsid w:val="00AD2A84"/>
    <w:rsid w:val="00AD2BAF"/>
    <w:rsid w:val="00AD2C26"/>
    <w:rsid w:val="00AD2E04"/>
    <w:rsid w:val="00AD2EBB"/>
    <w:rsid w:val="00AD3B70"/>
    <w:rsid w:val="00AD3CBE"/>
    <w:rsid w:val="00AD45D1"/>
    <w:rsid w:val="00AD46F0"/>
    <w:rsid w:val="00AD4739"/>
    <w:rsid w:val="00AD496A"/>
    <w:rsid w:val="00AD55BB"/>
    <w:rsid w:val="00AD68AD"/>
    <w:rsid w:val="00AD6E20"/>
    <w:rsid w:val="00AD6F42"/>
    <w:rsid w:val="00AD74C6"/>
    <w:rsid w:val="00AD74CD"/>
    <w:rsid w:val="00AD7BA9"/>
    <w:rsid w:val="00AD7C03"/>
    <w:rsid w:val="00AE0350"/>
    <w:rsid w:val="00AE04BE"/>
    <w:rsid w:val="00AE0AE3"/>
    <w:rsid w:val="00AE0F57"/>
    <w:rsid w:val="00AE10C1"/>
    <w:rsid w:val="00AE1B7C"/>
    <w:rsid w:val="00AE1B87"/>
    <w:rsid w:val="00AE1D3A"/>
    <w:rsid w:val="00AE1E60"/>
    <w:rsid w:val="00AE205A"/>
    <w:rsid w:val="00AE2161"/>
    <w:rsid w:val="00AE2BAF"/>
    <w:rsid w:val="00AE2C17"/>
    <w:rsid w:val="00AE2FFE"/>
    <w:rsid w:val="00AE3FA8"/>
    <w:rsid w:val="00AE494A"/>
    <w:rsid w:val="00AE4F7C"/>
    <w:rsid w:val="00AE5687"/>
    <w:rsid w:val="00AE5930"/>
    <w:rsid w:val="00AE6893"/>
    <w:rsid w:val="00AE6A85"/>
    <w:rsid w:val="00AE7293"/>
    <w:rsid w:val="00AE774A"/>
    <w:rsid w:val="00AF02FE"/>
    <w:rsid w:val="00AF03CB"/>
    <w:rsid w:val="00AF055A"/>
    <w:rsid w:val="00AF0802"/>
    <w:rsid w:val="00AF0AEE"/>
    <w:rsid w:val="00AF0B1B"/>
    <w:rsid w:val="00AF15A6"/>
    <w:rsid w:val="00AF20A5"/>
    <w:rsid w:val="00AF21AA"/>
    <w:rsid w:val="00AF23B4"/>
    <w:rsid w:val="00AF24D8"/>
    <w:rsid w:val="00AF3D14"/>
    <w:rsid w:val="00AF3D80"/>
    <w:rsid w:val="00AF42A9"/>
    <w:rsid w:val="00AF45DA"/>
    <w:rsid w:val="00AF4863"/>
    <w:rsid w:val="00AF58E0"/>
    <w:rsid w:val="00AF5B32"/>
    <w:rsid w:val="00AF6211"/>
    <w:rsid w:val="00AF625F"/>
    <w:rsid w:val="00AF628D"/>
    <w:rsid w:val="00B00E31"/>
    <w:rsid w:val="00B013F3"/>
    <w:rsid w:val="00B01A99"/>
    <w:rsid w:val="00B020DA"/>
    <w:rsid w:val="00B02277"/>
    <w:rsid w:val="00B0236F"/>
    <w:rsid w:val="00B02FE6"/>
    <w:rsid w:val="00B03239"/>
    <w:rsid w:val="00B037BC"/>
    <w:rsid w:val="00B03DF2"/>
    <w:rsid w:val="00B0404C"/>
    <w:rsid w:val="00B04287"/>
    <w:rsid w:val="00B042B9"/>
    <w:rsid w:val="00B04E4C"/>
    <w:rsid w:val="00B04EAC"/>
    <w:rsid w:val="00B0613B"/>
    <w:rsid w:val="00B06713"/>
    <w:rsid w:val="00B068B7"/>
    <w:rsid w:val="00B07C1F"/>
    <w:rsid w:val="00B10DF7"/>
    <w:rsid w:val="00B11426"/>
    <w:rsid w:val="00B11886"/>
    <w:rsid w:val="00B118CA"/>
    <w:rsid w:val="00B11EC7"/>
    <w:rsid w:val="00B11FEC"/>
    <w:rsid w:val="00B12066"/>
    <w:rsid w:val="00B12641"/>
    <w:rsid w:val="00B1290E"/>
    <w:rsid w:val="00B131E1"/>
    <w:rsid w:val="00B1324A"/>
    <w:rsid w:val="00B1337C"/>
    <w:rsid w:val="00B13429"/>
    <w:rsid w:val="00B1409F"/>
    <w:rsid w:val="00B14613"/>
    <w:rsid w:val="00B14870"/>
    <w:rsid w:val="00B15231"/>
    <w:rsid w:val="00B15482"/>
    <w:rsid w:val="00B154EE"/>
    <w:rsid w:val="00B157DB"/>
    <w:rsid w:val="00B15BC5"/>
    <w:rsid w:val="00B15D13"/>
    <w:rsid w:val="00B1657F"/>
    <w:rsid w:val="00B16B43"/>
    <w:rsid w:val="00B17EB6"/>
    <w:rsid w:val="00B20374"/>
    <w:rsid w:val="00B204A6"/>
    <w:rsid w:val="00B20597"/>
    <w:rsid w:val="00B20DCA"/>
    <w:rsid w:val="00B2111B"/>
    <w:rsid w:val="00B213F7"/>
    <w:rsid w:val="00B218F8"/>
    <w:rsid w:val="00B21EFD"/>
    <w:rsid w:val="00B2325C"/>
    <w:rsid w:val="00B23711"/>
    <w:rsid w:val="00B23B69"/>
    <w:rsid w:val="00B241D9"/>
    <w:rsid w:val="00B245FD"/>
    <w:rsid w:val="00B24B02"/>
    <w:rsid w:val="00B24CEA"/>
    <w:rsid w:val="00B25450"/>
    <w:rsid w:val="00B262BE"/>
    <w:rsid w:val="00B26636"/>
    <w:rsid w:val="00B26C37"/>
    <w:rsid w:val="00B27650"/>
    <w:rsid w:val="00B3015B"/>
    <w:rsid w:val="00B30B83"/>
    <w:rsid w:val="00B311F9"/>
    <w:rsid w:val="00B31267"/>
    <w:rsid w:val="00B31B36"/>
    <w:rsid w:val="00B31DDA"/>
    <w:rsid w:val="00B31EDC"/>
    <w:rsid w:val="00B32166"/>
    <w:rsid w:val="00B32758"/>
    <w:rsid w:val="00B328A3"/>
    <w:rsid w:val="00B32AEC"/>
    <w:rsid w:val="00B33E9A"/>
    <w:rsid w:val="00B33F20"/>
    <w:rsid w:val="00B3409A"/>
    <w:rsid w:val="00B346E3"/>
    <w:rsid w:val="00B347C5"/>
    <w:rsid w:val="00B348E4"/>
    <w:rsid w:val="00B34A90"/>
    <w:rsid w:val="00B34C7B"/>
    <w:rsid w:val="00B3515F"/>
    <w:rsid w:val="00B369AB"/>
    <w:rsid w:val="00B369D8"/>
    <w:rsid w:val="00B3763C"/>
    <w:rsid w:val="00B37BDA"/>
    <w:rsid w:val="00B37CD1"/>
    <w:rsid w:val="00B40069"/>
    <w:rsid w:val="00B40741"/>
    <w:rsid w:val="00B408A0"/>
    <w:rsid w:val="00B40930"/>
    <w:rsid w:val="00B413F2"/>
    <w:rsid w:val="00B413FC"/>
    <w:rsid w:val="00B41CE0"/>
    <w:rsid w:val="00B41DA1"/>
    <w:rsid w:val="00B41F1E"/>
    <w:rsid w:val="00B424B2"/>
    <w:rsid w:val="00B42618"/>
    <w:rsid w:val="00B42926"/>
    <w:rsid w:val="00B43090"/>
    <w:rsid w:val="00B434B5"/>
    <w:rsid w:val="00B436EE"/>
    <w:rsid w:val="00B43790"/>
    <w:rsid w:val="00B44A17"/>
    <w:rsid w:val="00B44E55"/>
    <w:rsid w:val="00B454A0"/>
    <w:rsid w:val="00B45874"/>
    <w:rsid w:val="00B45F64"/>
    <w:rsid w:val="00B4643F"/>
    <w:rsid w:val="00B46544"/>
    <w:rsid w:val="00B46642"/>
    <w:rsid w:val="00B46D2F"/>
    <w:rsid w:val="00B46EFC"/>
    <w:rsid w:val="00B47A08"/>
    <w:rsid w:val="00B47FBE"/>
    <w:rsid w:val="00B50875"/>
    <w:rsid w:val="00B50F22"/>
    <w:rsid w:val="00B50FA3"/>
    <w:rsid w:val="00B51530"/>
    <w:rsid w:val="00B517EF"/>
    <w:rsid w:val="00B518B6"/>
    <w:rsid w:val="00B5213F"/>
    <w:rsid w:val="00B525E3"/>
    <w:rsid w:val="00B53057"/>
    <w:rsid w:val="00B534EA"/>
    <w:rsid w:val="00B53F1C"/>
    <w:rsid w:val="00B5453E"/>
    <w:rsid w:val="00B54540"/>
    <w:rsid w:val="00B54742"/>
    <w:rsid w:val="00B54AE8"/>
    <w:rsid w:val="00B55037"/>
    <w:rsid w:val="00B55353"/>
    <w:rsid w:val="00B55B92"/>
    <w:rsid w:val="00B56117"/>
    <w:rsid w:val="00B566CF"/>
    <w:rsid w:val="00B56AD2"/>
    <w:rsid w:val="00B56F9E"/>
    <w:rsid w:val="00B57114"/>
    <w:rsid w:val="00B5713B"/>
    <w:rsid w:val="00B60210"/>
    <w:rsid w:val="00B61CC8"/>
    <w:rsid w:val="00B62A10"/>
    <w:rsid w:val="00B62AA5"/>
    <w:rsid w:val="00B647D4"/>
    <w:rsid w:val="00B64A70"/>
    <w:rsid w:val="00B64BF0"/>
    <w:rsid w:val="00B655CC"/>
    <w:rsid w:val="00B65718"/>
    <w:rsid w:val="00B65744"/>
    <w:rsid w:val="00B65B8B"/>
    <w:rsid w:val="00B665B1"/>
    <w:rsid w:val="00B66E7A"/>
    <w:rsid w:val="00B674CE"/>
    <w:rsid w:val="00B67C69"/>
    <w:rsid w:val="00B67E38"/>
    <w:rsid w:val="00B67E9A"/>
    <w:rsid w:val="00B701EB"/>
    <w:rsid w:val="00B703E2"/>
    <w:rsid w:val="00B7063A"/>
    <w:rsid w:val="00B70AE9"/>
    <w:rsid w:val="00B71EF0"/>
    <w:rsid w:val="00B720C6"/>
    <w:rsid w:val="00B72D4F"/>
    <w:rsid w:val="00B72E89"/>
    <w:rsid w:val="00B73277"/>
    <w:rsid w:val="00B73A17"/>
    <w:rsid w:val="00B73F22"/>
    <w:rsid w:val="00B73FE6"/>
    <w:rsid w:val="00B74412"/>
    <w:rsid w:val="00B74A70"/>
    <w:rsid w:val="00B757E5"/>
    <w:rsid w:val="00B760FA"/>
    <w:rsid w:val="00B7691B"/>
    <w:rsid w:val="00B76BB5"/>
    <w:rsid w:val="00B77356"/>
    <w:rsid w:val="00B776DC"/>
    <w:rsid w:val="00B7774D"/>
    <w:rsid w:val="00B779B9"/>
    <w:rsid w:val="00B802EA"/>
    <w:rsid w:val="00B80723"/>
    <w:rsid w:val="00B80926"/>
    <w:rsid w:val="00B8097F"/>
    <w:rsid w:val="00B80D5E"/>
    <w:rsid w:val="00B813BA"/>
    <w:rsid w:val="00B814E5"/>
    <w:rsid w:val="00B81994"/>
    <w:rsid w:val="00B81F87"/>
    <w:rsid w:val="00B82205"/>
    <w:rsid w:val="00B82238"/>
    <w:rsid w:val="00B827E6"/>
    <w:rsid w:val="00B82B71"/>
    <w:rsid w:val="00B83347"/>
    <w:rsid w:val="00B83CFD"/>
    <w:rsid w:val="00B83F77"/>
    <w:rsid w:val="00B841AC"/>
    <w:rsid w:val="00B841E6"/>
    <w:rsid w:val="00B84C00"/>
    <w:rsid w:val="00B8506B"/>
    <w:rsid w:val="00B85244"/>
    <w:rsid w:val="00B85A1C"/>
    <w:rsid w:val="00B867E0"/>
    <w:rsid w:val="00B86D3B"/>
    <w:rsid w:val="00B875A4"/>
    <w:rsid w:val="00B90393"/>
    <w:rsid w:val="00B90697"/>
    <w:rsid w:val="00B90B68"/>
    <w:rsid w:val="00B911DD"/>
    <w:rsid w:val="00B92A9B"/>
    <w:rsid w:val="00B931D4"/>
    <w:rsid w:val="00B940B9"/>
    <w:rsid w:val="00B9464B"/>
    <w:rsid w:val="00B949AC"/>
    <w:rsid w:val="00B94BD1"/>
    <w:rsid w:val="00B951B0"/>
    <w:rsid w:val="00B95C96"/>
    <w:rsid w:val="00B96180"/>
    <w:rsid w:val="00B96314"/>
    <w:rsid w:val="00B963F2"/>
    <w:rsid w:val="00B9643A"/>
    <w:rsid w:val="00B96618"/>
    <w:rsid w:val="00B96956"/>
    <w:rsid w:val="00B97C4F"/>
    <w:rsid w:val="00BA02D4"/>
    <w:rsid w:val="00BA1E28"/>
    <w:rsid w:val="00BA1E44"/>
    <w:rsid w:val="00BA2375"/>
    <w:rsid w:val="00BA246D"/>
    <w:rsid w:val="00BA2A3C"/>
    <w:rsid w:val="00BA30DE"/>
    <w:rsid w:val="00BA35D4"/>
    <w:rsid w:val="00BA4519"/>
    <w:rsid w:val="00BA4639"/>
    <w:rsid w:val="00BA4845"/>
    <w:rsid w:val="00BA4939"/>
    <w:rsid w:val="00BA494C"/>
    <w:rsid w:val="00BA4982"/>
    <w:rsid w:val="00BA539B"/>
    <w:rsid w:val="00BA658D"/>
    <w:rsid w:val="00BA6A98"/>
    <w:rsid w:val="00BA6D33"/>
    <w:rsid w:val="00BA7047"/>
    <w:rsid w:val="00BA70E4"/>
    <w:rsid w:val="00BA7755"/>
    <w:rsid w:val="00BB0256"/>
    <w:rsid w:val="00BB064D"/>
    <w:rsid w:val="00BB0B67"/>
    <w:rsid w:val="00BB0DD1"/>
    <w:rsid w:val="00BB1A22"/>
    <w:rsid w:val="00BB223A"/>
    <w:rsid w:val="00BB261B"/>
    <w:rsid w:val="00BB2860"/>
    <w:rsid w:val="00BB28F3"/>
    <w:rsid w:val="00BB3098"/>
    <w:rsid w:val="00BB31E6"/>
    <w:rsid w:val="00BB3429"/>
    <w:rsid w:val="00BB3A47"/>
    <w:rsid w:val="00BB3CF0"/>
    <w:rsid w:val="00BB4D00"/>
    <w:rsid w:val="00BB5011"/>
    <w:rsid w:val="00BB6094"/>
    <w:rsid w:val="00BB67EC"/>
    <w:rsid w:val="00BB68D7"/>
    <w:rsid w:val="00BB6EA4"/>
    <w:rsid w:val="00BC053A"/>
    <w:rsid w:val="00BC0882"/>
    <w:rsid w:val="00BC0FA1"/>
    <w:rsid w:val="00BC1489"/>
    <w:rsid w:val="00BC15D7"/>
    <w:rsid w:val="00BC237A"/>
    <w:rsid w:val="00BC2D4C"/>
    <w:rsid w:val="00BC31FF"/>
    <w:rsid w:val="00BC42E2"/>
    <w:rsid w:val="00BC4382"/>
    <w:rsid w:val="00BC4548"/>
    <w:rsid w:val="00BC5534"/>
    <w:rsid w:val="00BC571C"/>
    <w:rsid w:val="00BC611F"/>
    <w:rsid w:val="00BC6144"/>
    <w:rsid w:val="00BC6A69"/>
    <w:rsid w:val="00BC6CB7"/>
    <w:rsid w:val="00BC7352"/>
    <w:rsid w:val="00BC7913"/>
    <w:rsid w:val="00BC79DD"/>
    <w:rsid w:val="00BC7A9C"/>
    <w:rsid w:val="00BD1209"/>
    <w:rsid w:val="00BD1B5A"/>
    <w:rsid w:val="00BD2749"/>
    <w:rsid w:val="00BD29BC"/>
    <w:rsid w:val="00BD33DB"/>
    <w:rsid w:val="00BD399C"/>
    <w:rsid w:val="00BD3F4D"/>
    <w:rsid w:val="00BD461E"/>
    <w:rsid w:val="00BD465D"/>
    <w:rsid w:val="00BD47F9"/>
    <w:rsid w:val="00BD4DCF"/>
    <w:rsid w:val="00BD4E99"/>
    <w:rsid w:val="00BD4ED9"/>
    <w:rsid w:val="00BD546C"/>
    <w:rsid w:val="00BD5558"/>
    <w:rsid w:val="00BD5878"/>
    <w:rsid w:val="00BD64DB"/>
    <w:rsid w:val="00BD657A"/>
    <w:rsid w:val="00BD66A0"/>
    <w:rsid w:val="00BD6A83"/>
    <w:rsid w:val="00BD7192"/>
    <w:rsid w:val="00BD7BDD"/>
    <w:rsid w:val="00BD7F2D"/>
    <w:rsid w:val="00BE0005"/>
    <w:rsid w:val="00BE09D3"/>
    <w:rsid w:val="00BE0A57"/>
    <w:rsid w:val="00BE136E"/>
    <w:rsid w:val="00BE1837"/>
    <w:rsid w:val="00BE1B79"/>
    <w:rsid w:val="00BE2619"/>
    <w:rsid w:val="00BE264C"/>
    <w:rsid w:val="00BE2AC4"/>
    <w:rsid w:val="00BE2CC9"/>
    <w:rsid w:val="00BE2EC4"/>
    <w:rsid w:val="00BE3046"/>
    <w:rsid w:val="00BE394D"/>
    <w:rsid w:val="00BE3B8D"/>
    <w:rsid w:val="00BE407B"/>
    <w:rsid w:val="00BE416E"/>
    <w:rsid w:val="00BE4F26"/>
    <w:rsid w:val="00BE5136"/>
    <w:rsid w:val="00BE51A2"/>
    <w:rsid w:val="00BE53D5"/>
    <w:rsid w:val="00BE58DF"/>
    <w:rsid w:val="00BE60B3"/>
    <w:rsid w:val="00BE6925"/>
    <w:rsid w:val="00BE7011"/>
    <w:rsid w:val="00BE711F"/>
    <w:rsid w:val="00BE7313"/>
    <w:rsid w:val="00BE762E"/>
    <w:rsid w:val="00BE76E1"/>
    <w:rsid w:val="00BE7838"/>
    <w:rsid w:val="00BE7EBD"/>
    <w:rsid w:val="00BF03DA"/>
    <w:rsid w:val="00BF0AED"/>
    <w:rsid w:val="00BF0B78"/>
    <w:rsid w:val="00BF1BE0"/>
    <w:rsid w:val="00BF2008"/>
    <w:rsid w:val="00BF2051"/>
    <w:rsid w:val="00BF279C"/>
    <w:rsid w:val="00BF2E51"/>
    <w:rsid w:val="00BF2F76"/>
    <w:rsid w:val="00BF3B33"/>
    <w:rsid w:val="00BF3CB6"/>
    <w:rsid w:val="00BF3EFD"/>
    <w:rsid w:val="00BF4204"/>
    <w:rsid w:val="00BF42D2"/>
    <w:rsid w:val="00BF449E"/>
    <w:rsid w:val="00BF4E4C"/>
    <w:rsid w:val="00BF51E6"/>
    <w:rsid w:val="00BF5AB0"/>
    <w:rsid w:val="00BF5B04"/>
    <w:rsid w:val="00BF5DE4"/>
    <w:rsid w:val="00BF6F18"/>
    <w:rsid w:val="00BF71B5"/>
    <w:rsid w:val="00BF7452"/>
    <w:rsid w:val="00BF7677"/>
    <w:rsid w:val="00C00119"/>
    <w:rsid w:val="00C00945"/>
    <w:rsid w:val="00C009B1"/>
    <w:rsid w:val="00C00A67"/>
    <w:rsid w:val="00C00B8D"/>
    <w:rsid w:val="00C00E18"/>
    <w:rsid w:val="00C018E2"/>
    <w:rsid w:val="00C01A8A"/>
    <w:rsid w:val="00C01FE4"/>
    <w:rsid w:val="00C0277C"/>
    <w:rsid w:val="00C02AB4"/>
    <w:rsid w:val="00C02ABE"/>
    <w:rsid w:val="00C02C82"/>
    <w:rsid w:val="00C0392C"/>
    <w:rsid w:val="00C040D2"/>
    <w:rsid w:val="00C043E9"/>
    <w:rsid w:val="00C04613"/>
    <w:rsid w:val="00C0470C"/>
    <w:rsid w:val="00C047F8"/>
    <w:rsid w:val="00C05BEC"/>
    <w:rsid w:val="00C06AD2"/>
    <w:rsid w:val="00C06D5B"/>
    <w:rsid w:val="00C07B0B"/>
    <w:rsid w:val="00C07C56"/>
    <w:rsid w:val="00C07E33"/>
    <w:rsid w:val="00C1113C"/>
    <w:rsid w:val="00C11141"/>
    <w:rsid w:val="00C11E35"/>
    <w:rsid w:val="00C12273"/>
    <w:rsid w:val="00C1259D"/>
    <w:rsid w:val="00C125D4"/>
    <w:rsid w:val="00C12683"/>
    <w:rsid w:val="00C127FB"/>
    <w:rsid w:val="00C1371D"/>
    <w:rsid w:val="00C138D6"/>
    <w:rsid w:val="00C1394B"/>
    <w:rsid w:val="00C144F0"/>
    <w:rsid w:val="00C148BD"/>
    <w:rsid w:val="00C152C6"/>
    <w:rsid w:val="00C1585F"/>
    <w:rsid w:val="00C15884"/>
    <w:rsid w:val="00C160AD"/>
    <w:rsid w:val="00C1612A"/>
    <w:rsid w:val="00C16186"/>
    <w:rsid w:val="00C1623B"/>
    <w:rsid w:val="00C1695C"/>
    <w:rsid w:val="00C16AA0"/>
    <w:rsid w:val="00C179E5"/>
    <w:rsid w:val="00C20111"/>
    <w:rsid w:val="00C201A0"/>
    <w:rsid w:val="00C208CD"/>
    <w:rsid w:val="00C20BDF"/>
    <w:rsid w:val="00C21054"/>
    <w:rsid w:val="00C2108A"/>
    <w:rsid w:val="00C21458"/>
    <w:rsid w:val="00C2195E"/>
    <w:rsid w:val="00C22982"/>
    <w:rsid w:val="00C22AFF"/>
    <w:rsid w:val="00C22BA7"/>
    <w:rsid w:val="00C22F05"/>
    <w:rsid w:val="00C23699"/>
    <w:rsid w:val="00C23B82"/>
    <w:rsid w:val="00C241EE"/>
    <w:rsid w:val="00C24712"/>
    <w:rsid w:val="00C2475B"/>
    <w:rsid w:val="00C24935"/>
    <w:rsid w:val="00C24D6D"/>
    <w:rsid w:val="00C250B4"/>
    <w:rsid w:val="00C25285"/>
    <w:rsid w:val="00C253FE"/>
    <w:rsid w:val="00C258D3"/>
    <w:rsid w:val="00C266FB"/>
    <w:rsid w:val="00C26926"/>
    <w:rsid w:val="00C27327"/>
    <w:rsid w:val="00C273EC"/>
    <w:rsid w:val="00C27588"/>
    <w:rsid w:val="00C27DC1"/>
    <w:rsid w:val="00C301CF"/>
    <w:rsid w:val="00C30C40"/>
    <w:rsid w:val="00C31146"/>
    <w:rsid w:val="00C31982"/>
    <w:rsid w:val="00C31A32"/>
    <w:rsid w:val="00C31DBC"/>
    <w:rsid w:val="00C32196"/>
    <w:rsid w:val="00C32AE2"/>
    <w:rsid w:val="00C32B13"/>
    <w:rsid w:val="00C32E03"/>
    <w:rsid w:val="00C330A9"/>
    <w:rsid w:val="00C33372"/>
    <w:rsid w:val="00C3342A"/>
    <w:rsid w:val="00C33D86"/>
    <w:rsid w:val="00C34B9B"/>
    <w:rsid w:val="00C35C54"/>
    <w:rsid w:val="00C35F00"/>
    <w:rsid w:val="00C35F24"/>
    <w:rsid w:val="00C36E07"/>
    <w:rsid w:val="00C37AB9"/>
    <w:rsid w:val="00C37D72"/>
    <w:rsid w:val="00C37D94"/>
    <w:rsid w:val="00C400FF"/>
    <w:rsid w:val="00C40FB5"/>
    <w:rsid w:val="00C41AAD"/>
    <w:rsid w:val="00C4208A"/>
    <w:rsid w:val="00C4275A"/>
    <w:rsid w:val="00C42820"/>
    <w:rsid w:val="00C43190"/>
    <w:rsid w:val="00C434DB"/>
    <w:rsid w:val="00C4353E"/>
    <w:rsid w:val="00C44140"/>
    <w:rsid w:val="00C4414D"/>
    <w:rsid w:val="00C444C6"/>
    <w:rsid w:val="00C44F9B"/>
    <w:rsid w:val="00C45243"/>
    <w:rsid w:val="00C4526C"/>
    <w:rsid w:val="00C4537B"/>
    <w:rsid w:val="00C46659"/>
    <w:rsid w:val="00C47436"/>
    <w:rsid w:val="00C474C9"/>
    <w:rsid w:val="00C479F1"/>
    <w:rsid w:val="00C47BA2"/>
    <w:rsid w:val="00C47D7D"/>
    <w:rsid w:val="00C503EA"/>
    <w:rsid w:val="00C505ED"/>
    <w:rsid w:val="00C50B2F"/>
    <w:rsid w:val="00C50BA2"/>
    <w:rsid w:val="00C50D0F"/>
    <w:rsid w:val="00C5223D"/>
    <w:rsid w:val="00C523AA"/>
    <w:rsid w:val="00C531E9"/>
    <w:rsid w:val="00C5345B"/>
    <w:rsid w:val="00C5351B"/>
    <w:rsid w:val="00C536C6"/>
    <w:rsid w:val="00C53E3B"/>
    <w:rsid w:val="00C540BD"/>
    <w:rsid w:val="00C54764"/>
    <w:rsid w:val="00C54D2D"/>
    <w:rsid w:val="00C55172"/>
    <w:rsid w:val="00C5561F"/>
    <w:rsid w:val="00C55799"/>
    <w:rsid w:val="00C55BFC"/>
    <w:rsid w:val="00C55D94"/>
    <w:rsid w:val="00C56153"/>
    <w:rsid w:val="00C5659C"/>
    <w:rsid w:val="00C570FC"/>
    <w:rsid w:val="00C57DB6"/>
    <w:rsid w:val="00C57FBC"/>
    <w:rsid w:val="00C57FD1"/>
    <w:rsid w:val="00C6005A"/>
    <w:rsid w:val="00C602F3"/>
    <w:rsid w:val="00C61129"/>
    <w:rsid w:val="00C611EB"/>
    <w:rsid w:val="00C62B8A"/>
    <w:rsid w:val="00C634A0"/>
    <w:rsid w:val="00C63A03"/>
    <w:rsid w:val="00C63B41"/>
    <w:rsid w:val="00C63F48"/>
    <w:rsid w:val="00C6432D"/>
    <w:rsid w:val="00C64D93"/>
    <w:rsid w:val="00C6505A"/>
    <w:rsid w:val="00C650AF"/>
    <w:rsid w:val="00C650D1"/>
    <w:rsid w:val="00C6674C"/>
    <w:rsid w:val="00C6675E"/>
    <w:rsid w:val="00C6762B"/>
    <w:rsid w:val="00C67636"/>
    <w:rsid w:val="00C67B5A"/>
    <w:rsid w:val="00C7140C"/>
    <w:rsid w:val="00C717A6"/>
    <w:rsid w:val="00C71993"/>
    <w:rsid w:val="00C726A9"/>
    <w:rsid w:val="00C732C2"/>
    <w:rsid w:val="00C739B4"/>
    <w:rsid w:val="00C746A8"/>
    <w:rsid w:val="00C74F2B"/>
    <w:rsid w:val="00C75B5E"/>
    <w:rsid w:val="00C75F07"/>
    <w:rsid w:val="00C760AB"/>
    <w:rsid w:val="00C7690F"/>
    <w:rsid w:val="00C76A72"/>
    <w:rsid w:val="00C76D5F"/>
    <w:rsid w:val="00C76F77"/>
    <w:rsid w:val="00C77BA5"/>
    <w:rsid w:val="00C8162C"/>
    <w:rsid w:val="00C81950"/>
    <w:rsid w:val="00C81E3C"/>
    <w:rsid w:val="00C8289C"/>
    <w:rsid w:val="00C829C0"/>
    <w:rsid w:val="00C8357A"/>
    <w:rsid w:val="00C83796"/>
    <w:rsid w:val="00C837C9"/>
    <w:rsid w:val="00C838C8"/>
    <w:rsid w:val="00C84785"/>
    <w:rsid w:val="00C84D0C"/>
    <w:rsid w:val="00C84DEB"/>
    <w:rsid w:val="00C84EF4"/>
    <w:rsid w:val="00C85171"/>
    <w:rsid w:val="00C85FE8"/>
    <w:rsid w:val="00C86422"/>
    <w:rsid w:val="00C8675C"/>
    <w:rsid w:val="00C8693C"/>
    <w:rsid w:val="00C874BF"/>
    <w:rsid w:val="00C874C3"/>
    <w:rsid w:val="00C87D62"/>
    <w:rsid w:val="00C90342"/>
    <w:rsid w:val="00C909B5"/>
    <w:rsid w:val="00C90A16"/>
    <w:rsid w:val="00C90A61"/>
    <w:rsid w:val="00C91278"/>
    <w:rsid w:val="00C91DE1"/>
    <w:rsid w:val="00C91E19"/>
    <w:rsid w:val="00C923C3"/>
    <w:rsid w:val="00C9245E"/>
    <w:rsid w:val="00C92CCF"/>
    <w:rsid w:val="00C937C0"/>
    <w:rsid w:val="00C94BEF"/>
    <w:rsid w:val="00C9502B"/>
    <w:rsid w:val="00C95732"/>
    <w:rsid w:val="00C9580A"/>
    <w:rsid w:val="00C9598A"/>
    <w:rsid w:val="00C959E6"/>
    <w:rsid w:val="00C961D4"/>
    <w:rsid w:val="00C96220"/>
    <w:rsid w:val="00C96EAD"/>
    <w:rsid w:val="00C97691"/>
    <w:rsid w:val="00CA0BFE"/>
    <w:rsid w:val="00CA0D63"/>
    <w:rsid w:val="00CA11A2"/>
    <w:rsid w:val="00CA1650"/>
    <w:rsid w:val="00CA1807"/>
    <w:rsid w:val="00CA1A5E"/>
    <w:rsid w:val="00CA1C0F"/>
    <w:rsid w:val="00CA20B7"/>
    <w:rsid w:val="00CA23AE"/>
    <w:rsid w:val="00CA263F"/>
    <w:rsid w:val="00CA4FFC"/>
    <w:rsid w:val="00CA515A"/>
    <w:rsid w:val="00CA57CB"/>
    <w:rsid w:val="00CA595C"/>
    <w:rsid w:val="00CA5C98"/>
    <w:rsid w:val="00CA61D5"/>
    <w:rsid w:val="00CA68E7"/>
    <w:rsid w:val="00CA7ADA"/>
    <w:rsid w:val="00CB0184"/>
    <w:rsid w:val="00CB0328"/>
    <w:rsid w:val="00CB1017"/>
    <w:rsid w:val="00CB172F"/>
    <w:rsid w:val="00CB2202"/>
    <w:rsid w:val="00CB23B0"/>
    <w:rsid w:val="00CB33B0"/>
    <w:rsid w:val="00CB3AF6"/>
    <w:rsid w:val="00CB3D06"/>
    <w:rsid w:val="00CB3DB1"/>
    <w:rsid w:val="00CB5051"/>
    <w:rsid w:val="00CB5116"/>
    <w:rsid w:val="00CB5239"/>
    <w:rsid w:val="00CB5250"/>
    <w:rsid w:val="00CB6028"/>
    <w:rsid w:val="00CB674D"/>
    <w:rsid w:val="00CB684C"/>
    <w:rsid w:val="00CB6B55"/>
    <w:rsid w:val="00CB6F1D"/>
    <w:rsid w:val="00CB7682"/>
    <w:rsid w:val="00CB76E4"/>
    <w:rsid w:val="00CB7FE2"/>
    <w:rsid w:val="00CC0458"/>
    <w:rsid w:val="00CC1DD1"/>
    <w:rsid w:val="00CC23A0"/>
    <w:rsid w:val="00CC28CE"/>
    <w:rsid w:val="00CC2CD2"/>
    <w:rsid w:val="00CC3457"/>
    <w:rsid w:val="00CC36E1"/>
    <w:rsid w:val="00CC39DC"/>
    <w:rsid w:val="00CC4057"/>
    <w:rsid w:val="00CC4B2E"/>
    <w:rsid w:val="00CC5007"/>
    <w:rsid w:val="00CC511E"/>
    <w:rsid w:val="00CC5533"/>
    <w:rsid w:val="00CC559F"/>
    <w:rsid w:val="00CC59D4"/>
    <w:rsid w:val="00CC5A95"/>
    <w:rsid w:val="00CC5DA8"/>
    <w:rsid w:val="00CC6238"/>
    <w:rsid w:val="00CC6F81"/>
    <w:rsid w:val="00CC7126"/>
    <w:rsid w:val="00CC7264"/>
    <w:rsid w:val="00CC754D"/>
    <w:rsid w:val="00CC7B1D"/>
    <w:rsid w:val="00CD0372"/>
    <w:rsid w:val="00CD06A2"/>
    <w:rsid w:val="00CD0AD5"/>
    <w:rsid w:val="00CD0B89"/>
    <w:rsid w:val="00CD1029"/>
    <w:rsid w:val="00CD167C"/>
    <w:rsid w:val="00CD1A75"/>
    <w:rsid w:val="00CD2403"/>
    <w:rsid w:val="00CD28AD"/>
    <w:rsid w:val="00CD29D3"/>
    <w:rsid w:val="00CD2D02"/>
    <w:rsid w:val="00CD2E59"/>
    <w:rsid w:val="00CD3117"/>
    <w:rsid w:val="00CD3891"/>
    <w:rsid w:val="00CD4110"/>
    <w:rsid w:val="00CD45D9"/>
    <w:rsid w:val="00CD4B8E"/>
    <w:rsid w:val="00CD4EDC"/>
    <w:rsid w:val="00CD5072"/>
    <w:rsid w:val="00CD5195"/>
    <w:rsid w:val="00CD5385"/>
    <w:rsid w:val="00CD57AA"/>
    <w:rsid w:val="00CD6653"/>
    <w:rsid w:val="00CD705A"/>
    <w:rsid w:val="00CD7363"/>
    <w:rsid w:val="00CD7890"/>
    <w:rsid w:val="00CE0089"/>
    <w:rsid w:val="00CE02AF"/>
    <w:rsid w:val="00CE194C"/>
    <w:rsid w:val="00CE1B04"/>
    <w:rsid w:val="00CE1F44"/>
    <w:rsid w:val="00CE2016"/>
    <w:rsid w:val="00CE225B"/>
    <w:rsid w:val="00CE23C5"/>
    <w:rsid w:val="00CE2450"/>
    <w:rsid w:val="00CE282D"/>
    <w:rsid w:val="00CE2E77"/>
    <w:rsid w:val="00CE2F8C"/>
    <w:rsid w:val="00CE2FFE"/>
    <w:rsid w:val="00CE3396"/>
    <w:rsid w:val="00CE35B4"/>
    <w:rsid w:val="00CE376A"/>
    <w:rsid w:val="00CE393A"/>
    <w:rsid w:val="00CE3CC0"/>
    <w:rsid w:val="00CE430B"/>
    <w:rsid w:val="00CE4317"/>
    <w:rsid w:val="00CE494F"/>
    <w:rsid w:val="00CE4E06"/>
    <w:rsid w:val="00CE4F34"/>
    <w:rsid w:val="00CE4FA7"/>
    <w:rsid w:val="00CE5380"/>
    <w:rsid w:val="00CE53A4"/>
    <w:rsid w:val="00CE568B"/>
    <w:rsid w:val="00CE5BA1"/>
    <w:rsid w:val="00CE5D81"/>
    <w:rsid w:val="00CE601B"/>
    <w:rsid w:val="00CE6418"/>
    <w:rsid w:val="00CE6CFA"/>
    <w:rsid w:val="00CE72E9"/>
    <w:rsid w:val="00CE7439"/>
    <w:rsid w:val="00CE75EA"/>
    <w:rsid w:val="00CE7945"/>
    <w:rsid w:val="00CF0212"/>
    <w:rsid w:val="00CF09EE"/>
    <w:rsid w:val="00CF18BC"/>
    <w:rsid w:val="00CF1A58"/>
    <w:rsid w:val="00CF1B9F"/>
    <w:rsid w:val="00CF1D48"/>
    <w:rsid w:val="00CF1D61"/>
    <w:rsid w:val="00CF2104"/>
    <w:rsid w:val="00CF2192"/>
    <w:rsid w:val="00CF282A"/>
    <w:rsid w:val="00CF2979"/>
    <w:rsid w:val="00CF2C59"/>
    <w:rsid w:val="00CF2FEA"/>
    <w:rsid w:val="00CF33C1"/>
    <w:rsid w:val="00CF340D"/>
    <w:rsid w:val="00CF3BB4"/>
    <w:rsid w:val="00CF3EA5"/>
    <w:rsid w:val="00CF4054"/>
    <w:rsid w:val="00CF4401"/>
    <w:rsid w:val="00CF46E3"/>
    <w:rsid w:val="00CF47EF"/>
    <w:rsid w:val="00CF48D3"/>
    <w:rsid w:val="00CF4D4E"/>
    <w:rsid w:val="00CF5716"/>
    <w:rsid w:val="00CF5779"/>
    <w:rsid w:val="00CF60BF"/>
    <w:rsid w:val="00CF670D"/>
    <w:rsid w:val="00CF6755"/>
    <w:rsid w:val="00CF6B8E"/>
    <w:rsid w:val="00CF6F98"/>
    <w:rsid w:val="00CF6FA1"/>
    <w:rsid w:val="00CF7212"/>
    <w:rsid w:val="00CF732F"/>
    <w:rsid w:val="00CF793F"/>
    <w:rsid w:val="00D001A1"/>
    <w:rsid w:val="00D00D14"/>
    <w:rsid w:val="00D00EE6"/>
    <w:rsid w:val="00D01085"/>
    <w:rsid w:val="00D018A9"/>
    <w:rsid w:val="00D02CEE"/>
    <w:rsid w:val="00D0306A"/>
    <w:rsid w:val="00D0311C"/>
    <w:rsid w:val="00D03921"/>
    <w:rsid w:val="00D03AAF"/>
    <w:rsid w:val="00D042F3"/>
    <w:rsid w:val="00D04D4D"/>
    <w:rsid w:val="00D05040"/>
    <w:rsid w:val="00D05572"/>
    <w:rsid w:val="00D056B7"/>
    <w:rsid w:val="00D062B5"/>
    <w:rsid w:val="00D06992"/>
    <w:rsid w:val="00D06A26"/>
    <w:rsid w:val="00D06C34"/>
    <w:rsid w:val="00D06CC1"/>
    <w:rsid w:val="00D07313"/>
    <w:rsid w:val="00D07362"/>
    <w:rsid w:val="00D079E8"/>
    <w:rsid w:val="00D07C45"/>
    <w:rsid w:val="00D1020F"/>
    <w:rsid w:val="00D106F2"/>
    <w:rsid w:val="00D10BA5"/>
    <w:rsid w:val="00D11823"/>
    <w:rsid w:val="00D1190E"/>
    <w:rsid w:val="00D12107"/>
    <w:rsid w:val="00D1312B"/>
    <w:rsid w:val="00D137E5"/>
    <w:rsid w:val="00D14091"/>
    <w:rsid w:val="00D14B0E"/>
    <w:rsid w:val="00D14F7C"/>
    <w:rsid w:val="00D150DE"/>
    <w:rsid w:val="00D152FE"/>
    <w:rsid w:val="00D1676B"/>
    <w:rsid w:val="00D16FB6"/>
    <w:rsid w:val="00D17595"/>
    <w:rsid w:val="00D17772"/>
    <w:rsid w:val="00D17A47"/>
    <w:rsid w:val="00D17A65"/>
    <w:rsid w:val="00D17F18"/>
    <w:rsid w:val="00D200DB"/>
    <w:rsid w:val="00D20120"/>
    <w:rsid w:val="00D2014A"/>
    <w:rsid w:val="00D20EBA"/>
    <w:rsid w:val="00D211A1"/>
    <w:rsid w:val="00D21711"/>
    <w:rsid w:val="00D22207"/>
    <w:rsid w:val="00D22527"/>
    <w:rsid w:val="00D22825"/>
    <w:rsid w:val="00D22A1F"/>
    <w:rsid w:val="00D232BC"/>
    <w:rsid w:val="00D23B69"/>
    <w:rsid w:val="00D243A1"/>
    <w:rsid w:val="00D24597"/>
    <w:rsid w:val="00D24D51"/>
    <w:rsid w:val="00D24E5A"/>
    <w:rsid w:val="00D250F1"/>
    <w:rsid w:val="00D251B4"/>
    <w:rsid w:val="00D258D1"/>
    <w:rsid w:val="00D25BB0"/>
    <w:rsid w:val="00D262A6"/>
    <w:rsid w:val="00D264C9"/>
    <w:rsid w:val="00D30AB2"/>
    <w:rsid w:val="00D30D86"/>
    <w:rsid w:val="00D3104B"/>
    <w:rsid w:val="00D3109C"/>
    <w:rsid w:val="00D310AD"/>
    <w:rsid w:val="00D312AD"/>
    <w:rsid w:val="00D3155F"/>
    <w:rsid w:val="00D320D9"/>
    <w:rsid w:val="00D33495"/>
    <w:rsid w:val="00D338E6"/>
    <w:rsid w:val="00D3395C"/>
    <w:rsid w:val="00D33C16"/>
    <w:rsid w:val="00D34467"/>
    <w:rsid w:val="00D34ED6"/>
    <w:rsid w:val="00D356EE"/>
    <w:rsid w:val="00D35732"/>
    <w:rsid w:val="00D366B2"/>
    <w:rsid w:val="00D371D0"/>
    <w:rsid w:val="00D37D1D"/>
    <w:rsid w:val="00D40252"/>
    <w:rsid w:val="00D40D72"/>
    <w:rsid w:val="00D40F83"/>
    <w:rsid w:val="00D41E19"/>
    <w:rsid w:val="00D41F24"/>
    <w:rsid w:val="00D41FE5"/>
    <w:rsid w:val="00D42961"/>
    <w:rsid w:val="00D42D4C"/>
    <w:rsid w:val="00D43DB1"/>
    <w:rsid w:val="00D43E3E"/>
    <w:rsid w:val="00D43E91"/>
    <w:rsid w:val="00D44040"/>
    <w:rsid w:val="00D44A4C"/>
    <w:rsid w:val="00D450CE"/>
    <w:rsid w:val="00D4609C"/>
    <w:rsid w:val="00D466D3"/>
    <w:rsid w:val="00D46A01"/>
    <w:rsid w:val="00D46DAD"/>
    <w:rsid w:val="00D46F29"/>
    <w:rsid w:val="00D47146"/>
    <w:rsid w:val="00D47166"/>
    <w:rsid w:val="00D47442"/>
    <w:rsid w:val="00D47686"/>
    <w:rsid w:val="00D47FD4"/>
    <w:rsid w:val="00D504B1"/>
    <w:rsid w:val="00D504F6"/>
    <w:rsid w:val="00D5131B"/>
    <w:rsid w:val="00D527CE"/>
    <w:rsid w:val="00D52B26"/>
    <w:rsid w:val="00D52B2E"/>
    <w:rsid w:val="00D52BE7"/>
    <w:rsid w:val="00D52E6F"/>
    <w:rsid w:val="00D52E8D"/>
    <w:rsid w:val="00D5314A"/>
    <w:rsid w:val="00D54175"/>
    <w:rsid w:val="00D54662"/>
    <w:rsid w:val="00D54823"/>
    <w:rsid w:val="00D554B1"/>
    <w:rsid w:val="00D55FFC"/>
    <w:rsid w:val="00D56733"/>
    <w:rsid w:val="00D56AC9"/>
    <w:rsid w:val="00D575DF"/>
    <w:rsid w:val="00D5796F"/>
    <w:rsid w:val="00D57F7C"/>
    <w:rsid w:val="00D57FE4"/>
    <w:rsid w:val="00D604EE"/>
    <w:rsid w:val="00D611B6"/>
    <w:rsid w:val="00D6128D"/>
    <w:rsid w:val="00D61512"/>
    <w:rsid w:val="00D61FE5"/>
    <w:rsid w:val="00D62432"/>
    <w:rsid w:val="00D626EF"/>
    <w:rsid w:val="00D6337D"/>
    <w:rsid w:val="00D64B68"/>
    <w:rsid w:val="00D6549C"/>
    <w:rsid w:val="00D65832"/>
    <w:rsid w:val="00D65B47"/>
    <w:rsid w:val="00D66066"/>
    <w:rsid w:val="00D66619"/>
    <w:rsid w:val="00D67FA4"/>
    <w:rsid w:val="00D70697"/>
    <w:rsid w:val="00D70AF5"/>
    <w:rsid w:val="00D71897"/>
    <w:rsid w:val="00D7322D"/>
    <w:rsid w:val="00D7324A"/>
    <w:rsid w:val="00D739D5"/>
    <w:rsid w:val="00D73B09"/>
    <w:rsid w:val="00D74035"/>
    <w:rsid w:val="00D7437C"/>
    <w:rsid w:val="00D7473B"/>
    <w:rsid w:val="00D74B6E"/>
    <w:rsid w:val="00D74CF9"/>
    <w:rsid w:val="00D754F0"/>
    <w:rsid w:val="00D75543"/>
    <w:rsid w:val="00D75C0C"/>
    <w:rsid w:val="00D767DB"/>
    <w:rsid w:val="00D7756D"/>
    <w:rsid w:val="00D77950"/>
    <w:rsid w:val="00D80159"/>
    <w:rsid w:val="00D81B03"/>
    <w:rsid w:val="00D82184"/>
    <w:rsid w:val="00D8392F"/>
    <w:rsid w:val="00D83A64"/>
    <w:rsid w:val="00D83C6D"/>
    <w:rsid w:val="00D8420A"/>
    <w:rsid w:val="00D845E0"/>
    <w:rsid w:val="00D8573B"/>
    <w:rsid w:val="00D85F1B"/>
    <w:rsid w:val="00D8615C"/>
    <w:rsid w:val="00D86804"/>
    <w:rsid w:val="00D86A50"/>
    <w:rsid w:val="00D87000"/>
    <w:rsid w:val="00D87761"/>
    <w:rsid w:val="00D87846"/>
    <w:rsid w:val="00D90ADC"/>
    <w:rsid w:val="00D90C22"/>
    <w:rsid w:val="00D90CBD"/>
    <w:rsid w:val="00D91687"/>
    <w:rsid w:val="00D920EF"/>
    <w:rsid w:val="00D92845"/>
    <w:rsid w:val="00D92943"/>
    <w:rsid w:val="00D92B79"/>
    <w:rsid w:val="00D92C1D"/>
    <w:rsid w:val="00D92F5E"/>
    <w:rsid w:val="00D9351A"/>
    <w:rsid w:val="00D93B06"/>
    <w:rsid w:val="00D93BEA"/>
    <w:rsid w:val="00D94202"/>
    <w:rsid w:val="00D9459F"/>
    <w:rsid w:val="00D94970"/>
    <w:rsid w:val="00D95405"/>
    <w:rsid w:val="00D95D5E"/>
    <w:rsid w:val="00D968AF"/>
    <w:rsid w:val="00D971F2"/>
    <w:rsid w:val="00D9729B"/>
    <w:rsid w:val="00D97549"/>
    <w:rsid w:val="00D97F58"/>
    <w:rsid w:val="00DA0277"/>
    <w:rsid w:val="00DA0962"/>
    <w:rsid w:val="00DA0EDD"/>
    <w:rsid w:val="00DA1389"/>
    <w:rsid w:val="00DA1778"/>
    <w:rsid w:val="00DA1953"/>
    <w:rsid w:val="00DA19B7"/>
    <w:rsid w:val="00DA21BC"/>
    <w:rsid w:val="00DA21EB"/>
    <w:rsid w:val="00DA2DCC"/>
    <w:rsid w:val="00DA3190"/>
    <w:rsid w:val="00DA3794"/>
    <w:rsid w:val="00DA3CCC"/>
    <w:rsid w:val="00DA4591"/>
    <w:rsid w:val="00DA460D"/>
    <w:rsid w:val="00DA465B"/>
    <w:rsid w:val="00DA4B9D"/>
    <w:rsid w:val="00DA5500"/>
    <w:rsid w:val="00DA62BB"/>
    <w:rsid w:val="00DA6326"/>
    <w:rsid w:val="00DA6A9A"/>
    <w:rsid w:val="00DA6E26"/>
    <w:rsid w:val="00DA7123"/>
    <w:rsid w:val="00DA7356"/>
    <w:rsid w:val="00DA7457"/>
    <w:rsid w:val="00DA7ACD"/>
    <w:rsid w:val="00DA7EDA"/>
    <w:rsid w:val="00DA7F8B"/>
    <w:rsid w:val="00DB019E"/>
    <w:rsid w:val="00DB1CBE"/>
    <w:rsid w:val="00DB1FCF"/>
    <w:rsid w:val="00DB2826"/>
    <w:rsid w:val="00DB3EDB"/>
    <w:rsid w:val="00DB3FFB"/>
    <w:rsid w:val="00DB4297"/>
    <w:rsid w:val="00DB4B71"/>
    <w:rsid w:val="00DB6AA1"/>
    <w:rsid w:val="00DB6EE8"/>
    <w:rsid w:val="00DB73F5"/>
    <w:rsid w:val="00DB77CA"/>
    <w:rsid w:val="00DB782D"/>
    <w:rsid w:val="00DB78FC"/>
    <w:rsid w:val="00DB7938"/>
    <w:rsid w:val="00DB7995"/>
    <w:rsid w:val="00DC0374"/>
    <w:rsid w:val="00DC084F"/>
    <w:rsid w:val="00DC086B"/>
    <w:rsid w:val="00DC11B5"/>
    <w:rsid w:val="00DC11BD"/>
    <w:rsid w:val="00DC16B8"/>
    <w:rsid w:val="00DC1C9D"/>
    <w:rsid w:val="00DC29A5"/>
    <w:rsid w:val="00DC2BB7"/>
    <w:rsid w:val="00DC3281"/>
    <w:rsid w:val="00DC3670"/>
    <w:rsid w:val="00DC3BFB"/>
    <w:rsid w:val="00DC419B"/>
    <w:rsid w:val="00DC461E"/>
    <w:rsid w:val="00DC4EF5"/>
    <w:rsid w:val="00DC5067"/>
    <w:rsid w:val="00DC54AB"/>
    <w:rsid w:val="00DC562F"/>
    <w:rsid w:val="00DC5A04"/>
    <w:rsid w:val="00DC6289"/>
    <w:rsid w:val="00DC644A"/>
    <w:rsid w:val="00DC66BF"/>
    <w:rsid w:val="00DC742B"/>
    <w:rsid w:val="00DC74D1"/>
    <w:rsid w:val="00DC7AB5"/>
    <w:rsid w:val="00DC7B4F"/>
    <w:rsid w:val="00DD0384"/>
    <w:rsid w:val="00DD0843"/>
    <w:rsid w:val="00DD1168"/>
    <w:rsid w:val="00DD1488"/>
    <w:rsid w:val="00DD1BC9"/>
    <w:rsid w:val="00DD1CB8"/>
    <w:rsid w:val="00DD209A"/>
    <w:rsid w:val="00DD22ED"/>
    <w:rsid w:val="00DD2BA9"/>
    <w:rsid w:val="00DD37E5"/>
    <w:rsid w:val="00DD3F70"/>
    <w:rsid w:val="00DD4B62"/>
    <w:rsid w:val="00DD5E96"/>
    <w:rsid w:val="00DD65E5"/>
    <w:rsid w:val="00DD66AF"/>
    <w:rsid w:val="00DD697B"/>
    <w:rsid w:val="00DD6D3C"/>
    <w:rsid w:val="00DD7F3C"/>
    <w:rsid w:val="00DE0130"/>
    <w:rsid w:val="00DE03D9"/>
    <w:rsid w:val="00DE055D"/>
    <w:rsid w:val="00DE0890"/>
    <w:rsid w:val="00DE0A6F"/>
    <w:rsid w:val="00DE286A"/>
    <w:rsid w:val="00DE2B52"/>
    <w:rsid w:val="00DE2C14"/>
    <w:rsid w:val="00DE345D"/>
    <w:rsid w:val="00DE38FB"/>
    <w:rsid w:val="00DE3961"/>
    <w:rsid w:val="00DE3A14"/>
    <w:rsid w:val="00DE3DA1"/>
    <w:rsid w:val="00DE4127"/>
    <w:rsid w:val="00DE4194"/>
    <w:rsid w:val="00DE46A6"/>
    <w:rsid w:val="00DE4D1C"/>
    <w:rsid w:val="00DE4DD6"/>
    <w:rsid w:val="00DE547B"/>
    <w:rsid w:val="00DE5576"/>
    <w:rsid w:val="00DE5600"/>
    <w:rsid w:val="00DE5B45"/>
    <w:rsid w:val="00DE5BC2"/>
    <w:rsid w:val="00DE5EA4"/>
    <w:rsid w:val="00DE62ED"/>
    <w:rsid w:val="00DE6A72"/>
    <w:rsid w:val="00DE6B2A"/>
    <w:rsid w:val="00DE6C74"/>
    <w:rsid w:val="00DE7295"/>
    <w:rsid w:val="00DE7C48"/>
    <w:rsid w:val="00DF019F"/>
    <w:rsid w:val="00DF023E"/>
    <w:rsid w:val="00DF0509"/>
    <w:rsid w:val="00DF07AC"/>
    <w:rsid w:val="00DF0AAC"/>
    <w:rsid w:val="00DF14B2"/>
    <w:rsid w:val="00DF18BF"/>
    <w:rsid w:val="00DF2371"/>
    <w:rsid w:val="00DF2DAE"/>
    <w:rsid w:val="00DF3208"/>
    <w:rsid w:val="00DF3415"/>
    <w:rsid w:val="00DF3F29"/>
    <w:rsid w:val="00DF3FA1"/>
    <w:rsid w:val="00DF4B22"/>
    <w:rsid w:val="00DF4F44"/>
    <w:rsid w:val="00DF50F9"/>
    <w:rsid w:val="00DF567E"/>
    <w:rsid w:val="00DF56D4"/>
    <w:rsid w:val="00DF5FB5"/>
    <w:rsid w:val="00DF675C"/>
    <w:rsid w:val="00DF69E5"/>
    <w:rsid w:val="00DF6C13"/>
    <w:rsid w:val="00DF7551"/>
    <w:rsid w:val="00DF7672"/>
    <w:rsid w:val="00E00467"/>
    <w:rsid w:val="00E013DF"/>
    <w:rsid w:val="00E0159D"/>
    <w:rsid w:val="00E01804"/>
    <w:rsid w:val="00E019CB"/>
    <w:rsid w:val="00E01D15"/>
    <w:rsid w:val="00E01D46"/>
    <w:rsid w:val="00E020A8"/>
    <w:rsid w:val="00E02244"/>
    <w:rsid w:val="00E02B5A"/>
    <w:rsid w:val="00E03451"/>
    <w:rsid w:val="00E04499"/>
    <w:rsid w:val="00E04668"/>
    <w:rsid w:val="00E04D25"/>
    <w:rsid w:val="00E04FB2"/>
    <w:rsid w:val="00E0523C"/>
    <w:rsid w:val="00E05813"/>
    <w:rsid w:val="00E05D3F"/>
    <w:rsid w:val="00E060D0"/>
    <w:rsid w:val="00E066FF"/>
    <w:rsid w:val="00E06A12"/>
    <w:rsid w:val="00E07247"/>
    <w:rsid w:val="00E0784B"/>
    <w:rsid w:val="00E078C6"/>
    <w:rsid w:val="00E07AB7"/>
    <w:rsid w:val="00E1069B"/>
    <w:rsid w:val="00E11CFB"/>
    <w:rsid w:val="00E12138"/>
    <w:rsid w:val="00E12A91"/>
    <w:rsid w:val="00E13210"/>
    <w:rsid w:val="00E13765"/>
    <w:rsid w:val="00E138BD"/>
    <w:rsid w:val="00E145E3"/>
    <w:rsid w:val="00E14791"/>
    <w:rsid w:val="00E14E32"/>
    <w:rsid w:val="00E151A6"/>
    <w:rsid w:val="00E15634"/>
    <w:rsid w:val="00E15750"/>
    <w:rsid w:val="00E15CBA"/>
    <w:rsid w:val="00E16210"/>
    <w:rsid w:val="00E1673A"/>
    <w:rsid w:val="00E16B72"/>
    <w:rsid w:val="00E179AD"/>
    <w:rsid w:val="00E17C3D"/>
    <w:rsid w:val="00E208F8"/>
    <w:rsid w:val="00E21F9F"/>
    <w:rsid w:val="00E22052"/>
    <w:rsid w:val="00E22E02"/>
    <w:rsid w:val="00E23016"/>
    <w:rsid w:val="00E23B07"/>
    <w:rsid w:val="00E23B2A"/>
    <w:rsid w:val="00E23ED6"/>
    <w:rsid w:val="00E24257"/>
    <w:rsid w:val="00E245F1"/>
    <w:rsid w:val="00E24634"/>
    <w:rsid w:val="00E24718"/>
    <w:rsid w:val="00E2480E"/>
    <w:rsid w:val="00E248C8"/>
    <w:rsid w:val="00E24E43"/>
    <w:rsid w:val="00E24F46"/>
    <w:rsid w:val="00E25645"/>
    <w:rsid w:val="00E25DE0"/>
    <w:rsid w:val="00E26059"/>
    <w:rsid w:val="00E26099"/>
    <w:rsid w:val="00E26523"/>
    <w:rsid w:val="00E26D9C"/>
    <w:rsid w:val="00E27891"/>
    <w:rsid w:val="00E27D44"/>
    <w:rsid w:val="00E30251"/>
    <w:rsid w:val="00E30777"/>
    <w:rsid w:val="00E3109A"/>
    <w:rsid w:val="00E3172A"/>
    <w:rsid w:val="00E318E3"/>
    <w:rsid w:val="00E31AE6"/>
    <w:rsid w:val="00E33030"/>
    <w:rsid w:val="00E33D99"/>
    <w:rsid w:val="00E33DE6"/>
    <w:rsid w:val="00E34224"/>
    <w:rsid w:val="00E346FA"/>
    <w:rsid w:val="00E3556A"/>
    <w:rsid w:val="00E35CEF"/>
    <w:rsid w:val="00E36105"/>
    <w:rsid w:val="00E3637F"/>
    <w:rsid w:val="00E366E8"/>
    <w:rsid w:val="00E369D2"/>
    <w:rsid w:val="00E36A2F"/>
    <w:rsid w:val="00E36EB4"/>
    <w:rsid w:val="00E37506"/>
    <w:rsid w:val="00E37CBC"/>
    <w:rsid w:val="00E40097"/>
    <w:rsid w:val="00E41C34"/>
    <w:rsid w:val="00E42120"/>
    <w:rsid w:val="00E4248A"/>
    <w:rsid w:val="00E42502"/>
    <w:rsid w:val="00E42511"/>
    <w:rsid w:val="00E4274B"/>
    <w:rsid w:val="00E4293D"/>
    <w:rsid w:val="00E431BD"/>
    <w:rsid w:val="00E437FA"/>
    <w:rsid w:val="00E43F00"/>
    <w:rsid w:val="00E44195"/>
    <w:rsid w:val="00E448DE"/>
    <w:rsid w:val="00E44A6B"/>
    <w:rsid w:val="00E44ED9"/>
    <w:rsid w:val="00E44F44"/>
    <w:rsid w:val="00E4569B"/>
    <w:rsid w:val="00E45BF4"/>
    <w:rsid w:val="00E45D04"/>
    <w:rsid w:val="00E46E07"/>
    <w:rsid w:val="00E50922"/>
    <w:rsid w:val="00E50E25"/>
    <w:rsid w:val="00E51E0B"/>
    <w:rsid w:val="00E52470"/>
    <w:rsid w:val="00E5277F"/>
    <w:rsid w:val="00E52A6A"/>
    <w:rsid w:val="00E5317D"/>
    <w:rsid w:val="00E5382B"/>
    <w:rsid w:val="00E53921"/>
    <w:rsid w:val="00E53CA3"/>
    <w:rsid w:val="00E53F2E"/>
    <w:rsid w:val="00E5416D"/>
    <w:rsid w:val="00E5462D"/>
    <w:rsid w:val="00E54B5E"/>
    <w:rsid w:val="00E54D59"/>
    <w:rsid w:val="00E54DDC"/>
    <w:rsid w:val="00E55067"/>
    <w:rsid w:val="00E55120"/>
    <w:rsid w:val="00E5518E"/>
    <w:rsid w:val="00E56CAA"/>
    <w:rsid w:val="00E56F34"/>
    <w:rsid w:val="00E57025"/>
    <w:rsid w:val="00E570CA"/>
    <w:rsid w:val="00E575FD"/>
    <w:rsid w:val="00E57689"/>
    <w:rsid w:val="00E57A97"/>
    <w:rsid w:val="00E57D7F"/>
    <w:rsid w:val="00E603D4"/>
    <w:rsid w:val="00E6061D"/>
    <w:rsid w:val="00E607C8"/>
    <w:rsid w:val="00E60D1F"/>
    <w:rsid w:val="00E60DA0"/>
    <w:rsid w:val="00E60E02"/>
    <w:rsid w:val="00E61597"/>
    <w:rsid w:val="00E61A18"/>
    <w:rsid w:val="00E61BA1"/>
    <w:rsid w:val="00E61E2C"/>
    <w:rsid w:val="00E62167"/>
    <w:rsid w:val="00E62224"/>
    <w:rsid w:val="00E6295C"/>
    <w:rsid w:val="00E63CB3"/>
    <w:rsid w:val="00E640AC"/>
    <w:rsid w:val="00E640BC"/>
    <w:rsid w:val="00E653DD"/>
    <w:rsid w:val="00E65791"/>
    <w:rsid w:val="00E65EB5"/>
    <w:rsid w:val="00E661BD"/>
    <w:rsid w:val="00E66EB7"/>
    <w:rsid w:val="00E67151"/>
    <w:rsid w:val="00E67CB6"/>
    <w:rsid w:val="00E70026"/>
    <w:rsid w:val="00E716F6"/>
    <w:rsid w:val="00E72684"/>
    <w:rsid w:val="00E72B2D"/>
    <w:rsid w:val="00E74118"/>
    <w:rsid w:val="00E7474A"/>
    <w:rsid w:val="00E74A58"/>
    <w:rsid w:val="00E74EA8"/>
    <w:rsid w:val="00E74F45"/>
    <w:rsid w:val="00E75089"/>
    <w:rsid w:val="00E75280"/>
    <w:rsid w:val="00E75C36"/>
    <w:rsid w:val="00E763E9"/>
    <w:rsid w:val="00E76F45"/>
    <w:rsid w:val="00E77990"/>
    <w:rsid w:val="00E77D69"/>
    <w:rsid w:val="00E803AA"/>
    <w:rsid w:val="00E807D0"/>
    <w:rsid w:val="00E80CD8"/>
    <w:rsid w:val="00E814DC"/>
    <w:rsid w:val="00E818A0"/>
    <w:rsid w:val="00E81B27"/>
    <w:rsid w:val="00E8282C"/>
    <w:rsid w:val="00E82B55"/>
    <w:rsid w:val="00E834D2"/>
    <w:rsid w:val="00E83608"/>
    <w:rsid w:val="00E83737"/>
    <w:rsid w:val="00E8495F"/>
    <w:rsid w:val="00E84BF4"/>
    <w:rsid w:val="00E84C17"/>
    <w:rsid w:val="00E84C8B"/>
    <w:rsid w:val="00E84E09"/>
    <w:rsid w:val="00E85401"/>
    <w:rsid w:val="00E86204"/>
    <w:rsid w:val="00E8631E"/>
    <w:rsid w:val="00E864E6"/>
    <w:rsid w:val="00E869EB"/>
    <w:rsid w:val="00E871D3"/>
    <w:rsid w:val="00E871F8"/>
    <w:rsid w:val="00E87452"/>
    <w:rsid w:val="00E877B2"/>
    <w:rsid w:val="00E87D2B"/>
    <w:rsid w:val="00E9096E"/>
    <w:rsid w:val="00E90F13"/>
    <w:rsid w:val="00E91BE3"/>
    <w:rsid w:val="00E91EC5"/>
    <w:rsid w:val="00E92017"/>
    <w:rsid w:val="00E922D5"/>
    <w:rsid w:val="00E927FA"/>
    <w:rsid w:val="00E92A80"/>
    <w:rsid w:val="00E9357F"/>
    <w:rsid w:val="00E935D3"/>
    <w:rsid w:val="00E93E30"/>
    <w:rsid w:val="00E94435"/>
    <w:rsid w:val="00E94DD3"/>
    <w:rsid w:val="00E94F05"/>
    <w:rsid w:val="00E9558A"/>
    <w:rsid w:val="00E95B9B"/>
    <w:rsid w:val="00E95D42"/>
    <w:rsid w:val="00E96872"/>
    <w:rsid w:val="00E96EF7"/>
    <w:rsid w:val="00E973E7"/>
    <w:rsid w:val="00E97425"/>
    <w:rsid w:val="00E97938"/>
    <w:rsid w:val="00EA037D"/>
    <w:rsid w:val="00EA08A6"/>
    <w:rsid w:val="00EA0F2F"/>
    <w:rsid w:val="00EA1D16"/>
    <w:rsid w:val="00EA1F41"/>
    <w:rsid w:val="00EA1FE2"/>
    <w:rsid w:val="00EA2278"/>
    <w:rsid w:val="00EA2C7B"/>
    <w:rsid w:val="00EA3757"/>
    <w:rsid w:val="00EA3A5E"/>
    <w:rsid w:val="00EA4A03"/>
    <w:rsid w:val="00EA4AF0"/>
    <w:rsid w:val="00EA4DD1"/>
    <w:rsid w:val="00EA516D"/>
    <w:rsid w:val="00EA5314"/>
    <w:rsid w:val="00EA554E"/>
    <w:rsid w:val="00EA5C6E"/>
    <w:rsid w:val="00EA6160"/>
    <w:rsid w:val="00EA65EF"/>
    <w:rsid w:val="00EA6775"/>
    <w:rsid w:val="00EA68B3"/>
    <w:rsid w:val="00EA6C8B"/>
    <w:rsid w:val="00EA7103"/>
    <w:rsid w:val="00EA7263"/>
    <w:rsid w:val="00EA7FC6"/>
    <w:rsid w:val="00EB04D6"/>
    <w:rsid w:val="00EB0CF6"/>
    <w:rsid w:val="00EB10A8"/>
    <w:rsid w:val="00EB147D"/>
    <w:rsid w:val="00EB1774"/>
    <w:rsid w:val="00EB24B4"/>
    <w:rsid w:val="00EB36EF"/>
    <w:rsid w:val="00EB38BB"/>
    <w:rsid w:val="00EB4270"/>
    <w:rsid w:val="00EB42E2"/>
    <w:rsid w:val="00EB479A"/>
    <w:rsid w:val="00EB4A9F"/>
    <w:rsid w:val="00EB5051"/>
    <w:rsid w:val="00EB64F3"/>
    <w:rsid w:val="00EB69BA"/>
    <w:rsid w:val="00EB6C13"/>
    <w:rsid w:val="00EB6C61"/>
    <w:rsid w:val="00EB6CF8"/>
    <w:rsid w:val="00EB6DCB"/>
    <w:rsid w:val="00EB6F0B"/>
    <w:rsid w:val="00EB7146"/>
    <w:rsid w:val="00EB71AF"/>
    <w:rsid w:val="00EB72DF"/>
    <w:rsid w:val="00EB7467"/>
    <w:rsid w:val="00EB74C4"/>
    <w:rsid w:val="00EB7F93"/>
    <w:rsid w:val="00EC005F"/>
    <w:rsid w:val="00EC1688"/>
    <w:rsid w:val="00EC17AD"/>
    <w:rsid w:val="00EC22EA"/>
    <w:rsid w:val="00EC3410"/>
    <w:rsid w:val="00EC3720"/>
    <w:rsid w:val="00EC3887"/>
    <w:rsid w:val="00EC3AEE"/>
    <w:rsid w:val="00EC3FD6"/>
    <w:rsid w:val="00EC4040"/>
    <w:rsid w:val="00EC40EB"/>
    <w:rsid w:val="00EC4432"/>
    <w:rsid w:val="00EC49C4"/>
    <w:rsid w:val="00EC4C36"/>
    <w:rsid w:val="00EC4F11"/>
    <w:rsid w:val="00EC53E2"/>
    <w:rsid w:val="00EC5BEF"/>
    <w:rsid w:val="00EC5C74"/>
    <w:rsid w:val="00EC650B"/>
    <w:rsid w:val="00EC6F34"/>
    <w:rsid w:val="00ED1528"/>
    <w:rsid w:val="00ED1BF2"/>
    <w:rsid w:val="00ED338D"/>
    <w:rsid w:val="00ED369D"/>
    <w:rsid w:val="00ED3827"/>
    <w:rsid w:val="00ED389D"/>
    <w:rsid w:val="00ED3C02"/>
    <w:rsid w:val="00ED3D2F"/>
    <w:rsid w:val="00ED3DA9"/>
    <w:rsid w:val="00ED435F"/>
    <w:rsid w:val="00ED487E"/>
    <w:rsid w:val="00ED49F7"/>
    <w:rsid w:val="00ED4A64"/>
    <w:rsid w:val="00ED4CCD"/>
    <w:rsid w:val="00ED4D6F"/>
    <w:rsid w:val="00ED51CA"/>
    <w:rsid w:val="00ED59B8"/>
    <w:rsid w:val="00ED5C0F"/>
    <w:rsid w:val="00ED6550"/>
    <w:rsid w:val="00ED6842"/>
    <w:rsid w:val="00ED7558"/>
    <w:rsid w:val="00ED7E67"/>
    <w:rsid w:val="00EE0946"/>
    <w:rsid w:val="00EE0DF9"/>
    <w:rsid w:val="00EE10CA"/>
    <w:rsid w:val="00EE1626"/>
    <w:rsid w:val="00EE1BC8"/>
    <w:rsid w:val="00EE1E8B"/>
    <w:rsid w:val="00EE3699"/>
    <w:rsid w:val="00EE39CC"/>
    <w:rsid w:val="00EE3CB5"/>
    <w:rsid w:val="00EE4C8E"/>
    <w:rsid w:val="00EE5C8E"/>
    <w:rsid w:val="00EE5DD3"/>
    <w:rsid w:val="00EE5F41"/>
    <w:rsid w:val="00EE5F7A"/>
    <w:rsid w:val="00EE6085"/>
    <w:rsid w:val="00EE6A6B"/>
    <w:rsid w:val="00EE6E50"/>
    <w:rsid w:val="00EE7377"/>
    <w:rsid w:val="00EE785B"/>
    <w:rsid w:val="00EF04A0"/>
    <w:rsid w:val="00EF0648"/>
    <w:rsid w:val="00EF064C"/>
    <w:rsid w:val="00EF06D5"/>
    <w:rsid w:val="00EF084D"/>
    <w:rsid w:val="00EF0997"/>
    <w:rsid w:val="00EF0CCA"/>
    <w:rsid w:val="00EF0FE5"/>
    <w:rsid w:val="00EF18F9"/>
    <w:rsid w:val="00EF1A46"/>
    <w:rsid w:val="00EF1AD7"/>
    <w:rsid w:val="00EF1F50"/>
    <w:rsid w:val="00EF1FBF"/>
    <w:rsid w:val="00EF2960"/>
    <w:rsid w:val="00EF4DA6"/>
    <w:rsid w:val="00EF4E4A"/>
    <w:rsid w:val="00EF4F07"/>
    <w:rsid w:val="00EF5422"/>
    <w:rsid w:val="00EF5572"/>
    <w:rsid w:val="00EF5F3D"/>
    <w:rsid w:val="00EF65C3"/>
    <w:rsid w:val="00EF65C9"/>
    <w:rsid w:val="00EF699E"/>
    <w:rsid w:val="00EF6BE4"/>
    <w:rsid w:val="00EF6F46"/>
    <w:rsid w:val="00EF7966"/>
    <w:rsid w:val="00EF7ECF"/>
    <w:rsid w:val="00F002C5"/>
    <w:rsid w:val="00F002D5"/>
    <w:rsid w:val="00F00653"/>
    <w:rsid w:val="00F008DE"/>
    <w:rsid w:val="00F00C59"/>
    <w:rsid w:val="00F00EB2"/>
    <w:rsid w:val="00F01DDE"/>
    <w:rsid w:val="00F01F03"/>
    <w:rsid w:val="00F020D6"/>
    <w:rsid w:val="00F02409"/>
    <w:rsid w:val="00F02576"/>
    <w:rsid w:val="00F025E8"/>
    <w:rsid w:val="00F02BF4"/>
    <w:rsid w:val="00F048E9"/>
    <w:rsid w:val="00F0498B"/>
    <w:rsid w:val="00F04CA5"/>
    <w:rsid w:val="00F059BA"/>
    <w:rsid w:val="00F05AC1"/>
    <w:rsid w:val="00F061B6"/>
    <w:rsid w:val="00F06792"/>
    <w:rsid w:val="00F07AA9"/>
    <w:rsid w:val="00F07FF8"/>
    <w:rsid w:val="00F10F22"/>
    <w:rsid w:val="00F11105"/>
    <w:rsid w:val="00F11AA1"/>
    <w:rsid w:val="00F12060"/>
    <w:rsid w:val="00F130C7"/>
    <w:rsid w:val="00F135BC"/>
    <w:rsid w:val="00F13F68"/>
    <w:rsid w:val="00F14607"/>
    <w:rsid w:val="00F14ADE"/>
    <w:rsid w:val="00F15474"/>
    <w:rsid w:val="00F157E6"/>
    <w:rsid w:val="00F16154"/>
    <w:rsid w:val="00F16553"/>
    <w:rsid w:val="00F16760"/>
    <w:rsid w:val="00F1698A"/>
    <w:rsid w:val="00F176B5"/>
    <w:rsid w:val="00F179CF"/>
    <w:rsid w:val="00F17C7A"/>
    <w:rsid w:val="00F202D8"/>
    <w:rsid w:val="00F206C7"/>
    <w:rsid w:val="00F2095D"/>
    <w:rsid w:val="00F20C5A"/>
    <w:rsid w:val="00F21322"/>
    <w:rsid w:val="00F21A88"/>
    <w:rsid w:val="00F21B2A"/>
    <w:rsid w:val="00F22122"/>
    <w:rsid w:val="00F22A1C"/>
    <w:rsid w:val="00F22B5C"/>
    <w:rsid w:val="00F22E94"/>
    <w:rsid w:val="00F2367A"/>
    <w:rsid w:val="00F25079"/>
    <w:rsid w:val="00F2552D"/>
    <w:rsid w:val="00F25600"/>
    <w:rsid w:val="00F25DDD"/>
    <w:rsid w:val="00F25F92"/>
    <w:rsid w:val="00F26B55"/>
    <w:rsid w:val="00F274C8"/>
    <w:rsid w:val="00F2763C"/>
    <w:rsid w:val="00F27AB0"/>
    <w:rsid w:val="00F301AD"/>
    <w:rsid w:val="00F314CD"/>
    <w:rsid w:val="00F3190F"/>
    <w:rsid w:val="00F31D98"/>
    <w:rsid w:val="00F31E3F"/>
    <w:rsid w:val="00F31FEC"/>
    <w:rsid w:val="00F323F0"/>
    <w:rsid w:val="00F3250E"/>
    <w:rsid w:val="00F32774"/>
    <w:rsid w:val="00F32AF9"/>
    <w:rsid w:val="00F32D52"/>
    <w:rsid w:val="00F332DF"/>
    <w:rsid w:val="00F33563"/>
    <w:rsid w:val="00F33D22"/>
    <w:rsid w:val="00F3466B"/>
    <w:rsid w:val="00F346DF"/>
    <w:rsid w:val="00F34A5F"/>
    <w:rsid w:val="00F34B17"/>
    <w:rsid w:val="00F34E32"/>
    <w:rsid w:val="00F34F38"/>
    <w:rsid w:val="00F3569D"/>
    <w:rsid w:val="00F3588F"/>
    <w:rsid w:val="00F35AFE"/>
    <w:rsid w:val="00F35B31"/>
    <w:rsid w:val="00F366E1"/>
    <w:rsid w:val="00F36FE5"/>
    <w:rsid w:val="00F40549"/>
    <w:rsid w:val="00F40C2C"/>
    <w:rsid w:val="00F41028"/>
    <w:rsid w:val="00F41054"/>
    <w:rsid w:val="00F412E3"/>
    <w:rsid w:val="00F417B4"/>
    <w:rsid w:val="00F41B48"/>
    <w:rsid w:val="00F42729"/>
    <w:rsid w:val="00F42B84"/>
    <w:rsid w:val="00F4323A"/>
    <w:rsid w:val="00F436CD"/>
    <w:rsid w:val="00F43743"/>
    <w:rsid w:val="00F44B25"/>
    <w:rsid w:val="00F45456"/>
    <w:rsid w:val="00F45837"/>
    <w:rsid w:val="00F45BCC"/>
    <w:rsid w:val="00F461C1"/>
    <w:rsid w:val="00F47105"/>
    <w:rsid w:val="00F476F3"/>
    <w:rsid w:val="00F50B66"/>
    <w:rsid w:val="00F51265"/>
    <w:rsid w:val="00F5186B"/>
    <w:rsid w:val="00F522E7"/>
    <w:rsid w:val="00F52694"/>
    <w:rsid w:val="00F52ADA"/>
    <w:rsid w:val="00F53827"/>
    <w:rsid w:val="00F53925"/>
    <w:rsid w:val="00F53A7C"/>
    <w:rsid w:val="00F548AF"/>
    <w:rsid w:val="00F54E3F"/>
    <w:rsid w:val="00F55267"/>
    <w:rsid w:val="00F56558"/>
    <w:rsid w:val="00F56E23"/>
    <w:rsid w:val="00F574E5"/>
    <w:rsid w:val="00F5752C"/>
    <w:rsid w:val="00F57743"/>
    <w:rsid w:val="00F579FA"/>
    <w:rsid w:val="00F60005"/>
    <w:rsid w:val="00F60DE5"/>
    <w:rsid w:val="00F61158"/>
    <w:rsid w:val="00F6141E"/>
    <w:rsid w:val="00F61D13"/>
    <w:rsid w:val="00F62103"/>
    <w:rsid w:val="00F633DB"/>
    <w:rsid w:val="00F634A8"/>
    <w:rsid w:val="00F6384D"/>
    <w:rsid w:val="00F63956"/>
    <w:rsid w:val="00F642B6"/>
    <w:rsid w:val="00F64F07"/>
    <w:rsid w:val="00F6533C"/>
    <w:rsid w:val="00F65439"/>
    <w:rsid w:val="00F65CB6"/>
    <w:rsid w:val="00F65ED8"/>
    <w:rsid w:val="00F66753"/>
    <w:rsid w:val="00F66BD0"/>
    <w:rsid w:val="00F66C59"/>
    <w:rsid w:val="00F66DBA"/>
    <w:rsid w:val="00F66E51"/>
    <w:rsid w:val="00F6734F"/>
    <w:rsid w:val="00F70094"/>
    <w:rsid w:val="00F70504"/>
    <w:rsid w:val="00F70512"/>
    <w:rsid w:val="00F70611"/>
    <w:rsid w:val="00F70808"/>
    <w:rsid w:val="00F70EC1"/>
    <w:rsid w:val="00F7127E"/>
    <w:rsid w:val="00F71D5B"/>
    <w:rsid w:val="00F726F0"/>
    <w:rsid w:val="00F72C6B"/>
    <w:rsid w:val="00F72DCE"/>
    <w:rsid w:val="00F731A2"/>
    <w:rsid w:val="00F73D32"/>
    <w:rsid w:val="00F73D9F"/>
    <w:rsid w:val="00F741DA"/>
    <w:rsid w:val="00F74DF3"/>
    <w:rsid w:val="00F74E46"/>
    <w:rsid w:val="00F74F6E"/>
    <w:rsid w:val="00F75335"/>
    <w:rsid w:val="00F758B3"/>
    <w:rsid w:val="00F758DC"/>
    <w:rsid w:val="00F75E4D"/>
    <w:rsid w:val="00F75FD3"/>
    <w:rsid w:val="00F76B04"/>
    <w:rsid w:val="00F76B61"/>
    <w:rsid w:val="00F76B6D"/>
    <w:rsid w:val="00F777F0"/>
    <w:rsid w:val="00F779F7"/>
    <w:rsid w:val="00F80463"/>
    <w:rsid w:val="00F80472"/>
    <w:rsid w:val="00F814DE"/>
    <w:rsid w:val="00F81EEE"/>
    <w:rsid w:val="00F82542"/>
    <w:rsid w:val="00F82E5A"/>
    <w:rsid w:val="00F836F8"/>
    <w:rsid w:val="00F84F0D"/>
    <w:rsid w:val="00F85350"/>
    <w:rsid w:val="00F85890"/>
    <w:rsid w:val="00F85A47"/>
    <w:rsid w:val="00F85C88"/>
    <w:rsid w:val="00F861C2"/>
    <w:rsid w:val="00F865BA"/>
    <w:rsid w:val="00F86CC8"/>
    <w:rsid w:val="00F86D3B"/>
    <w:rsid w:val="00F87D16"/>
    <w:rsid w:val="00F87DB5"/>
    <w:rsid w:val="00F9015A"/>
    <w:rsid w:val="00F903E0"/>
    <w:rsid w:val="00F90512"/>
    <w:rsid w:val="00F90F99"/>
    <w:rsid w:val="00F915D6"/>
    <w:rsid w:val="00F92F1B"/>
    <w:rsid w:val="00F9337E"/>
    <w:rsid w:val="00F9346E"/>
    <w:rsid w:val="00F93611"/>
    <w:rsid w:val="00F93631"/>
    <w:rsid w:val="00F93A74"/>
    <w:rsid w:val="00F94045"/>
    <w:rsid w:val="00F94745"/>
    <w:rsid w:val="00F9489F"/>
    <w:rsid w:val="00F95985"/>
    <w:rsid w:val="00F95AF6"/>
    <w:rsid w:val="00F9611F"/>
    <w:rsid w:val="00F962E6"/>
    <w:rsid w:val="00F964B7"/>
    <w:rsid w:val="00F9673A"/>
    <w:rsid w:val="00F96A68"/>
    <w:rsid w:val="00F975C3"/>
    <w:rsid w:val="00FA0494"/>
    <w:rsid w:val="00FA084A"/>
    <w:rsid w:val="00FA11BE"/>
    <w:rsid w:val="00FA173A"/>
    <w:rsid w:val="00FA1BA1"/>
    <w:rsid w:val="00FA1C84"/>
    <w:rsid w:val="00FA2D3E"/>
    <w:rsid w:val="00FA3778"/>
    <w:rsid w:val="00FA4862"/>
    <w:rsid w:val="00FA4A3C"/>
    <w:rsid w:val="00FA51DC"/>
    <w:rsid w:val="00FA538A"/>
    <w:rsid w:val="00FA5648"/>
    <w:rsid w:val="00FA5C8B"/>
    <w:rsid w:val="00FA6820"/>
    <w:rsid w:val="00FA6BB4"/>
    <w:rsid w:val="00FA7029"/>
    <w:rsid w:val="00FA7371"/>
    <w:rsid w:val="00FA7BE7"/>
    <w:rsid w:val="00FB01C4"/>
    <w:rsid w:val="00FB026B"/>
    <w:rsid w:val="00FB0843"/>
    <w:rsid w:val="00FB10D3"/>
    <w:rsid w:val="00FB1461"/>
    <w:rsid w:val="00FB15E3"/>
    <w:rsid w:val="00FB167A"/>
    <w:rsid w:val="00FB24EC"/>
    <w:rsid w:val="00FB2513"/>
    <w:rsid w:val="00FB2DFC"/>
    <w:rsid w:val="00FB321E"/>
    <w:rsid w:val="00FB35D7"/>
    <w:rsid w:val="00FB3B9C"/>
    <w:rsid w:val="00FB431B"/>
    <w:rsid w:val="00FB4414"/>
    <w:rsid w:val="00FB47CD"/>
    <w:rsid w:val="00FB4868"/>
    <w:rsid w:val="00FB5442"/>
    <w:rsid w:val="00FB5A14"/>
    <w:rsid w:val="00FB5CE7"/>
    <w:rsid w:val="00FB6269"/>
    <w:rsid w:val="00FB6C24"/>
    <w:rsid w:val="00FB6CA3"/>
    <w:rsid w:val="00FB6D23"/>
    <w:rsid w:val="00FB73F3"/>
    <w:rsid w:val="00FB7409"/>
    <w:rsid w:val="00FB7709"/>
    <w:rsid w:val="00FC0FE9"/>
    <w:rsid w:val="00FC1355"/>
    <w:rsid w:val="00FC1486"/>
    <w:rsid w:val="00FC15EE"/>
    <w:rsid w:val="00FC1998"/>
    <w:rsid w:val="00FC1ADF"/>
    <w:rsid w:val="00FC1C5C"/>
    <w:rsid w:val="00FC24FE"/>
    <w:rsid w:val="00FC285D"/>
    <w:rsid w:val="00FC2A5B"/>
    <w:rsid w:val="00FC2D5A"/>
    <w:rsid w:val="00FC3001"/>
    <w:rsid w:val="00FC3F33"/>
    <w:rsid w:val="00FC4582"/>
    <w:rsid w:val="00FC4984"/>
    <w:rsid w:val="00FC4A89"/>
    <w:rsid w:val="00FC4C78"/>
    <w:rsid w:val="00FC557C"/>
    <w:rsid w:val="00FC57DD"/>
    <w:rsid w:val="00FC585B"/>
    <w:rsid w:val="00FC591D"/>
    <w:rsid w:val="00FC5EC9"/>
    <w:rsid w:val="00FC6571"/>
    <w:rsid w:val="00FC6F43"/>
    <w:rsid w:val="00FC737C"/>
    <w:rsid w:val="00FC75BF"/>
    <w:rsid w:val="00FC79A8"/>
    <w:rsid w:val="00FD0F41"/>
    <w:rsid w:val="00FD0FD3"/>
    <w:rsid w:val="00FD1188"/>
    <w:rsid w:val="00FD146B"/>
    <w:rsid w:val="00FD19A3"/>
    <w:rsid w:val="00FD1B25"/>
    <w:rsid w:val="00FD216D"/>
    <w:rsid w:val="00FD23CC"/>
    <w:rsid w:val="00FD2457"/>
    <w:rsid w:val="00FD29FE"/>
    <w:rsid w:val="00FD2DB2"/>
    <w:rsid w:val="00FD2DBF"/>
    <w:rsid w:val="00FD358C"/>
    <w:rsid w:val="00FD3BDF"/>
    <w:rsid w:val="00FD3D55"/>
    <w:rsid w:val="00FD45A4"/>
    <w:rsid w:val="00FD46AA"/>
    <w:rsid w:val="00FD48B8"/>
    <w:rsid w:val="00FD4C3B"/>
    <w:rsid w:val="00FD510E"/>
    <w:rsid w:val="00FD5280"/>
    <w:rsid w:val="00FD5492"/>
    <w:rsid w:val="00FD5F2E"/>
    <w:rsid w:val="00FD6134"/>
    <w:rsid w:val="00FD61D1"/>
    <w:rsid w:val="00FD634B"/>
    <w:rsid w:val="00FD66B7"/>
    <w:rsid w:val="00FD6953"/>
    <w:rsid w:val="00FD6C77"/>
    <w:rsid w:val="00FD6FFD"/>
    <w:rsid w:val="00FD75E7"/>
    <w:rsid w:val="00FE0679"/>
    <w:rsid w:val="00FE06CE"/>
    <w:rsid w:val="00FE0996"/>
    <w:rsid w:val="00FE0DFA"/>
    <w:rsid w:val="00FE0FA4"/>
    <w:rsid w:val="00FE1293"/>
    <w:rsid w:val="00FE1A47"/>
    <w:rsid w:val="00FE1F6C"/>
    <w:rsid w:val="00FE2F1E"/>
    <w:rsid w:val="00FE3041"/>
    <w:rsid w:val="00FE3081"/>
    <w:rsid w:val="00FE31FC"/>
    <w:rsid w:val="00FE47EB"/>
    <w:rsid w:val="00FE4B40"/>
    <w:rsid w:val="00FE506D"/>
    <w:rsid w:val="00FE550A"/>
    <w:rsid w:val="00FE5939"/>
    <w:rsid w:val="00FE5ACA"/>
    <w:rsid w:val="00FE6DF1"/>
    <w:rsid w:val="00FF00B4"/>
    <w:rsid w:val="00FF040D"/>
    <w:rsid w:val="00FF08D5"/>
    <w:rsid w:val="00FF0A51"/>
    <w:rsid w:val="00FF0ED6"/>
    <w:rsid w:val="00FF0F9A"/>
    <w:rsid w:val="00FF15CF"/>
    <w:rsid w:val="00FF1782"/>
    <w:rsid w:val="00FF17D3"/>
    <w:rsid w:val="00FF1A9F"/>
    <w:rsid w:val="00FF2269"/>
    <w:rsid w:val="00FF252A"/>
    <w:rsid w:val="00FF3081"/>
    <w:rsid w:val="00FF3132"/>
    <w:rsid w:val="00FF31C9"/>
    <w:rsid w:val="00FF3795"/>
    <w:rsid w:val="00FF462C"/>
    <w:rsid w:val="00FF4937"/>
    <w:rsid w:val="00FF55F7"/>
    <w:rsid w:val="00FF56CD"/>
    <w:rsid w:val="00FF597D"/>
    <w:rsid w:val="00FF5F37"/>
    <w:rsid w:val="00FF6281"/>
    <w:rsid w:val="00FF6A16"/>
    <w:rsid w:val="00FF6A6C"/>
    <w:rsid w:val="00FF71C8"/>
    <w:rsid w:val="00FF7427"/>
    <w:rsid w:val="00FF7BD8"/>
    <w:rsid w:val="2E7FABC9"/>
    <w:rsid w:val="49CCC200"/>
    <w:rsid w:val="6BF9205F"/>
    <w:rsid w:val="6F67FBD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4BD32"/>
  <w15:docId w15:val="{A28A0B27-3926-4BA2-947F-A411D4A1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AU" w:eastAsia="en-AU" w:bidi="ar-SA"/>
      </w:rPr>
    </w:rPrDefault>
    <w:pPrDefault>
      <w:pPr>
        <w:spacing w:before="24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803"/>
    <w:pPr>
      <w:jc w:val="both"/>
    </w:pPr>
  </w:style>
  <w:style w:type="paragraph" w:styleId="Heading1">
    <w:name w:val="heading 1"/>
    <w:basedOn w:val="Normal"/>
    <w:next w:val="Normal"/>
    <w:link w:val="Heading1Char"/>
    <w:qFormat/>
    <w:rsid w:val="00213F43"/>
    <w:pPr>
      <w:keepNext/>
      <w:pageBreakBefore/>
      <w:numPr>
        <w:numId w:val="6"/>
      </w:numPr>
      <w:tabs>
        <w:tab w:val="left" w:pos="709"/>
      </w:tabs>
      <w:spacing w:before="0" w:after="240"/>
      <w:outlineLvl w:val="0"/>
    </w:pPr>
    <w:rPr>
      <w:rFonts w:eastAsia="Calibri" w:cstheme="majorBidi"/>
      <w:b/>
      <w:color w:val="172983"/>
      <w:sz w:val="40"/>
      <w:szCs w:val="40"/>
    </w:rPr>
  </w:style>
  <w:style w:type="paragraph" w:styleId="Heading2">
    <w:name w:val="heading 2"/>
    <w:basedOn w:val="Normal"/>
    <w:next w:val="Normal"/>
    <w:link w:val="Heading2Char"/>
    <w:qFormat/>
    <w:rsid w:val="00094ACD"/>
    <w:pPr>
      <w:keepNext/>
      <w:numPr>
        <w:ilvl w:val="1"/>
        <w:numId w:val="6"/>
      </w:numPr>
      <w:spacing w:before="600" w:after="240"/>
      <w:outlineLvl w:val="1"/>
    </w:pPr>
    <w:rPr>
      <w:rFonts w:eastAsia="Calibri" w:cstheme="majorBidi"/>
      <w:b/>
      <w:color w:val="172983"/>
      <w:sz w:val="36"/>
      <w:szCs w:val="36"/>
    </w:rPr>
  </w:style>
  <w:style w:type="paragraph" w:styleId="Heading3">
    <w:name w:val="heading 3"/>
    <w:basedOn w:val="Normal"/>
    <w:next w:val="Normal"/>
    <w:link w:val="Heading3Char"/>
    <w:qFormat/>
    <w:rsid w:val="006F0B65"/>
    <w:pPr>
      <w:keepNext/>
      <w:overflowPunct w:val="0"/>
      <w:adjustRightInd w:val="0"/>
      <w:spacing w:before="480" w:after="240"/>
      <w:textAlignment w:val="baseline"/>
      <w:outlineLvl w:val="2"/>
    </w:pPr>
    <w:rPr>
      <w:b/>
      <w:color w:val="172983"/>
      <w:sz w:val="32"/>
      <w:szCs w:val="32"/>
    </w:rPr>
  </w:style>
  <w:style w:type="paragraph" w:styleId="Heading4">
    <w:name w:val="heading 4"/>
    <w:basedOn w:val="Normal"/>
    <w:next w:val="Normal"/>
    <w:link w:val="Heading4Char"/>
    <w:qFormat/>
    <w:rsid w:val="006F0B65"/>
    <w:pPr>
      <w:keepNext/>
      <w:spacing w:before="360" w:after="240"/>
      <w:outlineLvl w:val="3"/>
    </w:pPr>
    <w:rPr>
      <w:b/>
      <w:bCs/>
      <w:i/>
      <w:color w:val="172983"/>
      <w:sz w:val="28"/>
      <w:szCs w:val="28"/>
    </w:rPr>
  </w:style>
  <w:style w:type="paragraph" w:styleId="Heading5">
    <w:name w:val="heading 5"/>
    <w:basedOn w:val="Normal"/>
    <w:next w:val="Normal"/>
    <w:link w:val="Heading5Char"/>
    <w:qFormat/>
    <w:rsid w:val="005C4D82"/>
    <w:pPr>
      <w:spacing w:before="360" w:after="240"/>
      <w:outlineLvl w:val="4"/>
    </w:pPr>
    <w:rPr>
      <w:i/>
      <w:color w:val="172983"/>
      <w:sz w:val="26"/>
      <w:szCs w:val="26"/>
    </w:rPr>
  </w:style>
  <w:style w:type="paragraph" w:styleId="Heading6">
    <w:name w:val="heading 6"/>
    <w:basedOn w:val="Normal"/>
    <w:next w:val="Normal"/>
    <w:link w:val="Heading6Char"/>
    <w:uiPriority w:val="9"/>
    <w:qFormat/>
    <w:rsid w:val="001841F4"/>
    <w:pPr>
      <w:tabs>
        <w:tab w:val="left" w:pos="0"/>
      </w:tabs>
      <w:spacing w:before="3000"/>
      <w:outlineLvl w:val="5"/>
    </w:pPr>
    <w:rPr>
      <w:b/>
      <w:color w:val="172983"/>
      <w:sz w:val="40"/>
      <w:szCs w:val="40"/>
    </w:rPr>
  </w:style>
  <w:style w:type="paragraph" w:styleId="Heading7">
    <w:name w:val="heading 7"/>
    <w:basedOn w:val="ListParagraph"/>
    <w:next w:val="Normal"/>
    <w:link w:val="Heading7Char"/>
    <w:uiPriority w:val="9"/>
    <w:qFormat/>
    <w:rsid w:val="004F7AD4"/>
    <w:pPr>
      <w:spacing w:before="0" w:after="240"/>
      <w:ind w:left="0"/>
      <w:outlineLvl w:val="6"/>
    </w:pPr>
    <w:rPr>
      <w:b/>
      <w:color w:val="172983"/>
      <w:sz w:val="36"/>
      <w:szCs w:val="36"/>
    </w:rPr>
  </w:style>
  <w:style w:type="paragraph" w:styleId="Heading8">
    <w:name w:val="heading 8"/>
    <w:basedOn w:val="ListParagraph"/>
    <w:next w:val="Normal"/>
    <w:link w:val="Heading8Char"/>
    <w:uiPriority w:val="9"/>
    <w:qFormat/>
    <w:rsid w:val="004F7AD4"/>
    <w:pPr>
      <w:spacing w:before="480" w:after="240"/>
      <w:ind w:left="0"/>
      <w:outlineLvl w:val="7"/>
    </w:pPr>
    <w:rPr>
      <w:b/>
      <w:color w:val="172983"/>
      <w:sz w:val="28"/>
      <w:szCs w:val="28"/>
    </w:rPr>
  </w:style>
  <w:style w:type="paragraph" w:styleId="Heading9">
    <w:name w:val="heading 9"/>
    <w:basedOn w:val="Normal"/>
    <w:next w:val="Normal"/>
    <w:link w:val="Heading9Char"/>
    <w:qFormat/>
    <w:rsid w:val="004F7AD4"/>
    <w:pPr>
      <w:spacing w:before="360" w:after="240"/>
      <w:outlineLvl w:val="8"/>
    </w:pPr>
    <w:rPr>
      <w:i/>
      <w:color w:val="172983"/>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C12273"/>
    <w:pPr>
      <w:tabs>
        <w:tab w:val="center" w:pos="4513"/>
        <w:tab w:val="right" w:pos="9026"/>
      </w:tabs>
      <w:spacing w:before="0"/>
    </w:pPr>
  </w:style>
  <w:style w:type="character" w:customStyle="1" w:styleId="HeaderChar">
    <w:name w:val="Header Char"/>
    <w:basedOn w:val="DefaultParagraphFont"/>
    <w:link w:val="Header"/>
    <w:rsid w:val="00C12273"/>
  </w:style>
  <w:style w:type="character" w:customStyle="1" w:styleId="Heading2Char">
    <w:name w:val="Heading 2 Char"/>
    <w:link w:val="Heading2"/>
    <w:rsid w:val="00094ACD"/>
    <w:rPr>
      <w:rFonts w:eastAsia="Calibri" w:cstheme="majorBidi"/>
      <w:b/>
      <w:color w:val="172983"/>
      <w:sz w:val="36"/>
      <w:szCs w:val="36"/>
    </w:rPr>
  </w:style>
  <w:style w:type="character" w:customStyle="1" w:styleId="Heading1Char">
    <w:name w:val="Heading 1 Char"/>
    <w:link w:val="Heading1"/>
    <w:rsid w:val="00213F43"/>
    <w:rPr>
      <w:rFonts w:eastAsia="Calibri" w:cstheme="majorBidi"/>
      <w:b/>
      <w:color w:val="172983"/>
      <w:sz w:val="40"/>
      <w:szCs w:val="40"/>
    </w:rPr>
  </w:style>
  <w:style w:type="paragraph" w:styleId="FootnoteText">
    <w:name w:val="footnote text"/>
    <w:basedOn w:val="Normal"/>
    <w:link w:val="FootnoteTextChar"/>
    <w:uiPriority w:val="99"/>
    <w:unhideWhenUsed/>
    <w:qFormat/>
    <w:rsid w:val="00413C49"/>
    <w:pPr>
      <w:tabs>
        <w:tab w:val="left" w:pos="426"/>
      </w:tabs>
      <w:spacing w:before="120"/>
      <w:ind w:left="425" w:hanging="425"/>
    </w:pPr>
    <w:rPr>
      <w:sz w:val="20"/>
    </w:rPr>
  </w:style>
  <w:style w:type="character" w:customStyle="1" w:styleId="FootnoteTextChar">
    <w:name w:val="Footnote Text Char"/>
    <w:basedOn w:val="DefaultParagraphFont"/>
    <w:link w:val="FootnoteText"/>
    <w:uiPriority w:val="99"/>
    <w:rsid w:val="00413C49"/>
    <w:rPr>
      <w:sz w:val="20"/>
    </w:rPr>
  </w:style>
  <w:style w:type="character" w:customStyle="1" w:styleId="Heading6Char">
    <w:name w:val="Heading 6 Char"/>
    <w:link w:val="Heading6"/>
    <w:uiPriority w:val="9"/>
    <w:rsid w:val="001841F4"/>
    <w:rPr>
      <w:b/>
      <w:color w:val="172983"/>
      <w:sz w:val="40"/>
      <w:szCs w:val="40"/>
    </w:rPr>
  </w:style>
  <w:style w:type="character" w:customStyle="1" w:styleId="Heading7Char">
    <w:name w:val="Heading 7 Char"/>
    <w:link w:val="Heading7"/>
    <w:uiPriority w:val="9"/>
    <w:rsid w:val="004F7AD4"/>
    <w:rPr>
      <w:b/>
      <w:color w:val="172983"/>
      <w:sz w:val="36"/>
      <w:szCs w:val="36"/>
      <w:lang w:val="en-US"/>
    </w:rPr>
  </w:style>
  <w:style w:type="character" w:customStyle="1" w:styleId="Heading3Char">
    <w:name w:val="Heading 3 Char"/>
    <w:link w:val="Heading3"/>
    <w:rsid w:val="006F0B65"/>
    <w:rPr>
      <w:b/>
      <w:color w:val="172983"/>
      <w:sz w:val="32"/>
      <w:szCs w:val="32"/>
      <w:lang w:val="en-US"/>
    </w:rPr>
  </w:style>
  <w:style w:type="character" w:customStyle="1" w:styleId="Heading4Char">
    <w:name w:val="Heading 4 Char"/>
    <w:link w:val="Heading4"/>
    <w:rsid w:val="006F0B65"/>
    <w:rPr>
      <w:b/>
      <w:bCs/>
      <w:i/>
      <w:color w:val="172983"/>
      <w:sz w:val="28"/>
      <w:szCs w:val="28"/>
      <w:lang w:val="en-US"/>
    </w:rPr>
  </w:style>
  <w:style w:type="character" w:customStyle="1" w:styleId="Heading5Char">
    <w:name w:val="Heading 5 Char"/>
    <w:basedOn w:val="DefaultParagraphFont"/>
    <w:link w:val="Heading5"/>
    <w:rsid w:val="005C4D82"/>
    <w:rPr>
      <w:i/>
      <w:color w:val="172983"/>
      <w:sz w:val="26"/>
      <w:szCs w:val="26"/>
    </w:rPr>
  </w:style>
  <w:style w:type="character" w:customStyle="1" w:styleId="Heading8Char">
    <w:name w:val="Heading 8 Char"/>
    <w:basedOn w:val="DefaultParagraphFont"/>
    <w:link w:val="Heading8"/>
    <w:uiPriority w:val="9"/>
    <w:rsid w:val="004F7AD4"/>
    <w:rPr>
      <w:b/>
      <w:color w:val="172983"/>
      <w:sz w:val="28"/>
      <w:szCs w:val="28"/>
      <w:lang w:val="en-US"/>
    </w:rPr>
  </w:style>
  <w:style w:type="character" w:styleId="FootnoteReference">
    <w:name w:val="footnote reference"/>
    <w:uiPriority w:val="99"/>
    <w:semiHidden/>
    <w:qFormat/>
    <w:rsid w:val="00E61BA1"/>
    <w:rPr>
      <w:vertAlign w:val="superscript"/>
    </w:rPr>
  </w:style>
  <w:style w:type="paragraph" w:styleId="NormalWeb">
    <w:name w:val="Normal (Web)"/>
    <w:basedOn w:val="Normal"/>
    <w:unhideWhenUsed/>
    <w:rsid w:val="00AD7BA9"/>
    <w:rPr>
      <w:rFonts w:ascii="Times New Roman" w:hAnsi="Times New Roman"/>
      <w:sz w:val="24"/>
      <w:szCs w:val="24"/>
    </w:rPr>
  </w:style>
  <w:style w:type="paragraph" w:styleId="ListBullet2">
    <w:name w:val="List Bullet 2"/>
    <w:basedOn w:val="ListParagraph"/>
    <w:unhideWhenUsed/>
    <w:qFormat/>
    <w:rsid w:val="008604FA"/>
    <w:pPr>
      <w:numPr>
        <w:ilvl w:val="1"/>
        <w:numId w:val="8"/>
      </w:numPr>
      <w:spacing w:before="120"/>
      <w:ind w:left="851" w:hanging="425"/>
      <w:contextualSpacing w:val="0"/>
    </w:pPr>
  </w:style>
  <w:style w:type="paragraph" w:styleId="ListBullet">
    <w:name w:val="List Bullet"/>
    <w:basedOn w:val="ListParagraph"/>
    <w:unhideWhenUsed/>
    <w:qFormat/>
    <w:rsid w:val="00572532"/>
    <w:pPr>
      <w:numPr>
        <w:numId w:val="27"/>
      </w:numPr>
      <w:spacing w:before="120" w:after="120"/>
    </w:pPr>
  </w:style>
  <w:style w:type="paragraph" w:styleId="ListBullet3">
    <w:name w:val="List Bullet 3"/>
    <w:basedOn w:val="ListBullet2"/>
    <w:qFormat/>
    <w:rsid w:val="008604FA"/>
    <w:pPr>
      <w:numPr>
        <w:ilvl w:val="2"/>
      </w:numPr>
      <w:ind w:left="1276" w:hanging="425"/>
    </w:pPr>
  </w:style>
  <w:style w:type="paragraph" w:styleId="ListBullet4">
    <w:name w:val="List Bullet 4"/>
    <w:basedOn w:val="Normal"/>
    <w:rsid w:val="00AD7BA9"/>
    <w:pPr>
      <w:numPr>
        <w:numId w:val="2"/>
      </w:numPr>
      <w:contextualSpacing/>
    </w:pPr>
  </w:style>
  <w:style w:type="paragraph" w:styleId="ListBullet5">
    <w:name w:val="List Bullet 5"/>
    <w:basedOn w:val="Normal"/>
    <w:rsid w:val="00AD7BA9"/>
    <w:pPr>
      <w:numPr>
        <w:numId w:val="1"/>
      </w:numPr>
      <w:contextualSpacing/>
    </w:pPr>
  </w:style>
  <w:style w:type="paragraph" w:styleId="BodyText2">
    <w:name w:val="Body Text 2"/>
    <w:basedOn w:val="Normal"/>
    <w:link w:val="BodyText2Char"/>
    <w:rsid w:val="00AD7BA9"/>
    <w:pPr>
      <w:spacing w:after="120" w:line="480" w:lineRule="auto"/>
    </w:pPr>
  </w:style>
  <w:style w:type="character" w:customStyle="1" w:styleId="BodyText2Char">
    <w:name w:val="Body Text 2 Char"/>
    <w:basedOn w:val="DefaultParagraphFont"/>
    <w:link w:val="BodyText2"/>
    <w:rsid w:val="00AD7BA9"/>
  </w:style>
  <w:style w:type="paragraph" w:styleId="BodyText">
    <w:name w:val="Body Text"/>
    <w:basedOn w:val="Normal"/>
    <w:link w:val="BodyTextChar"/>
    <w:rsid w:val="00AD7BA9"/>
    <w:pPr>
      <w:spacing w:after="120"/>
    </w:pPr>
  </w:style>
  <w:style w:type="character" w:customStyle="1" w:styleId="BodyTextChar">
    <w:name w:val="Body Text Char"/>
    <w:basedOn w:val="DefaultParagraphFont"/>
    <w:link w:val="BodyText"/>
    <w:rsid w:val="00AD7BA9"/>
  </w:style>
  <w:style w:type="paragraph" w:styleId="BodyTextFirstIndent">
    <w:name w:val="Body Text First Indent"/>
    <w:basedOn w:val="BodyText"/>
    <w:link w:val="BodyTextFirstIndentChar"/>
    <w:rsid w:val="00AD7BA9"/>
    <w:pPr>
      <w:spacing w:after="0"/>
      <w:ind w:firstLine="360"/>
    </w:pPr>
  </w:style>
  <w:style w:type="character" w:customStyle="1" w:styleId="BodyTextFirstIndentChar">
    <w:name w:val="Body Text First Indent Char"/>
    <w:basedOn w:val="BodyTextChar"/>
    <w:link w:val="BodyTextFirstIndent"/>
    <w:rsid w:val="00AD7BA9"/>
  </w:style>
  <w:style w:type="paragraph" w:styleId="BodyText3">
    <w:name w:val="Body Text 3"/>
    <w:basedOn w:val="Normal"/>
    <w:link w:val="BodyText3Char"/>
    <w:rsid w:val="00AD7BA9"/>
    <w:pPr>
      <w:spacing w:after="120"/>
    </w:pPr>
    <w:rPr>
      <w:sz w:val="16"/>
      <w:szCs w:val="16"/>
    </w:rPr>
  </w:style>
  <w:style w:type="character" w:customStyle="1" w:styleId="BodyText3Char">
    <w:name w:val="Body Text 3 Char"/>
    <w:basedOn w:val="DefaultParagraphFont"/>
    <w:link w:val="BodyText3"/>
    <w:rsid w:val="00AD7BA9"/>
    <w:rPr>
      <w:sz w:val="16"/>
      <w:szCs w:val="16"/>
    </w:rPr>
  </w:style>
  <w:style w:type="paragraph" w:styleId="BlockText">
    <w:name w:val="Block Text"/>
    <w:basedOn w:val="Normal"/>
    <w:rsid w:val="00AD7BA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Footer">
    <w:name w:val="footer"/>
    <w:basedOn w:val="Normal"/>
    <w:link w:val="FooterChar"/>
    <w:unhideWhenUsed/>
    <w:qFormat/>
    <w:rsid w:val="00133589"/>
    <w:pPr>
      <w:tabs>
        <w:tab w:val="right" w:pos="9072"/>
      </w:tabs>
      <w:spacing w:before="0"/>
    </w:pPr>
  </w:style>
  <w:style w:type="character" w:customStyle="1" w:styleId="FooterChar">
    <w:name w:val="Footer Char"/>
    <w:basedOn w:val="DefaultParagraphFont"/>
    <w:link w:val="Footer"/>
    <w:rsid w:val="00133589"/>
  </w:style>
  <w:style w:type="character" w:styleId="Emphasis">
    <w:name w:val="Emphasis"/>
    <w:basedOn w:val="DefaultParagraphFont"/>
    <w:qFormat/>
    <w:rsid w:val="00A3245F"/>
    <w:rPr>
      <w:i/>
      <w:iCs/>
    </w:rPr>
  </w:style>
  <w:style w:type="paragraph" w:customStyle="1" w:styleId="Cover-ClientName">
    <w:name w:val="Cover - Client Name"/>
    <w:basedOn w:val="Normal"/>
    <w:qFormat/>
    <w:rsid w:val="006D4B1C"/>
    <w:pPr>
      <w:spacing w:before="3000"/>
    </w:pPr>
    <w:rPr>
      <w:b/>
      <w:color w:val="172983"/>
      <w:spacing w:val="10"/>
      <w:sz w:val="44"/>
      <w:szCs w:val="44"/>
    </w:rPr>
  </w:style>
  <w:style w:type="paragraph" w:customStyle="1" w:styleId="Cover-ProjectName">
    <w:name w:val="Cover - Project Name"/>
    <w:basedOn w:val="Normal"/>
    <w:qFormat/>
    <w:rsid w:val="006D4B1C"/>
    <w:pPr>
      <w:spacing w:before="1320"/>
    </w:pPr>
    <w:rPr>
      <w:b/>
      <w:color w:val="172983"/>
      <w:sz w:val="44"/>
      <w:szCs w:val="44"/>
    </w:rPr>
  </w:style>
  <w:style w:type="paragraph" w:styleId="BalloonText">
    <w:name w:val="Balloon Text"/>
    <w:basedOn w:val="Normal"/>
    <w:link w:val="BalloonTextChar"/>
    <w:uiPriority w:val="99"/>
    <w:semiHidden/>
    <w:unhideWhenUsed/>
    <w:rsid w:val="004E241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41C"/>
    <w:rPr>
      <w:rFonts w:ascii="Tahoma" w:hAnsi="Tahoma" w:cs="Tahoma"/>
      <w:sz w:val="16"/>
      <w:szCs w:val="16"/>
    </w:rPr>
  </w:style>
  <w:style w:type="character" w:styleId="Hyperlink">
    <w:name w:val="Hyperlink"/>
    <w:basedOn w:val="DefaultParagraphFont"/>
    <w:uiPriority w:val="99"/>
    <w:unhideWhenUsed/>
    <w:rsid w:val="004E241C"/>
    <w:rPr>
      <w:color w:val="0000FF" w:themeColor="hyperlink"/>
      <w:u w:val="single"/>
    </w:rPr>
  </w:style>
  <w:style w:type="paragraph" w:customStyle="1" w:styleId="Footnotebullet">
    <w:name w:val="Footnote bullet"/>
    <w:basedOn w:val="Normal"/>
    <w:qFormat/>
    <w:rsid w:val="00413C49"/>
    <w:pPr>
      <w:numPr>
        <w:numId w:val="3"/>
      </w:numPr>
      <w:tabs>
        <w:tab w:val="left" w:pos="851"/>
      </w:tabs>
      <w:spacing w:before="120"/>
      <w:ind w:left="851" w:hanging="425"/>
    </w:pPr>
    <w:rPr>
      <w:sz w:val="20"/>
      <w:szCs w:val="20"/>
    </w:rPr>
  </w:style>
  <w:style w:type="paragraph" w:styleId="TOC2">
    <w:name w:val="toc 2"/>
    <w:basedOn w:val="Normal"/>
    <w:next w:val="Normal"/>
    <w:autoRedefine/>
    <w:uiPriority w:val="39"/>
    <w:unhideWhenUsed/>
    <w:qFormat/>
    <w:rsid w:val="000E2AF7"/>
    <w:pPr>
      <w:tabs>
        <w:tab w:val="left" w:pos="851"/>
        <w:tab w:val="right" w:leader="dot" w:pos="8789"/>
      </w:tabs>
      <w:spacing w:before="120"/>
      <w:ind w:left="850" w:right="544" w:hanging="425"/>
    </w:pPr>
    <w:rPr>
      <w:noProof/>
      <w:color w:val="172983"/>
      <w:sz w:val="24"/>
      <w:szCs w:val="24"/>
    </w:rPr>
  </w:style>
  <w:style w:type="character" w:styleId="Strong">
    <w:name w:val="Strong"/>
    <w:basedOn w:val="DefaultParagraphFont"/>
    <w:uiPriority w:val="22"/>
    <w:qFormat/>
    <w:rsid w:val="001C56C4"/>
    <w:rPr>
      <w:b/>
      <w:bCs/>
    </w:rPr>
  </w:style>
  <w:style w:type="character" w:styleId="BookTitle">
    <w:name w:val="Book Title"/>
    <w:basedOn w:val="DefaultParagraphFont"/>
    <w:qFormat/>
    <w:rsid w:val="006D4B1C"/>
    <w:rPr>
      <w:bCs/>
      <w:caps w:val="0"/>
      <w:smallCaps/>
      <w:spacing w:val="10"/>
    </w:rPr>
  </w:style>
  <w:style w:type="paragraph" w:customStyle="1" w:styleId="FigureHeading">
    <w:name w:val="Figure Heading"/>
    <w:basedOn w:val="Normal"/>
    <w:qFormat/>
    <w:rsid w:val="00330704"/>
    <w:pPr>
      <w:keepNext/>
      <w:spacing w:before="360"/>
      <w:jc w:val="center"/>
    </w:pPr>
    <w:rPr>
      <w:b/>
    </w:rPr>
  </w:style>
  <w:style w:type="paragraph" w:customStyle="1" w:styleId="FigureHeading2">
    <w:name w:val="Figure Heading 2"/>
    <w:basedOn w:val="Normal"/>
    <w:qFormat/>
    <w:rsid w:val="009B2579"/>
    <w:pPr>
      <w:keepNext/>
      <w:spacing w:before="60"/>
      <w:jc w:val="center"/>
    </w:pPr>
    <w:rPr>
      <w:sz w:val="20"/>
      <w:szCs w:val="20"/>
    </w:rPr>
  </w:style>
  <w:style w:type="paragraph" w:customStyle="1" w:styleId="Image">
    <w:name w:val="Image"/>
    <w:basedOn w:val="Normal"/>
    <w:next w:val="Note"/>
    <w:qFormat/>
    <w:rsid w:val="00E52470"/>
    <w:pPr>
      <w:spacing w:before="0" w:after="360"/>
    </w:pPr>
    <w:rPr>
      <w:noProof/>
      <w:sz w:val="20"/>
      <w:szCs w:val="20"/>
    </w:rPr>
  </w:style>
  <w:style w:type="paragraph" w:customStyle="1" w:styleId="Note">
    <w:name w:val="Note"/>
    <w:basedOn w:val="Normal"/>
    <w:next w:val="Normal"/>
    <w:qFormat/>
    <w:rsid w:val="00181D7C"/>
    <w:pPr>
      <w:spacing w:before="120" w:after="480"/>
    </w:pPr>
    <w:rPr>
      <w:sz w:val="20"/>
      <w:szCs w:val="20"/>
    </w:rPr>
  </w:style>
  <w:style w:type="character" w:styleId="PageNumber">
    <w:name w:val="page number"/>
    <w:basedOn w:val="DefaultParagraphFont"/>
    <w:qFormat/>
    <w:rsid w:val="00181D7C"/>
  </w:style>
  <w:style w:type="paragraph" w:styleId="Quote">
    <w:name w:val="Quote"/>
    <w:basedOn w:val="Normal"/>
    <w:link w:val="QuoteChar"/>
    <w:uiPriority w:val="29"/>
    <w:qFormat/>
    <w:rsid w:val="00BF7452"/>
    <w:pPr>
      <w:tabs>
        <w:tab w:val="left" w:pos="426"/>
      </w:tabs>
      <w:ind w:left="426"/>
    </w:pPr>
    <w:rPr>
      <w:i/>
      <w:iCs/>
      <w:color w:val="000000" w:themeColor="text1"/>
    </w:rPr>
  </w:style>
  <w:style w:type="character" w:customStyle="1" w:styleId="QuoteChar">
    <w:name w:val="Quote Char"/>
    <w:basedOn w:val="DefaultParagraphFont"/>
    <w:link w:val="Quote"/>
    <w:uiPriority w:val="29"/>
    <w:rsid w:val="00BF7452"/>
    <w:rPr>
      <w:i/>
      <w:iCs/>
      <w:color w:val="000000" w:themeColor="text1"/>
      <w:lang w:val="en-US"/>
    </w:rPr>
  </w:style>
  <w:style w:type="paragraph" w:styleId="ListNumber">
    <w:name w:val="List Number"/>
    <w:basedOn w:val="Normal"/>
    <w:qFormat/>
    <w:rsid w:val="00C503EA"/>
    <w:pPr>
      <w:numPr>
        <w:numId w:val="4"/>
      </w:numPr>
      <w:tabs>
        <w:tab w:val="left" w:pos="426"/>
      </w:tabs>
      <w:ind w:left="426" w:hanging="426"/>
    </w:pPr>
  </w:style>
  <w:style w:type="paragraph" w:styleId="ListNumber2">
    <w:name w:val="List Number 2"/>
    <w:basedOn w:val="ListNumber"/>
    <w:qFormat/>
    <w:rsid w:val="00AA29EA"/>
    <w:pPr>
      <w:numPr>
        <w:ilvl w:val="1"/>
      </w:numPr>
      <w:tabs>
        <w:tab w:val="clear" w:pos="426"/>
        <w:tab w:val="left" w:pos="851"/>
      </w:tabs>
      <w:spacing w:before="120"/>
      <w:ind w:left="851" w:hanging="425"/>
    </w:pPr>
  </w:style>
  <w:style w:type="paragraph" w:styleId="ListNumber3">
    <w:name w:val="List Number 3"/>
    <w:basedOn w:val="ListNumber"/>
    <w:qFormat/>
    <w:rsid w:val="008604FA"/>
    <w:pPr>
      <w:numPr>
        <w:ilvl w:val="2"/>
      </w:numPr>
      <w:tabs>
        <w:tab w:val="clear" w:pos="426"/>
      </w:tabs>
      <w:spacing w:before="120"/>
      <w:ind w:left="1276" w:hanging="425"/>
    </w:pPr>
  </w:style>
  <w:style w:type="paragraph" w:customStyle="1" w:styleId="Footnote">
    <w:name w:val="Footnote"/>
    <w:basedOn w:val="Normal"/>
    <w:qFormat/>
    <w:rsid w:val="00413C49"/>
    <w:pPr>
      <w:tabs>
        <w:tab w:val="left" w:pos="426"/>
      </w:tabs>
      <w:ind w:left="426" w:hanging="426"/>
    </w:pPr>
    <w:rPr>
      <w:sz w:val="20"/>
      <w:szCs w:val="20"/>
    </w:rPr>
  </w:style>
  <w:style w:type="paragraph" w:customStyle="1" w:styleId="BoxHeading">
    <w:name w:val="Box Heading"/>
    <w:basedOn w:val="Normal"/>
    <w:next w:val="BoxText"/>
    <w:qFormat/>
    <w:rsid w:val="003108CA"/>
    <w:pPr>
      <w:pBdr>
        <w:top w:val="single" w:sz="4" w:space="1" w:color="auto"/>
        <w:left w:val="single" w:sz="4" w:space="4" w:color="auto"/>
        <w:bottom w:val="single" w:sz="4" w:space="1" w:color="auto"/>
        <w:right w:val="single" w:sz="4" w:space="4" w:color="auto"/>
      </w:pBdr>
      <w:shd w:val="clear" w:color="auto" w:fill="DBE5F1" w:themeFill="accent1" w:themeFillTint="33"/>
    </w:pPr>
    <w:rPr>
      <w:b/>
    </w:rPr>
  </w:style>
  <w:style w:type="paragraph" w:customStyle="1" w:styleId="BoxText">
    <w:name w:val="Box Text"/>
    <w:basedOn w:val="Normal"/>
    <w:qFormat/>
    <w:rsid w:val="003108CA"/>
    <w:pPr>
      <w:pBdr>
        <w:top w:val="single" w:sz="4" w:space="1" w:color="auto"/>
        <w:left w:val="single" w:sz="4" w:space="4" w:color="auto"/>
        <w:bottom w:val="single" w:sz="4" w:space="1" w:color="auto"/>
        <w:right w:val="single" w:sz="4" w:space="4" w:color="auto"/>
      </w:pBdr>
      <w:shd w:val="clear" w:color="auto" w:fill="DBE5F1" w:themeFill="accent1" w:themeFillTint="33"/>
    </w:pPr>
  </w:style>
  <w:style w:type="paragraph" w:customStyle="1" w:styleId="BoxBullet">
    <w:name w:val="Box Bullet"/>
    <w:basedOn w:val="Normal"/>
    <w:qFormat/>
    <w:rsid w:val="003108CA"/>
    <w:pPr>
      <w:numPr>
        <w:numId w:val="10"/>
      </w:numPr>
      <w:pBdr>
        <w:top w:val="single" w:sz="4" w:space="1" w:color="auto"/>
        <w:left w:val="single" w:sz="4" w:space="4" w:color="auto"/>
        <w:bottom w:val="single" w:sz="4" w:space="1" w:color="auto"/>
        <w:right w:val="single" w:sz="4" w:space="4" w:color="auto"/>
      </w:pBdr>
      <w:shd w:val="clear" w:color="auto" w:fill="DBE5F1" w:themeFill="accent1" w:themeFillTint="33"/>
      <w:spacing w:before="120"/>
      <w:ind w:left="357" w:hanging="357"/>
      <w:jc w:val="left"/>
    </w:pPr>
  </w:style>
  <w:style w:type="table" w:styleId="TableGrid">
    <w:name w:val="Table Grid"/>
    <w:aliases w:val="DPS Table Grid"/>
    <w:basedOn w:val="TableNormal"/>
    <w:uiPriority w:val="39"/>
    <w:rsid w:val="009B257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umnHeading">
    <w:name w:val="Column Heading"/>
    <w:basedOn w:val="Normal"/>
    <w:qFormat/>
    <w:rsid w:val="004A561A"/>
    <w:pPr>
      <w:spacing w:before="60" w:after="60"/>
      <w:jc w:val="center"/>
    </w:pPr>
    <w:rPr>
      <w:b/>
    </w:rPr>
  </w:style>
  <w:style w:type="table" w:styleId="TableColumns1">
    <w:name w:val="Table Columns 1"/>
    <w:basedOn w:val="TableNormal"/>
    <w:rsid w:val="009B257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qFormat/>
    <w:rsid w:val="004A561A"/>
    <w:pPr>
      <w:spacing w:before="60" w:after="60"/>
      <w:jc w:val="left"/>
    </w:pPr>
  </w:style>
  <w:style w:type="paragraph" w:customStyle="1" w:styleId="RowHeading">
    <w:name w:val="Row Heading"/>
    <w:basedOn w:val="Normal"/>
    <w:qFormat/>
    <w:rsid w:val="004A561A"/>
    <w:pPr>
      <w:spacing w:before="60" w:after="60"/>
    </w:pPr>
    <w:rPr>
      <w:b/>
    </w:rPr>
  </w:style>
  <w:style w:type="paragraph" w:customStyle="1" w:styleId="TableHeading">
    <w:name w:val="Table Heading"/>
    <w:basedOn w:val="Normal"/>
    <w:next w:val="Normal"/>
    <w:qFormat/>
    <w:rsid w:val="009B2579"/>
    <w:pPr>
      <w:spacing w:after="120"/>
      <w:jc w:val="center"/>
    </w:pPr>
    <w:rPr>
      <w:b/>
    </w:rPr>
  </w:style>
  <w:style w:type="paragraph" w:customStyle="1" w:styleId="CoverDate">
    <w:name w:val="Cover Date"/>
    <w:basedOn w:val="Cover-ProjectName"/>
    <w:qFormat/>
    <w:rsid w:val="004A561A"/>
    <w:rPr>
      <w:color w:val="FF0000"/>
    </w:rPr>
  </w:style>
  <w:style w:type="paragraph" w:customStyle="1" w:styleId="Cover-OtherDescription">
    <w:name w:val="Cover - Other Description"/>
    <w:basedOn w:val="Cover-ProjectName"/>
    <w:qFormat/>
    <w:rsid w:val="006D4B1C"/>
    <w:pPr>
      <w:spacing w:before="3840"/>
    </w:pPr>
  </w:style>
  <w:style w:type="character" w:customStyle="1" w:styleId="Heading9Char">
    <w:name w:val="Heading 9 Char"/>
    <w:basedOn w:val="DefaultParagraphFont"/>
    <w:link w:val="Heading9"/>
    <w:rsid w:val="004F7AD4"/>
    <w:rPr>
      <w:i/>
      <w:color w:val="172983"/>
      <w:sz w:val="26"/>
      <w:szCs w:val="26"/>
    </w:rPr>
  </w:style>
  <w:style w:type="numbering" w:customStyle="1" w:styleId="AppendixHeadings">
    <w:name w:val="Appendix Headings"/>
    <w:uiPriority w:val="99"/>
    <w:rsid w:val="00B66E7A"/>
    <w:pPr>
      <w:numPr>
        <w:numId w:val="5"/>
      </w:numPr>
    </w:pPr>
  </w:style>
  <w:style w:type="paragraph" w:styleId="TOCHeading">
    <w:name w:val="TOC Heading"/>
    <w:basedOn w:val="Normal"/>
    <w:next w:val="Normal"/>
    <w:uiPriority w:val="39"/>
    <w:unhideWhenUsed/>
    <w:qFormat/>
    <w:rsid w:val="007F181B"/>
    <w:pPr>
      <w:keepLines/>
      <w:spacing w:before="0"/>
      <w:jc w:val="center"/>
    </w:pPr>
    <w:rPr>
      <w:b/>
      <w:noProof/>
      <w:color w:val="172983"/>
      <w:sz w:val="36"/>
      <w:szCs w:val="36"/>
    </w:rPr>
  </w:style>
  <w:style w:type="paragraph" w:styleId="TOC1">
    <w:name w:val="toc 1"/>
    <w:basedOn w:val="Normal"/>
    <w:next w:val="Normal"/>
    <w:autoRedefine/>
    <w:uiPriority w:val="39"/>
    <w:unhideWhenUsed/>
    <w:qFormat/>
    <w:rsid w:val="00265D88"/>
    <w:pPr>
      <w:tabs>
        <w:tab w:val="left" w:pos="426"/>
        <w:tab w:val="left" w:pos="8647"/>
      </w:tabs>
      <w:spacing w:after="120"/>
      <w:ind w:left="425" w:right="544" w:hanging="420"/>
      <w:jc w:val="left"/>
    </w:pPr>
    <w:rPr>
      <w:b/>
      <w:noProof/>
      <w:color w:val="172983"/>
      <w:sz w:val="28"/>
      <w:szCs w:val="28"/>
    </w:rPr>
  </w:style>
  <w:style w:type="paragraph" w:styleId="TOC3">
    <w:name w:val="toc 3"/>
    <w:basedOn w:val="Normal"/>
    <w:next w:val="Normal"/>
    <w:autoRedefine/>
    <w:uiPriority w:val="39"/>
    <w:unhideWhenUsed/>
    <w:qFormat/>
    <w:rsid w:val="00265D88"/>
    <w:pPr>
      <w:tabs>
        <w:tab w:val="left" w:pos="1276"/>
        <w:tab w:val="left" w:pos="8647"/>
      </w:tabs>
      <w:spacing w:before="120"/>
      <w:ind w:left="1276" w:right="686" w:hanging="425"/>
    </w:pPr>
    <w:rPr>
      <w:noProof/>
      <w:color w:val="172983"/>
    </w:rPr>
  </w:style>
  <w:style w:type="numbering" w:customStyle="1" w:styleId="ReportHeadings">
    <w:name w:val="Report Headings"/>
    <w:uiPriority w:val="99"/>
    <w:rsid w:val="00213F43"/>
    <w:pPr>
      <w:numPr>
        <w:numId w:val="6"/>
      </w:numPr>
    </w:pPr>
  </w:style>
  <w:style w:type="paragraph" w:customStyle="1" w:styleId="TableofContentHeading">
    <w:name w:val="TableofContentHeading"/>
    <w:basedOn w:val="Normal"/>
    <w:qFormat/>
    <w:rsid w:val="004335E4"/>
    <w:pPr>
      <w:spacing w:before="360" w:after="240"/>
      <w:jc w:val="center"/>
    </w:pPr>
    <w:rPr>
      <w:rFonts w:cstheme="minorHAnsi"/>
      <w:b/>
      <w:color w:val="172983"/>
      <w:sz w:val="32"/>
      <w:szCs w:val="32"/>
    </w:rPr>
  </w:style>
  <w:style w:type="paragraph" w:styleId="TOC4">
    <w:name w:val="toc 4"/>
    <w:basedOn w:val="Normal"/>
    <w:next w:val="Normal"/>
    <w:autoRedefine/>
    <w:uiPriority w:val="39"/>
    <w:qFormat/>
    <w:rsid w:val="00133589"/>
    <w:pPr>
      <w:tabs>
        <w:tab w:val="left" w:pos="8647"/>
        <w:tab w:val="right" w:leader="dot" w:pos="9016"/>
      </w:tabs>
      <w:spacing w:after="100"/>
      <w:ind w:right="-330"/>
    </w:pPr>
    <w:rPr>
      <w:noProof/>
      <w:color w:val="172983"/>
      <w:sz w:val="28"/>
      <w:szCs w:val="26"/>
    </w:rPr>
  </w:style>
  <w:style w:type="paragraph" w:styleId="ListParagraph">
    <w:name w:val="List Paragraph"/>
    <w:aliases w:val="Recommendation,List Paragraph1,List Paragraph11,L,Bullet Point,Bullet points,Content descriptions,Body Bullets 1,Bullet point,Main,CV text,Table text,F5 List Paragraph,Dot pt,List Paragraph111,Medium Grid 1 - Accent 21,Numbered Paragraph"/>
    <w:basedOn w:val="Normal"/>
    <w:link w:val="ListParagraphChar"/>
    <w:uiPriority w:val="34"/>
    <w:qFormat/>
    <w:rsid w:val="00B66E7A"/>
    <w:pPr>
      <w:ind w:left="720"/>
      <w:contextualSpacing/>
    </w:pPr>
  </w:style>
  <w:style w:type="character" w:styleId="CommentReference">
    <w:name w:val="annotation reference"/>
    <w:basedOn w:val="DefaultParagraphFont"/>
    <w:uiPriority w:val="99"/>
    <w:rsid w:val="001C4803"/>
    <w:rPr>
      <w:sz w:val="16"/>
      <w:szCs w:val="16"/>
    </w:rPr>
  </w:style>
  <w:style w:type="paragraph" w:styleId="CommentText">
    <w:name w:val="annotation text"/>
    <w:basedOn w:val="Normal"/>
    <w:link w:val="CommentTextChar"/>
    <w:uiPriority w:val="99"/>
    <w:rsid w:val="001C4803"/>
    <w:rPr>
      <w:sz w:val="20"/>
      <w:szCs w:val="20"/>
    </w:rPr>
  </w:style>
  <w:style w:type="character" w:customStyle="1" w:styleId="CommentTextChar">
    <w:name w:val="Comment Text Char"/>
    <w:basedOn w:val="DefaultParagraphFont"/>
    <w:link w:val="CommentText"/>
    <w:uiPriority w:val="99"/>
    <w:rsid w:val="001C4803"/>
    <w:rPr>
      <w:sz w:val="20"/>
      <w:szCs w:val="20"/>
      <w:lang w:val="en-US"/>
    </w:rPr>
  </w:style>
  <w:style w:type="paragraph" w:styleId="CommentSubject">
    <w:name w:val="annotation subject"/>
    <w:basedOn w:val="CommentText"/>
    <w:next w:val="CommentText"/>
    <w:link w:val="CommentSubjectChar"/>
    <w:semiHidden/>
    <w:unhideWhenUsed/>
    <w:rsid w:val="001C4803"/>
    <w:rPr>
      <w:b/>
      <w:bCs/>
    </w:rPr>
  </w:style>
  <w:style w:type="character" w:customStyle="1" w:styleId="CommentSubjectChar">
    <w:name w:val="Comment Subject Char"/>
    <w:basedOn w:val="CommentTextChar"/>
    <w:link w:val="CommentSubject"/>
    <w:semiHidden/>
    <w:rsid w:val="001C4803"/>
    <w:rPr>
      <w:b/>
      <w:bCs/>
      <w:sz w:val="20"/>
      <w:szCs w:val="20"/>
      <w:lang w:val="en-US"/>
    </w:rPr>
  </w:style>
  <w:style w:type="paragraph" w:customStyle="1" w:styleId="BoxBullet2">
    <w:name w:val="Box Bullet 2"/>
    <w:basedOn w:val="BoxBullet"/>
    <w:qFormat/>
    <w:rsid w:val="003108CA"/>
    <w:pPr>
      <w:numPr>
        <w:numId w:val="7"/>
      </w:numPr>
      <w:tabs>
        <w:tab w:val="left" w:pos="851"/>
      </w:tabs>
      <w:ind w:left="0" w:firstLine="426"/>
    </w:pPr>
  </w:style>
  <w:style w:type="paragraph" w:customStyle="1" w:styleId="BoxBullet22">
    <w:name w:val="Box Bullet 2 (2+)"/>
    <w:basedOn w:val="BoxBullet2"/>
    <w:qFormat/>
    <w:rsid w:val="003108CA"/>
    <w:pPr>
      <w:numPr>
        <w:numId w:val="0"/>
      </w:numPr>
      <w:spacing w:before="0"/>
      <w:ind w:firstLine="851"/>
    </w:pPr>
  </w:style>
  <w:style w:type="paragraph" w:customStyle="1" w:styleId="TableNumber">
    <w:name w:val="Table Number"/>
    <w:basedOn w:val="Normal"/>
    <w:qFormat/>
    <w:rsid w:val="004A561A"/>
    <w:pPr>
      <w:spacing w:before="60" w:after="60"/>
      <w:jc w:val="center"/>
    </w:pPr>
  </w:style>
  <w:style w:type="paragraph" w:customStyle="1" w:styleId="BoxBullet3">
    <w:name w:val="Box Bullet 3"/>
    <w:basedOn w:val="Normal"/>
    <w:qFormat/>
    <w:rsid w:val="003108CA"/>
    <w:pPr>
      <w:numPr>
        <w:ilvl w:val="2"/>
        <w:numId w:val="10"/>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1134"/>
      </w:tabs>
      <w:spacing w:before="120"/>
      <w:ind w:left="0" w:firstLine="720"/>
      <w:jc w:val="left"/>
    </w:pPr>
  </w:style>
  <w:style w:type="paragraph" w:customStyle="1" w:styleId="BoxBullet32">
    <w:name w:val="Box Bullet 3 (2+)"/>
    <w:basedOn w:val="Normal"/>
    <w:qFormat/>
    <w:rsid w:val="003108C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1134"/>
      </w:tabs>
      <w:spacing w:before="0"/>
      <w:ind w:firstLine="1134"/>
      <w:jc w:val="left"/>
    </w:pPr>
  </w:style>
  <w:style w:type="paragraph" w:customStyle="1" w:styleId="DotPoints2">
    <w:name w:val="Dot Points 2"/>
    <w:basedOn w:val="Normal"/>
    <w:link w:val="DotPoints2Char"/>
    <w:qFormat/>
    <w:rsid w:val="000241EA"/>
    <w:pPr>
      <w:numPr>
        <w:numId w:val="11"/>
      </w:numPr>
      <w:spacing w:before="120" w:after="120"/>
      <w:ind w:right="-85"/>
      <w:jc w:val="left"/>
    </w:pPr>
    <w:rPr>
      <w:rFonts w:ascii="Arial" w:eastAsia="PMingLiU" w:hAnsi="Arial"/>
      <w:sz w:val="24"/>
      <w:szCs w:val="24"/>
      <w:lang w:eastAsia="en-US"/>
    </w:rPr>
  </w:style>
  <w:style w:type="paragraph" w:customStyle="1" w:styleId="Bullets">
    <w:name w:val="Bullets"/>
    <w:basedOn w:val="DotPoints2"/>
    <w:link w:val="BulletsChar1"/>
    <w:qFormat/>
    <w:rsid w:val="000241EA"/>
  </w:style>
  <w:style w:type="paragraph" w:customStyle="1" w:styleId="Bullets2">
    <w:name w:val="Bullets 2"/>
    <w:basedOn w:val="Bullets"/>
    <w:qFormat/>
    <w:rsid w:val="000241EA"/>
    <w:pPr>
      <w:numPr>
        <w:ilvl w:val="1"/>
      </w:numPr>
      <w:tabs>
        <w:tab w:val="num" w:pos="1492"/>
      </w:tabs>
      <w:spacing w:before="60" w:after="60"/>
      <w:ind w:left="1492" w:hanging="360"/>
    </w:pPr>
  </w:style>
  <w:style w:type="character" w:customStyle="1" w:styleId="DotPoints2Char">
    <w:name w:val="Dot Points 2 Char"/>
    <w:link w:val="DotPoints2"/>
    <w:rsid w:val="000241EA"/>
    <w:rPr>
      <w:rFonts w:ascii="Arial" w:eastAsia="PMingLiU" w:hAnsi="Arial"/>
      <w:sz w:val="24"/>
      <w:szCs w:val="24"/>
      <w:lang w:eastAsia="en-US"/>
    </w:rPr>
  </w:style>
  <w:style w:type="character" w:customStyle="1" w:styleId="BulletsChar1">
    <w:name w:val="Bullets Char1"/>
    <w:basedOn w:val="DotPoints2Char"/>
    <w:link w:val="Bullets"/>
    <w:rsid w:val="000241EA"/>
    <w:rPr>
      <w:rFonts w:ascii="Arial" w:eastAsia="PMingLiU" w:hAnsi="Arial"/>
      <w:sz w:val="24"/>
      <w:szCs w:val="24"/>
      <w:lang w:eastAsia="en-US"/>
    </w:rPr>
  </w:style>
  <w:style w:type="paragraph" w:customStyle="1" w:styleId="SubHeadingBlue">
    <w:name w:val="SubHeading Blue"/>
    <w:basedOn w:val="Heading1"/>
    <w:qFormat/>
    <w:rsid w:val="000241EA"/>
    <w:pPr>
      <w:pageBreakBefore w:val="0"/>
      <w:numPr>
        <w:numId w:val="0"/>
      </w:numPr>
      <w:tabs>
        <w:tab w:val="clear" w:pos="709"/>
      </w:tabs>
      <w:overflowPunct w:val="0"/>
      <w:adjustRightInd w:val="0"/>
      <w:spacing w:before="120" w:after="120"/>
      <w:ind w:left="567" w:right="-85" w:hanging="567"/>
      <w:jc w:val="left"/>
      <w:textAlignment w:val="baseline"/>
    </w:pPr>
    <w:rPr>
      <w:rFonts w:asciiTheme="minorHAnsi" w:eastAsia="PMingLiU" w:hAnsiTheme="minorHAnsi" w:cstheme="minorHAnsi"/>
      <w:kern w:val="28"/>
      <w:sz w:val="32"/>
      <w:szCs w:val="24"/>
      <w:lang w:eastAsia="en-US"/>
    </w:rPr>
  </w:style>
  <w:style w:type="character" w:customStyle="1" w:styleId="ListParagraphChar">
    <w:name w:val="List Paragraph Char"/>
    <w:aliases w:val="Recommendation Char,List Paragraph1 Char,List Paragraph11 Char,L Char,Bullet Point Char,Bullet points Char,Content descriptions Char,Body Bullets 1 Char,Bullet point Char,Main Char,CV text Char,Table text Char,F5 List Paragraph Char"/>
    <w:basedOn w:val="DefaultParagraphFont"/>
    <w:link w:val="ListParagraph"/>
    <w:uiPriority w:val="34"/>
    <w:qFormat/>
    <w:locked/>
    <w:rsid w:val="00003152"/>
  </w:style>
  <w:style w:type="paragraph" w:customStyle="1" w:styleId="AppendicesHeading">
    <w:name w:val="AppendicesHeading"/>
    <w:basedOn w:val="Normal"/>
    <w:qFormat/>
    <w:rsid w:val="00215A87"/>
    <w:pPr>
      <w:spacing w:before="0"/>
      <w:ind w:right="-85"/>
      <w:jc w:val="center"/>
    </w:pPr>
    <w:rPr>
      <w:rFonts w:asciiTheme="minorHAnsi" w:eastAsia="PMingLiU" w:hAnsiTheme="minorHAnsi" w:cstheme="minorHAnsi"/>
      <w:b/>
      <w:color w:val="172983"/>
      <w:sz w:val="24"/>
      <w:szCs w:val="24"/>
      <w:lang w:eastAsia="en-US"/>
    </w:rPr>
  </w:style>
  <w:style w:type="paragraph" w:customStyle="1" w:styleId="Recommendation">
    <w:name w:val="Recommendation #"/>
    <w:basedOn w:val="Heading2"/>
    <w:link w:val="RecommendationChar"/>
    <w:qFormat/>
    <w:rsid w:val="003302F7"/>
    <w:pPr>
      <w:numPr>
        <w:ilvl w:val="0"/>
        <w:numId w:val="0"/>
      </w:numPr>
    </w:pPr>
  </w:style>
  <w:style w:type="character" w:customStyle="1" w:styleId="RecommendationChar">
    <w:name w:val="Recommendation # Char"/>
    <w:basedOn w:val="Heading2Char"/>
    <w:link w:val="Recommendation"/>
    <w:rsid w:val="003302F7"/>
    <w:rPr>
      <w:rFonts w:eastAsia="Calibri" w:cstheme="majorBidi"/>
      <w:b/>
      <w:color w:val="172983"/>
      <w:sz w:val="36"/>
      <w:szCs w:val="36"/>
      <w:lang w:val="en-US"/>
    </w:rPr>
  </w:style>
  <w:style w:type="paragraph" w:styleId="Caption">
    <w:name w:val="caption"/>
    <w:basedOn w:val="Normal"/>
    <w:next w:val="Normal"/>
    <w:uiPriority w:val="35"/>
    <w:unhideWhenUsed/>
    <w:qFormat/>
    <w:rsid w:val="003458D0"/>
    <w:pPr>
      <w:spacing w:before="0" w:after="200"/>
    </w:pPr>
    <w:rPr>
      <w:i/>
      <w:iCs/>
      <w:color w:val="1F497D" w:themeColor="text2"/>
      <w:sz w:val="18"/>
      <w:szCs w:val="18"/>
    </w:rPr>
  </w:style>
  <w:style w:type="character" w:customStyle="1" w:styleId="normaltextrun">
    <w:name w:val="normaltextrun"/>
    <w:basedOn w:val="DefaultParagraphFont"/>
    <w:rsid w:val="0079664F"/>
  </w:style>
  <w:style w:type="table" w:customStyle="1" w:styleId="DPSTableGrid1">
    <w:name w:val="DPS Table Grid1"/>
    <w:basedOn w:val="TableNormal"/>
    <w:next w:val="TableGrid"/>
    <w:uiPriority w:val="59"/>
    <w:rsid w:val="00182EE8"/>
    <w:rPr>
      <w:rFonts w:ascii="Times New Roman" w:eastAsia="PMingLiU"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Centre">
    <w:name w:val="Label Centre"/>
    <w:basedOn w:val="Normal"/>
    <w:link w:val="LabelCentreChar"/>
    <w:qFormat/>
    <w:rsid w:val="005C1B20"/>
    <w:pPr>
      <w:spacing w:before="0" w:after="160" w:line="259" w:lineRule="auto"/>
      <w:jc w:val="center"/>
    </w:pPr>
    <w:rPr>
      <w:rFonts w:eastAsia="Calibri"/>
      <w:b/>
      <w:bCs/>
      <w:lang w:eastAsia="en-US"/>
    </w:rPr>
  </w:style>
  <w:style w:type="character" w:customStyle="1" w:styleId="LabelCentreChar">
    <w:name w:val="Label Centre Char"/>
    <w:basedOn w:val="DefaultParagraphFont"/>
    <w:link w:val="LabelCentre"/>
    <w:rsid w:val="005C1B20"/>
    <w:rPr>
      <w:rFonts w:eastAsia="Calibri"/>
      <w:b/>
      <w:bCs/>
      <w:lang w:eastAsia="en-US"/>
    </w:rPr>
  </w:style>
  <w:style w:type="character" w:styleId="UnresolvedMention">
    <w:name w:val="Unresolved Mention"/>
    <w:basedOn w:val="DefaultParagraphFont"/>
    <w:uiPriority w:val="99"/>
    <w:unhideWhenUsed/>
    <w:rsid w:val="000B4BD8"/>
    <w:rPr>
      <w:color w:val="605E5C"/>
      <w:shd w:val="clear" w:color="auto" w:fill="E1DFDD"/>
    </w:rPr>
  </w:style>
  <w:style w:type="character" w:styleId="Mention">
    <w:name w:val="Mention"/>
    <w:basedOn w:val="DefaultParagraphFont"/>
    <w:uiPriority w:val="99"/>
    <w:unhideWhenUsed/>
    <w:rsid w:val="00E138BD"/>
    <w:rPr>
      <w:color w:val="2B579A"/>
      <w:shd w:val="clear" w:color="auto" w:fill="E1DFDD"/>
    </w:rPr>
  </w:style>
  <w:style w:type="paragraph" w:customStyle="1" w:styleId="Address">
    <w:name w:val="Address"/>
    <w:basedOn w:val="NoSpacing"/>
    <w:link w:val="AddressChar"/>
    <w:rsid w:val="00805A9D"/>
    <w:pPr>
      <w:jc w:val="left"/>
    </w:pPr>
    <w:rPr>
      <w:rFonts w:asciiTheme="minorHAnsi" w:hAnsiTheme="minorHAnsi" w:cstheme="minorBidi"/>
      <w:b/>
      <w:color w:val="171F8D"/>
      <w:sz w:val="24"/>
      <w:szCs w:val="24"/>
      <w:lang w:eastAsia="en-US"/>
    </w:rPr>
  </w:style>
  <w:style w:type="character" w:customStyle="1" w:styleId="AddressChar">
    <w:name w:val="Address Char"/>
    <w:basedOn w:val="DefaultParagraphFont"/>
    <w:link w:val="Address"/>
    <w:rsid w:val="00805A9D"/>
    <w:rPr>
      <w:rFonts w:asciiTheme="minorHAnsi" w:hAnsiTheme="minorHAnsi" w:cstheme="minorBidi"/>
      <w:b/>
      <w:color w:val="171F8D"/>
      <w:sz w:val="24"/>
      <w:szCs w:val="24"/>
      <w:lang w:eastAsia="en-US"/>
    </w:rPr>
  </w:style>
  <w:style w:type="paragraph" w:styleId="NoSpacing">
    <w:name w:val="No Spacing"/>
    <w:uiPriority w:val="1"/>
    <w:rsid w:val="00805A9D"/>
    <w:pPr>
      <w:spacing w:before="0"/>
      <w:jc w:val="both"/>
    </w:pPr>
  </w:style>
  <w:style w:type="paragraph" w:customStyle="1" w:styleId="pf0">
    <w:name w:val="pf0"/>
    <w:basedOn w:val="Normal"/>
    <w:rsid w:val="00E1673A"/>
    <w:pPr>
      <w:spacing w:before="100" w:beforeAutospacing="1" w:after="100" w:afterAutospacing="1"/>
    </w:pPr>
    <w:rPr>
      <w:rFonts w:ascii="Times New Roman" w:eastAsia="Times New Roman" w:hAnsi="Times New Roman"/>
      <w:sz w:val="24"/>
      <w:szCs w:val="24"/>
    </w:rPr>
  </w:style>
  <w:style w:type="paragraph" w:customStyle="1" w:styleId="pf1">
    <w:name w:val="pf1"/>
    <w:basedOn w:val="Normal"/>
    <w:rsid w:val="00E1673A"/>
    <w:pPr>
      <w:spacing w:before="100" w:beforeAutospacing="1" w:after="100" w:afterAutospacing="1"/>
      <w:ind w:left="720" w:hanging="360"/>
      <w:jc w:val="left"/>
    </w:pPr>
    <w:rPr>
      <w:rFonts w:ascii="Times New Roman" w:eastAsia="Times New Roman" w:hAnsi="Times New Roman"/>
      <w:sz w:val="24"/>
      <w:szCs w:val="24"/>
    </w:rPr>
  </w:style>
  <w:style w:type="character" w:customStyle="1" w:styleId="cf01">
    <w:name w:val="cf01"/>
    <w:basedOn w:val="DefaultParagraphFont"/>
    <w:rsid w:val="00E1673A"/>
    <w:rPr>
      <w:rFonts w:ascii="Segoe UI" w:hAnsi="Segoe UI" w:cs="Segoe UI" w:hint="default"/>
      <w:sz w:val="18"/>
      <w:szCs w:val="18"/>
    </w:rPr>
  </w:style>
  <w:style w:type="character" w:customStyle="1" w:styleId="cf11">
    <w:name w:val="cf11"/>
    <w:basedOn w:val="DefaultParagraphFont"/>
    <w:rsid w:val="00E1673A"/>
    <w:rPr>
      <w:rFonts w:ascii="Segoe UI" w:hAnsi="Segoe UI" w:cs="Segoe UI" w:hint="default"/>
      <w:sz w:val="18"/>
      <w:szCs w:val="18"/>
    </w:rPr>
  </w:style>
  <w:style w:type="character" w:customStyle="1" w:styleId="cf21">
    <w:name w:val="cf21"/>
    <w:basedOn w:val="DefaultParagraphFont"/>
    <w:rsid w:val="00E1673A"/>
    <w:rPr>
      <w:rFonts w:ascii="Segoe UI" w:hAnsi="Segoe UI" w:cs="Segoe UI" w:hint="default"/>
      <w:sz w:val="18"/>
      <w:szCs w:val="18"/>
    </w:rPr>
  </w:style>
  <w:style w:type="paragraph" w:customStyle="1" w:styleId="pf2">
    <w:name w:val="pf2"/>
    <w:basedOn w:val="Normal"/>
    <w:rsid w:val="00E1673A"/>
    <w:pPr>
      <w:spacing w:before="100" w:beforeAutospacing="1" w:after="100" w:afterAutospacing="1"/>
      <w:jc w:val="left"/>
    </w:pPr>
    <w:rPr>
      <w:rFonts w:ascii="Times New Roman" w:eastAsia="Times New Roman" w:hAnsi="Times New Roman"/>
      <w:sz w:val="24"/>
      <w:szCs w:val="24"/>
    </w:rPr>
  </w:style>
  <w:style w:type="character" w:customStyle="1" w:styleId="cf31">
    <w:name w:val="cf31"/>
    <w:basedOn w:val="DefaultParagraphFont"/>
    <w:rsid w:val="00E1673A"/>
    <w:rPr>
      <w:rFonts w:ascii="Segoe UI" w:hAnsi="Segoe UI" w:cs="Segoe UI" w:hint="default"/>
      <w:sz w:val="18"/>
      <w:szCs w:val="18"/>
    </w:rPr>
  </w:style>
  <w:style w:type="paragraph" w:styleId="Revision">
    <w:name w:val="Revision"/>
    <w:hidden/>
    <w:uiPriority w:val="99"/>
    <w:semiHidden/>
    <w:rsid w:val="00AD2197"/>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99481">
      <w:bodyDiv w:val="1"/>
      <w:marLeft w:val="0"/>
      <w:marRight w:val="0"/>
      <w:marTop w:val="0"/>
      <w:marBottom w:val="0"/>
      <w:divBdr>
        <w:top w:val="none" w:sz="0" w:space="0" w:color="auto"/>
        <w:left w:val="none" w:sz="0" w:space="0" w:color="auto"/>
        <w:bottom w:val="none" w:sz="0" w:space="0" w:color="auto"/>
        <w:right w:val="none" w:sz="0" w:space="0" w:color="auto"/>
      </w:divBdr>
      <w:divsChild>
        <w:div w:id="1119372710">
          <w:marLeft w:val="259"/>
          <w:marRight w:val="0"/>
          <w:marTop w:val="0"/>
          <w:marBottom w:val="139"/>
          <w:divBdr>
            <w:top w:val="none" w:sz="0" w:space="0" w:color="auto"/>
            <w:left w:val="none" w:sz="0" w:space="0" w:color="auto"/>
            <w:bottom w:val="none" w:sz="0" w:space="0" w:color="auto"/>
            <w:right w:val="none" w:sz="0" w:space="0" w:color="auto"/>
          </w:divBdr>
        </w:div>
      </w:divsChild>
    </w:div>
    <w:div w:id="215624384">
      <w:bodyDiv w:val="1"/>
      <w:marLeft w:val="0"/>
      <w:marRight w:val="0"/>
      <w:marTop w:val="0"/>
      <w:marBottom w:val="0"/>
      <w:divBdr>
        <w:top w:val="none" w:sz="0" w:space="0" w:color="auto"/>
        <w:left w:val="none" w:sz="0" w:space="0" w:color="auto"/>
        <w:bottom w:val="none" w:sz="0" w:space="0" w:color="auto"/>
        <w:right w:val="none" w:sz="0" w:space="0" w:color="auto"/>
      </w:divBdr>
      <w:divsChild>
        <w:div w:id="419134273">
          <w:marLeft w:val="259"/>
          <w:marRight w:val="0"/>
          <w:marTop w:val="0"/>
          <w:marBottom w:val="139"/>
          <w:divBdr>
            <w:top w:val="none" w:sz="0" w:space="0" w:color="auto"/>
            <w:left w:val="none" w:sz="0" w:space="0" w:color="auto"/>
            <w:bottom w:val="none" w:sz="0" w:space="0" w:color="auto"/>
            <w:right w:val="none" w:sz="0" w:space="0" w:color="auto"/>
          </w:divBdr>
        </w:div>
      </w:divsChild>
    </w:div>
    <w:div w:id="355083819">
      <w:bodyDiv w:val="1"/>
      <w:marLeft w:val="0"/>
      <w:marRight w:val="0"/>
      <w:marTop w:val="0"/>
      <w:marBottom w:val="0"/>
      <w:divBdr>
        <w:top w:val="none" w:sz="0" w:space="0" w:color="auto"/>
        <w:left w:val="none" w:sz="0" w:space="0" w:color="auto"/>
        <w:bottom w:val="none" w:sz="0" w:space="0" w:color="auto"/>
        <w:right w:val="none" w:sz="0" w:space="0" w:color="auto"/>
      </w:divBdr>
      <w:divsChild>
        <w:div w:id="947200747">
          <w:marLeft w:val="259"/>
          <w:marRight w:val="0"/>
          <w:marTop w:val="0"/>
          <w:marBottom w:val="139"/>
          <w:divBdr>
            <w:top w:val="none" w:sz="0" w:space="0" w:color="auto"/>
            <w:left w:val="none" w:sz="0" w:space="0" w:color="auto"/>
            <w:bottom w:val="none" w:sz="0" w:space="0" w:color="auto"/>
            <w:right w:val="none" w:sz="0" w:space="0" w:color="auto"/>
          </w:divBdr>
        </w:div>
      </w:divsChild>
    </w:div>
    <w:div w:id="438111510">
      <w:bodyDiv w:val="1"/>
      <w:marLeft w:val="0"/>
      <w:marRight w:val="0"/>
      <w:marTop w:val="0"/>
      <w:marBottom w:val="0"/>
      <w:divBdr>
        <w:top w:val="none" w:sz="0" w:space="0" w:color="auto"/>
        <w:left w:val="none" w:sz="0" w:space="0" w:color="auto"/>
        <w:bottom w:val="none" w:sz="0" w:space="0" w:color="auto"/>
        <w:right w:val="none" w:sz="0" w:space="0" w:color="auto"/>
      </w:divBdr>
      <w:divsChild>
        <w:div w:id="1741906611">
          <w:marLeft w:val="259"/>
          <w:marRight w:val="0"/>
          <w:marTop w:val="0"/>
          <w:marBottom w:val="139"/>
          <w:divBdr>
            <w:top w:val="none" w:sz="0" w:space="0" w:color="auto"/>
            <w:left w:val="none" w:sz="0" w:space="0" w:color="auto"/>
            <w:bottom w:val="none" w:sz="0" w:space="0" w:color="auto"/>
            <w:right w:val="none" w:sz="0" w:space="0" w:color="auto"/>
          </w:divBdr>
        </w:div>
      </w:divsChild>
    </w:div>
    <w:div w:id="462701339">
      <w:bodyDiv w:val="1"/>
      <w:marLeft w:val="0"/>
      <w:marRight w:val="0"/>
      <w:marTop w:val="0"/>
      <w:marBottom w:val="0"/>
      <w:divBdr>
        <w:top w:val="none" w:sz="0" w:space="0" w:color="auto"/>
        <w:left w:val="none" w:sz="0" w:space="0" w:color="auto"/>
        <w:bottom w:val="none" w:sz="0" w:space="0" w:color="auto"/>
        <w:right w:val="none" w:sz="0" w:space="0" w:color="auto"/>
      </w:divBdr>
    </w:div>
    <w:div w:id="508788335">
      <w:bodyDiv w:val="1"/>
      <w:marLeft w:val="0"/>
      <w:marRight w:val="0"/>
      <w:marTop w:val="0"/>
      <w:marBottom w:val="0"/>
      <w:divBdr>
        <w:top w:val="none" w:sz="0" w:space="0" w:color="auto"/>
        <w:left w:val="none" w:sz="0" w:space="0" w:color="auto"/>
        <w:bottom w:val="none" w:sz="0" w:space="0" w:color="auto"/>
        <w:right w:val="none" w:sz="0" w:space="0" w:color="auto"/>
      </w:divBdr>
      <w:divsChild>
        <w:div w:id="1857040525">
          <w:marLeft w:val="130"/>
          <w:marRight w:val="0"/>
          <w:marTop w:val="0"/>
          <w:marBottom w:val="60"/>
          <w:divBdr>
            <w:top w:val="none" w:sz="0" w:space="0" w:color="auto"/>
            <w:left w:val="none" w:sz="0" w:space="0" w:color="auto"/>
            <w:bottom w:val="none" w:sz="0" w:space="0" w:color="auto"/>
            <w:right w:val="none" w:sz="0" w:space="0" w:color="auto"/>
          </w:divBdr>
        </w:div>
      </w:divsChild>
    </w:div>
    <w:div w:id="875042457">
      <w:bodyDiv w:val="1"/>
      <w:marLeft w:val="0"/>
      <w:marRight w:val="0"/>
      <w:marTop w:val="0"/>
      <w:marBottom w:val="0"/>
      <w:divBdr>
        <w:top w:val="none" w:sz="0" w:space="0" w:color="auto"/>
        <w:left w:val="none" w:sz="0" w:space="0" w:color="auto"/>
        <w:bottom w:val="none" w:sz="0" w:space="0" w:color="auto"/>
        <w:right w:val="none" w:sz="0" w:space="0" w:color="auto"/>
      </w:divBdr>
    </w:div>
    <w:div w:id="940646107">
      <w:bodyDiv w:val="1"/>
      <w:marLeft w:val="0"/>
      <w:marRight w:val="0"/>
      <w:marTop w:val="0"/>
      <w:marBottom w:val="0"/>
      <w:divBdr>
        <w:top w:val="none" w:sz="0" w:space="0" w:color="auto"/>
        <w:left w:val="none" w:sz="0" w:space="0" w:color="auto"/>
        <w:bottom w:val="none" w:sz="0" w:space="0" w:color="auto"/>
        <w:right w:val="none" w:sz="0" w:space="0" w:color="auto"/>
      </w:divBdr>
      <w:divsChild>
        <w:div w:id="1452629864">
          <w:marLeft w:val="259"/>
          <w:marRight w:val="0"/>
          <w:marTop w:val="0"/>
          <w:marBottom w:val="139"/>
          <w:divBdr>
            <w:top w:val="none" w:sz="0" w:space="0" w:color="auto"/>
            <w:left w:val="none" w:sz="0" w:space="0" w:color="auto"/>
            <w:bottom w:val="none" w:sz="0" w:space="0" w:color="auto"/>
            <w:right w:val="none" w:sz="0" w:space="0" w:color="auto"/>
          </w:divBdr>
        </w:div>
      </w:divsChild>
    </w:div>
    <w:div w:id="1070467932">
      <w:bodyDiv w:val="1"/>
      <w:marLeft w:val="0"/>
      <w:marRight w:val="0"/>
      <w:marTop w:val="0"/>
      <w:marBottom w:val="0"/>
      <w:divBdr>
        <w:top w:val="none" w:sz="0" w:space="0" w:color="auto"/>
        <w:left w:val="none" w:sz="0" w:space="0" w:color="auto"/>
        <w:bottom w:val="none" w:sz="0" w:space="0" w:color="auto"/>
        <w:right w:val="none" w:sz="0" w:space="0" w:color="auto"/>
      </w:divBdr>
    </w:div>
    <w:div w:id="1158422366">
      <w:bodyDiv w:val="1"/>
      <w:marLeft w:val="0"/>
      <w:marRight w:val="0"/>
      <w:marTop w:val="0"/>
      <w:marBottom w:val="0"/>
      <w:divBdr>
        <w:top w:val="none" w:sz="0" w:space="0" w:color="auto"/>
        <w:left w:val="none" w:sz="0" w:space="0" w:color="auto"/>
        <w:bottom w:val="none" w:sz="0" w:space="0" w:color="auto"/>
        <w:right w:val="none" w:sz="0" w:space="0" w:color="auto"/>
      </w:divBdr>
      <w:divsChild>
        <w:div w:id="396052540">
          <w:marLeft w:val="259"/>
          <w:marRight w:val="0"/>
          <w:marTop w:val="0"/>
          <w:marBottom w:val="139"/>
          <w:divBdr>
            <w:top w:val="none" w:sz="0" w:space="0" w:color="auto"/>
            <w:left w:val="none" w:sz="0" w:space="0" w:color="auto"/>
            <w:bottom w:val="none" w:sz="0" w:space="0" w:color="auto"/>
            <w:right w:val="none" w:sz="0" w:space="0" w:color="auto"/>
          </w:divBdr>
        </w:div>
      </w:divsChild>
    </w:div>
    <w:div w:id="1161772668">
      <w:bodyDiv w:val="1"/>
      <w:marLeft w:val="0"/>
      <w:marRight w:val="0"/>
      <w:marTop w:val="0"/>
      <w:marBottom w:val="0"/>
      <w:divBdr>
        <w:top w:val="none" w:sz="0" w:space="0" w:color="auto"/>
        <w:left w:val="none" w:sz="0" w:space="0" w:color="auto"/>
        <w:bottom w:val="none" w:sz="0" w:space="0" w:color="auto"/>
        <w:right w:val="none" w:sz="0" w:space="0" w:color="auto"/>
      </w:divBdr>
      <w:divsChild>
        <w:div w:id="727651488">
          <w:marLeft w:val="130"/>
          <w:marRight w:val="0"/>
          <w:marTop w:val="0"/>
          <w:marBottom w:val="60"/>
          <w:divBdr>
            <w:top w:val="none" w:sz="0" w:space="0" w:color="auto"/>
            <w:left w:val="none" w:sz="0" w:space="0" w:color="auto"/>
            <w:bottom w:val="none" w:sz="0" w:space="0" w:color="auto"/>
            <w:right w:val="none" w:sz="0" w:space="0" w:color="auto"/>
          </w:divBdr>
        </w:div>
      </w:divsChild>
    </w:div>
    <w:div w:id="1195966564">
      <w:bodyDiv w:val="1"/>
      <w:marLeft w:val="0"/>
      <w:marRight w:val="0"/>
      <w:marTop w:val="0"/>
      <w:marBottom w:val="0"/>
      <w:divBdr>
        <w:top w:val="none" w:sz="0" w:space="0" w:color="auto"/>
        <w:left w:val="none" w:sz="0" w:space="0" w:color="auto"/>
        <w:bottom w:val="none" w:sz="0" w:space="0" w:color="auto"/>
        <w:right w:val="none" w:sz="0" w:space="0" w:color="auto"/>
      </w:divBdr>
    </w:div>
    <w:div w:id="1199129004">
      <w:bodyDiv w:val="1"/>
      <w:marLeft w:val="0"/>
      <w:marRight w:val="0"/>
      <w:marTop w:val="0"/>
      <w:marBottom w:val="0"/>
      <w:divBdr>
        <w:top w:val="none" w:sz="0" w:space="0" w:color="auto"/>
        <w:left w:val="none" w:sz="0" w:space="0" w:color="auto"/>
        <w:bottom w:val="none" w:sz="0" w:space="0" w:color="auto"/>
        <w:right w:val="none" w:sz="0" w:space="0" w:color="auto"/>
      </w:divBdr>
    </w:div>
    <w:div w:id="1266890282">
      <w:bodyDiv w:val="1"/>
      <w:marLeft w:val="0"/>
      <w:marRight w:val="0"/>
      <w:marTop w:val="0"/>
      <w:marBottom w:val="0"/>
      <w:divBdr>
        <w:top w:val="none" w:sz="0" w:space="0" w:color="auto"/>
        <w:left w:val="none" w:sz="0" w:space="0" w:color="auto"/>
        <w:bottom w:val="none" w:sz="0" w:space="0" w:color="auto"/>
        <w:right w:val="none" w:sz="0" w:space="0" w:color="auto"/>
      </w:divBdr>
      <w:divsChild>
        <w:div w:id="1637683660">
          <w:marLeft w:val="130"/>
          <w:marRight w:val="0"/>
          <w:marTop w:val="0"/>
          <w:marBottom w:val="60"/>
          <w:divBdr>
            <w:top w:val="none" w:sz="0" w:space="0" w:color="auto"/>
            <w:left w:val="none" w:sz="0" w:space="0" w:color="auto"/>
            <w:bottom w:val="none" w:sz="0" w:space="0" w:color="auto"/>
            <w:right w:val="none" w:sz="0" w:space="0" w:color="auto"/>
          </w:divBdr>
        </w:div>
      </w:divsChild>
    </w:div>
    <w:div w:id="1303654647">
      <w:bodyDiv w:val="1"/>
      <w:marLeft w:val="0"/>
      <w:marRight w:val="0"/>
      <w:marTop w:val="0"/>
      <w:marBottom w:val="0"/>
      <w:divBdr>
        <w:top w:val="none" w:sz="0" w:space="0" w:color="auto"/>
        <w:left w:val="none" w:sz="0" w:space="0" w:color="auto"/>
        <w:bottom w:val="none" w:sz="0" w:space="0" w:color="auto"/>
        <w:right w:val="none" w:sz="0" w:space="0" w:color="auto"/>
      </w:divBdr>
      <w:divsChild>
        <w:div w:id="108352840">
          <w:marLeft w:val="259"/>
          <w:marRight w:val="0"/>
          <w:marTop w:val="0"/>
          <w:marBottom w:val="139"/>
          <w:divBdr>
            <w:top w:val="none" w:sz="0" w:space="0" w:color="auto"/>
            <w:left w:val="none" w:sz="0" w:space="0" w:color="auto"/>
            <w:bottom w:val="none" w:sz="0" w:space="0" w:color="auto"/>
            <w:right w:val="none" w:sz="0" w:space="0" w:color="auto"/>
          </w:divBdr>
        </w:div>
      </w:divsChild>
    </w:div>
    <w:div w:id="1304890482">
      <w:bodyDiv w:val="1"/>
      <w:marLeft w:val="0"/>
      <w:marRight w:val="0"/>
      <w:marTop w:val="0"/>
      <w:marBottom w:val="0"/>
      <w:divBdr>
        <w:top w:val="none" w:sz="0" w:space="0" w:color="auto"/>
        <w:left w:val="none" w:sz="0" w:space="0" w:color="auto"/>
        <w:bottom w:val="none" w:sz="0" w:space="0" w:color="auto"/>
        <w:right w:val="none" w:sz="0" w:space="0" w:color="auto"/>
      </w:divBdr>
      <w:divsChild>
        <w:div w:id="1386875643">
          <w:marLeft w:val="259"/>
          <w:marRight w:val="0"/>
          <w:marTop w:val="0"/>
          <w:marBottom w:val="139"/>
          <w:divBdr>
            <w:top w:val="none" w:sz="0" w:space="0" w:color="auto"/>
            <w:left w:val="none" w:sz="0" w:space="0" w:color="auto"/>
            <w:bottom w:val="none" w:sz="0" w:space="0" w:color="auto"/>
            <w:right w:val="none" w:sz="0" w:space="0" w:color="auto"/>
          </w:divBdr>
        </w:div>
      </w:divsChild>
    </w:div>
    <w:div w:id="1336301712">
      <w:bodyDiv w:val="1"/>
      <w:marLeft w:val="0"/>
      <w:marRight w:val="0"/>
      <w:marTop w:val="0"/>
      <w:marBottom w:val="0"/>
      <w:divBdr>
        <w:top w:val="none" w:sz="0" w:space="0" w:color="auto"/>
        <w:left w:val="none" w:sz="0" w:space="0" w:color="auto"/>
        <w:bottom w:val="none" w:sz="0" w:space="0" w:color="auto"/>
        <w:right w:val="none" w:sz="0" w:space="0" w:color="auto"/>
      </w:divBdr>
      <w:divsChild>
        <w:div w:id="367806037">
          <w:marLeft w:val="446"/>
          <w:marRight w:val="0"/>
          <w:marTop w:val="0"/>
          <w:marBottom w:val="55"/>
          <w:divBdr>
            <w:top w:val="none" w:sz="0" w:space="0" w:color="auto"/>
            <w:left w:val="none" w:sz="0" w:space="0" w:color="auto"/>
            <w:bottom w:val="none" w:sz="0" w:space="0" w:color="auto"/>
            <w:right w:val="none" w:sz="0" w:space="0" w:color="auto"/>
          </w:divBdr>
        </w:div>
        <w:div w:id="1500343115">
          <w:marLeft w:val="446"/>
          <w:marRight w:val="0"/>
          <w:marTop w:val="0"/>
          <w:marBottom w:val="55"/>
          <w:divBdr>
            <w:top w:val="none" w:sz="0" w:space="0" w:color="auto"/>
            <w:left w:val="none" w:sz="0" w:space="0" w:color="auto"/>
            <w:bottom w:val="none" w:sz="0" w:space="0" w:color="auto"/>
            <w:right w:val="none" w:sz="0" w:space="0" w:color="auto"/>
          </w:divBdr>
        </w:div>
        <w:div w:id="1747022947">
          <w:marLeft w:val="446"/>
          <w:marRight w:val="0"/>
          <w:marTop w:val="0"/>
          <w:marBottom w:val="55"/>
          <w:divBdr>
            <w:top w:val="none" w:sz="0" w:space="0" w:color="auto"/>
            <w:left w:val="none" w:sz="0" w:space="0" w:color="auto"/>
            <w:bottom w:val="none" w:sz="0" w:space="0" w:color="auto"/>
            <w:right w:val="none" w:sz="0" w:space="0" w:color="auto"/>
          </w:divBdr>
        </w:div>
      </w:divsChild>
    </w:div>
    <w:div w:id="1437750452">
      <w:bodyDiv w:val="1"/>
      <w:marLeft w:val="0"/>
      <w:marRight w:val="0"/>
      <w:marTop w:val="0"/>
      <w:marBottom w:val="0"/>
      <w:divBdr>
        <w:top w:val="none" w:sz="0" w:space="0" w:color="auto"/>
        <w:left w:val="none" w:sz="0" w:space="0" w:color="auto"/>
        <w:bottom w:val="none" w:sz="0" w:space="0" w:color="auto"/>
        <w:right w:val="none" w:sz="0" w:space="0" w:color="auto"/>
      </w:divBdr>
      <w:divsChild>
        <w:div w:id="1005131491">
          <w:marLeft w:val="130"/>
          <w:marRight w:val="0"/>
          <w:marTop w:val="0"/>
          <w:marBottom w:val="60"/>
          <w:divBdr>
            <w:top w:val="none" w:sz="0" w:space="0" w:color="auto"/>
            <w:left w:val="none" w:sz="0" w:space="0" w:color="auto"/>
            <w:bottom w:val="none" w:sz="0" w:space="0" w:color="auto"/>
            <w:right w:val="none" w:sz="0" w:space="0" w:color="auto"/>
          </w:divBdr>
        </w:div>
        <w:div w:id="1412002723">
          <w:marLeft w:val="130"/>
          <w:marRight w:val="0"/>
          <w:marTop w:val="0"/>
          <w:marBottom w:val="60"/>
          <w:divBdr>
            <w:top w:val="none" w:sz="0" w:space="0" w:color="auto"/>
            <w:left w:val="none" w:sz="0" w:space="0" w:color="auto"/>
            <w:bottom w:val="none" w:sz="0" w:space="0" w:color="auto"/>
            <w:right w:val="none" w:sz="0" w:space="0" w:color="auto"/>
          </w:divBdr>
        </w:div>
        <w:div w:id="1462840482">
          <w:marLeft w:val="130"/>
          <w:marRight w:val="0"/>
          <w:marTop w:val="0"/>
          <w:marBottom w:val="60"/>
          <w:divBdr>
            <w:top w:val="none" w:sz="0" w:space="0" w:color="auto"/>
            <w:left w:val="none" w:sz="0" w:space="0" w:color="auto"/>
            <w:bottom w:val="none" w:sz="0" w:space="0" w:color="auto"/>
            <w:right w:val="none" w:sz="0" w:space="0" w:color="auto"/>
          </w:divBdr>
        </w:div>
      </w:divsChild>
    </w:div>
    <w:div w:id="1457412661">
      <w:bodyDiv w:val="1"/>
      <w:marLeft w:val="0"/>
      <w:marRight w:val="0"/>
      <w:marTop w:val="0"/>
      <w:marBottom w:val="0"/>
      <w:divBdr>
        <w:top w:val="none" w:sz="0" w:space="0" w:color="auto"/>
        <w:left w:val="none" w:sz="0" w:space="0" w:color="auto"/>
        <w:bottom w:val="none" w:sz="0" w:space="0" w:color="auto"/>
        <w:right w:val="none" w:sz="0" w:space="0" w:color="auto"/>
      </w:divBdr>
      <w:divsChild>
        <w:div w:id="84376460">
          <w:marLeft w:val="259"/>
          <w:marRight w:val="0"/>
          <w:marTop w:val="0"/>
          <w:marBottom w:val="139"/>
          <w:divBdr>
            <w:top w:val="none" w:sz="0" w:space="0" w:color="auto"/>
            <w:left w:val="none" w:sz="0" w:space="0" w:color="auto"/>
            <w:bottom w:val="none" w:sz="0" w:space="0" w:color="auto"/>
            <w:right w:val="none" w:sz="0" w:space="0" w:color="auto"/>
          </w:divBdr>
        </w:div>
      </w:divsChild>
    </w:div>
    <w:div w:id="1458525709">
      <w:bodyDiv w:val="1"/>
      <w:marLeft w:val="0"/>
      <w:marRight w:val="0"/>
      <w:marTop w:val="0"/>
      <w:marBottom w:val="0"/>
      <w:divBdr>
        <w:top w:val="none" w:sz="0" w:space="0" w:color="auto"/>
        <w:left w:val="none" w:sz="0" w:space="0" w:color="auto"/>
        <w:bottom w:val="none" w:sz="0" w:space="0" w:color="auto"/>
        <w:right w:val="none" w:sz="0" w:space="0" w:color="auto"/>
      </w:divBdr>
    </w:div>
    <w:div w:id="1486237579">
      <w:bodyDiv w:val="1"/>
      <w:marLeft w:val="0"/>
      <w:marRight w:val="0"/>
      <w:marTop w:val="0"/>
      <w:marBottom w:val="0"/>
      <w:divBdr>
        <w:top w:val="none" w:sz="0" w:space="0" w:color="auto"/>
        <w:left w:val="none" w:sz="0" w:space="0" w:color="auto"/>
        <w:bottom w:val="none" w:sz="0" w:space="0" w:color="auto"/>
        <w:right w:val="none" w:sz="0" w:space="0" w:color="auto"/>
      </w:divBdr>
    </w:div>
    <w:div w:id="1753159604">
      <w:bodyDiv w:val="1"/>
      <w:marLeft w:val="0"/>
      <w:marRight w:val="0"/>
      <w:marTop w:val="0"/>
      <w:marBottom w:val="0"/>
      <w:divBdr>
        <w:top w:val="none" w:sz="0" w:space="0" w:color="auto"/>
        <w:left w:val="none" w:sz="0" w:space="0" w:color="auto"/>
        <w:bottom w:val="none" w:sz="0" w:space="0" w:color="auto"/>
        <w:right w:val="none" w:sz="0" w:space="0" w:color="auto"/>
      </w:divBdr>
    </w:div>
    <w:div w:id="1909068090">
      <w:bodyDiv w:val="1"/>
      <w:marLeft w:val="0"/>
      <w:marRight w:val="0"/>
      <w:marTop w:val="0"/>
      <w:marBottom w:val="0"/>
      <w:divBdr>
        <w:top w:val="none" w:sz="0" w:space="0" w:color="auto"/>
        <w:left w:val="none" w:sz="0" w:space="0" w:color="auto"/>
        <w:bottom w:val="none" w:sz="0" w:space="0" w:color="auto"/>
        <w:right w:val="none" w:sz="0" w:space="0" w:color="auto"/>
      </w:divBdr>
      <w:divsChild>
        <w:div w:id="706683086">
          <w:marLeft w:val="446"/>
          <w:marRight w:val="0"/>
          <w:marTop w:val="0"/>
          <w:marBottom w:val="55"/>
          <w:divBdr>
            <w:top w:val="none" w:sz="0" w:space="0" w:color="auto"/>
            <w:left w:val="none" w:sz="0" w:space="0" w:color="auto"/>
            <w:bottom w:val="none" w:sz="0" w:space="0" w:color="auto"/>
            <w:right w:val="none" w:sz="0" w:space="0" w:color="auto"/>
          </w:divBdr>
        </w:div>
        <w:div w:id="1227914028">
          <w:marLeft w:val="446"/>
          <w:marRight w:val="0"/>
          <w:marTop w:val="0"/>
          <w:marBottom w:val="55"/>
          <w:divBdr>
            <w:top w:val="none" w:sz="0" w:space="0" w:color="auto"/>
            <w:left w:val="none" w:sz="0" w:space="0" w:color="auto"/>
            <w:bottom w:val="none" w:sz="0" w:space="0" w:color="auto"/>
            <w:right w:val="none" w:sz="0" w:space="0" w:color="auto"/>
          </w:divBdr>
        </w:div>
        <w:div w:id="1244146939">
          <w:marLeft w:val="446"/>
          <w:marRight w:val="0"/>
          <w:marTop w:val="0"/>
          <w:marBottom w:val="55"/>
          <w:divBdr>
            <w:top w:val="none" w:sz="0" w:space="0" w:color="auto"/>
            <w:left w:val="none" w:sz="0" w:space="0" w:color="auto"/>
            <w:bottom w:val="none" w:sz="0" w:space="0" w:color="auto"/>
            <w:right w:val="none" w:sz="0" w:space="0" w:color="auto"/>
          </w:divBdr>
        </w:div>
      </w:divsChild>
    </w:div>
    <w:div w:id="1954241537">
      <w:bodyDiv w:val="1"/>
      <w:marLeft w:val="0"/>
      <w:marRight w:val="0"/>
      <w:marTop w:val="0"/>
      <w:marBottom w:val="0"/>
      <w:divBdr>
        <w:top w:val="none" w:sz="0" w:space="0" w:color="auto"/>
        <w:left w:val="none" w:sz="0" w:space="0" w:color="auto"/>
        <w:bottom w:val="none" w:sz="0" w:space="0" w:color="auto"/>
        <w:right w:val="none" w:sz="0" w:space="0" w:color="auto"/>
      </w:divBdr>
    </w:div>
    <w:div w:id="2010520059">
      <w:bodyDiv w:val="1"/>
      <w:marLeft w:val="0"/>
      <w:marRight w:val="0"/>
      <w:marTop w:val="0"/>
      <w:marBottom w:val="0"/>
      <w:divBdr>
        <w:top w:val="none" w:sz="0" w:space="0" w:color="auto"/>
        <w:left w:val="none" w:sz="0" w:space="0" w:color="auto"/>
        <w:bottom w:val="none" w:sz="0" w:space="0" w:color="auto"/>
        <w:right w:val="none" w:sz="0" w:space="0" w:color="auto"/>
      </w:divBdr>
      <w:divsChild>
        <w:div w:id="658775512">
          <w:marLeft w:val="259"/>
          <w:marRight w:val="0"/>
          <w:marTop w:val="0"/>
          <w:marBottom w:val="139"/>
          <w:divBdr>
            <w:top w:val="none" w:sz="0" w:space="0" w:color="auto"/>
            <w:left w:val="none" w:sz="0" w:space="0" w:color="auto"/>
            <w:bottom w:val="none" w:sz="0" w:space="0" w:color="auto"/>
            <w:right w:val="none" w:sz="0" w:space="0" w:color="auto"/>
          </w:divBdr>
        </w:div>
      </w:divsChild>
    </w:div>
    <w:div w:id="212168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achieve.org.nz/" TargetMode="External"/><Relationship Id="rId3" Type="http://schemas.openxmlformats.org/officeDocument/2006/relationships/customXml" Target="../customXml/item3.xml"/><Relationship Id="rId21" Type="http://schemas.openxmlformats.org/officeDocument/2006/relationships/image" Target="media/image4.sv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blcw.dss.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hyperlink" Target="https://www.siho.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yperlink" Target="https://www.ahead.ie/"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hyperlink" Target="https://www.ahead.org/" TargetMode="External"/><Relationship Id="rId30" Type="http://schemas.openxmlformats.org/officeDocument/2006/relationships/header" Target="header8.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ara.Reinisch\Downloads\Quantitative-Repor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640D65368A9C4D87967440834C449B" ma:contentTypeVersion="6" ma:contentTypeDescription="Create a new document." ma:contentTypeScope="" ma:versionID="3a7253794faa0090b59ceeaacaabaf69">
  <xsd:schema xmlns:xsd="http://www.w3.org/2001/XMLSchema" xmlns:xs="http://www.w3.org/2001/XMLSchema" xmlns:p="http://schemas.microsoft.com/office/2006/metadata/properties" xmlns:ns2="1697eea9-d9e8-43cf-b6eb-470e5a4b1430" xmlns:ns3="b1cda63c-a20b-42f5-b8ec-be60e0c2cdb9" targetNamespace="http://schemas.microsoft.com/office/2006/metadata/properties" ma:root="true" ma:fieldsID="be85b518e72b0c6355381c8949fab2a7" ns2:_="" ns3:_="">
    <xsd:import namespace="1697eea9-d9e8-43cf-b6eb-470e5a4b1430"/>
    <xsd:import namespace="b1cda63c-a20b-42f5-b8ec-be60e0c2cd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7eea9-d9e8-43cf-b6eb-470e5a4b1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cda63c-a20b-42f5-b8ec-be60e0c2cd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915BC9-47F6-452F-A7F3-2CD00AF35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7eea9-d9e8-43cf-b6eb-470e5a4b1430"/>
    <ds:schemaRef ds:uri="b1cda63c-a20b-42f5-b8ec-be60e0c2c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2E9BB-D878-429E-94E4-48E471F3CC38}">
  <ds:schemaRefs>
    <ds:schemaRef ds:uri="http://schemas.openxmlformats.org/officeDocument/2006/bibliography"/>
  </ds:schemaRefs>
</ds:datastoreItem>
</file>

<file path=customXml/itemProps3.xml><?xml version="1.0" encoding="utf-8"?>
<ds:datastoreItem xmlns:ds="http://schemas.openxmlformats.org/officeDocument/2006/customXml" ds:itemID="{AB1929B4-FDAD-4907-8041-1D580F6BA66C}">
  <ds:schemaRefs>
    <ds:schemaRef ds:uri="http://schemas.microsoft.com/sharepoint/v3/contenttype/forms"/>
  </ds:schemaRefs>
</ds:datastoreItem>
</file>

<file path=customXml/itemProps4.xml><?xml version="1.0" encoding="utf-8"?>
<ds:datastoreItem xmlns:ds="http://schemas.openxmlformats.org/officeDocument/2006/customXml" ds:itemID="{497471EB-11B6-449F-9B86-A48406603884}">
  <ds:schemaRefs>
    <ds:schemaRef ds:uri="http://schemas.microsoft.com/office/2006/metadata/properties"/>
    <ds:schemaRef ds:uri="http://schemas.microsoft.com/office/2006/documentManagement/types"/>
    <ds:schemaRef ds:uri="b1cda63c-a20b-42f5-b8ec-be60e0c2cdb9"/>
    <ds:schemaRef ds:uri="http://purl.org/dc/dcmitype/"/>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1697eea9-d9e8-43cf-b6eb-470e5a4b1430"/>
  </ds:schemaRefs>
</ds:datastoreItem>
</file>

<file path=docProps/app.xml><?xml version="1.0" encoding="utf-8"?>
<Properties xmlns="http://schemas.openxmlformats.org/officeDocument/2006/extended-properties" xmlns:vt="http://schemas.openxmlformats.org/officeDocument/2006/docPropsVTypes">
  <Template>Quantitative-Report-Template.dotx</Template>
  <TotalTime>4</TotalTime>
  <Pages>40</Pages>
  <Words>16300</Words>
  <Characters>84924</Characters>
  <Application>Microsoft Office Word</Application>
  <DocSecurity>0</DocSecurity>
  <Lines>14154</Lines>
  <Paragraphs>3374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97850</CharactersWithSpaces>
  <SharedDoc>false</SharedDoc>
  <HLinks>
    <vt:vector size="204" baseType="variant">
      <vt:variant>
        <vt:i4>196624</vt:i4>
      </vt:variant>
      <vt:variant>
        <vt:i4>201</vt:i4>
      </vt:variant>
      <vt:variant>
        <vt:i4>0</vt:i4>
      </vt:variant>
      <vt:variant>
        <vt:i4>5</vt:i4>
      </vt:variant>
      <vt:variant>
        <vt:lpwstr>https://www.siho.be/</vt:lpwstr>
      </vt:variant>
      <vt:variant>
        <vt:lpwstr/>
      </vt:variant>
      <vt:variant>
        <vt:i4>655433</vt:i4>
      </vt:variant>
      <vt:variant>
        <vt:i4>198</vt:i4>
      </vt:variant>
      <vt:variant>
        <vt:i4>0</vt:i4>
      </vt:variant>
      <vt:variant>
        <vt:i4>5</vt:i4>
      </vt:variant>
      <vt:variant>
        <vt:lpwstr>https://www.ahead.ie/</vt:lpwstr>
      </vt:variant>
      <vt:variant>
        <vt:lpwstr/>
      </vt:variant>
      <vt:variant>
        <vt:i4>3276840</vt:i4>
      </vt:variant>
      <vt:variant>
        <vt:i4>195</vt:i4>
      </vt:variant>
      <vt:variant>
        <vt:i4>0</vt:i4>
      </vt:variant>
      <vt:variant>
        <vt:i4>5</vt:i4>
      </vt:variant>
      <vt:variant>
        <vt:lpwstr>https://www.ahead.org/</vt:lpwstr>
      </vt:variant>
      <vt:variant>
        <vt:lpwstr/>
      </vt:variant>
      <vt:variant>
        <vt:i4>3932207</vt:i4>
      </vt:variant>
      <vt:variant>
        <vt:i4>192</vt:i4>
      </vt:variant>
      <vt:variant>
        <vt:i4>0</vt:i4>
      </vt:variant>
      <vt:variant>
        <vt:i4>5</vt:i4>
      </vt:variant>
      <vt:variant>
        <vt:lpwstr>https://www.achieve.org.nz/</vt:lpwstr>
      </vt:variant>
      <vt:variant>
        <vt:lpwstr/>
      </vt:variant>
      <vt:variant>
        <vt:i4>4325382</vt:i4>
      </vt:variant>
      <vt:variant>
        <vt:i4>189</vt:i4>
      </vt:variant>
      <vt:variant>
        <vt:i4>0</vt:i4>
      </vt:variant>
      <vt:variant>
        <vt:i4>5</vt:i4>
      </vt:variant>
      <vt:variant>
        <vt:lpwstr>https://blcw.dss.gov.au/</vt:lpwstr>
      </vt:variant>
      <vt:variant>
        <vt:lpwstr/>
      </vt:variant>
      <vt:variant>
        <vt:i4>1835059</vt:i4>
      </vt:variant>
      <vt:variant>
        <vt:i4>170</vt:i4>
      </vt:variant>
      <vt:variant>
        <vt:i4>0</vt:i4>
      </vt:variant>
      <vt:variant>
        <vt:i4>5</vt:i4>
      </vt:variant>
      <vt:variant>
        <vt:lpwstr/>
      </vt:variant>
      <vt:variant>
        <vt:lpwstr>_Toc95298403</vt:lpwstr>
      </vt:variant>
      <vt:variant>
        <vt:i4>1900595</vt:i4>
      </vt:variant>
      <vt:variant>
        <vt:i4>164</vt:i4>
      </vt:variant>
      <vt:variant>
        <vt:i4>0</vt:i4>
      </vt:variant>
      <vt:variant>
        <vt:i4>5</vt:i4>
      </vt:variant>
      <vt:variant>
        <vt:lpwstr/>
      </vt:variant>
      <vt:variant>
        <vt:lpwstr>_Toc95298402</vt:lpwstr>
      </vt:variant>
      <vt:variant>
        <vt:i4>1966131</vt:i4>
      </vt:variant>
      <vt:variant>
        <vt:i4>158</vt:i4>
      </vt:variant>
      <vt:variant>
        <vt:i4>0</vt:i4>
      </vt:variant>
      <vt:variant>
        <vt:i4>5</vt:i4>
      </vt:variant>
      <vt:variant>
        <vt:lpwstr/>
      </vt:variant>
      <vt:variant>
        <vt:lpwstr>_Toc95298401</vt:lpwstr>
      </vt:variant>
      <vt:variant>
        <vt:i4>2031667</vt:i4>
      </vt:variant>
      <vt:variant>
        <vt:i4>152</vt:i4>
      </vt:variant>
      <vt:variant>
        <vt:i4>0</vt:i4>
      </vt:variant>
      <vt:variant>
        <vt:i4>5</vt:i4>
      </vt:variant>
      <vt:variant>
        <vt:lpwstr/>
      </vt:variant>
      <vt:variant>
        <vt:lpwstr>_Toc95298400</vt:lpwstr>
      </vt:variant>
      <vt:variant>
        <vt:i4>1114170</vt:i4>
      </vt:variant>
      <vt:variant>
        <vt:i4>146</vt:i4>
      </vt:variant>
      <vt:variant>
        <vt:i4>0</vt:i4>
      </vt:variant>
      <vt:variant>
        <vt:i4>5</vt:i4>
      </vt:variant>
      <vt:variant>
        <vt:lpwstr/>
      </vt:variant>
      <vt:variant>
        <vt:lpwstr>_Toc95298399</vt:lpwstr>
      </vt:variant>
      <vt:variant>
        <vt:i4>1048634</vt:i4>
      </vt:variant>
      <vt:variant>
        <vt:i4>140</vt:i4>
      </vt:variant>
      <vt:variant>
        <vt:i4>0</vt:i4>
      </vt:variant>
      <vt:variant>
        <vt:i4>5</vt:i4>
      </vt:variant>
      <vt:variant>
        <vt:lpwstr/>
      </vt:variant>
      <vt:variant>
        <vt:lpwstr>_Toc95298398</vt:lpwstr>
      </vt:variant>
      <vt:variant>
        <vt:i4>2031674</vt:i4>
      </vt:variant>
      <vt:variant>
        <vt:i4>134</vt:i4>
      </vt:variant>
      <vt:variant>
        <vt:i4>0</vt:i4>
      </vt:variant>
      <vt:variant>
        <vt:i4>5</vt:i4>
      </vt:variant>
      <vt:variant>
        <vt:lpwstr/>
      </vt:variant>
      <vt:variant>
        <vt:lpwstr>_Toc95298397</vt:lpwstr>
      </vt:variant>
      <vt:variant>
        <vt:i4>1966138</vt:i4>
      </vt:variant>
      <vt:variant>
        <vt:i4>128</vt:i4>
      </vt:variant>
      <vt:variant>
        <vt:i4>0</vt:i4>
      </vt:variant>
      <vt:variant>
        <vt:i4>5</vt:i4>
      </vt:variant>
      <vt:variant>
        <vt:lpwstr/>
      </vt:variant>
      <vt:variant>
        <vt:lpwstr>_Toc95298396</vt:lpwstr>
      </vt:variant>
      <vt:variant>
        <vt:i4>1900602</vt:i4>
      </vt:variant>
      <vt:variant>
        <vt:i4>122</vt:i4>
      </vt:variant>
      <vt:variant>
        <vt:i4>0</vt:i4>
      </vt:variant>
      <vt:variant>
        <vt:i4>5</vt:i4>
      </vt:variant>
      <vt:variant>
        <vt:lpwstr/>
      </vt:variant>
      <vt:variant>
        <vt:lpwstr>_Toc95298395</vt:lpwstr>
      </vt:variant>
      <vt:variant>
        <vt:i4>1835066</vt:i4>
      </vt:variant>
      <vt:variant>
        <vt:i4>116</vt:i4>
      </vt:variant>
      <vt:variant>
        <vt:i4>0</vt:i4>
      </vt:variant>
      <vt:variant>
        <vt:i4>5</vt:i4>
      </vt:variant>
      <vt:variant>
        <vt:lpwstr/>
      </vt:variant>
      <vt:variant>
        <vt:lpwstr>_Toc95298394</vt:lpwstr>
      </vt:variant>
      <vt:variant>
        <vt:i4>1769530</vt:i4>
      </vt:variant>
      <vt:variant>
        <vt:i4>110</vt:i4>
      </vt:variant>
      <vt:variant>
        <vt:i4>0</vt:i4>
      </vt:variant>
      <vt:variant>
        <vt:i4>5</vt:i4>
      </vt:variant>
      <vt:variant>
        <vt:lpwstr/>
      </vt:variant>
      <vt:variant>
        <vt:lpwstr>_Toc95298393</vt:lpwstr>
      </vt:variant>
      <vt:variant>
        <vt:i4>1703994</vt:i4>
      </vt:variant>
      <vt:variant>
        <vt:i4>104</vt:i4>
      </vt:variant>
      <vt:variant>
        <vt:i4>0</vt:i4>
      </vt:variant>
      <vt:variant>
        <vt:i4>5</vt:i4>
      </vt:variant>
      <vt:variant>
        <vt:lpwstr/>
      </vt:variant>
      <vt:variant>
        <vt:lpwstr>_Toc95298392</vt:lpwstr>
      </vt:variant>
      <vt:variant>
        <vt:i4>1638458</vt:i4>
      </vt:variant>
      <vt:variant>
        <vt:i4>98</vt:i4>
      </vt:variant>
      <vt:variant>
        <vt:i4>0</vt:i4>
      </vt:variant>
      <vt:variant>
        <vt:i4>5</vt:i4>
      </vt:variant>
      <vt:variant>
        <vt:lpwstr/>
      </vt:variant>
      <vt:variant>
        <vt:lpwstr>_Toc95298391</vt:lpwstr>
      </vt:variant>
      <vt:variant>
        <vt:i4>1572922</vt:i4>
      </vt:variant>
      <vt:variant>
        <vt:i4>92</vt:i4>
      </vt:variant>
      <vt:variant>
        <vt:i4>0</vt:i4>
      </vt:variant>
      <vt:variant>
        <vt:i4>5</vt:i4>
      </vt:variant>
      <vt:variant>
        <vt:lpwstr/>
      </vt:variant>
      <vt:variant>
        <vt:lpwstr>_Toc95298390</vt:lpwstr>
      </vt:variant>
      <vt:variant>
        <vt:i4>1114171</vt:i4>
      </vt:variant>
      <vt:variant>
        <vt:i4>86</vt:i4>
      </vt:variant>
      <vt:variant>
        <vt:i4>0</vt:i4>
      </vt:variant>
      <vt:variant>
        <vt:i4>5</vt:i4>
      </vt:variant>
      <vt:variant>
        <vt:lpwstr/>
      </vt:variant>
      <vt:variant>
        <vt:lpwstr>_Toc95298389</vt:lpwstr>
      </vt:variant>
      <vt:variant>
        <vt:i4>1048635</vt:i4>
      </vt:variant>
      <vt:variant>
        <vt:i4>80</vt:i4>
      </vt:variant>
      <vt:variant>
        <vt:i4>0</vt:i4>
      </vt:variant>
      <vt:variant>
        <vt:i4>5</vt:i4>
      </vt:variant>
      <vt:variant>
        <vt:lpwstr/>
      </vt:variant>
      <vt:variant>
        <vt:lpwstr>_Toc95298388</vt:lpwstr>
      </vt:variant>
      <vt:variant>
        <vt:i4>2031675</vt:i4>
      </vt:variant>
      <vt:variant>
        <vt:i4>74</vt:i4>
      </vt:variant>
      <vt:variant>
        <vt:i4>0</vt:i4>
      </vt:variant>
      <vt:variant>
        <vt:i4>5</vt:i4>
      </vt:variant>
      <vt:variant>
        <vt:lpwstr/>
      </vt:variant>
      <vt:variant>
        <vt:lpwstr>_Toc95298387</vt:lpwstr>
      </vt:variant>
      <vt:variant>
        <vt:i4>1966139</vt:i4>
      </vt:variant>
      <vt:variant>
        <vt:i4>68</vt:i4>
      </vt:variant>
      <vt:variant>
        <vt:i4>0</vt:i4>
      </vt:variant>
      <vt:variant>
        <vt:i4>5</vt:i4>
      </vt:variant>
      <vt:variant>
        <vt:lpwstr/>
      </vt:variant>
      <vt:variant>
        <vt:lpwstr>_Toc95298386</vt:lpwstr>
      </vt:variant>
      <vt:variant>
        <vt:i4>1900603</vt:i4>
      </vt:variant>
      <vt:variant>
        <vt:i4>62</vt:i4>
      </vt:variant>
      <vt:variant>
        <vt:i4>0</vt:i4>
      </vt:variant>
      <vt:variant>
        <vt:i4>5</vt:i4>
      </vt:variant>
      <vt:variant>
        <vt:lpwstr/>
      </vt:variant>
      <vt:variant>
        <vt:lpwstr>_Toc95298385</vt:lpwstr>
      </vt:variant>
      <vt:variant>
        <vt:i4>1835067</vt:i4>
      </vt:variant>
      <vt:variant>
        <vt:i4>56</vt:i4>
      </vt:variant>
      <vt:variant>
        <vt:i4>0</vt:i4>
      </vt:variant>
      <vt:variant>
        <vt:i4>5</vt:i4>
      </vt:variant>
      <vt:variant>
        <vt:lpwstr/>
      </vt:variant>
      <vt:variant>
        <vt:lpwstr>_Toc95298384</vt:lpwstr>
      </vt:variant>
      <vt:variant>
        <vt:i4>1769531</vt:i4>
      </vt:variant>
      <vt:variant>
        <vt:i4>50</vt:i4>
      </vt:variant>
      <vt:variant>
        <vt:i4>0</vt:i4>
      </vt:variant>
      <vt:variant>
        <vt:i4>5</vt:i4>
      </vt:variant>
      <vt:variant>
        <vt:lpwstr/>
      </vt:variant>
      <vt:variant>
        <vt:lpwstr>_Toc95298383</vt:lpwstr>
      </vt:variant>
      <vt:variant>
        <vt:i4>1703995</vt:i4>
      </vt:variant>
      <vt:variant>
        <vt:i4>44</vt:i4>
      </vt:variant>
      <vt:variant>
        <vt:i4>0</vt:i4>
      </vt:variant>
      <vt:variant>
        <vt:i4>5</vt:i4>
      </vt:variant>
      <vt:variant>
        <vt:lpwstr/>
      </vt:variant>
      <vt:variant>
        <vt:lpwstr>_Toc95298382</vt:lpwstr>
      </vt:variant>
      <vt:variant>
        <vt:i4>1638459</vt:i4>
      </vt:variant>
      <vt:variant>
        <vt:i4>38</vt:i4>
      </vt:variant>
      <vt:variant>
        <vt:i4>0</vt:i4>
      </vt:variant>
      <vt:variant>
        <vt:i4>5</vt:i4>
      </vt:variant>
      <vt:variant>
        <vt:lpwstr/>
      </vt:variant>
      <vt:variant>
        <vt:lpwstr>_Toc95298381</vt:lpwstr>
      </vt:variant>
      <vt:variant>
        <vt:i4>1572923</vt:i4>
      </vt:variant>
      <vt:variant>
        <vt:i4>32</vt:i4>
      </vt:variant>
      <vt:variant>
        <vt:i4>0</vt:i4>
      </vt:variant>
      <vt:variant>
        <vt:i4>5</vt:i4>
      </vt:variant>
      <vt:variant>
        <vt:lpwstr/>
      </vt:variant>
      <vt:variant>
        <vt:lpwstr>_Toc95298380</vt:lpwstr>
      </vt:variant>
      <vt:variant>
        <vt:i4>1114164</vt:i4>
      </vt:variant>
      <vt:variant>
        <vt:i4>26</vt:i4>
      </vt:variant>
      <vt:variant>
        <vt:i4>0</vt:i4>
      </vt:variant>
      <vt:variant>
        <vt:i4>5</vt:i4>
      </vt:variant>
      <vt:variant>
        <vt:lpwstr/>
      </vt:variant>
      <vt:variant>
        <vt:lpwstr>_Toc95298379</vt:lpwstr>
      </vt:variant>
      <vt:variant>
        <vt:i4>1048628</vt:i4>
      </vt:variant>
      <vt:variant>
        <vt:i4>20</vt:i4>
      </vt:variant>
      <vt:variant>
        <vt:i4>0</vt:i4>
      </vt:variant>
      <vt:variant>
        <vt:i4>5</vt:i4>
      </vt:variant>
      <vt:variant>
        <vt:lpwstr/>
      </vt:variant>
      <vt:variant>
        <vt:lpwstr>_Toc95298378</vt:lpwstr>
      </vt:variant>
      <vt:variant>
        <vt:i4>2031668</vt:i4>
      </vt:variant>
      <vt:variant>
        <vt:i4>14</vt:i4>
      </vt:variant>
      <vt:variant>
        <vt:i4>0</vt:i4>
      </vt:variant>
      <vt:variant>
        <vt:i4>5</vt:i4>
      </vt:variant>
      <vt:variant>
        <vt:lpwstr/>
      </vt:variant>
      <vt:variant>
        <vt:lpwstr>_Toc95298377</vt:lpwstr>
      </vt:variant>
      <vt:variant>
        <vt:i4>1966132</vt:i4>
      </vt:variant>
      <vt:variant>
        <vt:i4>8</vt:i4>
      </vt:variant>
      <vt:variant>
        <vt:i4>0</vt:i4>
      </vt:variant>
      <vt:variant>
        <vt:i4>5</vt:i4>
      </vt:variant>
      <vt:variant>
        <vt:lpwstr/>
      </vt:variant>
      <vt:variant>
        <vt:lpwstr>_Toc95298376</vt:lpwstr>
      </vt:variant>
      <vt:variant>
        <vt:i4>1900596</vt:i4>
      </vt:variant>
      <vt:variant>
        <vt:i4>2</vt:i4>
      </vt:variant>
      <vt:variant>
        <vt:i4>0</vt:i4>
      </vt:variant>
      <vt:variant>
        <vt:i4>5</vt:i4>
      </vt:variant>
      <vt:variant>
        <vt:lpwstr/>
      </vt:variant>
      <vt:variant>
        <vt:lpwstr>_Toc95298375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Reinisch</dc:creator>
  <cp:keywords/>
  <cp:lastModifiedBy>Tamara Reinisch</cp:lastModifiedBy>
  <cp:revision>3</cp:revision>
  <cp:lastPrinted>2022-03-11T02:46:00Z</cp:lastPrinted>
  <dcterms:created xsi:type="dcterms:W3CDTF">2022-03-11T02:46:00Z</dcterms:created>
  <dcterms:modified xsi:type="dcterms:W3CDTF">2022-03-11T02:49:00Z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5a2228-21e6-4321-8159-2aecc625ba09_Enabled">
    <vt:lpwstr>true</vt:lpwstr>
  </property>
  <property fmtid="{D5CDD505-2E9C-101B-9397-08002B2CF9AE}" pid="3" name="MSIP_Label_255a2228-21e6-4321-8159-2aecc625ba09_SetDate">
    <vt:lpwstr>2022-01-22T02:05:34Z</vt:lpwstr>
  </property>
  <property fmtid="{D5CDD505-2E9C-101B-9397-08002B2CF9AE}" pid="4" name="MSIP_Label_255a2228-21e6-4321-8159-2aecc625ba09_Method">
    <vt:lpwstr>Standard</vt:lpwstr>
  </property>
  <property fmtid="{D5CDD505-2E9C-101B-9397-08002B2CF9AE}" pid="5" name="MSIP_Label_255a2228-21e6-4321-8159-2aecc625ba09_Name">
    <vt:lpwstr>CONFIDENTIAL_0</vt:lpwstr>
  </property>
  <property fmtid="{D5CDD505-2E9C-101B-9397-08002B2CF9AE}" pid="6" name="MSIP_Label_255a2228-21e6-4321-8159-2aecc625ba09_SiteId">
    <vt:lpwstr>d42cc95a-d436-45e3-bfe6-1192d0ece130</vt:lpwstr>
  </property>
  <property fmtid="{D5CDD505-2E9C-101B-9397-08002B2CF9AE}" pid="7" name="MSIP_Label_255a2228-21e6-4321-8159-2aecc625ba09_ActionId">
    <vt:lpwstr>74f56931-1d00-4d57-bb15-b58ca86014dc</vt:lpwstr>
  </property>
  <property fmtid="{D5CDD505-2E9C-101B-9397-08002B2CF9AE}" pid="8" name="MSIP_Label_255a2228-21e6-4321-8159-2aecc625ba09_ContentBits">
    <vt:lpwstr>0</vt:lpwstr>
  </property>
  <property fmtid="{D5CDD505-2E9C-101B-9397-08002B2CF9AE}" pid="9" name="ContentTypeId">
    <vt:lpwstr>0x0101005B640D65368A9C4D87967440834C449B</vt:lpwstr>
  </property>
</Properties>
</file>