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41B53" w14:textId="66EA1FBC" w:rsidR="006E5D6E" w:rsidRDefault="000001DB" w:rsidP="00352672">
      <w:pPr>
        <w:pStyle w:val="Heading3"/>
      </w:pPr>
      <w:r>
        <w:rPr>
          <w:noProof/>
        </w:rPr>
        <w:drawing>
          <wp:inline distT="0" distB="0" distL="0" distR="0" wp14:anchorId="3ED06DA0" wp14:editId="05288762">
            <wp:extent cx="1562100" cy="783118"/>
            <wp:effectExtent l="0" t="0" r="0" b="0"/>
            <wp:docPr id="6" name="Picture 6"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pic:cNvPicPr/>
                  </pic:nvPicPr>
                  <pic:blipFill>
                    <a:blip r:embed="rId11"/>
                    <a:stretch>
                      <a:fillRect/>
                    </a:stretch>
                  </pic:blipFill>
                  <pic:spPr>
                    <a:xfrm>
                      <a:off x="0" y="0"/>
                      <a:ext cx="1661432" cy="832915"/>
                    </a:xfrm>
                    <a:prstGeom prst="rect">
                      <a:avLst/>
                    </a:prstGeom>
                  </pic:spPr>
                </pic:pic>
              </a:graphicData>
            </a:graphic>
          </wp:inline>
        </w:drawing>
      </w:r>
      <w:r w:rsidR="003C5C39">
        <w:rPr>
          <w:noProof/>
          <w:lang w:eastAsia="en-AU"/>
        </w:rPr>
        <w:drawing>
          <wp:anchor distT="0" distB="0" distL="114300" distR="114300" simplePos="0" relativeHeight="251658240" behindDoc="1" locked="0" layoutInCell="1" allowOverlap="1" wp14:anchorId="06111E6A" wp14:editId="1BB6F0CA">
            <wp:simplePos x="0" y="0"/>
            <wp:positionH relativeFrom="column">
              <wp:posOffset>-1018078</wp:posOffset>
            </wp:positionH>
            <wp:positionV relativeFrom="page">
              <wp:align>bottom</wp:align>
            </wp:positionV>
            <wp:extent cx="10698480" cy="10654145"/>
            <wp:effectExtent l="0" t="0" r="7620" b="0"/>
            <wp:wrapNone/>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pic:nvPicPr>
                  <pic:blipFill>
                    <a:blip r:embed="rId12"/>
                    <a:stretch>
                      <a:fillRect/>
                    </a:stretch>
                  </pic:blipFill>
                  <pic:spPr>
                    <a:xfrm>
                      <a:off x="0" y="0"/>
                      <a:ext cx="10698480" cy="10654145"/>
                    </a:xfrm>
                    <a:prstGeom prst="rect">
                      <a:avLst/>
                    </a:prstGeom>
                  </pic:spPr>
                </pic:pic>
              </a:graphicData>
            </a:graphic>
            <wp14:sizeRelH relativeFrom="page">
              <wp14:pctWidth>0</wp14:pctWidth>
            </wp14:sizeRelH>
            <wp14:sizeRelV relativeFrom="page">
              <wp14:pctHeight>0</wp14:pctHeight>
            </wp14:sizeRelV>
          </wp:anchor>
        </w:drawing>
      </w:r>
    </w:p>
    <w:p w14:paraId="74B91BC3" w14:textId="7A67E22E" w:rsidR="00930CDA" w:rsidRDefault="00930CDA" w:rsidP="00930CDA">
      <w:pPr>
        <w:spacing w:after="160" w:line="720" w:lineRule="auto"/>
        <w:rPr>
          <w:noProof/>
          <w:lang w:eastAsia="en-AU"/>
        </w:rPr>
      </w:pPr>
    </w:p>
    <w:p w14:paraId="2E4C0056" w14:textId="7501CB7E" w:rsidR="007855CC" w:rsidRPr="00950437" w:rsidRDefault="006773E6" w:rsidP="00950437">
      <w:pPr>
        <w:pStyle w:val="Title"/>
        <w:spacing w:line="240" w:lineRule="auto"/>
        <w:ind w:left="1276"/>
        <w:rPr>
          <w:bCs/>
          <w:noProof/>
          <w:lang w:eastAsia="en-AU"/>
        </w:rPr>
      </w:pPr>
      <w:r>
        <w:rPr>
          <w:noProof/>
          <w:lang w:eastAsia="en-AU"/>
        </w:rPr>
        <w:t>Australian Go</w:t>
      </w:r>
      <w:r w:rsidR="00BB48FA">
        <w:rPr>
          <w:noProof/>
          <w:lang w:eastAsia="en-AU"/>
        </w:rPr>
        <w:t xml:space="preserve">vernment </w:t>
      </w:r>
      <w:r w:rsidR="00C26EAC">
        <w:rPr>
          <w:noProof/>
          <w:lang w:eastAsia="en-AU"/>
        </w:rPr>
        <w:t xml:space="preserve">response to the </w:t>
      </w:r>
      <w:r w:rsidR="008A0B4F">
        <w:rPr>
          <w:noProof/>
          <w:lang w:eastAsia="en-AU"/>
        </w:rPr>
        <w:t xml:space="preserve">Recommendations </w:t>
      </w:r>
      <w:r w:rsidR="008D4678">
        <w:rPr>
          <w:noProof/>
          <w:lang w:eastAsia="en-AU"/>
        </w:rPr>
        <w:t xml:space="preserve">of the </w:t>
      </w:r>
      <w:r w:rsidR="008A0B4F" w:rsidRPr="00570A5C">
        <w:rPr>
          <w:bCs/>
          <w:noProof/>
          <w:lang w:eastAsia="en-AU"/>
        </w:rPr>
        <w:t>Post-Study Work Rights</w:t>
      </w:r>
      <w:r w:rsidR="00D86802" w:rsidRPr="00950437">
        <w:rPr>
          <w:bCs/>
          <w:noProof/>
          <w:lang w:eastAsia="en-AU"/>
        </w:rPr>
        <w:t xml:space="preserve"> Working Group</w:t>
      </w:r>
    </w:p>
    <w:p w14:paraId="34B5A003" w14:textId="77777777" w:rsidR="00930CDA" w:rsidRPr="0095636C" w:rsidRDefault="00930CDA" w:rsidP="0095636C">
      <w:r>
        <w:rPr>
          <w:noProof/>
          <w:lang w:eastAsia="en-AU"/>
        </w:rPr>
        <w:br w:type="page"/>
      </w:r>
    </w:p>
    <w:p w14:paraId="36C8527B" w14:textId="77777777" w:rsidR="002B1CE5" w:rsidRDefault="002B1CE5" w:rsidP="002B1CE5">
      <w:pPr>
        <w:pStyle w:val="Title"/>
      </w:pPr>
      <w:r>
        <w:lastRenderedPageBreak/>
        <w:t>Title</w:t>
      </w:r>
    </w:p>
    <w:p w14:paraId="2E17C657" w14:textId="28D328B0" w:rsidR="007855CC" w:rsidRDefault="007855CC" w:rsidP="0046726B">
      <w:pPr>
        <w:tabs>
          <w:tab w:val="left" w:pos="5856"/>
        </w:tabs>
        <w:spacing w:before="3960"/>
        <w:contextualSpacing/>
      </w:pPr>
      <w:bookmarkStart w:id="0" w:name="_Toc30065222"/>
    </w:p>
    <w:p w14:paraId="47CCA228" w14:textId="1075B78B" w:rsidR="0046726B" w:rsidRDefault="0046726B" w:rsidP="0046726B">
      <w:pPr>
        <w:tabs>
          <w:tab w:val="left" w:pos="5856"/>
        </w:tabs>
        <w:spacing w:before="3960"/>
        <w:contextualSpacing/>
      </w:pPr>
    </w:p>
    <w:p w14:paraId="0F0F0F43" w14:textId="4FC946EB" w:rsidR="0046726B" w:rsidRDefault="0046726B" w:rsidP="0046726B">
      <w:pPr>
        <w:tabs>
          <w:tab w:val="left" w:pos="5856"/>
        </w:tabs>
        <w:spacing w:before="3960"/>
        <w:contextualSpacing/>
      </w:pPr>
    </w:p>
    <w:p w14:paraId="77B28D72" w14:textId="17E933B8" w:rsidR="0046726B" w:rsidRDefault="0046726B" w:rsidP="0046726B">
      <w:pPr>
        <w:tabs>
          <w:tab w:val="left" w:pos="5856"/>
        </w:tabs>
        <w:spacing w:before="3960"/>
        <w:contextualSpacing/>
      </w:pPr>
    </w:p>
    <w:p w14:paraId="6871E37F" w14:textId="74316E2D" w:rsidR="0046726B" w:rsidRDefault="0046726B" w:rsidP="0046726B">
      <w:pPr>
        <w:tabs>
          <w:tab w:val="left" w:pos="5856"/>
        </w:tabs>
        <w:spacing w:before="3960"/>
        <w:contextualSpacing/>
      </w:pPr>
    </w:p>
    <w:p w14:paraId="275CBBE5" w14:textId="2BA10A4C" w:rsidR="0046726B" w:rsidRDefault="0046726B" w:rsidP="0046726B">
      <w:pPr>
        <w:tabs>
          <w:tab w:val="left" w:pos="5856"/>
        </w:tabs>
        <w:spacing w:before="3960"/>
        <w:contextualSpacing/>
      </w:pPr>
    </w:p>
    <w:p w14:paraId="5C14D1BC" w14:textId="25BF081E" w:rsidR="0046726B" w:rsidRDefault="0046726B" w:rsidP="0046726B">
      <w:pPr>
        <w:tabs>
          <w:tab w:val="left" w:pos="5856"/>
        </w:tabs>
        <w:spacing w:before="3960"/>
        <w:contextualSpacing/>
      </w:pPr>
    </w:p>
    <w:p w14:paraId="2CA7332D" w14:textId="25631BBE" w:rsidR="0046726B" w:rsidRDefault="0046726B" w:rsidP="0046726B">
      <w:pPr>
        <w:tabs>
          <w:tab w:val="left" w:pos="5856"/>
        </w:tabs>
        <w:spacing w:before="3960"/>
        <w:contextualSpacing/>
      </w:pPr>
    </w:p>
    <w:p w14:paraId="662C0C0E" w14:textId="42D77297" w:rsidR="0046726B" w:rsidRDefault="0046726B" w:rsidP="0046726B">
      <w:pPr>
        <w:tabs>
          <w:tab w:val="left" w:pos="5856"/>
        </w:tabs>
        <w:spacing w:before="3960"/>
        <w:contextualSpacing/>
      </w:pPr>
    </w:p>
    <w:p w14:paraId="5E53EE35" w14:textId="54E661E9" w:rsidR="0046726B" w:rsidRDefault="0046726B" w:rsidP="0046726B">
      <w:pPr>
        <w:tabs>
          <w:tab w:val="left" w:pos="5856"/>
        </w:tabs>
        <w:spacing w:before="3960"/>
        <w:contextualSpacing/>
      </w:pPr>
    </w:p>
    <w:p w14:paraId="25470EBF" w14:textId="320D8CD4" w:rsidR="0046726B" w:rsidRDefault="0046726B" w:rsidP="0046726B">
      <w:pPr>
        <w:tabs>
          <w:tab w:val="left" w:pos="5856"/>
        </w:tabs>
        <w:spacing w:before="3960"/>
        <w:contextualSpacing/>
      </w:pPr>
    </w:p>
    <w:p w14:paraId="4CE079E1" w14:textId="5AB096E9" w:rsidR="0046726B" w:rsidRDefault="0046726B" w:rsidP="0046726B">
      <w:pPr>
        <w:tabs>
          <w:tab w:val="left" w:pos="5856"/>
        </w:tabs>
        <w:spacing w:before="3960"/>
        <w:contextualSpacing/>
      </w:pPr>
    </w:p>
    <w:p w14:paraId="439A513F" w14:textId="122BA73F" w:rsidR="0046726B" w:rsidRDefault="0046726B" w:rsidP="0046726B">
      <w:pPr>
        <w:tabs>
          <w:tab w:val="left" w:pos="5856"/>
        </w:tabs>
        <w:spacing w:before="3960"/>
        <w:contextualSpacing/>
      </w:pPr>
    </w:p>
    <w:p w14:paraId="2FBBC8B2" w14:textId="520F1FF7" w:rsidR="0046726B" w:rsidRDefault="0046726B" w:rsidP="0046726B">
      <w:pPr>
        <w:tabs>
          <w:tab w:val="left" w:pos="5856"/>
        </w:tabs>
        <w:spacing w:before="3960"/>
        <w:contextualSpacing/>
      </w:pPr>
    </w:p>
    <w:p w14:paraId="294A35A0" w14:textId="1EF80E5F" w:rsidR="0046726B" w:rsidRDefault="0046726B" w:rsidP="0046726B">
      <w:pPr>
        <w:tabs>
          <w:tab w:val="left" w:pos="5856"/>
        </w:tabs>
        <w:spacing w:before="3960"/>
        <w:contextualSpacing/>
      </w:pPr>
    </w:p>
    <w:p w14:paraId="2D4C24C9" w14:textId="5D2BF76D" w:rsidR="0046726B" w:rsidRDefault="0046726B" w:rsidP="0046726B">
      <w:pPr>
        <w:tabs>
          <w:tab w:val="left" w:pos="5856"/>
        </w:tabs>
        <w:spacing w:before="3960"/>
        <w:contextualSpacing/>
      </w:pPr>
    </w:p>
    <w:p w14:paraId="7AC00A94" w14:textId="3462C4E1" w:rsidR="0046726B" w:rsidRDefault="0046726B" w:rsidP="0046726B">
      <w:pPr>
        <w:tabs>
          <w:tab w:val="left" w:pos="5856"/>
        </w:tabs>
        <w:spacing w:before="3960"/>
        <w:contextualSpacing/>
      </w:pPr>
    </w:p>
    <w:p w14:paraId="4C27C1FB" w14:textId="2C4996A6" w:rsidR="0046726B" w:rsidRDefault="0046726B" w:rsidP="0046726B">
      <w:pPr>
        <w:tabs>
          <w:tab w:val="left" w:pos="5856"/>
        </w:tabs>
        <w:spacing w:before="3960"/>
        <w:contextualSpacing/>
      </w:pPr>
    </w:p>
    <w:p w14:paraId="1E251754" w14:textId="77777777" w:rsidR="0046726B" w:rsidRPr="003C539C" w:rsidRDefault="0046726B" w:rsidP="0046726B">
      <w:pPr>
        <w:tabs>
          <w:tab w:val="left" w:pos="5856"/>
        </w:tabs>
        <w:spacing w:before="3960"/>
        <w:contextualSpacing/>
      </w:pPr>
    </w:p>
    <w:p w14:paraId="6120B4AC" w14:textId="77777777" w:rsidR="007855CC" w:rsidRPr="003C539C" w:rsidRDefault="007855CC" w:rsidP="00155022">
      <w:r w:rsidRPr="003C539C">
        <w:rPr>
          <w:noProof/>
          <w:lang w:eastAsia="en-AU"/>
        </w:rPr>
        <w:drawing>
          <wp:inline distT="0" distB="0" distL="0" distR="0" wp14:anchorId="7571D3B9" wp14:editId="2AD45925">
            <wp:extent cx="847725" cy="285750"/>
            <wp:effectExtent l="0" t="0" r="9525" b="0"/>
            <wp:docPr id="5"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3" r:link="rId14"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3EC005BF" w14:textId="65424158" w:rsidR="00155022" w:rsidRPr="00155022" w:rsidRDefault="00155022" w:rsidP="00155022">
      <w:r w:rsidRPr="00155022">
        <w:t xml:space="preserve">With the exception of the Commonwealth Coat of Arms, the Department’s logo, any material protected by a trade mark and where otherwise noted all material presented in this document is provided under a </w:t>
      </w:r>
      <w:hyperlink r:id="rId15" w:history="1">
        <w:r w:rsidRPr="00155022">
          <w:rPr>
            <w:rStyle w:val="Hyperlink"/>
          </w:rPr>
          <w:t>Creative Commons Attribution 4.0 International</w:t>
        </w:r>
      </w:hyperlink>
      <w:r w:rsidRPr="00155022">
        <w:t xml:space="preserve"> (https://creativecommons.org/licenses/by/4.0/) licence.</w:t>
      </w:r>
    </w:p>
    <w:p w14:paraId="67A9535D" w14:textId="39D1B26C" w:rsidR="00155022" w:rsidRPr="00155022" w:rsidRDefault="00155022" w:rsidP="00155022">
      <w:r w:rsidRPr="00155022">
        <w:t xml:space="preserve">The details of the relevant licence conditions are available on the Creative Commons website (accessible using the links provided) as is the full legal code for the </w:t>
      </w:r>
      <w:hyperlink r:id="rId16" w:history="1">
        <w:r w:rsidRPr="00155022">
          <w:rPr>
            <w:rStyle w:val="Hyperlink"/>
          </w:rPr>
          <w:t>CC BY 4.0 International</w:t>
        </w:r>
      </w:hyperlink>
      <w:r w:rsidRPr="00155022">
        <w:t xml:space="preserve"> (https://creativecommons.org/licenses/by/4.0/legalcode)</w:t>
      </w:r>
    </w:p>
    <w:p w14:paraId="26774029" w14:textId="56139E78" w:rsidR="007855CC" w:rsidRDefault="007855CC" w:rsidP="007855CC">
      <w:r w:rsidRPr="003C539C">
        <w:t xml:space="preserve">The document must be attributed as the </w:t>
      </w:r>
      <w:r w:rsidR="0046726B" w:rsidRPr="0046726B">
        <w:t>Australian Government response to the Recommendations of the Post-Study Work Rights Working Group</w:t>
      </w:r>
      <w:r w:rsidR="0046726B">
        <w:t>.</w:t>
      </w:r>
    </w:p>
    <w:p w14:paraId="2C9774FF" w14:textId="250DC6B6" w:rsidR="002B1CE5" w:rsidRPr="005119BB" w:rsidRDefault="005B02B6" w:rsidP="009758A9">
      <w:pPr>
        <w:pStyle w:val="Heading1"/>
        <w:spacing w:before="0" w:after="120" w:line="240" w:lineRule="auto"/>
        <w:rPr>
          <w:sz w:val="28"/>
          <w:szCs w:val="28"/>
        </w:rPr>
      </w:pPr>
      <w:bookmarkStart w:id="1" w:name="_Toc126139957"/>
      <w:bookmarkEnd w:id="0"/>
      <w:r w:rsidRPr="005119BB">
        <w:rPr>
          <w:sz w:val="28"/>
          <w:szCs w:val="28"/>
        </w:rPr>
        <w:lastRenderedPageBreak/>
        <w:t>Introduction</w:t>
      </w:r>
      <w:bookmarkEnd w:id="1"/>
    </w:p>
    <w:p w14:paraId="01F3B80F" w14:textId="0B8BDD4A" w:rsidR="005730EA" w:rsidRDefault="005730EA" w:rsidP="00623034">
      <w:pPr>
        <w:spacing w:after="120"/>
      </w:pPr>
      <w:r>
        <w:t>The Australian Government announced on 2 September 2022 that it will increase the duration of post</w:t>
      </w:r>
      <w:r w:rsidR="009A70E9">
        <w:t>-</w:t>
      </w:r>
      <w:r>
        <w:t xml:space="preserve">study work rights of international students to strengthen the pipeline of skilled labour, and that a Working Group would provide advice to Government on implementation and other relevant issues. </w:t>
      </w:r>
    </w:p>
    <w:p w14:paraId="2E425849" w14:textId="31DB0B1E" w:rsidR="005730EA" w:rsidRDefault="005730EA" w:rsidP="00623034">
      <w:pPr>
        <w:spacing w:after="120"/>
      </w:pPr>
      <w:r>
        <w:t xml:space="preserve">The Working Group provided a </w:t>
      </w:r>
      <w:r w:rsidR="00B35003">
        <w:t>r</w:t>
      </w:r>
      <w:r>
        <w:t xml:space="preserve">eport on 28 October 2022. This paper outlines the Government’s response to the </w:t>
      </w:r>
      <w:r w:rsidR="00C04E09">
        <w:t>twenty</w:t>
      </w:r>
      <w:r>
        <w:t xml:space="preserve"> recommendations contained in the report. </w:t>
      </w:r>
    </w:p>
    <w:p w14:paraId="3ADCC20C" w14:textId="3A353C54" w:rsidR="005730EA" w:rsidRDefault="005730EA" w:rsidP="00623034">
      <w:pPr>
        <w:spacing w:after="120"/>
      </w:pPr>
      <w:r>
        <w:t>The implementation and on-going management of the extension to Post-Study Work Rights will be supported through monitoring</w:t>
      </w:r>
      <w:r w:rsidR="18048F58">
        <w:t xml:space="preserve"> and</w:t>
      </w:r>
      <w:r>
        <w:t xml:space="preserve"> an annual review process</w:t>
      </w:r>
      <w:r w:rsidR="1431DD99">
        <w:t xml:space="preserve">. </w:t>
      </w:r>
      <w:r>
        <w:t xml:space="preserve">This approach means the measure will be flexible </w:t>
      </w:r>
      <w:r w:rsidR="00B35003">
        <w:t xml:space="preserve">in response </w:t>
      </w:r>
      <w:r>
        <w:t xml:space="preserve">to changes in the labour market and </w:t>
      </w:r>
      <w:r w:rsidR="00B35003">
        <w:t>able</w:t>
      </w:r>
      <w:r>
        <w:t xml:space="preserve"> to address any risk</w:t>
      </w:r>
      <w:r w:rsidR="10847B7B">
        <w:t>s that may emerge</w:t>
      </w:r>
      <w:r>
        <w:t xml:space="preserve">. </w:t>
      </w:r>
    </w:p>
    <w:p w14:paraId="326D906A" w14:textId="77777777" w:rsidR="000D6FFC" w:rsidRDefault="000D6FFC" w:rsidP="009758A9">
      <w:pPr>
        <w:spacing w:after="120" w:line="240" w:lineRule="auto"/>
      </w:pPr>
    </w:p>
    <w:p w14:paraId="70BC7C70" w14:textId="6993E67F" w:rsidR="002B1CE5" w:rsidRPr="00B35003" w:rsidRDefault="005730EA" w:rsidP="009758A9">
      <w:pPr>
        <w:pStyle w:val="Heading2"/>
        <w:spacing w:after="120" w:line="240" w:lineRule="auto"/>
        <w:rPr>
          <w:sz w:val="28"/>
          <w:szCs w:val="28"/>
        </w:rPr>
      </w:pPr>
      <w:bookmarkStart w:id="2" w:name="_Toc126139958"/>
      <w:r w:rsidRPr="00B35003">
        <w:rPr>
          <w:sz w:val="28"/>
          <w:szCs w:val="28"/>
        </w:rPr>
        <w:t>Recommendation One</w:t>
      </w:r>
      <w:bookmarkStart w:id="3" w:name="_Toc30065224"/>
      <w:bookmarkStart w:id="4" w:name="_Toc31700950"/>
      <w:r w:rsidR="000032EB" w:rsidRPr="00B35003">
        <w:rPr>
          <w:sz w:val="28"/>
          <w:szCs w:val="28"/>
        </w:rPr>
        <w:t xml:space="preserve">: </w:t>
      </w:r>
      <w:r w:rsidR="00944BA1" w:rsidRPr="00B35003">
        <w:rPr>
          <w:color w:val="5F6369"/>
          <w:sz w:val="28"/>
          <w:szCs w:val="28"/>
        </w:rPr>
        <w:t xml:space="preserve">Eligible qualifications for this measure be limited to bachelor, masters, and doctoral </w:t>
      </w:r>
      <w:bookmarkEnd w:id="3"/>
      <w:bookmarkEnd w:id="4"/>
      <w:r w:rsidR="00944BA1" w:rsidRPr="00B35003">
        <w:rPr>
          <w:iCs/>
          <w:color w:val="5F6369"/>
          <w:sz w:val="28"/>
          <w:szCs w:val="28"/>
        </w:rPr>
        <w:t>qualification</w:t>
      </w:r>
      <w:r w:rsidR="00B35003" w:rsidRPr="00B35003">
        <w:rPr>
          <w:iCs/>
          <w:color w:val="5F6369"/>
          <w:sz w:val="28"/>
          <w:szCs w:val="28"/>
        </w:rPr>
        <w:t>s</w:t>
      </w:r>
      <w:bookmarkEnd w:id="2"/>
      <w:r w:rsidR="00B35003" w:rsidRPr="00B35003">
        <w:rPr>
          <w:b w:val="0"/>
          <w:iCs/>
          <w:color w:val="5F6369"/>
          <w:sz w:val="28"/>
          <w:szCs w:val="28"/>
        </w:rPr>
        <w:t>.</w:t>
      </w:r>
    </w:p>
    <w:p w14:paraId="2F81B68D" w14:textId="70523027" w:rsidR="00944BA1" w:rsidRDefault="00944BA1" w:rsidP="00357347">
      <w:r w:rsidRPr="6B7B2D82">
        <w:rPr>
          <w:b/>
          <w:bCs/>
        </w:rPr>
        <w:t>Government supports</w:t>
      </w:r>
      <w:r w:rsidRPr="6B7B2D82">
        <w:t xml:space="preserve"> </w:t>
      </w:r>
      <w:r w:rsidR="009A70E9">
        <w:t xml:space="preserve">Recommendation One to </w:t>
      </w:r>
      <w:r w:rsidR="7356DD8A" w:rsidRPr="6B7B2D82">
        <w:t>focus</w:t>
      </w:r>
      <w:r w:rsidR="009E5272" w:rsidRPr="6B7B2D82">
        <w:t xml:space="preserve"> </w:t>
      </w:r>
      <w:r w:rsidR="005730EA" w:rsidRPr="6B7B2D82">
        <w:t xml:space="preserve">extended duration </w:t>
      </w:r>
      <w:r w:rsidR="2E8C8860" w:rsidRPr="6B7B2D82">
        <w:t xml:space="preserve">work rights </w:t>
      </w:r>
      <w:r w:rsidR="03D63EF2" w:rsidRPr="6B7B2D82">
        <w:t xml:space="preserve">exclusively on </w:t>
      </w:r>
      <w:r w:rsidRPr="6B7B2D82">
        <w:t xml:space="preserve">graduates with </w:t>
      </w:r>
      <w:r w:rsidR="00C04E09" w:rsidRPr="6B7B2D82">
        <w:t xml:space="preserve">select </w:t>
      </w:r>
      <w:r w:rsidRPr="6B7B2D82">
        <w:t>h</w:t>
      </w:r>
      <w:r w:rsidR="005730EA" w:rsidRPr="6B7B2D82">
        <w:t xml:space="preserve">igher education </w:t>
      </w:r>
      <w:r w:rsidRPr="6B7B2D82">
        <w:t xml:space="preserve">degrees. This </w:t>
      </w:r>
      <w:r w:rsidR="009756C7" w:rsidRPr="6B7B2D82">
        <w:t>ensure</w:t>
      </w:r>
      <w:r w:rsidR="009C1408" w:rsidRPr="6B7B2D82">
        <w:t>s</w:t>
      </w:r>
      <w:r w:rsidR="009756C7" w:rsidRPr="6B7B2D82">
        <w:t xml:space="preserve"> the measure </w:t>
      </w:r>
      <w:r w:rsidR="0023666A" w:rsidRPr="6B7B2D82">
        <w:t xml:space="preserve">is </w:t>
      </w:r>
      <w:bookmarkStart w:id="5" w:name="_Hlk126162124"/>
      <w:r w:rsidR="0023666A" w:rsidRPr="6B7B2D82">
        <w:t xml:space="preserve">focused on </w:t>
      </w:r>
      <w:r w:rsidRPr="6B7B2D82">
        <w:t xml:space="preserve">the strong demand for professional occupations </w:t>
      </w:r>
      <w:r w:rsidR="009C1408" w:rsidRPr="6B7B2D82">
        <w:t xml:space="preserve">identified by Jobs and Skills Australia </w:t>
      </w:r>
      <w:r w:rsidR="00217E4E" w:rsidRPr="6B7B2D82">
        <w:t>and limits the risk of inappropriately increasing competition at low</w:t>
      </w:r>
      <w:r w:rsidR="00A70657" w:rsidRPr="6B7B2D82">
        <w:t>er skills levels</w:t>
      </w:r>
      <w:bookmarkEnd w:id="5"/>
      <w:r w:rsidR="00A70657" w:rsidRPr="6B7B2D82">
        <w:t xml:space="preserve">. </w:t>
      </w:r>
    </w:p>
    <w:p w14:paraId="207E49E6" w14:textId="77777777" w:rsidR="000D6FFC" w:rsidRPr="000D6FFC" w:rsidRDefault="000D6FFC" w:rsidP="000D6FFC"/>
    <w:p w14:paraId="5DC8FB08" w14:textId="1AC2C43A" w:rsidR="00F65E4B" w:rsidRPr="005119BB" w:rsidRDefault="00944BA1" w:rsidP="009758A9">
      <w:pPr>
        <w:pStyle w:val="Heading2"/>
        <w:spacing w:after="120" w:line="240" w:lineRule="auto"/>
        <w:rPr>
          <w:iCs/>
          <w:color w:val="5F6369"/>
          <w:sz w:val="28"/>
          <w:szCs w:val="28"/>
        </w:rPr>
      </w:pPr>
      <w:bookmarkStart w:id="6" w:name="_Toc126139959"/>
      <w:bookmarkStart w:id="7" w:name="_Hlk127360633"/>
      <w:r w:rsidRPr="005119BB">
        <w:rPr>
          <w:sz w:val="28"/>
          <w:szCs w:val="28"/>
        </w:rPr>
        <w:t>Recommendation Two</w:t>
      </w:r>
      <w:r w:rsidR="00F65E4B" w:rsidRPr="005119BB">
        <w:rPr>
          <w:sz w:val="28"/>
          <w:szCs w:val="28"/>
        </w:rPr>
        <w:t xml:space="preserve">: </w:t>
      </w:r>
      <w:r w:rsidRPr="005119BB">
        <w:rPr>
          <w:iCs/>
          <w:color w:val="5F6369"/>
          <w:sz w:val="28"/>
          <w:szCs w:val="28"/>
        </w:rPr>
        <w:t>All PhD graduates be eligible under the TGV extended measure noting their high skill levels and contribution they make to Australia’s human capital.</w:t>
      </w:r>
      <w:bookmarkEnd w:id="6"/>
    </w:p>
    <w:bookmarkEnd w:id="7"/>
    <w:p w14:paraId="1F0D95D3" w14:textId="19394EA2" w:rsidR="00F65E4B" w:rsidRDefault="00944BA1" w:rsidP="00623034">
      <w:pPr>
        <w:spacing w:after="120"/>
      </w:pPr>
      <w:r w:rsidRPr="638DAEDB">
        <w:rPr>
          <w:b/>
          <w:bCs/>
        </w:rPr>
        <w:t>Government supports</w:t>
      </w:r>
      <w:r>
        <w:t xml:space="preserve"> </w:t>
      </w:r>
      <w:r w:rsidR="0069506D">
        <w:t>Recommendation Two</w:t>
      </w:r>
      <w:r>
        <w:t xml:space="preserve"> to include </w:t>
      </w:r>
      <w:r w:rsidRPr="0007651B">
        <w:t>all</w:t>
      </w:r>
      <w:r>
        <w:t xml:space="preserve"> </w:t>
      </w:r>
      <w:r w:rsidR="0072560C">
        <w:t xml:space="preserve">PhD </w:t>
      </w:r>
      <w:r w:rsidR="003B6EFA">
        <w:t xml:space="preserve">and doctoral level </w:t>
      </w:r>
      <w:r w:rsidR="0072560C">
        <w:t>graduates</w:t>
      </w:r>
      <w:r w:rsidR="008F3F87">
        <w:t xml:space="preserve"> (AQF level 10</w:t>
      </w:r>
      <w:proofErr w:type="gramStart"/>
      <w:r w:rsidR="008F3F87">
        <w:t xml:space="preserve">) </w:t>
      </w:r>
      <w:r>
        <w:t xml:space="preserve"> regardless</w:t>
      </w:r>
      <w:proofErr w:type="gramEnd"/>
      <w:r>
        <w:t xml:space="preserve"> of field of study</w:t>
      </w:r>
      <w:r w:rsidR="0069506D">
        <w:t xml:space="preserve">. </w:t>
      </w:r>
      <w:r w:rsidR="29FCA162">
        <w:t xml:space="preserve">This </w:t>
      </w:r>
      <w:r w:rsidR="530041E1">
        <w:t>will</w:t>
      </w:r>
      <w:r w:rsidR="002C1FD1">
        <w:t xml:space="preserve"> work to increase Australia’s human capital, including in areas </w:t>
      </w:r>
      <w:r w:rsidR="00AF0E8C">
        <w:t>of key sovereign capability</w:t>
      </w:r>
      <w:r w:rsidR="00625A64">
        <w:t>. I</w:t>
      </w:r>
      <w:r w:rsidR="00AF0E8C">
        <w:t>ncreased working opportuni</w:t>
      </w:r>
      <w:r w:rsidR="006C6CEA">
        <w:t xml:space="preserve">ties </w:t>
      </w:r>
      <w:r w:rsidR="68E36F22">
        <w:t xml:space="preserve">will also </w:t>
      </w:r>
      <w:r w:rsidR="00D35493">
        <w:t xml:space="preserve">attract </w:t>
      </w:r>
      <w:r w:rsidR="6C8D52A7">
        <w:t xml:space="preserve">a </w:t>
      </w:r>
      <w:r w:rsidR="00D35493">
        <w:t xml:space="preserve">larger </w:t>
      </w:r>
      <w:r w:rsidR="14AB99A1">
        <w:t xml:space="preserve">pipeline </w:t>
      </w:r>
      <w:r w:rsidR="00D35493">
        <w:t xml:space="preserve">of this </w:t>
      </w:r>
      <w:r w:rsidR="538B76CE">
        <w:t>highly skilled</w:t>
      </w:r>
      <w:r w:rsidR="00D35493">
        <w:t xml:space="preserve"> cohort</w:t>
      </w:r>
      <w:r w:rsidR="00691441">
        <w:t xml:space="preserve"> </w:t>
      </w:r>
      <w:r w:rsidR="3FCBDB8D">
        <w:t xml:space="preserve">starting from when they are </w:t>
      </w:r>
      <w:r w:rsidR="00691441">
        <w:t>undergraduate st</w:t>
      </w:r>
      <w:r w:rsidR="60C7D707">
        <w:t xml:space="preserve">udents with intentions to proceed to </w:t>
      </w:r>
      <w:r w:rsidR="0072560C">
        <w:t>PhDs</w:t>
      </w:r>
      <w:r w:rsidR="00CA7FAD">
        <w:t xml:space="preserve">, promoting their early </w:t>
      </w:r>
      <w:r w:rsidR="2485E89F">
        <w:t>alignment to</w:t>
      </w:r>
      <w:r w:rsidR="00A9617E">
        <w:t xml:space="preserve"> Australia</w:t>
      </w:r>
      <w:r w:rsidR="00B35003">
        <w:t>. L</w:t>
      </w:r>
      <w:r w:rsidR="00CA7FAD">
        <w:t xml:space="preserve">onger working rights </w:t>
      </w:r>
      <w:r w:rsidR="00691441">
        <w:t xml:space="preserve">after graduation </w:t>
      </w:r>
      <w:r w:rsidR="00E66101">
        <w:t xml:space="preserve">will ensure </w:t>
      </w:r>
      <w:r w:rsidR="00C936BD">
        <w:t xml:space="preserve">longer </w:t>
      </w:r>
      <w:r w:rsidR="00E66101">
        <w:t>retention</w:t>
      </w:r>
      <w:r w:rsidR="00302C43">
        <w:t xml:space="preserve">. </w:t>
      </w:r>
    </w:p>
    <w:p w14:paraId="73242D53" w14:textId="5C314D1C" w:rsidR="00273FC6" w:rsidRDefault="0069506D" w:rsidP="00623034">
      <w:pPr>
        <w:spacing w:after="120"/>
      </w:pPr>
      <w:r>
        <w:t>Th</w:t>
      </w:r>
      <w:r w:rsidR="00780927">
        <w:t>is</w:t>
      </w:r>
      <w:r>
        <w:t xml:space="preserve"> will </w:t>
      </w:r>
      <w:r w:rsidR="0072560C">
        <w:t xml:space="preserve">allow the measure to </w:t>
      </w:r>
      <w:r>
        <w:t xml:space="preserve">capture more graduates who possess a high level of human capital, </w:t>
      </w:r>
      <w:r w:rsidR="00623034">
        <w:t>will</w:t>
      </w:r>
      <w:r>
        <w:t xml:space="preserve"> benefit the education sector and </w:t>
      </w:r>
      <w:r w:rsidR="00623034">
        <w:t xml:space="preserve">will </w:t>
      </w:r>
      <w:r>
        <w:t xml:space="preserve">support Australia’s research capabilities. Risks will be managed through the overall monitoring and review process. </w:t>
      </w:r>
    </w:p>
    <w:p w14:paraId="344835EE" w14:textId="77777777" w:rsidR="000D6FFC" w:rsidRDefault="000D6FFC" w:rsidP="009758A9">
      <w:pPr>
        <w:spacing w:after="120" w:line="240" w:lineRule="auto"/>
      </w:pPr>
    </w:p>
    <w:p w14:paraId="6CA89023" w14:textId="22E9E101" w:rsidR="00F65E4B" w:rsidRPr="00B35003" w:rsidRDefault="00F65E4B" w:rsidP="005119BB">
      <w:pPr>
        <w:pStyle w:val="Heading2"/>
        <w:rPr>
          <w:color w:val="767171" w:themeColor="background2" w:themeShade="80"/>
          <w:sz w:val="28"/>
          <w:szCs w:val="28"/>
        </w:rPr>
      </w:pPr>
      <w:bookmarkStart w:id="8" w:name="_Toc126139960"/>
      <w:r w:rsidRPr="00B35003">
        <w:rPr>
          <w:color w:val="F26222"/>
          <w:sz w:val="28"/>
          <w:szCs w:val="28"/>
        </w:rPr>
        <w:t>Recommendation Three:</w:t>
      </w:r>
      <w:r w:rsidRPr="00B35003">
        <w:rPr>
          <w:sz w:val="28"/>
          <w:szCs w:val="28"/>
        </w:rPr>
        <w:t xml:space="preserve"> </w:t>
      </w:r>
      <w:r w:rsidRPr="00B35003">
        <w:rPr>
          <w:color w:val="767171" w:themeColor="background2" w:themeShade="80"/>
          <w:sz w:val="28"/>
          <w:szCs w:val="28"/>
        </w:rPr>
        <w:t>The Skills Priority List (SPL) be used as the basis for identifying occupations in verified skills shortage for the measure.</w:t>
      </w:r>
      <w:bookmarkEnd w:id="8"/>
    </w:p>
    <w:p w14:paraId="4D3B4EB2" w14:textId="19A09B18" w:rsidR="0A83F756" w:rsidRDefault="0A83F756" w:rsidP="00623034">
      <w:pPr>
        <w:spacing w:after="120"/>
      </w:pPr>
      <w:r w:rsidRPr="00E73F96">
        <w:rPr>
          <w:b/>
        </w:rPr>
        <w:t>Government</w:t>
      </w:r>
      <w:r w:rsidRPr="00E73F96">
        <w:t xml:space="preserve"> </w:t>
      </w:r>
      <w:r w:rsidRPr="00E73F96">
        <w:rPr>
          <w:b/>
        </w:rPr>
        <w:t>supports</w:t>
      </w:r>
      <w:r w:rsidRPr="00E73F96">
        <w:t xml:space="preserve"> Recommendation Three</w:t>
      </w:r>
      <w:r w:rsidR="06DAC6ED" w:rsidRPr="00E73F96">
        <w:t xml:space="preserve"> </w:t>
      </w:r>
      <w:r w:rsidRPr="00E73F96">
        <w:t>as</w:t>
      </w:r>
      <w:r w:rsidR="3415F58E" w:rsidRPr="00E73F96">
        <w:t xml:space="preserve"> it helps </w:t>
      </w:r>
      <w:r w:rsidRPr="00E73F96">
        <w:t>deliver a robust model for identifying qualifications that will deliver on Australia’s skills needs.</w:t>
      </w:r>
    </w:p>
    <w:p w14:paraId="2F5FF485" w14:textId="4637C45A" w:rsidR="0B082978" w:rsidRDefault="0B082978" w:rsidP="00623034">
      <w:pPr>
        <w:spacing w:after="120"/>
      </w:pPr>
      <w:r>
        <w:t>The SPL is a methodologically robust, tested and nationally comprehensive model that identifies Australian skills needs both current and over a five-year forecasting horizon. The SPL is annually reviewed to ensure it is an accurate reflection of Australia’s labour needs.</w:t>
      </w:r>
      <w:r w:rsidR="00E11D51" w:rsidRPr="00E11D51">
        <w:t xml:space="preserve"> </w:t>
      </w:r>
      <w:bookmarkStart w:id="9" w:name="_Hlk125012602"/>
      <w:r w:rsidR="00E11D51" w:rsidRPr="00DD0189">
        <w:t xml:space="preserve">The post study work rights annual review will refer to the contemporaneous SPL review to ensure flexibility over time and enable </w:t>
      </w:r>
      <w:r w:rsidR="001423EA">
        <w:t xml:space="preserve">a </w:t>
      </w:r>
      <w:r w:rsidR="00E11D51" w:rsidRPr="00DD0189">
        <w:t>response to emerging skills needs, such as skilled occupations in new IT technologies.</w:t>
      </w:r>
      <w:bookmarkEnd w:id="9"/>
    </w:p>
    <w:p w14:paraId="483C450E" w14:textId="4013F719" w:rsidR="638DAEDB" w:rsidRPr="00623034" w:rsidRDefault="638DAEDB" w:rsidP="638DAEDB">
      <w:pPr>
        <w:spacing w:after="120" w:line="240" w:lineRule="auto"/>
        <w:rPr>
          <w:rFonts w:ascii="Calibri" w:eastAsiaTheme="majorEastAsia" w:hAnsi="Calibri" w:cstheme="majorBidi"/>
          <w:b/>
          <w:bCs/>
          <w:color w:val="5F6369"/>
        </w:rPr>
      </w:pPr>
    </w:p>
    <w:p w14:paraId="1403C6D2" w14:textId="4B4B4D86" w:rsidR="008D60A3" w:rsidRPr="00B35003" w:rsidRDefault="008D60A3" w:rsidP="005119BB">
      <w:pPr>
        <w:pStyle w:val="Heading2"/>
        <w:rPr>
          <w:color w:val="767171" w:themeColor="background2" w:themeShade="80"/>
          <w:sz w:val="28"/>
          <w:szCs w:val="28"/>
        </w:rPr>
      </w:pPr>
      <w:bookmarkStart w:id="10" w:name="_Toc126139961"/>
      <w:r w:rsidRPr="00B35003">
        <w:rPr>
          <w:color w:val="F26322" w:themeColor="accent2"/>
          <w:sz w:val="28"/>
          <w:szCs w:val="28"/>
        </w:rPr>
        <w:t>Recommendation Four:</w:t>
      </w:r>
      <w:r w:rsidRPr="00B35003">
        <w:rPr>
          <w:sz w:val="28"/>
          <w:szCs w:val="28"/>
        </w:rPr>
        <w:t xml:space="preserve"> </w:t>
      </w:r>
      <w:r w:rsidRPr="00B35003">
        <w:rPr>
          <w:color w:val="767171" w:themeColor="background2" w:themeShade="80"/>
          <w:sz w:val="28"/>
          <w:szCs w:val="28"/>
        </w:rPr>
        <w:t>Of those occupations on the SPL, only those occupations listed as currently in shortage and with strong to moderate future demand be considered for inclusion in the list of verified skills shortages for the measure.</w:t>
      </w:r>
      <w:bookmarkEnd w:id="10"/>
    </w:p>
    <w:p w14:paraId="16BD3555" w14:textId="290DA216" w:rsidR="76F77B61" w:rsidRDefault="76F77B61" w:rsidP="00623034">
      <w:pPr>
        <w:spacing w:after="120"/>
      </w:pPr>
      <w:r w:rsidRPr="00E73F96">
        <w:rPr>
          <w:b/>
        </w:rPr>
        <w:t>Government</w:t>
      </w:r>
      <w:r w:rsidRPr="00E73F96">
        <w:t xml:space="preserve"> </w:t>
      </w:r>
      <w:r w:rsidRPr="00E73F96">
        <w:rPr>
          <w:b/>
        </w:rPr>
        <w:t>supports</w:t>
      </w:r>
      <w:r w:rsidR="0007651B" w:rsidRPr="00E73F96">
        <w:rPr>
          <w:b/>
        </w:rPr>
        <w:t xml:space="preserve"> </w:t>
      </w:r>
      <w:r w:rsidRPr="00E73F96">
        <w:t xml:space="preserve">Recommendation Four as it helps deliver a </w:t>
      </w:r>
      <w:r w:rsidR="00F35DEA" w:rsidRPr="00E73F96">
        <w:t>targeted</w:t>
      </w:r>
      <w:r w:rsidRPr="00E73F96">
        <w:t xml:space="preserve"> </w:t>
      </w:r>
      <w:r w:rsidR="00F35DEA" w:rsidRPr="00E73F96">
        <w:t>approach to ensure critical skills gaps are addressed</w:t>
      </w:r>
      <w:r w:rsidRPr="00E73F96">
        <w:t>.</w:t>
      </w:r>
    </w:p>
    <w:p w14:paraId="05909412" w14:textId="1E5F0AF5" w:rsidR="77599DA3" w:rsidRDefault="77599DA3" w:rsidP="00623034">
      <w:pPr>
        <w:spacing w:after="120"/>
      </w:pPr>
      <w:r>
        <w:t>The five-year horizon broadly matches common study durations, supporting development of a strong skills pipeline, while the annual review ensures the SPL remains sensitive to changes in the labour market.</w:t>
      </w:r>
    </w:p>
    <w:p w14:paraId="26F32699" w14:textId="5149B33E" w:rsidR="70B69E02" w:rsidRDefault="70B69E02" w:rsidP="00623034">
      <w:pPr>
        <w:spacing w:after="120"/>
      </w:pPr>
      <w:r>
        <w:t xml:space="preserve">Including occupations at Skill Level 1 in both ‘strong’ and ‘moderate’ demand </w:t>
      </w:r>
      <w:r w:rsidR="2EE1E584">
        <w:t xml:space="preserve">in alignment with advice from Jobs and Skills Australia </w:t>
      </w:r>
      <w:r>
        <w:t xml:space="preserve">ensures that the skills </w:t>
      </w:r>
      <w:proofErr w:type="gramStart"/>
      <w:r>
        <w:t>needs</w:t>
      </w:r>
      <w:proofErr w:type="gramEnd"/>
      <w:r>
        <w:t xml:space="preserve"> of a wider range of vital sectors, such as agriculture and education, will be in-scope for eligibility. The SPL’s demand ratings are moderated depending on the size of industry sector, so moderate demand may still indicate a high number of vacancies, as can be seen in the education workforce.</w:t>
      </w:r>
    </w:p>
    <w:p w14:paraId="136E2BD1" w14:textId="77777777" w:rsidR="000D6FFC" w:rsidRDefault="000D6FFC" w:rsidP="638DAEDB">
      <w:pPr>
        <w:spacing w:after="120" w:line="240" w:lineRule="auto"/>
      </w:pPr>
    </w:p>
    <w:p w14:paraId="0E970C74" w14:textId="22913501" w:rsidR="00120B57" w:rsidRPr="00B35003" w:rsidRDefault="00120B57" w:rsidP="005119BB">
      <w:pPr>
        <w:pStyle w:val="Heading2"/>
        <w:rPr>
          <w:sz w:val="28"/>
          <w:szCs w:val="28"/>
        </w:rPr>
      </w:pPr>
      <w:bookmarkStart w:id="11" w:name="_Toc126139962"/>
      <w:r w:rsidRPr="00B35003">
        <w:rPr>
          <w:sz w:val="28"/>
          <w:szCs w:val="28"/>
        </w:rPr>
        <w:t>Recommendation Five:</w:t>
      </w:r>
      <w:r w:rsidRPr="00B35003">
        <w:rPr>
          <w:rFonts w:cstheme="minorHAnsi"/>
          <w:sz w:val="28"/>
          <w:szCs w:val="28"/>
        </w:rPr>
        <w:t xml:space="preserve"> </w:t>
      </w:r>
      <w:r w:rsidRPr="00B35003">
        <w:rPr>
          <w:color w:val="767171" w:themeColor="background2" w:themeShade="80"/>
          <w:sz w:val="28"/>
          <w:szCs w:val="28"/>
        </w:rPr>
        <w:t>To derive a list of eligible qualifications, in-scope occupations be mapped to a classification system that will facilitate streamlined processing and IT system requirements.</w:t>
      </w:r>
      <w:bookmarkEnd w:id="11"/>
    </w:p>
    <w:p w14:paraId="4DEC2BB5" w14:textId="624AAC5E" w:rsidR="00F5171F" w:rsidRDefault="2718A4C2" w:rsidP="00623034">
      <w:pPr>
        <w:spacing w:after="120"/>
      </w:pPr>
      <w:r w:rsidRPr="00E73F96">
        <w:rPr>
          <w:b/>
        </w:rPr>
        <w:t>Government</w:t>
      </w:r>
      <w:r w:rsidRPr="00E73F96">
        <w:t xml:space="preserve"> </w:t>
      </w:r>
      <w:r w:rsidRPr="00E73F96">
        <w:rPr>
          <w:b/>
        </w:rPr>
        <w:t>support</w:t>
      </w:r>
      <w:r w:rsidR="3D74A385" w:rsidRPr="00E73F96">
        <w:rPr>
          <w:b/>
        </w:rPr>
        <w:t>s</w:t>
      </w:r>
      <w:r w:rsidR="0007651B" w:rsidRPr="00E73F96">
        <w:rPr>
          <w:b/>
        </w:rPr>
        <w:t xml:space="preserve"> </w:t>
      </w:r>
      <w:r w:rsidRPr="00E73F96">
        <w:t xml:space="preserve">Recommendation </w:t>
      </w:r>
      <w:r w:rsidR="007E5AAD" w:rsidRPr="00E73F96">
        <w:t>Five</w:t>
      </w:r>
      <w:r w:rsidR="293DFB87" w:rsidRPr="00E73F96">
        <w:t xml:space="preserve"> </w:t>
      </w:r>
      <w:r w:rsidR="00F35DEA" w:rsidRPr="00E73F96">
        <w:t>as it will facilitate streamlined implementation.</w:t>
      </w:r>
      <w:r>
        <w:t xml:space="preserve"> </w:t>
      </w:r>
    </w:p>
    <w:p w14:paraId="0BB2D4A3" w14:textId="7F504265" w:rsidR="00F65E4B" w:rsidRPr="00EC29E9" w:rsidRDefault="00DB6C7E" w:rsidP="00623034">
      <w:pPr>
        <w:spacing w:after="120"/>
      </w:pPr>
      <w:r>
        <w:t xml:space="preserve">The existing </w:t>
      </w:r>
      <w:r w:rsidR="00215C62">
        <w:t>occupations-to-</w:t>
      </w:r>
      <w:r w:rsidR="00357347">
        <w:t>h</w:t>
      </w:r>
      <w:r w:rsidR="002A4EAB">
        <w:t xml:space="preserve">igher education field of education </w:t>
      </w:r>
      <w:r w:rsidR="00BC342F">
        <w:t xml:space="preserve">concordance </w:t>
      </w:r>
      <w:r w:rsidR="00215C62">
        <w:t xml:space="preserve">maintained by Jobs and Skills Australia </w:t>
      </w:r>
      <w:r w:rsidR="00653A3A">
        <w:t xml:space="preserve">assures </w:t>
      </w:r>
      <w:r w:rsidR="00F95DCC">
        <w:t xml:space="preserve">consistent </w:t>
      </w:r>
      <w:r w:rsidR="00491146">
        <w:t xml:space="preserve">identification of </w:t>
      </w:r>
      <w:r w:rsidR="00433126">
        <w:t xml:space="preserve">the </w:t>
      </w:r>
      <w:r w:rsidR="002A4EAB">
        <w:t xml:space="preserve">fields of education </w:t>
      </w:r>
      <w:r w:rsidR="00FC1618">
        <w:t xml:space="preserve">relevant to </w:t>
      </w:r>
      <w:r w:rsidR="002C37E6">
        <w:t>the professional occupations targeted by this measure</w:t>
      </w:r>
      <w:r w:rsidR="00D45CCB">
        <w:t xml:space="preserve">, </w:t>
      </w:r>
      <w:r w:rsidR="005B437D">
        <w:t xml:space="preserve">reducing risks of </w:t>
      </w:r>
      <w:r w:rsidR="00AC7A62">
        <w:t>scope creep to lower</w:t>
      </w:r>
      <w:r w:rsidR="5E11A16A">
        <w:t>-</w:t>
      </w:r>
      <w:r w:rsidR="00AC7A62">
        <w:t xml:space="preserve">level qualifications that </w:t>
      </w:r>
      <w:r w:rsidR="002E7860">
        <w:t>would not deliver on Australia’s skills needs</w:t>
      </w:r>
      <w:r w:rsidR="008A64DF">
        <w:t>.</w:t>
      </w:r>
      <w:r w:rsidR="002E7860">
        <w:t xml:space="preserve"> </w:t>
      </w:r>
    </w:p>
    <w:p w14:paraId="2E61BD3D" w14:textId="2FF8550B" w:rsidR="000D6FFC" w:rsidRPr="005119BB" w:rsidRDefault="006C4E11" w:rsidP="00357347">
      <w:pPr>
        <w:rPr>
          <w:b/>
        </w:rPr>
      </w:pPr>
      <w:r w:rsidRPr="638DAEDB">
        <w:t xml:space="preserve">The list of </w:t>
      </w:r>
      <w:r w:rsidR="00EE1E7B" w:rsidRPr="638DAEDB">
        <w:t xml:space="preserve">eligible </w:t>
      </w:r>
      <w:r w:rsidRPr="638DAEDB">
        <w:t xml:space="preserve">occupations </w:t>
      </w:r>
      <w:r w:rsidR="00EE1E7B" w:rsidRPr="638DAEDB">
        <w:t xml:space="preserve">and </w:t>
      </w:r>
      <w:r w:rsidR="00EE1E7B" w:rsidRPr="00846957">
        <w:t>qualifications</w:t>
      </w:r>
      <w:r w:rsidR="002A4EAB" w:rsidRPr="00846957">
        <w:t>, derived from the Jobs and Skills Australia concordance</w:t>
      </w:r>
      <w:r w:rsidR="00357347">
        <w:rPr>
          <w:b/>
        </w:rPr>
        <w:t>,</w:t>
      </w:r>
      <w:r w:rsidR="00EE1E7B" w:rsidRPr="00846957">
        <w:t xml:space="preserve"> </w:t>
      </w:r>
      <w:r w:rsidRPr="00846957">
        <w:t xml:space="preserve">will be </w:t>
      </w:r>
      <w:r w:rsidR="002025E3" w:rsidRPr="00846957">
        <w:t>published</w:t>
      </w:r>
      <w:r w:rsidR="42DBB1B2" w:rsidRPr="00846957">
        <w:t xml:space="preserve"> annually and is attached</w:t>
      </w:r>
      <w:r w:rsidR="00D866B9" w:rsidRPr="00846957">
        <w:t>.</w:t>
      </w:r>
      <w:r w:rsidR="007958BE" w:rsidRPr="00846957">
        <w:t xml:space="preserve"> </w:t>
      </w:r>
      <w:r w:rsidR="00D866B9" w:rsidRPr="00846957">
        <w:t>E</w:t>
      </w:r>
      <w:r w:rsidR="007958BE" w:rsidRPr="00846957">
        <w:t>ligible courses</w:t>
      </w:r>
      <w:r w:rsidR="002025E3" w:rsidRPr="00846957">
        <w:t xml:space="preserve"> </w:t>
      </w:r>
      <w:r w:rsidR="007958BE" w:rsidRPr="00846957">
        <w:t xml:space="preserve">will </w:t>
      </w:r>
      <w:r w:rsidR="3B05B8A6" w:rsidRPr="00846957">
        <w:t>also</w:t>
      </w:r>
      <w:r w:rsidR="007958BE" w:rsidRPr="00846957">
        <w:t xml:space="preserve"> be flagged in </w:t>
      </w:r>
      <w:r w:rsidR="010D86CC" w:rsidRPr="00846957">
        <w:t xml:space="preserve">the </w:t>
      </w:r>
      <w:r w:rsidR="007958BE" w:rsidRPr="00846957">
        <w:t>C</w:t>
      </w:r>
      <w:r w:rsidR="54CD37CA" w:rsidRPr="00846957">
        <w:t xml:space="preserve">ommonwealth </w:t>
      </w:r>
      <w:r w:rsidR="007958BE" w:rsidRPr="00846957">
        <w:t>R</w:t>
      </w:r>
      <w:r w:rsidR="203245F2" w:rsidRPr="00846957">
        <w:t xml:space="preserve">egister of </w:t>
      </w:r>
      <w:r w:rsidR="007958BE" w:rsidRPr="00846957">
        <w:t>I</w:t>
      </w:r>
      <w:r w:rsidR="03758CC8" w:rsidRPr="00846957">
        <w:t xml:space="preserve">nstitutions and </w:t>
      </w:r>
      <w:r w:rsidR="007958BE" w:rsidRPr="00846957">
        <w:t>C</w:t>
      </w:r>
      <w:r w:rsidR="4A887FA2" w:rsidRPr="00846957">
        <w:t xml:space="preserve">ourses for </w:t>
      </w:r>
      <w:r w:rsidR="007958BE" w:rsidRPr="00846957">
        <w:t>O</w:t>
      </w:r>
      <w:r w:rsidR="558B42BC" w:rsidRPr="00846957">
        <w:t xml:space="preserve">verseas </w:t>
      </w:r>
      <w:r w:rsidR="007958BE" w:rsidRPr="00846957">
        <w:t>S</w:t>
      </w:r>
      <w:r w:rsidR="019EFB7F" w:rsidRPr="00846957">
        <w:t>tudents</w:t>
      </w:r>
      <w:r w:rsidR="007958BE" w:rsidRPr="00846957">
        <w:t xml:space="preserve"> and </w:t>
      </w:r>
      <w:r w:rsidR="4A6AAA04" w:rsidRPr="00846957">
        <w:t xml:space="preserve">the </w:t>
      </w:r>
      <w:r w:rsidR="007958BE" w:rsidRPr="00846957">
        <w:t>P</w:t>
      </w:r>
      <w:r w:rsidR="3A095E91" w:rsidRPr="00846957">
        <w:t xml:space="preserve">rovider </w:t>
      </w:r>
      <w:r w:rsidR="007958BE" w:rsidRPr="00846957">
        <w:t>R</w:t>
      </w:r>
      <w:r w:rsidR="061CF990" w:rsidRPr="00846957">
        <w:t xml:space="preserve">egistration and </w:t>
      </w:r>
      <w:r w:rsidR="007958BE" w:rsidRPr="00846957">
        <w:t>I</w:t>
      </w:r>
      <w:r w:rsidR="4917FD5C" w:rsidRPr="00846957">
        <w:t xml:space="preserve">nternational </w:t>
      </w:r>
      <w:r w:rsidR="007958BE" w:rsidRPr="00846957">
        <w:t>S</w:t>
      </w:r>
      <w:r w:rsidR="31B2BCCC" w:rsidRPr="00846957">
        <w:t xml:space="preserve">tudent </w:t>
      </w:r>
      <w:r w:rsidR="007958BE" w:rsidRPr="00846957">
        <w:t>M</w:t>
      </w:r>
      <w:r w:rsidR="47124724" w:rsidRPr="00846957">
        <w:t xml:space="preserve">anagement </w:t>
      </w:r>
      <w:r w:rsidR="007958BE" w:rsidRPr="00846957">
        <w:t>S</w:t>
      </w:r>
      <w:r w:rsidR="7608D38E" w:rsidRPr="00846957">
        <w:t>ystem</w:t>
      </w:r>
      <w:r w:rsidR="00D45B25" w:rsidRPr="00846957">
        <w:t xml:space="preserve"> to </w:t>
      </w:r>
      <w:r w:rsidR="005F1436" w:rsidRPr="00846957">
        <w:t xml:space="preserve">allow students, prospective students, graduates, providers and </w:t>
      </w:r>
      <w:r w:rsidR="001E715E" w:rsidRPr="00846957">
        <w:t xml:space="preserve">employers to easily search and identify </w:t>
      </w:r>
      <w:r w:rsidR="00BC0EEE" w:rsidRPr="00846957">
        <w:t xml:space="preserve">eligible </w:t>
      </w:r>
      <w:r w:rsidR="001E715E" w:rsidRPr="00846957">
        <w:t>courses</w:t>
      </w:r>
      <w:r w:rsidR="00BC0EEE" w:rsidRPr="00846957">
        <w:t>, promoting effective uptake of the measure</w:t>
      </w:r>
      <w:r w:rsidR="0017319D" w:rsidRPr="00846957">
        <w:t>.</w:t>
      </w:r>
      <w:r w:rsidR="008E127C" w:rsidRPr="00846957">
        <w:t xml:space="preserve"> The mapping of occupations to qualifications</w:t>
      </w:r>
      <w:r w:rsidR="008E127C">
        <w:t xml:space="preserve"> will be reviewed annually.</w:t>
      </w:r>
    </w:p>
    <w:p w14:paraId="6306275A" w14:textId="77777777" w:rsidR="00B35003" w:rsidRPr="00B35003" w:rsidRDefault="00B35003" w:rsidP="00B35003"/>
    <w:p w14:paraId="1A0783D0" w14:textId="69CE5F3E" w:rsidR="00844A49" w:rsidRPr="00B35003" w:rsidRDefault="00844A49" w:rsidP="005119BB">
      <w:pPr>
        <w:pStyle w:val="Heading2"/>
        <w:rPr>
          <w:color w:val="767171" w:themeColor="background2" w:themeShade="80"/>
          <w:sz w:val="28"/>
          <w:szCs w:val="28"/>
        </w:rPr>
      </w:pPr>
      <w:bookmarkStart w:id="12" w:name="_Toc126139963"/>
      <w:r w:rsidRPr="00B35003">
        <w:rPr>
          <w:sz w:val="28"/>
          <w:szCs w:val="28"/>
        </w:rPr>
        <w:t xml:space="preserve">Recommendation Six: </w:t>
      </w:r>
      <w:r w:rsidRPr="00B35003">
        <w:rPr>
          <w:rStyle w:val="Heading2Char"/>
          <w:b/>
          <w:color w:val="767171" w:themeColor="background2" w:themeShade="80"/>
          <w:sz w:val="28"/>
          <w:szCs w:val="28"/>
        </w:rPr>
        <w:t>The measure be adaptable through a combination of automated course mapping and manual review to manage risks, such as changes in the job market or a larger than required pool of TGV holders. The combined automated and manual mapping process will support agile implementation that is responsive to changes in the job market.</w:t>
      </w:r>
      <w:bookmarkEnd w:id="12"/>
    </w:p>
    <w:p w14:paraId="1F9C6C20" w14:textId="79F49CB5" w:rsidR="00D6103C" w:rsidRDefault="00D6103C" w:rsidP="00623034">
      <w:r w:rsidRPr="00F35DEA">
        <w:rPr>
          <w:b/>
          <w:bCs/>
        </w:rPr>
        <w:t xml:space="preserve">Government supports </w:t>
      </w:r>
      <w:r w:rsidR="00B331D7" w:rsidRPr="00F35DEA">
        <w:t>R</w:t>
      </w:r>
      <w:r w:rsidRPr="00F35DEA">
        <w:t>ecommendation</w:t>
      </w:r>
      <w:r w:rsidR="00B331D7" w:rsidRPr="00F35DEA">
        <w:t xml:space="preserve"> Six</w:t>
      </w:r>
      <w:r w:rsidRPr="00F35DEA">
        <w:t>. The automated course mapping described in Recommendation 5 will promote</w:t>
      </w:r>
      <w:r>
        <w:t xml:space="preserve"> consistency and ensure fairness in eligibility, promoting market understanding of the measure and supporting efficiency in visa </w:t>
      </w:r>
      <w:proofErr w:type="gramStart"/>
      <w:r>
        <w:t>processing;</w:t>
      </w:r>
      <w:proofErr w:type="gramEnd"/>
      <w:r>
        <w:t xml:space="preserve"> while the annual review will ensure responsiveness to labour market and broader economic conditions. The automatic process is a </w:t>
      </w:r>
      <w:r>
        <w:lastRenderedPageBreak/>
        <w:t>robust, market</w:t>
      </w:r>
      <w:r w:rsidR="00B35003">
        <w:t>-</w:t>
      </w:r>
      <w:r>
        <w:t xml:space="preserve">responsive tool that will effectively identify qualifications that will deliver the skills Australia needs. </w:t>
      </w:r>
    </w:p>
    <w:p w14:paraId="63068E48" w14:textId="68590990" w:rsidR="00D6103C" w:rsidRPr="00183C0E" w:rsidRDefault="00D6103C" w:rsidP="00623034">
      <w:r w:rsidRPr="00183C0E">
        <w:t xml:space="preserve">To ensure the measure is tightly targeted to specific skill level 1 occupations experiencing shortages, a manual validation process will apply to courses identified as potentially eligible. For initial implementation, </w:t>
      </w:r>
      <w:r w:rsidR="00623034" w:rsidRPr="002B4C28">
        <w:t>this review has removed more generalist and business qualifications which</w:t>
      </w:r>
      <w:r w:rsidR="00623034" w:rsidRPr="00503BC4">
        <w:t xml:space="preserve"> lack a direct occupational outcome</w:t>
      </w:r>
      <w:r w:rsidR="00623034">
        <w:t xml:space="preserve"> to ensure that only those qualifications which would lead to filling a job in an area of skills shortage are included. This manual validation to remove certain qualifications is also based on the identification of potential risks of perverse market behaviours. The final list of qualifications is provided </w:t>
      </w:r>
      <w:r w:rsidR="009F2D91">
        <w:t>separately</w:t>
      </w:r>
      <w:r w:rsidR="00623034">
        <w:t xml:space="preserve">. </w:t>
      </w:r>
    </w:p>
    <w:p w14:paraId="4A9D2CD6" w14:textId="7CCDA938" w:rsidR="000D6FFC" w:rsidRDefault="00D6103C" w:rsidP="00623034">
      <w:pPr>
        <w:spacing w:after="120"/>
      </w:pPr>
      <w:r>
        <w:t xml:space="preserve">Additionally, regular monitoring of the labour market, </w:t>
      </w:r>
      <w:r w:rsidR="00647E33">
        <w:t xml:space="preserve">education </w:t>
      </w:r>
      <w:r>
        <w:t>provider and student behaviour will identify any emergent risks and assist to inform adjustments to qualification eligibility. To conserve resourcing and avoid slowing down implementation, course mapping and manual moderation of the qualifications in scope will be considered as part of an overall process of review, including risk mitigation activities (specified in recommendations 6, 7, 9 and 18) to ensure the ongoing effectiveness of the measure.</w:t>
      </w:r>
    </w:p>
    <w:p w14:paraId="1ABC782A" w14:textId="77777777" w:rsidR="00205C86" w:rsidRPr="00844A49" w:rsidRDefault="00205C86" w:rsidP="009758A9">
      <w:pPr>
        <w:spacing w:after="120" w:line="240" w:lineRule="auto"/>
      </w:pPr>
    </w:p>
    <w:p w14:paraId="31343CA3" w14:textId="5DE90C92" w:rsidR="009B6BE5" w:rsidRPr="00B35003" w:rsidRDefault="00A23F29" w:rsidP="005119BB">
      <w:pPr>
        <w:pStyle w:val="Heading2"/>
        <w:rPr>
          <w:sz w:val="28"/>
          <w:szCs w:val="28"/>
        </w:rPr>
      </w:pPr>
      <w:bookmarkStart w:id="13" w:name="_Toc126139964"/>
      <w:r w:rsidRPr="00B35003">
        <w:rPr>
          <w:sz w:val="28"/>
          <w:szCs w:val="28"/>
        </w:rPr>
        <w:t xml:space="preserve">Recommendation Seven: </w:t>
      </w:r>
      <w:r w:rsidR="009B6BE5" w:rsidRPr="00B35003">
        <w:rPr>
          <w:color w:val="767171" w:themeColor="background2" w:themeShade="80"/>
          <w:sz w:val="28"/>
          <w:szCs w:val="28"/>
        </w:rPr>
        <w:t>In consultation with the Department of Education, the Department of Home Affairs identify an appropriate update cycle for courses eligible for the TGV (extended) and communicate it to stakeholders.</w:t>
      </w:r>
      <w:bookmarkEnd w:id="13"/>
    </w:p>
    <w:p w14:paraId="1F370496" w14:textId="43E1A604" w:rsidR="009758A9" w:rsidRDefault="00A23F29" w:rsidP="00623034">
      <w:pPr>
        <w:pStyle w:val="Heading5"/>
        <w:spacing w:before="0" w:after="120"/>
        <w:rPr>
          <w:rFonts w:asciiTheme="minorHAnsi" w:eastAsiaTheme="minorEastAsia" w:hAnsiTheme="minorHAnsi" w:cstheme="minorBidi"/>
          <w:b w:val="0"/>
          <w:color w:val="auto"/>
        </w:rPr>
      </w:pPr>
      <w:r w:rsidRPr="009A70E9">
        <w:rPr>
          <w:rFonts w:asciiTheme="minorHAnsi" w:eastAsiaTheme="minorEastAsia" w:hAnsiTheme="minorHAnsi" w:cstheme="minorBidi"/>
          <w:bCs/>
          <w:color w:val="auto"/>
        </w:rPr>
        <w:t>Government</w:t>
      </w:r>
      <w:r w:rsidRPr="6B7B2D82">
        <w:rPr>
          <w:rFonts w:asciiTheme="minorHAnsi" w:eastAsiaTheme="minorEastAsia" w:hAnsiTheme="minorHAnsi" w:cstheme="minorBidi"/>
          <w:b w:val="0"/>
          <w:color w:val="auto"/>
        </w:rPr>
        <w:t xml:space="preserve"> </w:t>
      </w:r>
      <w:r w:rsidRPr="6B7B2D82">
        <w:rPr>
          <w:rFonts w:asciiTheme="minorHAnsi" w:eastAsiaTheme="minorEastAsia" w:hAnsiTheme="minorHAnsi" w:cstheme="minorBidi"/>
          <w:color w:val="auto"/>
        </w:rPr>
        <w:t>support</w:t>
      </w:r>
      <w:r w:rsidR="41046B4B" w:rsidRPr="6B7B2D82">
        <w:rPr>
          <w:rFonts w:asciiTheme="minorHAnsi" w:eastAsiaTheme="minorEastAsia" w:hAnsiTheme="minorHAnsi" w:cstheme="minorBidi"/>
          <w:color w:val="auto"/>
        </w:rPr>
        <w:t xml:space="preserve">s </w:t>
      </w:r>
      <w:r w:rsidR="48938C65" w:rsidRPr="6B7B2D82">
        <w:rPr>
          <w:rFonts w:asciiTheme="minorHAnsi" w:eastAsiaTheme="minorEastAsia" w:hAnsiTheme="minorHAnsi" w:cstheme="minorBidi"/>
          <w:b w:val="0"/>
          <w:color w:val="auto"/>
        </w:rPr>
        <w:t xml:space="preserve">Recommendation </w:t>
      </w:r>
      <w:r w:rsidR="009A70E9">
        <w:rPr>
          <w:rFonts w:asciiTheme="minorHAnsi" w:eastAsiaTheme="minorEastAsia" w:hAnsiTheme="minorHAnsi" w:cstheme="minorBidi"/>
          <w:b w:val="0"/>
          <w:color w:val="auto"/>
        </w:rPr>
        <w:t>S</w:t>
      </w:r>
      <w:r w:rsidR="48938C65" w:rsidRPr="6B7B2D82">
        <w:rPr>
          <w:rFonts w:asciiTheme="minorHAnsi" w:eastAsiaTheme="minorEastAsia" w:hAnsiTheme="minorHAnsi" w:cstheme="minorBidi"/>
          <w:b w:val="0"/>
          <w:color w:val="auto"/>
        </w:rPr>
        <w:t xml:space="preserve">even and </w:t>
      </w:r>
      <w:r w:rsidR="41046B4B" w:rsidRPr="6B7B2D82">
        <w:rPr>
          <w:rFonts w:asciiTheme="minorHAnsi" w:eastAsiaTheme="minorEastAsia" w:hAnsiTheme="minorHAnsi" w:cstheme="minorBidi"/>
          <w:b w:val="0"/>
          <w:color w:val="auto"/>
        </w:rPr>
        <w:t xml:space="preserve">the </w:t>
      </w:r>
      <w:r w:rsidR="76A93B3C" w:rsidRPr="6B7B2D82">
        <w:rPr>
          <w:rFonts w:asciiTheme="minorHAnsi" w:eastAsiaTheme="minorEastAsia" w:hAnsiTheme="minorHAnsi" w:cstheme="minorBidi"/>
          <w:b w:val="0"/>
          <w:color w:val="auto"/>
        </w:rPr>
        <w:t xml:space="preserve">continued close engagement </w:t>
      </w:r>
      <w:r w:rsidR="3420C7B9" w:rsidRPr="6B7B2D82">
        <w:rPr>
          <w:rFonts w:asciiTheme="minorHAnsi" w:eastAsiaTheme="minorEastAsia" w:hAnsiTheme="minorHAnsi" w:cstheme="minorBidi"/>
          <w:b w:val="0"/>
          <w:color w:val="auto"/>
        </w:rPr>
        <w:t xml:space="preserve">of the </w:t>
      </w:r>
      <w:r w:rsidR="41046B4B" w:rsidRPr="6B7B2D82">
        <w:rPr>
          <w:rFonts w:asciiTheme="minorHAnsi" w:eastAsiaTheme="minorEastAsia" w:hAnsiTheme="minorHAnsi" w:cstheme="minorBidi"/>
          <w:b w:val="0"/>
          <w:color w:val="auto"/>
        </w:rPr>
        <w:t>Department</w:t>
      </w:r>
      <w:r w:rsidR="3420C7B9" w:rsidRPr="6B7B2D82">
        <w:rPr>
          <w:rFonts w:asciiTheme="minorHAnsi" w:eastAsiaTheme="minorEastAsia" w:hAnsiTheme="minorHAnsi" w:cstheme="minorBidi"/>
          <w:b w:val="0"/>
          <w:color w:val="auto"/>
        </w:rPr>
        <w:t>s</w:t>
      </w:r>
      <w:r w:rsidR="41046B4B" w:rsidRPr="6B7B2D82">
        <w:rPr>
          <w:rFonts w:asciiTheme="minorHAnsi" w:eastAsiaTheme="minorEastAsia" w:hAnsiTheme="minorHAnsi" w:cstheme="minorBidi"/>
          <w:b w:val="0"/>
          <w:color w:val="auto"/>
        </w:rPr>
        <w:t xml:space="preserve"> of Education and the Home </w:t>
      </w:r>
      <w:r w:rsidR="1B86BD12" w:rsidRPr="6B7B2D82">
        <w:rPr>
          <w:rFonts w:asciiTheme="minorHAnsi" w:eastAsiaTheme="minorEastAsia" w:hAnsiTheme="minorHAnsi" w:cstheme="minorBidi"/>
          <w:b w:val="0"/>
          <w:color w:val="auto"/>
        </w:rPr>
        <w:t>Affairs</w:t>
      </w:r>
      <w:r w:rsidR="259486E7" w:rsidRPr="6B7B2D82">
        <w:rPr>
          <w:rFonts w:asciiTheme="minorHAnsi" w:eastAsiaTheme="minorEastAsia" w:hAnsiTheme="minorHAnsi" w:cstheme="minorBidi"/>
          <w:b w:val="0"/>
          <w:color w:val="auto"/>
        </w:rPr>
        <w:t xml:space="preserve"> to ensure </w:t>
      </w:r>
      <w:r w:rsidR="005550AA">
        <w:rPr>
          <w:rFonts w:asciiTheme="minorHAnsi" w:eastAsiaTheme="minorEastAsia" w:hAnsiTheme="minorHAnsi" w:cstheme="minorBidi"/>
          <w:b w:val="0"/>
          <w:color w:val="auto"/>
        </w:rPr>
        <w:t xml:space="preserve">that qualifications that are in scope are refreshed on an annual basis. This refresh cycle will need to </w:t>
      </w:r>
      <w:proofErr w:type="gramStart"/>
      <w:r w:rsidR="005550AA">
        <w:rPr>
          <w:rFonts w:asciiTheme="minorHAnsi" w:eastAsiaTheme="minorEastAsia" w:hAnsiTheme="minorHAnsi" w:cstheme="minorBidi"/>
          <w:b w:val="0"/>
          <w:color w:val="auto"/>
        </w:rPr>
        <w:t>take into account</w:t>
      </w:r>
      <w:proofErr w:type="gramEnd"/>
      <w:r w:rsidR="005550AA">
        <w:rPr>
          <w:rFonts w:asciiTheme="minorHAnsi" w:eastAsiaTheme="minorEastAsia" w:hAnsiTheme="minorHAnsi" w:cstheme="minorBidi"/>
          <w:b w:val="0"/>
          <w:color w:val="auto"/>
        </w:rPr>
        <w:t xml:space="preserve"> any updates required to </w:t>
      </w:r>
      <w:r w:rsidR="14CA1B13" w:rsidRPr="6B7B2D82">
        <w:rPr>
          <w:rFonts w:asciiTheme="minorHAnsi" w:eastAsiaTheme="minorEastAsia" w:hAnsiTheme="minorHAnsi" w:cstheme="minorBidi"/>
          <w:b w:val="0"/>
          <w:color w:val="auto"/>
        </w:rPr>
        <w:t>the departments</w:t>
      </w:r>
      <w:r w:rsidR="0007651B">
        <w:rPr>
          <w:rFonts w:asciiTheme="minorHAnsi" w:eastAsiaTheme="minorEastAsia" w:hAnsiTheme="minorHAnsi" w:cstheme="minorBidi"/>
          <w:b w:val="0"/>
          <w:color w:val="auto"/>
        </w:rPr>
        <w:t>’</w:t>
      </w:r>
      <w:r w:rsidR="14CA1B13" w:rsidRPr="6B7B2D82">
        <w:rPr>
          <w:rFonts w:asciiTheme="minorHAnsi" w:eastAsiaTheme="minorEastAsia" w:hAnsiTheme="minorHAnsi" w:cstheme="minorBidi"/>
          <w:b w:val="0"/>
          <w:color w:val="auto"/>
        </w:rPr>
        <w:t xml:space="preserve"> respective </w:t>
      </w:r>
      <w:r w:rsidR="590F91AB" w:rsidRPr="6B7B2D82">
        <w:rPr>
          <w:rFonts w:asciiTheme="minorHAnsi" w:eastAsiaTheme="minorEastAsia" w:hAnsiTheme="minorHAnsi" w:cstheme="minorBidi"/>
          <w:b w:val="0"/>
          <w:color w:val="auto"/>
        </w:rPr>
        <w:t>I</w:t>
      </w:r>
      <w:r w:rsidR="7AB75847" w:rsidRPr="6B7B2D82">
        <w:rPr>
          <w:rFonts w:asciiTheme="minorHAnsi" w:eastAsiaTheme="minorEastAsia" w:hAnsiTheme="minorHAnsi" w:cstheme="minorBidi"/>
          <w:b w:val="0"/>
          <w:color w:val="auto"/>
        </w:rPr>
        <w:t>C</w:t>
      </w:r>
      <w:r w:rsidR="590F91AB" w:rsidRPr="6B7B2D82">
        <w:rPr>
          <w:rFonts w:asciiTheme="minorHAnsi" w:eastAsiaTheme="minorEastAsia" w:hAnsiTheme="minorHAnsi" w:cstheme="minorBidi"/>
          <w:b w:val="0"/>
          <w:color w:val="auto"/>
        </w:rPr>
        <w:t>T</w:t>
      </w:r>
      <w:r w:rsidR="14CA1B13" w:rsidRPr="6B7B2D82">
        <w:rPr>
          <w:rFonts w:asciiTheme="minorHAnsi" w:eastAsiaTheme="minorEastAsia" w:hAnsiTheme="minorHAnsi" w:cstheme="minorBidi"/>
          <w:b w:val="0"/>
          <w:color w:val="auto"/>
        </w:rPr>
        <w:t xml:space="preserve"> systems </w:t>
      </w:r>
      <w:r w:rsidR="005550AA">
        <w:rPr>
          <w:rFonts w:asciiTheme="minorHAnsi" w:eastAsiaTheme="minorEastAsia" w:hAnsiTheme="minorHAnsi" w:cstheme="minorBidi"/>
          <w:b w:val="0"/>
          <w:color w:val="auto"/>
        </w:rPr>
        <w:t xml:space="preserve">to </w:t>
      </w:r>
      <w:r w:rsidR="1E442A9D" w:rsidRPr="6B7B2D82">
        <w:rPr>
          <w:rFonts w:asciiTheme="minorHAnsi" w:eastAsiaTheme="minorEastAsia" w:hAnsiTheme="minorHAnsi" w:cstheme="minorBidi"/>
          <w:b w:val="0"/>
          <w:color w:val="auto"/>
        </w:rPr>
        <w:t xml:space="preserve">capture </w:t>
      </w:r>
      <w:r w:rsidR="3132AC55" w:rsidRPr="6B7B2D82">
        <w:rPr>
          <w:rFonts w:asciiTheme="minorHAnsi" w:eastAsiaTheme="minorEastAsia" w:hAnsiTheme="minorHAnsi" w:cstheme="minorBidi"/>
          <w:b w:val="0"/>
          <w:color w:val="auto"/>
        </w:rPr>
        <w:t>and communicate</w:t>
      </w:r>
      <w:r w:rsidR="33A5B4CB" w:rsidRPr="6B7B2D82">
        <w:rPr>
          <w:rFonts w:asciiTheme="minorHAnsi" w:eastAsiaTheme="minorEastAsia" w:hAnsiTheme="minorHAnsi" w:cstheme="minorBidi"/>
          <w:b w:val="0"/>
          <w:color w:val="auto"/>
        </w:rPr>
        <w:t xml:space="preserve"> </w:t>
      </w:r>
      <w:r w:rsidR="005550AA">
        <w:rPr>
          <w:rFonts w:asciiTheme="minorHAnsi" w:eastAsiaTheme="minorEastAsia" w:hAnsiTheme="minorHAnsi" w:cstheme="minorBidi"/>
          <w:b w:val="0"/>
          <w:color w:val="auto"/>
        </w:rPr>
        <w:t xml:space="preserve">course </w:t>
      </w:r>
      <w:r w:rsidR="1E442A9D" w:rsidRPr="6B7B2D82">
        <w:rPr>
          <w:rFonts w:asciiTheme="minorHAnsi" w:eastAsiaTheme="minorEastAsia" w:hAnsiTheme="minorHAnsi" w:cstheme="minorBidi"/>
          <w:b w:val="0"/>
          <w:color w:val="auto"/>
        </w:rPr>
        <w:t>eligibility</w:t>
      </w:r>
      <w:r w:rsidR="00716F2B">
        <w:rPr>
          <w:rFonts w:asciiTheme="minorHAnsi" w:eastAsiaTheme="minorEastAsia" w:hAnsiTheme="minorHAnsi" w:cstheme="minorBidi"/>
          <w:b w:val="0"/>
          <w:color w:val="auto"/>
        </w:rPr>
        <w:t xml:space="preserve"> </w:t>
      </w:r>
      <w:r w:rsidR="008A64DF">
        <w:rPr>
          <w:rFonts w:asciiTheme="minorHAnsi" w:eastAsiaTheme="minorEastAsia" w:hAnsiTheme="minorHAnsi" w:cstheme="minorBidi"/>
          <w:b w:val="0"/>
          <w:color w:val="auto"/>
        </w:rPr>
        <w:t>in a timely manner</w:t>
      </w:r>
      <w:r w:rsidR="4CE6F955" w:rsidRPr="6B7B2D82">
        <w:rPr>
          <w:rFonts w:asciiTheme="minorHAnsi" w:eastAsiaTheme="minorEastAsia" w:hAnsiTheme="minorHAnsi" w:cstheme="minorBidi"/>
          <w:b w:val="0"/>
          <w:color w:val="auto"/>
        </w:rPr>
        <w:t>.</w:t>
      </w:r>
      <w:r w:rsidR="4E8D5E0D" w:rsidRPr="6B7B2D82">
        <w:rPr>
          <w:rFonts w:asciiTheme="minorHAnsi" w:eastAsiaTheme="minorEastAsia" w:hAnsiTheme="minorHAnsi" w:cstheme="minorBidi"/>
          <w:b w:val="0"/>
          <w:color w:val="auto"/>
        </w:rPr>
        <w:t xml:space="preserve"> </w:t>
      </w:r>
    </w:p>
    <w:p w14:paraId="1AA13521" w14:textId="77777777" w:rsidR="000D6FFC" w:rsidRPr="000D6FFC" w:rsidRDefault="000D6FFC" w:rsidP="000D6FFC"/>
    <w:p w14:paraId="5C9F8C8C" w14:textId="7091D976" w:rsidR="005B50A5" w:rsidRPr="00B35003" w:rsidRDefault="00881DCB" w:rsidP="005119BB">
      <w:pPr>
        <w:pStyle w:val="Heading2"/>
        <w:rPr>
          <w:sz w:val="28"/>
          <w:szCs w:val="28"/>
        </w:rPr>
      </w:pPr>
      <w:bookmarkStart w:id="14" w:name="_Toc126139965"/>
      <w:r w:rsidRPr="00B35003">
        <w:rPr>
          <w:sz w:val="28"/>
          <w:szCs w:val="28"/>
        </w:rPr>
        <w:t>Recommendation Eight:</w:t>
      </w:r>
      <w:r w:rsidRPr="00B35003">
        <w:rPr>
          <w:rFonts w:eastAsia="Calibri" w:cstheme="minorHAnsi"/>
          <w:sz w:val="28"/>
          <w:szCs w:val="28"/>
        </w:rPr>
        <w:t xml:space="preserve"> </w:t>
      </w:r>
      <w:r w:rsidRPr="00B35003">
        <w:rPr>
          <w:color w:val="767171" w:themeColor="background2" w:themeShade="80"/>
          <w:sz w:val="28"/>
          <w:szCs w:val="28"/>
        </w:rPr>
        <w:t xml:space="preserve">The Government </w:t>
      </w:r>
      <w:r w:rsidR="003B6EFA">
        <w:rPr>
          <w:color w:val="767171" w:themeColor="background2" w:themeShade="80"/>
          <w:sz w:val="28"/>
          <w:szCs w:val="28"/>
        </w:rPr>
        <w:t xml:space="preserve">will </w:t>
      </w:r>
      <w:r w:rsidRPr="00B35003">
        <w:rPr>
          <w:color w:val="767171" w:themeColor="background2" w:themeShade="80"/>
          <w:sz w:val="28"/>
          <w:szCs w:val="28"/>
        </w:rPr>
        <w:t>ensure the needs of student and graduate visa holders are considered when developing the package of reforms to address migrant worker exploitation expected in 2023.</w:t>
      </w:r>
      <w:bookmarkEnd w:id="14"/>
    </w:p>
    <w:p w14:paraId="27F7C90B" w14:textId="42AAC364" w:rsidR="005847CD" w:rsidRDefault="005B50A5" w:rsidP="00623034">
      <w:pPr>
        <w:spacing w:after="120"/>
      </w:pPr>
      <w:r w:rsidRPr="009A70E9">
        <w:rPr>
          <w:b/>
          <w:bCs/>
        </w:rPr>
        <w:t>Government</w:t>
      </w:r>
      <w:r>
        <w:t xml:space="preserve"> </w:t>
      </w:r>
      <w:r w:rsidRPr="638DAEDB">
        <w:rPr>
          <w:b/>
          <w:bCs/>
        </w:rPr>
        <w:t>supports</w:t>
      </w:r>
      <w:r>
        <w:t xml:space="preserve"> Recommendation Eight</w:t>
      </w:r>
      <w:r w:rsidR="00BC3EFA">
        <w:t>,</w:t>
      </w:r>
      <w:r>
        <w:t xml:space="preserve"> </w:t>
      </w:r>
      <w:r w:rsidR="006666EB">
        <w:t xml:space="preserve">noting it will </w:t>
      </w:r>
      <w:r>
        <w:t xml:space="preserve">be enabled by continued close interdepartmental engagement and </w:t>
      </w:r>
      <w:r w:rsidR="00FB58A7">
        <w:t xml:space="preserve">sectoral </w:t>
      </w:r>
      <w:r>
        <w:t xml:space="preserve">consultation to ensure the </w:t>
      </w:r>
      <w:r w:rsidR="00623034">
        <w:t xml:space="preserve">needs </w:t>
      </w:r>
      <w:r>
        <w:t xml:space="preserve">of </w:t>
      </w:r>
      <w:r w:rsidR="00CA4AD6">
        <w:t xml:space="preserve">international students and </w:t>
      </w:r>
      <w:r>
        <w:t xml:space="preserve">graduates are considered in </w:t>
      </w:r>
      <w:r w:rsidR="007F063E">
        <w:t xml:space="preserve">the </w:t>
      </w:r>
      <w:r>
        <w:t>migrant worker reform package</w:t>
      </w:r>
      <w:r w:rsidR="007F063E">
        <w:t>.</w:t>
      </w:r>
      <w:r w:rsidR="00D10DEC">
        <w:t xml:space="preserve"> </w:t>
      </w:r>
      <w:r w:rsidR="003B5DA1">
        <w:t xml:space="preserve">International students and graduates </w:t>
      </w:r>
      <w:r w:rsidR="00D37C68">
        <w:t>are a valuable part of Australia’s workforce</w:t>
      </w:r>
      <w:r w:rsidR="005B5610">
        <w:t>.</w:t>
      </w:r>
      <w:r w:rsidR="00D37C68">
        <w:t xml:space="preserve"> </w:t>
      </w:r>
      <w:r w:rsidR="005B5610">
        <w:t>The Government is committed to tackling exploitation of these groups, and all workers, and will have due regard to the needs of international students and graduates in developing future reforms. Such work would build on existing resources developed for international students, including cross promotion of those available from the Fair Work Ombudsman.</w:t>
      </w:r>
    </w:p>
    <w:p w14:paraId="06B934E8" w14:textId="77777777" w:rsidR="000D6FFC" w:rsidRDefault="000D6FFC" w:rsidP="009758A9">
      <w:pPr>
        <w:spacing w:after="120" w:line="240" w:lineRule="auto"/>
      </w:pPr>
    </w:p>
    <w:p w14:paraId="55B9A188" w14:textId="4676A063" w:rsidR="00881815" w:rsidRPr="00B35003" w:rsidRDefault="00881815" w:rsidP="005119BB">
      <w:pPr>
        <w:pStyle w:val="Heading2"/>
        <w:rPr>
          <w:color w:val="767171" w:themeColor="background2" w:themeShade="80"/>
          <w:sz w:val="28"/>
          <w:szCs w:val="28"/>
        </w:rPr>
      </w:pPr>
      <w:bookmarkStart w:id="15" w:name="_Toc126139966"/>
      <w:r w:rsidRPr="00B35003">
        <w:rPr>
          <w:sz w:val="28"/>
          <w:szCs w:val="28"/>
        </w:rPr>
        <w:lastRenderedPageBreak/>
        <w:t xml:space="preserve">Recommendation Nine: </w:t>
      </w:r>
      <w:r w:rsidR="007C4526" w:rsidRPr="00B35003">
        <w:rPr>
          <w:color w:val="767171" w:themeColor="background2" w:themeShade="80"/>
          <w:sz w:val="28"/>
          <w:szCs w:val="28"/>
        </w:rPr>
        <w:t>The Department of Education and the Tertiary Education Quality and Standards Agency (TEQSA) continue to monitor registrations and student enrolments, including for courses that attract extended visa duration, and respond as necessary to any variations.</w:t>
      </w:r>
      <w:bookmarkEnd w:id="15"/>
    </w:p>
    <w:p w14:paraId="4032572E" w14:textId="49658755" w:rsidR="00401D7C" w:rsidRDefault="007C4526" w:rsidP="00623034">
      <w:pPr>
        <w:spacing w:after="120"/>
      </w:pPr>
      <w:r w:rsidRPr="009A70E9">
        <w:rPr>
          <w:b/>
          <w:bCs/>
        </w:rPr>
        <w:t>Government</w:t>
      </w:r>
      <w:r>
        <w:t xml:space="preserve"> </w:t>
      </w:r>
      <w:r w:rsidRPr="6B7B2D82">
        <w:rPr>
          <w:b/>
          <w:bCs/>
        </w:rPr>
        <w:t>supports</w:t>
      </w:r>
      <w:r>
        <w:t xml:space="preserve"> Recommendation Nine as </w:t>
      </w:r>
      <w:r w:rsidR="00392320">
        <w:t>a further</w:t>
      </w:r>
      <w:r>
        <w:t xml:space="preserve"> enhancement of the </w:t>
      </w:r>
      <w:r w:rsidR="00AD272A">
        <w:t>risk mitigation measures identified in Recommendation</w:t>
      </w:r>
      <w:r w:rsidR="00392320">
        <w:t xml:space="preserve"> </w:t>
      </w:r>
      <w:r w:rsidR="00D54D69">
        <w:t>6</w:t>
      </w:r>
      <w:r w:rsidR="00716F2B">
        <w:t xml:space="preserve"> and to inform an annual implementation assessment at Recommendation </w:t>
      </w:r>
      <w:r w:rsidR="00D54D69">
        <w:t>18</w:t>
      </w:r>
      <w:r w:rsidR="00392320">
        <w:t xml:space="preserve">. The Department of Education </w:t>
      </w:r>
      <w:r w:rsidR="6534B0DD">
        <w:t xml:space="preserve">and </w:t>
      </w:r>
      <w:r w:rsidR="00591451">
        <w:t xml:space="preserve">TEQSA </w:t>
      </w:r>
      <w:r w:rsidR="7FA01E42">
        <w:t>will continue to monitor international education providers</w:t>
      </w:r>
      <w:r w:rsidR="0002263B">
        <w:t>’</w:t>
      </w:r>
      <w:r w:rsidR="7FA01E42">
        <w:t xml:space="preserve"> </w:t>
      </w:r>
      <w:r w:rsidR="6EA1F017">
        <w:t xml:space="preserve">compliance with </w:t>
      </w:r>
      <w:r w:rsidR="0F0BA23F">
        <w:t>their obligations under the Education Services for Overseas Students legislative framework</w:t>
      </w:r>
      <w:r w:rsidR="008A64DF">
        <w:t>, and findings will be fed into the annual review process</w:t>
      </w:r>
      <w:r w:rsidR="00401D7C">
        <w:t>.</w:t>
      </w:r>
    </w:p>
    <w:p w14:paraId="55CEB3EC" w14:textId="77777777" w:rsidR="000D6FFC" w:rsidRDefault="000D6FFC" w:rsidP="009758A9">
      <w:pPr>
        <w:spacing w:after="120" w:line="240" w:lineRule="auto"/>
      </w:pPr>
    </w:p>
    <w:p w14:paraId="4437167A" w14:textId="45180B3E" w:rsidR="007411D2" w:rsidRPr="00B35003" w:rsidRDefault="007411D2" w:rsidP="005119BB">
      <w:pPr>
        <w:pStyle w:val="Heading2"/>
        <w:rPr>
          <w:sz w:val="28"/>
          <w:szCs w:val="28"/>
        </w:rPr>
      </w:pPr>
      <w:bookmarkStart w:id="16" w:name="_Toc126139967"/>
      <w:r w:rsidRPr="00B35003">
        <w:rPr>
          <w:sz w:val="28"/>
          <w:szCs w:val="28"/>
        </w:rPr>
        <w:t>Recommendation Ten:</w:t>
      </w:r>
      <w:r w:rsidR="005A5270" w:rsidRPr="00B35003">
        <w:rPr>
          <w:rFonts w:eastAsia="Calibri" w:cstheme="minorHAnsi"/>
          <w:sz w:val="28"/>
          <w:szCs w:val="28"/>
        </w:rPr>
        <w:t xml:space="preserve"> </w:t>
      </w:r>
      <w:r w:rsidR="005A5270" w:rsidRPr="00B35003">
        <w:rPr>
          <w:color w:val="767171" w:themeColor="background2" w:themeShade="80"/>
          <w:sz w:val="28"/>
          <w:szCs w:val="28"/>
        </w:rPr>
        <w:t>Eligible holders of the TGV (extended) retain eligibility for the Second Post-Study Work Stream (the stream available to eligible 485 visa holders who have lived worked and studied in regional Australia).</w:t>
      </w:r>
      <w:bookmarkEnd w:id="16"/>
    </w:p>
    <w:p w14:paraId="46743174" w14:textId="19CD673C" w:rsidR="005A5270" w:rsidRDefault="005A5270" w:rsidP="00623034">
      <w:pPr>
        <w:spacing w:after="120"/>
      </w:pPr>
      <w:r w:rsidRPr="009A70E9">
        <w:rPr>
          <w:b/>
          <w:bCs/>
        </w:rPr>
        <w:t>Government</w:t>
      </w:r>
      <w:r>
        <w:t xml:space="preserve"> </w:t>
      </w:r>
      <w:r w:rsidRPr="6B7B2D82">
        <w:rPr>
          <w:b/>
          <w:bCs/>
        </w:rPr>
        <w:t>supports</w:t>
      </w:r>
      <w:r>
        <w:t xml:space="preserve"> Recommendation Ten which </w:t>
      </w:r>
      <w:r w:rsidR="5F7D3A05">
        <w:t xml:space="preserve">will ensure that the specific needs of regional Australia are </w:t>
      </w:r>
      <w:r w:rsidR="2FEED1CC">
        <w:t>maintained, particularly the extended</w:t>
      </w:r>
      <w:r w:rsidR="00666A89">
        <w:t xml:space="preserve"> duration </w:t>
      </w:r>
      <w:r w:rsidR="488A6C67">
        <w:t xml:space="preserve">of work rights </w:t>
      </w:r>
      <w:r w:rsidR="00666A89">
        <w:t xml:space="preserve">allowable to </w:t>
      </w:r>
      <w:r w:rsidR="694A34FF">
        <w:t xml:space="preserve">international </w:t>
      </w:r>
      <w:r w:rsidR="00E10E7B">
        <w:t>graduates</w:t>
      </w:r>
      <w:r w:rsidR="00666A89">
        <w:t xml:space="preserve"> who have </w:t>
      </w:r>
      <w:r w:rsidR="00E10E7B">
        <w:t>studied</w:t>
      </w:r>
      <w:r w:rsidR="00666A89">
        <w:t xml:space="preserve">, worked and lived in </w:t>
      </w:r>
      <w:r w:rsidR="00E10E7B">
        <w:t xml:space="preserve">regional Australia. </w:t>
      </w:r>
      <w:r w:rsidR="3C64D8B6">
        <w:t>Keeping</w:t>
      </w:r>
      <w:r w:rsidR="1E210FCA">
        <w:t xml:space="preserve"> this additional term of work rights </w:t>
      </w:r>
      <w:r w:rsidR="00F3044D">
        <w:t xml:space="preserve">will </w:t>
      </w:r>
      <w:r w:rsidR="12A7A8FB">
        <w:t xml:space="preserve">ensure </w:t>
      </w:r>
      <w:r w:rsidR="00F3044D">
        <w:t xml:space="preserve">the attractiveness of </w:t>
      </w:r>
      <w:r w:rsidR="00E357D3">
        <w:t>regional</w:t>
      </w:r>
      <w:r w:rsidR="00F3044D">
        <w:t xml:space="preserve"> Australia to </w:t>
      </w:r>
      <w:r w:rsidR="0D829D5F">
        <w:t xml:space="preserve">international </w:t>
      </w:r>
      <w:r w:rsidR="00F3044D">
        <w:t xml:space="preserve">graduates </w:t>
      </w:r>
      <w:r w:rsidR="72C11988">
        <w:t>is maintained</w:t>
      </w:r>
      <w:r w:rsidR="00F3044D">
        <w:t xml:space="preserve">. </w:t>
      </w:r>
    </w:p>
    <w:p w14:paraId="77FE209E" w14:textId="77777777" w:rsidR="00716F2B" w:rsidRDefault="00716F2B" w:rsidP="009758A9">
      <w:pPr>
        <w:spacing w:after="120" w:line="240" w:lineRule="auto"/>
      </w:pPr>
    </w:p>
    <w:p w14:paraId="166B54DF" w14:textId="15227DB3" w:rsidR="005B50A5" w:rsidRPr="00B35003" w:rsidRDefault="005B50A5" w:rsidP="005119BB">
      <w:pPr>
        <w:pStyle w:val="Heading2"/>
        <w:rPr>
          <w:color w:val="767171" w:themeColor="background2" w:themeShade="80"/>
          <w:sz w:val="28"/>
          <w:szCs w:val="28"/>
        </w:rPr>
      </w:pPr>
      <w:bookmarkStart w:id="17" w:name="_Toc126139968"/>
      <w:r w:rsidRPr="00B35003">
        <w:rPr>
          <w:color w:val="F26322" w:themeColor="accent2"/>
          <w:sz w:val="28"/>
          <w:szCs w:val="28"/>
        </w:rPr>
        <w:t>Recommendation Eleven:</w:t>
      </w:r>
      <w:r w:rsidRPr="00B35003">
        <w:rPr>
          <w:sz w:val="28"/>
          <w:szCs w:val="28"/>
        </w:rPr>
        <w:t xml:space="preserve"> </w:t>
      </w:r>
      <w:r w:rsidRPr="00B35003">
        <w:rPr>
          <w:color w:val="767171" w:themeColor="background2" w:themeShade="80"/>
          <w:sz w:val="28"/>
          <w:szCs w:val="28"/>
        </w:rPr>
        <w:t>Government lead a communication strategy to build awareness of the measure among Student visa holders to support decision-making.</w:t>
      </w:r>
      <w:bookmarkEnd w:id="17"/>
    </w:p>
    <w:p w14:paraId="1441D9C5" w14:textId="70E5F8BB" w:rsidR="00503488" w:rsidRDefault="546DC721" w:rsidP="00623034">
      <w:pPr>
        <w:pStyle w:val="Heading5"/>
        <w:spacing w:before="0" w:after="120"/>
        <w:rPr>
          <w:rFonts w:asciiTheme="minorHAnsi" w:eastAsiaTheme="minorEastAsia" w:hAnsiTheme="minorHAnsi" w:cstheme="minorBidi"/>
          <w:b w:val="0"/>
          <w:color w:val="auto"/>
        </w:rPr>
      </w:pPr>
      <w:r w:rsidRPr="009A70E9">
        <w:rPr>
          <w:bCs/>
          <w:color w:val="auto"/>
        </w:rPr>
        <w:t>Government</w:t>
      </w:r>
      <w:r w:rsidRPr="009A70E9">
        <w:rPr>
          <w:b w:val="0"/>
          <w:color w:val="auto"/>
        </w:rPr>
        <w:t xml:space="preserve"> </w:t>
      </w:r>
      <w:r w:rsidRPr="009A70E9">
        <w:rPr>
          <w:color w:val="auto"/>
        </w:rPr>
        <w:t xml:space="preserve">supports </w:t>
      </w:r>
      <w:r w:rsidRPr="009A70E9">
        <w:rPr>
          <w:b w:val="0"/>
          <w:color w:val="auto"/>
        </w:rPr>
        <w:t xml:space="preserve">Recommendation </w:t>
      </w:r>
      <w:r w:rsidR="009A70E9">
        <w:rPr>
          <w:b w:val="0"/>
          <w:color w:val="auto"/>
        </w:rPr>
        <w:t>Eleven</w:t>
      </w:r>
      <w:r w:rsidRPr="009A70E9">
        <w:rPr>
          <w:b w:val="0"/>
          <w:color w:val="auto"/>
        </w:rPr>
        <w:t xml:space="preserve">. </w:t>
      </w:r>
      <w:r w:rsidR="4ADBE591" w:rsidRPr="009A70E9">
        <w:rPr>
          <w:rFonts w:asciiTheme="minorHAnsi" w:eastAsiaTheme="minorEastAsia" w:hAnsiTheme="minorHAnsi" w:cstheme="minorBidi"/>
          <w:b w:val="0"/>
          <w:color w:val="auto"/>
        </w:rPr>
        <w:t xml:space="preserve">Communication materials will be developed </w:t>
      </w:r>
      <w:r w:rsidR="00A67A26">
        <w:rPr>
          <w:rFonts w:asciiTheme="minorHAnsi" w:eastAsiaTheme="minorEastAsia" w:hAnsiTheme="minorHAnsi" w:cstheme="minorBidi"/>
          <w:b w:val="0"/>
          <w:color w:val="auto"/>
        </w:rPr>
        <w:t>by the Department</w:t>
      </w:r>
      <w:r w:rsidR="00205C86">
        <w:rPr>
          <w:rFonts w:asciiTheme="minorHAnsi" w:eastAsiaTheme="minorEastAsia" w:hAnsiTheme="minorHAnsi" w:cstheme="minorBidi"/>
          <w:b w:val="0"/>
          <w:color w:val="auto"/>
        </w:rPr>
        <w:t>s</w:t>
      </w:r>
      <w:r w:rsidR="00A67A26">
        <w:rPr>
          <w:rFonts w:asciiTheme="minorHAnsi" w:eastAsiaTheme="minorEastAsia" w:hAnsiTheme="minorHAnsi" w:cstheme="minorBidi"/>
          <w:b w:val="0"/>
          <w:color w:val="auto"/>
        </w:rPr>
        <w:t xml:space="preserve"> of Education</w:t>
      </w:r>
      <w:r w:rsidR="00205C86">
        <w:rPr>
          <w:rFonts w:asciiTheme="minorHAnsi" w:eastAsiaTheme="minorEastAsia" w:hAnsiTheme="minorHAnsi" w:cstheme="minorBidi"/>
          <w:b w:val="0"/>
          <w:color w:val="auto"/>
        </w:rPr>
        <w:t xml:space="preserve"> and Home Affairs</w:t>
      </w:r>
      <w:r w:rsidR="00A67A26">
        <w:rPr>
          <w:rFonts w:asciiTheme="minorHAnsi" w:eastAsiaTheme="minorEastAsia" w:hAnsiTheme="minorHAnsi" w:cstheme="minorBidi"/>
          <w:b w:val="0"/>
          <w:color w:val="auto"/>
        </w:rPr>
        <w:t xml:space="preserve"> </w:t>
      </w:r>
      <w:r w:rsidR="4ADBE591" w:rsidRPr="009A70E9">
        <w:rPr>
          <w:rFonts w:asciiTheme="minorHAnsi" w:eastAsiaTheme="minorEastAsia" w:hAnsiTheme="minorHAnsi" w:cstheme="minorBidi"/>
          <w:b w:val="0"/>
          <w:color w:val="auto"/>
        </w:rPr>
        <w:t xml:space="preserve">to </w:t>
      </w:r>
      <w:r w:rsidR="23F74878" w:rsidRPr="009A70E9">
        <w:rPr>
          <w:rFonts w:asciiTheme="minorHAnsi" w:eastAsiaTheme="minorEastAsia" w:hAnsiTheme="minorHAnsi" w:cstheme="minorBidi"/>
          <w:b w:val="0"/>
          <w:color w:val="auto"/>
        </w:rPr>
        <w:t xml:space="preserve">ensure that the sector, students, graduates, employers and the general public are </w:t>
      </w:r>
      <w:r w:rsidR="307C3387" w:rsidRPr="009A70E9">
        <w:rPr>
          <w:rFonts w:asciiTheme="minorHAnsi" w:eastAsiaTheme="minorEastAsia" w:hAnsiTheme="minorHAnsi" w:cstheme="minorBidi"/>
          <w:b w:val="0"/>
          <w:color w:val="auto"/>
        </w:rPr>
        <w:t xml:space="preserve">aware </w:t>
      </w:r>
      <w:r w:rsidR="66AC5675" w:rsidRPr="009A70E9">
        <w:rPr>
          <w:rFonts w:asciiTheme="minorHAnsi" w:eastAsiaTheme="minorEastAsia" w:hAnsiTheme="minorHAnsi" w:cstheme="minorBidi"/>
          <w:b w:val="0"/>
          <w:color w:val="auto"/>
        </w:rPr>
        <w:t>of the benefits of the measure to Australia’s labour market</w:t>
      </w:r>
      <w:r w:rsidR="6C170954" w:rsidRPr="009A70E9">
        <w:rPr>
          <w:rFonts w:asciiTheme="minorHAnsi" w:eastAsiaTheme="minorEastAsia" w:hAnsiTheme="minorHAnsi" w:cstheme="minorBidi"/>
          <w:b w:val="0"/>
          <w:color w:val="auto"/>
        </w:rPr>
        <w:t>,</w:t>
      </w:r>
      <w:r w:rsidR="0A5E41B7" w:rsidRPr="009A70E9">
        <w:rPr>
          <w:rFonts w:asciiTheme="minorHAnsi" w:eastAsiaTheme="minorEastAsia" w:hAnsiTheme="minorHAnsi" w:cstheme="minorBidi"/>
          <w:b w:val="0"/>
          <w:color w:val="auto"/>
        </w:rPr>
        <w:t xml:space="preserve"> to education sector recovery and</w:t>
      </w:r>
      <w:r w:rsidR="6C170954" w:rsidRPr="009A70E9">
        <w:rPr>
          <w:rFonts w:asciiTheme="minorHAnsi" w:eastAsiaTheme="minorEastAsia" w:hAnsiTheme="minorHAnsi" w:cstheme="minorBidi"/>
          <w:b w:val="0"/>
          <w:color w:val="auto"/>
        </w:rPr>
        <w:t xml:space="preserve"> </w:t>
      </w:r>
      <w:r w:rsidR="48E63861" w:rsidRPr="009A70E9">
        <w:rPr>
          <w:rFonts w:asciiTheme="minorHAnsi" w:eastAsiaTheme="minorEastAsia" w:hAnsiTheme="minorHAnsi" w:cstheme="minorBidi"/>
          <w:b w:val="0"/>
          <w:color w:val="auto"/>
        </w:rPr>
        <w:t>to</w:t>
      </w:r>
      <w:r w:rsidR="6C170954" w:rsidRPr="009A70E9">
        <w:rPr>
          <w:rFonts w:asciiTheme="minorHAnsi" w:eastAsiaTheme="minorEastAsia" w:hAnsiTheme="minorHAnsi" w:cstheme="minorBidi"/>
          <w:b w:val="0"/>
          <w:color w:val="auto"/>
        </w:rPr>
        <w:t xml:space="preserve"> the continued diversity and richness of Australia’s multicultural society.</w:t>
      </w:r>
      <w:r w:rsidR="66AC5675" w:rsidRPr="009A70E9">
        <w:rPr>
          <w:rFonts w:asciiTheme="minorHAnsi" w:eastAsiaTheme="minorEastAsia" w:hAnsiTheme="minorHAnsi" w:cstheme="minorBidi"/>
          <w:b w:val="0"/>
          <w:color w:val="auto"/>
        </w:rPr>
        <w:t xml:space="preserve"> </w:t>
      </w:r>
    </w:p>
    <w:p w14:paraId="2DE5B52D" w14:textId="240C2060" w:rsidR="000D6FFC" w:rsidRPr="000D6FFC" w:rsidRDefault="00623034" w:rsidP="000D6FFC">
      <w:r>
        <w:t xml:space="preserve">The Department of Home Affairs will also prepare communication materials to ensure clear messaging is provided on a prospective student’s eligibility for an extended Temporary Graduate Visa. </w:t>
      </w:r>
    </w:p>
    <w:p w14:paraId="0F8B3165" w14:textId="77777777" w:rsidR="00CF2B00" w:rsidRPr="000D6FFC" w:rsidRDefault="00CF2B00" w:rsidP="000D6FFC"/>
    <w:p w14:paraId="3904CA78" w14:textId="313D310D" w:rsidR="00E1384E" w:rsidRPr="00B35003" w:rsidRDefault="00E1384E" w:rsidP="005119BB">
      <w:pPr>
        <w:pStyle w:val="Heading2"/>
        <w:rPr>
          <w:sz w:val="28"/>
          <w:szCs w:val="28"/>
        </w:rPr>
      </w:pPr>
      <w:bookmarkStart w:id="18" w:name="_Toc126139969"/>
      <w:r w:rsidRPr="00B35003">
        <w:rPr>
          <w:color w:val="F26322" w:themeColor="accent2"/>
          <w:sz w:val="28"/>
          <w:szCs w:val="28"/>
        </w:rPr>
        <w:t>Recommendation Twelve:</w:t>
      </w:r>
      <w:r w:rsidRPr="00B35003">
        <w:rPr>
          <w:sz w:val="28"/>
          <w:szCs w:val="28"/>
        </w:rPr>
        <w:t xml:space="preserve"> </w:t>
      </w:r>
      <w:r w:rsidR="00E03434" w:rsidRPr="00B35003">
        <w:rPr>
          <w:color w:val="767171" w:themeColor="background2" w:themeShade="80"/>
          <w:sz w:val="28"/>
          <w:szCs w:val="28"/>
        </w:rPr>
        <w:t>Holders of the Temporary Graduate visa (485) (Replacement Stream and Post-Study Work Stream) at time of implementation who have in-scope qualifications are eligible for the TGV (extended) measure of two years.</w:t>
      </w:r>
      <w:bookmarkEnd w:id="18"/>
    </w:p>
    <w:p w14:paraId="27743905" w14:textId="3FBEFE09" w:rsidR="0075724D" w:rsidRDefault="0F4CF2B4" w:rsidP="00623034">
      <w:pPr>
        <w:spacing w:after="120"/>
        <w:rPr>
          <w:rFonts w:ascii="Calibri" w:eastAsiaTheme="majorEastAsia" w:hAnsi="Calibri" w:cstheme="majorBidi"/>
          <w:b/>
          <w:bCs/>
          <w:color w:val="5F6369"/>
          <w:sz w:val="26"/>
          <w:szCs w:val="26"/>
        </w:rPr>
      </w:pPr>
      <w:r w:rsidRPr="009A70E9">
        <w:rPr>
          <w:b/>
          <w:bCs/>
        </w:rPr>
        <w:t>Government</w:t>
      </w:r>
      <w:r>
        <w:t xml:space="preserve"> </w:t>
      </w:r>
      <w:r w:rsidRPr="638DAEDB">
        <w:rPr>
          <w:b/>
          <w:bCs/>
        </w:rPr>
        <w:t>supports</w:t>
      </w:r>
      <w:r w:rsidR="00716F2B">
        <w:rPr>
          <w:b/>
          <w:bCs/>
        </w:rPr>
        <w:t xml:space="preserve"> </w:t>
      </w:r>
      <w:r>
        <w:t xml:space="preserve">Recommendation </w:t>
      </w:r>
      <w:r w:rsidR="009A70E9">
        <w:t xml:space="preserve">Twelve </w:t>
      </w:r>
      <w:r w:rsidR="00B331D7">
        <w:t xml:space="preserve">to </w:t>
      </w:r>
      <w:bookmarkStart w:id="19" w:name="_Hlk126582592"/>
      <w:r>
        <w:t>ensur</w:t>
      </w:r>
      <w:r w:rsidR="00B331D7">
        <w:t>e</w:t>
      </w:r>
      <w:r>
        <w:t xml:space="preserve"> that arrangements provide fairness to eligible cohorts of international students who have already graduated and are on a Temporary Graduate visa (485) or equivalent</w:t>
      </w:r>
      <w:bookmarkEnd w:id="19"/>
      <w:r>
        <w:t xml:space="preserve">. </w:t>
      </w:r>
    </w:p>
    <w:p w14:paraId="14BDCB8C" w14:textId="6E32246E" w:rsidR="0075724D" w:rsidRDefault="53684F64" w:rsidP="00623034">
      <w:pPr>
        <w:spacing w:after="120"/>
      </w:pPr>
      <w:r>
        <w:t>Existing h</w:t>
      </w:r>
      <w:r w:rsidR="1E0F7815">
        <w:t xml:space="preserve">olders of </w:t>
      </w:r>
      <w:r w:rsidR="7D0C1E45">
        <w:t xml:space="preserve">temporary graduate </w:t>
      </w:r>
      <w:r w:rsidR="1E0F7815">
        <w:t xml:space="preserve">visas </w:t>
      </w:r>
      <w:r w:rsidR="114AE892">
        <w:t xml:space="preserve">have </w:t>
      </w:r>
      <w:r w:rsidR="0BA69E32">
        <w:t xml:space="preserve">relevant workforce experience </w:t>
      </w:r>
      <w:r w:rsidR="00B331D7">
        <w:t xml:space="preserve">that </w:t>
      </w:r>
      <w:r w:rsidR="1E0F7815">
        <w:t>can make an immediate contribution to helping to meet Australia’s skills needs.</w:t>
      </w:r>
    </w:p>
    <w:p w14:paraId="00128DEA" w14:textId="77777777" w:rsidR="000D6FFC" w:rsidRDefault="000D6FFC" w:rsidP="638DAEDB">
      <w:pPr>
        <w:spacing w:after="120" w:line="240" w:lineRule="auto"/>
      </w:pPr>
    </w:p>
    <w:p w14:paraId="03AE37A9" w14:textId="4BF6A1AF" w:rsidR="0075724D" w:rsidRPr="00B35003" w:rsidRDefault="0075724D" w:rsidP="005119BB">
      <w:pPr>
        <w:pStyle w:val="Heading2"/>
        <w:rPr>
          <w:color w:val="767171" w:themeColor="background2" w:themeShade="80"/>
          <w:sz w:val="28"/>
          <w:szCs w:val="28"/>
        </w:rPr>
      </w:pPr>
      <w:bookmarkStart w:id="20" w:name="_Toc126139970"/>
      <w:r w:rsidRPr="00B35003">
        <w:rPr>
          <w:color w:val="F26322" w:themeColor="accent2"/>
          <w:sz w:val="28"/>
          <w:szCs w:val="28"/>
        </w:rPr>
        <w:lastRenderedPageBreak/>
        <w:t>Recommendation Thirteen:</w:t>
      </w:r>
      <w:r w:rsidRPr="00B35003">
        <w:rPr>
          <w:sz w:val="28"/>
          <w:szCs w:val="28"/>
        </w:rPr>
        <w:t xml:space="preserve"> </w:t>
      </w:r>
      <w:r w:rsidRPr="00B35003">
        <w:rPr>
          <w:color w:val="767171" w:themeColor="background2" w:themeShade="80"/>
          <w:sz w:val="28"/>
          <w:szCs w:val="28"/>
        </w:rPr>
        <w:t xml:space="preserve">The additional </w:t>
      </w:r>
      <w:proofErr w:type="gramStart"/>
      <w:r w:rsidRPr="00B35003">
        <w:rPr>
          <w:color w:val="767171" w:themeColor="background2" w:themeShade="80"/>
          <w:sz w:val="28"/>
          <w:szCs w:val="28"/>
        </w:rPr>
        <w:t>two year</w:t>
      </w:r>
      <w:proofErr w:type="gramEnd"/>
      <w:r w:rsidRPr="00B35003">
        <w:rPr>
          <w:color w:val="767171" w:themeColor="background2" w:themeShade="80"/>
          <w:sz w:val="28"/>
          <w:szCs w:val="28"/>
        </w:rPr>
        <w:t xml:space="preserve"> period of the TGV (extended) measure, granted as one longer visa covering the whole period, will apply to all eligible persons who lodge a TGV application, or have an application on-hand, on or after 1 July 2023.</w:t>
      </w:r>
      <w:bookmarkEnd w:id="20"/>
    </w:p>
    <w:p w14:paraId="138813F8" w14:textId="3080056E" w:rsidR="086DCD88" w:rsidRDefault="086DCD88" w:rsidP="00623034">
      <w:pPr>
        <w:spacing w:after="120"/>
      </w:pPr>
      <w:r w:rsidRPr="009A70E9">
        <w:rPr>
          <w:b/>
          <w:bCs/>
        </w:rPr>
        <w:t>Government</w:t>
      </w:r>
      <w:r>
        <w:t xml:space="preserve"> </w:t>
      </w:r>
      <w:r w:rsidRPr="638DAEDB">
        <w:rPr>
          <w:b/>
          <w:bCs/>
        </w:rPr>
        <w:t>supports</w:t>
      </w:r>
      <w:r>
        <w:t xml:space="preserve"> Recommendation </w:t>
      </w:r>
      <w:r w:rsidR="009A70E9">
        <w:t xml:space="preserve">Thirteen </w:t>
      </w:r>
      <w:r w:rsidR="00B331D7">
        <w:t xml:space="preserve">to ensure </w:t>
      </w:r>
      <w:r>
        <w:t>that</w:t>
      </w:r>
      <w:r w:rsidR="00716F2B">
        <w:t xml:space="preserve"> </w:t>
      </w:r>
      <w:r w:rsidR="00D45C05">
        <w:t xml:space="preserve">eligible, </w:t>
      </w:r>
      <w:r w:rsidR="00716F2B">
        <w:t>new TGV applicants</w:t>
      </w:r>
      <w:r w:rsidR="002417B3">
        <w:t xml:space="preserve"> or those </w:t>
      </w:r>
      <w:r w:rsidR="00855D39">
        <w:t>with eligible applications</w:t>
      </w:r>
      <w:r w:rsidR="002417B3">
        <w:t xml:space="preserve"> on</w:t>
      </w:r>
      <w:r w:rsidR="008F3F87">
        <w:t>-</w:t>
      </w:r>
      <w:r w:rsidR="002417B3">
        <w:t>hand</w:t>
      </w:r>
      <w:r w:rsidR="00855D39">
        <w:t>,</w:t>
      </w:r>
      <w:r w:rsidR="002417B3">
        <w:t xml:space="preserve"> on or after 1 July 2023 will be granted a TGV for the full length of their stay under these new arrangements including the additional two years. </w:t>
      </w:r>
    </w:p>
    <w:p w14:paraId="317453A9" w14:textId="3A5D21EE" w:rsidR="6516AC88" w:rsidRDefault="002417B3" w:rsidP="00623034">
      <w:pPr>
        <w:spacing w:after="120"/>
      </w:pPr>
      <w:r>
        <w:t xml:space="preserve">Granting the </w:t>
      </w:r>
      <w:r w:rsidR="6516AC88">
        <w:t xml:space="preserve">longer duration of temporary graduate visa </w:t>
      </w:r>
      <w:r>
        <w:t xml:space="preserve">upfront </w:t>
      </w:r>
      <w:r w:rsidR="6516AC88">
        <w:t xml:space="preserve">will provide </w:t>
      </w:r>
      <w:r>
        <w:t xml:space="preserve">both </w:t>
      </w:r>
      <w:r w:rsidR="6516AC88">
        <w:t xml:space="preserve">international students </w:t>
      </w:r>
      <w:r>
        <w:t xml:space="preserve">and future employers </w:t>
      </w:r>
      <w:r w:rsidR="6516AC88">
        <w:t>with greater certainty of tenure and through this</w:t>
      </w:r>
      <w:r w:rsidR="000D6FFC">
        <w:t>,</w:t>
      </w:r>
      <w:r w:rsidR="004E63D7">
        <w:t xml:space="preserve"> imbue</w:t>
      </w:r>
      <w:r w:rsidR="6516AC88">
        <w:t xml:space="preserve"> employers with greater conf</w:t>
      </w:r>
      <w:r w:rsidR="0ED2CCD7">
        <w:t xml:space="preserve">idence to take on temporary graduate visa holders to fill critical skills needs.  </w:t>
      </w:r>
    </w:p>
    <w:p w14:paraId="045E2531" w14:textId="77777777" w:rsidR="000D6FFC" w:rsidRDefault="000D6FFC" w:rsidP="638DAEDB">
      <w:pPr>
        <w:spacing w:after="120" w:line="240" w:lineRule="auto"/>
      </w:pPr>
    </w:p>
    <w:p w14:paraId="4590CA9A" w14:textId="3109CD8A" w:rsidR="00D33A2A" w:rsidRPr="00B35003" w:rsidRDefault="1C5CF779" w:rsidP="005119BB">
      <w:pPr>
        <w:pStyle w:val="Heading2"/>
        <w:rPr>
          <w:color w:val="767171" w:themeColor="background2" w:themeShade="80"/>
          <w:sz w:val="28"/>
          <w:szCs w:val="28"/>
        </w:rPr>
      </w:pPr>
      <w:bookmarkStart w:id="21" w:name="_Toc126139971"/>
      <w:r w:rsidRPr="00B35003">
        <w:rPr>
          <w:color w:val="F26222"/>
          <w:sz w:val="28"/>
          <w:szCs w:val="28"/>
        </w:rPr>
        <w:t>Recommendation Fourteen:</w:t>
      </w:r>
      <w:r w:rsidRPr="00B35003">
        <w:rPr>
          <w:sz w:val="28"/>
          <w:szCs w:val="28"/>
        </w:rPr>
        <w:t xml:space="preserve"> </w:t>
      </w:r>
      <w:r w:rsidRPr="00B35003">
        <w:rPr>
          <w:color w:val="767171" w:themeColor="background2" w:themeShade="80"/>
          <w:sz w:val="28"/>
          <w:szCs w:val="28"/>
        </w:rPr>
        <w:t xml:space="preserve">Consistent with the intent of the measure to help address short-term labour market needs in select fields, existing visa options be used as a transitional arrangement until the TGV (extended) measure is available </w:t>
      </w:r>
      <w:r w:rsidR="004E63D7" w:rsidRPr="00B35003">
        <w:rPr>
          <w:color w:val="767171" w:themeColor="background2" w:themeShade="80"/>
          <w:sz w:val="28"/>
          <w:szCs w:val="28"/>
        </w:rPr>
        <w:t xml:space="preserve">from 1 July 2023 (supported </w:t>
      </w:r>
      <w:r w:rsidR="00165844" w:rsidRPr="00B35003">
        <w:rPr>
          <w:color w:val="767171" w:themeColor="background2" w:themeShade="80"/>
          <w:sz w:val="28"/>
          <w:szCs w:val="28"/>
        </w:rPr>
        <w:t>by</w:t>
      </w:r>
      <w:r w:rsidR="004E63D7" w:rsidRPr="00B35003">
        <w:rPr>
          <w:color w:val="767171" w:themeColor="background2" w:themeShade="80"/>
          <w:sz w:val="28"/>
          <w:szCs w:val="28"/>
        </w:rPr>
        <w:t xml:space="preserve"> transitional arrangements)</w:t>
      </w:r>
      <w:r w:rsidRPr="00B35003">
        <w:rPr>
          <w:color w:val="767171" w:themeColor="background2" w:themeShade="80"/>
          <w:sz w:val="28"/>
          <w:szCs w:val="28"/>
        </w:rPr>
        <w:t>:</w:t>
      </w:r>
      <w:bookmarkEnd w:id="21"/>
      <w:r w:rsidRPr="00B35003">
        <w:rPr>
          <w:color w:val="767171" w:themeColor="background2" w:themeShade="80"/>
          <w:sz w:val="28"/>
          <w:szCs w:val="28"/>
        </w:rPr>
        <w:t xml:space="preserve"> </w:t>
      </w:r>
    </w:p>
    <w:p w14:paraId="66B01A98" w14:textId="4DEFC4B7" w:rsidR="00D33A2A" w:rsidRPr="00B35003" w:rsidRDefault="1C5CF779" w:rsidP="005119BB">
      <w:pPr>
        <w:pStyle w:val="Heading2"/>
        <w:numPr>
          <w:ilvl w:val="0"/>
          <w:numId w:val="20"/>
        </w:numPr>
        <w:rPr>
          <w:color w:val="767171" w:themeColor="background2" w:themeShade="80"/>
          <w:sz w:val="28"/>
          <w:szCs w:val="28"/>
        </w:rPr>
      </w:pPr>
      <w:bookmarkStart w:id="22" w:name="_Toc126139972"/>
      <w:r w:rsidRPr="00B35003">
        <w:rPr>
          <w:color w:val="767171" w:themeColor="background2" w:themeShade="80"/>
          <w:sz w:val="28"/>
          <w:szCs w:val="28"/>
        </w:rPr>
        <w:t xml:space="preserve">Those with in-scope degrees and with a Temporary Graduate visa (485) </w:t>
      </w:r>
      <w:r w:rsidR="002417B3">
        <w:rPr>
          <w:color w:val="767171" w:themeColor="background2" w:themeShade="80"/>
          <w:sz w:val="28"/>
          <w:szCs w:val="28"/>
        </w:rPr>
        <w:t xml:space="preserve">to </w:t>
      </w:r>
      <w:r w:rsidRPr="00B35003">
        <w:rPr>
          <w:color w:val="767171" w:themeColor="background2" w:themeShade="80"/>
          <w:sz w:val="28"/>
          <w:szCs w:val="28"/>
        </w:rPr>
        <w:t>be eligible for a two-year subclass 408 visa if their visa will expire before 1</w:t>
      </w:r>
      <w:r w:rsidR="00357347">
        <w:rPr>
          <w:color w:val="767171" w:themeColor="background2" w:themeShade="80"/>
          <w:sz w:val="28"/>
          <w:szCs w:val="28"/>
        </w:rPr>
        <w:t xml:space="preserve"> </w:t>
      </w:r>
      <w:r w:rsidRPr="00B35003">
        <w:rPr>
          <w:color w:val="767171" w:themeColor="background2" w:themeShade="80"/>
          <w:sz w:val="28"/>
          <w:szCs w:val="28"/>
        </w:rPr>
        <w:t xml:space="preserve">July </w:t>
      </w:r>
      <w:proofErr w:type="gramStart"/>
      <w:r w:rsidRPr="00B35003">
        <w:rPr>
          <w:color w:val="767171" w:themeColor="background2" w:themeShade="80"/>
          <w:sz w:val="28"/>
          <w:szCs w:val="28"/>
        </w:rPr>
        <w:t>2023;</w:t>
      </w:r>
      <w:bookmarkEnd w:id="22"/>
      <w:proofErr w:type="gramEnd"/>
      <w:r w:rsidRPr="00B35003">
        <w:rPr>
          <w:color w:val="767171" w:themeColor="background2" w:themeShade="80"/>
          <w:sz w:val="28"/>
          <w:szCs w:val="28"/>
        </w:rPr>
        <w:t xml:space="preserve"> </w:t>
      </w:r>
    </w:p>
    <w:p w14:paraId="2A5C1576" w14:textId="7B273737" w:rsidR="00D33A2A" w:rsidRPr="00B35003" w:rsidRDefault="1C5CF779" w:rsidP="005119BB">
      <w:pPr>
        <w:pStyle w:val="Heading2"/>
        <w:numPr>
          <w:ilvl w:val="0"/>
          <w:numId w:val="20"/>
        </w:numPr>
        <w:rPr>
          <w:color w:val="767171" w:themeColor="background2" w:themeShade="80"/>
          <w:sz w:val="28"/>
          <w:szCs w:val="28"/>
        </w:rPr>
      </w:pPr>
      <w:bookmarkStart w:id="23" w:name="_Toc126139973"/>
      <w:r w:rsidRPr="00B35003">
        <w:rPr>
          <w:color w:val="767171" w:themeColor="background2" w:themeShade="80"/>
          <w:sz w:val="28"/>
          <w:szCs w:val="28"/>
        </w:rPr>
        <w:t xml:space="preserve">The cohort of existing subclass 485 holders already in Australia who are not eligible for a </w:t>
      </w:r>
      <w:proofErr w:type="gramStart"/>
      <w:r w:rsidRPr="00B35003">
        <w:rPr>
          <w:color w:val="767171" w:themeColor="background2" w:themeShade="80"/>
          <w:sz w:val="28"/>
          <w:szCs w:val="28"/>
        </w:rPr>
        <w:t>485 replacement</w:t>
      </w:r>
      <w:proofErr w:type="gramEnd"/>
      <w:r w:rsidRPr="00B35003">
        <w:rPr>
          <w:color w:val="767171" w:themeColor="background2" w:themeShade="80"/>
          <w:sz w:val="28"/>
          <w:szCs w:val="28"/>
        </w:rPr>
        <w:t xml:space="preserve"> visa be provided with access to a 2-year pandemic event visa. This allows this group to both remain in the labour force and provides an equitable outcome for a small cohort who contributed to Australia’s pandemic recovery.</w:t>
      </w:r>
      <w:bookmarkEnd w:id="23"/>
    </w:p>
    <w:p w14:paraId="6B14BEB3" w14:textId="11262D90" w:rsidR="00623034" w:rsidRPr="002B4C28" w:rsidRDefault="454693F2" w:rsidP="00623034">
      <w:pPr>
        <w:spacing w:after="120"/>
      </w:pPr>
      <w:r w:rsidRPr="009A70E9">
        <w:rPr>
          <w:b/>
          <w:bCs/>
        </w:rPr>
        <w:t>Government</w:t>
      </w:r>
      <w:r>
        <w:t xml:space="preserve"> </w:t>
      </w:r>
      <w:r w:rsidRPr="638DAEDB">
        <w:rPr>
          <w:b/>
          <w:bCs/>
        </w:rPr>
        <w:t>supports</w:t>
      </w:r>
      <w:r>
        <w:t xml:space="preserve"> Recommendation </w:t>
      </w:r>
      <w:r w:rsidR="009A70E9" w:rsidRPr="002B4C28">
        <w:t>Fourteen</w:t>
      </w:r>
      <w:r w:rsidR="00623034" w:rsidRPr="002B4C28">
        <w:t xml:space="preserve"> </w:t>
      </w:r>
      <w:r w:rsidR="00623034" w:rsidRPr="005261B5">
        <w:t>in principle</w:t>
      </w:r>
      <w:r w:rsidR="00716F2B" w:rsidRPr="002B4C28">
        <w:t xml:space="preserve"> </w:t>
      </w:r>
      <w:r w:rsidR="00B331D7" w:rsidRPr="002B4C28">
        <w:t xml:space="preserve">to ensure </w:t>
      </w:r>
      <w:r w:rsidRPr="002B4C28">
        <w:t xml:space="preserve">that arrangements provide </w:t>
      </w:r>
      <w:r w:rsidR="002417B3">
        <w:t xml:space="preserve">an opportunity </w:t>
      </w:r>
      <w:r w:rsidRPr="002B4C28">
        <w:t xml:space="preserve">to international students </w:t>
      </w:r>
      <w:r w:rsidR="002417B3">
        <w:t xml:space="preserve">to remain longer, where they </w:t>
      </w:r>
      <w:r w:rsidRPr="002B4C28">
        <w:t>have already graduated and are on a Temporary Graduate visa (485)</w:t>
      </w:r>
      <w:r w:rsidR="00716F2B" w:rsidRPr="002B4C28">
        <w:t>, and who are already contributing to the Australian labour force and economy</w:t>
      </w:r>
      <w:r w:rsidR="00623034" w:rsidRPr="002B4C28">
        <w:t>, but whose visas are expiring before 1 July 2023</w:t>
      </w:r>
      <w:r w:rsidR="00716F2B" w:rsidRPr="002B4C28">
        <w:t xml:space="preserve">. </w:t>
      </w:r>
    </w:p>
    <w:p w14:paraId="20B39675" w14:textId="00AEA2D1" w:rsidR="003B3D18" w:rsidRDefault="00716F2B" w:rsidP="00623034">
      <w:pPr>
        <w:spacing w:after="120"/>
        <w:rPr>
          <w:rFonts w:ascii="Calibri" w:eastAsiaTheme="majorEastAsia" w:hAnsi="Calibri" w:cstheme="majorBidi"/>
          <w:b/>
          <w:bCs/>
          <w:color w:val="5F6369"/>
          <w:sz w:val="26"/>
          <w:szCs w:val="26"/>
        </w:rPr>
      </w:pPr>
      <w:r w:rsidRPr="002B4C28">
        <w:t>The Government supports</w:t>
      </w:r>
      <w:r w:rsidR="00623034" w:rsidRPr="002B4C28">
        <w:t xml:space="preserve"> in principle</w:t>
      </w:r>
      <w:r w:rsidRPr="002B4C28">
        <w:t xml:space="preserve"> the provision</w:t>
      </w:r>
      <w:r>
        <w:t xml:space="preserve"> of temporary visa arrangements for subclass 485 holders who were in Australia throughout the COVID-19 pandemic and are also already contributing to the Australian labour force and economy</w:t>
      </w:r>
      <w:r w:rsidR="454693F2">
        <w:t xml:space="preserve">. </w:t>
      </w:r>
      <w:r w:rsidR="00623034">
        <w:t>Availability of temporary visa arrangements would be subject to meeting certain eligibility criteria.</w:t>
      </w:r>
    </w:p>
    <w:p w14:paraId="65E82858" w14:textId="1CF9BF27" w:rsidR="004E63D7" w:rsidRDefault="00D4D07A" w:rsidP="00623034">
      <w:pPr>
        <w:spacing w:after="120"/>
      </w:pPr>
      <w:r>
        <w:t>These transition</w:t>
      </w:r>
      <w:r w:rsidR="00716F2B">
        <w:t>al</w:t>
      </w:r>
      <w:r>
        <w:t xml:space="preserve"> arrangements will ensure </w:t>
      </w:r>
      <w:r w:rsidR="7AF26C37">
        <w:t xml:space="preserve">a larger pool of </w:t>
      </w:r>
      <w:r>
        <w:t xml:space="preserve">highly qualified international </w:t>
      </w:r>
      <w:r w:rsidR="00357347">
        <w:t>graduates</w:t>
      </w:r>
      <w:r w:rsidR="00716F2B">
        <w:t>, who are already working in Australia,</w:t>
      </w:r>
      <w:r>
        <w:t xml:space="preserve"> </w:t>
      </w:r>
      <w:r w:rsidR="2435DCC1">
        <w:t xml:space="preserve">are able to take up extended work rights and contribute </w:t>
      </w:r>
      <w:r w:rsidR="000C6C13">
        <w:t xml:space="preserve">immediately </w:t>
      </w:r>
      <w:r w:rsidR="2435DCC1">
        <w:t>to filling Australia’s critical skills needs.</w:t>
      </w:r>
    </w:p>
    <w:p w14:paraId="166EAF48" w14:textId="7E46318F" w:rsidR="003B3D18" w:rsidRDefault="2435DCC1" w:rsidP="638DAEDB">
      <w:pPr>
        <w:spacing w:after="120" w:line="240" w:lineRule="auto"/>
      </w:pPr>
      <w:r>
        <w:t xml:space="preserve">  </w:t>
      </w:r>
    </w:p>
    <w:p w14:paraId="376818E6" w14:textId="384F80D2" w:rsidR="003B3D18" w:rsidRPr="00B35003" w:rsidRDefault="0015415F" w:rsidP="005119BB">
      <w:pPr>
        <w:pStyle w:val="Heading2"/>
        <w:rPr>
          <w:color w:val="767171" w:themeColor="background2" w:themeShade="80"/>
          <w:sz w:val="28"/>
          <w:szCs w:val="28"/>
        </w:rPr>
      </w:pPr>
      <w:bookmarkStart w:id="24" w:name="_Toc126139974"/>
      <w:r w:rsidRPr="00B35003">
        <w:rPr>
          <w:color w:val="F26322" w:themeColor="accent2"/>
          <w:sz w:val="28"/>
          <w:szCs w:val="28"/>
        </w:rPr>
        <w:lastRenderedPageBreak/>
        <w:t>Recommendation Fifteen:</w:t>
      </w:r>
      <w:r w:rsidRPr="00B35003">
        <w:rPr>
          <w:sz w:val="28"/>
          <w:szCs w:val="28"/>
        </w:rPr>
        <w:t xml:space="preserve"> </w:t>
      </w:r>
      <w:r w:rsidRPr="00B35003">
        <w:rPr>
          <w:color w:val="767171" w:themeColor="background2" w:themeShade="80"/>
          <w:sz w:val="28"/>
          <w:szCs w:val="28"/>
        </w:rPr>
        <w:t>Students whose qualification is in-scope upon commencement of study remain eligible for the TGV (extended), even if the qualification is removed from the list of eligible qualifications during the student’s course, subject to retaining Government’s discretion to amend arrangements if future circumstances demand.</w:t>
      </w:r>
      <w:bookmarkEnd w:id="24"/>
    </w:p>
    <w:p w14:paraId="3EB0A0E4" w14:textId="1FA9FD65" w:rsidR="00824BBC" w:rsidRPr="008354B4" w:rsidRDefault="00E03434" w:rsidP="00623034">
      <w:pPr>
        <w:spacing w:after="120"/>
      </w:pPr>
      <w:r w:rsidRPr="009A70E9">
        <w:rPr>
          <w:b/>
          <w:bCs/>
        </w:rPr>
        <w:t>Government</w:t>
      </w:r>
      <w:r>
        <w:t xml:space="preserve"> </w:t>
      </w:r>
      <w:r w:rsidRPr="638DAEDB">
        <w:rPr>
          <w:b/>
          <w:bCs/>
        </w:rPr>
        <w:t>supports</w:t>
      </w:r>
      <w:r w:rsidR="00716F2B">
        <w:rPr>
          <w:b/>
          <w:bCs/>
        </w:rPr>
        <w:t xml:space="preserve"> </w:t>
      </w:r>
      <w:r w:rsidR="19FCAAAA">
        <w:t xml:space="preserve">Recommendation </w:t>
      </w:r>
      <w:r w:rsidR="009A70E9">
        <w:t>Fifteen</w:t>
      </w:r>
      <w:r w:rsidR="00623034">
        <w:t xml:space="preserve"> in principle</w:t>
      </w:r>
      <w:r w:rsidR="00716F2B">
        <w:t>.</w:t>
      </w:r>
      <w:r w:rsidR="00D54D69">
        <w:t xml:space="preserve"> </w:t>
      </w:r>
      <w:r w:rsidR="08D47A25">
        <w:t>The</w:t>
      </w:r>
      <w:r w:rsidR="00D54D69">
        <w:t>se</w:t>
      </w:r>
      <w:r w:rsidR="08D47A25">
        <w:t xml:space="preserve"> </w:t>
      </w:r>
      <w:r w:rsidR="0C41F730">
        <w:t>arrangements are deliberately generous</w:t>
      </w:r>
      <w:r w:rsidR="759846BB">
        <w:t xml:space="preserve"> to maximise the effectiveness of the measure in retaining </w:t>
      </w:r>
      <w:r w:rsidR="3842B7FB">
        <w:t xml:space="preserve">graduates </w:t>
      </w:r>
      <w:r w:rsidR="1225B206">
        <w:t xml:space="preserve">whose qualifications have prepared them to meet Australia’s skills </w:t>
      </w:r>
      <w:proofErr w:type="gramStart"/>
      <w:r w:rsidR="1225B206">
        <w:t>needs</w:t>
      </w:r>
      <w:proofErr w:type="gramEnd"/>
      <w:r w:rsidR="1225B206">
        <w:t>.</w:t>
      </w:r>
      <w:r w:rsidR="25D8B9D5">
        <w:t xml:space="preserve"> </w:t>
      </w:r>
      <w:r w:rsidR="000C6C13">
        <w:t xml:space="preserve"> </w:t>
      </w:r>
      <w:r w:rsidR="67BE72B7">
        <w:t>G</w:t>
      </w:r>
      <w:r w:rsidR="4B35A35F">
        <w:t>enerous</w:t>
      </w:r>
      <w:r w:rsidR="00E83513">
        <w:t xml:space="preserve"> ‘legacy </w:t>
      </w:r>
      <w:proofErr w:type="gramStart"/>
      <w:r w:rsidR="00E83513">
        <w:t>provisions’</w:t>
      </w:r>
      <w:proofErr w:type="gramEnd"/>
      <w:r w:rsidR="00E83513">
        <w:t xml:space="preserve"> </w:t>
      </w:r>
      <w:r w:rsidR="00716F2B">
        <w:t xml:space="preserve">and predictable </w:t>
      </w:r>
      <w:r w:rsidR="4B35A35F">
        <w:t xml:space="preserve">positioning will </w:t>
      </w:r>
      <w:r w:rsidR="7FC5DDF3">
        <w:t xml:space="preserve">be welcomed by graduates and </w:t>
      </w:r>
      <w:r w:rsidR="3DA2E6A8">
        <w:t xml:space="preserve">enhance </w:t>
      </w:r>
      <w:r w:rsidR="67BE72B7">
        <w:t xml:space="preserve">Australia’s reputation in the </w:t>
      </w:r>
      <w:r w:rsidR="347CDA5D">
        <w:t>competitive market for globally mobile students and graduates.</w:t>
      </w:r>
    </w:p>
    <w:p w14:paraId="3C53341D" w14:textId="7801BC94" w:rsidR="00824BBC" w:rsidRPr="008354B4" w:rsidRDefault="3F87620C" w:rsidP="00623034">
      <w:pPr>
        <w:spacing w:after="120"/>
      </w:pPr>
      <w:r>
        <w:t xml:space="preserve">The transitional arrangements </w:t>
      </w:r>
      <w:r w:rsidR="00ED0BF9">
        <w:t xml:space="preserve">in Recommendations 12, 13, 14 and 15 </w:t>
      </w:r>
      <w:r w:rsidR="00C94F0C">
        <w:t>will</w:t>
      </w:r>
      <w:r w:rsidR="00B15D03">
        <w:t xml:space="preserve"> provide </w:t>
      </w:r>
      <w:r w:rsidR="00284172">
        <w:t xml:space="preserve">timely </w:t>
      </w:r>
      <w:r w:rsidR="00ED272D">
        <w:t xml:space="preserve">access to </w:t>
      </w:r>
      <w:r w:rsidR="00B15D03">
        <w:t xml:space="preserve">eligible </w:t>
      </w:r>
      <w:r w:rsidR="008C184B">
        <w:t>graduates</w:t>
      </w:r>
      <w:r w:rsidR="00B15D03">
        <w:t xml:space="preserve"> </w:t>
      </w:r>
      <w:r w:rsidR="00ED272D">
        <w:t xml:space="preserve">to </w:t>
      </w:r>
      <w:r w:rsidR="00B15D03">
        <w:t>an extended time in Australia</w:t>
      </w:r>
      <w:r w:rsidR="00E3065D">
        <w:t xml:space="preserve"> to work in areas of skills </w:t>
      </w:r>
      <w:r w:rsidR="00FC451C">
        <w:t>needs and</w:t>
      </w:r>
      <w:r w:rsidR="00E3065D">
        <w:t xml:space="preserve"> provide</w:t>
      </w:r>
      <w:r w:rsidR="002D1296">
        <w:t xml:space="preserve"> </w:t>
      </w:r>
      <w:r w:rsidR="008F51D7">
        <w:t>employers access</w:t>
      </w:r>
      <w:r w:rsidR="00FC451C">
        <w:t xml:space="preserve"> from 2023</w:t>
      </w:r>
      <w:r w:rsidR="008F51D7">
        <w:t xml:space="preserve"> </w:t>
      </w:r>
      <w:r w:rsidR="00B00C02">
        <w:t xml:space="preserve">to </w:t>
      </w:r>
      <w:r w:rsidR="00A84C9A">
        <w:t>qualified workers</w:t>
      </w:r>
      <w:r w:rsidR="00B00C02">
        <w:t xml:space="preserve"> </w:t>
      </w:r>
      <w:r w:rsidR="002B734D">
        <w:t>with</w:t>
      </w:r>
      <w:r w:rsidR="00B00C02">
        <w:t xml:space="preserve"> extended time to take </w:t>
      </w:r>
      <w:r w:rsidR="009A1E52">
        <w:t>up or</w:t>
      </w:r>
      <w:r w:rsidR="00B00C02">
        <w:t xml:space="preserve"> continue to work in areas of skills shortage</w:t>
      </w:r>
      <w:r w:rsidR="00427F68">
        <w:t xml:space="preserve">. </w:t>
      </w:r>
    </w:p>
    <w:p w14:paraId="76F0E351" w14:textId="50E76AC8" w:rsidR="00824BBC" w:rsidRDefault="077EB565" w:rsidP="00623034">
      <w:pPr>
        <w:spacing w:after="120"/>
      </w:pPr>
      <w:r>
        <w:t>Commencing</w:t>
      </w:r>
      <w:r w:rsidR="00824BBC">
        <w:t xml:space="preserve"> the measure </w:t>
      </w:r>
      <w:r w:rsidR="00824BBC" w:rsidRPr="638DAEDB">
        <w:rPr>
          <w:b/>
          <w:bCs/>
        </w:rPr>
        <w:t xml:space="preserve">from 1 </w:t>
      </w:r>
      <w:r w:rsidR="33CD4610" w:rsidRPr="638DAEDB">
        <w:rPr>
          <w:b/>
          <w:bCs/>
        </w:rPr>
        <w:t xml:space="preserve">July </w:t>
      </w:r>
      <w:r w:rsidR="00824BBC" w:rsidRPr="638DAEDB">
        <w:rPr>
          <w:b/>
          <w:bCs/>
        </w:rPr>
        <w:t>2023</w:t>
      </w:r>
      <w:r w:rsidR="00E3065D" w:rsidRPr="638DAEDB">
        <w:rPr>
          <w:b/>
          <w:bCs/>
        </w:rPr>
        <w:t xml:space="preserve"> </w:t>
      </w:r>
      <w:r w:rsidR="676B19AE">
        <w:t xml:space="preserve">will </w:t>
      </w:r>
      <w:r w:rsidR="001C233A">
        <w:t xml:space="preserve">enable eligible </w:t>
      </w:r>
      <w:r w:rsidR="008354B4">
        <w:t xml:space="preserve">skilled workers </w:t>
      </w:r>
      <w:r w:rsidR="001C233A">
        <w:t xml:space="preserve">who have </w:t>
      </w:r>
      <w:r w:rsidR="2CBA34E7">
        <w:t xml:space="preserve">recently </w:t>
      </w:r>
      <w:r w:rsidR="001C233A">
        <w:t xml:space="preserve">graduated and </w:t>
      </w:r>
      <w:r w:rsidR="00D71BF1">
        <w:t xml:space="preserve">are taking up </w:t>
      </w:r>
      <w:r w:rsidR="001C233A">
        <w:t xml:space="preserve">post-study work </w:t>
      </w:r>
      <w:r w:rsidR="00776031">
        <w:t xml:space="preserve">rights to contribute to filling work force gaps in highly skilled roles for </w:t>
      </w:r>
      <w:r w:rsidR="004E63D7">
        <w:t>longer and</w:t>
      </w:r>
      <w:r w:rsidR="008354B4">
        <w:t xml:space="preserve"> make them more attractive to </w:t>
      </w:r>
      <w:r w:rsidR="12C844E8">
        <w:t xml:space="preserve">prospective </w:t>
      </w:r>
      <w:r w:rsidR="008354B4">
        <w:t xml:space="preserve">employers seeking </w:t>
      </w:r>
      <w:r w:rsidR="0C73E9B5">
        <w:t xml:space="preserve">highly </w:t>
      </w:r>
      <w:r w:rsidR="008354B4">
        <w:t>skilled workers.</w:t>
      </w:r>
    </w:p>
    <w:p w14:paraId="58F8511F" w14:textId="494D03A1" w:rsidR="00716F2B" w:rsidRDefault="00716F2B" w:rsidP="00623034">
      <w:pPr>
        <w:spacing w:after="120"/>
      </w:pPr>
      <w:r>
        <w:t>Government will however retain the right to make any modifications, should it be necessary, to ensure appropriate management of the labour market for Australian businesses and the community.</w:t>
      </w:r>
    </w:p>
    <w:p w14:paraId="7377DED9" w14:textId="58AD2125" w:rsidR="00F71F79" w:rsidRDefault="00F71F79" w:rsidP="009758A9">
      <w:pPr>
        <w:spacing w:after="120" w:line="240" w:lineRule="auto"/>
      </w:pPr>
    </w:p>
    <w:p w14:paraId="3AFC423E" w14:textId="1936D79D" w:rsidR="00F71F79" w:rsidRPr="00B35003" w:rsidRDefault="00F71F79" w:rsidP="005119BB">
      <w:pPr>
        <w:pStyle w:val="Heading2"/>
        <w:rPr>
          <w:color w:val="767171" w:themeColor="background2" w:themeShade="80"/>
          <w:sz w:val="28"/>
          <w:szCs w:val="28"/>
        </w:rPr>
      </w:pPr>
      <w:bookmarkStart w:id="25" w:name="_Toc126139975"/>
      <w:r w:rsidRPr="00B35003">
        <w:rPr>
          <w:color w:val="F26322" w:themeColor="accent2"/>
          <w:sz w:val="28"/>
          <w:szCs w:val="28"/>
        </w:rPr>
        <w:t>Recommendation Sixteen:</w:t>
      </w:r>
      <w:r w:rsidRPr="00B35003">
        <w:rPr>
          <w:sz w:val="28"/>
          <w:szCs w:val="28"/>
        </w:rPr>
        <w:t xml:space="preserve"> </w:t>
      </w:r>
      <w:r w:rsidRPr="00B35003">
        <w:rPr>
          <w:color w:val="767171" w:themeColor="background2" w:themeShade="80"/>
          <w:sz w:val="28"/>
          <w:szCs w:val="28"/>
        </w:rPr>
        <w:t>The Departments of Home Affairs and Education work together on a streamlined implementation design to reduce costs and impact on visa processing.</w:t>
      </w:r>
      <w:bookmarkEnd w:id="25"/>
    </w:p>
    <w:p w14:paraId="7A8629E6" w14:textId="0A46CE0A" w:rsidR="00F71F79" w:rsidRPr="008354B4" w:rsidRDefault="00F71F79" w:rsidP="00623034">
      <w:pPr>
        <w:spacing w:after="120"/>
      </w:pPr>
      <w:r w:rsidRPr="009A70E9">
        <w:rPr>
          <w:b/>
          <w:bCs/>
        </w:rPr>
        <w:t>Government</w:t>
      </w:r>
      <w:r>
        <w:t xml:space="preserve"> </w:t>
      </w:r>
      <w:r w:rsidRPr="638DAEDB">
        <w:rPr>
          <w:b/>
          <w:bCs/>
        </w:rPr>
        <w:t>supports</w:t>
      </w:r>
      <w:r>
        <w:t xml:space="preserve"> Recommendation Sixteen</w:t>
      </w:r>
      <w:r w:rsidR="00FD1AA3">
        <w:t xml:space="preserve"> </w:t>
      </w:r>
      <w:r w:rsidR="00CF1406">
        <w:t xml:space="preserve">to support </w:t>
      </w:r>
      <w:r w:rsidR="00FD1AA3" w:rsidRPr="00FD1AA3">
        <w:t xml:space="preserve">ongoing interagency liaison to </w:t>
      </w:r>
      <w:r w:rsidR="00341009">
        <w:t>ensure</w:t>
      </w:r>
      <w:r w:rsidR="00FD1AA3" w:rsidRPr="00FD1AA3">
        <w:t xml:space="preserve"> effective </w:t>
      </w:r>
      <w:r w:rsidR="00341009">
        <w:t xml:space="preserve">and efficient </w:t>
      </w:r>
      <w:r w:rsidR="00FD1AA3" w:rsidRPr="00FD1AA3">
        <w:t>implementation</w:t>
      </w:r>
      <w:r w:rsidR="00341009">
        <w:t>.</w:t>
      </w:r>
      <w:r>
        <w:t xml:space="preserve"> </w:t>
      </w:r>
    </w:p>
    <w:p w14:paraId="12E5F6F1" w14:textId="77777777" w:rsidR="004E63D7" w:rsidRPr="008354B4" w:rsidRDefault="004E63D7" w:rsidP="009758A9">
      <w:pPr>
        <w:spacing w:after="120" w:line="240" w:lineRule="auto"/>
      </w:pPr>
    </w:p>
    <w:p w14:paraId="78CCE2FC" w14:textId="7CB574E6" w:rsidR="005A0DDA" w:rsidRPr="00B35003" w:rsidRDefault="005A0DDA" w:rsidP="005119BB">
      <w:pPr>
        <w:pStyle w:val="Heading2"/>
        <w:rPr>
          <w:color w:val="767171" w:themeColor="background2" w:themeShade="80"/>
          <w:sz w:val="28"/>
          <w:szCs w:val="28"/>
        </w:rPr>
      </w:pPr>
      <w:bookmarkStart w:id="26" w:name="_Toc126139976"/>
      <w:r w:rsidRPr="00B35003">
        <w:rPr>
          <w:sz w:val="28"/>
          <w:szCs w:val="28"/>
        </w:rPr>
        <w:t xml:space="preserve">Recommendation </w:t>
      </w:r>
      <w:r w:rsidR="001414BA" w:rsidRPr="00B35003">
        <w:rPr>
          <w:sz w:val="28"/>
          <w:szCs w:val="28"/>
        </w:rPr>
        <w:t>Seventeen</w:t>
      </w:r>
      <w:r w:rsidRPr="00B35003">
        <w:rPr>
          <w:sz w:val="28"/>
          <w:szCs w:val="28"/>
        </w:rPr>
        <w:t>:</w:t>
      </w:r>
      <w:r w:rsidRPr="00B35003">
        <w:rPr>
          <w:rFonts w:cstheme="minorHAnsi"/>
          <w:sz w:val="28"/>
          <w:szCs w:val="28"/>
        </w:rPr>
        <w:t xml:space="preserve"> </w:t>
      </w:r>
      <w:r w:rsidRPr="00B35003">
        <w:rPr>
          <w:color w:val="767171" w:themeColor="background2" w:themeShade="80"/>
          <w:sz w:val="28"/>
          <w:szCs w:val="28"/>
        </w:rPr>
        <w:t>Government</w:t>
      </w:r>
      <w:r w:rsidRPr="00B35003" w:rsidDel="00A6156F">
        <w:rPr>
          <w:color w:val="767171" w:themeColor="background2" w:themeShade="80"/>
          <w:sz w:val="28"/>
          <w:szCs w:val="28"/>
        </w:rPr>
        <w:t xml:space="preserve"> </w:t>
      </w:r>
      <w:r w:rsidRPr="00B35003">
        <w:rPr>
          <w:color w:val="767171" w:themeColor="background2" w:themeShade="80"/>
          <w:sz w:val="28"/>
          <w:szCs w:val="28"/>
        </w:rPr>
        <w:t>work with industry and employer organisations to communicate the benefits of employing international graduates and encourage employers to capitalise on the extra two years of work rights.</w:t>
      </w:r>
      <w:bookmarkEnd w:id="26"/>
    </w:p>
    <w:p w14:paraId="5F84BD3B" w14:textId="03231A4D" w:rsidR="00881DCB" w:rsidRDefault="00C415E3" w:rsidP="00623034">
      <w:pPr>
        <w:spacing w:after="120"/>
      </w:pPr>
      <w:r w:rsidRPr="009A70E9">
        <w:rPr>
          <w:b/>
          <w:bCs/>
        </w:rPr>
        <w:t>Government</w:t>
      </w:r>
      <w:r>
        <w:t xml:space="preserve"> </w:t>
      </w:r>
      <w:r w:rsidRPr="6B7B2D82">
        <w:rPr>
          <w:b/>
          <w:bCs/>
        </w:rPr>
        <w:t>supports</w:t>
      </w:r>
      <w:r>
        <w:t xml:space="preserve"> </w:t>
      </w:r>
      <w:r w:rsidR="0072560C">
        <w:t>R</w:t>
      </w:r>
      <w:r w:rsidR="63B35A14">
        <w:t xml:space="preserve">ecommendation </w:t>
      </w:r>
      <w:r w:rsidR="009A70E9">
        <w:t xml:space="preserve">Seventeen </w:t>
      </w:r>
      <w:r>
        <w:t xml:space="preserve">as communication of the measure </w:t>
      </w:r>
      <w:r w:rsidR="00916FF2">
        <w:t>particularly</w:t>
      </w:r>
      <w:r>
        <w:t xml:space="preserve"> to industry groups and employers will be </w:t>
      </w:r>
      <w:r w:rsidR="00D54D69">
        <w:t xml:space="preserve">a </w:t>
      </w:r>
      <w:r>
        <w:t xml:space="preserve">critical </w:t>
      </w:r>
      <w:r w:rsidR="00916FF2">
        <w:t>part of t</w:t>
      </w:r>
      <w:r>
        <w:t>he measure</w:t>
      </w:r>
      <w:r w:rsidR="00916FF2">
        <w:t>’s</w:t>
      </w:r>
      <w:r>
        <w:t xml:space="preserve"> success</w:t>
      </w:r>
      <w:r w:rsidR="00916FF2">
        <w:t xml:space="preserve">. </w:t>
      </w:r>
      <w:r w:rsidR="2B0DC912">
        <w:t>Joined up</w:t>
      </w:r>
      <w:r w:rsidR="00CA59D7">
        <w:t xml:space="preserve"> departmental </w:t>
      </w:r>
      <w:r w:rsidR="698E37E1">
        <w:t xml:space="preserve">communications </w:t>
      </w:r>
      <w:r w:rsidR="01CA16BD">
        <w:t xml:space="preserve">across </w:t>
      </w:r>
      <w:r w:rsidR="00CA59D7">
        <w:t>the Department</w:t>
      </w:r>
      <w:r w:rsidR="3700AD47">
        <w:t xml:space="preserve">s </w:t>
      </w:r>
      <w:r w:rsidR="00CA59D7">
        <w:t xml:space="preserve">of </w:t>
      </w:r>
      <w:r w:rsidR="516C1AAC">
        <w:t xml:space="preserve">Education, </w:t>
      </w:r>
      <w:r w:rsidR="00CA59D7">
        <w:t xml:space="preserve">Home </w:t>
      </w:r>
      <w:r w:rsidR="008115AE">
        <w:t>Affairs</w:t>
      </w:r>
      <w:r w:rsidR="00CA59D7">
        <w:t xml:space="preserve">, Employment </w:t>
      </w:r>
      <w:r w:rsidR="008115AE">
        <w:t xml:space="preserve">and Workplace Relations, </w:t>
      </w:r>
      <w:r w:rsidR="004C4E08">
        <w:t>Industry, Science and Resources and relevant stakeholders</w:t>
      </w:r>
      <w:r w:rsidR="7CB9298E">
        <w:t xml:space="preserve"> </w:t>
      </w:r>
      <w:r w:rsidR="00D54D69">
        <w:t xml:space="preserve">will </w:t>
      </w:r>
      <w:r w:rsidR="7CB9298E">
        <w:t xml:space="preserve">promote the measure and encourage prospective employers to take up </w:t>
      </w:r>
      <w:r w:rsidR="1BDCA2A9">
        <w:t>the opportunity of highly skilled international graduates to fill skilled workforce roles</w:t>
      </w:r>
      <w:r w:rsidR="004C4E08">
        <w:t xml:space="preserve">. </w:t>
      </w:r>
    </w:p>
    <w:p w14:paraId="1A5F84E9" w14:textId="77777777" w:rsidR="004E63D7" w:rsidRDefault="004E63D7" w:rsidP="009758A9">
      <w:pPr>
        <w:spacing w:after="120" w:line="240" w:lineRule="auto"/>
      </w:pPr>
    </w:p>
    <w:p w14:paraId="52FCF08D" w14:textId="77777777" w:rsidR="00ED3E91" w:rsidRPr="00B35003" w:rsidRDefault="006C0AC8" w:rsidP="005119BB">
      <w:pPr>
        <w:pStyle w:val="Heading2"/>
        <w:rPr>
          <w:color w:val="767171" w:themeColor="background2" w:themeShade="80"/>
          <w:sz w:val="28"/>
          <w:szCs w:val="28"/>
        </w:rPr>
      </w:pPr>
      <w:bookmarkStart w:id="27" w:name="_Toc126139977"/>
      <w:r w:rsidRPr="00B35003">
        <w:rPr>
          <w:sz w:val="28"/>
          <w:szCs w:val="28"/>
        </w:rPr>
        <w:lastRenderedPageBreak/>
        <w:t>Recommendation Eighteen:</w:t>
      </w:r>
      <w:r w:rsidRPr="00B35003">
        <w:rPr>
          <w:rFonts w:cstheme="minorHAnsi"/>
          <w:sz w:val="28"/>
          <w:szCs w:val="28"/>
        </w:rPr>
        <w:t xml:space="preserve"> </w:t>
      </w:r>
      <w:r w:rsidR="00ED3E91" w:rsidRPr="00B35003">
        <w:rPr>
          <w:color w:val="767171" w:themeColor="background2" w:themeShade="80"/>
          <w:sz w:val="28"/>
          <w:szCs w:val="28"/>
        </w:rPr>
        <w:t>Government commits to ongoing annual assessments of the measure’s implementation, to be undertaken by the Departments of Home Affairs and Education, to evaluate its alignment with the original policy intent. Issues assessed should include, but not be limited to:</w:t>
      </w:r>
      <w:bookmarkEnd w:id="27"/>
    </w:p>
    <w:p w14:paraId="3D62E14F" w14:textId="77777777" w:rsidR="00D30FD4" w:rsidRPr="00B35003" w:rsidRDefault="00ED3E91" w:rsidP="005119BB">
      <w:pPr>
        <w:pStyle w:val="Heading2"/>
        <w:numPr>
          <w:ilvl w:val="0"/>
          <w:numId w:val="21"/>
        </w:numPr>
        <w:rPr>
          <w:color w:val="767171" w:themeColor="background2" w:themeShade="80"/>
          <w:sz w:val="28"/>
          <w:szCs w:val="28"/>
        </w:rPr>
      </w:pPr>
      <w:bookmarkStart w:id="28" w:name="_Toc126139978"/>
      <w:r w:rsidRPr="00B35003">
        <w:rPr>
          <w:color w:val="767171" w:themeColor="background2" w:themeShade="80"/>
          <w:sz w:val="28"/>
          <w:szCs w:val="28"/>
        </w:rPr>
        <w:t>numbers of 485 visa holders affected by the policy and future eligible graduates,</w:t>
      </w:r>
      <w:bookmarkEnd w:id="28"/>
    </w:p>
    <w:p w14:paraId="7FE5664D" w14:textId="77777777" w:rsidR="00D30FD4" w:rsidRPr="00B35003" w:rsidRDefault="00ED3E91" w:rsidP="005119BB">
      <w:pPr>
        <w:pStyle w:val="Heading2"/>
        <w:numPr>
          <w:ilvl w:val="0"/>
          <w:numId w:val="21"/>
        </w:numPr>
        <w:rPr>
          <w:color w:val="767171" w:themeColor="background2" w:themeShade="80"/>
          <w:sz w:val="28"/>
          <w:szCs w:val="28"/>
        </w:rPr>
      </w:pPr>
      <w:bookmarkStart w:id="29" w:name="_Toc126139979"/>
      <w:r w:rsidRPr="00B35003">
        <w:rPr>
          <w:color w:val="767171" w:themeColor="background2" w:themeShade="80"/>
          <w:sz w:val="28"/>
          <w:szCs w:val="28"/>
        </w:rPr>
        <w:t>mismatches between numbers and skills gaps,</w:t>
      </w:r>
      <w:bookmarkEnd w:id="29"/>
    </w:p>
    <w:p w14:paraId="68E7B960" w14:textId="77777777" w:rsidR="00D30FD4" w:rsidRPr="00B35003" w:rsidRDefault="00ED3E91" w:rsidP="005119BB">
      <w:pPr>
        <w:pStyle w:val="Heading2"/>
        <w:numPr>
          <w:ilvl w:val="0"/>
          <w:numId w:val="21"/>
        </w:numPr>
        <w:rPr>
          <w:color w:val="767171" w:themeColor="background2" w:themeShade="80"/>
          <w:sz w:val="28"/>
          <w:szCs w:val="28"/>
        </w:rPr>
      </w:pPr>
      <w:bookmarkStart w:id="30" w:name="_Toc126139980"/>
      <w:r w:rsidRPr="00B35003">
        <w:rPr>
          <w:color w:val="767171" w:themeColor="background2" w:themeShade="80"/>
          <w:sz w:val="28"/>
          <w:szCs w:val="28"/>
        </w:rPr>
        <w:t>inappropriate pipelines for in-scope occupations, and</w:t>
      </w:r>
      <w:bookmarkEnd w:id="30"/>
    </w:p>
    <w:p w14:paraId="7D092B22" w14:textId="58E19C11" w:rsidR="00D30FD4" w:rsidRPr="005119BB" w:rsidRDefault="00ED3E91" w:rsidP="005119BB">
      <w:pPr>
        <w:pStyle w:val="Heading2"/>
        <w:numPr>
          <w:ilvl w:val="0"/>
          <w:numId w:val="21"/>
        </w:numPr>
        <w:rPr>
          <w:color w:val="767171" w:themeColor="background2" w:themeShade="80"/>
        </w:rPr>
      </w:pPr>
      <w:bookmarkStart w:id="31" w:name="_Toc126139981"/>
      <w:r w:rsidRPr="00B35003">
        <w:rPr>
          <w:color w:val="767171" w:themeColor="background2" w:themeShade="80"/>
          <w:sz w:val="28"/>
          <w:szCs w:val="28"/>
        </w:rPr>
        <w:t>inappropriate recruitment or course registration behaviour by education providers.</w:t>
      </w:r>
      <w:bookmarkEnd w:id="31"/>
    </w:p>
    <w:p w14:paraId="0A7CE977" w14:textId="585ECE9F" w:rsidR="006C0AC8" w:rsidRDefault="006C0AC8" w:rsidP="00623034">
      <w:pPr>
        <w:spacing w:after="120"/>
      </w:pPr>
      <w:r w:rsidRPr="009A70E9">
        <w:rPr>
          <w:b/>
          <w:bCs/>
        </w:rPr>
        <w:t>Government</w:t>
      </w:r>
      <w:r>
        <w:t xml:space="preserve"> </w:t>
      </w:r>
      <w:r w:rsidRPr="638DAEDB">
        <w:rPr>
          <w:b/>
          <w:bCs/>
        </w:rPr>
        <w:t>supports</w:t>
      </w:r>
      <w:r>
        <w:t xml:space="preserve"> </w:t>
      </w:r>
      <w:r w:rsidR="0E67309C">
        <w:t>R</w:t>
      </w:r>
      <w:r w:rsidR="048A194B">
        <w:t xml:space="preserve">ecommendation </w:t>
      </w:r>
      <w:r w:rsidR="004A3BC3">
        <w:t xml:space="preserve">Eighteen </w:t>
      </w:r>
      <w:r>
        <w:t xml:space="preserve">as </w:t>
      </w:r>
      <w:r w:rsidR="006E1BDA">
        <w:t>complement</w:t>
      </w:r>
      <w:r w:rsidR="0A28A24D">
        <w:t>ing</w:t>
      </w:r>
      <w:r w:rsidR="006E1BDA">
        <w:t xml:space="preserve"> </w:t>
      </w:r>
      <w:r w:rsidR="00D36664">
        <w:t>Recommendations 6</w:t>
      </w:r>
      <w:r w:rsidR="00716F2B">
        <w:t>, 7</w:t>
      </w:r>
      <w:r w:rsidR="00D36664">
        <w:t xml:space="preserve"> and </w:t>
      </w:r>
      <w:r w:rsidR="00716F2B">
        <w:t>9</w:t>
      </w:r>
      <w:r w:rsidR="00D36664">
        <w:t xml:space="preserve"> </w:t>
      </w:r>
      <w:r w:rsidR="0AF83624">
        <w:t xml:space="preserve">and ensuring an approach to </w:t>
      </w:r>
      <w:r w:rsidR="002B0C71">
        <w:t xml:space="preserve">monitoring and review </w:t>
      </w:r>
      <w:r w:rsidR="0DF75885">
        <w:t xml:space="preserve">that the measure continues to </w:t>
      </w:r>
      <w:r w:rsidR="00716F2B">
        <w:t>contribute positively to Australia’s economic needs, complement</w:t>
      </w:r>
      <w:r w:rsidR="00623034">
        <w:t>s</w:t>
      </w:r>
      <w:r w:rsidR="00716F2B">
        <w:t xml:space="preserve"> the Australian labour force and preserve</w:t>
      </w:r>
      <w:r w:rsidR="00623034">
        <w:t>s</w:t>
      </w:r>
      <w:r w:rsidR="00716F2B">
        <w:t xml:space="preserve"> sector integrity</w:t>
      </w:r>
      <w:r w:rsidR="002B0C71">
        <w:t>.</w:t>
      </w:r>
      <w:r w:rsidR="22C974AD">
        <w:t xml:space="preserve"> This approach will also ensure that </w:t>
      </w:r>
      <w:r w:rsidR="14CB7850">
        <w:t xml:space="preserve">there is an ongoing </w:t>
      </w:r>
      <w:r w:rsidR="714BD4CB">
        <w:t xml:space="preserve">mechanism </w:t>
      </w:r>
      <w:r w:rsidR="14CB7850">
        <w:t>to identify and manage the risks of inappropriate behaviour</w:t>
      </w:r>
      <w:r w:rsidR="7544B57D">
        <w:t xml:space="preserve"> or </w:t>
      </w:r>
      <w:r w:rsidR="12832D9E">
        <w:t xml:space="preserve">changes in economic circumstances requiring adaption </w:t>
      </w:r>
      <w:r w:rsidR="7544B57D">
        <w:t>to the post</w:t>
      </w:r>
      <w:r w:rsidR="009A70E9">
        <w:t>-</w:t>
      </w:r>
      <w:r w:rsidR="7544B57D">
        <w:t>study work rights</w:t>
      </w:r>
      <w:r w:rsidR="4AC17C6B">
        <w:t xml:space="preserve"> measure</w:t>
      </w:r>
      <w:r w:rsidR="7544B57D">
        <w:t xml:space="preserve">. </w:t>
      </w:r>
    </w:p>
    <w:p w14:paraId="4210C343" w14:textId="77777777" w:rsidR="004E63D7" w:rsidRPr="00916FF2" w:rsidRDefault="004E63D7" w:rsidP="009758A9">
      <w:pPr>
        <w:spacing w:after="120" w:line="240" w:lineRule="auto"/>
      </w:pPr>
    </w:p>
    <w:p w14:paraId="4C72F6BD" w14:textId="5AF7A583" w:rsidR="002B0C71" w:rsidRPr="00EE40A2" w:rsidRDefault="002B0C71" w:rsidP="005119BB">
      <w:pPr>
        <w:pStyle w:val="Heading2"/>
        <w:rPr>
          <w:sz w:val="28"/>
          <w:szCs w:val="28"/>
        </w:rPr>
      </w:pPr>
      <w:bookmarkStart w:id="32" w:name="_Toc126139982"/>
      <w:r w:rsidRPr="00EE40A2">
        <w:rPr>
          <w:sz w:val="28"/>
          <w:szCs w:val="28"/>
        </w:rPr>
        <w:t>Recommendation Nineteen:</w:t>
      </w:r>
      <w:r w:rsidRPr="00EE40A2">
        <w:rPr>
          <w:rFonts w:cstheme="minorHAnsi"/>
          <w:sz w:val="28"/>
          <w:szCs w:val="28"/>
        </w:rPr>
        <w:t xml:space="preserve"> </w:t>
      </w:r>
      <w:r w:rsidR="00A85D71" w:rsidRPr="00EE40A2">
        <w:rPr>
          <w:color w:val="767171" w:themeColor="background2" w:themeShade="80"/>
          <w:sz w:val="28"/>
          <w:szCs w:val="28"/>
        </w:rPr>
        <w:t>The fortnightly work hour limit for international students be increased to 48 hours from 1 July 2023.</w:t>
      </w:r>
      <w:bookmarkEnd w:id="32"/>
    </w:p>
    <w:p w14:paraId="5ED6E0B7" w14:textId="0EA478A3" w:rsidR="002B0C71" w:rsidRDefault="002B0C71" w:rsidP="00623034">
      <w:pPr>
        <w:spacing w:after="120"/>
      </w:pPr>
      <w:r w:rsidRPr="00EE40A2">
        <w:rPr>
          <w:b/>
          <w:bCs/>
        </w:rPr>
        <w:t>Government</w:t>
      </w:r>
      <w:r w:rsidRPr="00EE40A2">
        <w:t xml:space="preserve"> </w:t>
      </w:r>
      <w:r w:rsidRPr="00EE40A2">
        <w:rPr>
          <w:b/>
          <w:bCs/>
        </w:rPr>
        <w:t>supports</w:t>
      </w:r>
      <w:r w:rsidRPr="00EE40A2">
        <w:t xml:space="preserve"> </w:t>
      </w:r>
      <w:r w:rsidR="7BC9DAC2" w:rsidRPr="00EE40A2">
        <w:t xml:space="preserve">Recommendation </w:t>
      </w:r>
      <w:r w:rsidR="004A3BC3" w:rsidRPr="00EE40A2">
        <w:t xml:space="preserve">Nineteen </w:t>
      </w:r>
      <w:r w:rsidRPr="00EE40A2">
        <w:t>as</w:t>
      </w:r>
      <w:r w:rsidR="7FEEA76B" w:rsidRPr="00EE40A2">
        <w:t xml:space="preserve"> encompassing an appropriate </w:t>
      </w:r>
      <w:r w:rsidR="08E26940" w:rsidRPr="00EE40A2">
        <w:t xml:space="preserve">balance between </w:t>
      </w:r>
      <w:r w:rsidR="007F08E4" w:rsidRPr="00EE40A2">
        <w:t xml:space="preserve">the primary </w:t>
      </w:r>
      <w:r w:rsidR="3E18FFCA" w:rsidRPr="00EE40A2">
        <w:t xml:space="preserve">purpose </w:t>
      </w:r>
      <w:r w:rsidR="007F08E4" w:rsidRPr="00EE40A2">
        <w:t xml:space="preserve">of study under the visa, while allowing students to support themselves financially, gain </w:t>
      </w:r>
      <w:r w:rsidR="5D36D5AC" w:rsidRPr="00EE40A2">
        <w:t>valuable</w:t>
      </w:r>
      <w:r w:rsidR="007F08E4" w:rsidRPr="00EE40A2">
        <w:t xml:space="preserve"> work experience and </w:t>
      </w:r>
      <w:r w:rsidR="5213854E" w:rsidRPr="00EE40A2">
        <w:t xml:space="preserve">contribute to Australia’s </w:t>
      </w:r>
      <w:r w:rsidR="007F08E4" w:rsidRPr="00EE40A2">
        <w:t xml:space="preserve">workforce needs. </w:t>
      </w:r>
      <w:r w:rsidR="00262FBD" w:rsidRPr="00EE40A2">
        <w:t xml:space="preserve">It </w:t>
      </w:r>
      <w:r w:rsidR="0005002D" w:rsidRPr="00EE40A2">
        <w:t xml:space="preserve">will </w:t>
      </w:r>
      <w:r w:rsidR="00FB3E49" w:rsidRPr="00EE40A2">
        <w:t xml:space="preserve">support sector recovery as </w:t>
      </w:r>
      <w:r w:rsidR="000D4BB4" w:rsidRPr="00EE40A2">
        <w:t xml:space="preserve">international </w:t>
      </w:r>
      <w:r w:rsidR="00FB3E49" w:rsidRPr="00EE40A2">
        <w:t xml:space="preserve">students </w:t>
      </w:r>
      <w:r w:rsidR="00EC7F53" w:rsidRPr="00EE40A2">
        <w:t xml:space="preserve">value </w:t>
      </w:r>
      <w:r w:rsidR="000F402C" w:rsidRPr="00EE40A2">
        <w:t xml:space="preserve">and seek out </w:t>
      </w:r>
      <w:r w:rsidR="00EC7F53" w:rsidRPr="00EE40A2">
        <w:t>the ability to work during their study</w:t>
      </w:r>
      <w:r w:rsidR="000F402C" w:rsidRPr="00EE40A2">
        <w:t>.</w:t>
      </w:r>
      <w:r w:rsidR="58DCC8BB" w:rsidRPr="00EE40A2">
        <w:t xml:space="preserve"> This </w:t>
      </w:r>
      <w:r w:rsidR="3B46B9D7" w:rsidRPr="00EE40A2">
        <w:t xml:space="preserve">approach is predicated on </w:t>
      </w:r>
      <w:r w:rsidR="00ED0BF9">
        <w:t xml:space="preserve">Working Group </w:t>
      </w:r>
      <w:r w:rsidR="58DCC8BB" w:rsidRPr="00EE40A2">
        <w:t xml:space="preserve">advice that </w:t>
      </w:r>
      <w:r w:rsidR="2E8E3D31" w:rsidRPr="00EE40A2">
        <w:t>up to approximately three days of work per week is consistent with current student employment patterns.</w:t>
      </w:r>
      <w:r w:rsidR="2E8E3D31">
        <w:t xml:space="preserve"> </w:t>
      </w:r>
    </w:p>
    <w:p w14:paraId="13E9AA8F" w14:textId="77777777" w:rsidR="004E63D7" w:rsidRPr="00881DCB" w:rsidRDefault="004E63D7" w:rsidP="009758A9">
      <w:pPr>
        <w:spacing w:after="120" w:line="240" w:lineRule="auto"/>
      </w:pPr>
    </w:p>
    <w:p w14:paraId="1149F57E" w14:textId="77777777" w:rsidR="003775B6" w:rsidRPr="00B35003" w:rsidRDefault="00F578A0" w:rsidP="005119BB">
      <w:pPr>
        <w:pStyle w:val="Heading2"/>
        <w:rPr>
          <w:color w:val="767171" w:themeColor="background2" w:themeShade="80"/>
          <w:sz w:val="28"/>
          <w:szCs w:val="28"/>
        </w:rPr>
      </w:pPr>
      <w:bookmarkStart w:id="33" w:name="_Toc126139983"/>
      <w:r w:rsidRPr="00B35003">
        <w:rPr>
          <w:sz w:val="28"/>
          <w:szCs w:val="28"/>
        </w:rPr>
        <w:t>Recommendation Twenty:</w:t>
      </w:r>
      <w:r w:rsidRPr="00B35003">
        <w:rPr>
          <w:rFonts w:cstheme="minorHAnsi"/>
          <w:sz w:val="28"/>
          <w:szCs w:val="28"/>
        </w:rPr>
        <w:t xml:space="preserve"> </w:t>
      </w:r>
      <w:r w:rsidR="003775B6" w:rsidRPr="00B35003">
        <w:rPr>
          <w:color w:val="767171" w:themeColor="background2" w:themeShade="80"/>
          <w:sz w:val="28"/>
          <w:szCs w:val="28"/>
        </w:rPr>
        <w:t>Government ensure the communication strategy for the TGV (extended) measure includes information about the role of the Fair Work Ombudsman in securing workplace rights and protections for all workers in Australia, including international students and TGV holders.</w:t>
      </w:r>
      <w:bookmarkEnd w:id="33"/>
    </w:p>
    <w:p w14:paraId="041129C6" w14:textId="131696DC" w:rsidR="00F578A0" w:rsidRDefault="00F578A0" w:rsidP="00623034">
      <w:pPr>
        <w:spacing w:after="120"/>
      </w:pPr>
      <w:r w:rsidRPr="009A70E9">
        <w:rPr>
          <w:b/>
          <w:bCs/>
        </w:rPr>
        <w:t>Government</w:t>
      </w:r>
      <w:r>
        <w:t xml:space="preserve"> </w:t>
      </w:r>
      <w:r w:rsidRPr="6B7B2D82">
        <w:rPr>
          <w:b/>
          <w:bCs/>
        </w:rPr>
        <w:t>supports</w:t>
      </w:r>
      <w:r>
        <w:t xml:space="preserve"> </w:t>
      </w:r>
      <w:r w:rsidR="10DAC208">
        <w:t xml:space="preserve">Recommendation </w:t>
      </w:r>
      <w:r w:rsidR="004A3BC3">
        <w:t>Twenty</w:t>
      </w:r>
      <w:r w:rsidR="10DAC208">
        <w:t xml:space="preserve">, reflecting its </w:t>
      </w:r>
      <w:r w:rsidR="00C713B0">
        <w:t xml:space="preserve">ongoing </w:t>
      </w:r>
      <w:r w:rsidR="0081365D">
        <w:t xml:space="preserve">commitment to </w:t>
      </w:r>
      <w:r w:rsidR="55597599">
        <w:t xml:space="preserve">ensuring </w:t>
      </w:r>
      <w:r w:rsidR="0081365D">
        <w:t xml:space="preserve">the rights of </w:t>
      </w:r>
      <w:r w:rsidR="75935074">
        <w:t xml:space="preserve">all </w:t>
      </w:r>
      <w:r w:rsidR="0029270A">
        <w:t xml:space="preserve">workers </w:t>
      </w:r>
      <w:r w:rsidR="1653190D">
        <w:t xml:space="preserve">in Australia are maintained. This recommendation </w:t>
      </w:r>
      <w:r w:rsidR="7A18ACAD">
        <w:t xml:space="preserve">also </w:t>
      </w:r>
      <w:r w:rsidR="0081365D">
        <w:t xml:space="preserve">complements Recommendation </w:t>
      </w:r>
      <w:r w:rsidR="00D54D69">
        <w:t>8</w:t>
      </w:r>
      <w:r w:rsidR="00222F7E">
        <w:t xml:space="preserve"> </w:t>
      </w:r>
      <w:r w:rsidR="76C373DB">
        <w:t xml:space="preserve">and </w:t>
      </w:r>
      <w:r w:rsidR="008B5CAC">
        <w:t>align</w:t>
      </w:r>
      <w:r w:rsidR="17833C74">
        <w:t>s</w:t>
      </w:r>
      <w:r w:rsidR="008B5CAC">
        <w:t xml:space="preserve"> with outcomes of the</w:t>
      </w:r>
      <w:r w:rsidR="00222F7E">
        <w:t xml:space="preserve"> migrant worker reform package</w:t>
      </w:r>
      <w:r w:rsidR="008B5CAC">
        <w:t>.</w:t>
      </w:r>
    </w:p>
    <w:p w14:paraId="376703FF" w14:textId="11960058" w:rsidR="00A56FC7" w:rsidRDefault="00A56FC7" w:rsidP="00623034"/>
    <w:p w14:paraId="694E6640" w14:textId="7CFE17B1" w:rsidR="003E418F" w:rsidRPr="00B35003" w:rsidRDefault="003E418F" w:rsidP="005119BB">
      <w:pPr>
        <w:pStyle w:val="Heading2"/>
        <w:rPr>
          <w:sz w:val="28"/>
          <w:szCs w:val="28"/>
        </w:rPr>
      </w:pPr>
      <w:bookmarkStart w:id="34" w:name="_Toc126139984"/>
      <w:r w:rsidRPr="00B35003">
        <w:rPr>
          <w:sz w:val="28"/>
          <w:szCs w:val="28"/>
        </w:rPr>
        <w:t>Conclusion</w:t>
      </w:r>
      <w:bookmarkEnd w:id="34"/>
    </w:p>
    <w:p w14:paraId="1B7F8624" w14:textId="4B166D44" w:rsidR="1773CE23" w:rsidRDefault="1773CE23" w:rsidP="00623034">
      <w:r>
        <w:t xml:space="preserve">The Australian Government extends its appreciation to the </w:t>
      </w:r>
      <w:r w:rsidR="1DDA6487">
        <w:t xml:space="preserve">members of the </w:t>
      </w:r>
      <w:r>
        <w:t>Post</w:t>
      </w:r>
      <w:r w:rsidR="009A70E9">
        <w:t>-</w:t>
      </w:r>
      <w:r>
        <w:t xml:space="preserve">Study Work Rights Working Group for </w:t>
      </w:r>
      <w:r w:rsidR="00FD5551">
        <w:t xml:space="preserve">their </w:t>
      </w:r>
      <w:r w:rsidR="6859F9AD">
        <w:t xml:space="preserve">time, careful deliberations and thorough </w:t>
      </w:r>
      <w:r>
        <w:t>report</w:t>
      </w:r>
      <w:r w:rsidR="1355D6AA">
        <w:t xml:space="preserve">. </w:t>
      </w:r>
    </w:p>
    <w:p w14:paraId="1A8BA395" w14:textId="3AFC4874" w:rsidR="1355D6AA" w:rsidRDefault="1355D6AA" w:rsidP="00623034">
      <w:r>
        <w:lastRenderedPageBreak/>
        <w:t xml:space="preserve">The </w:t>
      </w:r>
      <w:r w:rsidR="00D54D69">
        <w:t xml:space="preserve">advice provided </w:t>
      </w:r>
      <w:r w:rsidR="43E6A95B">
        <w:t xml:space="preserve">in </w:t>
      </w:r>
      <w:r w:rsidR="009B32AD">
        <w:t xml:space="preserve">the Working Group report in </w:t>
      </w:r>
      <w:r w:rsidR="43E6A95B">
        <w:t xml:space="preserve">identifying mechanisms to monitor and manage this process over the coming years will </w:t>
      </w:r>
      <w:r w:rsidR="00D54D69">
        <w:t xml:space="preserve">assist in </w:t>
      </w:r>
      <w:r w:rsidR="009D14A2">
        <w:t xml:space="preserve">ensuring community </w:t>
      </w:r>
      <w:r w:rsidR="43E6A95B">
        <w:t xml:space="preserve">confidence in </w:t>
      </w:r>
      <w:r w:rsidR="00134515">
        <w:t>a</w:t>
      </w:r>
      <w:r w:rsidR="43E6A95B">
        <w:t xml:space="preserve"> targeted, proportionate and robust approach that will help fil</w:t>
      </w:r>
      <w:r w:rsidR="26E8F76E">
        <w:t xml:space="preserve">l critical, </w:t>
      </w:r>
      <w:r w:rsidR="006B6826">
        <w:t>high-level</w:t>
      </w:r>
      <w:r w:rsidR="26E8F76E">
        <w:t xml:space="preserve"> skills gaps in the Australian workforce</w:t>
      </w:r>
      <w:r w:rsidR="00716F2B">
        <w:t>.</w:t>
      </w:r>
    </w:p>
    <w:p w14:paraId="3E6379FE" w14:textId="57F3DECE" w:rsidR="03E22E31" w:rsidRDefault="13EBDE84">
      <w:r>
        <w:t xml:space="preserve">Australia is currently experiencing the </w:t>
      </w:r>
      <w:r w:rsidR="00DE5D8C">
        <w:t xml:space="preserve">most severe </w:t>
      </w:r>
      <w:r>
        <w:t xml:space="preserve">skills gaps in many years, presenting a real challenge to the labour market and </w:t>
      </w:r>
      <w:r w:rsidR="00134515">
        <w:t xml:space="preserve">the </w:t>
      </w:r>
      <w:r>
        <w:t xml:space="preserve">economy. Providing international students with an enhanced opportunity to contribute the knowledge and skills they have gained from their Australian qualifications to fill gaps in high skill level jobs is a tangible benefit to the </w:t>
      </w:r>
      <w:r w:rsidR="00134515">
        <w:t xml:space="preserve">Australian </w:t>
      </w:r>
      <w:r>
        <w:t xml:space="preserve">labour market.  </w:t>
      </w:r>
    </w:p>
    <w:sectPr w:rsidR="03E22E31" w:rsidSect="0029270A">
      <w:footerReference w:type="default" r:id="rId17"/>
      <w:pgSz w:w="11906" w:h="16838"/>
      <w:pgMar w:top="1134" w:right="1247" w:bottom="1418" w:left="1247"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7A10B" w14:textId="77777777" w:rsidR="00652704" w:rsidRDefault="00652704" w:rsidP="0051352E">
      <w:pPr>
        <w:spacing w:after="0" w:line="240" w:lineRule="auto"/>
      </w:pPr>
      <w:r>
        <w:separator/>
      </w:r>
    </w:p>
  </w:endnote>
  <w:endnote w:type="continuationSeparator" w:id="0">
    <w:p w14:paraId="582C028E" w14:textId="77777777" w:rsidR="00652704" w:rsidRDefault="00652704" w:rsidP="0051352E">
      <w:pPr>
        <w:spacing w:after="0" w:line="240" w:lineRule="auto"/>
      </w:pPr>
      <w:r>
        <w:continuationSeparator/>
      </w:r>
    </w:p>
  </w:endnote>
  <w:endnote w:type="continuationNotice" w:id="1">
    <w:p w14:paraId="3CC9FDC5" w14:textId="77777777" w:rsidR="00652704" w:rsidRDefault="00652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4069" w14:textId="7834BCC9" w:rsidR="00EA67FC" w:rsidRDefault="005B02B6">
    <w:pPr>
      <w:pStyle w:val="Footer"/>
      <w:jc w:val="right"/>
    </w:pPr>
    <w:r>
      <w:t>Post-Study Work Rights Recommendations</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E83513">
          <w:rPr>
            <w:noProof/>
          </w:rPr>
          <w:t>2</w:t>
        </w:r>
        <w:r w:rsidR="00EA67FC">
          <w:rPr>
            <w:noProof/>
          </w:rPr>
          <w:fldChar w:fldCharType="end"/>
        </w:r>
      </w:sdtContent>
    </w:sdt>
  </w:p>
  <w:p w14:paraId="5F2AC280" w14:textId="77777777" w:rsidR="00EA67FC" w:rsidRDefault="00BE737E">
    <w:pPr>
      <w:pStyle w:val="Footer"/>
    </w:pPr>
    <w:r>
      <w:rPr>
        <w:noProof/>
        <w:lang w:eastAsia="en-AU"/>
      </w:rPr>
      <mc:AlternateContent>
        <mc:Choice Requires="wps">
          <w:drawing>
            <wp:anchor distT="0" distB="0" distL="114300" distR="114300" simplePos="0" relativeHeight="251658240" behindDoc="0" locked="0" layoutInCell="1" allowOverlap="1" wp14:anchorId="7E62D4CD" wp14:editId="308AA97F">
              <wp:simplePos x="0" y="0"/>
              <wp:positionH relativeFrom="page">
                <wp:posOffset>0</wp:posOffset>
              </wp:positionH>
              <wp:positionV relativeFrom="paragraph">
                <wp:posOffset>251509</wp:posOffset>
              </wp:positionV>
              <wp:extent cx="10692000" cy="1980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E1816" id="Rectangle 1" o:spid="_x0000_s1026" alt="&quot;&quot;" style="position:absolute;margin-left:0;margin-top:19.8pt;width:841.9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hGegIAAGAFAAAOAAAAZHJzL2Uyb0RvYy54bWysVMFu2zAMvQ/YPwi6r7aztmuDOkXQIsOA&#10;og3WDj0rshQbkEWNUuJkXz9KdpyuLXYYdrEpkXwkn0heXe9aw7YKfQO25MVJzpmyEqrGrkv+42nx&#10;6YIzH4SthAGrSr5Xnl/PPn646txUTaAGUylkBGL9tHMlr0Nw0yzzslat8CfglCWlBmxFoCOuswpF&#10;R+itySZ5fp51gJVDkMp7ur3tlXyW8LVWMjxo7VVgpuSUW0hfTN9V/GazKzFdo3B1I4c0xD9k0YrG&#10;UtAR6lYEwTbYvIFqG4ngQYcTCW0GWjdSpRqomiJ/Vc1jLZxKtRA53o00+f8HK++3j26JREPn/NST&#10;GKvYaWzjn/Jju0TWfiRL7QKTdFnk55f0AkSqJGVxeRFlwsmO7g59+KqgZVEoOdJrJJLE9s6H3vRg&#10;EqN5ME21aIxJB1yvbgyyrYgvl09uPy8G9D/MjI3GFqJbjxhvsmMxSQp7o6Kdsd+VZk1F6U9SJqnP&#10;1BhHSKlsKHpVLSrVhz+j0g61jR6p0gQYkTXFH7EHgNjDb7H7LAf76KpSm47O+d8S651HjxQZbBid&#10;28YCvgdgqKohcm9/IKmnJrK0gmq/RIbQD4l3ctHQu90JH5YCaSroqWnSwwN9tIGu5DBInNWAv967&#10;j/bUrKTlrKMpK7n/uRGoODPfLLXxZXF6GscyHU7PvkzogC81q5cau2lvgNqhoJ3iZBKjfTAHUSO0&#10;z7QQ5jEqqYSVFLvkMuDhcBP66aeVItV8nsxoFJ0Id/bRyQgeWY19+bR7FuiG5g3U9/dwmEgxfdXD&#10;vW30tDDfBNBNavAjrwPfNMapcYaVE/fEy3OyOi7G2W8AAAD//wMAUEsDBBQABgAIAAAAIQCkh+dH&#10;3gAAAAcBAAAPAAAAZHJzL2Rvd25yZXYueG1sTI/NTsMwEITvSLyDtUjcqE0qhRCyqfgRIHFrAaHe&#10;nHhJosbrKHba0KfHPcFxNKOZb4rVbHuxp9F3jhGuFwoEce1Mxw3Cx/vzVQbCB81G944J4Yc8rMrz&#10;s0Lnxh14TftNaEQsYZ9rhDaEIZfS1y1Z7RduII7etxutDlGOjTSjPsRy28tEqVRa3XFcaPVAjy3V&#10;u81kEb62ycPr8bNXMnFPx7fpZeBdtUW8vJjv70AEmsNfGE74ER3KyFS5iY0XPUI8EhCWtymIk5tm&#10;y/ikQrhRGciykP/5y18AAAD//wMAUEsBAi0AFAAGAAgAAAAhALaDOJL+AAAA4QEAABMAAAAAAAAA&#10;AAAAAAAAAAAAAFtDb250ZW50X1R5cGVzXS54bWxQSwECLQAUAAYACAAAACEAOP0h/9YAAACUAQAA&#10;CwAAAAAAAAAAAAAAAAAvAQAAX3JlbHMvLnJlbHNQSwECLQAUAAYACAAAACEAi4EYRnoCAABgBQAA&#10;DgAAAAAAAAAAAAAAAAAuAgAAZHJzL2Uyb0RvYy54bWxQSwECLQAUAAYACAAAACEApIfnR94AAAAH&#10;AQAADwAAAAAAAAAAAAAAAADUBAAAZHJzL2Rvd25yZXYueG1sUEsFBgAAAAAEAAQA8wAAAN8FAAAA&#10;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6998" w14:textId="77777777" w:rsidR="00652704" w:rsidRDefault="00652704" w:rsidP="0051352E">
      <w:pPr>
        <w:spacing w:after="0" w:line="240" w:lineRule="auto"/>
      </w:pPr>
      <w:r>
        <w:separator/>
      </w:r>
    </w:p>
  </w:footnote>
  <w:footnote w:type="continuationSeparator" w:id="0">
    <w:p w14:paraId="442B5836" w14:textId="77777777" w:rsidR="00652704" w:rsidRDefault="00652704" w:rsidP="0051352E">
      <w:pPr>
        <w:spacing w:after="0" w:line="240" w:lineRule="auto"/>
      </w:pPr>
      <w:r>
        <w:continuationSeparator/>
      </w:r>
    </w:p>
  </w:footnote>
  <w:footnote w:type="continuationNotice" w:id="1">
    <w:p w14:paraId="3A830A8F" w14:textId="77777777" w:rsidR="00652704" w:rsidRDefault="006527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20F5D"/>
    <w:multiLevelType w:val="hybridMultilevel"/>
    <w:tmpl w:val="19C86170"/>
    <w:lvl w:ilvl="0" w:tplc="79B8F0D6">
      <w:start w:val="1"/>
      <w:numFmt w:val="bullet"/>
      <w:lvlText w:val=""/>
      <w:lvlJc w:val="left"/>
      <w:pPr>
        <w:ind w:left="720" w:hanging="360"/>
      </w:pPr>
      <w:rPr>
        <w:rFonts w:ascii="Symbol" w:hAnsi="Symbol" w:hint="default"/>
      </w:rPr>
    </w:lvl>
    <w:lvl w:ilvl="1" w:tplc="F4BC99AC">
      <w:start w:val="1"/>
      <w:numFmt w:val="bullet"/>
      <w:lvlText w:val="o"/>
      <w:lvlJc w:val="left"/>
      <w:pPr>
        <w:ind w:left="1440" w:hanging="360"/>
      </w:pPr>
      <w:rPr>
        <w:rFonts w:ascii="Courier New" w:hAnsi="Courier New" w:hint="default"/>
      </w:rPr>
    </w:lvl>
    <w:lvl w:ilvl="2" w:tplc="FE081D28">
      <w:start w:val="1"/>
      <w:numFmt w:val="bullet"/>
      <w:lvlText w:val=""/>
      <w:lvlJc w:val="left"/>
      <w:pPr>
        <w:ind w:left="2160" w:hanging="360"/>
      </w:pPr>
      <w:rPr>
        <w:rFonts w:ascii="Wingdings" w:hAnsi="Wingdings" w:hint="default"/>
      </w:rPr>
    </w:lvl>
    <w:lvl w:ilvl="3" w:tplc="118EFAAA">
      <w:start w:val="1"/>
      <w:numFmt w:val="bullet"/>
      <w:lvlText w:val=""/>
      <w:lvlJc w:val="left"/>
      <w:pPr>
        <w:ind w:left="2880" w:hanging="360"/>
      </w:pPr>
      <w:rPr>
        <w:rFonts w:ascii="Symbol" w:hAnsi="Symbol" w:hint="default"/>
      </w:rPr>
    </w:lvl>
    <w:lvl w:ilvl="4" w:tplc="DBC48076">
      <w:start w:val="1"/>
      <w:numFmt w:val="bullet"/>
      <w:lvlText w:val="o"/>
      <w:lvlJc w:val="left"/>
      <w:pPr>
        <w:ind w:left="3600" w:hanging="360"/>
      </w:pPr>
      <w:rPr>
        <w:rFonts w:ascii="Courier New" w:hAnsi="Courier New" w:hint="default"/>
      </w:rPr>
    </w:lvl>
    <w:lvl w:ilvl="5" w:tplc="8E141F92">
      <w:start w:val="1"/>
      <w:numFmt w:val="bullet"/>
      <w:lvlText w:val=""/>
      <w:lvlJc w:val="left"/>
      <w:pPr>
        <w:ind w:left="4320" w:hanging="360"/>
      </w:pPr>
      <w:rPr>
        <w:rFonts w:ascii="Wingdings" w:hAnsi="Wingdings" w:hint="default"/>
      </w:rPr>
    </w:lvl>
    <w:lvl w:ilvl="6" w:tplc="6FB8538E">
      <w:start w:val="1"/>
      <w:numFmt w:val="bullet"/>
      <w:lvlText w:val=""/>
      <w:lvlJc w:val="left"/>
      <w:pPr>
        <w:ind w:left="5040" w:hanging="360"/>
      </w:pPr>
      <w:rPr>
        <w:rFonts w:ascii="Symbol" w:hAnsi="Symbol" w:hint="default"/>
      </w:rPr>
    </w:lvl>
    <w:lvl w:ilvl="7" w:tplc="D788FC1A">
      <w:start w:val="1"/>
      <w:numFmt w:val="bullet"/>
      <w:lvlText w:val="o"/>
      <w:lvlJc w:val="left"/>
      <w:pPr>
        <w:ind w:left="5760" w:hanging="360"/>
      </w:pPr>
      <w:rPr>
        <w:rFonts w:ascii="Courier New" w:hAnsi="Courier New" w:hint="default"/>
      </w:rPr>
    </w:lvl>
    <w:lvl w:ilvl="8" w:tplc="153CDFFA">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9895D9E"/>
    <w:multiLevelType w:val="hybridMultilevel"/>
    <w:tmpl w:val="85D4A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3302B9"/>
    <w:multiLevelType w:val="hybridMultilevel"/>
    <w:tmpl w:val="C5A6132C"/>
    <w:lvl w:ilvl="0" w:tplc="B694B8FA">
      <w:start w:val="1"/>
      <w:numFmt w:val="bullet"/>
      <w:lvlText w:val=""/>
      <w:lvlJc w:val="left"/>
      <w:pPr>
        <w:tabs>
          <w:tab w:val="num" w:pos="720"/>
        </w:tabs>
        <w:ind w:left="720" w:hanging="360"/>
      </w:pPr>
      <w:rPr>
        <w:rFonts w:ascii="Symbol" w:hAnsi="Symbol" w:hint="default"/>
        <w:sz w:val="20"/>
      </w:rPr>
    </w:lvl>
    <w:lvl w:ilvl="1" w:tplc="EA70500C">
      <w:start w:val="1"/>
      <w:numFmt w:val="bullet"/>
      <w:lvlText w:val="o"/>
      <w:lvlJc w:val="left"/>
      <w:pPr>
        <w:tabs>
          <w:tab w:val="num" w:pos="1440"/>
        </w:tabs>
        <w:ind w:left="1440" w:hanging="360"/>
      </w:pPr>
      <w:rPr>
        <w:rFonts w:ascii="Courier New" w:hAnsi="Courier New" w:hint="default"/>
        <w:sz w:val="20"/>
      </w:rPr>
    </w:lvl>
    <w:lvl w:ilvl="2" w:tplc="721AC7DC">
      <w:start w:val="1"/>
      <w:numFmt w:val="bullet"/>
      <w:lvlText w:val=""/>
      <w:lvlJc w:val="left"/>
      <w:pPr>
        <w:tabs>
          <w:tab w:val="num" w:pos="2160"/>
        </w:tabs>
        <w:ind w:left="2160" w:hanging="360"/>
      </w:pPr>
      <w:rPr>
        <w:rFonts w:ascii="Wingdings" w:hAnsi="Wingdings" w:hint="default"/>
        <w:sz w:val="20"/>
      </w:rPr>
    </w:lvl>
    <w:lvl w:ilvl="3" w:tplc="C4B2532A">
      <w:start w:val="1"/>
      <w:numFmt w:val="bullet"/>
      <w:lvlText w:val=""/>
      <w:lvlJc w:val="left"/>
      <w:pPr>
        <w:tabs>
          <w:tab w:val="num" w:pos="2880"/>
        </w:tabs>
        <w:ind w:left="2880" w:hanging="360"/>
      </w:pPr>
      <w:rPr>
        <w:rFonts w:ascii="Wingdings" w:hAnsi="Wingdings" w:hint="default"/>
        <w:sz w:val="20"/>
      </w:rPr>
    </w:lvl>
    <w:lvl w:ilvl="4" w:tplc="CFC07658">
      <w:start w:val="1"/>
      <w:numFmt w:val="bullet"/>
      <w:lvlText w:val=""/>
      <w:lvlJc w:val="left"/>
      <w:pPr>
        <w:tabs>
          <w:tab w:val="num" w:pos="3600"/>
        </w:tabs>
        <w:ind w:left="3600" w:hanging="360"/>
      </w:pPr>
      <w:rPr>
        <w:rFonts w:ascii="Wingdings" w:hAnsi="Wingdings" w:hint="default"/>
        <w:sz w:val="20"/>
      </w:rPr>
    </w:lvl>
    <w:lvl w:ilvl="5" w:tplc="6D34D1F0">
      <w:start w:val="1"/>
      <w:numFmt w:val="bullet"/>
      <w:lvlText w:val=""/>
      <w:lvlJc w:val="left"/>
      <w:pPr>
        <w:tabs>
          <w:tab w:val="num" w:pos="4320"/>
        </w:tabs>
        <w:ind w:left="4320" w:hanging="360"/>
      </w:pPr>
      <w:rPr>
        <w:rFonts w:ascii="Wingdings" w:hAnsi="Wingdings" w:hint="default"/>
        <w:sz w:val="20"/>
      </w:rPr>
    </w:lvl>
    <w:lvl w:ilvl="6" w:tplc="9FB0B012">
      <w:start w:val="1"/>
      <w:numFmt w:val="bullet"/>
      <w:lvlText w:val=""/>
      <w:lvlJc w:val="left"/>
      <w:pPr>
        <w:tabs>
          <w:tab w:val="num" w:pos="5040"/>
        </w:tabs>
        <w:ind w:left="5040" w:hanging="360"/>
      </w:pPr>
      <w:rPr>
        <w:rFonts w:ascii="Wingdings" w:hAnsi="Wingdings" w:hint="default"/>
        <w:sz w:val="20"/>
      </w:rPr>
    </w:lvl>
    <w:lvl w:ilvl="7" w:tplc="14DCAF08">
      <w:start w:val="1"/>
      <w:numFmt w:val="bullet"/>
      <w:lvlText w:val=""/>
      <w:lvlJc w:val="left"/>
      <w:pPr>
        <w:tabs>
          <w:tab w:val="num" w:pos="5760"/>
        </w:tabs>
        <w:ind w:left="5760" w:hanging="360"/>
      </w:pPr>
      <w:rPr>
        <w:rFonts w:ascii="Wingdings" w:hAnsi="Wingdings" w:hint="default"/>
        <w:sz w:val="20"/>
      </w:rPr>
    </w:lvl>
    <w:lvl w:ilvl="8" w:tplc="70804052">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A315C1"/>
    <w:multiLevelType w:val="hybridMultilevel"/>
    <w:tmpl w:val="C3228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44164C"/>
    <w:multiLevelType w:val="hybridMultilevel"/>
    <w:tmpl w:val="AFDAA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503B85"/>
    <w:multiLevelType w:val="hybridMultilevel"/>
    <w:tmpl w:val="2E889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7"/>
  </w:num>
  <w:num w:numId="14">
    <w:abstractNumId w:val="1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18"/>
  </w:num>
  <w:num w:numId="19">
    <w:abstractNumId w:val="13"/>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37E"/>
    <w:rsid w:val="000001DB"/>
    <w:rsid w:val="000032EB"/>
    <w:rsid w:val="000038EA"/>
    <w:rsid w:val="00003CE7"/>
    <w:rsid w:val="0000427E"/>
    <w:rsid w:val="00012668"/>
    <w:rsid w:val="0002263B"/>
    <w:rsid w:val="00022D61"/>
    <w:rsid w:val="0002748C"/>
    <w:rsid w:val="00033C62"/>
    <w:rsid w:val="000408F6"/>
    <w:rsid w:val="000439D1"/>
    <w:rsid w:val="00047D2E"/>
    <w:rsid w:val="0005002D"/>
    <w:rsid w:val="00050904"/>
    <w:rsid w:val="00052BBC"/>
    <w:rsid w:val="00053C06"/>
    <w:rsid w:val="00054A19"/>
    <w:rsid w:val="00060654"/>
    <w:rsid w:val="0006726A"/>
    <w:rsid w:val="00067779"/>
    <w:rsid w:val="00067974"/>
    <w:rsid w:val="0007043E"/>
    <w:rsid w:val="00072A8F"/>
    <w:rsid w:val="00073097"/>
    <w:rsid w:val="000748EF"/>
    <w:rsid w:val="0007617E"/>
    <w:rsid w:val="0007651B"/>
    <w:rsid w:val="00080BE3"/>
    <w:rsid w:val="00084902"/>
    <w:rsid w:val="000A0352"/>
    <w:rsid w:val="000A1F0A"/>
    <w:rsid w:val="000A3DDA"/>
    <w:rsid w:val="000A453D"/>
    <w:rsid w:val="000B24DE"/>
    <w:rsid w:val="000B3057"/>
    <w:rsid w:val="000B47AD"/>
    <w:rsid w:val="000B6DF3"/>
    <w:rsid w:val="000C4EB7"/>
    <w:rsid w:val="000C6C13"/>
    <w:rsid w:val="000D001B"/>
    <w:rsid w:val="000D0C33"/>
    <w:rsid w:val="000D16DC"/>
    <w:rsid w:val="000D27C2"/>
    <w:rsid w:val="000D4BB4"/>
    <w:rsid w:val="000D4C46"/>
    <w:rsid w:val="000D6FFC"/>
    <w:rsid w:val="000D7385"/>
    <w:rsid w:val="000E3D80"/>
    <w:rsid w:val="000E65FA"/>
    <w:rsid w:val="000E7B8B"/>
    <w:rsid w:val="000F2D74"/>
    <w:rsid w:val="000F402C"/>
    <w:rsid w:val="000F4767"/>
    <w:rsid w:val="00101929"/>
    <w:rsid w:val="0010461C"/>
    <w:rsid w:val="00105224"/>
    <w:rsid w:val="0010707E"/>
    <w:rsid w:val="00107243"/>
    <w:rsid w:val="00110431"/>
    <w:rsid w:val="00112040"/>
    <w:rsid w:val="00112373"/>
    <w:rsid w:val="0011301E"/>
    <w:rsid w:val="00116B04"/>
    <w:rsid w:val="00120B57"/>
    <w:rsid w:val="00121B05"/>
    <w:rsid w:val="001243AA"/>
    <w:rsid w:val="00126DFB"/>
    <w:rsid w:val="00131C52"/>
    <w:rsid w:val="00134345"/>
    <w:rsid w:val="00134515"/>
    <w:rsid w:val="00134757"/>
    <w:rsid w:val="001403AA"/>
    <w:rsid w:val="001414BA"/>
    <w:rsid w:val="00142116"/>
    <w:rsid w:val="001423EA"/>
    <w:rsid w:val="00144E4B"/>
    <w:rsid w:val="001453AC"/>
    <w:rsid w:val="00145782"/>
    <w:rsid w:val="0015415F"/>
    <w:rsid w:val="00155022"/>
    <w:rsid w:val="00157AA7"/>
    <w:rsid w:val="00157F35"/>
    <w:rsid w:val="00160751"/>
    <w:rsid w:val="00165844"/>
    <w:rsid w:val="00172CA1"/>
    <w:rsid w:val="0017319D"/>
    <w:rsid w:val="00173A29"/>
    <w:rsid w:val="00175E68"/>
    <w:rsid w:val="00176062"/>
    <w:rsid w:val="0017653C"/>
    <w:rsid w:val="00183C0E"/>
    <w:rsid w:val="00183E7B"/>
    <w:rsid w:val="001840EB"/>
    <w:rsid w:val="001862D6"/>
    <w:rsid w:val="00186951"/>
    <w:rsid w:val="001923A3"/>
    <w:rsid w:val="0019748D"/>
    <w:rsid w:val="001A393F"/>
    <w:rsid w:val="001A74F1"/>
    <w:rsid w:val="001B2F8B"/>
    <w:rsid w:val="001B45A0"/>
    <w:rsid w:val="001B45CD"/>
    <w:rsid w:val="001B55A8"/>
    <w:rsid w:val="001B7603"/>
    <w:rsid w:val="001B9721"/>
    <w:rsid w:val="001C233A"/>
    <w:rsid w:val="001C27D7"/>
    <w:rsid w:val="001C7374"/>
    <w:rsid w:val="001D3C04"/>
    <w:rsid w:val="001E715E"/>
    <w:rsid w:val="001F3551"/>
    <w:rsid w:val="001F7E02"/>
    <w:rsid w:val="00201D11"/>
    <w:rsid w:val="002025E3"/>
    <w:rsid w:val="00205C86"/>
    <w:rsid w:val="00215C62"/>
    <w:rsid w:val="00217E4E"/>
    <w:rsid w:val="00217EAB"/>
    <w:rsid w:val="00222B00"/>
    <w:rsid w:val="00222F7E"/>
    <w:rsid w:val="0022498C"/>
    <w:rsid w:val="00225DD7"/>
    <w:rsid w:val="002269F4"/>
    <w:rsid w:val="00234520"/>
    <w:rsid w:val="0023666A"/>
    <w:rsid w:val="0023713B"/>
    <w:rsid w:val="00237E3F"/>
    <w:rsid w:val="002417B3"/>
    <w:rsid w:val="00245F08"/>
    <w:rsid w:val="00256B4F"/>
    <w:rsid w:val="00262FBD"/>
    <w:rsid w:val="00264455"/>
    <w:rsid w:val="00264458"/>
    <w:rsid w:val="002724D0"/>
    <w:rsid w:val="00273FC6"/>
    <w:rsid w:val="00284172"/>
    <w:rsid w:val="00284C65"/>
    <w:rsid w:val="0029270A"/>
    <w:rsid w:val="00297C7A"/>
    <w:rsid w:val="002A4EAB"/>
    <w:rsid w:val="002B0C71"/>
    <w:rsid w:val="002B1CE5"/>
    <w:rsid w:val="002B4C28"/>
    <w:rsid w:val="002B734D"/>
    <w:rsid w:val="002C1FD1"/>
    <w:rsid w:val="002C36E4"/>
    <w:rsid w:val="002C37E6"/>
    <w:rsid w:val="002C4833"/>
    <w:rsid w:val="002D1296"/>
    <w:rsid w:val="002D345F"/>
    <w:rsid w:val="002D5A4E"/>
    <w:rsid w:val="002E213B"/>
    <w:rsid w:val="002E5434"/>
    <w:rsid w:val="002E7860"/>
    <w:rsid w:val="002F239B"/>
    <w:rsid w:val="002F23E7"/>
    <w:rsid w:val="002F3C2B"/>
    <w:rsid w:val="002F4DB3"/>
    <w:rsid w:val="003000A4"/>
    <w:rsid w:val="003006B9"/>
    <w:rsid w:val="0030189F"/>
    <w:rsid w:val="003023F3"/>
    <w:rsid w:val="00302C43"/>
    <w:rsid w:val="00310E01"/>
    <w:rsid w:val="00316716"/>
    <w:rsid w:val="00316A5F"/>
    <w:rsid w:val="00316FD1"/>
    <w:rsid w:val="00321477"/>
    <w:rsid w:val="00322838"/>
    <w:rsid w:val="003308E4"/>
    <w:rsid w:val="0033522A"/>
    <w:rsid w:val="003365B4"/>
    <w:rsid w:val="003378E6"/>
    <w:rsid w:val="00341009"/>
    <w:rsid w:val="00346B0D"/>
    <w:rsid w:val="00350FFA"/>
    <w:rsid w:val="00352672"/>
    <w:rsid w:val="0035625D"/>
    <w:rsid w:val="00357347"/>
    <w:rsid w:val="00357B5B"/>
    <w:rsid w:val="00371076"/>
    <w:rsid w:val="003775B6"/>
    <w:rsid w:val="00380C8C"/>
    <w:rsid w:val="003817B0"/>
    <w:rsid w:val="00382F07"/>
    <w:rsid w:val="00385885"/>
    <w:rsid w:val="00392320"/>
    <w:rsid w:val="00397CC0"/>
    <w:rsid w:val="003A2F3A"/>
    <w:rsid w:val="003A6F2D"/>
    <w:rsid w:val="003B1F3B"/>
    <w:rsid w:val="003B3D18"/>
    <w:rsid w:val="003B5DA1"/>
    <w:rsid w:val="003B6B13"/>
    <w:rsid w:val="003B6BCD"/>
    <w:rsid w:val="003B6EFA"/>
    <w:rsid w:val="003B7456"/>
    <w:rsid w:val="003C0567"/>
    <w:rsid w:val="003C4B78"/>
    <w:rsid w:val="003C5762"/>
    <w:rsid w:val="003C5C39"/>
    <w:rsid w:val="003C7395"/>
    <w:rsid w:val="003D0D08"/>
    <w:rsid w:val="003D2166"/>
    <w:rsid w:val="003D21EA"/>
    <w:rsid w:val="003D45D1"/>
    <w:rsid w:val="003D5A08"/>
    <w:rsid w:val="003D6022"/>
    <w:rsid w:val="003E0E98"/>
    <w:rsid w:val="003E0FB7"/>
    <w:rsid w:val="003E1B02"/>
    <w:rsid w:val="003E21D1"/>
    <w:rsid w:val="003E2899"/>
    <w:rsid w:val="003E418F"/>
    <w:rsid w:val="003E71E0"/>
    <w:rsid w:val="003F31A4"/>
    <w:rsid w:val="003F498F"/>
    <w:rsid w:val="003F77A2"/>
    <w:rsid w:val="00401D7C"/>
    <w:rsid w:val="00406DDE"/>
    <w:rsid w:val="004074F9"/>
    <w:rsid w:val="00413CB7"/>
    <w:rsid w:val="00417360"/>
    <w:rsid w:val="00421A21"/>
    <w:rsid w:val="00422247"/>
    <w:rsid w:val="00426F97"/>
    <w:rsid w:val="00427F68"/>
    <w:rsid w:val="004308B5"/>
    <w:rsid w:val="00433126"/>
    <w:rsid w:val="00435BA0"/>
    <w:rsid w:val="0043669F"/>
    <w:rsid w:val="004459D2"/>
    <w:rsid w:val="00445BC5"/>
    <w:rsid w:val="00445D11"/>
    <w:rsid w:val="004467A9"/>
    <w:rsid w:val="004501A0"/>
    <w:rsid w:val="00453C04"/>
    <w:rsid w:val="00456834"/>
    <w:rsid w:val="00456AC4"/>
    <w:rsid w:val="004610BB"/>
    <w:rsid w:val="0046284F"/>
    <w:rsid w:val="00463822"/>
    <w:rsid w:val="00464921"/>
    <w:rsid w:val="00465D1B"/>
    <w:rsid w:val="0046726B"/>
    <w:rsid w:val="00471E1D"/>
    <w:rsid w:val="004725D0"/>
    <w:rsid w:val="00472C67"/>
    <w:rsid w:val="00474AE3"/>
    <w:rsid w:val="00475AED"/>
    <w:rsid w:val="00475CA5"/>
    <w:rsid w:val="00477B1F"/>
    <w:rsid w:val="00482CE6"/>
    <w:rsid w:val="00491146"/>
    <w:rsid w:val="00492F50"/>
    <w:rsid w:val="00492FC6"/>
    <w:rsid w:val="00493080"/>
    <w:rsid w:val="00497764"/>
    <w:rsid w:val="004A13D5"/>
    <w:rsid w:val="004A2A62"/>
    <w:rsid w:val="004A2AA9"/>
    <w:rsid w:val="004A2C28"/>
    <w:rsid w:val="004A3BC3"/>
    <w:rsid w:val="004A4DA4"/>
    <w:rsid w:val="004A537F"/>
    <w:rsid w:val="004A703F"/>
    <w:rsid w:val="004B076F"/>
    <w:rsid w:val="004B0D8E"/>
    <w:rsid w:val="004B3728"/>
    <w:rsid w:val="004C023A"/>
    <w:rsid w:val="004C1973"/>
    <w:rsid w:val="004C4E08"/>
    <w:rsid w:val="004C5D25"/>
    <w:rsid w:val="004C68B4"/>
    <w:rsid w:val="004C6A90"/>
    <w:rsid w:val="004D1C61"/>
    <w:rsid w:val="004D6727"/>
    <w:rsid w:val="004E409A"/>
    <w:rsid w:val="004E4AC1"/>
    <w:rsid w:val="004E63D7"/>
    <w:rsid w:val="004F16CF"/>
    <w:rsid w:val="0050209C"/>
    <w:rsid w:val="00502A60"/>
    <w:rsid w:val="00503488"/>
    <w:rsid w:val="005056BE"/>
    <w:rsid w:val="005119BB"/>
    <w:rsid w:val="0051352E"/>
    <w:rsid w:val="00516E55"/>
    <w:rsid w:val="00517DA7"/>
    <w:rsid w:val="00520469"/>
    <w:rsid w:val="00520A33"/>
    <w:rsid w:val="0052276D"/>
    <w:rsid w:val="005240A2"/>
    <w:rsid w:val="005242E0"/>
    <w:rsid w:val="00524709"/>
    <w:rsid w:val="005261B5"/>
    <w:rsid w:val="00527749"/>
    <w:rsid w:val="00527AE4"/>
    <w:rsid w:val="00530859"/>
    <w:rsid w:val="00531E59"/>
    <w:rsid w:val="005334B4"/>
    <w:rsid w:val="0053711D"/>
    <w:rsid w:val="005373C9"/>
    <w:rsid w:val="00540CF4"/>
    <w:rsid w:val="0054133D"/>
    <w:rsid w:val="005435EF"/>
    <w:rsid w:val="005439C7"/>
    <w:rsid w:val="00544296"/>
    <w:rsid w:val="00547C1E"/>
    <w:rsid w:val="00550F8C"/>
    <w:rsid w:val="005550AA"/>
    <w:rsid w:val="005666EC"/>
    <w:rsid w:val="00570A5C"/>
    <w:rsid w:val="005730EA"/>
    <w:rsid w:val="00573E5C"/>
    <w:rsid w:val="00576966"/>
    <w:rsid w:val="005847CD"/>
    <w:rsid w:val="0058535E"/>
    <w:rsid w:val="00586805"/>
    <w:rsid w:val="00591451"/>
    <w:rsid w:val="00592DE2"/>
    <w:rsid w:val="005967E0"/>
    <w:rsid w:val="00597893"/>
    <w:rsid w:val="00597EC6"/>
    <w:rsid w:val="005A0DDA"/>
    <w:rsid w:val="005A2DB3"/>
    <w:rsid w:val="005A39AE"/>
    <w:rsid w:val="005A5270"/>
    <w:rsid w:val="005B02B6"/>
    <w:rsid w:val="005B437D"/>
    <w:rsid w:val="005B50A5"/>
    <w:rsid w:val="005B5610"/>
    <w:rsid w:val="005B5753"/>
    <w:rsid w:val="005C6EF3"/>
    <w:rsid w:val="005D10B0"/>
    <w:rsid w:val="005E2656"/>
    <w:rsid w:val="005E66FE"/>
    <w:rsid w:val="005F1436"/>
    <w:rsid w:val="005F475A"/>
    <w:rsid w:val="0060221A"/>
    <w:rsid w:val="00606259"/>
    <w:rsid w:val="00612B14"/>
    <w:rsid w:val="00623034"/>
    <w:rsid w:val="00624E56"/>
    <w:rsid w:val="00625380"/>
    <w:rsid w:val="00625A64"/>
    <w:rsid w:val="00630DDF"/>
    <w:rsid w:val="0063309F"/>
    <w:rsid w:val="00637084"/>
    <w:rsid w:val="0064346C"/>
    <w:rsid w:val="00644E01"/>
    <w:rsid w:val="00646994"/>
    <w:rsid w:val="00646CBC"/>
    <w:rsid w:val="00647E33"/>
    <w:rsid w:val="00650F7A"/>
    <w:rsid w:val="00651788"/>
    <w:rsid w:val="00652704"/>
    <w:rsid w:val="00653A3A"/>
    <w:rsid w:val="00653BB7"/>
    <w:rsid w:val="00656B80"/>
    <w:rsid w:val="00656FA5"/>
    <w:rsid w:val="006666EB"/>
    <w:rsid w:val="00666A89"/>
    <w:rsid w:val="0067009A"/>
    <w:rsid w:val="006773E6"/>
    <w:rsid w:val="00682B0F"/>
    <w:rsid w:val="00686605"/>
    <w:rsid w:val="00691441"/>
    <w:rsid w:val="00691568"/>
    <w:rsid w:val="006943B9"/>
    <w:rsid w:val="0069506D"/>
    <w:rsid w:val="006A23FA"/>
    <w:rsid w:val="006A2CD3"/>
    <w:rsid w:val="006B2EC8"/>
    <w:rsid w:val="006B30AB"/>
    <w:rsid w:val="006B4122"/>
    <w:rsid w:val="006B6826"/>
    <w:rsid w:val="006C0AC8"/>
    <w:rsid w:val="006C4E11"/>
    <w:rsid w:val="006C6CEA"/>
    <w:rsid w:val="006D1B23"/>
    <w:rsid w:val="006D3B6F"/>
    <w:rsid w:val="006D44A0"/>
    <w:rsid w:val="006D69A0"/>
    <w:rsid w:val="006E084A"/>
    <w:rsid w:val="006E09A1"/>
    <w:rsid w:val="006E1BDA"/>
    <w:rsid w:val="006E1D08"/>
    <w:rsid w:val="006E34B6"/>
    <w:rsid w:val="006E51A1"/>
    <w:rsid w:val="006E5D6E"/>
    <w:rsid w:val="006F10B1"/>
    <w:rsid w:val="006F304A"/>
    <w:rsid w:val="006F5D5A"/>
    <w:rsid w:val="006F6F7C"/>
    <w:rsid w:val="00707AA8"/>
    <w:rsid w:val="00710EB0"/>
    <w:rsid w:val="00711C31"/>
    <w:rsid w:val="00716F2B"/>
    <w:rsid w:val="00717274"/>
    <w:rsid w:val="00720704"/>
    <w:rsid w:val="00721B03"/>
    <w:rsid w:val="00724207"/>
    <w:rsid w:val="0072560C"/>
    <w:rsid w:val="00730461"/>
    <w:rsid w:val="00735B2F"/>
    <w:rsid w:val="00735D30"/>
    <w:rsid w:val="00737028"/>
    <w:rsid w:val="007411D2"/>
    <w:rsid w:val="0074216D"/>
    <w:rsid w:val="0074369A"/>
    <w:rsid w:val="00745722"/>
    <w:rsid w:val="00747499"/>
    <w:rsid w:val="007505B7"/>
    <w:rsid w:val="00751040"/>
    <w:rsid w:val="00752CFC"/>
    <w:rsid w:val="00753030"/>
    <w:rsid w:val="0075724D"/>
    <w:rsid w:val="007603F8"/>
    <w:rsid w:val="007626AD"/>
    <w:rsid w:val="00770BF8"/>
    <w:rsid w:val="00776031"/>
    <w:rsid w:val="00776742"/>
    <w:rsid w:val="00780927"/>
    <w:rsid w:val="007829D1"/>
    <w:rsid w:val="007855CC"/>
    <w:rsid w:val="007958BE"/>
    <w:rsid w:val="007A3553"/>
    <w:rsid w:val="007A3978"/>
    <w:rsid w:val="007B156B"/>
    <w:rsid w:val="007B1ABA"/>
    <w:rsid w:val="007B1F38"/>
    <w:rsid w:val="007B356D"/>
    <w:rsid w:val="007B4451"/>
    <w:rsid w:val="007B55B7"/>
    <w:rsid w:val="007B74C5"/>
    <w:rsid w:val="007B74FA"/>
    <w:rsid w:val="007C04A6"/>
    <w:rsid w:val="007C3528"/>
    <w:rsid w:val="007C4526"/>
    <w:rsid w:val="007D0C76"/>
    <w:rsid w:val="007D45AB"/>
    <w:rsid w:val="007D6B5E"/>
    <w:rsid w:val="007D7681"/>
    <w:rsid w:val="007E0E40"/>
    <w:rsid w:val="007E2663"/>
    <w:rsid w:val="007E5AAD"/>
    <w:rsid w:val="007E6232"/>
    <w:rsid w:val="007E6E29"/>
    <w:rsid w:val="007E7835"/>
    <w:rsid w:val="007F063E"/>
    <w:rsid w:val="007F08E4"/>
    <w:rsid w:val="007F2EFC"/>
    <w:rsid w:val="007F31C1"/>
    <w:rsid w:val="007F4BF1"/>
    <w:rsid w:val="007F54B7"/>
    <w:rsid w:val="0080359D"/>
    <w:rsid w:val="008056A1"/>
    <w:rsid w:val="008072A4"/>
    <w:rsid w:val="008073E1"/>
    <w:rsid w:val="008115AE"/>
    <w:rsid w:val="0081365D"/>
    <w:rsid w:val="008230F4"/>
    <w:rsid w:val="00824BBC"/>
    <w:rsid w:val="00831995"/>
    <w:rsid w:val="00832429"/>
    <w:rsid w:val="008327E1"/>
    <w:rsid w:val="00834059"/>
    <w:rsid w:val="008354B4"/>
    <w:rsid w:val="008354B6"/>
    <w:rsid w:val="00843359"/>
    <w:rsid w:val="00844A49"/>
    <w:rsid w:val="00844FAA"/>
    <w:rsid w:val="00846957"/>
    <w:rsid w:val="00846FC0"/>
    <w:rsid w:val="008507C1"/>
    <w:rsid w:val="00850B4E"/>
    <w:rsid w:val="008523CA"/>
    <w:rsid w:val="0085398F"/>
    <w:rsid w:val="00854281"/>
    <w:rsid w:val="00854D2B"/>
    <w:rsid w:val="00855D39"/>
    <w:rsid w:val="008562DF"/>
    <w:rsid w:val="00857F51"/>
    <w:rsid w:val="00861934"/>
    <w:rsid w:val="00866BE2"/>
    <w:rsid w:val="00873045"/>
    <w:rsid w:val="00874681"/>
    <w:rsid w:val="0088052E"/>
    <w:rsid w:val="008812B3"/>
    <w:rsid w:val="00881815"/>
    <w:rsid w:val="00881DCB"/>
    <w:rsid w:val="00882E0C"/>
    <w:rsid w:val="00893B14"/>
    <w:rsid w:val="008A0B4F"/>
    <w:rsid w:val="008A64DF"/>
    <w:rsid w:val="008A7B44"/>
    <w:rsid w:val="008A7B72"/>
    <w:rsid w:val="008B0010"/>
    <w:rsid w:val="008B104E"/>
    <w:rsid w:val="008B3BA6"/>
    <w:rsid w:val="008B54D0"/>
    <w:rsid w:val="008B5CAC"/>
    <w:rsid w:val="008B7563"/>
    <w:rsid w:val="008C184B"/>
    <w:rsid w:val="008D2152"/>
    <w:rsid w:val="008D4678"/>
    <w:rsid w:val="008D5137"/>
    <w:rsid w:val="008D57C6"/>
    <w:rsid w:val="008D60A3"/>
    <w:rsid w:val="008D7249"/>
    <w:rsid w:val="008D7F57"/>
    <w:rsid w:val="008E01A8"/>
    <w:rsid w:val="008E127C"/>
    <w:rsid w:val="008E2854"/>
    <w:rsid w:val="008E4A3B"/>
    <w:rsid w:val="008F0AC9"/>
    <w:rsid w:val="008F102F"/>
    <w:rsid w:val="008F3F87"/>
    <w:rsid w:val="008F51D7"/>
    <w:rsid w:val="00900052"/>
    <w:rsid w:val="00900BF1"/>
    <w:rsid w:val="00904FB8"/>
    <w:rsid w:val="00907D69"/>
    <w:rsid w:val="009109A1"/>
    <w:rsid w:val="009137A6"/>
    <w:rsid w:val="00916FF2"/>
    <w:rsid w:val="00930CDA"/>
    <w:rsid w:val="00931929"/>
    <w:rsid w:val="00932C5D"/>
    <w:rsid w:val="0093473D"/>
    <w:rsid w:val="00934835"/>
    <w:rsid w:val="00944BA1"/>
    <w:rsid w:val="00944E32"/>
    <w:rsid w:val="00945A02"/>
    <w:rsid w:val="00946851"/>
    <w:rsid w:val="00950406"/>
    <w:rsid w:val="00950437"/>
    <w:rsid w:val="0095636C"/>
    <w:rsid w:val="00971D50"/>
    <w:rsid w:val="009723AF"/>
    <w:rsid w:val="00972F57"/>
    <w:rsid w:val="009734A1"/>
    <w:rsid w:val="009756C7"/>
    <w:rsid w:val="009758A9"/>
    <w:rsid w:val="00981EBF"/>
    <w:rsid w:val="009822A6"/>
    <w:rsid w:val="00987250"/>
    <w:rsid w:val="009873EC"/>
    <w:rsid w:val="0099367C"/>
    <w:rsid w:val="00994A57"/>
    <w:rsid w:val="009951C0"/>
    <w:rsid w:val="00995280"/>
    <w:rsid w:val="009A1E52"/>
    <w:rsid w:val="009A324B"/>
    <w:rsid w:val="009A3FDC"/>
    <w:rsid w:val="009A70E9"/>
    <w:rsid w:val="009A7E3C"/>
    <w:rsid w:val="009B32AD"/>
    <w:rsid w:val="009B3F65"/>
    <w:rsid w:val="009B6BE5"/>
    <w:rsid w:val="009B7076"/>
    <w:rsid w:val="009B7C7E"/>
    <w:rsid w:val="009C1408"/>
    <w:rsid w:val="009C6F06"/>
    <w:rsid w:val="009D14A2"/>
    <w:rsid w:val="009E5272"/>
    <w:rsid w:val="009E5B80"/>
    <w:rsid w:val="009E7878"/>
    <w:rsid w:val="009F05A2"/>
    <w:rsid w:val="009F2D91"/>
    <w:rsid w:val="009F35C6"/>
    <w:rsid w:val="009F52CC"/>
    <w:rsid w:val="009F724C"/>
    <w:rsid w:val="00A113C2"/>
    <w:rsid w:val="00A1150C"/>
    <w:rsid w:val="00A157EC"/>
    <w:rsid w:val="00A213E7"/>
    <w:rsid w:val="00A22849"/>
    <w:rsid w:val="00A22F88"/>
    <w:rsid w:val="00A23F29"/>
    <w:rsid w:val="00A24E6E"/>
    <w:rsid w:val="00A31641"/>
    <w:rsid w:val="00A43694"/>
    <w:rsid w:val="00A45FD5"/>
    <w:rsid w:val="00A4696B"/>
    <w:rsid w:val="00A47E31"/>
    <w:rsid w:val="00A51122"/>
    <w:rsid w:val="00A523B8"/>
    <w:rsid w:val="00A538DC"/>
    <w:rsid w:val="00A55A77"/>
    <w:rsid w:val="00A56FC7"/>
    <w:rsid w:val="00A575F0"/>
    <w:rsid w:val="00A67A26"/>
    <w:rsid w:val="00A704E4"/>
    <w:rsid w:val="00A70657"/>
    <w:rsid w:val="00A72575"/>
    <w:rsid w:val="00A74071"/>
    <w:rsid w:val="00A812F1"/>
    <w:rsid w:val="00A84C9A"/>
    <w:rsid w:val="00A85D71"/>
    <w:rsid w:val="00A870F6"/>
    <w:rsid w:val="00A91791"/>
    <w:rsid w:val="00A94934"/>
    <w:rsid w:val="00A9617E"/>
    <w:rsid w:val="00AA124A"/>
    <w:rsid w:val="00AA2A96"/>
    <w:rsid w:val="00AB3CA2"/>
    <w:rsid w:val="00AB4CC2"/>
    <w:rsid w:val="00AB6D30"/>
    <w:rsid w:val="00AB7370"/>
    <w:rsid w:val="00AC3211"/>
    <w:rsid w:val="00AC7A62"/>
    <w:rsid w:val="00AD18D1"/>
    <w:rsid w:val="00AD25C6"/>
    <w:rsid w:val="00AD272A"/>
    <w:rsid w:val="00AD6839"/>
    <w:rsid w:val="00AD7726"/>
    <w:rsid w:val="00AE1E55"/>
    <w:rsid w:val="00AE549A"/>
    <w:rsid w:val="00AE5936"/>
    <w:rsid w:val="00AE6F4B"/>
    <w:rsid w:val="00AF0206"/>
    <w:rsid w:val="00AF0E8C"/>
    <w:rsid w:val="00AF378F"/>
    <w:rsid w:val="00B00C02"/>
    <w:rsid w:val="00B01397"/>
    <w:rsid w:val="00B01650"/>
    <w:rsid w:val="00B03C86"/>
    <w:rsid w:val="00B100CC"/>
    <w:rsid w:val="00B13530"/>
    <w:rsid w:val="00B14B2B"/>
    <w:rsid w:val="00B15D03"/>
    <w:rsid w:val="00B25DE0"/>
    <w:rsid w:val="00B30209"/>
    <w:rsid w:val="00B312ED"/>
    <w:rsid w:val="00B331D7"/>
    <w:rsid w:val="00B35003"/>
    <w:rsid w:val="00B3753A"/>
    <w:rsid w:val="00B406E9"/>
    <w:rsid w:val="00B4242A"/>
    <w:rsid w:val="00B42D98"/>
    <w:rsid w:val="00B433C0"/>
    <w:rsid w:val="00B464BD"/>
    <w:rsid w:val="00B50EE5"/>
    <w:rsid w:val="00B62B09"/>
    <w:rsid w:val="00B6689D"/>
    <w:rsid w:val="00B71C0C"/>
    <w:rsid w:val="00B72368"/>
    <w:rsid w:val="00B82D8F"/>
    <w:rsid w:val="00B82E4D"/>
    <w:rsid w:val="00B85FCB"/>
    <w:rsid w:val="00B86CC6"/>
    <w:rsid w:val="00B875DB"/>
    <w:rsid w:val="00B91A55"/>
    <w:rsid w:val="00B93121"/>
    <w:rsid w:val="00B94AE7"/>
    <w:rsid w:val="00BA6E0C"/>
    <w:rsid w:val="00BB0282"/>
    <w:rsid w:val="00BB48FA"/>
    <w:rsid w:val="00BC0EEE"/>
    <w:rsid w:val="00BC342F"/>
    <w:rsid w:val="00BC3EFA"/>
    <w:rsid w:val="00BE0BF1"/>
    <w:rsid w:val="00BE2387"/>
    <w:rsid w:val="00BE3CEF"/>
    <w:rsid w:val="00BE737E"/>
    <w:rsid w:val="00BF0636"/>
    <w:rsid w:val="00BF1459"/>
    <w:rsid w:val="00BF2427"/>
    <w:rsid w:val="00C0172E"/>
    <w:rsid w:val="00C03CA3"/>
    <w:rsid w:val="00C03CBE"/>
    <w:rsid w:val="00C04A4C"/>
    <w:rsid w:val="00C04E09"/>
    <w:rsid w:val="00C10E91"/>
    <w:rsid w:val="00C1265F"/>
    <w:rsid w:val="00C133D7"/>
    <w:rsid w:val="00C13401"/>
    <w:rsid w:val="00C15BAA"/>
    <w:rsid w:val="00C21430"/>
    <w:rsid w:val="00C236A5"/>
    <w:rsid w:val="00C23C00"/>
    <w:rsid w:val="00C26EAC"/>
    <w:rsid w:val="00C33AAD"/>
    <w:rsid w:val="00C415E3"/>
    <w:rsid w:val="00C427A4"/>
    <w:rsid w:val="00C43BFF"/>
    <w:rsid w:val="00C4435D"/>
    <w:rsid w:val="00C44967"/>
    <w:rsid w:val="00C44FB4"/>
    <w:rsid w:val="00C47E66"/>
    <w:rsid w:val="00C51780"/>
    <w:rsid w:val="00C54D58"/>
    <w:rsid w:val="00C573E1"/>
    <w:rsid w:val="00C61440"/>
    <w:rsid w:val="00C7072E"/>
    <w:rsid w:val="00C713B0"/>
    <w:rsid w:val="00C77874"/>
    <w:rsid w:val="00C80AF4"/>
    <w:rsid w:val="00C82633"/>
    <w:rsid w:val="00C91D2B"/>
    <w:rsid w:val="00C936BD"/>
    <w:rsid w:val="00C9377F"/>
    <w:rsid w:val="00C94F0C"/>
    <w:rsid w:val="00C9569E"/>
    <w:rsid w:val="00C95DF6"/>
    <w:rsid w:val="00C95EC5"/>
    <w:rsid w:val="00CA0B8E"/>
    <w:rsid w:val="00CA242C"/>
    <w:rsid w:val="00CA4AD6"/>
    <w:rsid w:val="00CA59D7"/>
    <w:rsid w:val="00CA5B17"/>
    <w:rsid w:val="00CA7FAD"/>
    <w:rsid w:val="00CC2257"/>
    <w:rsid w:val="00CC75B6"/>
    <w:rsid w:val="00CD108B"/>
    <w:rsid w:val="00CD17CF"/>
    <w:rsid w:val="00CD6B95"/>
    <w:rsid w:val="00CE1650"/>
    <w:rsid w:val="00CE5BBF"/>
    <w:rsid w:val="00CE68ED"/>
    <w:rsid w:val="00CF0950"/>
    <w:rsid w:val="00CF0C3E"/>
    <w:rsid w:val="00CF1406"/>
    <w:rsid w:val="00CF2B00"/>
    <w:rsid w:val="00CF51AC"/>
    <w:rsid w:val="00CF6B30"/>
    <w:rsid w:val="00D04C48"/>
    <w:rsid w:val="00D04EEC"/>
    <w:rsid w:val="00D10DEC"/>
    <w:rsid w:val="00D11674"/>
    <w:rsid w:val="00D12B71"/>
    <w:rsid w:val="00D16F8A"/>
    <w:rsid w:val="00D21603"/>
    <w:rsid w:val="00D219D6"/>
    <w:rsid w:val="00D25EE8"/>
    <w:rsid w:val="00D30FD4"/>
    <w:rsid w:val="00D32EBF"/>
    <w:rsid w:val="00D33A2A"/>
    <w:rsid w:val="00D35493"/>
    <w:rsid w:val="00D36492"/>
    <w:rsid w:val="00D36664"/>
    <w:rsid w:val="00D37C68"/>
    <w:rsid w:val="00D423D7"/>
    <w:rsid w:val="00D4290D"/>
    <w:rsid w:val="00D45B25"/>
    <w:rsid w:val="00D45C05"/>
    <w:rsid w:val="00D45CCB"/>
    <w:rsid w:val="00D4D07A"/>
    <w:rsid w:val="00D54D69"/>
    <w:rsid w:val="00D609A9"/>
    <w:rsid w:val="00D6103C"/>
    <w:rsid w:val="00D635A2"/>
    <w:rsid w:val="00D70188"/>
    <w:rsid w:val="00D71BF1"/>
    <w:rsid w:val="00D71CB8"/>
    <w:rsid w:val="00D74378"/>
    <w:rsid w:val="00D76911"/>
    <w:rsid w:val="00D7721C"/>
    <w:rsid w:val="00D809DF"/>
    <w:rsid w:val="00D82B09"/>
    <w:rsid w:val="00D8334E"/>
    <w:rsid w:val="00D84D08"/>
    <w:rsid w:val="00D857B0"/>
    <w:rsid w:val="00D866B9"/>
    <w:rsid w:val="00D86802"/>
    <w:rsid w:val="00D912C6"/>
    <w:rsid w:val="00D92B04"/>
    <w:rsid w:val="00D92F64"/>
    <w:rsid w:val="00DA1B7B"/>
    <w:rsid w:val="00DA21AF"/>
    <w:rsid w:val="00DA6C03"/>
    <w:rsid w:val="00DA707C"/>
    <w:rsid w:val="00DB2233"/>
    <w:rsid w:val="00DB3594"/>
    <w:rsid w:val="00DB6C7E"/>
    <w:rsid w:val="00DB708F"/>
    <w:rsid w:val="00DB79DF"/>
    <w:rsid w:val="00DC117A"/>
    <w:rsid w:val="00DC527A"/>
    <w:rsid w:val="00DD0189"/>
    <w:rsid w:val="00DD165E"/>
    <w:rsid w:val="00DD209A"/>
    <w:rsid w:val="00DD309E"/>
    <w:rsid w:val="00DD3231"/>
    <w:rsid w:val="00DD75D1"/>
    <w:rsid w:val="00DE0ED7"/>
    <w:rsid w:val="00DE2F29"/>
    <w:rsid w:val="00DE55C4"/>
    <w:rsid w:val="00DE5D8C"/>
    <w:rsid w:val="00DE7A9A"/>
    <w:rsid w:val="00DF153F"/>
    <w:rsid w:val="00DF4B1C"/>
    <w:rsid w:val="00DF5B2F"/>
    <w:rsid w:val="00DF68B9"/>
    <w:rsid w:val="00DF6DC8"/>
    <w:rsid w:val="00E00372"/>
    <w:rsid w:val="00E00DBF"/>
    <w:rsid w:val="00E02020"/>
    <w:rsid w:val="00E03434"/>
    <w:rsid w:val="00E10E7B"/>
    <w:rsid w:val="00E11D51"/>
    <w:rsid w:val="00E12A66"/>
    <w:rsid w:val="00E132D0"/>
    <w:rsid w:val="00E1384E"/>
    <w:rsid w:val="00E22DF2"/>
    <w:rsid w:val="00E24368"/>
    <w:rsid w:val="00E25AF0"/>
    <w:rsid w:val="00E26A7B"/>
    <w:rsid w:val="00E3065D"/>
    <w:rsid w:val="00E3140B"/>
    <w:rsid w:val="00E31CC8"/>
    <w:rsid w:val="00E33F06"/>
    <w:rsid w:val="00E34391"/>
    <w:rsid w:val="00E345D3"/>
    <w:rsid w:val="00E357D3"/>
    <w:rsid w:val="00E46CE6"/>
    <w:rsid w:val="00E50A39"/>
    <w:rsid w:val="00E60851"/>
    <w:rsid w:val="00E6514C"/>
    <w:rsid w:val="00E66101"/>
    <w:rsid w:val="00E66449"/>
    <w:rsid w:val="00E67F50"/>
    <w:rsid w:val="00E73F96"/>
    <w:rsid w:val="00E74EC7"/>
    <w:rsid w:val="00E8261A"/>
    <w:rsid w:val="00E82636"/>
    <w:rsid w:val="00E83513"/>
    <w:rsid w:val="00E842FB"/>
    <w:rsid w:val="00E84FB3"/>
    <w:rsid w:val="00E86322"/>
    <w:rsid w:val="00E866AC"/>
    <w:rsid w:val="00E87785"/>
    <w:rsid w:val="00E91237"/>
    <w:rsid w:val="00E91A4C"/>
    <w:rsid w:val="00EA2B1A"/>
    <w:rsid w:val="00EA32F7"/>
    <w:rsid w:val="00EA3764"/>
    <w:rsid w:val="00EA3C4A"/>
    <w:rsid w:val="00EA49C2"/>
    <w:rsid w:val="00EA50F0"/>
    <w:rsid w:val="00EA67FC"/>
    <w:rsid w:val="00EA705B"/>
    <w:rsid w:val="00EB48B7"/>
    <w:rsid w:val="00EC298B"/>
    <w:rsid w:val="00EC29E9"/>
    <w:rsid w:val="00EC5DE6"/>
    <w:rsid w:val="00EC73B5"/>
    <w:rsid w:val="00EC7F53"/>
    <w:rsid w:val="00ED0BF9"/>
    <w:rsid w:val="00ED272D"/>
    <w:rsid w:val="00ED3309"/>
    <w:rsid w:val="00ED3E91"/>
    <w:rsid w:val="00ED4A6F"/>
    <w:rsid w:val="00ED5534"/>
    <w:rsid w:val="00EE0B0D"/>
    <w:rsid w:val="00EE1A7F"/>
    <w:rsid w:val="00EE1E7B"/>
    <w:rsid w:val="00EE40A2"/>
    <w:rsid w:val="00EE4A41"/>
    <w:rsid w:val="00EF071E"/>
    <w:rsid w:val="00EF16F3"/>
    <w:rsid w:val="00EF6B03"/>
    <w:rsid w:val="00F04193"/>
    <w:rsid w:val="00F0473B"/>
    <w:rsid w:val="00F11394"/>
    <w:rsid w:val="00F230CD"/>
    <w:rsid w:val="00F27806"/>
    <w:rsid w:val="00F3044D"/>
    <w:rsid w:val="00F32626"/>
    <w:rsid w:val="00F32E16"/>
    <w:rsid w:val="00F3383C"/>
    <w:rsid w:val="00F3423E"/>
    <w:rsid w:val="00F35DEA"/>
    <w:rsid w:val="00F37187"/>
    <w:rsid w:val="00F37C2D"/>
    <w:rsid w:val="00F41B1F"/>
    <w:rsid w:val="00F41F4B"/>
    <w:rsid w:val="00F42985"/>
    <w:rsid w:val="00F4405B"/>
    <w:rsid w:val="00F504E6"/>
    <w:rsid w:val="00F51080"/>
    <w:rsid w:val="00F5171F"/>
    <w:rsid w:val="00F51C18"/>
    <w:rsid w:val="00F578A0"/>
    <w:rsid w:val="00F65E4B"/>
    <w:rsid w:val="00F70E0F"/>
    <w:rsid w:val="00F712C5"/>
    <w:rsid w:val="00F71F79"/>
    <w:rsid w:val="00F7392D"/>
    <w:rsid w:val="00F745B1"/>
    <w:rsid w:val="00F75C4D"/>
    <w:rsid w:val="00F76537"/>
    <w:rsid w:val="00F80469"/>
    <w:rsid w:val="00F82453"/>
    <w:rsid w:val="00F83328"/>
    <w:rsid w:val="00F9049E"/>
    <w:rsid w:val="00F905A4"/>
    <w:rsid w:val="00F95DCC"/>
    <w:rsid w:val="00F96B95"/>
    <w:rsid w:val="00FA31E2"/>
    <w:rsid w:val="00FA347C"/>
    <w:rsid w:val="00FA3ACD"/>
    <w:rsid w:val="00FA4286"/>
    <w:rsid w:val="00FA5F09"/>
    <w:rsid w:val="00FA7AFE"/>
    <w:rsid w:val="00FB095E"/>
    <w:rsid w:val="00FB3997"/>
    <w:rsid w:val="00FB3E49"/>
    <w:rsid w:val="00FB5268"/>
    <w:rsid w:val="00FB58A7"/>
    <w:rsid w:val="00FB65CD"/>
    <w:rsid w:val="00FC0789"/>
    <w:rsid w:val="00FC1618"/>
    <w:rsid w:val="00FC3F0E"/>
    <w:rsid w:val="00FC451C"/>
    <w:rsid w:val="00FC7247"/>
    <w:rsid w:val="00FD1AA3"/>
    <w:rsid w:val="00FD5551"/>
    <w:rsid w:val="00FD5589"/>
    <w:rsid w:val="00FE2BA3"/>
    <w:rsid w:val="00FE4A81"/>
    <w:rsid w:val="00FE5D7A"/>
    <w:rsid w:val="00FF0D12"/>
    <w:rsid w:val="00FF21B7"/>
    <w:rsid w:val="00FF350B"/>
    <w:rsid w:val="00FF59D2"/>
    <w:rsid w:val="00FF5B70"/>
    <w:rsid w:val="00FF5BB9"/>
    <w:rsid w:val="00FF61BE"/>
    <w:rsid w:val="00FF71B0"/>
    <w:rsid w:val="010D86CC"/>
    <w:rsid w:val="011E79DA"/>
    <w:rsid w:val="015C64CC"/>
    <w:rsid w:val="016D950B"/>
    <w:rsid w:val="01715B85"/>
    <w:rsid w:val="019EFB7F"/>
    <w:rsid w:val="01CA16BD"/>
    <w:rsid w:val="01E02B8C"/>
    <w:rsid w:val="0240D993"/>
    <w:rsid w:val="03061605"/>
    <w:rsid w:val="0347DB2E"/>
    <w:rsid w:val="03522599"/>
    <w:rsid w:val="03633932"/>
    <w:rsid w:val="03758CC8"/>
    <w:rsid w:val="039036B4"/>
    <w:rsid w:val="03978BC7"/>
    <w:rsid w:val="03A9DFD7"/>
    <w:rsid w:val="03D63EF2"/>
    <w:rsid w:val="03E22E31"/>
    <w:rsid w:val="045D1754"/>
    <w:rsid w:val="046A6110"/>
    <w:rsid w:val="047FA371"/>
    <w:rsid w:val="048A194B"/>
    <w:rsid w:val="04AFD264"/>
    <w:rsid w:val="04D23DE7"/>
    <w:rsid w:val="04DF869C"/>
    <w:rsid w:val="0529B151"/>
    <w:rsid w:val="05368356"/>
    <w:rsid w:val="05BA59FD"/>
    <w:rsid w:val="05DF4C19"/>
    <w:rsid w:val="061CF990"/>
    <w:rsid w:val="061F2F9B"/>
    <w:rsid w:val="06715D53"/>
    <w:rsid w:val="06B9C3CD"/>
    <w:rsid w:val="06DAC6ED"/>
    <w:rsid w:val="077EB565"/>
    <w:rsid w:val="07F14DC4"/>
    <w:rsid w:val="0813C46D"/>
    <w:rsid w:val="086DCD88"/>
    <w:rsid w:val="0882C386"/>
    <w:rsid w:val="08979FA8"/>
    <w:rsid w:val="089AA409"/>
    <w:rsid w:val="08BA3E44"/>
    <w:rsid w:val="08D47A25"/>
    <w:rsid w:val="08E26940"/>
    <w:rsid w:val="08E708F5"/>
    <w:rsid w:val="08EAA17F"/>
    <w:rsid w:val="096A1B2A"/>
    <w:rsid w:val="09CB24A8"/>
    <w:rsid w:val="09FB6A01"/>
    <w:rsid w:val="0A28A24D"/>
    <w:rsid w:val="0A5E41B7"/>
    <w:rsid w:val="0A83F756"/>
    <w:rsid w:val="0AA01882"/>
    <w:rsid w:val="0AABA8F3"/>
    <w:rsid w:val="0AF83624"/>
    <w:rsid w:val="0AFE43F0"/>
    <w:rsid w:val="0B082978"/>
    <w:rsid w:val="0BA4FB8C"/>
    <w:rsid w:val="0BA69E32"/>
    <w:rsid w:val="0BDDB902"/>
    <w:rsid w:val="0BE6FD23"/>
    <w:rsid w:val="0BF114BD"/>
    <w:rsid w:val="0C41F730"/>
    <w:rsid w:val="0C73E9B5"/>
    <w:rsid w:val="0CA4CE57"/>
    <w:rsid w:val="0CA865BF"/>
    <w:rsid w:val="0D4EACC5"/>
    <w:rsid w:val="0D829D5F"/>
    <w:rsid w:val="0DF75885"/>
    <w:rsid w:val="0E56B4AA"/>
    <w:rsid w:val="0E67309C"/>
    <w:rsid w:val="0E9E62FA"/>
    <w:rsid w:val="0EB65C67"/>
    <w:rsid w:val="0ED2CCD7"/>
    <w:rsid w:val="0F0BA23F"/>
    <w:rsid w:val="0F4CF2B4"/>
    <w:rsid w:val="10022220"/>
    <w:rsid w:val="104E6E22"/>
    <w:rsid w:val="10847B7B"/>
    <w:rsid w:val="109A7DB6"/>
    <w:rsid w:val="10C06293"/>
    <w:rsid w:val="10DAC208"/>
    <w:rsid w:val="1101F4EB"/>
    <w:rsid w:val="110C028C"/>
    <w:rsid w:val="111885B0"/>
    <w:rsid w:val="113C1F72"/>
    <w:rsid w:val="114AE892"/>
    <w:rsid w:val="1161FB3E"/>
    <w:rsid w:val="11C0682F"/>
    <w:rsid w:val="1219F3F4"/>
    <w:rsid w:val="12205FEF"/>
    <w:rsid w:val="1225B206"/>
    <w:rsid w:val="12832D9E"/>
    <w:rsid w:val="12A7A8FB"/>
    <w:rsid w:val="12C844E8"/>
    <w:rsid w:val="1355D6AA"/>
    <w:rsid w:val="136001CE"/>
    <w:rsid w:val="138245A6"/>
    <w:rsid w:val="13900B8E"/>
    <w:rsid w:val="13EBDE84"/>
    <w:rsid w:val="13EDAF5E"/>
    <w:rsid w:val="14021BEA"/>
    <w:rsid w:val="1431DD99"/>
    <w:rsid w:val="1443EAB0"/>
    <w:rsid w:val="14891470"/>
    <w:rsid w:val="148BDE8F"/>
    <w:rsid w:val="14AB99A1"/>
    <w:rsid w:val="14B27A8A"/>
    <w:rsid w:val="14CA1B13"/>
    <w:rsid w:val="14CB7850"/>
    <w:rsid w:val="1521EAD8"/>
    <w:rsid w:val="152F5C71"/>
    <w:rsid w:val="1539A5E1"/>
    <w:rsid w:val="1570EDCE"/>
    <w:rsid w:val="1571209F"/>
    <w:rsid w:val="15836467"/>
    <w:rsid w:val="163A264F"/>
    <w:rsid w:val="163D1014"/>
    <w:rsid w:val="1653190D"/>
    <w:rsid w:val="16745801"/>
    <w:rsid w:val="16B73FB5"/>
    <w:rsid w:val="16E49130"/>
    <w:rsid w:val="1773CE23"/>
    <w:rsid w:val="17833C74"/>
    <w:rsid w:val="17F842D7"/>
    <w:rsid w:val="17FE4B7B"/>
    <w:rsid w:val="18048F58"/>
    <w:rsid w:val="1816E6F8"/>
    <w:rsid w:val="182FAAB8"/>
    <w:rsid w:val="184094A6"/>
    <w:rsid w:val="18AAE16F"/>
    <w:rsid w:val="18AB5CAA"/>
    <w:rsid w:val="18BFF085"/>
    <w:rsid w:val="18DA3C3F"/>
    <w:rsid w:val="197E63C9"/>
    <w:rsid w:val="19D8225F"/>
    <w:rsid w:val="19E4ED30"/>
    <w:rsid w:val="19FCAAAA"/>
    <w:rsid w:val="1A2FA2DD"/>
    <w:rsid w:val="1A3BA35C"/>
    <w:rsid w:val="1A99BC75"/>
    <w:rsid w:val="1AA7B67F"/>
    <w:rsid w:val="1AEA6A28"/>
    <w:rsid w:val="1B08F953"/>
    <w:rsid w:val="1B092C24"/>
    <w:rsid w:val="1B7B2095"/>
    <w:rsid w:val="1B86BD12"/>
    <w:rsid w:val="1BDCA2A9"/>
    <w:rsid w:val="1BED1506"/>
    <w:rsid w:val="1C5CF779"/>
    <w:rsid w:val="1C73D1E4"/>
    <w:rsid w:val="1CDFE672"/>
    <w:rsid w:val="1CE79FBF"/>
    <w:rsid w:val="1D3A4075"/>
    <w:rsid w:val="1DDA6487"/>
    <w:rsid w:val="1E0F7815"/>
    <w:rsid w:val="1E11BE72"/>
    <w:rsid w:val="1E210FCA"/>
    <w:rsid w:val="1E22E3F7"/>
    <w:rsid w:val="1E442A9D"/>
    <w:rsid w:val="1E65DDDD"/>
    <w:rsid w:val="1EA8A614"/>
    <w:rsid w:val="1EF0C6DF"/>
    <w:rsid w:val="1F08C04C"/>
    <w:rsid w:val="1FBDDB4B"/>
    <w:rsid w:val="1FE29194"/>
    <w:rsid w:val="203245F2"/>
    <w:rsid w:val="205A719A"/>
    <w:rsid w:val="209DD312"/>
    <w:rsid w:val="20B8FE45"/>
    <w:rsid w:val="20F9912C"/>
    <w:rsid w:val="211A4E5C"/>
    <w:rsid w:val="213C5F63"/>
    <w:rsid w:val="2255007C"/>
    <w:rsid w:val="2262AF7E"/>
    <w:rsid w:val="2267F6C7"/>
    <w:rsid w:val="22AE8C41"/>
    <w:rsid w:val="22C974AD"/>
    <w:rsid w:val="22E8E839"/>
    <w:rsid w:val="22F9F0E7"/>
    <w:rsid w:val="231E0727"/>
    <w:rsid w:val="23856831"/>
    <w:rsid w:val="23F74878"/>
    <w:rsid w:val="2435DCC1"/>
    <w:rsid w:val="243D4FB1"/>
    <w:rsid w:val="2485E89F"/>
    <w:rsid w:val="250803A8"/>
    <w:rsid w:val="255BA7AD"/>
    <w:rsid w:val="25618B82"/>
    <w:rsid w:val="2585825A"/>
    <w:rsid w:val="259486E7"/>
    <w:rsid w:val="259D8C31"/>
    <w:rsid w:val="25D8B9D5"/>
    <w:rsid w:val="263191A9"/>
    <w:rsid w:val="2699F135"/>
    <w:rsid w:val="26A43BA0"/>
    <w:rsid w:val="26E8F76E"/>
    <w:rsid w:val="2718A4C2"/>
    <w:rsid w:val="2777FAFA"/>
    <w:rsid w:val="277F2FE9"/>
    <w:rsid w:val="27BBF3D8"/>
    <w:rsid w:val="27D27E0D"/>
    <w:rsid w:val="2888995D"/>
    <w:rsid w:val="28C378B2"/>
    <w:rsid w:val="28CD8558"/>
    <w:rsid w:val="293DFB87"/>
    <w:rsid w:val="297E9962"/>
    <w:rsid w:val="29CC843D"/>
    <w:rsid w:val="29D45F16"/>
    <w:rsid w:val="29DBB429"/>
    <w:rsid w:val="29F44D83"/>
    <w:rsid w:val="29FCA162"/>
    <w:rsid w:val="2A283E8F"/>
    <w:rsid w:val="2A4DA89A"/>
    <w:rsid w:val="2A70FD54"/>
    <w:rsid w:val="2AD16F5A"/>
    <w:rsid w:val="2AD99DAE"/>
    <w:rsid w:val="2B04DCAC"/>
    <w:rsid w:val="2B0DC912"/>
    <w:rsid w:val="2B460E9E"/>
    <w:rsid w:val="2C0C544B"/>
    <w:rsid w:val="2C0E657A"/>
    <w:rsid w:val="2CA734A3"/>
    <w:rsid w:val="2CB16D5C"/>
    <w:rsid w:val="2CBA34E7"/>
    <w:rsid w:val="2DA89E16"/>
    <w:rsid w:val="2DDA045B"/>
    <w:rsid w:val="2E20D7B3"/>
    <w:rsid w:val="2E2E53E4"/>
    <w:rsid w:val="2E8C8860"/>
    <w:rsid w:val="2E8E3D31"/>
    <w:rsid w:val="2E9BC8FA"/>
    <w:rsid w:val="2EC1DE8A"/>
    <w:rsid w:val="2EE1E584"/>
    <w:rsid w:val="2EE305F1"/>
    <w:rsid w:val="2EF71193"/>
    <w:rsid w:val="2F446E77"/>
    <w:rsid w:val="2F4FA4A7"/>
    <w:rsid w:val="2F9B897A"/>
    <w:rsid w:val="2FEED1CC"/>
    <w:rsid w:val="304D0694"/>
    <w:rsid w:val="307C3387"/>
    <w:rsid w:val="30CC16B6"/>
    <w:rsid w:val="3132AC55"/>
    <w:rsid w:val="31B2BCCC"/>
    <w:rsid w:val="31F90FBD"/>
    <w:rsid w:val="3208726E"/>
    <w:rsid w:val="3279F7A0"/>
    <w:rsid w:val="327A3710"/>
    <w:rsid w:val="32BA5014"/>
    <w:rsid w:val="32EC8E21"/>
    <w:rsid w:val="3392D527"/>
    <w:rsid w:val="33A08429"/>
    <w:rsid w:val="33A5B4CB"/>
    <w:rsid w:val="33CD4610"/>
    <w:rsid w:val="33EC93BD"/>
    <w:rsid w:val="3415F58E"/>
    <w:rsid w:val="3420C7B9"/>
    <w:rsid w:val="34414EF1"/>
    <w:rsid w:val="346F9BC7"/>
    <w:rsid w:val="347CDA5D"/>
    <w:rsid w:val="34FA84C9"/>
    <w:rsid w:val="35584A8F"/>
    <w:rsid w:val="356CAC0B"/>
    <w:rsid w:val="3596BFC8"/>
    <w:rsid w:val="364FE376"/>
    <w:rsid w:val="366DE03B"/>
    <w:rsid w:val="369A29FB"/>
    <w:rsid w:val="36B217D5"/>
    <w:rsid w:val="36E23D80"/>
    <w:rsid w:val="36EC551A"/>
    <w:rsid w:val="3700AD47"/>
    <w:rsid w:val="373785A4"/>
    <w:rsid w:val="377AD584"/>
    <w:rsid w:val="3785CB7B"/>
    <w:rsid w:val="3798CF62"/>
    <w:rsid w:val="37C62662"/>
    <w:rsid w:val="37DB2A77"/>
    <w:rsid w:val="3842B7FB"/>
    <w:rsid w:val="387400DF"/>
    <w:rsid w:val="3874338A"/>
    <w:rsid w:val="38F33E43"/>
    <w:rsid w:val="395AA687"/>
    <w:rsid w:val="3965B655"/>
    <w:rsid w:val="396FD79B"/>
    <w:rsid w:val="398F261B"/>
    <w:rsid w:val="3A095E91"/>
    <w:rsid w:val="3A6592CC"/>
    <w:rsid w:val="3AAC7ECF"/>
    <w:rsid w:val="3AB838BD"/>
    <w:rsid w:val="3AFCF1E7"/>
    <w:rsid w:val="3B05B8A6"/>
    <w:rsid w:val="3B3097EC"/>
    <w:rsid w:val="3B46B9D7"/>
    <w:rsid w:val="3B49AE7F"/>
    <w:rsid w:val="3B68FCFF"/>
    <w:rsid w:val="3BBBA2F0"/>
    <w:rsid w:val="3C23376A"/>
    <w:rsid w:val="3C64D8B6"/>
    <w:rsid w:val="3C883FAB"/>
    <w:rsid w:val="3C8EE778"/>
    <w:rsid w:val="3C9251B8"/>
    <w:rsid w:val="3CA60851"/>
    <w:rsid w:val="3CADF98A"/>
    <w:rsid w:val="3CBF0D23"/>
    <w:rsid w:val="3CCB1924"/>
    <w:rsid w:val="3CEE1AFB"/>
    <w:rsid w:val="3D3421FA"/>
    <w:rsid w:val="3D4858D0"/>
    <w:rsid w:val="3D74A385"/>
    <w:rsid w:val="3D77AE8C"/>
    <w:rsid w:val="3DA2E6A8"/>
    <w:rsid w:val="3DBB7B57"/>
    <w:rsid w:val="3DCFCFC2"/>
    <w:rsid w:val="3E18FFCA"/>
    <w:rsid w:val="3E5B422B"/>
    <w:rsid w:val="3E7B2D66"/>
    <w:rsid w:val="3E91B4DB"/>
    <w:rsid w:val="3EB54F72"/>
    <w:rsid w:val="3F3109FD"/>
    <w:rsid w:val="3F68C3F8"/>
    <w:rsid w:val="3F87620C"/>
    <w:rsid w:val="3FCBDB8D"/>
    <w:rsid w:val="3FDD787D"/>
    <w:rsid w:val="4004F364"/>
    <w:rsid w:val="401597BE"/>
    <w:rsid w:val="4031FC79"/>
    <w:rsid w:val="41046B4B"/>
    <w:rsid w:val="414D21B5"/>
    <w:rsid w:val="415373F5"/>
    <w:rsid w:val="415C3FA9"/>
    <w:rsid w:val="41DE9777"/>
    <w:rsid w:val="42161235"/>
    <w:rsid w:val="4220FCA4"/>
    <w:rsid w:val="424D2751"/>
    <w:rsid w:val="4250BEB9"/>
    <w:rsid w:val="42515B5E"/>
    <w:rsid w:val="425AD653"/>
    <w:rsid w:val="42ACD1C0"/>
    <w:rsid w:val="42D1392B"/>
    <w:rsid w:val="42DBB1B2"/>
    <w:rsid w:val="435BBA03"/>
    <w:rsid w:val="43B290F4"/>
    <w:rsid w:val="43E6A95B"/>
    <w:rsid w:val="43EFE919"/>
    <w:rsid w:val="440B144C"/>
    <w:rsid w:val="442A959D"/>
    <w:rsid w:val="446C6463"/>
    <w:rsid w:val="448E756A"/>
    <w:rsid w:val="4496464A"/>
    <w:rsid w:val="45271659"/>
    <w:rsid w:val="4542D114"/>
    <w:rsid w:val="454693F2"/>
    <w:rsid w:val="458F62D0"/>
    <w:rsid w:val="4600A248"/>
    <w:rsid w:val="46684C4E"/>
    <w:rsid w:val="46701D2E"/>
    <w:rsid w:val="46D77E38"/>
    <w:rsid w:val="46E1FB74"/>
    <w:rsid w:val="47124724"/>
    <w:rsid w:val="47617841"/>
    <w:rsid w:val="47AE1DBA"/>
    <w:rsid w:val="4811C119"/>
    <w:rsid w:val="4835F1F6"/>
    <w:rsid w:val="4850477B"/>
    <w:rsid w:val="485A590D"/>
    <w:rsid w:val="4883B58A"/>
    <w:rsid w:val="488A6C67"/>
    <w:rsid w:val="48938C65"/>
    <w:rsid w:val="48AFAB84"/>
    <w:rsid w:val="48E63861"/>
    <w:rsid w:val="4903FB0D"/>
    <w:rsid w:val="4917FD5C"/>
    <w:rsid w:val="491A5A0A"/>
    <w:rsid w:val="49458D65"/>
    <w:rsid w:val="498A5CD1"/>
    <w:rsid w:val="49C3C5B3"/>
    <w:rsid w:val="49F651A7"/>
    <w:rsid w:val="4A6AAA04"/>
    <w:rsid w:val="4A887FA2"/>
    <w:rsid w:val="4AC17C6B"/>
    <w:rsid w:val="4ADBE591"/>
    <w:rsid w:val="4B0E8D1E"/>
    <w:rsid w:val="4B1B570F"/>
    <w:rsid w:val="4B35A35F"/>
    <w:rsid w:val="4B6BB04B"/>
    <w:rsid w:val="4B8418F7"/>
    <w:rsid w:val="4BA07DB2"/>
    <w:rsid w:val="4BD0BE9B"/>
    <w:rsid w:val="4BDAAF64"/>
    <w:rsid w:val="4BF05C7D"/>
    <w:rsid w:val="4CBBD5BF"/>
    <w:rsid w:val="4CE6F955"/>
    <w:rsid w:val="4CEBFB6A"/>
    <w:rsid w:val="4D2DCA30"/>
    <w:rsid w:val="4D5040D9"/>
    <w:rsid w:val="4D51F0BA"/>
    <w:rsid w:val="4D5D2EC9"/>
    <w:rsid w:val="4D5DEFDB"/>
    <w:rsid w:val="4D9FBEA1"/>
    <w:rsid w:val="4DB5AB28"/>
    <w:rsid w:val="4E1F5DC0"/>
    <w:rsid w:val="4E52A3F9"/>
    <w:rsid w:val="4E5DC2A6"/>
    <w:rsid w:val="4E7DDB13"/>
    <w:rsid w:val="4E8D5E0D"/>
    <w:rsid w:val="4E9579D2"/>
    <w:rsid w:val="4EA2B995"/>
    <w:rsid w:val="4EFED226"/>
    <w:rsid w:val="510388FF"/>
    <w:rsid w:val="51536C69"/>
    <w:rsid w:val="516C1AAC"/>
    <w:rsid w:val="51A66B6E"/>
    <w:rsid w:val="5213854E"/>
    <w:rsid w:val="52162534"/>
    <w:rsid w:val="52957E34"/>
    <w:rsid w:val="52B7B774"/>
    <w:rsid w:val="530041E1"/>
    <w:rsid w:val="53684F64"/>
    <w:rsid w:val="538B76CE"/>
    <w:rsid w:val="5397CA3B"/>
    <w:rsid w:val="53E954D1"/>
    <w:rsid w:val="53F901A1"/>
    <w:rsid w:val="544C31C7"/>
    <w:rsid w:val="546DC721"/>
    <w:rsid w:val="54CD37CA"/>
    <w:rsid w:val="54D6F486"/>
    <w:rsid w:val="54ED1C97"/>
    <w:rsid w:val="55428F08"/>
    <w:rsid w:val="55597599"/>
    <w:rsid w:val="558B42BC"/>
    <w:rsid w:val="55DEA6D8"/>
    <w:rsid w:val="560EB14E"/>
    <w:rsid w:val="56839B17"/>
    <w:rsid w:val="56A64E2E"/>
    <w:rsid w:val="56E83A39"/>
    <w:rsid w:val="56F29A30"/>
    <w:rsid w:val="57A620F9"/>
    <w:rsid w:val="57C74A29"/>
    <w:rsid w:val="585A7CA3"/>
    <w:rsid w:val="58A9F6A8"/>
    <w:rsid w:val="58DCC8BB"/>
    <w:rsid w:val="58E8D5CF"/>
    <w:rsid w:val="590F91AB"/>
    <w:rsid w:val="592EF921"/>
    <w:rsid w:val="59C22C45"/>
    <w:rsid w:val="5A08A31D"/>
    <w:rsid w:val="5A3E6B21"/>
    <w:rsid w:val="5A8BBF5B"/>
    <w:rsid w:val="5A94F0F6"/>
    <w:rsid w:val="5AB4DE89"/>
    <w:rsid w:val="5AC3ECE0"/>
    <w:rsid w:val="5AE816BE"/>
    <w:rsid w:val="5B183C69"/>
    <w:rsid w:val="5B41D554"/>
    <w:rsid w:val="5B65408F"/>
    <w:rsid w:val="5C3077E0"/>
    <w:rsid w:val="5C45B366"/>
    <w:rsid w:val="5C5D7562"/>
    <w:rsid w:val="5C720A38"/>
    <w:rsid w:val="5CC1EDA2"/>
    <w:rsid w:val="5CC98119"/>
    <w:rsid w:val="5CE13C22"/>
    <w:rsid w:val="5D116456"/>
    <w:rsid w:val="5D307D7C"/>
    <w:rsid w:val="5D36D5AC"/>
    <w:rsid w:val="5D5254A0"/>
    <w:rsid w:val="5D8DE742"/>
    <w:rsid w:val="5D985A53"/>
    <w:rsid w:val="5DEBF16F"/>
    <w:rsid w:val="5DED5ADE"/>
    <w:rsid w:val="5DED6ED0"/>
    <w:rsid w:val="5E11A16A"/>
    <w:rsid w:val="5E8E1584"/>
    <w:rsid w:val="5E9BC486"/>
    <w:rsid w:val="5EA6E99B"/>
    <w:rsid w:val="5EB095CA"/>
    <w:rsid w:val="5EC0EAF1"/>
    <w:rsid w:val="5ECD9190"/>
    <w:rsid w:val="5F356F35"/>
    <w:rsid w:val="5F366C1B"/>
    <w:rsid w:val="5F40AB00"/>
    <w:rsid w:val="5F7D3A05"/>
    <w:rsid w:val="5F9A2135"/>
    <w:rsid w:val="5FA650FB"/>
    <w:rsid w:val="5FB3FFFD"/>
    <w:rsid w:val="5FE43B7F"/>
    <w:rsid w:val="6011232A"/>
    <w:rsid w:val="60B31013"/>
    <w:rsid w:val="60C7D707"/>
    <w:rsid w:val="61184B08"/>
    <w:rsid w:val="6133EA65"/>
    <w:rsid w:val="61418ADF"/>
    <w:rsid w:val="6179AC1F"/>
    <w:rsid w:val="625155B8"/>
    <w:rsid w:val="62E4C016"/>
    <w:rsid w:val="634569D8"/>
    <w:rsid w:val="6367ADC5"/>
    <w:rsid w:val="638DAEDB"/>
    <w:rsid w:val="63918419"/>
    <w:rsid w:val="63AD6291"/>
    <w:rsid w:val="63B35A14"/>
    <w:rsid w:val="63C838AB"/>
    <w:rsid w:val="63E4A046"/>
    <w:rsid w:val="64339D3A"/>
    <w:rsid w:val="6516AC88"/>
    <w:rsid w:val="6530AD7E"/>
    <w:rsid w:val="6534B0DD"/>
    <w:rsid w:val="6583536F"/>
    <w:rsid w:val="6660A5F4"/>
    <w:rsid w:val="66790EA0"/>
    <w:rsid w:val="6686BDA2"/>
    <w:rsid w:val="66AC5675"/>
    <w:rsid w:val="6702FC7E"/>
    <w:rsid w:val="670A8462"/>
    <w:rsid w:val="670D46E9"/>
    <w:rsid w:val="6741FF20"/>
    <w:rsid w:val="676B19AE"/>
    <w:rsid w:val="67798F0E"/>
    <w:rsid w:val="677CABA4"/>
    <w:rsid w:val="67BE72B7"/>
    <w:rsid w:val="67E08B71"/>
    <w:rsid w:val="6819056B"/>
    <w:rsid w:val="6859F9AD"/>
    <w:rsid w:val="689EFEB5"/>
    <w:rsid w:val="68DCEC91"/>
    <w:rsid w:val="68E36F22"/>
    <w:rsid w:val="6906DB8C"/>
    <w:rsid w:val="691933FD"/>
    <w:rsid w:val="694A34FF"/>
    <w:rsid w:val="6952B84F"/>
    <w:rsid w:val="698E37E1"/>
    <w:rsid w:val="69A268E8"/>
    <w:rsid w:val="69BA6255"/>
    <w:rsid w:val="6A0F97A0"/>
    <w:rsid w:val="6A6EBE2A"/>
    <w:rsid w:val="6A91968D"/>
    <w:rsid w:val="6A930ED8"/>
    <w:rsid w:val="6ABDCC88"/>
    <w:rsid w:val="6B10995B"/>
    <w:rsid w:val="6B25C88F"/>
    <w:rsid w:val="6B7B2D82"/>
    <w:rsid w:val="6B7E79FB"/>
    <w:rsid w:val="6B7FA463"/>
    <w:rsid w:val="6BD5CB91"/>
    <w:rsid w:val="6BFFD3BB"/>
    <w:rsid w:val="6C170954"/>
    <w:rsid w:val="6C1D6AD6"/>
    <w:rsid w:val="6C486212"/>
    <w:rsid w:val="6C4D1C7B"/>
    <w:rsid w:val="6C5DE831"/>
    <w:rsid w:val="6C8D52A7"/>
    <w:rsid w:val="6CDD1271"/>
    <w:rsid w:val="6D3E1D43"/>
    <w:rsid w:val="6D4867AE"/>
    <w:rsid w:val="6D879BB9"/>
    <w:rsid w:val="6E295B38"/>
    <w:rsid w:val="6EA1F017"/>
    <w:rsid w:val="6EC542A3"/>
    <w:rsid w:val="6EC7DDEC"/>
    <w:rsid w:val="6F2CC56B"/>
    <w:rsid w:val="700DEBC6"/>
    <w:rsid w:val="70302F9E"/>
    <w:rsid w:val="70763487"/>
    <w:rsid w:val="70B005E2"/>
    <w:rsid w:val="70B69E02"/>
    <w:rsid w:val="70F8E251"/>
    <w:rsid w:val="7136FE68"/>
    <w:rsid w:val="714BD4CB"/>
    <w:rsid w:val="71CFD4D0"/>
    <w:rsid w:val="71E78FD9"/>
    <w:rsid w:val="71F4873F"/>
    <w:rsid w:val="721ED7C6"/>
    <w:rsid w:val="728E6A0C"/>
    <w:rsid w:val="729E20BD"/>
    <w:rsid w:val="729F0B6E"/>
    <w:rsid w:val="72C11988"/>
    <w:rsid w:val="72E81047"/>
    <w:rsid w:val="72EAFA0C"/>
    <w:rsid w:val="72F5F0B2"/>
    <w:rsid w:val="731BAB40"/>
    <w:rsid w:val="7356DD8A"/>
    <w:rsid w:val="73A5FEA5"/>
    <w:rsid w:val="73C166BD"/>
    <w:rsid w:val="742F59B6"/>
    <w:rsid w:val="7468266B"/>
    <w:rsid w:val="74B77BA1"/>
    <w:rsid w:val="74E437BB"/>
    <w:rsid w:val="74F72CC0"/>
    <w:rsid w:val="7541BC07"/>
    <w:rsid w:val="7544B57D"/>
    <w:rsid w:val="75935074"/>
    <w:rsid w:val="759846BB"/>
    <w:rsid w:val="75DD3F38"/>
    <w:rsid w:val="75EABB69"/>
    <w:rsid w:val="7608D38E"/>
    <w:rsid w:val="76286EE6"/>
    <w:rsid w:val="76860C57"/>
    <w:rsid w:val="769B106C"/>
    <w:rsid w:val="76A93B3C"/>
    <w:rsid w:val="76C2BDDC"/>
    <w:rsid w:val="76C373DB"/>
    <w:rsid w:val="76DD8CD5"/>
    <w:rsid w:val="76EE259C"/>
    <w:rsid w:val="76F77B61"/>
    <w:rsid w:val="77599DA3"/>
    <w:rsid w:val="77E62524"/>
    <w:rsid w:val="7828FE9D"/>
    <w:rsid w:val="78290A8D"/>
    <w:rsid w:val="78726CCA"/>
    <w:rsid w:val="789AFEFE"/>
    <w:rsid w:val="79266A48"/>
    <w:rsid w:val="79537EBA"/>
    <w:rsid w:val="7960C755"/>
    <w:rsid w:val="79703B01"/>
    <w:rsid w:val="7990BA2F"/>
    <w:rsid w:val="7991392D"/>
    <w:rsid w:val="79F43AF7"/>
    <w:rsid w:val="7A18ACAD"/>
    <w:rsid w:val="7A44B037"/>
    <w:rsid w:val="7A76A182"/>
    <w:rsid w:val="7A9E6ECD"/>
    <w:rsid w:val="7AB75847"/>
    <w:rsid w:val="7AF26C37"/>
    <w:rsid w:val="7B13C7D5"/>
    <w:rsid w:val="7B48D014"/>
    <w:rsid w:val="7B9CF595"/>
    <w:rsid w:val="7B9EB0D7"/>
    <w:rsid w:val="7BAC92AA"/>
    <w:rsid w:val="7BC9DAC2"/>
    <w:rsid w:val="7C00E1EE"/>
    <w:rsid w:val="7C10D819"/>
    <w:rsid w:val="7C1E871B"/>
    <w:rsid w:val="7C9B86A0"/>
    <w:rsid w:val="7CB9298E"/>
    <w:rsid w:val="7CC33F12"/>
    <w:rsid w:val="7D0C1E45"/>
    <w:rsid w:val="7D1E59E6"/>
    <w:rsid w:val="7D3176B8"/>
    <w:rsid w:val="7D4BBD0A"/>
    <w:rsid w:val="7D86698E"/>
    <w:rsid w:val="7DD0B357"/>
    <w:rsid w:val="7E07D0DB"/>
    <w:rsid w:val="7E3A2CC5"/>
    <w:rsid w:val="7E5CA36E"/>
    <w:rsid w:val="7E6A5270"/>
    <w:rsid w:val="7EC09157"/>
    <w:rsid w:val="7F154947"/>
    <w:rsid w:val="7F197F17"/>
    <w:rsid w:val="7F38BB70"/>
    <w:rsid w:val="7F817D39"/>
    <w:rsid w:val="7FA01E42"/>
    <w:rsid w:val="7FC5DDF3"/>
    <w:rsid w:val="7FEEA7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BA659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BE737E"/>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5119BB"/>
    <w:pPr>
      <w:keepNext/>
      <w:keepLines/>
      <w:spacing w:after="0"/>
      <w:outlineLvl w:val="1"/>
    </w:pPr>
    <w:rPr>
      <w:rFonts w:ascii="Calibri" w:eastAsiaTheme="majorEastAsia" w:hAnsi="Calibri" w:cstheme="majorBidi"/>
      <w:b/>
      <w:color w:val="F26322"/>
      <w:sz w:val="26"/>
      <w:szCs w:val="26"/>
    </w:rPr>
  </w:style>
  <w:style w:type="paragraph" w:styleId="Heading3">
    <w:name w:val="heading 3"/>
    <w:basedOn w:val="Normal"/>
    <w:next w:val="Normal"/>
    <w:link w:val="Heading3Char"/>
    <w:uiPriority w:val="9"/>
    <w:unhideWhenUsed/>
    <w:qFormat/>
    <w:rsid w:val="00597EC6"/>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597EC6"/>
    <w:pPr>
      <w:numPr>
        <w:ilvl w:val="1"/>
      </w:numPr>
      <w:spacing w:after="0"/>
    </w:pPr>
    <w:rPr>
      <w:rFonts w:ascii="Calibri" w:eastAsiaTheme="minorEastAsia" w:hAnsi="Calibri"/>
      <w:color w:val="F26322"/>
      <w:spacing w:val="15"/>
      <w:sz w:val="40"/>
    </w:rPr>
  </w:style>
  <w:style w:type="character" w:customStyle="1" w:styleId="SubtitleChar">
    <w:name w:val="Subtitle Char"/>
    <w:basedOn w:val="DefaultParagraphFont"/>
    <w:link w:val="Subtitle"/>
    <w:uiPriority w:val="8"/>
    <w:rsid w:val="00597EC6"/>
    <w:rPr>
      <w:rFonts w:ascii="Calibri" w:eastAsiaTheme="minorEastAsia" w:hAnsi="Calibri"/>
      <w:color w:val="F26322"/>
      <w:spacing w:val="15"/>
      <w:sz w:val="40"/>
    </w:rPr>
  </w:style>
  <w:style w:type="character" w:customStyle="1" w:styleId="Heading1Char">
    <w:name w:val="Heading 1 Char"/>
    <w:basedOn w:val="DefaultParagraphFont"/>
    <w:link w:val="Heading1"/>
    <w:uiPriority w:val="9"/>
    <w:rsid w:val="00BE737E"/>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5119BB"/>
    <w:rPr>
      <w:rFonts w:ascii="Calibri" w:eastAsiaTheme="majorEastAsia" w:hAnsi="Calibri" w:cstheme="majorBidi"/>
      <w:b/>
      <w:color w:val="F26322"/>
      <w:sz w:val="26"/>
      <w:szCs w:val="26"/>
    </w:rPr>
  </w:style>
  <w:style w:type="character" w:customStyle="1" w:styleId="Heading3Char">
    <w:name w:val="Heading 3 Char"/>
    <w:basedOn w:val="DefaultParagraphFont"/>
    <w:link w:val="Heading3"/>
    <w:uiPriority w:val="9"/>
    <w:rsid w:val="00597EC6"/>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9A7E3C"/>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BE737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aliases w:val="0Bullet,Bullets,CV text,Dot pt,F5 List Paragraph,L,List Paragraph1,List Paragraph11,List Paragraph111,List Paragraph2,Main numbered paragraph,Medium Grid 1 - Accent 21,Numbered List Paragraph,Numbered Paragraph,Recommendation,Table text"/>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2"/>
      </w:numPr>
    </w:pPr>
  </w:style>
  <w:style w:type="paragraph" w:styleId="ListBullet">
    <w:name w:val="List Bullet"/>
    <w:basedOn w:val="ListParagraph"/>
    <w:uiPriority w:val="99"/>
    <w:unhideWhenUsed/>
    <w:qFormat/>
    <w:rsid w:val="00A56FC7"/>
    <w:pPr>
      <w:numPr>
        <w:numId w:val="13"/>
      </w:numPr>
    </w:pPr>
  </w:style>
  <w:style w:type="paragraph" w:styleId="List">
    <w:name w:val="List"/>
    <w:basedOn w:val="ListBullet"/>
    <w:uiPriority w:val="99"/>
    <w:unhideWhenUsed/>
    <w:qFormat/>
    <w:rsid w:val="00A56FC7"/>
    <w:pPr>
      <w:numPr>
        <w:numId w:val="14"/>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520469"/>
    <w:pPr>
      <w:tabs>
        <w:tab w:val="right" w:leader="dot" w:pos="13892"/>
      </w:tabs>
      <w:spacing w:after="100"/>
    </w:pPr>
    <w:rPr>
      <w:b/>
      <w:noProof/>
    </w:rPr>
  </w:style>
  <w:style w:type="paragraph" w:styleId="TOC2">
    <w:name w:val="toc 2"/>
    <w:basedOn w:val="Normal"/>
    <w:next w:val="Normal"/>
    <w:autoRedefine/>
    <w:uiPriority w:val="39"/>
    <w:unhideWhenUsed/>
    <w:rsid w:val="00520469"/>
    <w:pPr>
      <w:tabs>
        <w:tab w:val="right" w:leader="dot" w:pos="13892"/>
      </w:tabs>
      <w:spacing w:after="100"/>
      <w:ind w:left="220"/>
    </w:pPr>
  </w:style>
  <w:style w:type="paragraph" w:styleId="TOC3">
    <w:name w:val="toc 3"/>
    <w:basedOn w:val="Normal"/>
    <w:next w:val="Normal"/>
    <w:autoRedefine/>
    <w:uiPriority w:val="39"/>
    <w:unhideWhenUsed/>
    <w:rsid w:val="00520469"/>
    <w:pPr>
      <w:tabs>
        <w:tab w:val="right" w:leader="dot" w:pos="13892"/>
      </w:tabs>
      <w:spacing w:after="100"/>
      <w:ind w:left="442"/>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5"/>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customStyle="1" w:styleId="UnresolvedMention2">
    <w:name w:val="Unresolved Mention2"/>
    <w:basedOn w:val="DefaultParagraphFont"/>
    <w:uiPriority w:val="99"/>
    <w:semiHidden/>
    <w:unhideWhenUsed/>
    <w:rsid w:val="00155022"/>
    <w:rPr>
      <w:color w:val="605E5C"/>
      <w:shd w:val="clear" w:color="auto" w:fill="E1DFDD"/>
    </w:rPr>
  </w:style>
  <w:style w:type="character" w:styleId="Emphasis">
    <w:name w:val="Emphasis"/>
    <w:basedOn w:val="DefaultParagraphFont"/>
    <w:uiPriority w:val="20"/>
    <w:qFormat/>
    <w:rsid w:val="00E8261A"/>
    <w:rPr>
      <w:i/>
      <w:iCs/>
    </w:rPr>
  </w:style>
  <w:style w:type="character" w:styleId="CommentReference">
    <w:name w:val="annotation reference"/>
    <w:basedOn w:val="DefaultParagraphFont"/>
    <w:uiPriority w:val="99"/>
    <w:semiHidden/>
    <w:unhideWhenUsed/>
    <w:rsid w:val="00E25AF0"/>
    <w:rPr>
      <w:sz w:val="16"/>
      <w:szCs w:val="16"/>
    </w:rPr>
  </w:style>
  <w:style w:type="paragraph" w:styleId="CommentText">
    <w:name w:val="annotation text"/>
    <w:basedOn w:val="Normal"/>
    <w:link w:val="CommentTextChar"/>
    <w:uiPriority w:val="99"/>
    <w:semiHidden/>
    <w:unhideWhenUsed/>
    <w:rsid w:val="00E25AF0"/>
    <w:pPr>
      <w:spacing w:line="240" w:lineRule="auto"/>
    </w:pPr>
    <w:rPr>
      <w:sz w:val="20"/>
      <w:szCs w:val="20"/>
    </w:rPr>
  </w:style>
  <w:style w:type="character" w:customStyle="1" w:styleId="CommentTextChar">
    <w:name w:val="Comment Text Char"/>
    <w:basedOn w:val="DefaultParagraphFont"/>
    <w:link w:val="CommentText"/>
    <w:uiPriority w:val="99"/>
    <w:semiHidden/>
    <w:rsid w:val="00E25AF0"/>
    <w:rPr>
      <w:sz w:val="20"/>
      <w:szCs w:val="20"/>
    </w:rPr>
  </w:style>
  <w:style w:type="paragraph" w:styleId="CommentSubject">
    <w:name w:val="annotation subject"/>
    <w:basedOn w:val="CommentText"/>
    <w:next w:val="CommentText"/>
    <w:link w:val="CommentSubjectChar"/>
    <w:uiPriority w:val="99"/>
    <w:semiHidden/>
    <w:unhideWhenUsed/>
    <w:rsid w:val="00E25AF0"/>
    <w:rPr>
      <w:b/>
      <w:bCs/>
    </w:rPr>
  </w:style>
  <w:style w:type="character" w:customStyle="1" w:styleId="CommentSubjectChar">
    <w:name w:val="Comment Subject Char"/>
    <w:basedOn w:val="CommentTextChar"/>
    <w:link w:val="CommentSubject"/>
    <w:uiPriority w:val="99"/>
    <w:semiHidden/>
    <w:rsid w:val="00E25AF0"/>
    <w:rPr>
      <w:b/>
      <w:bCs/>
      <w:sz w:val="20"/>
      <w:szCs w:val="20"/>
    </w:rPr>
  </w:style>
  <w:style w:type="character" w:customStyle="1" w:styleId="ListParagraphChar">
    <w:name w:val="List Paragraph Char"/>
    <w:aliases w:val="0Bullet Char,Bullets Char,CV text Char,Dot pt Char,F5 List Paragraph Char,L Char,List Paragraph1 Char,List Paragraph11 Char,List Paragraph111 Char,List Paragraph2 Char,Main numbered paragraph Char,Medium Grid 1 - Accent 21 Char"/>
    <w:link w:val="ListParagraph"/>
    <w:uiPriority w:val="34"/>
    <w:rsid w:val="00D33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CC5B5E.C6C84990"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A0441C096E0BF41BD72C8E97EED96C2" ma:contentTypeVersion="" ma:contentTypeDescription="PDMS Document Site Content Type" ma:contentTypeScope="" ma:versionID="af45807213b189b95d6d9e5c96c0c299">
  <xsd:schema xmlns:xsd="http://www.w3.org/2001/XMLSchema" xmlns:xs="http://www.w3.org/2001/XMLSchema" xmlns:p="http://schemas.microsoft.com/office/2006/metadata/properties" xmlns:ns2="5395D207-2F0D-4825-8F93-02EAB6F2A352" targetNamespace="http://schemas.microsoft.com/office/2006/metadata/properties" ma:root="true" ma:fieldsID="51b4bee553eb47f7f362bcd6c9b6de30" ns2:_="">
    <xsd:import namespace="5395D207-2F0D-4825-8F93-02EAB6F2A3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5D207-2F0D-4825-8F93-02EAB6F2A3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395D207-2F0D-4825-8F93-02EAB6F2A3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621BCB-677C-4758-90D6-87C6FF4D90DB}">
  <ds:schemaRefs>
    <ds:schemaRef ds:uri="http://schemas.openxmlformats.org/officeDocument/2006/bibliography"/>
  </ds:schemaRefs>
</ds:datastoreItem>
</file>

<file path=customXml/itemProps2.xml><?xml version="1.0" encoding="utf-8"?>
<ds:datastoreItem xmlns:ds="http://schemas.openxmlformats.org/officeDocument/2006/customXml" ds:itemID="{3DDD672E-D2E9-483C-B6A1-1E1409E9D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5D207-2F0D-4825-8F93-02EAB6F2A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D6226-3EAF-46C5-B0F2-A2410F074527}">
  <ds:schemaRefs>
    <ds:schemaRef ds:uri="http://purl.org/dc/terms/"/>
    <ds:schemaRef ds:uri="http://schemas.openxmlformats.org/package/2006/metadata/core-properties"/>
    <ds:schemaRef ds:uri="5395D207-2F0D-4825-8F93-02EAB6F2A3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DESE Report</vt:lpstr>
    </vt:vector>
  </TitlesOfParts>
  <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Report</dc:title>
  <dc:subject/>
  <dc:creator/>
  <cp:keywords/>
  <dc:description/>
  <cp:lastModifiedBy/>
  <cp:revision>1</cp:revision>
  <dcterms:created xsi:type="dcterms:W3CDTF">2023-02-15T05:54:00Z</dcterms:created>
  <dcterms:modified xsi:type="dcterms:W3CDTF">2023-02-16T05:06:00Z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0x010100266966F133664895A6EE3632470D45F5008A0441C096E0BF41BD72C8E97EED96C2</vt:lpwstr>
  </property>
  <property fmtid="{D5CDD505-2E9C-101B-9397-08002B2CF9AE}" pid="3" name="MSIP_Label_79d889eb-932f-4752-8739-64d25806ef64_SetDate">
    <vt:lpwstr>2022-12-07T05:25:03Z</vt:lpwstr>
  </property>
  <property fmtid="{D5CDD505-2E9C-101B-9397-08002B2CF9AE}" pid="4" name="MSIP_Label_79d889eb-932f-4752-8739-64d25806ef64_Method">
    <vt:lpwstr>Privileged</vt:lpwstr>
  </property>
  <property fmtid="{D5CDD505-2E9C-101B-9397-08002B2CF9AE}" pid="5" name="MSIP_Label_79d889eb-932f-4752-8739-64d25806ef64_SiteId">
    <vt:lpwstr>dd0cfd15-4558-4b12-8bad-ea26984fc417</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Enabled">
    <vt:lpwstr>true</vt:lpwstr>
  </property>
  <property fmtid="{D5CDD505-2E9C-101B-9397-08002B2CF9AE}" pid="8" name="MSIP_Label_79d889eb-932f-4752-8739-64d25806ef64_ActionId">
    <vt:lpwstr>a9bd14ac-76d8-43bb-a278-d9c828d703bb</vt:lpwstr>
  </property>
  <property fmtid="{D5CDD505-2E9C-101B-9397-08002B2CF9AE}" pid="9" name="MSIP_Label_79d889eb-932f-4752-8739-64d25806ef64_ContentBits">
    <vt:lpwstr>0</vt:lpwstr>
  </property>
</Properties>
</file>