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4.xml" ContentType="application/vnd.openxmlformats-officedocument.wordprocessingml.footer+xml"/>
  <Override PartName="/word/charts/chart21.xml" ContentType="application/vnd.openxmlformats-officedocument.drawingml.chart+xml"/>
  <Override PartName="/word/theme/themeOverride1.xml" ContentType="application/vnd.openxmlformats-officedocument.themeOverride+xml"/>
  <Override PartName="/word/charts/chart2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DA" w:rsidRDefault="00F03389" w:rsidP="00010883">
      <w:pPr>
        <w:spacing w:after="200"/>
        <w:rPr>
          <w:rFonts w:cs="Calibri"/>
        </w:rPr>
        <w:sectPr w:rsidR="00DD13DA" w:rsidSect="00944C3F">
          <w:headerReference w:type="even" r:id="rId9"/>
          <w:footerReference w:type="even" r:id="rId10"/>
          <w:footerReference w:type="default" r:id="rId11"/>
          <w:pgSz w:w="11906" w:h="16838"/>
          <w:pgMar w:top="1440" w:right="1440" w:bottom="1440" w:left="1440" w:header="708" w:footer="708" w:gutter="0"/>
          <w:cols w:space="708"/>
          <w:docGrid w:linePitch="360"/>
        </w:sectPr>
      </w:pPr>
      <w:r>
        <w:rPr>
          <w:rFonts w:cs="Calibri"/>
          <w:noProof/>
          <w:lang w:eastAsia="en-AU"/>
        </w:rPr>
        <mc:AlternateContent>
          <mc:Choice Requires="wps">
            <w:drawing>
              <wp:anchor distT="0" distB="0" distL="114300" distR="114300" simplePos="0" relativeHeight="251658240" behindDoc="0" locked="0" layoutInCell="1" allowOverlap="1" wp14:anchorId="4E38CFBD" wp14:editId="748676A6">
                <wp:simplePos x="0" y="0"/>
                <wp:positionH relativeFrom="column">
                  <wp:posOffset>1714500</wp:posOffset>
                </wp:positionH>
                <wp:positionV relativeFrom="paragraph">
                  <wp:posOffset>3038475</wp:posOffset>
                </wp:positionV>
                <wp:extent cx="2343150" cy="1571625"/>
                <wp:effectExtent l="19050" t="1905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1571625"/>
                        </a:xfrm>
                        <a:prstGeom prst="rect">
                          <a:avLst/>
                        </a:prstGeom>
                        <a:solidFill>
                          <a:srgbClr val="FFFFFF"/>
                        </a:solidFill>
                        <a:ln w="38100">
                          <a:solidFill>
                            <a:srgbClr val="004270"/>
                          </a:solidFill>
                          <a:miter lim="800000"/>
                          <a:headEnd/>
                          <a:tailEnd/>
                        </a:ln>
                      </wps:spPr>
                      <wps:txbx>
                        <w:txbxContent>
                          <w:p w:rsidR="001B1DFA" w:rsidRDefault="001B1DFA" w:rsidP="0040278E">
                            <w:pPr>
                              <w:jc w:val="center"/>
                              <w:rPr>
                                <w:noProof/>
                                <w:lang w:eastAsia="en-AU"/>
                              </w:rPr>
                            </w:pPr>
                          </w:p>
                          <w:p w:rsidR="001B1DFA" w:rsidRDefault="001B1DFA" w:rsidP="0040278E">
                            <w:pPr>
                              <w:jc w:val="center"/>
                            </w:pPr>
                            <w:r>
                              <w:rPr>
                                <w:noProof/>
                                <w:lang w:eastAsia="en-AU"/>
                              </w:rPr>
                              <w:drawing>
                                <wp:inline distT="0" distB="0" distL="0" distR="0" wp14:anchorId="4E5E8775" wp14:editId="1B7F609C">
                                  <wp:extent cx="1626870" cy="1042035"/>
                                  <wp:effectExtent l="0" t="0" r="0" b="0"/>
                                  <wp:docPr id="1" name="Picture 1" descr="Youth Attainment and Transi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Attainment and Transition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870" cy="10420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pt;margin-top:239.25pt;width:18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" strokecolor="#004270" strokeweight="3pt">
                <v:textbox>
                  <w:txbxContent>
                    <w:p w:rsidR="001B1DFA" w:rsidRDefault="001B1DFA" w:rsidP="0040278E">
                      <w:pPr>
                        <w:jc w:val="center"/>
                        <w:rPr>
                          <w:noProof/>
                          <w:lang w:eastAsia="en-AU"/>
                        </w:rPr>
                      </w:pPr>
                    </w:p>
                    <w:p w:rsidR="001B1DFA" w:rsidRDefault="001B1DFA" w:rsidP="0040278E">
                      <w:pPr>
                        <w:jc w:val="center"/>
                      </w:pPr>
                      <w:r>
                        <w:rPr>
                          <w:noProof/>
                          <w:lang w:eastAsia="en-AU"/>
                        </w:rPr>
                        <w:drawing>
                          <wp:inline distT="0" distB="0" distL="0" distR="0" wp14:anchorId="4E5E8775" wp14:editId="1B7F609C">
                            <wp:extent cx="1626870" cy="1042035"/>
                            <wp:effectExtent l="0" t="0" r="0" b="0"/>
                            <wp:docPr id="1" name="Picture 1" descr="Youth Attainment and Transi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 Attainment and Transitions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6870" cy="1042035"/>
                                    </a:xfrm>
                                    <a:prstGeom prst="rect">
                                      <a:avLst/>
                                    </a:prstGeom>
                                    <a:noFill/>
                                    <a:ln>
                                      <a:noFill/>
                                    </a:ln>
                                  </pic:spPr>
                                </pic:pic>
                              </a:graphicData>
                            </a:graphic>
                          </wp:inline>
                        </w:drawing>
                      </w:r>
                    </w:p>
                  </w:txbxContent>
                </v:textbox>
              </v:rect>
            </w:pict>
          </mc:Fallback>
        </mc:AlternateContent>
      </w:r>
      <w:r>
        <w:rPr>
          <w:rFonts w:cs="Calibri"/>
          <w:noProof/>
          <w:lang w:eastAsia="en-AU"/>
        </w:rPr>
        <mc:AlternateContent>
          <mc:Choice Requires="wps">
            <w:drawing>
              <wp:anchor distT="0" distB="0" distL="114300" distR="114300" simplePos="0" relativeHeight="251657216" behindDoc="0" locked="0" layoutInCell="1" allowOverlap="1" wp14:anchorId="6582BB35" wp14:editId="6354D8A9">
                <wp:simplePos x="0" y="0"/>
                <wp:positionH relativeFrom="column">
                  <wp:posOffset>0</wp:posOffset>
                </wp:positionH>
                <wp:positionV relativeFrom="paragraph">
                  <wp:posOffset>0</wp:posOffset>
                </wp:positionV>
                <wp:extent cx="5715000" cy="8801100"/>
                <wp:effectExtent l="9525" t="9525" r="9525" b="9525"/>
                <wp:wrapNone/>
                <wp:docPr id="2" name="Rectangle 6" descr="NATIONAL PARTNERSHIP ON YOUTH ATTAINMENT AND TRANSITIONS&#10;&#10;-STATE-&#10;&#10;ANNUAL REPORT&#10;MAY 2012&#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801100"/>
                        </a:xfrm>
                        <a:prstGeom prst="rect">
                          <a:avLst/>
                        </a:prstGeom>
                        <a:solidFill>
                          <a:srgbClr val="EEECE1"/>
                        </a:solidFill>
                        <a:ln w="9525">
                          <a:solidFill>
                            <a:srgbClr val="004270"/>
                          </a:solidFill>
                          <a:miter lim="800000"/>
                          <a:headEnd/>
                          <a:tailEnd/>
                        </a:ln>
                      </wps:spPr>
                      <wps:txbx>
                        <w:txbxContent>
                          <w:p w:rsidR="001B1DFA" w:rsidRDefault="001B1DFA" w:rsidP="0040278E">
                            <w:pPr>
                              <w:pStyle w:val="Titlepage"/>
                            </w:pPr>
                          </w:p>
                          <w:p w:rsidR="001B1DFA" w:rsidRPr="00135133" w:rsidRDefault="001B1DFA" w:rsidP="0040278E">
                            <w:pPr>
                              <w:pStyle w:val="Titlepage"/>
                            </w:pPr>
                          </w:p>
                          <w:p w:rsidR="001B1DFA" w:rsidRPr="00135133" w:rsidRDefault="001B1DFA" w:rsidP="0040278E">
                            <w:pPr>
                              <w:pStyle w:val="Titlepage"/>
                            </w:pPr>
                            <w:r w:rsidRPr="00135133">
                              <w:t>NATIONAL PARTNERSHIP ON YOUTH ATTAINMENT AND TRANSITIONS</w:t>
                            </w: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Pr="00135133" w:rsidRDefault="001B1DFA" w:rsidP="0040278E">
                            <w:pPr>
                              <w:pStyle w:val="Titlepage"/>
                            </w:pPr>
                          </w:p>
                          <w:p w:rsidR="001B1DFA" w:rsidRPr="00D43B11" w:rsidRDefault="001B1DFA" w:rsidP="0040278E">
                            <w:pPr>
                              <w:pStyle w:val="Titlepage"/>
                              <w:rPr>
                                <w:color w:val="FF0000"/>
                              </w:rPr>
                            </w:pPr>
                            <w:r>
                              <w:rPr>
                                <w:color w:val="FF0000"/>
                              </w:rPr>
                              <w:t>Queensland</w:t>
                            </w:r>
                          </w:p>
                          <w:p w:rsidR="001B1DFA" w:rsidRPr="003A1F78" w:rsidRDefault="001B1DFA" w:rsidP="0040278E">
                            <w:pPr>
                              <w:pStyle w:val="Titlepage"/>
                              <w:rPr>
                                <w:lang w:val="en-AU"/>
                              </w:rPr>
                            </w:pPr>
                          </w:p>
                          <w:p w:rsidR="003A1F78" w:rsidRDefault="003A1F78" w:rsidP="003A1F78">
                            <w:pPr>
                              <w:pStyle w:val="Titlepage"/>
                              <w:spacing w:after="120"/>
                              <w:rPr>
                                <w:lang w:val="en-AU"/>
                              </w:rPr>
                            </w:pPr>
                            <w:r>
                              <w:t>2011</w:t>
                            </w:r>
                          </w:p>
                          <w:p w:rsidR="001B1DFA" w:rsidRPr="00135133" w:rsidRDefault="001B1DFA" w:rsidP="003A1F78">
                            <w:pPr>
                              <w:pStyle w:val="Titlepage"/>
                              <w:spacing w:after="120"/>
                            </w:pPr>
                            <w:r w:rsidRPr="00135133">
                              <w:t>ANNUAL REPORT</w:t>
                            </w:r>
                          </w:p>
                          <w:p w:rsidR="001B1DFA" w:rsidRPr="003A1F78" w:rsidRDefault="003A1F78" w:rsidP="003A1F78">
                            <w:pPr>
                              <w:pStyle w:val="Titlepage"/>
                              <w:spacing w:after="120"/>
                              <w:rPr>
                                <w:sz w:val="32"/>
                                <w:lang w:val="en-AU"/>
                              </w:rPr>
                            </w:pPr>
                            <w:r w:rsidRPr="003A1F78">
                              <w:rPr>
                                <w:sz w:val="32"/>
                                <w:lang w:val="en-AU"/>
                              </w:rPr>
                              <w:t xml:space="preserve">(Submitted </w:t>
                            </w:r>
                            <w:r w:rsidRPr="003A1F78">
                              <w:rPr>
                                <w:sz w:val="32"/>
                              </w:rPr>
                              <w:t>M</w:t>
                            </w:r>
                            <w:r w:rsidRPr="003A1F78">
                              <w:rPr>
                                <w:sz w:val="32"/>
                                <w:lang w:val="en-AU"/>
                              </w:rPr>
                              <w:t>ay</w:t>
                            </w:r>
                            <w:r w:rsidR="001B1DFA" w:rsidRPr="003A1F78">
                              <w:rPr>
                                <w:sz w:val="32"/>
                              </w:rPr>
                              <w:t xml:space="preserve"> 2012</w:t>
                            </w:r>
                            <w:r w:rsidRPr="003A1F78">
                              <w:rPr>
                                <w:sz w:val="32"/>
                                <w:lang w:val="en-AU"/>
                              </w:rPr>
                              <w:t>)</w:t>
                            </w:r>
                          </w:p>
                          <w:p w:rsidR="001B1DFA" w:rsidRPr="00135133" w:rsidRDefault="001B1DFA" w:rsidP="0040278E">
                            <w:pPr>
                              <w:pStyle w:val="Titlepage"/>
                            </w:pPr>
                          </w:p>
                          <w:p w:rsidR="001B1DFA" w:rsidRPr="00135133" w:rsidRDefault="001B1DFA" w:rsidP="0040278E">
                            <w:pPr>
                              <w:pStyle w:val="Titlepa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alt="NATIONAL PARTNERSHIP ON YOUTH ATTAINMENT AND TRANSITIONS&#10;&#10;-STATE-&#10;&#10;ANNUAL REPORT&#10;MAY 2012&#10;&#10;&#10;" style="position:absolute;margin-left:0;margin-top:0;width:450pt;height:6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" fillcolor="#eeece1" strokecolor="#004270">
                <v:textbox>
                  <w:txbxContent>
                    <w:p w:rsidR="001B1DFA" w:rsidRDefault="001B1DFA" w:rsidP="0040278E">
                      <w:pPr>
                        <w:pStyle w:val="Titlepage"/>
                      </w:pPr>
                    </w:p>
                    <w:p w:rsidR="001B1DFA" w:rsidRPr="00135133" w:rsidRDefault="001B1DFA" w:rsidP="0040278E">
                      <w:pPr>
                        <w:pStyle w:val="Titlepage"/>
                      </w:pPr>
                    </w:p>
                    <w:p w:rsidR="001B1DFA" w:rsidRPr="00135133" w:rsidRDefault="001B1DFA" w:rsidP="0040278E">
                      <w:pPr>
                        <w:pStyle w:val="Titlepage"/>
                      </w:pPr>
                      <w:r w:rsidRPr="00135133">
                        <w:t>NATIONAL PARTNERSHIP ON YOUTH ATTAINMENT AND TRANSITIONS</w:t>
                      </w: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Default="001B1DFA" w:rsidP="0040278E">
                      <w:pPr>
                        <w:pStyle w:val="Titlepage"/>
                      </w:pPr>
                    </w:p>
                    <w:p w:rsidR="001B1DFA" w:rsidRPr="00135133" w:rsidRDefault="001B1DFA" w:rsidP="0040278E">
                      <w:pPr>
                        <w:pStyle w:val="Titlepage"/>
                      </w:pPr>
                    </w:p>
                    <w:p w:rsidR="001B1DFA" w:rsidRPr="00D43B11" w:rsidRDefault="001B1DFA" w:rsidP="0040278E">
                      <w:pPr>
                        <w:pStyle w:val="Titlepage"/>
                        <w:rPr>
                          <w:color w:val="FF0000"/>
                        </w:rPr>
                      </w:pPr>
                      <w:r>
                        <w:rPr>
                          <w:color w:val="FF0000"/>
                        </w:rPr>
                        <w:t>Queensland</w:t>
                      </w:r>
                    </w:p>
                    <w:p w:rsidR="001B1DFA" w:rsidRPr="003A1F78" w:rsidRDefault="001B1DFA" w:rsidP="0040278E">
                      <w:pPr>
                        <w:pStyle w:val="Titlepage"/>
                        <w:rPr>
                          <w:lang w:val="en-AU"/>
                        </w:rPr>
                      </w:pPr>
                    </w:p>
                    <w:p w:rsidR="003A1F78" w:rsidRDefault="003A1F78" w:rsidP="003A1F78">
                      <w:pPr>
                        <w:pStyle w:val="Titlepage"/>
                        <w:spacing w:after="120"/>
                        <w:rPr>
                          <w:lang w:val="en-AU"/>
                        </w:rPr>
                      </w:pPr>
                      <w:r>
                        <w:t>2011</w:t>
                      </w:r>
                    </w:p>
                    <w:p w:rsidR="001B1DFA" w:rsidRPr="00135133" w:rsidRDefault="001B1DFA" w:rsidP="003A1F78">
                      <w:pPr>
                        <w:pStyle w:val="Titlepage"/>
                        <w:spacing w:after="120"/>
                      </w:pPr>
                      <w:r w:rsidRPr="00135133">
                        <w:t>ANNUAL REPORT</w:t>
                      </w:r>
                    </w:p>
                    <w:p w:rsidR="001B1DFA" w:rsidRPr="003A1F78" w:rsidRDefault="003A1F78" w:rsidP="003A1F78">
                      <w:pPr>
                        <w:pStyle w:val="Titlepage"/>
                        <w:spacing w:after="120"/>
                        <w:rPr>
                          <w:sz w:val="32"/>
                          <w:lang w:val="en-AU"/>
                        </w:rPr>
                      </w:pPr>
                      <w:r w:rsidRPr="003A1F78">
                        <w:rPr>
                          <w:sz w:val="32"/>
                          <w:lang w:val="en-AU"/>
                        </w:rPr>
                        <w:t xml:space="preserve">(Submitted </w:t>
                      </w:r>
                      <w:r w:rsidRPr="003A1F78">
                        <w:rPr>
                          <w:sz w:val="32"/>
                        </w:rPr>
                        <w:t>M</w:t>
                      </w:r>
                      <w:r w:rsidRPr="003A1F78">
                        <w:rPr>
                          <w:sz w:val="32"/>
                          <w:lang w:val="en-AU"/>
                        </w:rPr>
                        <w:t>ay</w:t>
                      </w:r>
                      <w:r w:rsidR="001B1DFA" w:rsidRPr="003A1F78">
                        <w:rPr>
                          <w:sz w:val="32"/>
                        </w:rPr>
                        <w:t xml:space="preserve"> 2012</w:t>
                      </w:r>
                      <w:r w:rsidRPr="003A1F78">
                        <w:rPr>
                          <w:sz w:val="32"/>
                          <w:lang w:val="en-AU"/>
                        </w:rPr>
                        <w:t>)</w:t>
                      </w:r>
                      <w:bookmarkStart w:id="1" w:name="_GoBack"/>
                      <w:bookmarkEnd w:id="1"/>
                    </w:p>
                    <w:p w:rsidR="001B1DFA" w:rsidRPr="00135133" w:rsidRDefault="001B1DFA" w:rsidP="0040278E">
                      <w:pPr>
                        <w:pStyle w:val="Titlepage"/>
                      </w:pPr>
                    </w:p>
                    <w:p w:rsidR="001B1DFA" w:rsidRPr="00135133" w:rsidRDefault="001B1DFA" w:rsidP="0040278E">
                      <w:pPr>
                        <w:pStyle w:val="Titlepage"/>
                      </w:pPr>
                    </w:p>
                  </w:txbxContent>
                </v:textbox>
              </v:rect>
            </w:pict>
          </mc:Fallback>
        </mc:AlternateContent>
      </w:r>
    </w:p>
    <w:p w:rsidR="00DD13DA" w:rsidRDefault="00DD13DA" w:rsidP="00010883">
      <w:pPr>
        <w:spacing w:after="200"/>
        <w:rPr>
          <w:rFonts w:cs="Calibri"/>
        </w:rPr>
      </w:pPr>
    </w:p>
    <w:p w:rsidR="00DD13DA" w:rsidRDefault="00DD13DA" w:rsidP="00010883">
      <w:pPr>
        <w:spacing w:after="200"/>
        <w:rPr>
          <w:rFonts w:cs="Calibri"/>
        </w:rPr>
        <w:sectPr w:rsidR="00DD13DA" w:rsidSect="00DD13DA">
          <w:type w:val="continuous"/>
          <w:pgSz w:w="11906" w:h="16838"/>
          <w:pgMar w:top="1440" w:right="1440" w:bottom="1440" w:left="1440" w:header="708" w:footer="708" w:gutter="0"/>
          <w:cols w:space="708"/>
          <w:docGrid w:linePitch="360"/>
        </w:sectPr>
      </w:pPr>
    </w:p>
    <w:p w:rsidR="0040278E" w:rsidRPr="00F33BD9" w:rsidRDefault="0040278E" w:rsidP="007D62DD">
      <w:pPr>
        <w:pStyle w:val="TOCHeading"/>
      </w:pPr>
      <w:r w:rsidRPr="007D62DD">
        <w:lastRenderedPageBreak/>
        <w:t>Contents</w:t>
      </w:r>
    </w:p>
    <w:p w:rsidR="002D6AF1" w:rsidRDefault="002D6AF1" w:rsidP="007B55B3">
      <w:pPr>
        <w:pStyle w:val="BodyText2"/>
        <w:tabs>
          <w:tab w:val="right" w:leader="dot" w:pos="9180"/>
          <w:tab w:val="left" w:pos="9214"/>
        </w:tabs>
      </w:pPr>
    </w:p>
    <w:p w:rsidR="005D15BD" w:rsidRDefault="001B7A68">
      <w:pPr>
        <w:pStyle w:val="TOC1"/>
        <w:tabs>
          <w:tab w:val="right" w:leader="dot" w:pos="9180"/>
        </w:tabs>
        <w:rPr>
          <w:rFonts w:eastAsiaTheme="minorEastAsia" w:cstheme="minorBidi"/>
          <w:b w:val="0"/>
          <w:bCs w:val="0"/>
          <w:caps w:val="0"/>
          <w:noProof/>
          <w:sz w:val="22"/>
          <w:szCs w:val="22"/>
          <w:lang w:eastAsia="en-AU"/>
        </w:rPr>
      </w:pPr>
      <w:r>
        <w:fldChar w:fldCharType="begin"/>
      </w:r>
      <w:r>
        <w:instrText xml:space="preserve"> TOC \o "1-2" \h \z \u </w:instrText>
      </w:r>
      <w:r>
        <w:fldChar w:fldCharType="separate"/>
      </w:r>
      <w:hyperlink w:anchor="_Toc365385402" w:history="1">
        <w:r w:rsidR="005D15BD" w:rsidRPr="00E54B44">
          <w:rPr>
            <w:rStyle w:val="Hyperlink"/>
            <w:noProof/>
          </w:rPr>
          <w:t>PART A: Queensland, National Partnership on Youth Attainment and Transitions – May 2012 report</w:t>
        </w:r>
        <w:r w:rsidR="005D15BD">
          <w:rPr>
            <w:noProof/>
            <w:webHidden/>
          </w:rPr>
          <w:tab/>
        </w:r>
        <w:r w:rsidR="005D15BD">
          <w:rPr>
            <w:noProof/>
            <w:webHidden/>
          </w:rPr>
          <w:fldChar w:fldCharType="begin"/>
        </w:r>
        <w:r w:rsidR="005D15BD">
          <w:rPr>
            <w:noProof/>
            <w:webHidden/>
          </w:rPr>
          <w:instrText xml:space="preserve"> PAGEREF _Toc365385402 \h </w:instrText>
        </w:r>
        <w:r w:rsidR="005D15BD">
          <w:rPr>
            <w:noProof/>
            <w:webHidden/>
          </w:rPr>
        </w:r>
        <w:r w:rsidR="005D15BD">
          <w:rPr>
            <w:noProof/>
            <w:webHidden/>
          </w:rPr>
          <w:fldChar w:fldCharType="separate"/>
        </w:r>
        <w:r w:rsidR="00451A90">
          <w:rPr>
            <w:noProof/>
            <w:webHidden/>
          </w:rPr>
          <w:t>2</w:t>
        </w:r>
        <w:r w:rsidR="005D15BD">
          <w:rPr>
            <w:noProof/>
            <w:webHidden/>
          </w:rPr>
          <w:fldChar w:fldCharType="end"/>
        </w:r>
      </w:hyperlink>
    </w:p>
    <w:p w:rsidR="005D15BD" w:rsidRDefault="00C040B9">
      <w:pPr>
        <w:pStyle w:val="TOC1"/>
        <w:tabs>
          <w:tab w:val="right" w:leader="dot" w:pos="9180"/>
        </w:tabs>
        <w:rPr>
          <w:rFonts w:eastAsiaTheme="minorEastAsia" w:cstheme="minorBidi"/>
          <w:b w:val="0"/>
          <w:bCs w:val="0"/>
          <w:caps w:val="0"/>
          <w:noProof/>
          <w:sz w:val="22"/>
          <w:szCs w:val="22"/>
          <w:lang w:eastAsia="en-AU"/>
        </w:rPr>
      </w:pPr>
      <w:hyperlink w:anchor="_Toc365385403" w:history="1">
        <w:r w:rsidR="005D15BD" w:rsidRPr="00E54B44">
          <w:rPr>
            <w:rStyle w:val="Hyperlink"/>
            <w:noProof/>
          </w:rPr>
          <w:t>PART B:</w:t>
        </w:r>
        <w:r w:rsidR="005D15BD">
          <w:rPr>
            <w:noProof/>
            <w:webHidden/>
          </w:rPr>
          <w:tab/>
        </w:r>
        <w:r w:rsidR="005D15BD">
          <w:rPr>
            <w:noProof/>
            <w:webHidden/>
          </w:rPr>
          <w:fldChar w:fldCharType="begin"/>
        </w:r>
        <w:r w:rsidR="005D15BD">
          <w:rPr>
            <w:noProof/>
            <w:webHidden/>
          </w:rPr>
          <w:instrText xml:space="preserve"> PAGEREF _Toc365385403 \h </w:instrText>
        </w:r>
        <w:r w:rsidR="005D15BD">
          <w:rPr>
            <w:noProof/>
            <w:webHidden/>
          </w:rPr>
        </w:r>
        <w:r w:rsidR="005D15BD">
          <w:rPr>
            <w:noProof/>
            <w:webHidden/>
          </w:rPr>
          <w:fldChar w:fldCharType="separate"/>
        </w:r>
        <w:r w:rsidR="00451A90">
          <w:rPr>
            <w:noProof/>
            <w:webHidden/>
          </w:rPr>
          <w:t>3</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4" w:history="1">
        <w:r w:rsidR="005D15BD" w:rsidRPr="00E54B44">
          <w:rPr>
            <w:rStyle w:val="Hyperlink"/>
            <w:noProof/>
          </w:rPr>
          <w:t>Jurisdictional Context</w:t>
        </w:r>
        <w:r w:rsidR="005D15BD">
          <w:rPr>
            <w:noProof/>
            <w:webHidden/>
          </w:rPr>
          <w:tab/>
        </w:r>
        <w:r w:rsidR="005D15BD">
          <w:rPr>
            <w:noProof/>
            <w:webHidden/>
          </w:rPr>
          <w:fldChar w:fldCharType="begin"/>
        </w:r>
        <w:r w:rsidR="005D15BD">
          <w:rPr>
            <w:noProof/>
            <w:webHidden/>
          </w:rPr>
          <w:instrText xml:space="preserve"> PAGEREF _Toc365385404 \h </w:instrText>
        </w:r>
        <w:r w:rsidR="005D15BD">
          <w:rPr>
            <w:noProof/>
            <w:webHidden/>
          </w:rPr>
        </w:r>
        <w:r w:rsidR="005D15BD">
          <w:rPr>
            <w:noProof/>
            <w:webHidden/>
          </w:rPr>
          <w:fldChar w:fldCharType="separate"/>
        </w:r>
        <w:r w:rsidR="00451A90">
          <w:rPr>
            <w:noProof/>
            <w:webHidden/>
          </w:rPr>
          <w:t>3</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5" w:history="1">
        <w:r w:rsidR="005D15BD" w:rsidRPr="00E54B44">
          <w:rPr>
            <w:rStyle w:val="Hyperlink"/>
            <w:noProof/>
          </w:rPr>
          <w:t>Maximising Engagement, Attainment and Successful Transitions</w:t>
        </w:r>
        <w:r w:rsidR="005D15BD">
          <w:rPr>
            <w:noProof/>
            <w:webHidden/>
          </w:rPr>
          <w:tab/>
        </w:r>
        <w:r w:rsidR="005D15BD">
          <w:rPr>
            <w:noProof/>
            <w:webHidden/>
          </w:rPr>
          <w:fldChar w:fldCharType="begin"/>
        </w:r>
        <w:r w:rsidR="005D15BD">
          <w:rPr>
            <w:noProof/>
            <w:webHidden/>
          </w:rPr>
          <w:instrText xml:space="preserve"> PAGEREF _Toc365385405 \h </w:instrText>
        </w:r>
        <w:r w:rsidR="005D15BD">
          <w:rPr>
            <w:noProof/>
            <w:webHidden/>
          </w:rPr>
        </w:r>
        <w:r w:rsidR="005D15BD">
          <w:rPr>
            <w:noProof/>
            <w:webHidden/>
          </w:rPr>
          <w:fldChar w:fldCharType="separate"/>
        </w:r>
        <w:r w:rsidR="00451A90">
          <w:rPr>
            <w:noProof/>
            <w:webHidden/>
          </w:rPr>
          <w:t>3</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6" w:history="1">
        <w:r w:rsidR="005D15BD" w:rsidRPr="00E54B44">
          <w:rPr>
            <w:rStyle w:val="Hyperlink"/>
            <w:noProof/>
          </w:rPr>
          <w:t>State Education (Education Queensland)</w:t>
        </w:r>
        <w:r w:rsidR="005D15BD">
          <w:rPr>
            <w:noProof/>
            <w:webHidden/>
          </w:rPr>
          <w:tab/>
        </w:r>
        <w:r w:rsidR="005D15BD">
          <w:rPr>
            <w:noProof/>
            <w:webHidden/>
          </w:rPr>
          <w:fldChar w:fldCharType="begin"/>
        </w:r>
        <w:r w:rsidR="005D15BD">
          <w:rPr>
            <w:noProof/>
            <w:webHidden/>
          </w:rPr>
          <w:instrText xml:space="preserve"> PAGEREF _Toc365385406 \h </w:instrText>
        </w:r>
        <w:r w:rsidR="005D15BD">
          <w:rPr>
            <w:noProof/>
            <w:webHidden/>
          </w:rPr>
        </w:r>
        <w:r w:rsidR="005D15BD">
          <w:rPr>
            <w:noProof/>
            <w:webHidden/>
          </w:rPr>
          <w:fldChar w:fldCharType="separate"/>
        </w:r>
        <w:r w:rsidR="00451A90">
          <w:rPr>
            <w:noProof/>
            <w:webHidden/>
          </w:rPr>
          <w:t>5</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7" w:history="1">
        <w:r w:rsidR="005D15BD" w:rsidRPr="00E54B44">
          <w:rPr>
            <w:rStyle w:val="Hyperlink"/>
            <w:noProof/>
          </w:rPr>
          <w:t>Queensland Catholic Education Commission</w:t>
        </w:r>
        <w:r w:rsidR="005D15BD">
          <w:rPr>
            <w:noProof/>
            <w:webHidden/>
          </w:rPr>
          <w:tab/>
        </w:r>
        <w:r w:rsidR="005D15BD">
          <w:rPr>
            <w:noProof/>
            <w:webHidden/>
          </w:rPr>
          <w:fldChar w:fldCharType="begin"/>
        </w:r>
        <w:r w:rsidR="005D15BD">
          <w:rPr>
            <w:noProof/>
            <w:webHidden/>
          </w:rPr>
          <w:instrText xml:space="preserve"> PAGEREF _Toc365385407 \h </w:instrText>
        </w:r>
        <w:r w:rsidR="005D15BD">
          <w:rPr>
            <w:noProof/>
            <w:webHidden/>
          </w:rPr>
        </w:r>
        <w:r w:rsidR="005D15BD">
          <w:rPr>
            <w:noProof/>
            <w:webHidden/>
          </w:rPr>
          <w:fldChar w:fldCharType="separate"/>
        </w:r>
        <w:r w:rsidR="00451A90">
          <w:rPr>
            <w:noProof/>
            <w:webHidden/>
          </w:rPr>
          <w:t>9</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8" w:history="1">
        <w:r w:rsidR="005D15BD" w:rsidRPr="00E54B44">
          <w:rPr>
            <w:rStyle w:val="Hyperlink"/>
            <w:noProof/>
          </w:rPr>
          <w:t>Independent Schools Queensland</w:t>
        </w:r>
        <w:r w:rsidR="005D15BD">
          <w:rPr>
            <w:noProof/>
            <w:webHidden/>
          </w:rPr>
          <w:tab/>
        </w:r>
        <w:r w:rsidR="005D15BD">
          <w:rPr>
            <w:noProof/>
            <w:webHidden/>
          </w:rPr>
          <w:fldChar w:fldCharType="begin"/>
        </w:r>
        <w:r w:rsidR="005D15BD">
          <w:rPr>
            <w:noProof/>
            <w:webHidden/>
          </w:rPr>
          <w:instrText xml:space="preserve"> PAGEREF _Toc365385408 \h </w:instrText>
        </w:r>
        <w:r w:rsidR="005D15BD">
          <w:rPr>
            <w:noProof/>
            <w:webHidden/>
          </w:rPr>
        </w:r>
        <w:r w:rsidR="005D15BD">
          <w:rPr>
            <w:noProof/>
            <w:webHidden/>
          </w:rPr>
          <w:fldChar w:fldCharType="separate"/>
        </w:r>
        <w:r w:rsidR="00451A90">
          <w:rPr>
            <w:noProof/>
            <w:webHidden/>
          </w:rPr>
          <w:t>12</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09" w:history="1">
        <w:r w:rsidR="005D15BD" w:rsidRPr="00E54B44">
          <w:rPr>
            <w:rStyle w:val="Hyperlink"/>
            <w:noProof/>
          </w:rPr>
          <w:t>Indigenous Reporting</w:t>
        </w:r>
        <w:r w:rsidR="005D15BD">
          <w:rPr>
            <w:noProof/>
            <w:webHidden/>
          </w:rPr>
          <w:tab/>
        </w:r>
        <w:r w:rsidR="005D15BD">
          <w:rPr>
            <w:noProof/>
            <w:webHidden/>
          </w:rPr>
          <w:fldChar w:fldCharType="begin"/>
        </w:r>
        <w:r w:rsidR="005D15BD">
          <w:rPr>
            <w:noProof/>
            <w:webHidden/>
          </w:rPr>
          <w:instrText xml:space="preserve"> PAGEREF _Toc365385409 \h </w:instrText>
        </w:r>
        <w:r w:rsidR="005D15BD">
          <w:rPr>
            <w:noProof/>
            <w:webHidden/>
          </w:rPr>
        </w:r>
        <w:r w:rsidR="005D15BD">
          <w:rPr>
            <w:noProof/>
            <w:webHidden/>
          </w:rPr>
          <w:fldChar w:fldCharType="separate"/>
        </w:r>
        <w:r w:rsidR="00451A90">
          <w:rPr>
            <w:noProof/>
            <w:webHidden/>
          </w:rPr>
          <w:t>13</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0" w:history="1">
        <w:r w:rsidR="005D15BD" w:rsidRPr="00E54B44">
          <w:rPr>
            <w:rStyle w:val="Hyperlink"/>
            <w:noProof/>
          </w:rPr>
          <w:t>Strategic Policy Directions</w:t>
        </w:r>
        <w:r w:rsidR="005D15BD">
          <w:rPr>
            <w:noProof/>
            <w:webHidden/>
          </w:rPr>
          <w:tab/>
        </w:r>
        <w:r w:rsidR="005D15BD">
          <w:rPr>
            <w:noProof/>
            <w:webHidden/>
          </w:rPr>
          <w:fldChar w:fldCharType="begin"/>
        </w:r>
        <w:r w:rsidR="005D15BD">
          <w:rPr>
            <w:noProof/>
            <w:webHidden/>
          </w:rPr>
          <w:instrText xml:space="preserve"> PAGEREF _Toc365385410 \h </w:instrText>
        </w:r>
        <w:r w:rsidR="005D15BD">
          <w:rPr>
            <w:noProof/>
            <w:webHidden/>
          </w:rPr>
        </w:r>
        <w:r w:rsidR="005D15BD">
          <w:rPr>
            <w:noProof/>
            <w:webHidden/>
          </w:rPr>
          <w:fldChar w:fldCharType="separate"/>
        </w:r>
        <w:r w:rsidR="00451A90">
          <w:rPr>
            <w:noProof/>
            <w:webHidden/>
          </w:rPr>
          <w:t>14</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1" w:history="1">
        <w:r w:rsidR="005D15BD" w:rsidRPr="00E54B44">
          <w:rPr>
            <w:rStyle w:val="Hyperlink"/>
            <w:noProof/>
          </w:rPr>
          <w:t>Key strategies / initiative</w:t>
        </w:r>
        <w:r w:rsidR="005D15BD">
          <w:rPr>
            <w:noProof/>
            <w:webHidden/>
          </w:rPr>
          <w:tab/>
        </w:r>
        <w:r w:rsidR="005D15BD">
          <w:rPr>
            <w:noProof/>
            <w:webHidden/>
          </w:rPr>
          <w:fldChar w:fldCharType="begin"/>
        </w:r>
        <w:r w:rsidR="005D15BD">
          <w:rPr>
            <w:noProof/>
            <w:webHidden/>
          </w:rPr>
          <w:instrText xml:space="preserve"> PAGEREF _Toc365385411 \h </w:instrText>
        </w:r>
        <w:r w:rsidR="005D15BD">
          <w:rPr>
            <w:noProof/>
            <w:webHidden/>
          </w:rPr>
        </w:r>
        <w:r w:rsidR="005D15BD">
          <w:rPr>
            <w:noProof/>
            <w:webHidden/>
          </w:rPr>
          <w:fldChar w:fldCharType="separate"/>
        </w:r>
        <w:r w:rsidR="00451A90">
          <w:rPr>
            <w:noProof/>
            <w:webHidden/>
          </w:rPr>
          <w:t>14</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2" w:history="1">
        <w:r w:rsidR="005D15BD" w:rsidRPr="00E54B44">
          <w:rPr>
            <w:rStyle w:val="Hyperlink"/>
            <w:noProof/>
          </w:rPr>
          <w:t>The Compact with Young Australians</w:t>
        </w:r>
        <w:r w:rsidR="005D15BD">
          <w:rPr>
            <w:noProof/>
            <w:webHidden/>
          </w:rPr>
          <w:tab/>
        </w:r>
        <w:r w:rsidR="005D15BD">
          <w:rPr>
            <w:noProof/>
            <w:webHidden/>
          </w:rPr>
          <w:fldChar w:fldCharType="begin"/>
        </w:r>
        <w:r w:rsidR="005D15BD">
          <w:rPr>
            <w:noProof/>
            <w:webHidden/>
          </w:rPr>
          <w:instrText xml:space="preserve"> PAGEREF _Toc365385412 \h </w:instrText>
        </w:r>
        <w:r w:rsidR="005D15BD">
          <w:rPr>
            <w:noProof/>
            <w:webHidden/>
          </w:rPr>
        </w:r>
        <w:r w:rsidR="005D15BD">
          <w:rPr>
            <w:noProof/>
            <w:webHidden/>
          </w:rPr>
          <w:fldChar w:fldCharType="separate"/>
        </w:r>
        <w:r w:rsidR="00451A90">
          <w:rPr>
            <w:noProof/>
            <w:webHidden/>
          </w:rPr>
          <w:t>16</w:t>
        </w:r>
        <w:r w:rsidR="005D15BD">
          <w:rPr>
            <w:noProof/>
            <w:webHidden/>
          </w:rPr>
          <w:fldChar w:fldCharType="end"/>
        </w:r>
      </w:hyperlink>
    </w:p>
    <w:p w:rsidR="005D15BD" w:rsidRDefault="00C040B9">
      <w:pPr>
        <w:pStyle w:val="TOC1"/>
        <w:tabs>
          <w:tab w:val="right" w:leader="dot" w:pos="9180"/>
        </w:tabs>
        <w:rPr>
          <w:rFonts w:eastAsiaTheme="minorEastAsia" w:cstheme="minorBidi"/>
          <w:b w:val="0"/>
          <w:bCs w:val="0"/>
          <w:caps w:val="0"/>
          <w:noProof/>
          <w:sz w:val="22"/>
          <w:szCs w:val="22"/>
          <w:lang w:eastAsia="en-AU"/>
        </w:rPr>
      </w:pPr>
      <w:hyperlink w:anchor="_Toc365385413" w:history="1">
        <w:r w:rsidR="005D15BD" w:rsidRPr="00E54B44">
          <w:rPr>
            <w:rStyle w:val="Hyperlink"/>
            <w:noProof/>
          </w:rPr>
          <w:t>ANNEXURE 1 A – Youth Connections - QLD</w:t>
        </w:r>
        <w:r w:rsidR="005D15BD">
          <w:rPr>
            <w:noProof/>
            <w:webHidden/>
          </w:rPr>
          <w:tab/>
        </w:r>
        <w:r w:rsidR="005D15BD">
          <w:rPr>
            <w:noProof/>
            <w:webHidden/>
          </w:rPr>
          <w:fldChar w:fldCharType="begin"/>
        </w:r>
        <w:r w:rsidR="005D15BD">
          <w:rPr>
            <w:noProof/>
            <w:webHidden/>
          </w:rPr>
          <w:instrText xml:space="preserve"> PAGEREF _Toc365385413 \h </w:instrText>
        </w:r>
        <w:r w:rsidR="005D15BD">
          <w:rPr>
            <w:noProof/>
            <w:webHidden/>
          </w:rPr>
        </w:r>
        <w:r w:rsidR="005D15BD">
          <w:rPr>
            <w:noProof/>
            <w:webHidden/>
          </w:rPr>
          <w:fldChar w:fldCharType="separate"/>
        </w:r>
        <w:r w:rsidR="00451A90">
          <w:rPr>
            <w:noProof/>
            <w:webHidden/>
          </w:rPr>
          <w:t>17</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4" w:history="1">
        <w:r w:rsidR="005D15BD" w:rsidRPr="00E54B44">
          <w:rPr>
            <w:rStyle w:val="Hyperlink"/>
            <w:noProof/>
            <w:lang w:eastAsia="en-AU"/>
          </w:rPr>
          <w:t>National Summary</w:t>
        </w:r>
        <w:r w:rsidR="005D15BD">
          <w:rPr>
            <w:noProof/>
            <w:webHidden/>
          </w:rPr>
          <w:tab/>
        </w:r>
        <w:r w:rsidR="005D15BD">
          <w:rPr>
            <w:noProof/>
            <w:webHidden/>
          </w:rPr>
          <w:fldChar w:fldCharType="begin"/>
        </w:r>
        <w:r w:rsidR="005D15BD">
          <w:rPr>
            <w:noProof/>
            <w:webHidden/>
          </w:rPr>
          <w:instrText xml:space="preserve"> PAGEREF _Toc365385414 \h </w:instrText>
        </w:r>
        <w:r w:rsidR="005D15BD">
          <w:rPr>
            <w:noProof/>
            <w:webHidden/>
          </w:rPr>
        </w:r>
        <w:r w:rsidR="005D15BD">
          <w:rPr>
            <w:noProof/>
            <w:webHidden/>
          </w:rPr>
          <w:fldChar w:fldCharType="separate"/>
        </w:r>
        <w:r w:rsidR="00451A90">
          <w:rPr>
            <w:noProof/>
            <w:webHidden/>
          </w:rPr>
          <w:t>17</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5" w:history="1">
        <w:r w:rsidR="005D15BD" w:rsidRPr="00E54B44">
          <w:rPr>
            <w:rStyle w:val="Hyperlink"/>
            <w:noProof/>
            <w:lang w:eastAsia="en-AU"/>
          </w:rPr>
          <w:t>Queensland Summary</w:t>
        </w:r>
        <w:r w:rsidR="005D15BD">
          <w:rPr>
            <w:noProof/>
            <w:webHidden/>
          </w:rPr>
          <w:tab/>
        </w:r>
        <w:r w:rsidR="005D15BD">
          <w:rPr>
            <w:noProof/>
            <w:webHidden/>
          </w:rPr>
          <w:fldChar w:fldCharType="begin"/>
        </w:r>
        <w:r w:rsidR="005D15BD">
          <w:rPr>
            <w:noProof/>
            <w:webHidden/>
          </w:rPr>
          <w:instrText xml:space="preserve"> PAGEREF _Toc365385415 \h </w:instrText>
        </w:r>
        <w:r w:rsidR="005D15BD">
          <w:rPr>
            <w:noProof/>
            <w:webHidden/>
          </w:rPr>
        </w:r>
        <w:r w:rsidR="005D15BD">
          <w:rPr>
            <w:noProof/>
            <w:webHidden/>
          </w:rPr>
          <w:fldChar w:fldCharType="separate"/>
        </w:r>
        <w:r w:rsidR="00451A90">
          <w:rPr>
            <w:noProof/>
            <w:webHidden/>
          </w:rPr>
          <w:t>20</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6" w:history="1">
        <w:r w:rsidR="005D15BD" w:rsidRPr="00E54B44">
          <w:rPr>
            <w:rStyle w:val="Hyperlink"/>
            <w:noProof/>
          </w:rPr>
          <w:t>Youth Connections program data</w:t>
        </w:r>
        <w:r w:rsidR="005D15BD">
          <w:rPr>
            <w:noProof/>
            <w:webHidden/>
          </w:rPr>
          <w:tab/>
        </w:r>
        <w:r w:rsidR="005D15BD">
          <w:rPr>
            <w:noProof/>
            <w:webHidden/>
          </w:rPr>
          <w:fldChar w:fldCharType="begin"/>
        </w:r>
        <w:r w:rsidR="005D15BD">
          <w:rPr>
            <w:noProof/>
            <w:webHidden/>
          </w:rPr>
          <w:instrText xml:space="preserve"> PAGEREF _Toc365385416 \h </w:instrText>
        </w:r>
        <w:r w:rsidR="005D15BD">
          <w:rPr>
            <w:noProof/>
            <w:webHidden/>
          </w:rPr>
        </w:r>
        <w:r w:rsidR="005D15BD">
          <w:rPr>
            <w:noProof/>
            <w:webHidden/>
          </w:rPr>
          <w:fldChar w:fldCharType="separate"/>
        </w:r>
        <w:r w:rsidR="00451A90">
          <w:rPr>
            <w:noProof/>
            <w:webHidden/>
          </w:rPr>
          <w:t>21</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7" w:history="1">
        <w:r w:rsidR="005D15BD" w:rsidRPr="00E54B44">
          <w:rPr>
            <w:rStyle w:val="Hyperlink"/>
            <w:noProof/>
          </w:rPr>
          <w:t>Outcomes</w:t>
        </w:r>
        <w:r w:rsidR="005D15BD">
          <w:rPr>
            <w:noProof/>
            <w:webHidden/>
          </w:rPr>
          <w:tab/>
        </w:r>
        <w:r w:rsidR="005D15BD">
          <w:rPr>
            <w:noProof/>
            <w:webHidden/>
          </w:rPr>
          <w:fldChar w:fldCharType="begin"/>
        </w:r>
        <w:r w:rsidR="005D15BD">
          <w:rPr>
            <w:noProof/>
            <w:webHidden/>
          </w:rPr>
          <w:instrText xml:space="preserve"> PAGEREF _Toc365385417 \h </w:instrText>
        </w:r>
        <w:r w:rsidR="005D15BD">
          <w:rPr>
            <w:noProof/>
            <w:webHidden/>
          </w:rPr>
        </w:r>
        <w:r w:rsidR="005D15BD">
          <w:rPr>
            <w:noProof/>
            <w:webHidden/>
          </w:rPr>
          <w:fldChar w:fldCharType="separate"/>
        </w:r>
        <w:r w:rsidR="00451A90">
          <w:rPr>
            <w:noProof/>
            <w:webHidden/>
          </w:rPr>
          <w:t>31</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8" w:history="1">
        <w:r w:rsidR="005D15BD" w:rsidRPr="00E54B44">
          <w:rPr>
            <w:rStyle w:val="Hyperlink"/>
            <w:noProof/>
          </w:rPr>
          <w:t>Indigenous</w:t>
        </w:r>
        <w:r w:rsidR="005D15BD">
          <w:rPr>
            <w:noProof/>
            <w:webHidden/>
          </w:rPr>
          <w:tab/>
        </w:r>
        <w:r w:rsidR="005D15BD">
          <w:rPr>
            <w:noProof/>
            <w:webHidden/>
          </w:rPr>
          <w:fldChar w:fldCharType="begin"/>
        </w:r>
        <w:r w:rsidR="005D15BD">
          <w:rPr>
            <w:noProof/>
            <w:webHidden/>
          </w:rPr>
          <w:instrText xml:space="preserve"> PAGEREF _Toc365385418 \h </w:instrText>
        </w:r>
        <w:r w:rsidR="005D15BD">
          <w:rPr>
            <w:noProof/>
            <w:webHidden/>
          </w:rPr>
        </w:r>
        <w:r w:rsidR="005D15BD">
          <w:rPr>
            <w:noProof/>
            <w:webHidden/>
          </w:rPr>
          <w:fldChar w:fldCharType="separate"/>
        </w:r>
        <w:r w:rsidR="00451A90">
          <w:rPr>
            <w:noProof/>
            <w:webHidden/>
          </w:rPr>
          <w:t>41</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19" w:history="1">
        <w:r w:rsidR="005D15BD" w:rsidRPr="00E54B44">
          <w:rPr>
            <w:rStyle w:val="Hyperlink"/>
            <w:noProof/>
          </w:rPr>
          <w:t>Humanitarian Refugee</w:t>
        </w:r>
        <w:r w:rsidR="005D15BD">
          <w:rPr>
            <w:noProof/>
            <w:webHidden/>
          </w:rPr>
          <w:tab/>
        </w:r>
        <w:r w:rsidR="005D15BD">
          <w:rPr>
            <w:noProof/>
            <w:webHidden/>
          </w:rPr>
          <w:fldChar w:fldCharType="begin"/>
        </w:r>
        <w:r w:rsidR="005D15BD">
          <w:rPr>
            <w:noProof/>
            <w:webHidden/>
          </w:rPr>
          <w:instrText xml:space="preserve"> PAGEREF _Toc365385419 \h </w:instrText>
        </w:r>
        <w:r w:rsidR="005D15BD">
          <w:rPr>
            <w:noProof/>
            <w:webHidden/>
          </w:rPr>
        </w:r>
        <w:r w:rsidR="005D15BD">
          <w:rPr>
            <w:noProof/>
            <w:webHidden/>
          </w:rPr>
          <w:fldChar w:fldCharType="separate"/>
        </w:r>
        <w:r w:rsidR="00451A90">
          <w:rPr>
            <w:noProof/>
            <w:webHidden/>
          </w:rPr>
          <w:t>43</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0" w:history="1">
        <w:r w:rsidR="005D15BD" w:rsidRPr="00E54B44">
          <w:rPr>
            <w:rStyle w:val="Hyperlink"/>
            <w:noProof/>
          </w:rPr>
          <w:t>Outreach and Re-engagement Services</w:t>
        </w:r>
        <w:r w:rsidR="005D15BD">
          <w:rPr>
            <w:noProof/>
            <w:webHidden/>
          </w:rPr>
          <w:tab/>
        </w:r>
        <w:r w:rsidR="005D15BD">
          <w:rPr>
            <w:noProof/>
            <w:webHidden/>
          </w:rPr>
          <w:fldChar w:fldCharType="begin"/>
        </w:r>
        <w:r w:rsidR="005D15BD">
          <w:rPr>
            <w:noProof/>
            <w:webHidden/>
          </w:rPr>
          <w:instrText xml:space="preserve"> PAGEREF _Toc365385420 \h </w:instrText>
        </w:r>
        <w:r w:rsidR="005D15BD">
          <w:rPr>
            <w:noProof/>
            <w:webHidden/>
          </w:rPr>
        </w:r>
        <w:r w:rsidR="005D15BD">
          <w:rPr>
            <w:noProof/>
            <w:webHidden/>
          </w:rPr>
          <w:fldChar w:fldCharType="separate"/>
        </w:r>
        <w:r w:rsidR="00451A90">
          <w:rPr>
            <w:noProof/>
            <w:webHidden/>
          </w:rPr>
          <w:t>44</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1" w:history="1">
        <w:r w:rsidR="005D15BD" w:rsidRPr="00E54B44">
          <w:rPr>
            <w:rStyle w:val="Hyperlink"/>
            <w:noProof/>
          </w:rPr>
          <w:t>Strengthening Services in the Region</w:t>
        </w:r>
        <w:r w:rsidR="005D15BD">
          <w:rPr>
            <w:noProof/>
            <w:webHidden/>
          </w:rPr>
          <w:tab/>
        </w:r>
        <w:r w:rsidR="005D15BD">
          <w:rPr>
            <w:noProof/>
            <w:webHidden/>
          </w:rPr>
          <w:fldChar w:fldCharType="begin"/>
        </w:r>
        <w:r w:rsidR="005D15BD">
          <w:rPr>
            <w:noProof/>
            <w:webHidden/>
          </w:rPr>
          <w:instrText xml:space="preserve"> PAGEREF _Toc365385421 \h </w:instrText>
        </w:r>
        <w:r w:rsidR="005D15BD">
          <w:rPr>
            <w:noProof/>
            <w:webHidden/>
          </w:rPr>
        </w:r>
        <w:r w:rsidR="005D15BD">
          <w:rPr>
            <w:noProof/>
            <w:webHidden/>
          </w:rPr>
          <w:fldChar w:fldCharType="separate"/>
        </w:r>
        <w:r w:rsidR="00451A90">
          <w:rPr>
            <w:noProof/>
            <w:webHidden/>
          </w:rPr>
          <w:t>45</w:t>
        </w:r>
        <w:r w:rsidR="005D15BD">
          <w:rPr>
            <w:noProof/>
            <w:webHidden/>
          </w:rPr>
          <w:fldChar w:fldCharType="end"/>
        </w:r>
      </w:hyperlink>
    </w:p>
    <w:p w:rsidR="005D15BD" w:rsidRDefault="00C040B9">
      <w:pPr>
        <w:pStyle w:val="TOC1"/>
        <w:tabs>
          <w:tab w:val="right" w:leader="dot" w:pos="9180"/>
        </w:tabs>
        <w:rPr>
          <w:rFonts w:eastAsiaTheme="minorEastAsia" w:cstheme="minorBidi"/>
          <w:b w:val="0"/>
          <w:bCs w:val="0"/>
          <w:caps w:val="0"/>
          <w:noProof/>
          <w:sz w:val="22"/>
          <w:szCs w:val="22"/>
          <w:lang w:eastAsia="en-AU"/>
        </w:rPr>
      </w:pPr>
      <w:hyperlink w:anchor="_Toc365385422" w:history="1">
        <w:r w:rsidR="005D15BD" w:rsidRPr="00E54B44">
          <w:rPr>
            <w:rStyle w:val="Hyperlink"/>
            <w:noProof/>
          </w:rPr>
          <w:t>ANNEXURE 1 B – School Business Community Partnership Brokers – QLD</w:t>
        </w:r>
        <w:r w:rsidR="005D15BD">
          <w:rPr>
            <w:noProof/>
            <w:webHidden/>
          </w:rPr>
          <w:tab/>
        </w:r>
        <w:r w:rsidR="005D15BD">
          <w:rPr>
            <w:noProof/>
            <w:webHidden/>
          </w:rPr>
          <w:fldChar w:fldCharType="begin"/>
        </w:r>
        <w:r w:rsidR="005D15BD">
          <w:rPr>
            <w:noProof/>
            <w:webHidden/>
          </w:rPr>
          <w:instrText xml:space="preserve"> PAGEREF _Toc365385422 \h </w:instrText>
        </w:r>
        <w:r w:rsidR="005D15BD">
          <w:rPr>
            <w:noProof/>
            <w:webHidden/>
          </w:rPr>
        </w:r>
        <w:r w:rsidR="005D15BD">
          <w:rPr>
            <w:noProof/>
            <w:webHidden/>
          </w:rPr>
          <w:fldChar w:fldCharType="separate"/>
        </w:r>
        <w:r w:rsidR="00451A90">
          <w:rPr>
            <w:noProof/>
            <w:webHidden/>
          </w:rPr>
          <w:t>46</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3" w:history="1">
        <w:r w:rsidR="005D15BD" w:rsidRPr="00E54B44">
          <w:rPr>
            <w:rStyle w:val="Hyperlink"/>
            <w:noProof/>
            <w:lang w:eastAsia="en-AU"/>
          </w:rPr>
          <w:t>National Summary</w:t>
        </w:r>
        <w:r w:rsidR="005D15BD">
          <w:rPr>
            <w:noProof/>
            <w:webHidden/>
          </w:rPr>
          <w:tab/>
        </w:r>
        <w:r w:rsidR="005D15BD">
          <w:rPr>
            <w:noProof/>
            <w:webHidden/>
          </w:rPr>
          <w:fldChar w:fldCharType="begin"/>
        </w:r>
        <w:r w:rsidR="005D15BD">
          <w:rPr>
            <w:noProof/>
            <w:webHidden/>
          </w:rPr>
          <w:instrText xml:space="preserve"> PAGEREF _Toc365385423 \h </w:instrText>
        </w:r>
        <w:r w:rsidR="005D15BD">
          <w:rPr>
            <w:noProof/>
            <w:webHidden/>
          </w:rPr>
        </w:r>
        <w:r w:rsidR="005D15BD">
          <w:rPr>
            <w:noProof/>
            <w:webHidden/>
          </w:rPr>
          <w:fldChar w:fldCharType="separate"/>
        </w:r>
        <w:r w:rsidR="00451A90">
          <w:rPr>
            <w:noProof/>
            <w:webHidden/>
          </w:rPr>
          <w:t>46</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4" w:history="1">
        <w:r w:rsidR="005D15BD" w:rsidRPr="00E54B44">
          <w:rPr>
            <w:rStyle w:val="Hyperlink"/>
            <w:noProof/>
            <w:lang w:eastAsia="en-AU"/>
          </w:rPr>
          <w:t>Queensland Summary</w:t>
        </w:r>
        <w:r w:rsidR="005D15BD">
          <w:rPr>
            <w:noProof/>
            <w:webHidden/>
          </w:rPr>
          <w:tab/>
        </w:r>
        <w:r w:rsidR="005D15BD">
          <w:rPr>
            <w:noProof/>
            <w:webHidden/>
          </w:rPr>
          <w:fldChar w:fldCharType="begin"/>
        </w:r>
        <w:r w:rsidR="005D15BD">
          <w:rPr>
            <w:noProof/>
            <w:webHidden/>
          </w:rPr>
          <w:instrText xml:space="preserve"> PAGEREF _Toc365385424 \h </w:instrText>
        </w:r>
        <w:r w:rsidR="005D15BD">
          <w:rPr>
            <w:noProof/>
            <w:webHidden/>
          </w:rPr>
        </w:r>
        <w:r w:rsidR="005D15BD">
          <w:rPr>
            <w:noProof/>
            <w:webHidden/>
          </w:rPr>
          <w:fldChar w:fldCharType="separate"/>
        </w:r>
        <w:r w:rsidR="00451A90">
          <w:rPr>
            <w:noProof/>
            <w:webHidden/>
          </w:rPr>
          <w:t>50</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5" w:history="1">
        <w:r w:rsidR="005D15BD" w:rsidRPr="00E54B44">
          <w:rPr>
            <w:rStyle w:val="Hyperlink"/>
            <w:noProof/>
          </w:rPr>
          <w:t>Organisations</w:t>
        </w:r>
        <w:r w:rsidR="005D15BD">
          <w:rPr>
            <w:noProof/>
            <w:webHidden/>
          </w:rPr>
          <w:tab/>
        </w:r>
        <w:r w:rsidR="005D15BD">
          <w:rPr>
            <w:noProof/>
            <w:webHidden/>
          </w:rPr>
          <w:fldChar w:fldCharType="begin"/>
        </w:r>
        <w:r w:rsidR="005D15BD">
          <w:rPr>
            <w:noProof/>
            <w:webHidden/>
          </w:rPr>
          <w:instrText xml:space="preserve"> PAGEREF _Toc365385425 \h </w:instrText>
        </w:r>
        <w:r w:rsidR="005D15BD">
          <w:rPr>
            <w:noProof/>
            <w:webHidden/>
          </w:rPr>
        </w:r>
        <w:r w:rsidR="005D15BD">
          <w:rPr>
            <w:noProof/>
            <w:webHidden/>
          </w:rPr>
          <w:fldChar w:fldCharType="separate"/>
        </w:r>
        <w:r w:rsidR="00451A90">
          <w:rPr>
            <w:noProof/>
            <w:webHidden/>
          </w:rPr>
          <w:t>52</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6" w:history="1">
        <w:r w:rsidR="005D15BD" w:rsidRPr="00E54B44">
          <w:rPr>
            <w:rStyle w:val="Hyperlink"/>
            <w:noProof/>
          </w:rPr>
          <w:t>Partnerships</w:t>
        </w:r>
        <w:r w:rsidR="005D15BD">
          <w:rPr>
            <w:noProof/>
            <w:webHidden/>
          </w:rPr>
          <w:tab/>
        </w:r>
        <w:r w:rsidR="005D15BD">
          <w:rPr>
            <w:noProof/>
            <w:webHidden/>
          </w:rPr>
          <w:fldChar w:fldCharType="begin"/>
        </w:r>
        <w:r w:rsidR="005D15BD">
          <w:rPr>
            <w:noProof/>
            <w:webHidden/>
          </w:rPr>
          <w:instrText xml:space="preserve"> PAGEREF _Toc365385426 \h </w:instrText>
        </w:r>
        <w:r w:rsidR="005D15BD">
          <w:rPr>
            <w:noProof/>
            <w:webHidden/>
          </w:rPr>
        </w:r>
        <w:r w:rsidR="005D15BD">
          <w:rPr>
            <w:noProof/>
            <w:webHidden/>
          </w:rPr>
          <w:fldChar w:fldCharType="separate"/>
        </w:r>
        <w:r w:rsidR="00451A90">
          <w:rPr>
            <w:noProof/>
            <w:webHidden/>
          </w:rPr>
          <w:t>54</w:t>
        </w:r>
        <w:r w:rsidR="005D15BD">
          <w:rPr>
            <w:noProof/>
            <w:webHidden/>
          </w:rPr>
          <w:fldChar w:fldCharType="end"/>
        </w:r>
      </w:hyperlink>
    </w:p>
    <w:p w:rsidR="005D15BD" w:rsidRDefault="00C040B9">
      <w:pPr>
        <w:pStyle w:val="TOC1"/>
        <w:tabs>
          <w:tab w:val="right" w:leader="dot" w:pos="9180"/>
        </w:tabs>
        <w:rPr>
          <w:rFonts w:eastAsiaTheme="minorEastAsia" w:cstheme="minorBidi"/>
          <w:b w:val="0"/>
          <w:bCs w:val="0"/>
          <w:caps w:val="0"/>
          <w:noProof/>
          <w:sz w:val="22"/>
          <w:szCs w:val="22"/>
          <w:lang w:eastAsia="en-AU"/>
        </w:rPr>
      </w:pPr>
      <w:hyperlink w:anchor="_Toc365385427" w:history="1">
        <w:r w:rsidR="005D15BD" w:rsidRPr="00E54B44">
          <w:rPr>
            <w:rStyle w:val="Hyperlink"/>
            <w:rFonts w:eastAsia="Times New Roman" w:cs="Calibri"/>
            <w:noProof/>
          </w:rPr>
          <w:t>The data above shows that:</w:t>
        </w:r>
        <w:r w:rsidR="005D15BD">
          <w:rPr>
            <w:noProof/>
            <w:webHidden/>
          </w:rPr>
          <w:tab/>
        </w:r>
        <w:r w:rsidR="005D15BD">
          <w:rPr>
            <w:noProof/>
            <w:webHidden/>
          </w:rPr>
          <w:fldChar w:fldCharType="begin"/>
        </w:r>
        <w:r w:rsidR="005D15BD">
          <w:rPr>
            <w:noProof/>
            <w:webHidden/>
          </w:rPr>
          <w:instrText xml:space="preserve"> PAGEREF _Toc365385427 \h </w:instrText>
        </w:r>
        <w:r w:rsidR="005D15BD">
          <w:rPr>
            <w:noProof/>
            <w:webHidden/>
          </w:rPr>
        </w:r>
        <w:r w:rsidR="005D15BD">
          <w:rPr>
            <w:noProof/>
            <w:webHidden/>
          </w:rPr>
          <w:fldChar w:fldCharType="separate"/>
        </w:r>
        <w:r w:rsidR="00451A90">
          <w:rPr>
            <w:noProof/>
            <w:webHidden/>
          </w:rPr>
          <w:t>59</w:t>
        </w:r>
        <w:r w:rsidR="005D15BD">
          <w:rPr>
            <w:noProof/>
            <w:webHidden/>
          </w:rPr>
          <w:fldChar w:fldCharType="end"/>
        </w:r>
      </w:hyperlink>
    </w:p>
    <w:p w:rsidR="005D15BD" w:rsidRDefault="00C040B9">
      <w:pPr>
        <w:pStyle w:val="TOC1"/>
        <w:tabs>
          <w:tab w:val="right" w:leader="dot" w:pos="9180"/>
        </w:tabs>
        <w:rPr>
          <w:rFonts w:eastAsiaTheme="minorEastAsia" w:cstheme="minorBidi"/>
          <w:b w:val="0"/>
          <w:bCs w:val="0"/>
          <w:caps w:val="0"/>
          <w:noProof/>
          <w:sz w:val="22"/>
          <w:szCs w:val="22"/>
          <w:lang w:eastAsia="en-AU"/>
        </w:rPr>
      </w:pPr>
      <w:hyperlink w:anchor="_Toc365385428" w:history="1">
        <w:r w:rsidR="005D15BD" w:rsidRPr="00E54B44">
          <w:rPr>
            <w:rStyle w:val="Hyperlink"/>
            <w:rFonts w:ascii="Cambria" w:hAnsi="Cambria"/>
            <w:noProof/>
          </w:rPr>
          <w:t>ANNEXURE 1 C – National Career Development</w:t>
        </w:r>
        <w:r w:rsidR="005D15BD">
          <w:rPr>
            <w:noProof/>
            <w:webHidden/>
          </w:rPr>
          <w:tab/>
        </w:r>
        <w:r w:rsidR="005D15BD">
          <w:rPr>
            <w:noProof/>
            <w:webHidden/>
          </w:rPr>
          <w:fldChar w:fldCharType="begin"/>
        </w:r>
        <w:r w:rsidR="005D15BD">
          <w:rPr>
            <w:noProof/>
            <w:webHidden/>
          </w:rPr>
          <w:instrText xml:space="preserve"> PAGEREF _Toc365385428 \h </w:instrText>
        </w:r>
        <w:r w:rsidR="005D15BD">
          <w:rPr>
            <w:noProof/>
            <w:webHidden/>
          </w:rPr>
        </w:r>
        <w:r w:rsidR="005D15BD">
          <w:rPr>
            <w:noProof/>
            <w:webHidden/>
          </w:rPr>
          <w:fldChar w:fldCharType="separate"/>
        </w:r>
        <w:r w:rsidR="00451A90">
          <w:rPr>
            <w:noProof/>
            <w:webHidden/>
          </w:rPr>
          <w:t>64</w:t>
        </w:r>
        <w:r w:rsidR="005D15BD">
          <w:rPr>
            <w:noProof/>
            <w:webHidden/>
          </w:rPr>
          <w:fldChar w:fldCharType="end"/>
        </w:r>
      </w:hyperlink>
    </w:p>
    <w:p w:rsidR="005D15BD" w:rsidRDefault="00C040B9">
      <w:pPr>
        <w:pStyle w:val="TOC2"/>
        <w:tabs>
          <w:tab w:val="right" w:leader="dot" w:pos="9180"/>
        </w:tabs>
        <w:rPr>
          <w:rFonts w:eastAsiaTheme="minorEastAsia" w:cstheme="minorBidi"/>
          <w:smallCaps w:val="0"/>
          <w:noProof/>
          <w:sz w:val="22"/>
          <w:szCs w:val="22"/>
          <w:lang w:eastAsia="en-AU"/>
        </w:rPr>
      </w:pPr>
      <w:hyperlink w:anchor="_Toc365385429" w:history="1">
        <w:r w:rsidR="005D15BD" w:rsidRPr="00E54B44">
          <w:rPr>
            <w:rStyle w:val="Hyperlink"/>
            <w:noProof/>
          </w:rPr>
          <w:t>National Summary: Activity during the 2011 calendar year</w:t>
        </w:r>
        <w:r w:rsidR="005D15BD">
          <w:rPr>
            <w:noProof/>
            <w:webHidden/>
          </w:rPr>
          <w:tab/>
        </w:r>
        <w:r w:rsidR="005D15BD">
          <w:rPr>
            <w:noProof/>
            <w:webHidden/>
          </w:rPr>
          <w:fldChar w:fldCharType="begin"/>
        </w:r>
        <w:r w:rsidR="005D15BD">
          <w:rPr>
            <w:noProof/>
            <w:webHidden/>
          </w:rPr>
          <w:instrText xml:space="preserve"> PAGEREF _Toc365385429 \h </w:instrText>
        </w:r>
        <w:r w:rsidR="005D15BD">
          <w:rPr>
            <w:noProof/>
            <w:webHidden/>
          </w:rPr>
        </w:r>
        <w:r w:rsidR="005D15BD">
          <w:rPr>
            <w:noProof/>
            <w:webHidden/>
          </w:rPr>
          <w:fldChar w:fldCharType="separate"/>
        </w:r>
        <w:r w:rsidR="00451A90">
          <w:rPr>
            <w:noProof/>
            <w:webHidden/>
          </w:rPr>
          <w:t>64</w:t>
        </w:r>
        <w:r w:rsidR="005D15BD">
          <w:rPr>
            <w:noProof/>
            <w:webHidden/>
          </w:rPr>
          <w:fldChar w:fldCharType="end"/>
        </w:r>
      </w:hyperlink>
    </w:p>
    <w:p w:rsidR="00D35240" w:rsidRDefault="001B7A68" w:rsidP="00D35240">
      <w:pPr>
        <w:pStyle w:val="BodyText2"/>
        <w:tabs>
          <w:tab w:val="right" w:leader="dot" w:pos="9180"/>
          <w:tab w:val="left" w:pos="9214"/>
        </w:tabs>
      </w:pPr>
      <w:r>
        <w:fldChar w:fldCharType="end"/>
      </w:r>
    </w:p>
    <w:p w:rsidR="00D35240" w:rsidRDefault="00D35240">
      <w:pPr>
        <w:spacing w:line="240" w:lineRule="auto"/>
        <w:rPr>
          <w:rFonts w:cs="Calibri"/>
        </w:rPr>
      </w:pPr>
      <w:r>
        <w:br w:type="page"/>
      </w:r>
    </w:p>
    <w:p w:rsidR="0040278E" w:rsidRPr="00F33BD9" w:rsidRDefault="0040278E" w:rsidP="00C43010">
      <w:pPr>
        <w:pStyle w:val="BodyText2"/>
      </w:pPr>
      <w:r w:rsidRPr="00F33BD9">
        <w:lastRenderedPageBreak/>
        <w:t>Annual reporting requirements under the National Partnership on Youth Attainment and Transitions are contained in paragraphs 69 to 72 (reproduced below). In addition, Schedule B of the National Partnership on Youth Attainment and Transitions contains Indigenous reporting requirements.</w:t>
      </w:r>
    </w:p>
    <w:p w:rsidR="007B55B3" w:rsidRDefault="007B55B3" w:rsidP="00C43010">
      <w:pPr>
        <w:pStyle w:val="BodyText2"/>
      </w:pPr>
    </w:p>
    <w:p w:rsidR="007B55B3" w:rsidRDefault="007B55B3" w:rsidP="00C43010">
      <w:pPr>
        <w:pStyle w:val="BodyText2"/>
        <w:sectPr w:rsidR="007B55B3" w:rsidSect="00443A84">
          <w:headerReference w:type="default" r:id="rId14"/>
          <w:footerReference w:type="default" r:id="rId15"/>
          <w:pgSz w:w="11906" w:h="16838"/>
          <w:pgMar w:top="1440" w:right="1276" w:bottom="1440" w:left="1440" w:header="568" w:footer="708" w:gutter="0"/>
          <w:pgNumType w:start="1"/>
          <w:cols w:space="708"/>
          <w:docGrid w:linePitch="360"/>
        </w:sectPr>
      </w:pPr>
    </w:p>
    <w:p w:rsidR="007B55B3" w:rsidRDefault="007B55B3" w:rsidP="007B55B3">
      <w:pPr>
        <w:pStyle w:val="Default"/>
        <w:pBdr>
          <w:top w:val="single" w:sz="4" w:space="1" w:color="auto"/>
          <w:left w:val="single" w:sz="4" w:space="4" w:color="auto"/>
          <w:bottom w:val="single" w:sz="4" w:space="1" w:color="auto"/>
          <w:right w:val="single" w:sz="4" w:space="4" w:color="auto"/>
        </w:pBdr>
        <w:shd w:val="clear" w:color="auto" w:fill="EEECE1"/>
        <w:spacing w:after="195"/>
        <w:ind w:left="426" w:right="401"/>
        <w:rPr>
          <w:sz w:val="22"/>
          <w:szCs w:val="22"/>
        </w:rPr>
      </w:pPr>
    </w:p>
    <w:p w:rsidR="007B55B3" w:rsidRPr="00F36A95" w:rsidRDefault="007B55B3" w:rsidP="007B55B3">
      <w:pPr>
        <w:pStyle w:val="Default"/>
        <w:pBdr>
          <w:top w:val="single" w:sz="4" w:space="1" w:color="auto"/>
          <w:left w:val="single" w:sz="4" w:space="4" w:color="auto"/>
          <w:bottom w:val="single" w:sz="4" w:space="1" w:color="auto"/>
          <w:right w:val="single" w:sz="4" w:space="4" w:color="auto"/>
        </w:pBdr>
        <w:shd w:val="clear" w:color="auto" w:fill="EEECE1"/>
        <w:spacing w:after="195"/>
        <w:ind w:left="426" w:right="401"/>
        <w:rPr>
          <w:sz w:val="22"/>
          <w:szCs w:val="22"/>
        </w:rPr>
      </w:pPr>
      <w:r w:rsidRPr="00F36A95">
        <w:rPr>
          <w:sz w:val="22"/>
          <w:szCs w:val="22"/>
        </w:rPr>
        <w:t xml:space="preserve">69. Thereafter, States and Territories will provide annual reports to the Commonwealth against the outcomes, performance benchmarks and performance indicators specified in this Agreement as outlined in table 1 at paragraph 16 and in table 3 at paragraph 59. </w:t>
      </w:r>
    </w:p>
    <w:p w:rsidR="007B55B3" w:rsidRPr="00F36A95" w:rsidRDefault="007B55B3" w:rsidP="007B55B3">
      <w:pPr>
        <w:pStyle w:val="FromNP"/>
        <w:pBdr>
          <w:top w:val="single" w:sz="4" w:space="1" w:color="auto"/>
          <w:left w:val="single" w:sz="4" w:space="4" w:color="auto"/>
          <w:bottom w:val="single" w:sz="4" w:space="1" w:color="auto"/>
          <w:right w:val="single" w:sz="4" w:space="4" w:color="auto"/>
        </w:pBdr>
        <w:shd w:val="clear" w:color="auto" w:fill="EEECE1"/>
        <w:ind w:left="426" w:right="401"/>
        <w:rPr>
          <w:sz w:val="22"/>
          <w:szCs w:val="22"/>
        </w:rPr>
      </w:pPr>
      <w:r w:rsidRPr="00F36A95">
        <w:rPr>
          <w:sz w:val="22"/>
          <w:szCs w:val="22"/>
        </w:rPr>
        <w:t xml:space="preserve">70. To meet a shared commitment to reporting on efforts to close the gap for Indigenous people, States and Territories also commit to including in their annual reports progress towards halving the gap in Indigenous Year 12 or equivalent attainment by 2020. Progress measures towards halving the gap in Indigenous Year 12 or equivalent attainment are at Schedule B. </w:t>
      </w:r>
    </w:p>
    <w:p w:rsidR="007B55B3" w:rsidRPr="00F36A95" w:rsidRDefault="007B55B3" w:rsidP="007B55B3">
      <w:pPr>
        <w:pStyle w:val="Default"/>
        <w:pBdr>
          <w:top w:val="single" w:sz="4" w:space="1" w:color="auto"/>
          <w:left w:val="single" w:sz="4" w:space="4" w:color="auto"/>
          <w:bottom w:val="single" w:sz="4" w:space="1" w:color="auto"/>
          <w:right w:val="single" w:sz="4" w:space="4" w:color="auto"/>
        </w:pBdr>
        <w:shd w:val="clear" w:color="auto" w:fill="EEECE1"/>
        <w:spacing w:after="195"/>
        <w:ind w:left="426" w:right="401"/>
        <w:rPr>
          <w:sz w:val="22"/>
          <w:szCs w:val="22"/>
        </w:rPr>
      </w:pPr>
      <w:r w:rsidRPr="00F36A95">
        <w:rPr>
          <w:sz w:val="22"/>
          <w:szCs w:val="22"/>
        </w:rPr>
        <w:t>71. Reporting will include detail of funding provided to the non-government sector and maintenance of any existing State and Territory funding for careers and transitions support services (see paragraph 52 and 53).</w:t>
      </w:r>
    </w:p>
    <w:p w:rsidR="007B55B3" w:rsidRDefault="007B55B3" w:rsidP="007B55B3">
      <w:pPr>
        <w:pStyle w:val="Default"/>
        <w:pBdr>
          <w:top w:val="single" w:sz="4" w:space="1" w:color="auto"/>
          <w:left w:val="single" w:sz="4" w:space="4" w:color="auto"/>
          <w:bottom w:val="single" w:sz="4" w:space="1" w:color="auto"/>
          <w:right w:val="single" w:sz="4" w:space="4" w:color="auto"/>
        </w:pBdr>
        <w:shd w:val="clear" w:color="auto" w:fill="EEECE1"/>
        <w:spacing w:after="195"/>
        <w:ind w:left="426" w:right="401"/>
        <w:rPr>
          <w:sz w:val="22"/>
          <w:szCs w:val="22"/>
        </w:rPr>
      </w:pPr>
      <w:r w:rsidRPr="00F36A95">
        <w:rPr>
          <w:sz w:val="22"/>
          <w:szCs w:val="22"/>
        </w:rPr>
        <w:t xml:space="preserve">72. The first annual report, for the period 1 July 2009 to 31 December 2010 is due by 31 May 2011. Subsequent annual reports for each calendar year of the Agreement are due by 31 May of the following year. The final report, for the 2013 calendar year, is due by 31 May 2014. </w:t>
      </w:r>
    </w:p>
    <w:p w:rsidR="007B55B3" w:rsidRPr="00F36A95" w:rsidRDefault="007B55B3" w:rsidP="007B55B3">
      <w:pPr>
        <w:pStyle w:val="Default"/>
        <w:pBdr>
          <w:top w:val="single" w:sz="4" w:space="1" w:color="auto"/>
          <w:left w:val="single" w:sz="4" w:space="4" w:color="auto"/>
          <w:bottom w:val="single" w:sz="4" w:space="1" w:color="auto"/>
          <w:right w:val="single" w:sz="4" w:space="4" w:color="auto"/>
        </w:pBdr>
        <w:shd w:val="clear" w:color="auto" w:fill="EEECE1"/>
        <w:spacing w:after="195"/>
        <w:ind w:left="426" w:right="401"/>
        <w:rPr>
          <w:sz w:val="22"/>
          <w:szCs w:val="22"/>
        </w:rPr>
      </w:pPr>
    </w:p>
    <w:p w:rsidR="0040278E" w:rsidRPr="00F33BD9" w:rsidRDefault="0040278E" w:rsidP="00C43010">
      <w:pPr>
        <w:pStyle w:val="BodyText2"/>
      </w:pPr>
    </w:p>
    <w:p w:rsidR="0040278E" w:rsidRPr="00F33BD9" w:rsidRDefault="0040278E" w:rsidP="00010883">
      <w:pPr>
        <w:keepNext/>
        <w:keepLines/>
        <w:spacing w:before="360" w:after="240"/>
        <w:outlineLvl w:val="1"/>
        <w:rPr>
          <w:rFonts w:eastAsia="Times New Roman" w:cs="Calibri"/>
          <w:b/>
          <w:bCs/>
          <w:color w:val="000000"/>
          <w:sz w:val="28"/>
          <w:szCs w:val="26"/>
        </w:rPr>
        <w:sectPr w:rsidR="0040278E" w:rsidRPr="00F33BD9" w:rsidSect="007B55B3">
          <w:type w:val="continuous"/>
          <w:pgSz w:w="11906" w:h="16838"/>
          <w:pgMar w:top="1440" w:right="1276" w:bottom="1440" w:left="1440" w:header="568" w:footer="708" w:gutter="0"/>
          <w:pgNumType w:start="1"/>
          <w:cols w:space="708"/>
          <w:docGrid w:linePitch="360"/>
        </w:sectPr>
      </w:pPr>
    </w:p>
    <w:p w:rsidR="0040278E" w:rsidRPr="00F33BD9" w:rsidRDefault="0040278E" w:rsidP="00010883">
      <w:pPr>
        <w:rPr>
          <w:rFonts w:cs="Calibri"/>
        </w:rPr>
      </w:pPr>
    </w:p>
    <w:p w:rsidR="009F4BFC" w:rsidRPr="00FB7A15" w:rsidRDefault="009F4BFC" w:rsidP="009F4BFC">
      <w:pPr>
        <w:pStyle w:val="Heading1"/>
      </w:pPr>
      <w:bookmarkStart w:id="0" w:name="_Toc316995194"/>
      <w:bookmarkStart w:id="1" w:name="_Toc365385402"/>
      <w:r w:rsidRPr="00FB7A15">
        <w:t xml:space="preserve">PART A: </w:t>
      </w:r>
      <w:r>
        <w:t xml:space="preserve">Queensland, </w:t>
      </w:r>
      <w:r w:rsidRPr="00FB7A15">
        <w:t>National Partnership</w:t>
      </w:r>
      <w:bookmarkEnd w:id="0"/>
      <w:r>
        <w:t xml:space="preserve"> on Youth Attainment and Transitions – May 2012 report</w:t>
      </w:r>
      <w:bookmarkEnd w:id="1"/>
      <w:r>
        <w:t xml:space="preserve"> </w:t>
      </w:r>
    </w:p>
    <w:tbl>
      <w:tblPr>
        <w:tblStyle w:val="TableGrid"/>
        <w:tblW w:w="21796" w:type="dxa"/>
        <w:tblLayout w:type="fixed"/>
        <w:tblLook w:val="01E0" w:firstRow="1" w:lastRow="1" w:firstColumn="1" w:lastColumn="1" w:noHBand="0" w:noVBand="0"/>
        <w:tblCaption w:val="Table - PART A: Queensland, National Partnership on Youth Attainment and Transitions – May 2012 "/>
        <w:tblDescription w:val="The table provides data for the outcomes and performance indicators included in the National Partnership on Youth Attainment and Transitions."/>
      </w:tblPr>
      <w:tblGrid>
        <w:gridCol w:w="3845"/>
        <w:gridCol w:w="5619"/>
        <w:gridCol w:w="2620"/>
        <w:gridCol w:w="1214"/>
        <w:gridCol w:w="1214"/>
        <w:gridCol w:w="1214"/>
        <w:gridCol w:w="1214"/>
        <w:gridCol w:w="1214"/>
        <w:gridCol w:w="1214"/>
        <w:gridCol w:w="1214"/>
        <w:gridCol w:w="1214"/>
      </w:tblGrid>
      <w:tr w:rsidR="009F4BFC" w:rsidRPr="00503317" w:rsidTr="001564A5">
        <w:trPr>
          <w:cantSplit/>
          <w:tblHeader/>
        </w:trPr>
        <w:tc>
          <w:tcPr>
            <w:tcW w:w="3845" w:type="dxa"/>
            <w:tcBorders>
              <w:top w:val="single" w:sz="12" w:space="0" w:color="auto"/>
              <w:left w:val="single" w:sz="12"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Outcome</w:t>
            </w:r>
          </w:p>
        </w:tc>
        <w:tc>
          <w:tcPr>
            <w:tcW w:w="5619" w:type="dxa"/>
            <w:tcBorders>
              <w:top w:val="single" w:sz="12" w:space="0" w:color="auto"/>
              <w:left w:val="single" w:sz="4"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Performance Indicator</w:t>
            </w:r>
          </w:p>
        </w:tc>
        <w:tc>
          <w:tcPr>
            <w:tcW w:w="2620" w:type="dxa"/>
            <w:tcBorders>
              <w:top w:val="single" w:sz="12" w:space="0" w:color="auto"/>
              <w:left w:val="single" w:sz="4" w:space="0" w:color="auto"/>
              <w:bottom w:val="single" w:sz="12" w:space="0" w:color="auto"/>
              <w:right w:val="single" w:sz="12" w:space="0" w:color="auto"/>
            </w:tcBorders>
            <w:shd w:val="clear" w:color="auto" w:fill="E0E0E0"/>
          </w:tcPr>
          <w:p w:rsidR="009F4BFC" w:rsidRPr="00FB7A15" w:rsidRDefault="009F4BFC" w:rsidP="001564A5">
            <w:pPr>
              <w:rPr>
                <w:rStyle w:val="Strong"/>
              </w:rPr>
            </w:pPr>
            <w:r w:rsidRPr="00FB7A15">
              <w:rPr>
                <w:rStyle w:val="Strong"/>
              </w:rPr>
              <w:t>Source</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May 2011</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9F4BFC" w:rsidRPr="00503317" w:rsidRDefault="009F4BFC" w:rsidP="001564A5">
            <w:r w:rsidRPr="00503317">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May 2012</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9F4BFC" w:rsidRPr="00503317" w:rsidRDefault="009F4BFC" w:rsidP="001564A5">
            <w:r w:rsidRPr="00503317">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May 2013</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9F4BFC" w:rsidRPr="00503317" w:rsidRDefault="009F4BFC" w:rsidP="001564A5">
            <w:r w:rsidRPr="00503317">
              <w:t>August addendum</w:t>
            </w:r>
          </w:p>
        </w:tc>
        <w:tc>
          <w:tcPr>
            <w:tcW w:w="1214" w:type="dxa"/>
            <w:tcBorders>
              <w:top w:val="single" w:sz="12" w:space="0" w:color="auto"/>
              <w:left w:val="single" w:sz="4" w:space="0" w:color="auto"/>
              <w:bottom w:val="single" w:sz="12" w:space="0" w:color="auto"/>
              <w:right w:val="single" w:sz="4" w:space="0" w:color="auto"/>
            </w:tcBorders>
            <w:shd w:val="clear" w:color="auto" w:fill="E0E0E0"/>
          </w:tcPr>
          <w:p w:rsidR="009F4BFC" w:rsidRPr="00FB7A15" w:rsidRDefault="009F4BFC" w:rsidP="001564A5">
            <w:pPr>
              <w:rPr>
                <w:rStyle w:val="Strong"/>
              </w:rPr>
            </w:pPr>
            <w:r w:rsidRPr="00FB7A15">
              <w:rPr>
                <w:rStyle w:val="Strong"/>
              </w:rPr>
              <w:t>May 2014</w:t>
            </w:r>
          </w:p>
        </w:tc>
        <w:tc>
          <w:tcPr>
            <w:tcW w:w="1214" w:type="dxa"/>
            <w:tcBorders>
              <w:top w:val="single" w:sz="12" w:space="0" w:color="auto"/>
              <w:left w:val="single" w:sz="4" w:space="0" w:color="auto"/>
              <w:bottom w:val="single" w:sz="12" w:space="0" w:color="auto"/>
              <w:right w:val="single" w:sz="12" w:space="0" w:color="auto"/>
            </w:tcBorders>
            <w:shd w:val="clear" w:color="auto" w:fill="E0E0E0"/>
          </w:tcPr>
          <w:p w:rsidR="009F4BFC" w:rsidRPr="00503317" w:rsidRDefault="009F4BFC" w:rsidP="001564A5">
            <w:r w:rsidRPr="00503317">
              <w:t>August addendum</w:t>
            </w:r>
          </w:p>
        </w:tc>
      </w:tr>
      <w:tr w:rsidR="009F4BFC" w:rsidRPr="003C3476" w:rsidTr="001564A5">
        <w:trPr>
          <w:cantSplit/>
          <w:trHeight w:val="331"/>
        </w:trPr>
        <w:tc>
          <w:tcPr>
            <w:tcW w:w="3845" w:type="dxa"/>
            <w:vMerge w:val="restart"/>
            <w:tcBorders>
              <w:top w:val="single" w:sz="12" w:space="0" w:color="auto"/>
              <w:left w:val="single" w:sz="12" w:space="0" w:color="auto"/>
            </w:tcBorders>
            <w:shd w:val="clear" w:color="auto" w:fill="E6E6E6"/>
          </w:tcPr>
          <w:p w:rsidR="009F4BFC" w:rsidRPr="00AB5D2C" w:rsidRDefault="009F4BFC" w:rsidP="001564A5">
            <w:pPr>
              <w:rPr>
                <w:rFonts w:ascii="Arial Narrow" w:hAnsi="Arial Narrow"/>
                <w:sz w:val="20"/>
                <w:szCs w:val="20"/>
              </w:rPr>
            </w:pPr>
            <w:r w:rsidRPr="00AB5D2C">
              <w:rPr>
                <w:rFonts w:ascii="Arial Narrow" w:hAnsi="Arial Narrow"/>
                <w:sz w:val="20"/>
                <w:szCs w:val="20"/>
              </w:rPr>
              <w:t>Increased participation of young people in education and training</w:t>
            </w:r>
          </w:p>
        </w:tc>
        <w:tc>
          <w:tcPr>
            <w:tcW w:w="5619" w:type="dxa"/>
            <w:tcBorders>
              <w:top w:val="single" w:sz="12" w:space="0" w:color="auto"/>
            </w:tcBorders>
            <w:shd w:val="clear" w:color="auto" w:fill="auto"/>
          </w:tcPr>
          <w:p w:rsidR="009F4BFC" w:rsidRPr="00AB5D2C" w:rsidRDefault="009F4BFC" w:rsidP="001564A5">
            <w:pPr>
              <w:autoSpaceDE w:val="0"/>
              <w:autoSpaceDN w:val="0"/>
              <w:adjustRightInd w:val="0"/>
              <w:rPr>
                <w:rFonts w:ascii="Arial Narrow" w:hAnsi="Arial Narrow" w:cs="Corbel"/>
                <w:sz w:val="20"/>
                <w:szCs w:val="20"/>
              </w:rPr>
            </w:pPr>
            <w:r w:rsidRPr="00AB5D2C">
              <w:rPr>
                <w:rFonts w:ascii="Arial Narrow" w:hAnsi="Arial Narrow" w:cs="Corbel"/>
                <w:sz w:val="20"/>
                <w:szCs w:val="20"/>
              </w:rPr>
              <w:t>Enrolment of full</w:t>
            </w:r>
            <w:r w:rsidRPr="00AB5D2C">
              <w:rPr>
                <w:rFonts w:cs="Corbel"/>
                <w:sz w:val="20"/>
                <w:szCs w:val="20"/>
              </w:rPr>
              <w:t>‐</w:t>
            </w:r>
            <w:r w:rsidRPr="00AB5D2C">
              <w:rPr>
                <w:rFonts w:ascii="Arial Narrow" w:hAnsi="Arial Narrow" w:cs="Corbel"/>
                <w:sz w:val="20"/>
                <w:szCs w:val="20"/>
              </w:rPr>
              <w:t>time equivalent students in years 11 and 12</w:t>
            </w:r>
            <w:r>
              <w:rPr>
                <w:rStyle w:val="FootnoteReference"/>
                <w:rFonts w:ascii="Arial Narrow" w:hAnsi="Arial Narrow" w:cs="Corbel"/>
                <w:sz w:val="20"/>
                <w:szCs w:val="20"/>
              </w:rPr>
              <w:footnoteReference w:id="1"/>
            </w:r>
          </w:p>
        </w:tc>
        <w:tc>
          <w:tcPr>
            <w:tcW w:w="2620" w:type="dxa"/>
            <w:vMerge w:val="restart"/>
            <w:tcBorders>
              <w:top w:val="single" w:sz="12" w:space="0" w:color="auto"/>
              <w:right w:val="single" w:sz="12" w:space="0" w:color="auto"/>
            </w:tcBorders>
            <w:shd w:val="clear" w:color="auto" w:fill="auto"/>
          </w:tcPr>
          <w:p w:rsidR="009F4BFC" w:rsidRPr="00AB5D2C" w:rsidRDefault="009F4BFC" w:rsidP="001564A5">
            <w:pPr>
              <w:autoSpaceDE w:val="0"/>
              <w:autoSpaceDN w:val="0"/>
              <w:adjustRightInd w:val="0"/>
              <w:rPr>
                <w:rFonts w:ascii="Arial Narrow" w:hAnsi="Arial Narrow"/>
                <w:sz w:val="20"/>
                <w:szCs w:val="20"/>
              </w:rPr>
            </w:pPr>
            <w:r w:rsidRPr="00AB5D2C">
              <w:rPr>
                <w:rFonts w:ascii="Arial Narrow" w:hAnsi="Arial Narrow"/>
                <w:sz w:val="20"/>
                <w:szCs w:val="20"/>
              </w:rPr>
              <w:t>National Schools Statistics Collection (ABS)</w:t>
            </w:r>
          </w:p>
        </w:tc>
        <w:tc>
          <w:tcPr>
            <w:tcW w:w="1214" w:type="dxa"/>
            <w:tcBorders>
              <w:top w:val="single" w:sz="12" w:space="0" w:color="auto"/>
              <w:right w:val="single" w:sz="4" w:space="0" w:color="auto"/>
            </w:tcBorders>
          </w:tcPr>
          <w:p w:rsidR="009F4BFC" w:rsidRPr="00AB5D2C" w:rsidRDefault="009F4BFC" w:rsidP="001564A5">
            <w:pPr>
              <w:autoSpaceDE w:val="0"/>
              <w:autoSpaceDN w:val="0"/>
              <w:adjustRightInd w:val="0"/>
              <w:jc w:val="right"/>
              <w:rPr>
                <w:rFonts w:ascii="Arial Narrow" w:hAnsi="Arial Narrow"/>
                <w:sz w:val="20"/>
                <w:szCs w:val="20"/>
              </w:rPr>
            </w:pPr>
            <w:r>
              <w:rPr>
                <w:rFonts w:ascii="Arial Narrow" w:hAnsi="Arial Narrow"/>
                <w:sz w:val="20"/>
                <w:szCs w:val="20"/>
              </w:rPr>
              <w:t>103,454</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104,946</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School</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12" w:space="0" w:color="auto"/>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 School</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r>
      <w:tr w:rsidR="009F4BFC" w:rsidRPr="003C3476" w:rsidTr="001564A5">
        <w:trPr>
          <w:cantSplit/>
          <w:trHeight w:val="240"/>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tcBorders>
              <w:top w:val="single" w:sz="4" w:space="0" w:color="auto"/>
            </w:tcBorders>
            <w:shd w:val="clear" w:color="auto" w:fill="auto"/>
          </w:tcPr>
          <w:p w:rsidR="009F4BFC" w:rsidRPr="0082723D"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 xml:space="preserve">Enrolment of Indigenous </w:t>
            </w:r>
            <w:r w:rsidRPr="00AB5D2C">
              <w:rPr>
                <w:rFonts w:ascii="Arial Narrow" w:hAnsi="Arial Narrow" w:cs="Corbel"/>
                <w:sz w:val="20"/>
                <w:szCs w:val="20"/>
              </w:rPr>
              <w:t>full</w:t>
            </w:r>
            <w:r w:rsidRPr="00AB5D2C">
              <w:rPr>
                <w:rFonts w:cs="Corbel"/>
                <w:sz w:val="20"/>
                <w:szCs w:val="20"/>
              </w:rPr>
              <w:t>‐</w:t>
            </w:r>
            <w:r w:rsidRPr="00AB5D2C">
              <w:rPr>
                <w:rFonts w:ascii="Arial Narrow" w:hAnsi="Arial Narrow" w:cs="Corbel"/>
                <w:sz w:val="20"/>
                <w:szCs w:val="20"/>
              </w:rPr>
              <w:t xml:space="preserve">time equivalent </w:t>
            </w:r>
            <w:r w:rsidRPr="0082723D">
              <w:rPr>
                <w:rFonts w:ascii="Arial Narrow" w:hAnsi="Arial Narrow" w:cs="Corbel"/>
                <w:sz w:val="20"/>
                <w:szCs w:val="20"/>
              </w:rPr>
              <w:t>students in years 11 and 12</w:t>
            </w:r>
            <w:r>
              <w:rPr>
                <w:rStyle w:val="FootnoteReference"/>
                <w:rFonts w:ascii="Arial Narrow" w:hAnsi="Arial Narrow" w:cs="Corbel"/>
                <w:sz w:val="20"/>
                <w:szCs w:val="20"/>
              </w:rPr>
              <w:footnoteReference w:id="2"/>
            </w:r>
          </w:p>
        </w:tc>
        <w:tc>
          <w:tcPr>
            <w:tcW w:w="2620" w:type="dxa"/>
            <w:vMerge/>
            <w:tcBorders>
              <w:right w:val="single" w:sz="12" w:space="0" w:color="auto"/>
            </w:tcBorders>
            <w:shd w:val="clear" w:color="auto" w:fill="auto"/>
          </w:tcPr>
          <w:p w:rsidR="009F4BFC" w:rsidRPr="00AB5D2C" w:rsidRDefault="009F4BFC" w:rsidP="001564A5">
            <w:pPr>
              <w:autoSpaceDE w:val="0"/>
              <w:autoSpaceDN w:val="0"/>
              <w:adjustRightInd w:val="0"/>
              <w:rPr>
                <w:rFonts w:ascii="Arial Narrow" w:hAnsi="Arial Narrow"/>
                <w:sz w:val="20"/>
                <w:szCs w:val="20"/>
              </w:rPr>
            </w:pPr>
          </w:p>
        </w:tc>
        <w:tc>
          <w:tcPr>
            <w:tcW w:w="1214" w:type="dxa"/>
            <w:tcBorders>
              <w:right w:val="single" w:sz="4" w:space="0" w:color="auto"/>
            </w:tcBorders>
          </w:tcPr>
          <w:p w:rsidR="009F4BFC" w:rsidRPr="00AB5D2C" w:rsidRDefault="009F4BFC" w:rsidP="001564A5">
            <w:pPr>
              <w:autoSpaceDE w:val="0"/>
              <w:autoSpaceDN w:val="0"/>
              <w:adjustRightInd w:val="0"/>
              <w:jc w:val="right"/>
              <w:rPr>
                <w:rFonts w:ascii="Arial Narrow" w:hAnsi="Arial Narrow"/>
                <w:sz w:val="20"/>
                <w:szCs w:val="20"/>
              </w:rPr>
            </w:pPr>
            <w:r>
              <w:rPr>
                <w:rFonts w:ascii="Arial Narrow" w:hAnsi="Arial Narrow"/>
                <w:sz w:val="20"/>
                <w:szCs w:val="20"/>
              </w:rPr>
              <w:t>5,163</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5,230</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2012 School</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2013 School</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r>
      <w:tr w:rsidR="009F4BFC" w:rsidRPr="003C3476" w:rsidTr="001564A5">
        <w:trPr>
          <w:cantSplit/>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shd w:val="clear" w:color="auto" w:fill="auto"/>
          </w:tcPr>
          <w:p w:rsidR="009F4BFC" w:rsidRPr="0082723D" w:rsidRDefault="009F4BFC" w:rsidP="001564A5">
            <w:pPr>
              <w:autoSpaceDE w:val="0"/>
              <w:autoSpaceDN w:val="0"/>
              <w:adjustRightInd w:val="0"/>
              <w:rPr>
                <w:rFonts w:ascii="Arial Narrow" w:hAnsi="Arial Narrow" w:cs="Corbel"/>
                <w:sz w:val="20"/>
                <w:szCs w:val="20"/>
              </w:rPr>
            </w:pPr>
            <w:r w:rsidRPr="0082723D">
              <w:rPr>
                <w:rFonts w:ascii="Arial Narrow" w:hAnsi="Arial Narrow"/>
                <w:sz w:val="20"/>
                <w:szCs w:val="20"/>
              </w:rPr>
              <w:t xml:space="preserve">Enrolment of Indigenous </w:t>
            </w:r>
            <w:r w:rsidRPr="00AB5D2C">
              <w:rPr>
                <w:rFonts w:ascii="Arial Narrow" w:hAnsi="Arial Narrow" w:cs="Corbel"/>
                <w:sz w:val="20"/>
                <w:szCs w:val="20"/>
              </w:rPr>
              <w:t>full</w:t>
            </w:r>
            <w:r w:rsidRPr="00AB5D2C">
              <w:rPr>
                <w:rFonts w:cs="Corbel"/>
                <w:sz w:val="20"/>
                <w:szCs w:val="20"/>
              </w:rPr>
              <w:t>‐</w:t>
            </w:r>
            <w:r w:rsidRPr="00AB5D2C">
              <w:rPr>
                <w:rFonts w:ascii="Arial Narrow" w:hAnsi="Arial Narrow" w:cs="Corbel"/>
                <w:sz w:val="20"/>
                <w:szCs w:val="20"/>
              </w:rPr>
              <w:t xml:space="preserve">time equivalent </w:t>
            </w:r>
            <w:r w:rsidRPr="0082723D">
              <w:rPr>
                <w:rFonts w:ascii="Arial Narrow" w:hAnsi="Arial Narrow"/>
                <w:sz w:val="20"/>
                <w:szCs w:val="20"/>
              </w:rPr>
              <w:t>students in years 9 and 10</w:t>
            </w:r>
            <w:r>
              <w:rPr>
                <w:rStyle w:val="FootnoteReference"/>
                <w:rFonts w:ascii="Arial Narrow" w:hAnsi="Arial Narrow"/>
                <w:sz w:val="20"/>
                <w:szCs w:val="20"/>
              </w:rPr>
              <w:footnoteReference w:id="3"/>
            </w:r>
          </w:p>
        </w:tc>
        <w:tc>
          <w:tcPr>
            <w:tcW w:w="2620" w:type="dxa"/>
            <w:vMerge/>
            <w:tcBorders>
              <w:right w:val="single" w:sz="12" w:space="0" w:color="auto"/>
            </w:tcBorders>
            <w:shd w:val="clear" w:color="auto" w:fill="auto"/>
          </w:tcPr>
          <w:p w:rsidR="009F4BFC" w:rsidRPr="00AB5D2C" w:rsidRDefault="009F4BFC" w:rsidP="001564A5">
            <w:pPr>
              <w:rPr>
                <w:rFonts w:ascii="Arial Narrow" w:hAnsi="Arial Narrow"/>
                <w:sz w:val="20"/>
                <w:szCs w:val="20"/>
              </w:rPr>
            </w:pP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7,664</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7,723</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School</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 School</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r>
      <w:tr w:rsidR="009F4BFC" w:rsidRPr="003C3476" w:rsidTr="001564A5">
        <w:trPr>
          <w:cantSplit/>
          <w:trHeight w:val="465"/>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shd w:val="clear" w:color="auto" w:fill="auto"/>
          </w:tcPr>
          <w:p w:rsidR="009F4BFC" w:rsidRPr="0082723D" w:rsidRDefault="009F4BFC" w:rsidP="001564A5">
            <w:pPr>
              <w:autoSpaceDE w:val="0"/>
              <w:autoSpaceDN w:val="0"/>
              <w:adjustRightInd w:val="0"/>
              <w:rPr>
                <w:rFonts w:ascii="Arial Narrow" w:hAnsi="Arial Narrow"/>
                <w:sz w:val="20"/>
                <w:szCs w:val="20"/>
              </w:rPr>
            </w:pPr>
            <w:r w:rsidRPr="0082723D">
              <w:rPr>
                <w:rFonts w:ascii="Arial Narrow" w:hAnsi="Arial Narrow" w:cs="Corbel"/>
                <w:sz w:val="20"/>
                <w:szCs w:val="20"/>
              </w:rPr>
              <w:t>15</w:t>
            </w:r>
            <w:r w:rsidRPr="0082723D">
              <w:rPr>
                <w:rFonts w:cs="Corbel"/>
                <w:sz w:val="20"/>
                <w:szCs w:val="20"/>
              </w:rPr>
              <w:t>‐</w:t>
            </w:r>
            <w:r w:rsidRPr="0082723D">
              <w:rPr>
                <w:rFonts w:ascii="Arial Narrow" w:hAnsi="Arial Narrow" w:cs="Corbel"/>
                <w:sz w:val="20"/>
                <w:szCs w:val="20"/>
              </w:rPr>
              <w:t>19 year olds without a Year 12 certificate and not enrolled in school who are enrolled in a vocational education and training (VET) course at Certificate II level or higher</w:t>
            </w:r>
            <w:r>
              <w:rPr>
                <w:rStyle w:val="FootnoteReference"/>
                <w:rFonts w:ascii="Arial Narrow" w:hAnsi="Arial Narrow" w:cs="Corbel"/>
                <w:sz w:val="20"/>
                <w:szCs w:val="20"/>
              </w:rPr>
              <w:footnoteReference w:id="4"/>
            </w:r>
          </w:p>
        </w:tc>
        <w:tc>
          <w:tcPr>
            <w:tcW w:w="2620" w:type="dxa"/>
            <w:vMerge w:val="restart"/>
            <w:tcBorders>
              <w:right w:val="single" w:sz="12" w:space="0" w:color="auto"/>
            </w:tcBorders>
            <w:shd w:val="clear" w:color="auto" w:fill="auto"/>
          </w:tcPr>
          <w:p w:rsidR="009F4BFC" w:rsidRPr="00AB5D2C" w:rsidRDefault="009F4BFC" w:rsidP="001564A5">
            <w:pPr>
              <w:rPr>
                <w:rFonts w:ascii="Arial Narrow" w:hAnsi="Arial Narrow"/>
                <w:sz w:val="20"/>
                <w:szCs w:val="20"/>
              </w:rPr>
            </w:pPr>
            <w:proofErr w:type="spellStart"/>
            <w:r w:rsidRPr="00AB5D2C">
              <w:rPr>
                <w:rFonts w:ascii="Arial Narrow" w:hAnsi="Arial Narrow"/>
                <w:sz w:val="20"/>
                <w:szCs w:val="20"/>
              </w:rPr>
              <w:t>VOCSTATS</w:t>
            </w:r>
            <w:proofErr w:type="spellEnd"/>
            <w:r w:rsidRPr="00AB5D2C">
              <w:rPr>
                <w:rFonts w:ascii="Arial Narrow" w:hAnsi="Arial Narrow"/>
                <w:sz w:val="20"/>
                <w:szCs w:val="20"/>
              </w:rPr>
              <w:t xml:space="preserve"> (</w:t>
            </w:r>
            <w:proofErr w:type="spellStart"/>
            <w:r w:rsidRPr="00AB5D2C">
              <w:rPr>
                <w:rFonts w:ascii="Arial Narrow" w:hAnsi="Arial Narrow"/>
                <w:sz w:val="20"/>
                <w:szCs w:val="20"/>
              </w:rPr>
              <w:t>NCVER</w:t>
            </w:r>
            <w:proofErr w:type="spellEnd"/>
            <w:r w:rsidRPr="00AB5D2C">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18,045</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24, 065</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VET</w:t>
            </w:r>
          </w:p>
        </w:tc>
        <w:tc>
          <w:tcPr>
            <w:tcW w:w="1214" w:type="dxa"/>
            <w:tcBorders>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 VET</w:t>
            </w:r>
          </w:p>
        </w:tc>
      </w:tr>
      <w:tr w:rsidR="009F4BFC" w:rsidRPr="003C3476" w:rsidTr="001564A5">
        <w:trPr>
          <w:cantSplit/>
          <w:trHeight w:val="465"/>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shd w:val="clear" w:color="auto" w:fill="auto"/>
          </w:tcPr>
          <w:p w:rsidR="009F4BFC" w:rsidRPr="0082723D"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Indigenous 15</w:t>
            </w:r>
            <w:r w:rsidRPr="0082723D">
              <w:rPr>
                <w:rFonts w:cs="Corbel"/>
                <w:sz w:val="20"/>
                <w:szCs w:val="20"/>
              </w:rPr>
              <w:t>‐</w:t>
            </w:r>
            <w:r w:rsidRPr="0082723D">
              <w:rPr>
                <w:rFonts w:ascii="Arial Narrow" w:hAnsi="Arial Narrow" w:cs="Corbel"/>
                <w:sz w:val="20"/>
                <w:szCs w:val="20"/>
              </w:rPr>
              <w:t>19 year olds without a Year 12 certificate and not enrolled in school who are enrolled in a vocational education and training (VET) course at Certificate II level or higher</w:t>
            </w:r>
            <w:r>
              <w:rPr>
                <w:rStyle w:val="FootnoteReference"/>
                <w:rFonts w:ascii="Arial Narrow" w:hAnsi="Arial Narrow" w:cs="Corbel"/>
                <w:sz w:val="20"/>
                <w:szCs w:val="20"/>
              </w:rPr>
              <w:footnoteReference w:id="5"/>
            </w:r>
          </w:p>
        </w:tc>
        <w:tc>
          <w:tcPr>
            <w:tcW w:w="2620" w:type="dxa"/>
            <w:vMerge/>
            <w:tcBorders>
              <w:right w:val="single" w:sz="12" w:space="0" w:color="auto"/>
            </w:tcBorders>
            <w:shd w:val="clear" w:color="auto" w:fill="auto"/>
          </w:tcPr>
          <w:p w:rsidR="009F4BFC" w:rsidRPr="00AB5D2C" w:rsidRDefault="009F4BFC" w:rsidP="001564A5">
            <w:pPr>
              <w:rPr>
                <w:rFonts w:ascii="Arial Narrow" w:hAnsi="Arial Narrow"/>
                <w:sz w:val="20"/>
                <w:szCs w:val="20"/>
              </w:rPr>
            </w:pP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1,249</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1, 931</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2012 VET</w:t>
            </w:r>
          </w:p>
        </w:tc>
        <w:tc>
          <w:tcPr>
            <w:tcW w:w="1214" w:type="dxa"/>
            <w:tcBorders>
              <w:left w:val="single" w:sz="4" w:space="0" w:color="auto"/>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2013 VET</w:t>
            </w:r>
          </w:p>
        </w:tc>
      </w:tr>
      <w:tr w:rsidR="009F4BFC" w:rsidRPr="003C3476" w:rsidTr="001564A5">
        <w:trPr>
          <w:cantSplit/>
          <w:trHeight w:val="636"/>
        </w:trPr>
        <w:tc>
          <w:tcPr>
            <w:tcW w:w="3845" w:type="dxa"/>
            <w:vMerge/>
            <w:tcBorders>
              <w:left w:val="single" w:sz="12" w:space="0" w:color="auto"/>
              <w:bottom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tcBorders>
              <w:bottom w:val="single" w:sz="12" w:space="0" w:color="auto"/>
            </w:tcBorders>
            <w:shd w:val="clear" w:color="auto" w:fill="auto"/>
          </w:tcPr>
          <w:p w:rsidR="009F4BFC" w:rsidRPr="0082723D" w:rsidRDefault="009F4BFC" w:rsidP="001564A5">
            <w:pPr>
              <w:autoSpaceDE w:val="0"/>
              <w:autoSpaceDN w:val="0"/>
              <w:adjustRightInd w:val="0"/>
              <w:rPr>
                <w:rFonts w:ascii="Arial Narrow" w:hAnsi="Arial Narrow" w:cs="Corbel"/>
                <w:sz w:val="20"/>
                <w:szCs w:val="20"/>
              </w:rPr>
            </w:pPr>
            <w:r w:rsidRPr="0082723D">
              <w:rPr>
                <w:rFonts w:ascii="Arial Narrow" w:hAnsi="Arial Narrow"/>
                <w:sz w:val="20"/>
                <w:szCs w:val="20"/>
              </w:rPr>
              <w:t>Indigenous 15-19 year olds without a Year 12 certificate and not enrolled in school who are enrolled in a vocational education and training (VET) course at Certificate I level</w:t>
            </w:r>
            <w:r>
              <w:rPr>
                <w:rStyle w:val="FootnoteReference"/>
                <w:rFonts w:ascii="Arial Narrow" w:hAnsi="Arial Narrow"/>
                <w:sz w:val="20"/>
                <w:szCs w:val="20"/>
              </w:rPr>
              <w:footnoteReference w:id="6"/>
            </w:r>
          </w:p>
        </w:tc>
        <w:tc>
          <w:tcPr>
            <w:tcW w:w="2620" w:type="dxa"/>
            <w:vMerge/>
            <w:tcBorders>
              <w:bottom w:val="single" w:sz="12" w:space="0" w:color="auto"/>
              <w:right w:val="single" w:sz="12" w:space="0" w:color="auto"/>
            </w:tcBorders>
            <w:shd w:val="clear" w:color="auto" w:fill="auto"/>
          </w:tcPr>
          <w:p w:rsidR="009F4BFC" w:rsidRPr="00AB5D2C" w:rsidRDefault="009F4BFC" w:rsidP="001564A5">
            <w:pPr>
              <w:rPr>
                <w:rFonts w:ascii="Arial Narrow" w:hAnsi="Arial Narrow"/>
                <w:sz w:val="20"/>
                <w:szCs w:val="20"/>
              </w:rPr>
            </w:pPr>
          </w:p>
        </w:tc>
        <w:tc>
          <w:tcPr>
            <w:tcW w:w="1214" w:type="dxa"/>
            <w:tcBorders>
              <w:bottom w:val="single" w:sz="12" w:space="0" w:color="auto"/>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bottom w:val="single" w:sz="12"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122</w:t>
            </w:r>
          </w:p>
        </w:tc>
        <w:tc>
          <w:tcPr>
            <w:tcW w:w="1214" w:type="dxa"/>
            <w:tcBorders>
              <w:bottom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216</w:t>
            </w:r>
          </w:p>
        </w:tc>
        <w:tc>
          <w:tcPr>
            <w:tcW w:w="1214" w:type="dxa"/>
            <w:tcBorders>
              <w:bottom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VET</w:t>
            </w:r>
          </w:p>
        </w:tc>
        <w:tc>
          <w:tcPr>
            <w:tcW w:w="1214" w:type="dxa"/>
            <w:tcBorders>
              <w:left w:val="single" w:sz="4" w:space="0" w:color="auto"/>
              <w:bottom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12"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 VET</w:t>
            </w:r>
          </w:p>
        </w:tc>
      </w:tr>
      <w:tr w:rsidR="009F4BFC" w:rsidRPr="003C3476" w:rsidTr="001564A5">
        <w:trPr>
          <w:cantSplit/>
          <w:trHeight w:val="325"/>
        </w:trPr>
        <w:tc>
          <w:tcPr>
            <w:tcW w:w="3845" w:type="dxa"/>
            <w:vMerge w:val="restart"/>
            <w:tcBorders>
              <w:top w:val="single" w:sz="12" w:space="0" w:color="auto"/>
              <w:left w:val="single" w:sz="12" w:space="0" w:color="auto"/>
            </w:tcBorders>
            <w:shd w:val="clear" w:color="auto" w:fill="E6E6E6"/>
          </w:tcPr>
          <w:p w:rsidR="009F4BFC" w:rsidRPr="00AB5D2C" w:rsidRDefault="009F4BFC" w:rsidP="001564A5">
            <w:pPr>
              <w:rPr>
                <w:rFonts w:ascii="Arial Narrow" w:hAnsi="Arial Narrow"/>
                <w:sz w:val="20"/>
                <w:szCs w:val="20"/>
              </w:rPr>
            </w:pPr>
            <w:r w:rsidRPr="00AB5D2C">
              <w:rPr>
                <w:rFonts w:ascii="Arial Narrow" w:hAnsi="Arial Narrow"/>
                <w:sz w:val="20"/>
                <w:szCs w:val="20"/>
              </w:rPr>
              <w:t>Increased attainment of young people aged 15</w:t>
            </w:r>
            <w:r w:rsidRPr="00AB5D2C">
              <w:rPr>
                <w:sz w:val="20"/>
                <w:szCs w:val="20"/>
              </w:rPr>
              <w:t>‐</w:t>
            </w:r>
            <w:r w:rsidRPr="00AB5D2C">
              <w:rPr>
                <w:rFonts w:ascii="Arial Narrow" w:hAnsi="Arial Narrow"/>
                <w:sz w:val="20"/>
                <w:szCs w:val="20"/>
              </w:rPr>
              <w:t>24, including Indigenous youth</w:t>
            </w:r>
          </w:p>
        </w:tc>
        <w:tc>
          <w:tcPr>
            <w:tcW w:w="5619" w:type="dxa"/>
            <w:vMerge w:val="restart"/>
            <w:tcBorders>
              <w:top w:val="single" w:sz="12" w:space="0" w:color="auto"/>
            </w:tcBorders>
            <w:shd w:val="clear" w:color="auto" w:fill="auto"/>
          </w:tcPr>
          <w:p w:rsidR="009F4BFC" w:rsidRPr="000A3701"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The proportion of young people aged 20</w:t>
            </w:r>
            <w:r w:rsidRPr="0082723D">
              <w:rPr>
                <w:rFonts w:cs="Corbel"/>
                <w:sz w:val="20"/>
                <w:szCs w:val="20"/>
              </w:rPr>
              <w:t>‐</w:t>
            </w:r>
            <w:r w:rsidRPr="0082723D">
              <w:rPr>
                <w:rFonts w:ascii="Arial Narrow" w:hAnsi="Arial Narrow" w:cs="Corbel"/>
                <w:sz w:val="20"/>
                <w:szCs w:val="20"/>
              </w:rPr>
              <w:t>24 who have attained Year 12 or Certificate II or above</w:t>
            </w:r>
          </w:p>
        </w:tc>
        <w:tc>
          <w:tcPr>
            <w:tcW w:w="2620" w:type="dxa"/>
            <w:tcBorders>
              <w:top w:val="single" w:sz="12" w:space="0" w:color="auto"/>
              <w:right w:val="single" w:sz="12" w:space="0" w:color="auto"/>
            </w:tcBorders>
            <w:shd w:val="clear" w:color="auto" w:fill="auto"/>
          </w:tcPr>
          <w:p w:rsidR="009F4BFC" w:rsidRPr="00AB5D2C" w:rsidRDefault="009F4BFC" w:rsidP="001564A5">
            <w:pPr>
              <w:rPr>
                <w:rFonts w:ascii="Arial Narrow" w:hAnsi="Arial Narrow"/>
                <w:sz w:val="20"/>
                <w:szCs w:val="20"/>
              </w:rPr>
            </w:pPr>
            <w:r w:rsidRPr="00AB5D2C">
              <w:rPr>
                <w:rFonts w:ascii="Arial Narrow" w:hAnsi="Arial Narrow"/>
                <w:sz w:val="20"/>
                <w:szCs w:val="20"/>
              </w:rPr>
              <w:t>Survey of Education and Work</w:t>
            </w:r>
            <w:r>
              <w:rPr>
                <w:rFonts w:ascii="Arial Narrow" w:hAnsi="Arial Narrow"/>
                <w:sz w:val="20"/>
                <w:szCs w:val="20"/>
              </w:rPr>
              <w:t xml:space="preserve"> (ABS)</w:t>
            </w:r>
          </w:p>
        </w:tc>
        <w:tc>
          <w:tcPr>
            <w:tcW w:w="1214" w:type="dxa"/>
            <w:tcBorders>
              <w:top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87.9%</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83.0%</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2012 SEW</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left w:val="single" w:sz="4"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w:t>
            </w:r>
            <w:r w:rsidRPr="00AB5D2C">
              <w:rPr>
                <w:rFonts w:ascii="Arial Narrow" w:hAnsi="Arial Narrow"/>
                <w:sz w:val="20"/>
                <w:szCs w:val="20"/>
              </w:rPr>
              <w:t xml:space="preserve"> SEW</w:t>
            </w:r>
          </w:p>
        </w:tc>
        <w:tc>
          <w:tcPr>
            <w:tcW w:w="1214" w:type="dxa"/>
            <w:tcBorders>
              <w:top w:val="single" w:sz="12"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r>
      <w:tr w:rsidR="009F4BFC" w:rsidRPr="003C3476" w:rsidTr="001564A5">
        <w:trPr>
          <w:cantSplit/>
          <w:trHeight w:val="325"/>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vMerge/>
            <w:shd w:val="clear" w:color="auto" w:fill="auto"/>
          </w:tcPr>
          <w:p w:rsidR="009F4BFC" w:rsidRPr="0082723D" w:rsidRDefault="009F4BFC" w:rsidP="001564A5">
            <w:pPr>
              <w:autoSpaceDE w:val="0"/>
              <w:autoSpaceDN w:val="0"/>
              <w:adjustRightInd w:val="0"/>
              <w:rPr>
                <w:rFonts w:ascii="Arial Narrow" w:hAnsi="Arial Narrow" w:cs="Corbel"/>
                <w:sz w:val="20"/>
                <w:szCs w:val="20"/>
              </w:rPr>
            </w:pPr>
          </w:p>
        </w:tc>
        <w:tc>
          <w:tcPr>
            <w:tcW w:w="2620" w:type="dxa"/>
            <w:tcBorders>
              <w:top w:val="single" w:sz="4" w:space="0" w:color="auto"/>
              <w:right w:val="single" w:sz="12" w:space="0" w:color="auto"/>
            </w:tcBorders>
            <w:shd w:val="clear" w:color="auto" w:fill="auto"/>
          </w:tcPr>
          <w:p w:rsidR="009F4BFC" w:rsidRPr="00AB5D2C" w:rsidRDefault="009F4BFC" w:rsidP="001564A5">
            <w:pPr>
              <w:rPr>
                <w:rFonts w:ascii="Arial Narrow" w:hAnsi="Arial Narrow"/>
                <w:sz w:val="20"/>
                <w:szCs w:val="20"/>
              </w:rPr>
            </w:pPr>
            <w:r w:rsidRPr="00AB5D2C">
              <w:rPr>
                <w:rFonts w:ascii="Arial Narrow" w:hAnsi="Arial Narrow"/>
                <w:sz w:val="20"/>
                <w:szCs w:val="20"/>
              </w:rPr>
              <w:t>VET completions (</w:t>
            </w:r>
            <w:proofErr w:type="spellStart"/>
            <w:r w:rsidRPr="00AB5D2C">
              <w:rPr>
                <w:rFonts w:ascii="Arial Narrow" w:hAnsi="Arial Narrow"/>
                <w:sz w:val="20"/>
                <w:szCs w:val="20"/>
              </w:rPr>
              <w:t>VOCSTATS</w:t>
            </w:r>
            <w:proofErr w:type="spellEnd"/>
            <w:r w:rsidRPr="00AB5D2C">
              <w:rPr>
                <w:rFonts w:ascii="Arial Narrow" w:hAnsi="Arial Narrow"/>
                <w:sz w:val="20"/>
                <w:szCs w:val="20"/>
              </w:rPr>
              <w:t>)</w:t>
            </w:r>
            <w:r>
              <w:rPr>
                <w:rStyle w:val="FootnoteReference"/>
                <w:rFonts w:ascii="Arial Narrow" w:hAnsi="Arial Narrow"/>
                <w:sz w:val="20"/>
                <w:szCs w:val="20"/>
              </w:rPr>
              <w:footnoteReference w:id="7"/>
            </w:r>
          </w:p>
        </w:tc>
        <w:tc>
          <w:tcPr>
            <w:tcW w:w="1214" w:type="dxa"/>
            <w:tcBorders>
              <w:top w:val="single" w:sz="4" w:space="0" w:color="auto"/>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4"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15,959</w:t>
            </w:r>
          </w:p>
        </w:tc>
        <w:tc>
          <w:tcPr>
            <w:tcW w:w="1214" w:type="dxa"/>
            <w:tcBorders>
              <w:top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18, 886</w:t>
            </w:r>
          </w:p>
        </w:tc>
        <w:tc>
          <w:tcPr>
            <w:tcW w:w="1214" w:type="dxa"/>
            <w:tcBorders>
              <w:top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2011 VET</w:t>
            </w:r>
          </w:p>
        </w:tc>
        <w:tc>
          <w:tcPr>
            <w:tcW w:w="1214" w:type="dxa"/>
            <w:tcBorders>
              <w:top w:val="single" w:sz="4" w:space="0" w:color="auto"/>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top w:val="single" w:sz="4" w:space="0" w:color="auto"/>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VET</w:t>
            </w:r>
          </w:p>
        </w:tc>
      </w:tr>
      <w:tr w:rsidR="009F4BFC" w:rsidRPr="003C3476" w:rsidTr="001564A5">
        <w:trPr>
          <w:cantSplit/>
          <w:trHeight w:val="323"/>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vMerge w:val="restart"/>
            <w:shd w:val="clear" w:color="auto" w:fill="auto"/>
          </w:tcPr>
          <w:p w:rsidR="009F4BFC" w:rsidRPr="000A3701"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The proportion of young Indigenous people aged 20</w:t>
            </w:r>
            <w:r w:rsidRPr="0082723D">
              <w:rPr>
                <w:rFonts w:cs="Corbel"/>
                <w:sz w:val="20"/>
                <w:szCs w:val="20"/>
              </w:rPr>
              <w:t>‐</w:t>
            </w:r>
            <w:r>
              <w:rPr>
                <w:rFonts w:ascii="Arial Narrow" w:hAnsi="Arial Narrow" w:cs="Corbel"/>
                <w:sz w:val="20"/>
                <w:szCs w:val="20"/>
              </w:rPr>
              <w:t xml:space="preserve">24 who have attained Year 12 or </w:t>
            </w:r>
            <w:r w:rsidRPr="0082723D">
              <w:rPr>
                <w:rFonts w:ascii="Arial Narrow" w:hAnsi="Arial Narrow" w:cs="Corbel"/>
                <w:sz w:val="20"/>
                <w:szCs w:val="20"/>
              </w:rPr>
              <w:t>Certificate II or above</w:t>
            </w:r>
          </w:p>
        </w:tc>
        <w:tc>
          <w:tcPr>
            <w:tcW w:w="2620" w:type="dxa"/>
            <w:tcBorders>
              <w:right w:val="single" w:sz="12" w:space="0" w:color="auto"/>
            </w:tcBorders>
            <w:shd w:val="clear" w:color="auto" w:fill="auto"/>
          </w:tcPr>
          <w:p w:rsidR="009F4BFC" w:rsidRPr="00AB5D2C" w:rsidRDefault="009F4BFC" w:rsidP="001564A5">
            <w:pPr>
              <w:rPr>
                <w:rFonts w:ascii="Arial Narrow" w:hAnsi="Arial Narrow"/>
                <w:sz w:val="20"/>
                <w:szCs w:val="20"/>
              </w:rPr>
            </w:pPr>
            <w:r w:rsidRPr="00AB5D2C">
              <w:rPr>
                <w:rFonts w:ascii="Arial Narrow" w:hAnsi="Arial Narrow"/>
                <w:sz w:val="20"/>
                <w:szCs w:val="20"/>
              </w:rPr>
              <w:t>ABS Census</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2011 Census</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r>
      <w:tr w:rsidR="009F4BFC" w:rsidRPr="003C3476" w:rsidTr="001564A5">
        <w:trPr>
          <w:cantSplit/>
          <w:trHeight w:val="361"/>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vMerge/>
            <w:shd w:val="clear" w:color="auto" w:fill="auto"/>
          </w:tcPr>
          <w:p w:rsidR="009F4BFC" w:rsidRPr="0082723D" w:rsidRDefault="009F4BFC" w:rsidP="001564A5">
            <w:pPr>
              <w:autoSpaceDE w:val="0"/>
              <w:autoSpaceDN w:val="0"/>
              <w:adjustRightInd w:val="0"/>
              <w:rPr>
                <w:rFonts w:ascii="Arial Narrow" w:hAnsi="Arial Narrow" w:cs="Corbel"/>
                <w:sz w:val="20"/>
                <w:szCs w:val="20"/>
              </w:rPr>
            </w:pPr>
          </w:p>
        </w:tc>
        <w:tc>
          <w:tcPr>
            <w:tcW w:w="2620" w:type="dxa"/>
            <w:tcBorders>
              <w:right w:val="single" w:sz="12" w:space="0" w:color="auto"/>
            </w:tcBorders>
            <w:shd w:val="clear" w:color="auto" w:fill="auto"/>
          </w:tcPr>
          <w:p w:rsidR="009F4BFC" w:rsidRPr="00AB5D2C" w:rsidRDefault="009F4BFC" w:rsidP="001564A5">
            <w:pPr>
              <w:rPr>
                <w:rFonts w:ascii="Arial Narrow" w:hAnsi="Arial Narrow"/>
                <w:sz w:val="20"/>
                <w:szCs w:val="20"/>
              </w:rPr>
            </w:pPr>
            <w:r w:rsidRPr="00AB5D2C">
              <w:rPr>
                <w:rFonts w:ascii="Arial Narrow" w:hAnsi="Arial Narrow"/>
                <w:sz w:val="20"/>
                <w:szCs w:val="20"/>
              </w:rPr>
              <w:t>VET completions (</w:t>
            </w:r>
            <w:proofErr w:type="spellStart"/>
            <w:r w:rsidRPr="00AB5D2C">
              <w:rPr>
                <w:rFonts w:ascii="Arial Narrow" w:hAnsi="Arial Narrow"/>
                <w:sz w:val="20"/>
                <w:szCs w:val="20"/>
              </w:rPr>
              <w:t>VOCSTATS</w:t>
            </w:r>
            <w:proofErr w:type="spellEnd"/>
            <w:r w:rsidRPr="00AB5D2C">
              <w:rPr>
                <w:rFonts w:ascii="Arial Narrow" w:hAnsi="Arial Narrow"/>
                <w:sz w:val="20"/>
                <w:szCs w:val="20"/>
              </w:rPr>
              <w:t>)</w:t>
            </w:r>
            <w:r>
              <w:rPr>
                <w:rStyle w:val="FootnoteReference"/>
                <w:rFonts w:ascii="Arial Narrow" w:hAnsi="Arial Narrow"/>
                <w:sz w:val="20"/>
                <w:szCs w:val="20"/>
              </w:rPr>
              <w:footnoteReference w:id="8"/>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544</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759</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2011 VET</w:t>
            </w:r>
          </w:p>
        </w:tc>
        <w:tc>
          <w:tcPr>
            <w:tcW w:w="1214" w:type="dxa"/>
            <w:tcBorders>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2012 VET</w:t>
            </w:r>
          </w:p>
        </w:tc>
      </w:tr>
      <w:tr w:rsidR="009F4BFC" w:rsidRPr="003C3476" w:rsidTr="001564A5">
        <w:trPr>
          <w:cantSplit/>
          <w:trHeight w:val="1288"/>
        </w:trPr>
        <w:tc>
          <w:tcPr>
            <w:tcW w:w="3845" w:type="dxa"/>
            <w:tcBorders>
              <w:top w:val="single" w:sz="12" w:space="0" w:color="auto"/>
              <w:left w:val="single" w:sz="12" w:space="0" w:color="auto"/>
            </w:tcBorders>
            <w:shd w:val="clear" w:color="auto" w:fill="E6E6E6"/>
          </w:tcPr>
          <w:p w:rsidR="009F4BFC" w:rsidRPr="00AB5D2C" w:rsidRDefault="009F4BFC" w:rsidP="001564A5">
            <w:pPr>
              <w:rPr>
                <w:rFonts w:ascii="Arial Narrow" w:hAnsi="Arial Narrow"/>
                <w:sz w:val="20"/>
                <w:szCs w:val="20"/>
              </w:rPr>
            </w:pPr>
            <w:bookmarkStart w:id="2" w:name="_Hlk237158622"/>
            <w:r w:rsidRPr="00AB5D2C">
              <w:rPr>
                <w:rFonts w:ascii="Arial Narrow" w:hAnsi="Arial Narrow"/>
                <w:sz w:val="20"/>
                <w:szCs w:val="20"/>
              </w:rPr>
              <w:t>Young people make a</w:t>
            </w:r>
          </w:p>
          <w:p w:rsidR="009F4BFC" w:rsidRPr="00AB5D2C" w:rsidRDefault="009F4BFC" w:rsidP="001564A5">
            <w:pPr>
              <w:rPr>
                <w:rFonts w:ascii="Arial Narrow" w:hAnsi="Arial Narrow"/>
                <w:sz w:val="20"/>
                <w:szCs w:val="20"/>
              </w:rPr>
            </w:pPr>
            <w:r w:rsidRPr="00AB5D2C">
              <w:rPr>
                <w:rFonts w:ascii="Arial Narrow" w:hAnsi="Arial Narrow"/>
                <w:sz w:val="20"/>
                <w:szCs w:val="20"/>
              </w:rPr>
              <w:t>successful transition from school to further education, training or full</w:t>
            </w:r>
            <w:r w:rsidRPr="00AB5D2C">
              <w:rPr>
                <w:sz w:val="20"/>
                <w:szCs w:val="20"/>
              </w:rPr>
              <w:t>‐</w:t>
            </w:r>
            <w:r w:rsidRPr="00AB5D2C">
              <w:rPr>
                <w:rFonts w:ascii="Arial Narrow" w:hAnsi="Arial Narrow"/>
                <w:sz w:val="20"/>
                <w:szCs w:val="20"/>
              </w:rPr>
              <w:t>time employment</w:t>
            </w:r>
          </w:p>
        </w:tc>
        <w:tc>
          <w:tcPr>
            <w:tcW w:w="5619" w:type="dxa"/>
            <w:tcBorders>
              <w:top w:val="single" w:sz="12" w:space="0" w:color="auto"/>
            </w:tcBorders>
            <w:shd w:val="clear" w:color="auto" w:fill="auto"/>
          </w:tcPr>
          <w:p w:rsidR="009F4BFC" w:rsidRPr="0082723D" w:rsidRDefault="009F4BFC" w:rsidP="001564A5">
            <w:pPr>
              <w:rPr>
                <w:rFonts w:ascii="Arial Narrow" w:hAnsi="Arial Narrow"/>
                <w:i/>
                <w:sz w:val="20"/>
                <w:szCs w:val="20"/>
              </w:rPr>
            </w:pPr>
            <w:r w:rsidRPr="0082723D">
              <w:rPr>
                <w:rFonts w:ascii="Arial Narrow" w:hAnsi="Arial Narrow"/>
                <w:sz w:val="20"/>
                <w:szCs w:val="20"/>
              </w:rPr>
              <w:t>The proportion of young people aged 15</w:t>
            </w:r>
            <w:r w:rsidRPr="0082723D">
              <w:rPr>
                <w:sz w:val="20"/>
                <w:szCs w:val="20"/>
              </w:rPr>
              <w:t>‐</w:t>
            </w:r>
            <w:r w:rsidRPr="0082723D">
              <w:rPr>
                <w:rFonts w:ascii="Arial Narrow" w:hAnsi="Arial Narrow"/>
                <w:sz w:val="20"/>
                <w:szCs w:val="20"/>
              </w:rPr>
              <w:t>24 participating in post</w:t>
            </w:r>
            <w:r w:rsidRPr="0082723D">
              <w:rPr>
                <w:sz w:val="20"/>
                <w:szCs w:val="20"/>
              </w:rPr>
              <w:t>‐</w:t>
            </w:r>
            <w:r w:rsidRPr="0082723D">
              <w:rPr>
                <w:rFonts w:ascii="Arial Narrow" w:hAnsi="Arial Narrow"/>
                <w:sz w:val="20"/>
                <w:szCs w:val="20"/>
              </w:rPr>
              <w:t>school education, training or employment six months after leaving school</w:t>
            </w:r>
          </w:p>
        </w:tc>
        <w:tc>
          <w:tcPr>
            <w:tcW w:w="2620" w:type="dxa"/>
            <w:tcBorders>
              <w:top w:val="single" w:sz="12" w:space="0" w:color="auto"/>
              <w:bottom w:val="single" w:sz="4" w:space="0" w:color="auto"/>
              <w:right w:val="single" w:sz="12" w:space="0" w:color="auto"/>
            </w:tcBorders>
            <w:shd w:val="clear" w:color="auto" w:fill="auto"/>
          </w:tcPr>
          <w:p w:rsidR="009F4BFC" w:rsidRPr="000A7A83" w:rsidRDefault="009F4BFC" w:rsidP="001564A5">
            <w:pPr>
              <w:rPr>
                <w:rFonts w:ascii="Arial Narrow" w:hAnsi="Arial Narrow"/>
                <w:sz w:val="20"/>
                <w:szCs w:val="20"/>
              </w:rPr>
            </w:pPr>
            <w:r w:rsidRPr="00AB5D2C">
              <w:rPr>
                <w:rFonts w:ascii="Arial Narrow" w:hAnsi="Arial Narrow"/>
                <w:sz w:val="20"/>
                <w:szCs w:val="20"/>
              </w:rPr>
              <w:t>Survey of Education and Work</w:t>
            </w:r>
            <w:r>
              <w:rPr>
                <w:rFonts w:ascii="Arial Narrow" w:hAnsi="Arial Narrow"/>
                <w:sz w:val="20"/>
                <w:szCs w:val="20"/>
              </w:rPr>
              <w:t xml:space="preserve"> (ABS)</w:t>
            </w:r>
            <w:r>
              <w:rPr>
                <w:rStyle w:val="FootnoteReference"/>
                <w:rFonts w:ascii="Arial Narrow" w:hAnsi="Arial Narrow"/>
                <w:sz w:val="20"/>
                <w:szCs w:val="20"/>
              </w:rPr>
              <w:footnoteReference w:id="9"/>
            </w:r>
          </w:p>
        </w:tc>
        <w:tc>
          <w:tcPr>
            <w:tcW w:w="1214" w:type="dxa"/>
            <w:tcBorders>
              <w:top w:val="single" w:sz="12"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61.3%</w:t>
            </w:r>
          </w:p>
        </w:tc>
        <w:tc>
          <w:tcPr>
            <w:tcW w:w="1214" w:type="dxa"/>
            <w:tcBorders>
              <w:top w:val="single" w:sz="12" w:space="0" w:color="auto"/>
              <w:left w:val="single" w:sz="4" w:space="0" w:color="auto"/>
              <w:bottom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p>
        </w:tc>
        <w:tc>
          <w:tcPr>
            <w:tcW w:w="1214" w:type="dxa"/>
            <w:tcBorders>
              <w:top w:val="single" w:sz="12" w:space="0" w:color="auto"/>
              <w:left w:val="single" w:sz="4" w:space="0" w:color="auto"/>
              <w:bottom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2012 SEW</w:t>
            </w:r>
          </w:p>
        </w:tc>
        <w:tc>
          <w:tcPr>
            <w:tcW w:w="1214" w:type="dxa"/>
            <w:tcBorders>
              <w:top w:val="single" w:sz="12" w:space="0" w:color="auto"/>
              <w:left w:val="single" w:sz="4" w:space="0" w:color="auto"/>
              <w:bottom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c>
          <w:tcPr>
            <w:tcW w:w="1214" w:type="dxa"/>
            <w:tcBorders>
              <w:top w:val="single" w:sz="12" w:space="0" w:color="auto"/>
              <w:left w:val="single" w:sz="4" w:space="0" w:color="auto"/>
              <w:bottom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2013</w:t>
            </w:r>
            <w:r w:rsidRPr="00AB5D2C">
              <w:rPr>
                <w:rFonts w:ascii="Arial Narrow" w:hAnsi="Arial Narrow"/>
                <w:sz w:val="20"/>
                <w:szCs w:val="20"/>
              </w:rPr>
              <w:t xml:space="preserve"> SEW</w:t>
            </w:r>
          </w:p>
        </w:tc>
        <w:tc>
          <w:tcPr>
            <w:tcW w:w="1214" w:type="dxa"/>
            <w:tcBorders>
              <w:top w:val="single" w:sz="12" w:space="0" w:color="auto"/>
              <w:left w:val="single" w:sz="4" w:space="0" w:color="auto"/>
              <w:bottom w:val="single" w:sz="4" w:space="0" w:color="auto"/>
              <w:right w:val="single" w:sz="12" w:space="0" w:color="auto"/>
            </w:tcBorders>
          </w:tcPr>
          <w:p w:rsidR="009F4BFC" w:rsidRPr="00AB5D2C" w:rsidRDefault="009F4BFC" w:rsidP="001564A5">
            <w:pPr>
              <w:jc w:val="right"/>
              <w:rPr>
                <w:rFonts w:ascii="Arial Narrow" w:hAnsi="Arial Narrow"/>
                <w:sz w:val="20"/>
                <w:szCs w:val="20"/>
              </w:rPr>
            </w:pPr>
            <w:r w:rsidRPr="00AB5D2C">
              <w:rPr>
                <w:rFonts w:ascii="Arial Narrow" w:hAnsi="Arial Narrow"/>
                <w:sz w:val="20"/>
                <w:szCs w:val="20"/>
              </w:rPr>
              <w:t>-</w:t>
            </w:r>
          </w:p>
        </w:tc>
      </w:tr>
      <w:bookmarkEnd w:id="2"/>
      <w:tr w:rsidR="009F4BFC" w:rsidRPr="003C3476" w:rsidTr="001564A5">
        <w:trPr>
          <w:cantSplit/>
          <w:trHeight w:val="254"/>
        </w:trPr>
        <w:tc>
          <w:tcPr>
            <w:tcW w:w="3845" w:type="dxa"/>
            <w:vMerge w:val="restart"/>
            <w:tcBorders>
              <w:left w:val="single" w:sz="12" w:space="0" w:color="auto"/>
            </w:tcBorders>
            <w:shd w:val="clear" w:color="auto" w:fill="E6E6E6"/>
          </w:tcPr>
          <w:p w:rsidR="009F4BFC" w:rsidRPr="00AB5D2C" w:rsidRDefault="009F4BFC" w:rsidP="001564A5">
            <w:pPr>
              <w:rPr>
                <w:rFonts w:ascii="Arial Narrow" w:hAnsi="Arial Narrow"/>
                <w:sz w:val="20"/>
                <w:szCs w:val="20"/>
              </w:rPr>
            </w:pPr>
            <w:r w:rsidRPr="00AB5D2C">
              <w:rPr>
                <w:rFonts w:ascii="Arial Narrow" w:hAnsi="Arial Narrow"/>
                <w:sz w:val="20"/>
                <w:szCs w:val="20"/>
              </w:rPr>
              <w:t>Improved Indigenous retention</w:t>
            </w:r>
          </w:p>
        </w:tc>
        <w:tc>
          <w:tcPr>
            <w:tcW w:w="5619" w:type="dxa"/>
            <w:shd w:val="clear" w:color="auto" w:fill="auto"/>
          </w:tcPr>
          <w:p w:rsidR="009F4BFC" w:rsidRPr="000A1D19"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Apparent retention years 7/8 to year 10, by Indigenous status</w:t>
            </w:r>
            <w:r>
              <w:rPr>
                <w:rStyle w:val="FootnoteReference"/>
                <w:rFonts w:ascii="Arial Narrow" w:hAnsi="Arial Narrow" w:cs="Corbel"/>
                <w:sz w:val="20"/>
                <w:szCs w:val="20"/>
              </w:rPr>
              <w:footnoteReference w:id="10"/>
            </w:r>
          </w:p>
        </w:tc>
        <w:tc>
          <w:tcPr>
            <w:tcW w:w="2620" w:type="dxa"/>
            <w:vMerge w:val="restart"/>
            <w:tcBorders>
              <w:right w:val="single" w:sz="12" w:space="0" w:color="auto"/>
            </w:tcBorders>
            <w:shd w:val="clear" w:color="auto" w:fill="auto"/>
          </w:tcPr>
          <w:p w:rsidR="009F4BFC" w:rsidRPr="00AB5D2C" w:rsidRDefault="009F4BFC" w:rsidP="001564A5">
            <w:pPr>
              <w:rPr>
                <w:rFonts w:ascii="Arial Narrow" w:hAnsi="Arial Narrow"/>
                <w:sz w:val="20"/>
                <w:szCs w:val="20"/>
              </w:rPr>
            </w:pPr>
            <w:r w:rsidRPr="00AB5D2C">
              <w:rPr>
                <w:rFonts w:ascii="Arial Narrow" w:hAnsi="Arial Narrow"/>
                <w:sz w:val="20"/>
                <w:szCs w:val="20"/>
              </w:rPr>
              <w:t>National Schools Statistics Collection (ABS)</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99.6%</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97.5%</w:t>
            </w:r>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 xml:space="preserve">2012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right w:val="single" w:sz="4"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 xml:space="preserve">2013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tcPr>
          <w:p w:rsidR="009F4BFC" w:rsidRPr="00AB5D2C" w:rsidRDefault="009F4BFC" w:rsidP="001564A5">
            <w:pPr>
              <w:jc w:val="right"/>
              <w:rPr>
                <w:rFonts w:ascii="Arial Narrow" w:hAnsi="Arial Narrow"/>
                <w:sz w:val="20"/>
                <w:szCs w:val="20"/>
              </w:rPr>
            </w:pPr>
            <w:r>
              <w:rPr>
                <w:rFonts w:ascii="Arial Narrow" w:hAnsi="Arial Narrow"/>
                <w:sz w:val="20"/>
                <w:szCs w:val="20"/>
              </w:rPr>
              <w:t>-</w:t>
            </w:r>
          </w:p>
        </w:tc>
      </w:tr>
      <w:tr w:rsidR="009F4BFC" w:rsidRPr="003C3476" w:rsidTr="001564A5">
        <w:trPr>
          <w:cantSplit/>
          <w:trHeight w:val="272"/>
        </w:trPr>
        <w:tc>
          <w:tcPr>
            <w:tcW w:w="3845" w:type="dxa"/>
            <w:vMerge/>
            <w:tcBorders>
              <w:left w:val="single" w:sz="12" w:space="0" w:color="auto"/>
            </w:tcBorders>
            <w:shd w:val="clear" w:color="auto" w:fill="E6E6E6"/>
          </w:tcPr>
          <w:p w:rsidR="009F4BFC" w:rsidRPr="00AB5D2C" w:rsidRDefault="009F4BFC" w:rsidP="001564A5">
            <w:pPr>
              <w:rPr>
                <w:rFonts w:ascii="Arial Narrow" w:hAnsi="Arial Narrow"/>
                <w:sz w:val="20"/>
                <w:szCs w:val="20"/>
              </w:rPr>
            </w:pPr>
          </w:p>
        </w:tc>
        <w:tc>
          <w:tcPr>
            <w:tcW w:w="5619" w:type="dxa"/>
            <w:shd w:val="clear" w:color="auto" w:fill="auto"/>
          </w:tcPr>
          <w:p w:rsidR="009F4BFC" w:rsidRPr="0082723D" w:rsidRDefault="009F4BFC" w:rsidP="001564A5">
            <w:pPr>
              <w:autoSpaceDE w:val="0"/>
              <w:autoSpaceDN w:val="0"/>
              <w:adjustRightInd w:val="0"/>
              <w:rPr>
                <w:rFonts w:ascii="Arial Narrow" w:hAnsi="Arial Narrow" w:cs="Corbel"/>
                <w:sz w:val="20"/>
                <w:szCs w:val="20"/>
              </w:rPr>
            </w:pPr>
            <w:r w:rsidRPr="0082723D">
              <w:rPr>
                <w:rFonts w:ascii="Arial Narrow" w:hAnsi="Arial Narrow" w:cs="Corbel"/>
                <w:sz w:val="20"/>
                <w:szCs w:val="20"/>
              </w:rPr>
              <w:t>Apparent retention years 7/8 to year 12, by Indigenous status</w:t>
            </w:r>
            <w:r>
              <w:rPr>
                <w:rStyle w:val="FootnoteReference"/>
                <w:rFonts w:ascii="Arial Narrow" w:hAnsi="Arial Narrow" w:cs="Corbel"/>
                <w:sz w:val="20"/>
                <w:szCs w:val="20"/>
              </w:rPr>
              <w:footnoteReference w:id="11"/>
            </w:r>
          </w:p>
        </w:tc>
        <w:tc>
          <w:tcPr>
            <w:tcW w:w="2620" w:type="dxa"/>
            <w:vMerge/>
            <w:tcBorders>
              <w:right w:val="single" w:sz="12" w:space="0" w:color="auto"/>
            </w:tcBorders>
            <w:shd w:val="clear" w:color="auto" w:fill="auto"/>
          </w:tcPr>
          <w:p w:rsidR="009F4BFC" w:rsidRPr="00AB5D2C" w:rsidRDefault="009F4BFC" w:rsidP="001564A5">
            <w:pPr>
              <w:rPr>
                <w:rFonts w:ascii="Arial Narrow" w:hAnsi="Arial Narrow"/>
                <w:sz w:val="20"/>
                <w:szCs w:val="20"/>
              </w:rPr>
            </w:pP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62.3%</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60.5%</w:t>
            </w:r>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 xml:space="preserve">2012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c>
          <w:tcPr>
            <w:tcW w:w="1214" w:type="dxa"/>
            <w:tcBorders>
              <w:left w:val="single" w:sz="4" w:space="0" w:color="auto"/>
              <w:bottom w:val="single" w:sz="4" w:space="0" w:color="auto"/>
              <w:right w:val="single" w:sz="4"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 xml:space="preserve">2013 </w:t>
            </w:r>
            <w:proofErr w:type="spellStart"/>
            <w:r>
              <w:rPr>
                <w:rFonts w:ascii="Arial Narrow" w:hAnsi="Arial Narrow"/>
                <w:sz w:val="20"/>
                <w:szCs w:val="20"/>
              </w:rPr>
              <w:t>ARR</w:t>
            </w:r>
            <w:proofErr w:type="spellEnd"/>
          </w:p>
        </w:tc>
        <w:tc>
          <w:tcPr>
            <w:tcW w:w="1214" w:type="dxa"/>
            <w:tcBorders>
              <w:left w:val="single" w:sz="4" w:space="0" w:color="auto"/>
              <w:right w:val="single" w:sz="12" w:space="0" w:color="auto"/>
            </w:tcBorders>
          </w:tcPr>
          <w:p w:rsidR="009F4BFC" w:rsidRDefault="009F4BFC" w:rsidP="001564A5">
            <w:pPr>
              <w:jc w:val="right"/>
              <w:rPr>
                <w:rFonts w:ascii="Arial Narrow" w:hAnsi="Arial Narrow"/>
                <w:sz w:val="20"/>
                <w:szCs w:val="20"/>
              </w:rPr>
            </w:pPr>
            <w:r>
              <w:rPr>
                <w:rFonts w:ascii="Arial Narrow" w:hAnsi="Arial Narrow"/>
                <w:sz w:val="20"/>
                <w:szCs w:val="20"/>
              </w:rPr>
              <w:t>-</w:t>
            </w:r>
          </w:p>
        </w:tc>
      </w:tr>
      <w:tr w:rsidR="009F4BFC" w:rsidRPr="003C3476" w:rsidTr="001564A5">
        <w:trPr>
          <w:cantSplit/>
        </w:trPr>
        <w:tc>
          <w:tcPr>
            <w:tcW w:w="3845" w:type="dxa"/>
            <w:tcBorders>
              <w:left w:val="single" w:sz="12" w:space="0" w:color="auto"/>
              <w:bottom w:val="single" w:sz="12" w:space="0" w:color="auto"/>
            </w:tcBorders>
            <w:shd w:val="clear" w:color="auto" w:fill="E6E6E6"/>
          </w:tcPr>
          <w:p w:rsidR="009F4BFC" w:rsidRPr="00021CF1" w:rsidRDefault="009F4BFC" w:rsidP="001564A5">
            <w:pPr>
              <w:rPr>
                <w:rFonts w:ascii="Arial Narrow" w:hAnsi="Arial Narrow"/>
                <w:sz w:val="18"/>
                <w:szCs w:val="18"/>
              </w:rPr>
            </w:pPr>
            <w:r w:rsidRPr="00021CF1">
              <w:rPr>
                <w:rFonts w:ascii="Arial Narrow" w:hAnsi="Arial Narrow"/>
                <w:sz w:val="18"/>
                <w:szCs w:val="18"/>
              </w:rPr>
              <w:t>Improved Indigenous participation and engagement</w:t>
            </w:r>
          </w:p>
        </w:tc>
        <w:tc>
          <w:tcPr>
            <w:tcW w:w="5619" w:type="dxa"/>
            <w:tcBorders>
              <w:bottom w:val="single" w:sz="12" w:space="0" w:color="auto"/>
            </w:tcBorders>
            <w:shd w:val="clear" w:color="auto" w:fill="auto"/>
          </w:tcPr>
          <w:p w:rsidR="009F4BFC" w:rsidRPr="00AB5D2C" w:rsidRDefault="009F4BFC" w:rsidP="001564A5">
            <w:pPr>
              <w:autoSpaceDE w:val="0"/>
              <w:autoSpaceDN w:val="0"/>
              <w:adjustRightInd w:val="0"/>
              <w:rPr>
                <w:rFonts w:ascii="Arial Narrow" w:hAnsi="Arial Narrow" w:cs="Corbel"/>
                <w:sz w:val="20"/>
                <w:szCs w:val="20"/>
              </w:rPr>
            </w:pPr>
            <w:r>
              <w:rPr>
                <w:rFonts w:ascii="Arial Narrow" w:hAnsi="Arial Narrow"/>
                <w:sz w:val="20"/>
                <w:szCs w:val="20"/>
              </w:rPr>
              <w:t>School level strategies</w:t>
            </w:r>
            <w:r>
              <w:rPr>
                <w:rStyle w:val="FootnoteReference"/>
                <w:rFonts w:ascii="Arial Narrow" w:hAnsi="Arial Narrow"/>
                <w:sz w:val="20"/>
                <w:szCs w:val="20"/>
              </w:rPr>
              <w:footnoteReference w:id="12"/>
            </w:r>
          </w:p>
        </w:tc>
        <w:tc>
          <w:tcPr>
            <w:tcW w:w="2620" w:type="dxa"/>
            <w:tcBorders>
              <w:bottom w:val="single" w:sz="12" w:space="0" w:color="auto"/>
              <w:right w:val="single" w:sz="12" w:space="0" w:color="auto"/>
            </w:tcBorders>
            <w:shd w:val="clear" w:color="auto" w:fill="auto"/>
          </w:tcPr>
          <w:p w:rsidR="009F4BFC" w:rsidRPr="00AB5D2C" w:rsidRDefault="009F4BFC" w:rsidP="001564A5">
            <w:pPr>
              <w:rPr>
                <w:rFonts w:ascii="Arial Narrow" w:hAnsi="Arial Narrow"/>
                <w:sz w:val="20"/>
                <w:szCs w:val="20"/>
              </w:rPr>
            </w:pPr>
            <w:r>
              <w:rPr>
                <w:rFonts w:ascii="Arial Narrow" w:hAnsi="Arial Narrow"/>
                <w:sz w:val="20"/>
                <w:szCs w:val="20"/>
              </w:rPr>
              <w:t>Jurisdiction information</w:t>
            </w:r>
          </w:p>
        </w:tc>
        <w:tc>
          <w:tcPr>
            <w:tcW w:w="1214" w:type="dxa"/>
            <w:tcBorders>
              <w:bottom w:val="single" w:sz="12" w:space="0" w:color="auto"/>
              <w:right w:val="single" w:sz="4" w:space="0" w:color="auto"/>
            </w:tcBorders>
            <w:shd w:val="clear" w:color="auto" w:fill="FABF8F" w:themeFill="accent6" w:themeFillTint="99"/>
          </w:tcPr>
          <w:p w:rsidR="009F4BFC" w:rsidRDefault="009F4BFC" w:rsidP="001564A5">
            <w:pPr>
              <w:jc w:val="right"/>
              <w:rPr>
                <w:rFonts w:ascii="Arial Narrow" w:hAnsi="Arial Narrow"/>
                <w:sz w:val="20"/>
                <w:szCs w:val="20"/>
              </w:rPr>
            </w:pPr>
            <w:r>
              <w:rPr>
                <w:rFonts w:ascii="Arial Narrow" w:hAnsi="Arial Narrow"/>
                <w:sz w:val="20"/>
                <w:szCs w:val="20"/>
              </w:rPr>
              <w:sym w:font="Wingdings" w:char="F0FC"/>
            </w:r>
          </w:p>
        </w:tc>
        <w:tc>
          <w:tcPr>
            <w:tcW w:w="1214" w:type="dxa"/>
            <w:tcBorders>
              <w:left w:val="single" w:sz="4" w:space="0" w:color="auto"/>
              <w:bottom w:val="single" w:sz="12" w:space="0" w:color="auto"/>
              <w:right w:val="single" w:sz="12" w:space="0" w:color="auto"/>
            </w:tcBorders>
          </w:tcPr>
          <w:p w:rsidR="009F4BFC" w:rsidRDefault="009F4BFC" w:rsidP="001564A5">
            <w:pPr>
              <w:jc w:val="right"/>
              <w:rPr>
                <w:rFonts w:ascii="Arial Narrow" w:hAnsi="Arial Narrow"/>
                <w:sz w:val="20"/>
                <w:szCs w:val="20"/>
              </w:rPr>
            </w:pPr>
          </w:p>
        </w:tc>
        <w:tc>
          <w:tcPr>
            <w:tcW w:w="1214" w:type="dxa"/>
            <w:tcBorders>
              <w:bottom w:val="single" w:sz="12" w:space="0" w:color="auto"/>
              <w:right w:val="single" w:sz="4" w:space="0" w:color="auto"/>
            </w:tcBorders>
            <w:shd w:val="clear" w:color="auto" w:fill="FABF8F" w:themeFill="accent6" w:themeFillTint="99"/>
          </w:tcPr>
          <w:p w:rsidR="009F4BFC" w:rsidRDefault="009F4BFC" w:rsidP="001564A5">
            <w:pPr>
              <w:jc w:val="right"/>
              <w:rPr>
                <w:rFonts w:ascii="Arial Narrow" w:hAnsi="Arial Narrow"/>
                <w:sz w:val="20"/>
                <w:szCs w:val="20"/>
              </w:rPr>
            </w:pPr>
            <w:r>
              <w:rPr>
                <w:rFonts w:ascii="Arial Narrow" w:hAnsi="Arial Narrow"/>
                <w:sz w:val="20"/>
                <w:szCs w:val="20"/>
              </w:rPr>
              <w:sym w:font="Wingdings" w:char="F0FC"/>
            </w:r>
          </w:p>
        </w:tc>
        <w:tc>
          <w:tcPr>
            <w:tcW w:w="1214" w:type="dxa"/>
            <w:tcBorders>
              <w:left w:val="single" w:sz="4" w:space="0" w:color="auto"/>
              <w:bottom w:val="single" w:sz="12" w:space="0" w:color="auto"/>
              <w:right w:val="single" w:sz="12" w:space="0" w:color="auto"/>
            </w:tcBorders>
          </w:tcPr>
          <w:p w:rsidR="009F4BFC" w:rsidRDefault="009F4BFC" w:rsidP="001564A5">
            <w:pPr>
              <w:jc w:val="right"/>
              <w:rPr>
                <w:rFonts w:ascii="Arial Narrow" w:hAnsi="Arial Narrow"/>
                <w:sz w:val="20"/>
                <w:szCs w:val="20"/>
              </w:rPr>
            </w:pPr>
          </w:p>
        </w:tc>
        <w:tc>
          <w:tcPr>
            <w:tcW w:w="1214" w:type="dxa"/>
            <w:tcBorders>
              <w:bottom w:val="single" w:sz="12" w:space="0" w:color="auto"/>
              <w:right w:val="single" w:sz="4" w:space="0" w:color="auto"/>
            </w:tcBorders>
            <w:shd w:val="clear" w:color="auto" w:fill="FABF8F" w:themeFill="accent6" w:themeFillTint="99"/>
          </w:tcPr>
          <w:p w:rsidR="009F4BFC" w:rsidRDefault="009F4BFC" w:rsidP="001564A5">
            <w:pPr>
              <w:jc w:val="right"/>
              <w:rPr>
                <w:rFonts w:ascii="Arial Narrow" w:hAnsi="Arial Narrow"/>
                <w:sz w:val="20"/>
                <w:szCs w:val="20"/>
              </w:rPr>
            </w:pPr>
            <w:r>
              <w:rPr>
                <w:rFonts w:ascii="Arial Narrow" w:hAnsi="Arial Narrow"/>
                <w:sz w:val="20"/>
                <w:szCs w:val="20"/>
              </w:rPr>
              <w:sym w:font="Wingdings" w:char="F0FC"/>
            </w:r>
          </w:p>
        </w:tc>
        <w:tc>
          <w:tcPr>
            <w:tcW w:w="1214" w:type="dxa"/>
            <w:tcBorders>
              <w:left w:val="single" w:sz="4" w:space="0" w:color="auto"/>
              <w:bottom w:val="single" w:sz="12" w:space="0" w:color="auto"/>
              <w:right w:val="single" w:sz="12" w:space="0" w:color="auto"/>
            </w:tcBorders>
          </w:tcPr>
          <w:p w:rsidR="009F4BFC" w:rsidRDefault="009F4BFC" w:rsidP="001564A5">
            <w:pPr>
              <w:jc w:val="right"/>
              <w:rPr>
                <w:rFonts w:ascii="Arial Narrow" w:hAnsi="Arial Narrow"/>
                <w:sz w:val="20"/>
                <w:szCs w:val="20"/>
              </w:rPr>
            </w:pPr>
          </w:p>
        </w:tc>
        <w:tc>
          <w:tcPr>
            <w:tcW w:w="1214" w:type="dxa"/>
            <w:tcBorders>
              <w:left w:val="single" w:sz="4" w:space="0" w:color="auto"/>
              <w:bottom w:val="single" w:sz="12" w:space="0" w:color="auto"/>
              <w:right w:val="single" w:sz="4" w:space="0" w:color="auto"/>
            </w:tcBorders>
            <w:shd w:val="clear" w:color="auto" w:fill="FABF8F" w:themeFill="accent6" w:themeFillTint="99"/>
          </w:tcPr>
          <w:p w:rsidR="009F4BFC" w:rsidRDefault="009F4BFC" w:rsidP="001564A5">
            <w:pPr>
              <w:jc w:val="right"/>
              <w:rPr>
                <w:rFonts w:ascii="Arial Narrow" w:hAnsi="Arial Narrow"/>
                <w:sz w:val="20"/>
                <w:szCs w:val="20"/>
              </w:rPr>
            </w:pPr>
            <w:r>
              <w:rPr>
                <w:rFonts w:ascii="Arial Narrow" w:hAnsi="Arial Narrow"/>
                <w:sz w:val="20"/>
                <w:szCs w:val="20"/>
              </w:rPr>
              <w:sym w:font="Wingdings" w:char="F0FC"/>
            </w:r>
          </w:p>
        </w:tc>
        <w:tc>
          <w:tcPr>
            <w:tcW w:w="1214" w:type="dxa"/>
            <w:tcBorders>
              <w:left w:val="single" w:sz="4" w:space="0" w:color="auto"/>
              <w:bottom w:val="single" w:sz="12" w:space="0" w:color="auto"/>
              <w:right w:val="single" w:sz="12" w:space="0" w:color="auto"/>
            </w:tcBorders>
          </w:tcPr>
          <w:p w:rsidR="009F4BFC" w:rsidRDefault="009F4BFC" w:rsidP="001564A5">
            <w:pPr>
              <w:jc w:val="right"/>
              <w:rPr>
                <w:rFonts w:ascii="Arial Narrow" w:hAnsi="Arial Narrow"/>
                <w:sz w:val="20"/>
                <w:szCs w:val="20"/>
              </w:rPr>
            </w:pPr>
          </w:p>
        </w:tc>
      </w:tr>
    </w:tbl>
    <w:p w:rsidR="009F4BFC" w:rsidRDefault="009F4BFC" w:rsidP="009F4BFC">
      <w:r>
        <w:rPr>
          <w:sz w:val="20"/>
          <w:szCs w:val="20"/>
        </w:rPr>
        <w:t xml:space="preserve">The Annual report template will be pre-populated by DEEWR from the publicly available data sources indicated, except for </w:t>
      </w:r>
      <w:r>
        <w:rPr>
          <w:sz w:val="20"/>
          <w:szCs w:val="20"/>
          <w:shd w:val="clear" w:color="auto" w:fill="FABF8F" w:themeFill="accent6" w:themeFillTint="99"/>
        </w:rPr>
        <w:t>orange</w:t>
      </w:r>
      <w:r w:rsidRPr="00BC46FC">
        <w:rPr>
          <w:sz w:val="20"/>
          <w:szCs w:val="20"/>
          <w:shd w:val="clear" w:color="auto" w:fill="FABF8F" w:themeFill="accent6" w:themeFillTint="99"/>
        </w:rPr>
        <w:t xml:space="preserve"> shading</w:t>
      </w:r>
      <w:r>
        <w:rPr>
          <w:sz w:val="20"/>
          <w:szCs w:val="20"/>
        </w:rPr>
        <w:t xml:space="preserve"> which is to be provided by jurisdictions.</w:t>
      </w:r>
      <w:r w:rsidRPr="0044117D">
        <w:rPr>
          <w:sz w:val="20"/>
          <w:szCs w:val="20"/>
        </w:rPr>
        <w:t xml:space="preserve"> </w:t>
      </w:r>
    </w:p>
    <w:p w:rsidR="009F4BFC" w:rsidRPr="00FB7A15" w:rsidRDefault="009F4BFC" w:rsidP="009F4BFC">
      <w:pPr>
        <w:rPr>
          <w:rStyle w:val="Strong"/>
        </w:rPr>
      </w:pPr>
      <w:r w:rsidRPr="00FB7A15">
        <w:rPr>
          <w:rStyle w:val="Strong"/>
        </w:rPr>
        <w:t>Notes on the data</w:t>
      </w:r>
    </w:p>
    <w:p w:rsidR="009F4BFC" w:rsidRPr="000D5045" w:rsidRDefault="009F4BFC" w:rsidP="009F4BFC">
      <w:pPr>
        <w:pStyle w:val="ListParagraph"/>
        <w:numPr>
          <w:ilvl w:val="0"/>
          <w:numId w:val="3"/>
        </w:numPr>
        <w:spacing w:line="240" w:lineRule="auto"/>
        <w:rPr>
          <w:rFonts w:ascii="Arial" w:hAnsi="Arial" w:cs="Arial"/>
          <w:sz w:val="18"/>
          <w:szCs w:val="18"/>
        </w:rPr>
      </w:pPr>
      <w:r w:rsidRPr="000D5045">
        <w:rPr>
          <w:rFonts w:ascii="Arial" w:hAnsi="Arial" w:cs="Arial"/>
          <w:sz w:val="18"/>
          <w:szCs w:val="18"/>
        </w:rPr>
        <w:t xml:space="preserve">Attainment measure for 20 to 24 year olds is sourced from the ABS Survey of Education and Work. The survey is undertaken in May each year with results normally reported in December of the same year. The data from the survey relates to measures at that point in time. </w:t>
      </w:r>
    </w:p>
    <w:p w:rsidR="009F4BFC" w:rsidRPr="000D5045" w:rsidRDefault="009F4BFC" w:rsidP="009F4BFC">
      <w:pPr>
        <w:pStyle w:val="ListParagraph"/>
        <w:numPr>
          <w:ilvl w:val="0"/>
          <w:numId w:val="3"/>
        </w:numPr>
        <w:spacing w:line="240" w:lineRule="auto"/>
        <w:rPr>
          <w:rFonts w:ascii="Arial" w:hAnsi="Arial" w:cs="Arial"/>
          <w:sz w:val="18"/>
          <w:szCs w:val="18"/>
        </w:rPr>
      </w:pPr>
      <w:r w:rsidRPr="000D5045">
        <w:rPr>
          <w:rFonts w:ascii="Arial" w:hAnsi="Arial" w:cs="Arial"/>
          <w:sz w:val="18"/>
          <w:szCs w:val="18"/>
        </w:rPr>
        <w:t xml:space="preserve">The ABS Survey of Education and Work is a sample survey; results are therefore reported with confidence intervals. For smaller jurisdictions confidence intervals can </w:t>
      </w:r>
      <w:r>
        <w:rPr>
          <w:rFonts w:ascii="Arial" w:hAnsi="Arial" w:cs="Arial"/>
          <w:sz w:val="18"/>
          <w:szCs w:val="18"/>
        </w:rPr>
        <w:t>be substantial. The nature of the s</w:t>
      </w:r>
      <w:r w:rsidRPr="000D5045">
        <w:rPr>
          <w:rFonts w:ascii="Arial" w:hAnsi="Arial" w:cs="Arial"/>
          <w:sz w:val="18"/>
          <w:szCs w:val="18"/>
        </w:rPr>
        <w:t>urvey and the size of the error mean that it may not be possible to</w:t>
      </w:r>
      <w:r>
        <w:rPr>
          <w:rFonts w:ascii="Arial" w:hAnsi="Arial" w:cs="Arial"/>
          <w:sz w:val="18"/>
          <w:szCs w:val="18"/>
        </w:rPr>
        <w:t xml:space="preserve"> accurately</w:t>
      </w:r>
      <w:r w:rsidRPr="000D5045">
        <w:rPr>
          <w:rFonts w:ascii="Arial" w:hAnsi="Arial" w:cs="Arial"/>
          <w:sz w:val="18"/>
          <w:szCs w:val="18"/>
        </w:rPr>
        <w:t xml:space="preserve"> identify change over time</w:t>
      </w:r>
      <w:r>
        <w:rPr>
          <w:rFonts w:ascii="Arial" w:hAnsi="Arial" w:cs="Arial"/>
          <w:sz w:val="18"/>
          <w:szCs w:val="18"/>
        </w:rPr>
        <w:t>, even in larger jurisdictions</w:t>
      </w:r>
      <w:r w:rsidRPr="000D5045">
        <w:rPr>
          <w:rFonts w:ascii="Arial" w:hAnsi="Arial" w:cs="Arial"/>
          <w:sz w:val="18"/>
          <w:szCs w:val="18"/>
        </w:rPr>
        <w:t>.</w:t>
      </w:r>
      <w:r>
        <w:rPr>
          <w:rFonts w:ascii="Arial" w:hAnsi="Arial" w:cs="Arial"/>
          <w:sz w:val="18"/>
          <w:szCs w:val="18"/>
        </w:rPr>
        <w:t xml:space="preserve"> These data limitations we</w:t>
      </w:r>
      <w:r w:rsidRPr="000D5045">
        <w:rPr>
          <w:rFonts w:ascii="Arial" w:hAnsi="Arial" w:cs="Arial"/>
          <w:sz w:val="18"/>
          <w:szCs w:val="18"/>
        </w:rPr>
        <w:t>re signalled by the COAG Reform Council (2010).</w:t>
      </w:r>
    </w:p>
    <w:p w:rsidR="009F4BFC" w:rsidRPr="0083746D" w:rsidRDefault="009F4BFC" w:rsidP="009F4BFC">
      <w:pPr>
        <w:pStyle w:val="ListParagraph"/>
        <w:numPr>
          <w:ilvl w:val="0"/>
          <w:numId w:val="3"/>
        </w:numPr>
        <w:spacing w:line="240" w:lineRule="auto"/>
        <w:rPr>
          <w:rFonts w:ascii="Arial" w:hAnsi="Arial" w:cs="Arial"/>
          <w:sz w:val="18"/>
          <w:szCs w:val="18"/>
        </w:rPr>
      </w:pPr>
      <w:r w:rsidRPr="0083746D">
        <w:rPr>
          <w:rFonts w:ascii="Arial" w:hAnsi="Arial" w:cs="Arial"/>
          <w:sz w:val="18"/>
          <w:szCs w:val="18"/>
        </w:rPr>
        <w:t xml:space="preserve">Data from </w:t>
      </w:r>
      <w:proofErr w:type="spellStart"/>
      <w:r w:rsidRPr="0083746D">
        <w:rPr>
          <w:rFonts w:ascii="Arial" w:hAnsi="Arial" w:cs="Arial"/>
          <w:sz w:val="18"/>
          <w:szCs w:val="18"/>
        </w:rPr>
        <w:t>NCVER</w:t>
      </w:r>
      <w:proofErr w:type="spellEnd"/>
      <w:r w:rsidRPr="0083746D">
        <w:rPr>
          <w:rFonts w:ascii="Arial" w:hAnsi="Arial" w:cs="Arial"/>
          <w:sz w:val="18"/>
          <w:szCs w:val="18"/>
        </w:rPr>
        <w:t xml:space="preserve"> </w:t>
      </w:r>
      <w:proofErr w:type="spellStart"/>
      <w:r w:rsidRPr="0083746D">
        <w:rPr>
          <w:rFonts w:ascii="Arial" w:hAnsi="Arial" w:cs="Arial"/>
          <w:sz w:val="18"/>
          <w:szCs w:val="18"/>
        </w:rPr>
        <w:t>VOCSTATS</w:t>
      </w:r>
      <w:proofErr w:type="spellEnd"/>
      <w:r w:rsidRPr="0083746D">
        <w:rPr>
          <w:rFonts w:ascii="Arial" w:hAnsi="Arial" w:cs="Arial"/>
          <w:sz w:val="18"/>
          <w:szCs w:val="18"/>
        </w:rPr>
        <w:t xml:space="preserve"> </w:t>
      </w:r>
      <w:r>
        <w:rPr>
          <w:rFonts w:ascii="Arial" w:hAnsi="Arial" w:cs="Arial"/>
          <w:sz w:val="18"/>
          <w:szCs w:val="18"/>
        </w:rPr>
        <w:t xml:space="preserve">are </w:t>
      </w:r>
      <w:r w:rsidRPr="0083746D">
        <w:rPr>
          <w:rFonts w:ascii="Arial" w:hAnsi="Arial" w:cs="Arial"/>
          <w:sz w:val="18"/>
          <w:szCs w:val="18"/>
        </w:rPr>
        <w:t xml:space="preserve">normally available in </w:t>
      </w:r>
      <w:r>
        <w:rPr>
          <w:rFonts w:ascii="Arial" w:hAnsi="Arial" w:cs="Arial"/>
          <w:sz w:val="18"/>
          <w:szCs w:val="18"/>
        </w:rPr>
        <w:t xml:space="preserve">July of </w:t>
      </w:r>
      <w:r w:rsidRPr="0083746D">
        <w:rPr>
          <w:rFonts w:ascii="Arial" w:hAnsi="Arial" w:cs="Arial"/>
          <w:sz w:val="18"/>
          <w:szCs w:val="18"/>
        </w:rPr>
        <w:t>the following year</w:t>
      </w:r>
      <w:r>
        <w:rPr>
          <w:rFonts w:ascii="Arial" w:hAnsi="Arial" w:cs="Arial"/>
          <w:sz w:val="18"/>
          <w:szCs w:val="18"/>
        </w:rPr>
        <w:t xml:space="preserve">, except completions which take a further 12 months. </w:t>
      </w:r>
      <w:r w:rsidRPr="0083746D">
        <w:rPr>
          <w:rFonts w:ascii="Arial" w:hAnsi="Arial" w:cs="Arial"/>
          <w:i/>
          <w:color w:val="FF0000"/>
          <w:sz w:val="18"/>
          <w:szCs w:val="18"/>
        </w:rPr>
        <w:t xml:space="preserve"> </w:t>
      </w:r>
      <w:r w:rsidRPr="0083746D">
        <w:rPr>
          <w:rFonts w:ascii="Arial" w:hAnsi="Arial" w:cs="Arial"/>
          <w:color w:val="000000"/>
          <w:sz w:val="18"/>
          <w:szCs w:val="18"/>
        </w:rPr>
        <w:t xml:space="preserve">VET statistics </w:t>
      </w:r>
      <w:r>
        <w:rPr>
          <w:rFonts w:ascii="Arial" w:hAnsi="Arial" w:cs="Arial"/>
          <w:color w:val="000000"/>
          <w:sz w:val="18"/>
          <w:szCs w:val="18"/>
        </w:rPr>
        <w:t xml:space="preserve">reflect a </w:t>
      </w:r>
      <w:r w:rsidRPr="0083746D">
        <w:rPr>
          <w:rFonts w:ascii="Arial" w:hAnsi="Arial" w:cs="Arial"/>
          <w:color w:val="000000"/>
          <w:sz w:val="18"/>
          <w:szCs w:val="18"/>
        </w:rPr>
        <w:t>cumulative summary of the year’s activity as opposed to a point in time.</w:t>
      </w:r>
      <w:r w:rsidRPr="0083746D">
        <w:rPr>
          <w:rFonts w:ascii="Arial" w:hAnsi="Arial" w:cs="Arial"/>
          <w:i/>
          <w:color w:val="FF0000"/>
          <w:sz w:val="18"/>
          <w:szCs w:val="18"/>
        </w:rPr>
        <w:t xml:space="preserve"> </w:t>
      </w:r>
    </w:p>
    <w:p w:rsidR="009F4BFC" w:rsidRPr="000D6249" w:rsidRDefault="009F4BFC" w:rsidP="009F4BFC">
      <w:pPr>
        <w:pStyle w:val="ListParagraph"/>
        <w:numPr>
          <w:ilvl w:val="0"/>
          <w:numId w:val="3"/>
        </w:numPr>
        <w:spacing w:line="240" w:lineRule="auto"/>
        <w:rPr>
          <w:rFonts w:ascii="Arial" w:hAnsi="Arial" w:cs="Arial"/>
          <w:sz w:val="18"/>
          <w:szCs w:val="18"/>
        </w:rPr>
      </w:pPr>
      <w:r>
        <w:rPr>
          <w:rFonts w:ascii="Arial" w:hAnsi="Arial" w:cs="Arial"/>
          <w:sz w:val="18"/>
          <w:szCs w:val="18"/>
        </w:rPr>
        <w:t xml:space="preserve">According to </w:t>
      </w:r>
      <w:proofErr w:type="spellStart"/>
      <w:r>
        <w:rPr>
          <w:rFonts w:ascii="Arial" w:hAnsi="Arial" w:cs="Arial"/>
          <w:sz w:val="18"/>
          <w:szCs w:val="18"/>
        </w:rPr>
        <w:t>MCEECD</w:t>
      </w:r>
      <w:r w:rsidRPr="0083746D">
        <w:rPr>
          <w:rFonts w:ascii="Arial" w:hAnsi="Arial" w:cs="Arial"/>
          <w:sz w:val="18"/>
          <w:szCs w:val="18"/>
        </w:rPr>
        <w:t>YA</w:t>
      </w:r>
      <w:proofErr w:type="spellEnd"/>
      <w:r w:rsidRPr="0083746D">
        <w:rPr>
          <w:rFonts w:ascii="Arial" w:hAnsi="Arial" w:cs="Arial"/>
          <w:sz w:val="18"/>
          <w:szCs w:val="18"/>
        </w:rPr>
        <w:t xml:space="preserve"> guidelines</w:t>
      </w:r>
      <w:r>
        <w:rPr>
          <w:rFonts w:ascii="Arial" w:hAnsi="Arial" w:cs="Arial"/>
          <w:sz w:val="18"/>
          <w:szCs w:val="18"/>
        </w:rPr>
        <w:t>,</w:t>
      </w:r>
      <w:r w:rsidRPr="0083746D">
        <w:rPr>
          <w:rFonts w:ascii="Arial" w:hAnsi="Arial" w:cs="Arial"/>
          <w:sz w:val="18"/>
          <w:szCs w:val="18"/>
        </w:rPr>
        <w:t xml:space="preserve"> “Attendance rates for indigenous students” relates to students who </w:t>
      </w:r>
      <w:r>
        <w:rPr>
          <w:rFonts w:ascii="Arial" w:hAnsi="Arial" w:cs="Arial"/>
          <w:sz w:val="18"/>
          <w:szCs w:val="18"/>
        </w:rPr>
        <w:t>identify as I</w:t>
      </w:r>
      <w:r w:rsidRPr="0083746D">
        <w:rPr>
          <w:rFonts w:ascii="Arial" w:hAnsi="Arial" w:cs="Arial"/>
          <w:sz w:val="18"/>
          <w:szCs w:val="18"/>
        </w:rPr>
        <w:t>ndigenous</w:t>
      </w:r>
      <w:r>
        <w:rPr>
          <w:rFonts w:ascii="Arial" w:hAnsi="Arial" w:cs="Arial"/>
          <w:sz w:val="18"/>
          <w:szCs w:val="18"/>
        </w:rPr>
        <w:t xml:space="preserve">. The data are collected </w:t>
      </w:r>
      <w:r w:rsidRPr="0083746D">
        <w:rPr>
          <w:rFonts w:ascii="Arial" w:hAnsi="Arial" w:cs="Arial"/>
          <w:sz w:val="18"/>
          <w:szCs w:val="18"/>
        </w:rPr>
        <w:t xml:space="preserve">for </w:t>
      </w:r>
      <w:r>
        <w:rPr>
          <w:rFonts w:ascii="Arial" w:hAnsi="Arial" w:cs="Arial"/>
          <w:sz w:val="18"/>
          <w:szCs w:val="18"/>
        </w:rPr>
        <w:t xml:space="preserve">the first semester </w:t>
      </w:r>
      <w:r w:rsidRPr="0083746D">
        <w:rPr>
          <w:rFonts w:ascii="Arial" w:hAnsi="Arial" w:cs="Arial"/>
          <w:sz w:val="18"/>
          <w:szCs w:val="18"/>
        </w:rPr>
        <w:t>of the</w:t>
      </w:r>
      <w:r>
        <w:rPr>
          <w:rFonts w:ascii="Arial" w:hAnsi="Arial" w:cs="Arial"/>
          <w:sz w:val="18"/>
          <w:szCs w:val="18"/>
        </w:rPr>
        <w:t xml:space="preserve"> school year, and reported in the first quarter of the following year</w:t>
      </w:r>
      <w:r w:rsidRPr="0083746D">
        <w:rPr>
          <w:rFonts w:ascii="Arial" w:hAnsi="Arial" w:cs="Arial"/>
          <w:sz w:val="18"/>
          <w:szCs w:val="18"/>
        </w:rPr>
        <w:t>.</w:t>
      </w:r>
      <w:r>
        <w:rPr>
          <w:rFonts w:ascii="Arial" w:hAnsi="Arial" w:cs="Arial"/>
          <w:sz w:val="18"/>
          <w:szCs w:val="18"/>
        </w:rPr>
        <w:t xml:space="preserve"> There are data quality issues. Significant numbers of students in all jurisdictions have not indicated their Indigenous/non-Indigenous status. Collection methodologies vary across some jurisdictions and sectors.  Data should be treated with caution.</w:t>
      </w:r>
    </w:p>
    <w:p w:rsidR="00B116EC" w:rsidRPr="000D6249" w:rsidRDefault="00B116EC" w:rsidP="00134652">
      <w:pPr>
        <w:pStyle w:val="ListParagraph"/>
        <w:numPr>
          <w:ilvl w:val="0"/>
          <w:numId w:val="3"/>
        </w:numPr>
        <w:spacing w:line="240" w:lineRule="auto"/>
        <w:rPr>
          <w:rFonts w:ascii="Arial" w:hAnsi="Arial" w:cs="Arial"/>
          <w:sz w:val="18"/>
          <w:szCs w:val="18"/>
        </w:rPr>
      </w:pPr>
    </w:p>
    <w:p w:rsidR="0040278E" w:rsidRPr="00F33BD9" w:rsidRDefault="0040278E" w:rsidP="00010883">
      <w:pPr>
        <w:rPr>
          <w:rFonts w:cs="Calibri"/>
        </w:rPr>
      </w:pPr>
    </w:p>
    <w:p w:rsidR="0040278E" w:rsidRPr="00F33BD9" w:rsidRDefault="0040278E" w:rsidP="00010883">
      <w:pPr>
        <w:rPr>
          <w:rFonts w:cs="Calibri"/>
        </w:rPr>
        <w:sectPr w:rsidR="0040278E" w:rsidRPr="00F33BD9" w:rsidSect="005641EE">
          <w:pgSz w:w="23814" w:h="16839" w:orient="landscape" w:code="8"/>
          <w:pgMar w:top="567" w:right="1440" w:bottom="567" w:left="1440" w:header="567" w:footer="709" w:gutter="0"/>
          <w:cols w:space="708"/>
          <w:docGrid w:linePitch="360"/>
        </w:sectPr>
      </w:pPr>
    </w:p>
    <w:p w:rsidR="0040278E" w:rsidRPr="00F33BD9" w:rsidRDefault="0040278E" w:rsidP="007D62DD">
      <w:pPr>
        <w:pStyle w:val="Heading1"/>
      </w:pPr>
      <w:bookmarkStart w:id="3" w:name="_Toc365385403"/>
      <w:r w:rsidRPr="00F33BD9">
        <w:lastRenderedPageBreak/>
        <w:t>PART B:</w:t>
      </w:r>
      <w:bookmarkEnd w:id="3"/>
    </w:p>
    <w:p w:rsidR="0040278E" w:rsidRPr="00F33BD9" w:rsidRDefault="0040278E" w:rsidP="007609BE">
      <w:pPr>
        <w:pStyle w:val="Heading2"/>
        <w:spacing w:before="120" w:after="120"/>
      </w:pPr>
      <w:bookmarkStart w:id="4" w:name="_Toc365385404"/>
      <w:r w:rsidRPr="00F33BD9">
        <w:t>Jurisdictional Context</w:t>
      </w:r>
      <w:bookmarkEnd w:id="4"/>
    </w:p>
    <w:p w:rsidR="0040278E" w:rsidRPr="00F33BD9" w:rsidRDefault="00224C17" w:rsidP="007609BE">
      <w:pPr>
        <w:pStyle w:val="Heading2"/>
        <w:spacing w:before="120" w:after="120"/>
      </w:pPr>
      <w:bookmarkStart w:id="5" w:name="_Toc365385405"/>
      <w:r>
        <w:t>M</w:t>
      </w:r>
      <w:r w:rsidR="0040278E" w:rsidRPr="00F33BD9">
        <w:t>aximising Engagement, Attainment and Successful Transitions</w:t>
      </w:r>
      <w:bookmarkEnd w:id="5"/>
      <w:r w:rsidR="0040278E" w:rsidRPr="00F33BD9">
        <w:t xml:space="preserve"> </w:t>
      </w:r>
    </w:p>
    <w:p w:rsidR="00224C17" w:rsidRPr="00D62450" w:rsidRDefault="00224C17" w:rsidP="00D62450">
      <w:pPr>
        <w:pStyle w:val="Heading3"/>
      </w:pPr>
      <w:bookmarkStart w:id="6" w:name="_Toc294018955"/>
      <w:r w:rsidRPr="0095505F">
        <w:t>Structured Workplace Learning</w:t>
      </w:r>
      <w:bookmarkEnd w:id="6"/>
    </w:p>
    <w:p w:rsidR="00224C17" w:rsidRDefault="00224C17" w:rsidP="00D62450">
      <w:pPr>
        <w:pStyle w:val="BodyText2"/>
      </w:pPr>
      <w:r w:rsidRPr="003B738F">
        <w:t>Queensland state schools have a long history of supporting students to undertake structured workplace learning (</w:t>
      </w:r>
      <w:proofErr w:type="spellStart"/>
      <w:r w:rsidRPr="003B738F">
        <w:t>SWL</w:t>
      </w:r>
      <w:proofErr w:type="spellEnd"/>
      <w:r w:rsidRPr="003B738F">
        <w:t xml:space="preserve">) as part of accredited </w:t>
      </w:r>
      <w:r>
        <w:t>VET</w:t>
      </w:r>
      <w:r w:rsidRPr="003B738F">
        <w:t xml:space="preserve">. </w:t>
      </w:r>
      <w:proofErr w:type="spellStart"/>
      <w:r w:rsidRPr="00D62450">
        <w:t>SWL</w:t>
      </w:r>
      <w:proofErr w:type="spellEnd"/>
      <w:r w:rsidRPr="003B738F">
        <w:t> </w:t>
      </w:r>
      <w:r>
        <w:t>opportunities</w:t>
      </w:r>
      <w:r w:rsidRPr="00F724E4">
        <w:t xml:space="preserve"> take place in a workplace or simulated workplace and are structured, mo</w:t>
      </w:r>
      <w:r>
        <w:t>nitored, regulated and assessed, and allow</w:t>
      </w:r>
      <w:r w:rsidRPr="00F724E4">
        <w:t xml:space="preserve"> students to gain knowledge and demonstrate application of that knowledge in the workplace. </w:t>
      </w:r>
      <w:r>
        <w:t>Data on Queensland’s s</w:t>
      </w:r>
      <w:r w:rsidRPr="00F724E4">
        <w:t xml:space="preserve">tructured work placement </w:t>
      </w:r>
      <w:r>
        <w:t>for all sectors is provided in the table below.</w:t>
      </w:r>
    </w:p>
    <w:p w:rsidR="00962DD6" w:rsidRPr="0095505F" w:rsidRDefault="00962DD6" w:rsidP="00D62450">
      <w:pPr>
        <w:pStyle w:val="Heading3"/>
      </w:pPr>
      <w:r w:rsidRPr="0095505F">
        <w:t xml:space="preserve">Survey of Work Experience </w:t>
      </w:r>
    </w:p>
    <w:p w:rsidR="00962DD6" w:rsidRDefault="00962DD6" w:rsidP="00D62450">
      <w:pPr>
        <w:pStyle w:val="BodyText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999"/>
        <w:gridCol w:w="1999"/>
        <w:gridCol w:w="2000"/>
        <w:gridCol w:w="2000"/>
      </w:tblGrid>
      <w:tr w:rsidR="00962DD6" w:rsidRPr="003E5036" w:rsidTr="003E5036">
        <w:tc>
          <w:tcPr>
            <w:tcW w:w="1999" w:type="dxa"/>
            <w:shd w:val="clear" w:color="auto" w:fill="auto"/>
          </w:tcPr>
          <w:p w:rsidR="00962DD6" w:rsidRPr="003E5036" w:rsidRDefault="00962DD6" w:rsidP="003E5036">
            <w:pPr>
              <w:autoSpaceDE w:val="0"/>
              <w:autoSpaceDN w:val="0"/>
              <w:adjustRightInd w:val="0"/>
              <w:spacing w:line="240" w:lineRule="auto"/>
              <w:jc w:val="center"/>
              <w:rPr>
                <w:b/>
              </w:rPr>
            </w:pPr>
          </w:p>
        </w:tc>
        <w:tc>
          <w:tcPr>
            <w:tcW w:w="1999" w:type="dxa"/>
            <w:shd w:val="clear" w:color="auto" w:fill="auto"/>
          </w:tcPr>
          <w:p w:rsidR="00962DD6" w:rsidRPr="003E5036" w:rsidRDefault="00962DD6" w:rsidP="003E5036">
            <w:pPr>
              <w:autoSpaceDE w:val="0"/>
              <w:autoSpaceDN w:val="0"/>
              <w:adjustRightInd w:val="0"/>
              <w:spacing w:line="240" w:lineRule="auto"/>
              <w:jc w:val="center"/>
              <w:rPr>
                <w:b/>
              </w:rPr>
            </w:pPr>
            <w:r w:rsidRPr="003E5036">
              <w:rPr>
                <w:b/>
              </w:rPr>
              <w:t>EQ</w:t>
            </w:r>
          </w:p>
        </w:tc>
        <w:tc>
          <w:tcPr>
            <w:tcW w:w="1999" w:type="dxa"/>
            <w:shd w:val="clear" w:color="auto" w:fill="auto"/>
          </w:tcPr>
          <w:p w:rsidR="00962DD6" w:rsidRPr="003E5036" w:rsidRDefault="00962DD6" w:rsidP="003E5036">
            <w:pPr>
              <w:autoSpaceDE w:val="0"/>
              <w:autoSpaceDN w:val="0"/>
              <w:adjustRightInd w:val="0"/>
              <w:spacing w:line="240" w:lineRule="auto"/>
              <w:jc w:val="center"/>
              <w:rPr>
                <w:b/>
              </w:rPr>
            </w:pPr>
            <w:proofErr w:type="spellStart"/>
            <w:r w:rsidRPr="003E5036">
              <w:rPr>
                <w:b/>
              </w:rPr>
              <w:t>ISQ</w:t>
            </w:r>
            <w:proofErr w:type="spellEnd"/>
          </w:p>
        </w:tc>
        <w:tc>
          <w:tcPr>
            <w:tcW w:w="2000" w:type="dxa"/>
            <w:shd w:val="clear" w:color="auto" w:fill="auto"/>
          </w:tcPr>
          <w:p w:rsidR="00962DD6" w:rsidRPr="003E5036" w:rsidRDefault="00962DD6" w:rsidP="003E5036">
            <w:pPr>
              <w:autoSpaceDE w:val="0"/>
              <w:autoSpaceDN w:val="0"/>
              <w:adjustRightInd w:val="0"/>
              <w:spacing w:line="240" w:lineRule="auto"/>
              <w:jc w:val="center"/>
              <w:rPr>
                <w:b/>
              </w:rPr>
            </w:pPr>
            <w:proofErr w:type="spellStart"/>
            <w:r w:rsidRPr="003E5036">
              <w:rPr>
                <w:b/>
              </w:rPr>
              <w:t>QCEC</w:t>
            </w:r>
            <w:proofErr w:type="spellEnd"/>
          </w:p>
        </w:tc>
        <w:tc>
          <w:tcPr>
            <w:tcW w:w="2000" w:type="dxa"/>
            <w:shd w:val="clear" w:color="auto" w:fill="auto"/>
          </w:tcPr>
          <w:p w:rsidR="00962DD6" w:rsidRPr="003E5036" w:rsidRDefault="00962DD6" w:rsidP="003E5036">
            <w:pPr>
              <w:autoSpaceDE w:val="0"/>
              <w:autoSpaceDN w:val="0"/>
              <w:adjustRightInd w:val="0"/>
              <w:spacing w:line="240" w:lineRule="auto"/>
              <w:jc w:val="center"/>
              <w:rPr>
                <w:b/>
              </w:rPr>
            </w:pPr>
            <w:r w:rsidRPr="003E5036">
              <w:rPr>
                <w:b/>
              </w:rPr>
              <w:t>TOTAL</w:t>
            </w:r>
          </w:p>
        </w:tc>
      </w:tr>
      <w:tr w:rsidR="00962DD6" w:rsidTr="003E5036">
        <w:tc>
          <w:tcPr>
            <w:tcW w:w="1999" w:type="dxa"/>
            <w:shd w:val="clear" w:color="auto" w:fill="auto"/>
          </w:tcPr>
          <w:p w:rsidR="00962DD6" w:rsidRPr="003E5036" w:rsidRDefault="00962DD6" w:rsidP="003E5036">
            <w:pPr>
              <w:autoSpaceDE w:val="0"/>
              <w:autoSpaceDN w:val="0"/>
              <w:adjustRightInd w:val="0"/>
              <w:spacing w:line="240" w:lineRule="auto"/>
              <w:jc w:val="both"/>
              <w:rPr>
                <w:b/>
              </w:rPr>
            </w:pPr>
            <w:r w:rsidRPr="003E5036">
              <w:rPr>
                <w:b/>
              </w:rPr>
              <w:t>Students</w:t>
            </w:r>
          </w:p>
        </w:tc>
        <w:tc>
          <w:tcPr>
            <w:tcW w:w="1999" w:type="dxa"/>
            <w:shd w:val="clear" w:color="auto" w:fill="auto"/>
          </w:tcPr>
          <w:p w:rsidR="00962DD6" w:rsidRDefault="00962DD6" w:rsidP="003E5036">
            <w:pPr>
              <w:autoSpaceDE w:val="0"/>
              <w:autoSpaceDN w:val="0"/>
              <w:adjustRightInd w:val="0"/>
              <w:spacing w:line="240" w:lineRule="auto"/>
              <w:jc w:val="right"/>
            </w:pPr>
            <w:r w:rsidRPr="003E5036">
              <w:rPr>
                <w:color w:val="000000"/>
              </w:rPr>
              <w:t>34,941</w:t>
            </w:r>
          </w:p>
        </w:tc>
        <w:tc>
          <w:tcPr>
            <w:tcW w:w="1999" w:type="dxa"/>
            <w:shd w:val="clear" w:color="auto" w:fill="auto"/>
          </w:tcPr>
          <w:p w:rsidR="00962DD6" w:rsidRDefault="00962DD6" w:rsidP="003E5036">
            <w:pPr>
              <w:autoSpaceDE w:val="0"/>
              <w:autoSpaceDN w:val="0"/>
              <w:adjustRightInd w:val="0"/>
              <w:spacing w:line="240" w:lineRule="auto"/>
              <w:jc w:val="right"/>
            </w:pPr>
            <w:r w:rsidRPr="003E5036">
              <w:rPr>
                <w:color w:val="000000"/>
              </w:rPr>
              <w:t>6,513</w:t>
            </w:r>
          </w:p>
        </w:tc>
        <w:tc>
          <w:tcPr>
            <w:tcW w:w="2000" w:type="dxa"/>
            <w:shd w:val="clear" w:color="auto" w:fill="auto"/>
          </w:tcPr>
          <w:p w:rsidR="00962DD6" w:rsidRDefault="00962DD6" w:rsidP="003E5036">
            <w:pPr>
              <w:autoSpaceDE w:val="0"/>
              <w:autoSpaceDN w:val="0"/>
              <w:adjustRightInd w:val="0"/>
              <w:spacing w:line="240" w:lineRule="auto"/>
              <w:jc w:val="right"/>
            </w:pPr>
            <w:r w:rsidRPr="003E5036">
              <w:rPr>
                <w:color w:val="000000"/>
              </w:rPr>
              <w:t>10,648</w:t>
            </w:r>
          </w:p>
        </w:tc>
        <w:tc>
          <w:tcPr>
            <w:tcW w:w="2000" w:type="dxa"/>
            <w:shd w:val="clear" w:color="auto" w:fill="auto"/>
          </w:tcPr>
          <w:p w:rsidR="00962DD6" w:rsidRDefault="00962DD6" w:rsidP="003E5036">
            <w:pPr>
              <w:autoSpaceDE w:val="0"/>
              <w:autoSpaceDN w:val="0"/>
              <w:adjustRightInd w:val="0"/>
              <w:spacing w:line="240" w:lineRule="auto"/>
              <w:jc w:val="right"/>
            </w:pPr>
            <w:r w:rsidRPr="003E5036">
              <w:rPr>
                <w:color w:val="000000"/>
              </w:rPr>
              <w:t>52,100</w:t>
            </w:r>
          </w:p>
        </w:tc>
      </w:tr>
      <w:tr w:rsidR="00962DD6" w:rsidTr="003E5036">
        <w:tc>
          <w:tcPr>
            <w:tcW w:w="1999" w:type="dxa"/>
            <w:shd w:val="clear" w:color="auto" w:fill="auto"/>
          </w:tcPr>
          <w:p w:rsidR="00962DD6" w:rsidRPr="003E5036" w:rsidRDefault="00962DD6" w:rsidP="003E5036">
            <w:pPr>
              <w:autoSpaceDE w:val="0"/>
              <w:autoSpaceDN w:val="0"/>
              <w:adjustRightInd w:val="0"/>
              <w:spacing w:line="240" w:lineRule="auto"/>
              <w:jc w:val="both"/>
              <w:rPr>
                <w:b/>
              </w:rPr>
            </w:pPr>
            <w:r w:rsidRPr="003E5036">
              <w:rPr>
                <w:b/>
              </w:rPr>
              <w:t>Hours</w:t>
            </w:r>
          </w:p>
        </w:tc>
        <w:tc>
          <w:tcPr>
            <w:tcW w:w="1999" w:type="dxa"/>
            <w:shd w:val="clear" w:color="auto" w:fill="auto"/>
          </w:tcPr>
          <w:p w:rsidR="00962DD6" w:rsidRDefault="00962DD6" w:rsidP="003E5036">
            <w:pPr>
              <w:autoSpaceDE w:val="0"/>
              <w:autoSpaceDN w:val="0"/>
              <w:adjustRightInd w:val="0"/>
              <w:spacing w:line="240" w:lineRule="auto"/>
              <w:jc w:val="right"/>
            </w:pPr>
            <w:r w:rsidRPr="003E5036">
              <w:rPr>
                <w:color w:val="000000"/>
              </w:rPr>
              <w:t>1,903,394</w:t>
            </w:r>
          </w:p>
        </w:tc>
        <w:tc>
          <w:tcPr>
            <w:tcW w:w="1999" w:type="dxa"/>
            <w:shd w:val="clear" w:color="auto" w:fill="auto"/>
          </w:tcPr>
          <w:p w:rsidR="00962DD6" w:rsidRDefault="00962DD6" w:rsidP="003E5036">
            <w:pPr>
              <w:autoSpaceDE w:val="0"/>
              <w:autoSpaceDN w:val="0"/>
              <w:adjustRightInd w:val="0"/>
              <w:spacing w:line="240" w:lineRule="auto"/>
              <w:jc w:val="right"/>
            </w:pPr>
            <w:r w:rsidRPr="003E5036">
              <w:rPr>
                <w:color w:val="000000"/>
              </w:rPr>
              <w:t>393,750</w:t>
            </w:r>
          </w:p>
        </w:tc>
        <w:tc>
          <w:tcPr>
            <w:tcW w:w="2000" w:type="dxa"/>
            <w:shd w:val="clear" w:color="auto" w:fill="auto"/>
          </w:tcPr>
          <w:p w:rsidR="00962DD6" w:rsidRDefault="00962DD6" w:rsidP="003E5036">
            <w:pPr>
              <w:autoSpaceDE w:val="0"/>
              <w:autoSpaceDN w:val="0"/>
              <w:adjustRightInd w:val="0"/>
              <w:spacing w:line="240" w:lineRule="auto"/>
              <w:jc w:val="right"/>
            </w:pPr>
            <w:r w:rsidRPr="003E5036">
              <w:rPr>
                <w:color w:val="000000"/>
              </w:rPr>
              <w:t>657,975</w:t>
            </w:r>
          </w:p>
        </w:tc>
        <w:tc>
          <w:tcPr>
            <w:tcW w:w="2000" w:type="dxa"/>
            <w:shd w:val="clear" w:color="auto" w:fill="auto"/>
          </w:tcPr>
          <w:p w:rsidR="00962DD6" w:rsidRDefault="00962DD6" w:rsidP="003E5036">
            <w:pPr>
              <w:autoSpaceDE w:val="0"/>
              <w:autoSpaceDN w:val="0"/>
              <w:adjustRightInd w:val="0"/>
              <w:spacing w:line="240" w:lineRule="auto"/>
              <w:jc w:val="right"/>
            </w:pPr>
            <w:r w:rsidRPr="003E5036">
              <w:rPr>
                <w:color w:val="000000"/>
              </w:rPr>
              <w:t>2,962,975</w:t>
            </w:r>
          </w:p>
        </w:tc>
      </w:tr>
    </w:tbl>
    <w:p w:rsidR="00962DD6" w:rsidRDefault="00962DD6" w:rsidP="00D62450">
      <w:pPr>
        <w:pStyle w:val="BodyText2"/>
      </w:pPr>
    </w:p>
    <w:p w:rsidR="00224C17" w:rsidRPr="00F33BD9" w:rsidRDefault="00224C17" w:rsidP="00D62450">
      <w:pPr>
        <w:pStyle w:val="BodyText2"/>
      </w:pPr>
      <w:r w:rsidRPr="00F33BD9">
        <w:t xml:space="preserve">Education Queensland’s Maximising Engagement, Attainment and Successful Transitions (MEAST) project funds have been allocated to </w:t>
      </w:r>
      <w:r w:rsidRPr="00D62450">
        <w:t>each</w:t>
      </w:r>
      <w:r w:rsidRPr="00F33BD9">
        <w:t xml:space="preserve"> region through an allocation model based on student numbers with a weighting for low socio-economic status.  </w:t>
      </w:r>
    </w:p>
    <w:p w:rsidR="00224C17" w:rsidRPr="00F33BD9" w:rsidRDefault="00224C17" w:rsidP="00D62450">
      <w:pPr>
        <w:pStyle w:val="BodyText2"/>
      </w:pPr>
    </w:p>
    <w:p w:rsidR="00224C17" w:rsidRPr="00F33BD9" w:rsidRDefault="00224C17" w:rsidP="00D62450">
      <w:pPr>
        <w:pStyle w:val="BodyText2"/>
      </w:pPr>
      <w:r w:rsidRPr="00F33BD9">
        <w:t xml:space="preserve">The strategies implemented </w:t>
      </w:r>
      <w:r w:rsidRPr="00D62450">
        <w:t>across</w:t>
      </w:r>
      <w:r w:rsidRPr="00F33BD9">
        <w:t xml:space="preserve"> regions vary as a result of the geographical and demographical differences experienced across the state. All regions remain committed to achieving the targets set in the Queensland Implementation Plan and have devised innovative and responsive strategies to meet the unique needs of their students and contexts.  </w:t>
      </w:r>
    </w:p>
    <w:p w:rsidR="002D59D2" w:rsidRPr="0095505F" w:rsidRDefault="002D59D2" w:rsidP="00D62450">
      <w:pPr>
        <w:pStyle w:val="Heading3"/>
      </w:pPr>
      <w:bookmarkStart w:id="7" w:name="_Toc294018956"/>
      <w:bookmarkStart w:id="8" w:name="OLE_LINK2"/>
      <w:bookmarkStart w:id="9" w:name="OLE_LINK3"/>
      <w:r w:rsidRPr="0095505F">
        <w:t>Year 12 Outcomes</w:t>
      </w:r>
      <w:bookmarkEnd w:id="7"/>
    </w:p>
    <w:bookmarkEnd w:id="8"/>
    <w:bookmarkEnd w:id="9"/>
    <w:p w:rsidR="002D59D2" w:rsidRPr="000240C4" w:rsidRDefault="002D59D2" w:rsidP="00D62450">
      <w:pPr>
        <w:pStyle w:val="BodyText2"/>
      </w:pPr>
      <w:r w:rsidRPr="000240C4">
        <w:t>Queensland schools are very good at meeting the needs of their communities, which means that schools differ in the same way that communiti</w:t>
      </w:r>
      <w:r w:rsidR="00D62450">
        <w:t>es differ.</w:t>
      </w:r>
      <w:r w:rsidRPr="000240C4">
        <w:t xml:space="preserve"> Some students follow a</w:t>
      </w:r>
      <w:r w:rsidR="00FF1687">
        <w:t>n academic</w:t>
      </w:r>
      <w:r w:rsidRPr="000240C4">
        <w:t xml:space="preserve"> Year 12 </w:t>
      </w:r>
      <w:r w:rsidR="00FF1687">
        <w:t>course of study with a view to progressing to</w:t>
      </w:r>
      <w:r w:rsidRPr="000240C4">
        <w:t xml:space="preserve"> university. For others, vocational education and training qualifications lead to skilled work in industry.</w:t>
      </w:r>
      <w:r w:rsidR="00FF1687">
        <w:t xml:space="preserve"> Many</w:t>
      </w:r>
      <w:r w:rsidRPr="000240C4">
        <w:t xml:space="preserve"> Year 12 graduates successfully combine a range of academic courses and vocational qualifications that provide options for further</w:t>
      </w:r>
      <w:r w:rsidR="00D62450">
        <w:t xml:space="preserve"> education, training and work.</w:t>
      </w:r>
    </w:p>
    <w:p w:rsidR="002D59D2" w:rsidRPr="000240C4" w:rsidRDefault="002D59D2" w:rsidP="0095505F">
      <w:pPr>
        <w:autoSpaceDE w:val="0"/>
        <w:autoSpaceDN w:val="0"/>
        <w:adjustRightInd w:val="0"/>
        <w:spacing w:line="240" w:lineRule="auto"/>
        <w:rPr>
          <w:rFonts w:cs="Calibri"/>
        </w:rPr>
      </w:pPr>
    </w:p>
    <w:p w:rsidR="002D59D2" w:rsidRPr="000240C4" w:rsidRDefault="002D59D2" w:rsidP="00D62450">
      <w:pPr>
        <w:pStyle w:val="BodyText2"/>
      </w:pPr>
      <w:r w:rsidRPr="000240C4">
        <w:t>From the beginning of 2006, Queensland entered a new era for secondary education with the introduction of the Queensland Certificate of Education (</w:t>
      </w:r>
      <w:proofErr w:type="spellStart"/>
      <w:r w:rsidRPr="000240C4">
        <w:t>QCE</w:t>
      </w:r>
      <w:proofErr w:type="spellEnd"/>
      <w:r w:rsidRPr="000240C4">
        <w:t xml:space="preserve">), which was issued for the first time to students completing Year 12 in 2008. The </w:t>
      </w:r>
      <w:proofErr w:type="spellStart"/>
      <w:r w:rsidRPr="000240C4">
        <w:t>QCE</w:t>
      </w:r>
      <w:proofErr w:type="spellEnd"/>
      <w:r w:rsidRPr="000240C4">
        <w:t xml:space="preserve"> is an achievement-based qualification which recognises a broad range of learning, including senior school subjects, VET, workplace learning recognised by the Queensland Studies Authority (</w:t>
      </w:r>
      <w:proofErr w:type="spellStart"/>
      <w:r w:rsidRPr="000240C4">
        <w:t>QSA</w:t>
      </w:r>
      <w:proofErr w:type="spellEnd"/>
      <w:r w:rsidRPr="000240C4">
        <w:t xml:space="preserve">), and advanced credit towards university subjects undertaken while at school. </w:t>
      </w:r>
    </w:p>
    <w:p w:rsidR="002D59D2" w:rsidRPr="000240C4" w:rsidRDefault="002D59D2" w:rsidP="0095505F">
      <w:pPr>
        <w:autoSpaceDE w:val="0"/>
        <w:autoSpaceDN w:val="0"/>
        <w:adjustRightInd w:val="0"/>
        <w:spacing w:line="240" w:lineRule="auto"/>
        <w:rPr>
          <w:rFonts w:cs="Calibri"/>
        </w:rPr>
      </w:pPr>
    </w:p>
    <w:p w:rsidR="002D59D2" w:rsidRPr="000240C4" w:rsidRDefault="002D59D2" w:rsidP="00D62450">
      <w:pPr>
        <w:pStyle w:val="BodyText2"/>
      </w:pPr>
      <w:r w:rsidRPr="000240C4">
        <w:t>The Year 12 Outcomes Report is a comprehensive set of data about the achievements of the Year 12 students published in the first half of the year following the year of exit from schooling. Extensive information is published to give an accurate account of the range of education options being pro</w:t>
      </w:r>
      <w:r w:rsidR="00D62450">
        <w:t xml:space="preserve">vided by schools for students. </w:t>
      </w:r>
      <w:r w:rsidRPr="000240C4">
        <w:t xml:space="preserve">The Report includes data on the number of students who were awarded </w:t>
      </w:r>
      <w:r w:rsidR="0030351D" w:rsidRPr="000240C4">
        <w:t>a</w:t>
      </w:r>
      <w:r w:rsidRPr="000240C4">
        <w:t xml:space="preserve"> </w:t>
      </w:r>
      <w:proofErr w:type="spellStart"/>
      <w:r w:rsidRPr="000240C4">
        <w:t>QCE</w:t>
      </w:r>
      <w:proofErr w:type="spellEnd"/>
      <w:r w:rsidRPr="000240C4">
        <w:t xml:space="preserve">, VET qualification, school-based apprenticeship </w:t>
      </w:r>
      <w:r w:rsidR="0030351D" w:rsidRPr="000240C4">
        <w:t>or</w:t>
      </w:r>
      <w:r w:rsidRPr="000240C4">
        <w:t xml:space="preserve"> traineeship (</w:t>
      </w:r>
      <w:proofErr w:type="spellStart"/>
      <w:r w:rsidRPr="000240C4">
        <w:t>SAT</w:t>
      </w:r>
      <w:proofErr w:type="spellEnd"/>
      <w:r w:rsidRPr="000240C4">
        <w:t>)</w:t>
      </w:r>
      <w:r w:rsidR="0030351D" w:rsidRPr="000240C4">
        <w:t>,</w:t>
      </w:r>
      <w:r w:rsidRPr="000240C4">
        <w:t xml:space="preserve"> an Overall Position (OP) </w:t>
      </w:r>
      <w:r w:rsidR="0030351D" w:rsidRPr="000240C4">
        <w:t>or</w:t>
      </w:r>
      <w:r w:rsidRPr="000240C4">
        <w:t xml:space="preserve"> International Baccalaureate</w:t>
      </w:r>
      <w:r w:rsidR="0030351D" w:rsidRPr="000240C4">
        <w:t xml:space="preserve"> Diploma</w:t>
      </w:r>
      <w:r w:rsidRPr="000240C4">
        <w:t xml:space="preserve"> (</w:t>
      </w:r>
      <w:proofErr w:type="spellStart"/>
      <w:r w:rsidRPr="000240C4">
        <w:t>IB</w:t>
      </w:r>
      <w:r w:rsidR="0030351D" w:rsidRPr="000240C4">
        <w:t>D</w:t>
      </w:r>
      <w:proofErr w:type="spellEnd"/>
      <w:r w:rsidR="00D62450">
        <w:t>).</w:t>
      </w:r>
    </w:p>
    <w:p w:rsidR="002D59D2" w:rsidRPr="000240C4" w:rsidRDefault="002D59D2" w:rsidP="00D62450">
      <w:pPr>
        <w:pStyle w:val="BodyText2"/>
      </w:pPr>
    </w:p>
    <w:p w:rsidR="002D59D2" w:rsidRPr="000240C4" w:rsidRDefault="002D59D2" w:rsidP="00D62450">
      <w:pPr>
        <w:pStyle w:val="BodyText2"/>
      </w:pPr>
      <w:r w:rsidRPr="000240C4">
        <w:t xml:space="preserve">The </w:t>
      </w:r>
      <w:hyperlink r:id="rId16" w:history="1">
        <w:r w:rsidRPr="00ED314C">
          <w:rPr>
            <w:rStyle w:val="Hyperlink"/>
          </w:rPr>
          <w:t>2011 Year 12 Outcomes Report</w:t>
        </w:r>
      </w:hyperlink>
      <w:r w:rsidRPr="000240C4">
        <w:t xml:space="preserve"> (the 2011 Report) was published by the </w:t>
      </w:r>
      <w:proofErr w:type="spellStart"/>
      <w:r w:rsidRPr="000240C4">
        <w:t>QSA</w:t>
      </w:r>
      <w:proofErr w:type="spellEnd"/>
      <w:r w:rsidRPr="000240C4">
        <w:t xml:space="preserve"> on their website in June 2012. Overwhelmingly, Queensland students are leaving schools with a qualification of some kind. The extent of improvements varied across all Queensland schools. The most notable improvements </w:t>
      </w:r>
      <w:r w:rsidR="0030351D" w:rsidRPr="000240C4">
        <w:t>we</w:t>
      </w:r>
      <w:r w:rsidRPr="000240C4">
        <w:t>re:</w:t>
      </w:r>
    </w:p>
    <w:p w:rsidR="002D59D2" w:rsidRPr="00C83E67" w:rsidRDefault="002D59D2" w:rsidP="00D62450">
      <w:pPr>
        <w:pStyle w:val="ListBullet"/>
      </w:pPr>
      <w:r w:rsidRPr="00C83E67">
        <w:t xml:space="preserve">Number of </w:t>
      </w:r>
      <w:proofErr w:type="spellStart"/>
      <w:r w:rsidRPr="00C83E67">
        <w:t>QCEs</w:t>
      </w:r>
      <w:proofErr w:type="spellEnd"/>
      <w:r w:rsidRPr="00C83E67">
        <w:t xml:space="preserve"> (up 3.0% to 84.0%)</w:t>
      </w:r>
    </w:p>
    <w:p w:rsidR="002D59D2" w:rsidRPr="0095505F" w:rsidRDefault="002D59D2" w:rsidP="00D62450">
      <w:pPr>
        <w:pStyle w:val="ListBullet"/>
      </w:pPr>
      <w:r w:rsidRPr="0095505F">
        <w:t xml:space="preserve">Number of </w:t>
      </w:r>
      <w:proofErr w:type="spellStart"/>
      <w:r w:rsidRPr="0095505F">
        <w:t>VETs</w:t>
      </w:r>
      <w:proofErr w:type="spellEnd"/>
      <w:r w:rsidR="00FF1687">
        <w:t xml:space="preserve"> </w:t>
      </w:r>
      <w:r w:rsidRPr="0095505F">
        <w:t xml:space="preserve">(incl. </w:t>
      </w:r>
      <w:proofErr w:type="spellStart"/>
      <w:r w:rsidRPr="0095505F">
        <w:t>SATs</w:t>
      </w:r>
      <w:proofErr w:type="spellEnd"/>
      <w:r w:rsidRPr="0095505F">
        <w:t>) (up 2.3% to 64.2%)</w:t>
      </w:r>
    </w:p>
    <w:p w:rsidR="002D59D2" w:rsidRPr="0095505F" w:rsidRDefault="002D59D2" w:rsidP="00D62450">
      <w:pPr>
        <w:pStyle w:val="ListBullet"/>
      </w:pPr>
      <w:r w:rsidRPr="0095505F">
        <w:t>Cert II (up 3.0% to 40.4%)</w:t>
      </w:r>
    </w:p>
    <w:p w:rsidR="002D59D2" w:rsidRPr="0095505F" w:rsidRDefault="002D59D2" w:rsidP="00D62450">
      <w:pPr>
        <w:pStyle w:val="ListBullet"/>
      </w:pPr>
      <w:r w:rsidRPr="0095505F">
        <w:t>Cert II+ (up 4.0% to 46.0%)</w:t>
      </w:r>
    </w:p>
    <w:p w:rsidR="002D59D2" w:rsidRPr="0095505F" w:rsidRDefault="002D59D2" w:rsidP="00D62450">
      <w:pPr>
        <w:pStyle w:val="ListBullet"/>
      </w:pPr>
      <w:proofErr w:type="spellStart"/>
      <w:r w:rsidRPr="0095505F">
        <w:t>QTAC</w:t>
      </w:r>
      <w:proofErr w:type="spellEnd"/>
      <w:r w:rsidRPr="0095505F">
        <w:t xml:space="preserve"> offers (up 2.3% to 94.9%). </w:t>
      </w:r>
    </w:p>
    <w:p w:rsidR="002D59D2" w:rsidRPr="000240C4" w:rsidRDefault="002D59D2" w:rsidP="00D62450">
      <w:pPr>
        <w:pStyle w:val="BodyText2"/>
      </w:pPr>
    </w:p>
    <w:p w:rsidR="002D59D2" w:rsidRDefault="002D59D2" w:rsidP="00D62450">
      <w:pPr>
        <w:pStyle w:val="BodyText2"/>
      </w:pPr>
      <w:r w:rsidRPr="000240C4">
        <w:t xml:space="preserve">For state schools, the most significant improvement towards “Closing the Gap” was made in students awarded a </w:t>
      </w:r>
      <w:proofErr w:type="spellStart"/>
      <w:r w:rsidRPr="000240C4">
        <w:t>QCE</w:t>
      </w:r>
      <w:proofErr w:type="spellEnd"/>
      <w:r w:rsidRPr="000240C4">
        <w:t xml:space="preserve"> at the end of Year 12, from </w:t>
      </w:r>
      <w:r w:rsidR="00FF1687">
        <w:t xml:space="preserve">a ‘gap’ of </w:t>
      </w:r>
      <w:r w:rsidRPr="000240C4">
        <w:t>26% in 2010 to 18.3% in 2011, a decrease in the gap between Indigenous and non-Indigenous achievement of 7.7 percentage points.</w:t>
      </w:r>
    </w:p>
    <w:p w:rsidR="00D62450" w:rsidRPr="000240C4" w:rsidRDefault="00D62450" w:rsidP="00D62450">
      <w:pPr>
        <w:pStyle w:val="BodyText2"/>
      </w:pPr>
    </w:p>
    <w:p w:rsidR="002D59D2" w:rsidRPr="000240C4" w:rsidRDefault="002D59D2" w:rsidP="00D62450">
      <w:pPr>
        <w:pStyle w:val="BodyText2"/>
      </w:pPr>
      <w:r w:rsidRPr="000240C4">
        <w:t>The widest gap exist</w:t>
      </w:r>
      <w:r w:rsidR="00FF1687">
        <w:t>s</w:t>
      </w:r>
      <w:r w:rsidRPr="000240C4">
        <w:t xml:space="preserve"> for categories relating to OP attainment, however, the percentage gap between Indigenous and non-Indigenous OP or </w:t>
      </w:r>
      <w:proofErr w:type="spellStart"/>
      <w:r w:rsidRPr="000240C4">
        <w:t>IBD</w:t>
      </w:r>
      <w:proofErr w:type="spellEnd"/>
      <w:r w:rsidRPr="000240C4">
        <w:t xml:space="preserve"> students who received an OP 1-15 or an </w:t>
      </w:r>
      <w:proofErr w:type="spellStart"/>
      <w:r w:rsidRPr="000240C4">
        <w:t>IBD</w:t>
      </w:r>
      <w:proofErr w:type="spellEnd"/>
      <w:r w:rsidRPr="000240C4">
        <w:t xml:space="preserve"> decreased by 2.4</w:t>
      </w:r>
      <w:r w:rsidR="00FF1687">
        <w:t xml:space="preserve"> percentage points </w:t>
      </w:r>
      <w:r w:rsidRPr="000240C4">
        <w:t>to 20.0% in 2011. While there were improvements in this attainment category for both Indigenous and non-Indigenous students, the Indigenous improvement was greater for 2011.</w:t>
      </w:r>
    </w:p>
    <w:p w:rsidR="002D59D2" w:rsidRPr="0095505F" w:rsidRDefault="002D59D2" w:rsidP="00D62450">
      <w:pPr>
        <w:pStyle w:val="Heading3"/>
      </w:pPr>
      <w:bookmarkStart w:id="10" w:name="_Toc294018957"/>
      <w:r w:rsidRPr="0095505F">
        <w:t>Next Step destination survey</w:t>
      </w:r>
      <w:bookmarkEnd w:id="10"/>
    </w:p>
    <w:p w:rsidR="002D59D2" w:rsidRPr="000240C4" w:rsidRDefault="002D59D2" w:rsidP="00D62450">
      <w:pPr>
        <w:pStyle w:val="BodyText2"/>
      </w:pPr>
      <w:r w:rsidRPr="000240C4">
        <w:t xml:space="preserve">Each year, </w:t>
      </w:r>
      <w:proofErr w:type="spellStart"/>
      <w:r w:rsidRPr="000240C4">
        <w:t>DETE</w:t>
      </w:r>
      <w:proofErr w:type="spellEnd"/>
      <w:r w:rsidRPr="000240C4">
        <w:t xml:space="preserve"> undertakes the </w:t>
      </w:r>
      <w:hyperlink r:id="rId17" w:history="1">
        <w:r w:rsidRPr="003C4491">
          <w:rPr>
            <w:rStyle w:val="Hyperlink"/>
          </w:rPr>
          <w:t>Next Step survey</w:t>
        </w:r>
      </w:hyperlink>
      <w:r w:rsidRPr="000240C4">
        <w:t xml:space="preserve"> of Year 12 completers from state, Catholic and independent schools. The </w:t>
      </w:r>
      <w:r w:rsidRPr="000240C4">
        <w:rPr>
          <w:i/>
        </w:rPr>
        <w:t>Next Step</w:t>
      </w:r>
      <w:r w:rsidRPr="000240C4">
        <w:t xml:space="preserve"> survey is a world-standard collection of information about the pathways that our Year 12 completers take, and is designed to gain a comprehensive picture of the employment, study and life choices made by Queensland school leavers approximately six months after completing Year 12. The survey allows comparisons to be made between education and employment outcomes and enables schools to compare student destination patterns. The survey provides Queensland schools with important information about their own students and allows them to benchmark and compare with other schools. </w:t>
      </w:r>
    </w:p>
    <w:p w:rsidR="00D62450" w:rsidRDefault="00D62450" w:rsidP="0095505F">
      <w:pPr>
        <w:tabs>
          <w:tab w:val="left" w:pos="360"/>
        </w:tabs>
        <w:spacing w:line="240" w:lineRule="auto"/>
        <w:rPr>
          <w:rFonts w:cs="Calibri"/>
        </w:rPr>
      </w:pPr>
    </w:p>
    <w:p w:rsidR="002D59D2" w:rsidRPr="000240C4" w:rsidRDefault="002D59D2" w:rsidP="00D62450">
      <w:pPr>
        <w:pStyle w:val="BodyText2"/>
      </w:pPr>
      <w:r w:rsidRPr="000240C4">
        <w:t>A total of 37,207 responses were received from</w:t>
      </w:r>
      <w:r w:rsidR="00FF1687">
        <w:t xml:space="preserve"> 2010</w:t>
      </w:r>
      <w:r w:rsidRPr="000240C4">
        <w:t xml:space="preserve"> Year 12 completers, representing a response rate of 80.8 per cent. The results for Year 12 completers from 2010 showed that:</w:t>
      </w:r>
    </w:p>
    <w:p w:rsidR="002D59D2" w:rsidRPr="00C83E67" w:rsidRDefault="002D59D2" w:rsidP="00D62450">
      <w:pPr>
        <w:pStyle w:val="ListBullet"/>
      </w:pPr>
      <w:r w:rsidRPr="00C83E67">
        <w:t>88.9 per cent had transitioned to paid employment and study destinations</w:t>
      </w:r>
    </w:p>
    <w:p w:rsidR="002D59D2" w:rsidRPr="0095505F" w:rsidRDefault="002D59D2" w:rsidP="00D62450">
      <w:pPr>
        <w:pStyle w:val="ListBullet"/>
      </w:pPr>
      <w:r w:rsidRPr="0095505F">
        <w:t>60.9 per cent continued in some recognised form of education or training</w:t>
      </w:r>
    </w:p>
    <w:p w:rsidR="002D59D2" w:rsidRPr="0095505F" w:rsidRDefault="002D59D2" w:rsidP="00D62450">
      <w:pPr>
        <w:pStyle w:val="ListBullet"/>
      </w:pPr>
      <w:r w:rsidRPr="0095505F">
        <w:t>university degrees were being undertaken by 35.9 per cent, while a further 25.1 per cent were undertaking VET courses including apprenticeships (8.0 per cent) and traineeships (3.9 per cent)</w:t>
      </w:r>
    </w:p>
    <w:p w:rsidR="002D59D2" w:rsidRDefault="002D59D2" w:rsidP="00D62450">
      <w:pPr>
        <w:pStyle w:val="ListBullet"/>
      </w:pPr>
      <w:r w:rsidRPr="0095505F">
        <w:t>the 39.1 per cent who did not enter post-school education or training comprised 28.0 per cent working, 9.1 per cent seeking work and 1.9 per cent neither working nor seeking work.</w:t>
      </w:r>
    </w:p>
    <w:p w:rsidR="00D62450" w:rsidRPr="0095505F" w:rsidRDefault="00D62450" w:rsidP="00D62450">
      <w:pPr>
        <w:pStyle w:val="BodyText2"/>
      </w:pPr>
    </w:p>
    <w:p w:rsidR="002D59D2" w:rsidRPr="000240C4" w:rsidRDefault="002D59D2" w:rsidP="00D62450">
      <w:pPr>
        <w:pStyle w:val="BodyText2"/>
      </w:pPr>
      <w:r w:rsidRPr="000240C4">
        <w:t xml:space="preserve">All students who completed Year 12 in Queensland in 2011 (over 47,000) were asked to participate in the 2012 survey. State, regional and school-level reports from the 2012 survey of 2011 Year 12 completers are due to be published in September 2012. </w:t>
      </w:r>
    </w:p>
    <w:p w:rsidR="002D59D2" w:rsidRPr="0095505F" w:rsidRDefault="002D59D2" w:rsidP="00D62450">
      <w:pPr>
        <w:pStyle w:val="Heading3"/>
      </w:pPr>
      <w:r w:rsidRPr="0095505F">
        <w:t>Early School Leavers survey</w:t>
      </w:r>
    </w:p>
    <w:p w:rsidR="002D59D2" w:rsidRPr="000240C4" w:rsidRDefault="002D59D2" w:rsidP="00D62450">
      <w:pPr>
        <w:pStyle w:val="BodyText2"/>
      </w:pPr>
      <w:r w:rsidRPr="000240C4">
        <w:t xml:space="preserve">The </w:t>
      </w:r>
      <w:hyperlink r:id="rId18" w:history="1">
        <w:r w:rsidRPr="003C4491">
          <w:rPr>
            <w:rStyle w:val="Hyperlink"/>
          </w:rPr>
          <w:t>Early School Leavers</w:t>
        </w:r>
      </w:hyperlink>
      <w:r w:rsidRPr="000240C4">
        <w:t xml:space="preserve"> survey is a state-wide survey on the destinations of students who left Queensland schools in Years 10, 11 or prior to completing Year 12. The survey collects information about the initial study and work destinations of young people after leaving school and closely aligns with the </w:t>
      </w:r>
      <w:r w:rsidRPr="000240C4">
        <w:rPr>
          <w:i/>
        </w:rPr>
        <w:t>Next Step</w:t>
      </w:r>
      <w:r w:rsidRPr="000240C4">
        <w:t xml:space="preserve"> survey. </w:t>
      </w:r>
    </w:p>
    <w:p w:rsidR="00D62450" w:rsidRDefault="00D62450" w:rsidP="0095505F">
      <w:pPr>
        <w:tabs>
          <w:tab w:val="left" w:pos="360"/>
        </w:tabs>
        <w:spacing w:line="240" w:lineRule="auto"/>
        <w:rPr>
          <w:rFonts w:cs="Calibri"/>
        </w:rPr>
      </w:pPr>
    </w:p>
    <w:p w:rsidR="002D59D2" w:rsidRPr="000240C4" w:rsidRDefault="002D59D2" w:rsidP="00D62450">
      <w:pPr>
        <w:pStyle w:val="BodyText2"/>
      </w:pPr>
      <w:r w:rsidRPr="000240C4">
        <w:t xml:space="preserve">A total of 4343 interviews were completed for the 2011 survey, representing an approximate response rate of 47.8 per cent. Results of the 2011 survey are due to be released in mid-2012. </w:t>
      </w:r>
    </w:p>
    <w:p w:rsidR="002D59D2" w:rsidRPr="000240C4" w:rsidRDefault="002D59D2" w:rsidP="00D62450">
      <w:pPr>
        <w:pStyle w:val="BodyText2"/>
        <w:rPr>
          <w:color w:val="000000"/>
        </w:rPr>
      </w:pPr>
      <w:r w:rsidRPr="000240C4">
        <w:t>Results of the 2010 survey are available in a comprehensive state-wide report</w:t>
      </w:r>
      <w:r w:rsidRPr="000240C4">
        <w:rPr>
          <w:color w:val="000000"/>
        </w:rPr>
        <w:t xml:space="preserve">. </w:t>
      </w:r>
      <w:r w:rsidRPr="000240C4">
        <w:t>A summary of the results of the 2010 survey show:</w:t>
      </w:r>
    </w:p>
    <w:p w:rsidR="002D59D2" w:rsidRPr="0095505F" w:rsidRDefault="002D59D2" w:rsidP="00D62450">
      <w:pPr>
        <w:pStyle w:val="ListBullet"/>
      </w:pPr>
      <w:r w:rsidRPr="00C83E67">
        <w:lastRenderedPageBreak/>
        <w:t>over nine in ten early school leavers (91.9 per cent) were studying, in paid employment or actively seeking</w:t>
      </w:r>
      <w:r w:rsidRPr="0095505F">
        <w:t xml:space="preserve"> work at the time of the survey</w:t>
      </w:r>
    </w:p>
    <w:p w:rsidR="002D59D2" w:rsidRPr="0095505F" w:rsidRDefault="002D59D2" w:rsidP="00D62450">
      <w:pPr>
        <w:pStyle w:val="ListBullet"/>
      </w:pPr>
      <w:r w:rsidRPr="0095505F">
        <w:t>seven in ten (69.6 per cent) were studying or in paid employment</w:t>
      </w:r>
    </w:p>
    <w:p w:rsidR="002D59D2" w:rsidRPr="0095505F" w:rsidRDefault="002D59D2" w:rsidP="00D62450">
      <w:pPr>
        <w:pStyle w:val="ListBullet"/>
      </w:pPr>
      <w:r w:rsidRPr="0095505F">
        <w:t>almost four in ten (37.4 per cent) continued in some recognised form of education or training in the year after they left the government school system</w:t>
      </w:r>
    </w:p>
    <w:p w:rsidR="002D59D2" w:rsidRPr="0095505F" w:rsidRDefault="002D59D2" w:rsidP="00D62450">
      <w:pPr>
        <w:pStyle w:val="ListBullet"/>
      </w:pPr>
      <w:r w:rsidRPr="0095505F">
        <w:t>one in five (20.3 per cent) were undertaking employment-based training as an apprentice or trainee</w:t>
      </w:r>
    </w:p>
    <w:p w:rsidR="002D59D2" w:rsidRPr="0095505F" w:rsidRDefault="002D59D2" w:rsidP="00D62450">
      <w:pPr>
        <w:pStyle w:val="ListBullet"/>
      </w:pPr>
      <w:r w:rsidRPr="0095505F">
        <w:t>over half of all early school leavers (54.5 per cent) were not participating in education or training but had entered the labour force, with 13.2 per cent engaged in full-time work, 19.0 per cent in part-time work and 22.3 per cent looking for work</w:t>
      </w:r>
    </w:p>
    <w:p w:rsidR="002D59D2" w:rsidRPr="0095505F" w:rsidRDefault="002D59D2" w:rsidP="00D62450">
      <w:pPr>
        <w:pStyle w:val="ListBullet"/>
      </w:pPr>
      <w:proofErr w:type="gramStart"/>
      <w:r w:rsidRPr="0095505F">
        <w:t>approximately</w:t>
      </w:r>
      <w:proofErr w:type="gramEnd"/>
      <w:r w:rsidRPr="0095505F">
        <w:t xml:space="preserve"> one in twelve early school leavers (8.1 per cent) were neither studying nor in the labour force.</w:t>
      </w:r>
    </w:p>
    <w:p w:rsidR="00C83E67" w:rsidRPr="000240C4" w:rsidRDefault="00C83E67" w:rsidP="00D62450">
      <w:pPr>
        <w:pStyle w:val="BodyText2"/>
      </w:pPr>
    </w:p>
    <w:p w:rsidR="002D59D2" w:rsidRDefault="002D59D2" w:rsidP="00D62450">
      <w:pPr>
        <w:pStyle w:val="BodyText2"/>
      </w:pPr>
      <w:r w:rsidRPr="000240C4">
        <w:t xml:space="preserve">The 2012 </w:t>
      </w:r>
      <w:r w:rsidRPr="000240C4">
        <w:rPr>
          <w:i/>
          <w:iCs/>
        </w:rPr>
        <w:t>Early School Leavers</w:t>
      </w:r>
      <w:r w:rsidRPr="000240C4">
        <w:t xml:space="preserve"> survey is currently underway. Young people who have been identified as having left school in 2011 are being contacted and asked to participate in the survey via a computer-assisted telephone interview or a web-based questionnaire.</w:t>
      </w:r>
    </w:p>
    <w:p w:rsidR="00D62450" w:rsidRPr="000240C4" w:rsidRDefault="00D62450" w:rsidP="00D62450">
      <w:pPr>
        <w:pStyle w:val="BodyText2"/>
      </w:pPr>
    </w:p>
    <w:p w:rsidR="002D59D2" w:rsidRPr="000240C4" w:rsidRDefault="002D59D2" w:rsidP="00D62450">
      <w:pPr>
        <w:pStyle w:val="BodyText2"/>
      </w:pPr>
      <w:r w:rsidRPr="000240C4">
        <w:t xml:space="preserve">In 2011, as part of the NP-YAT, enhancements were introduced to the </w:t>
      </w:r>
      <w:r w:rsidRPr="000240C4">
        <w:rPr>
          <w:i/>
        </w:rPr>
        <w:t>Next Step</w:t>
      </w:r>
      <w:r w:rsidRPr="000240C4">
        <w:t xml:space="preserve"> and </w:t>
      </w:r>
      <w:r w:rsidRPr="000240C4">
        <w:rPr>
          <w:i/>
        </w:rPr>
        <w:t xml:space="preserve">Early School Leavers </w:t>
      </w:r>
      <w:r w:rsidRPr="000240C4">
        <w:t xml:space="preserve">surveys. These enhancements have been continued </w:t>
      </w:r>
      <w:r w:rsidR="00FF1687">
        <w:t>i</w:t>
      </w:r>
      <w:r w:rsidRPr="000240C4">
        <w:t xml:space="preserve">n 2012 and include: </w:t>
      </w:r>
    </w:p>
    <w:p w:rsidR="002D59D2" w:rsidRPr="00C83E67" w:rsidRDefault="002D59D2" w:rsidP="00D62450">
      <w:pPr>
        <w:pStyle w:val="ListBullet"/>
      </w:pPr>
      <w:r w:rsidRPr="00C83E67">
        <w:t xml:space="preserve">the inclusion of early school leavers form non-government schools in the </w:t>
      </w:r>
      <w:r w:rsidRPr="0095505F">
        <w:t>Early School Leavers</w:t>
      </w:r>
      <w:r w:rsidRPr="00C83E67">
        <w:t xml:space="preserve"> survey</w:t>
      </w:r>
    </w:p>
    <w:p w:rsidR="002D59D2" w:rsidRPr="0095505F" w:rsidRDefault="002D59D2" w:rsidP="00D62450">
      <w:pPr>
        <w:pStyle w:val="ListBullet"/>
      </w:pPr>
      <w:r w:rsidRPr="0095505F">
        <w:t>the addition of a referral service for young people who are identified during the surveys as being at risk of disengaging from education, training or employment</w:t>
      </w:r>
    </w:p>
    <w:p w:rsidR="002D59D2" w:rsidRPr="0095505F" w:rsidRDefault="002D59D2" w:rsidP="00D62450">
      <w:pPr>
        <w:pStyle w:val="ListBullet"/>
      </w:pPr>
      <w:r w:rsidRPr="0095505F">
        <w:t>undertaking a longitudinal study on a cohort of 2010 Year 12 completers</w:t>
      </w:r>
    </w:p>
    <w:p w:rsidR="002D59D2" w:rsidRPr="0095505F" w:rsidRDefault="002D59D2" w:rsidP="00D62450">
      <w:pPr>
        <w:pStyle w:val="ListBullet"/>
      </w:pPr>
      <w:proofErr w:type="gramStart"/>
      <w:r w:rsidRPr="0095505F">
        <w:t>undertaking</w:t>
      </w:r>
      <w:proofErr w:type="gramEnd"/>
      <w:r w:rsidRPr="0095505F">
        <w:t xml:space="preserve"> a longitudinal study on a cohort of 2010 early school leavers.</w:t>
      </w:r>
    </w:p>
    <w:p w:rsidR="00F33BD9" w:rsidRDefault="002E4CAD" w:rsidP="00D62450">
      <w:pPr>
        <w:pStyle w:val="Heading2"/>
      </w:pPr>
      <w:bookmarkStart w:id="11" w:name="_Toc365385406"/>
      <w:r w:rsidRPr="00AF68FB">
        <w:t>State Education (Education Queensland)</w:t>
      </w:r>
      <w:bookmarkEnd w:id="11"/>
      <w:r w:rsidRPr="00AF68FB">
        <w:t xml:space="preserve"> </w:t>
      </w:r>
    </w:p>
    <w:p w:rsidR="00723786" w:rsidRPr="00F33BD9" w:rsidRDefault="00723786" w:rsidP="00D62450">
      <w:pPr>
        <w:pStyle w:val="Heading3"/>
      </w:pPr>
      <w:r w:rsidRPr="00F33BD9">
        <w:t>Broad education reform directions</w:t>
      </w:r>
    </w:p>
    <w:p w:rsidR="00723786" w:rsidRDefault="00723786" w:rsidP="00D62450">
      <w:pPr>
        <w:pStyle w:val="BodyText2"/>
        <w:rPr>
          <w:lang w:eastAsia="en-AU"/>
        </w:rPr>
      </w:pPr>
      <w:r w:rsidRPr="00F33BD9">
        <w:rPr>
          <w:lang w:eastAsia="en-AU"/>
        </w:rPr>
        <w:t xml:space="preserve">Education Queensland’s agenda for improvement is set by </w:t>
      </w:r>
      <w:r w:rsidRPr="00B12EA1">
        <w:rPr>
          <w:i/>
          <w:lang w:eastAsia="en-AU"/>
        </w:rPr>
        <w:t xml:space="preserve">United in our </w:t>
      </w:r>
      <w:r w:rsidR="00B12EA1">
        <w:rPr>
          <w:i/>
          <w:lang w:eastAsia="en-AU"/>
        </w:rPr>
        <w:t>p</w:t>
      </w:r>
      <w:r w:rsidRPr="00B12EA1">
        <w:rPr>
          <w:i/>
          <w:lang w:eastAsia="en-AU"/>
        </w:rPr>
        <w:t xml:space="preserve">ursuit of </w:t>
      </w:r>
      <w:r w:rsidR="00B12EA1">
        <w:rPr>
          <w:i/>
          <w:lang w:eastAsia="en-AU"/>
        </w:rPr>
        <w:t>e</w:t>
      </w:r>
      <w:r w:rsidRPr="00B12EA1">
        <w:rPr>
          <w:i/>
          <w:lang w:eastAsia="en-AU"/>
        </w:rPr>
        <w:t>xcellence</w:t>
      </w:r>
      <w:r w:rsidRPr="00F33BD9">
        <w:rPr>
          <w:lang w:eastAsia="en-AU"/>
        </w:rPr>
        <w:t>. This strategic plan outlines the strategies being implemented across Queensland state schools to ensure that every day, in every classroom, every state school student is learning and achieving within a safe, supportive, inclusive and disciplined learning environment.</w:t>
      </w:r>
    </w:p>
    <w:p w:rsidR="00D62450" w:rsidRPr="00F33BD9" w:rsidRDefault="00D62450" w:rsidP="00D62450">
      <w:pPr>
        <w:pStyle w:val="BodyText2"/>
        <w:rPr>
          <w:lang w:eastAsia="en-AU"/>
        </w:rPr>
      </w:pPr>
    </w:p>
    <w:p w:rsidR="00723786" w:rsidRDefault="00723786" w:rsidP="00D62450">
      <w:pPr>
        <w:pStyle w:val="BodyText2"/>
        <w:rPr>
          <w:lang w:eastAsia="en-AU"/>
        </w:rPr>
      </w:pPr>
      <w:r w:rsidRPr="00F33BD9">
        <w:rPr>
          <w:lang w:eastAsia="en-AU"/>
        </w:rPr>
        <w:t xml:space="preserve">Education Queensland’s commitment is focused on improvement across core learning priorities delivered through school and community partnerships, school curriculum, teaching practice and principal leadership and school capability. </w:t>
      </w:r>
    </w:p>
    <w:p w:rsidR="00D62450" w:rsidRPr="00F33BD9" w:rsidRDefault="00D62450" w:rsidP="00D62450">
      <w:pPr>
        <w:pStyle w:val="BodyText2"/>
        <w:rPr>
          <w:lang w:eastAsia="en-AU"/>
        </w:rPr>
      </w:pPr>
    </w:p>
    <w:p w:rsidR="00723786" w:rsidRDefault="00723786" w:rsidP="00D62450">
      <w:pPr>
        <w:pStyle w:val="BodyText2"/>
        <w:rPr>
          <w:lang w:eastAsia="en-AU"/>
        </w:rPr>
      </w:pPr>
      <w:r w:rsidRPr="00F33BD9">
        <w:rPr>
          <w:lang w:eastAsia="en-AU"/>
        </w:rPr>
        <w:t xml:space="preserve">The broader reform agenda for Education Queensland is founded on the principle of </w:t>
      </w:r>
      <w:r w:rsidR="00FF1687">
        <w:rPr>
          <w:lang w:eastAsia="en-AU"/>
        </w:rPr>
        <w:t xml:space="preserve">setting </w:t>
      </w:r>
      <w:r w:rsidRPr="00F33BD9">
        <w:rPr>
          <w:lang w:eastAsia="en-AU"/>
        </w:rPr>
        <w:t xml:space="preserve">high expectations to drive improved student learning outcomes across the state. This high expectations platform is evidenced by the key strategies employed in regions to meet the YAT NP targets. </w:t>
      </w:r>
    </w:p>
    <w:p w:rsidR="00D62450" w:rsidRPr="00F33BD9" w:rsidRDefault="00D62450" w:rsidP="00D62450">
      <w:pPr>
        <w:pStyle w:val="BodyText2"/>
        <w:rPr>
          <w:lang w:eastAsia="en-AU"/>
        </w:rPr>
      </w:pPr>
    </w:p>
    <w:p w:rsidR="002E4CAD" w:rsidRPr="00F33BD9" w:rsidRDefault="002E4CAD" w:rsidP="00D62450">
      <w:pPr>
        <w:pStyle w:val="BodyText2"/>
      </w:pPr>
      <w:r w:rsidRPr="00F33BD9">
        <w:t>Education Queensland remains committed to meeting the targets set by the</w:t>
      </w:r>
      <w:r w:rsidR="00FF1687">
        <w:t xml:space="preserve"> YAT</w:t>
      </w:r>
      <w:r w:rsidRPr="00F33BD9">
        <w:t xml:space="preserve"> Queensland Implementation Plan to maximise engagement, attainment and transitions for young people. The approach of Education Queensland is designed to build on the strengths of the </w:t>
      </w:r>
      <w:r w:rsidR="00FF1687">
        <w:t>programs available within the</w:t>
      </w:r>
      <w:r w:rsidR="0040135D">
        <w:t xml:space="preserve"> </w:t>
      </w:r>
      <w:r w:rsidRPr="00F33BD9">
        <w:t>jurisdiction to meet the needs of the target cohort</w:t>
      </w:r>
      <w:r w:rsidR="00FF1687">
        <w:t>s</w:t>
      </w:r>
      <w:r w:rsidR="00D62450">
        <w:t>.</w:t>
      </w:r>
    </w:p>
    <w:p w:rsidR="002E4CAD" w:rsidRPr="00F33BD9" w:rsidRDefault="002E4CAD" w:rsidP="00D62450">
      <w:pPr>
        <w:pStyle w:val="Heading3"/>
      </w:pPr>
      <w:r w:rsidRPr="00F33BD9">
        <w:t>Characteristics of the jurisdiction and of the YAT NP target cohort</w:t>
      </w:r>
    </w:p>
    <w:p w:rsidR="002E4CAD" w:rsidRPr="00F33BD9" w:rsidRDefault="002E4CAD" w:rsidP="00D62450">
      <w:pPr>
        <w:pStyle w:val="BodyText2"/>
      </w:pPr>
      <w:r w:rsidRPr="00F33BD9">
        <w:t xml:space="preserve">Education Queensland’s regional operational structure is designed to achieve flexibility in service delivery methodologies so that governmental responses are tailored to the unique context of our state schools in regional, remote and urban settings. Due to the unique context of Queensland in terms of geographical </w:t>
      </w:r>
      <w:r w:rsidRPr="00F33BD9">
        <w:lastRenderedPageBreak/>
        <w:t xml:space="preserve">complexity the YAT NP initiatives and responses of Education Queensland have been organised in line with the regional structure. This has enabled each region to deliver more tailored responses and strategies to meet </w:t>
      </w:r>
      <w:r w:rsidR="00D62450">
        <w:t>the targets set by the YAT NP.</w:t>
      </w:r>
    </w:p>
    <w:p w:rsidR="002E4CAD" w:rsidRPr="00F33BD9" w:rsidRDefault="002E4CAD" w:rsidP="00D62450">
      <w:pPr>
        <w:pStyle w:val="BodyText2"/>
      </w:pPr>
    </w:p>
    <w:p w:rsidR="002E4CAD" w:rsidRPr="00F33BD9" w:rsidRDefault="00723786" w:rsidP="00D62450">
      <w:pPr>
        <w:pStyle w:val="BodyText2"/>
      </w:pPr>
      <w:r>
        <w:t xml:space="preserve">Each of the seven </w:t>
      </w:r>
      <w:r w:rsidR="002E4CAD" w:rsidRPr="00F33BD9">
        <w:t>region</w:t>
      </w:r>
      <w:r>
        <w:t>s</w:t>
      </w:r>
      <w:r w:rsidR="002E4CAD" w:rsidRPr="00F33BD9">
        <w:t xml:space="preserve"> implements a tailored and targeted regional strategy to meet key needs identified in the Queensland Implementation Plan for the local context. This means that the responses and actions in Far North Queensland, can and do look different to those of the Metropolitan region for example despite the end result </w:t>
      </w:r>
      <w:r w:rsidR="00FF1687">
        <w:t xml:space="preserve">contributing strongly to </w:t>
      </w:r>
      <w:r w:rsidR="002E4CAD" w:rsidRPr="00F33BD9">
        <w:t xml:space="preserve">the achievement of the YAT NP targets. </w:t>
      </w:r>
    </w:p>
    <w:p w:rsidR="002E4CAD" w:rsidRPr="00F33BD9" w:rsidRDefault="002E4CAD" w:rsidP="00D62450">
      <w:pPr>
        <w:pStyle w:val="BodyText2"/>
      </w:pPr>
    </w:p>
    <w:p w:rsidR="002E4CAD" w:rsidRPr="00F33BD9" w:rsidRDefault="002E4CAD" w:rsidP="00D62450">
      <w:pPr>
        <w:pStyle w:val="BodyText2"/>
      </w:pPr>
      <w:r w:rsidRPr="00F33BD9">
        <w:t>The YAT NP target cohort within regions varies based on localised responses. For example</w:t>
      </w:r>
      <w:r w:rsidR="00FF1687">
        <w:t>,</w:t>
      </w:r>
      <w:r w:rsidRPr="00F33BD9">
        <w:t xml:space="preserve"> in the North Queensland </w:t>
      </w:r>
      <w:r w:rsidR="00FF1687">
        <w:t>R</w:t>
      </w:r>
      <w:r w:rsidRPr="00F33BD9">
        <w:t>egion major barriers to further education and employment, particularly for Indigenous students have been identified and</w:t>
      </w:r>
      <w:r w:rsidR="00F33E5D">
        <w:t>,</w:t>
      </w:r>
      <w:r w:rsidRPr="00F33BD9">
        <w:t xml:space="preserve"> in collaboration with the Australian Employment Covenant</w:t>
      </w:r>
      <w:r w:rsidR="00F33E5D">
        <w:t>,</w:t>
      </w:r>
      <w:r w:rsidRPr="00F33BD9">
        <w:t xml:space="preserve"> the P-Plate program has been implemented to address these barriers. The P-Plate program in North Queensland is currently being aligned to the Senior Education and Training (SET) Plan process to reduce the identified barriers for these young people. </w:t>
      </w:r>
    </w:p>
    <w:p w:rsidR="002E4CAD" w:rsidRPr="00F33BD9" w:rsidRDefault="002E4CAD" w:rsidP="00D62450">
      <w:pPr>
        <w:pStyle w:val="BodyText2"/>
      </w:pPr>
    </w:p>
    <w:p w:rsidR="00D62450" w:rsidRPr="00F33BD9" w:rsidRDefault="002E4CAD" w:rsidP="00D62450">
      <w:pPr>
        <w:pStyle w:val="BodyText2"/>
      </w:pPr>
      <w:r w:rsidRPr="00F33BD9">
        <w:t>These and other coordinated responses ensure that Education Queensland is delivering on its commitments, outlined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74"/>
        <w:gridCol w:w="6723"/>
      </w:tblGrid>
      <w:tr w:rsidR="002E4CAD" w:rsidRPr="00F33BD9" w:rsidTr="00F33BD9">
        <w:tc>
          <w:tcPr>
            <w:tcW w:w="3274" w:type="dxa"/>
          </w:tcPr>
          <w:p w:rsidR="002E4CAD" w:rsidRPr="00F33BD9" w:rsidRDefault="002E4CAD" w:rsidP="00010883">
            <w:pPr>
              <w:autoSpaceDE w:val="0"/>
              <w:autoSpaceDN w:val="0"/>
              <w:adjustRightInd w:val="0"/>
              <w:rPr>
                <w:rFonts w:cs="Calibri"/>
              </w:rPr>
            </w:pPr>
            <w:r w:rsidRPr="00F33BD9">
              <w:rPr>
                <w:rFonts w:cs="Calibri"/>
              </w:rPr>
              <w:t xml:space="preserve">Attainment targets </w:t>
            </w:r>
          </w:p>
        </w:tc>
        <w:tc>
          <w:tcPr>
            <w:tcW w:w="6723" w:type="dxa"/>
          </w:tcPr>
          <w:p w:rsidR="002E4CAD" w:rsidRPr="00F33BD9" w:rsidRDefault="00F33E5D" w:rsidP="00010883">
            <w:pPr>
              <w:autoSpaceDE w:val="0"/>
              <w:autoSpaceDN w:val="0"/>
              <w:adjustRightInd w:val="0"/>
              <w:spacing w:after="120"/>
              <w:rPr>
                <w:rFonts w:cs="Calibri"/>
              </w:rPr>
            </w:pPr>
            <w:r>
              <w:rPr>
                <w:rFonts w:cs="Calibri"/>
              </w:rPr>
              <w:t>A</w:t>
            </w:r>
            <w:r w:rsidR="002E4CAD" w:rsidRPr="00F33BD9">
              <w:rPr>
                <w:rFonts w:cs="Calibri"/>
              </w:rPr>
              <w:t xml:space="preserve"> target of 82% of students completing Year 12 to </w:t>
            </w:r>
            <w:r>
              <w:rPr>
                <w:rFonts w:cs="Calibri"/>
              </w:rPr>
              <w:t xml:space="preserve">also </w:t>
            </w:r>
            <w:r w:rsidR="002E4CAD" w:rsidRPr="00F33BD9">
              <w:rPr>
                <w:rFonts w:cs="Calibri"/>
              </w:rPr>
              <w:t>achieve a Queensland Certificate of Education (</w:t>
            </w:r>
            <w:proofErr w:type="spellStart"/>
            <w:r w:rsidR="002E4CAD" w:rsidRPr="00F33BD9">
              <w:rPr>
                <w:rFonts w:cs="Calibri"/>
              </w:rPr>
              <w:t>QCE</w:t>
            </w:r>
            <w:proofErr w:type="spellEnd"/>
            <w:r w:rsidR="002E4CAD" w:rsidRPr="00F33BD9">
              <w:rPr>
                <w:rFonts w:cs="Calibri"/>
              </w:rPr>
              <w:t>), International Baccalaureate Diploma (</w:t>
            </w:r>
            <w:proofErr w:type="spellStart"/>
            <w:r w:rsidR="002E4CAD" w:rsidRPr="00F33BD9">
              <w:rPr>
                <w:rFonts w:cs="Calibri"/>
              </w:rPr>
              <w:t>IBD</w:t>
            </w:r>
            <w:proofErr w:type="spellEnd"/>
            <w:r w:rsidR="002E4CAD" w:rsidRPr="00F33BD9">
              <w:rPr>
                <w:rFonts w:cs="Calibri"/>
              </w:rPr>
              <w:t>), VET Certificate II or higher, or Queensland Certificate of Individual Achievement (</w:t>
            </w:r>
            <w:proofErr w:type="spellStart"/>
            <w:r w:rsidR="002E4CAD" w:rsidRPr="00F33BD9">
              <w:rPr>
                <w:rFonts w:cs="Calibri"/>
              </w:rPr>
              <w:t>QCIA</w:t>
            </w:r>
            <w:proofErr w:type="spellEnd"/>
            <w:r w:rsidR="002E4CAD" w:rsidRPr="00F33BD9">
              <w:rPr>
                <w:rFonts w:cs="Calibri"/>
              </w:rPr>
              <w:t>) by 2012.</w:t>
            </w:r>
          </w:p>
          <w:p w:rsidR="002E4CAD" w:rsidRPr="00F33BD9" w:rsidRDefault="002E4CAD" w:rsidP="00010883">
            <w:pPr>
              <w:autoSpaceDE w:val="0"/>
              <w:autoSpaceDN w:val="0"/>
              <w:adjustRightInd w:val="0"/>
              <w:spacing w:after="120"/>
              <w:rPr>
                <w:rFonts w:cs="Calibri"/>
              </w:rPr>
            </w:pPr>
            <w:r w:rsidRPr="00F33BD9">
              <w:rPr>
                <w:rFonts w:cs="Calibri"/>
              </w:rPr>
              <w:t>Focus on halving the gap in Indigenous Year 12 retention and attainment rates.</w:t>
            </w:r>
          </w:p>
          <w:p w:rsidR="002E4CAD" w:rsidRPr="00F33BD9" w:rsidRDefault="002E4CAD" w:rsidP="00010883">
            <w:pPr>
              <w:autoSpaceDE w:val="0"/>
              <w:autoSpaceDN w:val="0"/>
              <w:adjustRightInd w:val="0"/>
              <w:spacing w:after="120"/>
              <w:rPr>
                <w:rFonts w:cs="Calibri"/>
              </w:rPr>
            </w:pPr>
            <w:r w:rsidRPr="00F33BD9">
              <w:rPr>
                <w:rFonts w:cs="Calibri"/>
              </w:rPr>
              <w:t>Establish Certificate II as the preferred VET level qualification on completion of Year 12</w:t>
            </w:r>
          </w:p>
        </w:tc>
      </w:tr>
      <w:tr w:rsidR="002E4CAD" w:rsidRPr="00F33BD9" w:rsidTr="00F33BD9">
        <w:tc>
          <w:tcPr>
            <w:tcW w:w="3274" w:type="dxa"/>
          </w:tcPr>
          <w:p w:rsidR="002E4CAD" w:rsidRPr="00F33BD9" w:rsidRDefault="002E4CAD" w:rsidP="00010883">
            <w:pPr>
              <w:autoSpaceDE w:val="0"/>
              <w:autoSpaceDN w:val="0"/>
              <w:adjustRightInd w:val="0"/>
              <w:rPr>
                <w:rFonts w:cs="Calibri"/>
              </w:rPr>
            </w:pPr>
            <w:r w:rsidRPr="00F33BD9">
              <w:rPr>
                <w:rFonts w:cs="Calibri"/>
              </w:rPr>
              <w:t>Regions to establish attainment and transition strategies relevant to school and community contexts</w:t>
            </w:r>
          </w:p>
        </w:tc>
        <w:tc>
          <w:tcPr>
            <w:tcW w:w="6723" w:type="dxa"/>
          </w:tcPr>
          <w:p w:rsidR="002E4CAD" w:rsidRPr="00F33BD9" w:rsidRDefault="002E4CAD" w:rsidP="00010883">
            <w:pPr>
              <w:autoSpaceDE w:val="0"/>
              <w:autoSpaceDN w:val="0"/>
              <w:adjustRightInd w:val="0"/>
              <w:spacing w:after="120"/>
              <w:rPr>
                <w:rFonts w:cs="Calibri"/>
              </w:rPr>
            </w:pPr>
            <w:r w:rsidRPr="00F33BD9">
              <w:rPr>
                <w:rFonts w:cs="Calibri"/>
              </w:rPr>
              <w:t xml:space="preserve">Allocate the NP funding to regions to support locally targeted attainment and transition strategies. </w:t>
            </w:r>
          </w:p>
          <w:p w:rsidR="002E4CAD" w:rsidRPr="00F33BD9" w:rsidRDefault="002E4CAD" w:rsidP="00010883">
            <w:pPr>
              <w:autoSpaceDE w:val="0"/>
              <w:autoSpaceDN w:val="0"/>
              <w:adjustRightInd w:val="0"/>
              <w:spacing w:after="120"/>
              <w:rPr>
                <w:rFonts w:cs="Calibri"/>
              </w:rPr>
            </w:pPr>
            <w:r w:rsidRPr="00F33BD9">
              <w:rPr>
                <w:rFonts w:cs="Calibri"/>
              </w:rPr>
              <w:t>Support for data driven decision making.</w:t>
            </w:r>
          </w:p>
          <w:p w:rsidR="002E4CAD" w:rsidRPr="00F33BD9" w:rsidRDefault="002E4CAD" w:rsidP="00010883">
            <w:pPr>
              <w:autoSpaceDE w:val="0"/>
              <w:autoSpaceDN w:val="0"/>
              <w:adjustRightInd w:val="0"/>
              <w:spacing w:after="120"/>
              <w:rPr>
                <w:rFonts w:cs="Calibri"/>
              </w:rPr>
            </w:pPr>
            <w:r w:rsidRPr="00F33BD9">
              <w:rPr>
                <w:rFonts w:cs="Calibri"/>
              </w:rPr>
              <w:t>Ensure high-quality Senior Education and Training (SET) planning, including transition planning for young people at risk of leaving school early or without a qualification.</w:t>
            </w:r>
          </w:p>
          <w:p w:rsidR="002E4CAD" w:rsidRPr="00F33BD9" w:rsidRDefault="002E4CAD" w:rsidP="00010883">
            <w:pPr>
              <w:autoSpaceDE w:val="0"/>
              <w:autoSpaceDN w:val="0"/>
              <w:adjustRightInd w:val="0"/>
              <w:spacing w:after="120"/>
              <w:rPr>
                <w:rFonts w:cs="Calibri"/>
              </w:rPr>
            </w:pPr>
            <w:r w:rsidRPr="00F33BD9">
              <w:rPr>
                <w:rFonts w:cs="Calibri"/>
              </w:rPr>
              <w:t>Drive behaviour change to support successful student transitions to post-school destinations.</w:t>
            </w:r>
          </w:p>
          <w:p w:rsidR="002E4CAD" w:rsidRPr="00F33BD9" w:rsidRDefault="002E4CAD" w:rsidP="00010883">
            <w:pPr>
              <w:autoSpaceDE w:val="0"/>
              <w:autoSpaceDN w:val="0"/>
              <w:adjustRightInd w:val="0"/>
              <w:spacing w:after="120"/>
              <w:rPr>
                <w:rFonts w:cs="Calibri"/>
              </w:rPr>
            </w:pPr>
            <w:r w:rsidRPr="00F33BD9">
              <w:rPr>
                <w:rFonts w:cs="Calibri"/>
              </w:rPr>
              <w:t xml:space="preserve">Continue to provide opportunities for students to undertake authentic workplace learning. </w:t>
            </w:r>
          </w:p>
        </w:tc>
      </w:tr>
      <w:tr w:rsidR="002E4CAD" w:rsidRPr="00F33BD9" w:rsidTr="00F33BD9">
        <w:tc>
          <w:tcPr>
            <w:tcW w:w="3274" w:type="dxa"/>
          </w:tcPr>
          <w:p w:rsidR="002E4CAD" w:rsidRPr="00F33BD9" w:rsidRDefault="002E4CAD" w:rsidP="00010883">
            <w:pPr>
              <w:autoSpaceDE w:val="0"/>
              <w:autoSpaceDN w:val="0"/>
              <w:adjustRightInd w:val="0"/>
              <w:rPr>
                <w:rFonts w:cs="Calibri"/>
              </w:rPr>
            </w:pPr>
            <w:r w:rsidRPr="00F33BD9">
              <w:rPr>
                <w:rFonts w:cs="Calibri"/>
              </w:rPr>
              <w:t>Revitalise regional planning and partnerships</w:t>
            </w:r>
          </w:p>
        </w:tc>
        <w:tc>
          <w:tcPr>
            <w:tcW w:w="6723" w:type="dxa"/>
          </w:tcPr>
          <w:p w:rsidR="002E4CAD" w:rsidRPr="00F33BD9" w:rsidRDefault="002E4CAD" w:rsidP="00010883">
            <w:pPr>
              <w:autoSpaceDE w:val="0"/>
              <w:autoSpaceDN w:val="0"/>
              <w:adjustRightInd w:val="0"/>
              <w:spacing w:after="120"/>
              <w:rPr>
                <w:rFonts w:cs="Calibri"/>
              </w:rPr>
            </w:pPr>
            <w:r w:rsidRPr="00F33BD9">
              <w:rPr>
                <w:rFonts w:cs="Calibri"/>
              </w:rPr>
              <w:t xml:space="preserve">Review and renew existing community partnerships and support the integration of the new NP funded Community Partnership Brokers and Youth Connections program. </w:t>
            </w:r>
          </w:p>
          <w:p w:rsidR="002E4CAD" w:rsidRPr="00F33BD9" w:rsidRDefault="002E4CAD" w:rsidP="00010883">
            <w:pPr>
              <w:autoSpaceDE w:val="0"/>
              <w:autoSpaceDN w:val="0"/>
              <w:adjustRightInd w:val="0"/>
              <w:spacing w:after="120"/>
              <w:rPr>
                <w:rFonts w:cs="Calibri"/>
              </w:rPr>
            </w:pPr>
            <w:r w:rsidRPr="00F33BD9">
              <w:rPr>
                <w:rFonts w:cs="Calibri"/>
              </w:rPr>
              <w:t xml:space="preserve">Regional planning for VET priorities and provision. </w:t>
            </w:r>
          </w:p>
        </w:tc>
      </w:tr>
    </w:tbl>
    <w:p w:rsidR="00F33BD9" w:rsidRPr="00F33BD9" w:rsidRDefault="00F33BD9" w:rsidP="00D62450">
      <w:pPr>
        <w:pStyle w:val="Heading3"/>
      </w:pPr>
      <w:bookmarkStart w:id="12" w:name="_Toc294018960"/>
      <w:bookmarkStart w:id="13" w:name="_Toc294018971"/>
      <w:r w:rsidRPr="00F33BD9">
        <w:t>Attainment Target</w:t>
      </w:r>
      <w:bookmarkEnd w:id="12"/>
    </w:p>
    <w:p w:rsidR="00F33BD9" w:rsidRPr="00F33BD9" w:rsidRDefault="00F33BD9" w:rsidP="00D62450">
      <w:pPr>
        <w:pStyle w:val="BodyText2"/>
      </w:pPr>
      <w:r w:rsidRPr="00F33BD9">
        <w:t xml:space="preserve">Regional Action Plans have been implemented and continue to align funding to strategic activities to meet targets set by the YAT NP and other key initiatives at a state and federal level. </w:t>
      </w:r>
    </w:p>
    <w:p w:rsidR="00F33BD9" w:rsidRPr="00F33BD9" w:rsidRDefault="00F33BD9" w:rsidP="00D62450">
      <w:pPr>
        <w:pStyle w:val="BodyText2"/>
      </w:pPr>
    </w:p>
    <w:p w:rsidR="00F33BD9" w:rsidRPr="00F33BD9" w:rsidRDefault="00F33BD9" w:rsidP="00D62450">
      <w:pPr>
        <w:pStyle w:val="BodyText2"/>
      </w:pPr>
      <w:r w:rsidRPr="00F33BD9">
        <w:t>Regions have developed and implemented a range of frameworks to evaluate students’ progress on attainment targets to ensure systems and processes can be implemented to support those students at risk of not meeting the targets. Efforts are targeted at planning strategically to ensu</w:t>
      </w:r>
      <w:r w:rsidR="00D62450">
        <w:t>re maximum impact of practices.</w:t>
      </w:r>
    </w:p>
    <w:p w:rsidR="00F33BD9" w:rsidRPr="00F33BD9" w:rsidRDefault="00F33BD9" w:rsidP="00D62450">
      <w:pPr>
        <w:pStyle w:val="BodyText2"/>
      </w:pPr>
    </w:p>
    <w:p w:rsidR="00F33BD9" w:rsidRPr="00F33BD9" w:rsidRDefault="00F33BD9" w:rsidP="00D62450">
      <w:pPr>
        <w:pStyle w:val="BodyText2"/>
      </w:pPr>
      <w:r w:rsidRPr="00F33BD9">
        <w:t xml:space="preserve">Regions have set the vision and expectation for attainment targets and this is reflected at a school and classroom level. The service stream concept or the service commitments are examples adopted by some regions that have become core business for schools. The service commitment sets an expectation that all year 12 students will achieve a further education, training or employment outcome post school. Like other regional strategies this involves the collection and interrogation of data, fostering of partnerships and strong engagement practices to achieve results. </w:t>
      </w:r>
    </w:p>
    <w:p w:rsidR="00F33BD9" w:rsidRPr="00F33BD9" w:rsidRDefault="00F33BD9" w:rsidP="00D62450">
      <w:pPr>
        <w:pStyle w:val="BodyText2"/>
      </w:pPr>
    </w:p>
    <w:p w:rsidR="00F33BD9" w:rsidRPr="00F33BD9" w:rsidRDefault="00F33BD9" w:rsidP="00D62450">
      <w:pPr>
        <w:pStyle w:val="BodyText2"/>
      </w:pPr>
      <w:r w:rsidRPr="00F33BD9">
        <w:t>The impact of self-determined funding allocation models enables regions to target and tailor their approaches to meeting attainment targets accordingly. In the Metropolitan Region it was identified that addressing literacy and numeracy issues would increase attainment of a Queensland Certificate of Education. YAT NP funds have been directed to developing a pilot program accessed by 1328 students</w:t>
      </w:r>
      <w:r w:rsidRPr="00A45478">
        <w:t>;</w:t>
      </w:r>
      <w:r w:rsidR="00B12EA1" w:rsidRPr="00A45478">
        <w:t xml:space="preserve"> </w:t>
      </w:r>
      <w:r w:rsidRPr="00A45478">
        <w:t>this program has resulted in improved literacy and numeracy outcomes for these students</w:t>
      </w:r>
      <w:r w:rsidR="00A45478" w:rsidRPr="00A45478">
        <w:t>, both</w:t>
      </w:r>
      <w:r w:rsidR="00B12EA1" w:rsidRPr="00A45478">
        <w:t xml:space="preserve"> </w:t>
      </w:r>
      <w:r w:rsidR="00A45478" w:rsidRPr="00A45478">
        <w:rPr>
          <w:rStyle w:val="CommentReference"/>
          <w:sz w:val="24"/>
          <w:szCs w:val="24"/>
        </w:rPr>
        <w:t xml:space="preserve">significant factors in achieving </w:t>
      </w:r>
      <w:r w:rsidR="00B12EA1" w:rsidRPr="00A45478">
        <w:rPr>
          <w:rStyle w:val="CommentReference"/>
          <w:sz w:val="24"/>
          <w:szCs w:val="24"/>
        </w:rPr>
        <w:t xml:space="preserve">a </w:t>
      </w:r>
      <w:proofErr w:type="spellStart"/>
      <w:r w:rsidR="00B12EA1" w:rsidRPr="00A45478">
        <w:rPr>
          <w:rStyle w:val="CommentReference"/>
          <w:sz w:val="24"/>
          <w:szCs w:val="24"/>
        </w:rPr>
        <w:t>QCE</w:t>
      </w:r>
      <w:proofErr w:type="spellEnd"/>
      <w:r w:rsidR="00B12EA1" w:rsidRPr="00A45478">
        <w:rPr>
          <w:rStyle w:val="CommentReference"/>
          <w:sz w:val="24"/>
          <w:szCs w:val="24"/>
        </w:rPr>
        <w:t>.</w:t>
      </w:r>
      <w:r w:rsidR="00B12EA1">
        <w:rPr>
          <w:rStyle w:val="CommentReference"/>
        </w:rPr>
        <w:t xml:space="preserve"> </w:t>
      </w:r>
      <w:r w:rsidRPr="00F33BD9">
        <w:t xml:space="preserve"> The program is intended to be rolled out across the region in 2012 and findings and resources shared with all schools. </w:t>
      </w:r>
    </w:p>
    <w:p w:rsidR="00F33BD9" w:rsidRPr="00F33BD9" w:rsidRDefault="00F33BD9" w:rsidP="00D62450">
      <w:pPr>
        <w:pStyle w:val="BodyText2"/>
      </w:pPr>
    </w:p>
    <w:p w:rsidR="00F33BD9" w:rsidRPr="00F33BD9" w:rsidRDefault="00F33BD9" w:rsidP="00D62450">
      <w:pPr>
        <w:pStyle w:val="BodyText2"/>
      </w:pPr>
      <w:r w:rsidRPr="00F33BD9">
        <w:t>Other strategies implemented include:</w:t>
      </w:r>
    </w:p>
    <w:p w:rsidR="00F33BD9" w:rsidRPr="00F33BD9" w:rsidRDefault="00F33BD9" w:rsidP="00D62450">
      <w:pPr>
        <w:pStyle w:val="ListBullet"/>
      </w:pPr>
      <w:r w:rsidRPr="00F33BD9">
        <w:t>development of Regional Registered Training Organisation</w:t>
      </w:r>
      <w:r w:rsidR="006100C1">
        <w:t>s</w:t>
      </w:r>
      <w:r w:rsidRPr="00F33BD9">
        <w:t xml:space="preserve"> to increase access to Certificate II </w:t>
      </w:r>
      <w:r w:rsidR="006100C1">
        <w:t xml:space="preserve">and higher </w:t>
      </w:r>
      <w:r w:rsidRPr="00F33BD9">
        <w:t xml:space="preserve">qualifications </w:t>
      </w:r>
    </w:p>
    <w:p w:rsidR="00F33BD9" w:rsidRPr="00F33BD9" w:rsidRDefault="00F33BD9" w:rsidP="00D62450">
      <w:pPr>
        <w:pStyle w:val="ListBullet"/>
      </w:pPr>
      <w:r w:rsidRPr="00F33BD9">
        <w:t>governance arrangements implemented to ensure school planning and services agreements are aligned to attainment targets</w:t>
      </w:r>
    </w:p>
    <w:p w:rsidR="00F33BD9" w:rsidRPr="00F33BD9" w:rsidRDefault="00F33BD9" w:rsidP="00D62450">
      <w:pPr>
        <w:pStyle w:val="ListBullet"/>
      </w:pPr>
      <w:r w:rsidRPr="00F33BD9">
        <w:t xml:space="preserve">strong reporting mechanisms implemented to ensure progress and transparency of activities, process includes target setting and developing approaches for student and parent engagement </w:t>
      </w:r>
    </w:p>
    <w:p w:rsidR="00F33BD9" w:rsidRPr="00F33BD9" w:rsidRDefault="00F33BD9" w:rsidP="00D62450">
      <w:pPr>
        <w:pStyle w:val="ListBullet"/>
      </w:pPr>
      <w:r w:rsidRPr="00F33BD9">
        <w:t>case and place based management of students; tracking, target setting and developing improved monitoring and reporting strategies</w:t>
      </w:r>
    </w:p>
    <w:p w:rsidR="00F33BD9" w:rsidRPr="00F33BD9" w:rsidRDefault="00F33BD9" w:rsidP="00D62450">
      <w:pPr>
        <w:pStyle w:val="ListBullet"/>
      </w:pPr>
      <w:proofErr w:type="gramStart"/>
      <w:r w:rsidRPr="00F33BD9">
        <w:t>developing</w:t>
      </w:r>
      <w:proofErr w:type="gramEnd"/>
      <w:r w:rsidRPr="00F33BD9">
        <w:t xml:space="preserve"> strong links to key stakeholder groups to support student transitions, including employers, industry groups and training organisations. </w:t>
      </w:r>
    </w:p>
    <w:p w:rsidR="00F33BD9" w:rsidRPr="00F33BD9" w:rsidRDefault="00F33BD9" w:rsidP="00D62450">
      <w:pPr>
        <w:pStyle w:val="Heading3"/>
      </w:pPr>
      <w:bookmarkStart w:id="14" w:name="_Toc294018961"/>
      <w:r w:rsidRPr="00F33BD9">
        <w:t>Focus on halving the gap in Indigenous retention and attainment rates</w:t>
      </w:r>
      <w:bookmarkEnd w:id="14"/>
    </w:p>
    <w:p w:rsidR="00F33BD9" w:rsidRPr="00F33BD9" w:rsidRDefault="00F33BD9" w:rsidP="00D62450">
      <w:pPr>
        <w:pStyle w:val="BodyText2"/>
      </w:pPr>
      <w:r w:rsidRPr="00F33BD9">
        <w:t xml:space="preserve">Halving the gap in Indigenous student participation and attainment targets remains a firm commitment of Education Queensland. The strategies implemented across regions are focused on the transition of Indigenous students to further education or employment pathways. Many of these initiatives are supported by Learn Earn Legend Funding and aligned to other specific initiatives, outlined in the Indigenous reporting section. </w:t>
      </w:r>
    </w:p>
    <w:p w:rsidR="00F33BD9" w:rsidRPr="00F33BD9" w:rsidRDefault="00F33BD9" w:rsidP="00D62450">
      <w:pPr>
        <w:pStyle w:val="BodyText2"/>
      </w:pPr>
    </w:p>
    <w:p w:rsidR="00F33BD9" w:rsidRPr="00F33BD9" w:rsidRDefault="00F33BD9" w:rsidP="00D62450">
      <w:pPr>
        <w:pStyle w:val="BodyText2"/>
      </w:pPr>
      <w:r w:rsidRPr="00F33BD9">
        <w:t>Examples of strategies implemented include:</w:t>
      </w:r>
    </w:p>
    <w:p w:rsidR="00F33BD9" w:rsidRPr="00F33BD9" w:rsidRDefault="00F33BD9" w:rsidP="00D62450">
      <w:pPr>
        <w:pStyle w:val="ListBullet"/>
      </w:pPr>
      <w:r w:rsidRPr="00F33BD9">
        <w:t>establishing community partnerships to improve employability skilling, examples include Northern Pride “School Pride” program focused on employment outcomes</w:t>
      </w:r>
    </w:p>
    <w:p w:rsidR="00F33BD9" w:rsidRPr="00F33BD9" w:rsidRDefault="00F33BD9" w:rsidP="00D62450">
      <w:pPr>
        <w:pStyle w:val="ListBullet"/>
      </w:pPr>
      <w:r w:rsidRPr="00F33BD9">
        <w:t>links to the Beacon Foundation to utilise industry connections to bolster employment opportunities for students</w:t>
      </w:r>
    </w:p>
    <w:p w:rsidR="00F33BD9" w:rsidRPr="00F33BD9" w:rsidRDefault="00F33BD9" w:rsidP="00D62450">
      <w:pPr>
        <w:pStyle w:val="ListBullet"/>
      </w:pPr>
      <w:r w:rsidRPr="00F33BD9">
        <w:t xml:space="preserve">development of My Future My Plan website in Far North Queensland, a web based resource for students seeking employment, with specific resources for Aboriginal and Torres Strait Islander job seekers </w:t>
      </w:r>
    </w:p>
    <w:p w:rsidR="00F33BD9" w:rsidRPr="00F33BD9" w:rsidRDefault="00F33BD9" w:rsidP="00D62450">
      <w:pPr>
        <w:pStyle w:val="ListBullet"/>
      </w:pPr>
      <w:r w:rsidRPr="00F33BD9">
        <w:t xml:space="preserve">linking employment aspirations programs from middle years planning to senior school to promote smooth pathways post school to employment </w:t>
      </w:r>
    </w:p>
    <w:p w:rsidR="00F33BD9" w:rsidRPr="00F33BD9" w:rsidRDefault="00F33BD9" w:rsidP="00D62450">
      <w:pPr>
        <w:pStyle w:val="ListBullet"/>
      </w:pPr>
      <w:r w:rsidRPr="00F33BD9">
        <w:lastRenderedPageBreak/>
        <w:t xml:space="preserve">post school data collection for year 13 to assist with tracking student pathways and enable targeted intervention </w:t>
      </w:r>
    </w:p>
    <w:p w:rsidR="00F33BD9" w:rsidRPr="00F33BD9" w:rsidRDefault="00F33BD9" w:rsidP="00D62450">
      <w:pPr>
        <w:pStyle w:val="ListBullet"/>
      </w:pPr>
      <w:r w:rsidRPr="00F33BD9">
        <w:t xml:space="preserve">Learn Earn Legend Destination Initiative has seen the implementation of destinations studies, employment of Indigenous Pathways Co-ordinators and articulated role of an Indigenous Regional Manager to guide planning and review of the program </w:t>
      </w:r>
    </w:p>
    <w:p w:rsidR="00F33BD9" w:rsidRPr="00F33BD9" w:rsidRDefault="00F33BD9" w:rsidP="00D62450">
      <w:pPr>
        <w:pStyle w:val="ListBullet"/>
      </w:pPr>
      <w:r w:rsidRPr="00F33BD9">
        <w:t>collaboration with the Australian Employment Covenant in the implementation of P-Plate program, to reduce the barriers to employment for Indigenous students who do not have a licence</w:t>
      </w:r>
    </w:p>
    <w:p w:rsidR="00F33BD9" w:rsidRPr="00F33BD9" w:rsidRDefault="00F33BD9" w:rsidP="00D62450">
      <w:pPr>
        <w:pStyle w:val="ListBullet"/>
      </w:pPr>
      <w:r w:rsidRPr="00F33BD9">
        <w:t xml:space="preserve">other activities implemented include participation in </w:t>
      </w:r>
      <w:proofErr w:type="spellStart"/>
      <w:r w:rsidRPr="00F33BD9">
        <w:t>FOGs</w:t>
      </w:r>
      <w:proofErr w:type="spellEnd"/>
      <w:r w:rsidRPr="00F33BD9">
        <w:t xml:space="preserve"> events supported by DEEWR, student support services for English as a Second Language learners and career directions ensure focus is maintained on Indigenous retention and attainment rates. </w:t>
      </w:r>
    </w:p>
    <w:p w:rsidR="00F33BD9" w:rsidRPr="00F33BD9" w:rsidRDefault="00F33BD9" w:rsidP="00D62450">
      <w:pPr>
        <w:pStyle w:val="BodyText2"/>
        <w:rPr>
          <w:highlight w:val="lightGray"/>
        </w:rPr>
      </w:pPr>
    </w:p>
    <w:p w:rsidR="00F33BD9" w:rsidRPr="00F33BD9" w:rsidRDefault="00F33BD9" w:rsidP="00D62450">
      <w:pPr>
        <w:pStyle w:val="Heading3"/>
      </w:pPr>
      <w:bookmarkStart w:id="15" w:name="_Toc294018962"/>
      <w:r w:rsidRPr="00F33BD9">
        <w:t>VET Certificate II</w:t>
      </w:r>
      <w:bookmarkEnd w:id="15"/>
      <w:r w:rsidRPr="00F33BD9">
        <w:t xml:space="preserve">, planning for VET priorities and provision and authentic workplace learning </w:t>
      </w:r>
    </w:p>
    <w:p w:rsidR="00F33BD9" w:rsidRPr="00F33BD9" w:rsidRDefault="00F33BD9" w:rsidP="00D62450">
      <w:pPr>
        <w:pStyle w:val="BodyText2"/>
      </w:pPr>
      <w:bookmarkStart w:id="16" w:name="OLE_LINK53"/>
      <w:bookmarkStart w:id="17" w:name="OLE_LINK54"/>
      <w:r w:rsidRPr="00F33BD9">
        <w:t>Participation in VET continues to be a strong pathway for Queensland state school students with many accessing VET in school. Many Queensland schools deliver VET as part of their offerings for secondary students, predominately at Certificate I and II level. Additionally, Queensland students have a strong track record in completing school based apprentice</w:t>
      </w:r>
      <w:r w:rsidR="00D62450">
        <w:t>ships and traineeships (</w:t>
      </w:r>
      <w:proofErr w:type="spellStart"/>
      <w:r w:rsidR="00D62450">
        <w:t>SATs</w:t>
      </w:r>
      <w:proofErr w:type="spellEnd"/>
      <w:r w:rsidR="00D62450">
        <w:t>).</w:t>
      </w:r>
    </w:p>
    <w:p w:rsidR="00F33BD9" w:rsidRPr="00F33BD9" w:rsidRDefault="00F33BD9" w:rsidP="00D62450">
      <w:pPr>
        <w:pStyle w:val="BodyText2"/>
      </w:pPr>
    </w:p>
    <w:p w:rsidR="00F33BD9" w:rsidRPr="00F33BD9" w:rsidRDefault="00F33BD9" w:rsidP="00D62450">
      <w:pPr>
        <w:pStyle w:val="BodyText2"/>
      </w:pPr>
      <w:r w:rsidRPr="00F33BD9">
        <w:t>Schools identify VET delivery options in consultation with their school community and industry stakeholder groups to promote smooth transition from education and training to employment. Often this means that to gain viable employment opportunities training levels are tailored to meet industry need. For example in some industries students are encouraged to obtain a Certificate I level of qualification before entering the work place where, following employment, further training may be accessed. These are decisions that are made at a local level in the best interests of the student; this process is often articulated through SET Planning.</w:t>
      </w:r>
    </w:p>
    <w:p w:rsidR="00F33BD9" w:rsidRPr="00F33BD9" w:rsidRDefault="00F33BD9" w:rsidP="00D62450">
      <w:pPr>
        <w:pStyle w:val="BodyText2"/>
      </w:pPr>
    </w:p>
    <w:p w:rsidR="00F33BD9" w:rsidRPr="00F33BD9" w:rsidRDefault="00F33BD9" w:rsidP="00D62450">
      <w:pPr>
        <w:pStyle w:val="BodyText2"/>
      </w:pPr>
      <w:r w:rsidRPr="00F33BD9">
        <w:t>Much of the work across regions to promote VET Certificate II as the preferred higher qualification has involved work with schools to identify skill needs to refine VET delivery and refocus partnerships with training providers and employers. Some schools have increased their scope to deliver more Certificate II qualifications and broaden the options available to students. Data to identify critical skill shortages has been used to inform strategies for identified industries and affordable and sustainable VET delivery models have been implemented. This work has enabled schools to establish strong industry links and promoted positive part</w:t>
      </w:r>
      <w:r w:rsidR="00D62450">
        <w:t>nerships with key stakeholders.</w:t>
      </w:r>
    </w:p>
    <w:p w:rsidR="00F33BD9" w:rsidRPr="00F33BD9" w:rsidRDefault="00F33BD9" w:rsidP="00D62450">
      <w:pPr>
        <w:pStyle w:val="BodyText2"/>
      </w:pPr>
    </w:p>
    <w:p w:rsidR="00F33BD9" w:rsidRPr="00F33BD9" w:rsidRDefault="00F33BD9" w:rsidP="00D62450">
      <w:pPr>
        <w:pStyle w:val="BodyText2"/>
      </w:pPr>
      <w:r w:rsidRPr="00F33BD9">
        <w:t xml:space="preserve">Authentic workplace learning provides students with opportunities to develop employment skills and supports the transition to employment post school. Often authentic workplace learning is offered through school based apprenticeships and traineeships through a structured learning and training program. Regions foster links with industry and training providers to provide improved options for workplace learning, this is achieved through continued focus on </w:t>
      </w:r>
      <w:proofErr w:type="spellStart"/>
      <w:r w:rsidRPr="00F33BD9">
        <w:t>SATs</w:t>
      </w:r>
      <w:proofErr w:type="spellEnd"/>
      <w:r w:rsidRPr="00F33BD9">
        <w:t>, work expe</w:t>
      </w:r>
      <w:r w:rsidR="00D62450">
        <w:t>rience programs and placements.</w:t>
      </w:r>
    </w:p>
    <w:p w:rsidR="00F33BD9" w:rsidRPr="00F33BD9" w:rsidRDefault="00F33BD9" w:rsidP="00D62450">
      <w:pPr>
        <w:pStyle w:val="BodyText2"/>
      </w:pPr>
    </w:p>
    <w:p w:rsidR="00F33BD9" w:rsidRPr="00F33BD9" w:rsidRDefault="00F33BD9" w:rsidP="00D62450">
      <w:pPr>
        <w:pStyle w:val="Heading3"/>
      </w:pPr>
      <w:bookmarkStart w:id="18" w:name="_Toc294018963"/>
      <w:bookmarkEnd w:id="16"/>
      <w:bookmarkEnd w:id="17"/>
      <w:r w:rsidRPr="00F33BD9">
        <w:t>Building community partnerships</w:t>
      </w:r>
      <w:bookmarkEnd w:id="18"/>
      <w:r w:rsidRPr="00F33BD9">
        <w:t xml:space="preserve"> to support students at risk of not making a successful transition and driving behaviour change</w:t>
      </w:r>
    </w:p>
    <w:p w:rsidR="00F33BD9" w:rsidRPr="00F33BD9" w:rsidRDefault="00F33BD9" w:rsidP="00D62450">
      <w:pPr>
        <w:pStyle w:val="BodyText2"/>
      </w:pPr>
      <w:r w:rsidRPr="00F33BD9">
        <w:t>Education Queensland schools implement a range of strategies to foster community partnerships and support students at risk of not making a successful transition. The focus on community partnerships and at risk youth under the YAT NP is a continuation of the reforms articulated by the Education, Training and Reforms for the Future (</w:t>
      </w:r>
      <w:proofErr w:type="spellStart"/>
      <w:r w:rsidRPr="00F33BD9">
        <w:t>ETRF</w:t>
      </w:r>
      <w:proofErr w:type="spellEnd"/>
      <w:r w:rsidRPr="00F33BD9">
        <w:t xml:space="preserve">) strategy. </w:t>
      </w:r>
    </w:p>
    <w:p w:rsidR="00F33BD9" w:rsidRPr="00F33BD9" w:rsidRDefault="00F33BD9" w:rsidP="00D62450">
      <w:pPr>
        <w:pStyle w:val="BodyText2"/>
      </w:pPr>
    </w:p>
    <w:p w:rsidR="00F33BD9" w:rsidRPr="00F33BD9" w:rsidRDefault="00F33BD9" w:rsidP="00D62450">
      <w:pPr>
        <w:pStyle w:val="BodyText2"/>
      </w:pPr>
      <w:r w:rsidRPr="00F33BD9">
        <w:lastRenderedPageBreak/>
        <w:t xml:space="preserve">The YAT NP targets ensure that regions remain </w:t>
      </w:r>
      <w:r w:rsidR="006100C1">
        <w:t>focused on</w:t>
      </w:r>
      <w:r w:rsidRPr="00F33BD9">
        <w:t xml:space="preserve"> building and sustaining positive community partnerships and often these are utilised to implement support mechanisms for students at risk of not making a successful transition. Many of these strategies involve implementing a range of practices that shift the behaviour of students and school communities to promote positive transitions</w:t>
      </w:r>
      <w:r w:rsidR="00D62450">
        <w:t xml:space="preserve"> post school.</w:t>
      </w:r>
    </w:p>
    <w:p w:rsidR="00D62450" w:rsidRDefault="00D62450" w:rsidP="00010883">
      <w:pPr>
        <w:tabs>
          <w:tab w:val="num" w:pos="329"/>
        </w:tabs>
        <w:spacing w:line="240" w:lineRule="auto"/>
        <w:rPr>
          <w:rFonts w:cs="Calibri"/>
        </w:rPr>
      </w:pPr>
    </w:p>
    <w:p w:rsidR="00F33BD9" w:rsidRPr="00F33BD9" w:rsidRDefault="00F33BD9" w:rsidP="00010883">
      <w:pPr>
        <w:tabs>
          <w:tab w:val="num" w:pos="329"/>
        </w:tabs>
        <w:spacing w:line="240" w:lineRule="auto"/>
        <w:rPr>
          <w:rFonts w:cs="Calibri"/>
        </w:rPr>
      </w:pPr>
      <w:r w:rsidRPr="00F33BD9">
        <w:rPr>
          <w:rFonts w:cs="Calibri"/>
        </w:rPr>
        <w:t>Examples of strategies employed by regions include:</w:t>
      </w:r>
    </w:p>
    <w:p w:rsidR="00F33BD9" w:rsidRPr="00F33BD9" w:rsidRDefault="00F33BD9" w:rsidP="00D62450">
      <w:pPr>
        <w:pStyle w:val="ListBullet"/>
      </w:pPr>
      <w:r w:rsidRPr="00F33BD9">
        <w:t>working with School Community Partnership brokers to link to secure employment pathways, create additional support mechanisms for at-risk students and coordinate efforts through related programs, such as Youth Connections and Youth Support Coordinator initiative</w:t>
      </w:r>
    </w:p>
    <w:p w:rsidR="00F33BD9" w:rsidRPr="00F33BD9" w:rsidRDefault="00F33BD9" w:rsidP="00D62450">
      <w:pPr>
        <w:pStyle w:val="ListBullet"/>
      </w:pPr>
      <w:r w:rsidRPr="00F33BD9">
        <w:t xml:space="preserve">development of cluster maps to link students with appropriate services to support  improved referral services </w:t>
      </w:r>
    </w:p>
    <w:p w:rsidR="00F33BD9" w:rsidRPr="00F33BD9" w:rsidRDefault="00F33BD9" w:rsidP="00D62450">
      <w:pPr>
        <w:pStyle w:val="ListBullet"/>
      </w:pPr>
      <w:r w:rsidRPr="00F33BD9">
        <w:t xml:space="preserve">regional engagement workshops to improve collaboration between stakeholders and generate partnerships with business, industry, local employers, government organisations, not –for-profit organisations and others to support transitions   </w:t>
      </w:r>
    </w:p>
    <w:p w:rsidR="00F33BD9" w:rsidRPr="00F33BD9" w:rsidRDefault="00F33BD9" w:rsidP="00D62450">
      <w:pPr>
        <w:pStyle w:val="ListBullet"/>
      </w:pPr>
      <w:r w:rsidRPr="00F33BD9">
        <w:t xml:space="preserve">embedding Learn Earn Legend initiative, includes tools to monitor and document senior schooling pathways and support strong links to post school destinations to support transitions of Indigenous students </w:t>
      </w:r>
    </w:p>
    <w:p w:rsidR="00F33BD9" w:rsidRPr="00F33BD9" w:rsidRDefault="00F33BD9" w:rsidP="00D62450">
      <w:pPr>
        <w:pStyle w:val="ListBullet"/>
      </w:pPr>
      <w:proofErr w:type="gramStart"/>
      <w:r w:rsidRPr="00F33BD9">
        <w:t>student</w:t>
      </w:r>
      <w:proofErr w:type="gramEnd"/>
      <w:r w:rsidRPr="00F33BD9">
        <w:t xml:space="preserve"> support services teams develop resources and strategies to target key issues for at risk students including attendance and engagement. Often strategies are based on individualised case management and tracking </w:t>
      </w:r>
    </w:p>
    <w:p w:rsidR="00F33BD9" w:rsidRPr="00F33BD9" w:rsidRDefault="00F33BD9" w:rsidP="00D62450">
      <w:pPr>
        <w:pStyle w:val="ListBullet"/>
      </w:pPr>
      <w:r w:rsidRPr="00F33BD9">
        <w:t>many schools in regions have signed the Australian Employment Covenant (</w:t>
      </w:r>
      <w:proofErr w:type="spellStart"/>
      <w:r w:rsidRPr="00F33BD9">
        <w:t>AEC</w:t>
      </w:r>
      <w:proofErr w:type="spellEnd"/>
      <w:r w:rsidRPr="00F33BD9">
        <w:t xml:space="preserve">) committing to employment for young Indigenous people </w:t>
      </w:r>
    </w:p>
    <w:p w:rsidR="00F33BD9" w:rsidRPr="00F33BD9" w:rsidRDefault="00F33BD9" w:rsidP="00D62450">
      <w:pPr>
        <w:pStyle w:val="ListBullet"/>
      </w:pPr>
      <w:proofErr w:type="gramStart"/>
      <w:r w:rsidRPr="00F33BD9">
        <w:t>advertising</w:t>
      </w:r>
      <w:proofErr w:type="gramEnd"/>
      <w:r w:rsidRPr="00F33BD9">
        <w:t xml:space="preserve"> campaigns, events and consultation with key stakeholders are some examples of activities employed by regions to support behaviour change and support successful transitions post school. </w:t>
      </w:r>
    </w:p>
    <w:p w:rsidR="00F33BD9" w:rsidRPr="00F33BD9" w:rsidRDefault="00F33BD9" w:rsidP="00152D5F">
      <w:pPr>
        <w:pStyle w:val="Heading3"/>
      </w:pPr>
      <w:r w:rsidRPr="00F33BD9">
        <w:t xml:space="preserve">Data and planning to support decision making </w:t>
      </w:r>
    </w:p>
    <w:p w:rsidR="00F33BD9" w:rsidRPr="00F33BD9" w:rsidRDefault="00F33BD9" w:rsidP="00152D5F">
      <w:pPr>
        <w:pStyle w:val="BodyText2"/>
      </w:pPr>
      <w:r w:rsidRPr="00F33BD9">
        <w:t xml:space="preserve">Using data has been a key theme for all regions addressing the YAT NP agenda, this is a direct reflection of the centralised focus on the use of data to support and justify decisions. Student data on engagement, participation and attainment is used to inform the development of strategies and ensure that initiatives are tailored to meet the needs of school communities. Schools use a range of data sources to inform regional approaches to youth attainment and transition activities, services and programs including, Next Step survey data, Year 12 outcomes and </w:t>
      </w:r>
      <w:proofErr w:type="spellStart"/>
      <w:r w:rsidRPr="00F33BD9">
        <w:t>NAPLAN</w:t>
      </w:r>
      <w:proofErr w:type="spellEnd"/>
      <w:r w:rsidRPr="00F33BD9">
        <w:t xml:space="preserve"> Year 9 literacy and numeracy indicators.</w:t>
      </w:r>
    </w:p>
    <w:p w:rsidR="00F33BD9" w:rsidRPr="00F33BD9" w:rsidRDefault="00F33BD9" w:rsidP="00152D5F">
      <w:pPr>
        <w:pStyle w:val="BodyText2"/>
      </w:pPr>
    </w:p>
    <w:p w:rsidR="00F33BD9" w:rsidRPr="00F33BD9" w:rsidRDefault="00F33BD9" w:rsidP="00152D5F">
      <w:pPr>
        <w:pStyle w:val="BodyText2"/>
      </w:pPr>
      <w:r w:rsidRPr="00F33BD9">
        <w:t xml:space="preserve">Planning is also a key activity for regions to address the YAT NP targets and SET planning is a key process implemented in all schools to support successful transitions. A review of the SET planning process and related practices provided the opportunity for sharing quality models of delivery, knowledge and expertise. School practices are continually improved to promote attainment and successful transition including regional training to support SET planning process using One School technology. </w:t>
      </w:r>
    </w:p>
    <w:p w:rsidR="002E4CAD" w:rsidRPr="00AF68FB" w:rsidRDefault="002E4CAD" w:rsidP="00152D5F">
      <w:pPr>
        <w:pStyle w:val="Heading2"/>
      </w:pPr>
      <w:bookmarkStart w:id="19" w:name="_Toc365385407"/>
      <w:bookmarkEnd w:id="13"/>
      <w:r w:rsidRPr="00AF68FB">
        <w:t>Queensland Catholic Education Commission</w:t>
      </w:r>
      <w:bookmarkEnd w:id="19"/>
      <w:r w:rsidRPr="00AF68FB">
        <w:t xml:space="preserve"> </w:t>
      </w:r>
    </w:p>
    <w:p w:rsidR="002E4CAD" w:rsidRPr="00AF68FB" w:rsidRDefault="002E4CAD" w:rsidP="00152D5F">
      <w:pPr>
        <w:pStyle w:val="Heading3"/>
      </w:pPr>
      <w:r w:rsidRPr="00AF68FB">
        <w:t>Aim of the National Partnership</w:t>
      </w:r>
    </w:p>
    <w:p w:rsidR="002E4CAD" w:rsidRPr="00F33BD9" w:rsidRDefault="002E4CAD" w:rsidP="00152D5F">
      <w:pPr>
        <w:pStyle w:val="BodyText2"/>
      </w:pPr>
      <w:r w:rsidRPr="00F33BD9">
        <w:t>The National Partnership on Youth Attainment and Transitions aims to increase the educational engagement and attainment of young people and to improve their transition to post school education, training and employment through immediate, concerted action supported by broader long term reform.</w:t>
      </w:r>
    </w:p>
    <w:p w:rsidR="00AF68FB" w:rsidRDefault="00AF68FB" w:rsidP="00152D5F">
      <w:pPr>
        <w:pStyle w:val="BodyText2"/>
      </w:pPr>
    </w:p>
    <w:p w:rsidR="002E4CAD" w:rsidRPr="00AF68FB" w:rsidRDefault="002E4CAD" w:rsidP="00152D5F">
      <w:pPr>
        <w:pStyle w:val="Heading3"/>
      </w:pPr>
      <w:r w:rsidRPr="00AF68FB">
        <w:lastRenderedPageBreak/>
        <w:t>Outcomes of the National Partnership</w:t>
      </w:r>
    </w:p>
    <w:p w:rsidR="002E4CAD" w:rsidRPr="00F33BD9" w:rsidRDefault="002E4CAD" w:rsidP="00152D5F">
      <w:pPr>
        <w:pStyle w:val="BodyText2"/>
      </w:pPr>
      <w:r w:rsidRPr="00F33BD9">
        <w:t>The National Partnership Agreement on Youth Attainment and Transitions will contribute to the following outcomes</w:t>
      </w:r>
      <w:r w:rsidR="00010883">
        <w:t>:</w:t>
      </w:r>
    </w:p>
    <w:p w:rsidR="002E4CAD" w:rsidRPr="00F33BD9" w:rsidRDefault="00010883" w:rsidP="00152D5F">
      <w:pPr>
        <w:pStyle w:val="ListBullet"/>
      </w:pPr>
      <w:r>
        <w:t>i</w:t>
      </w:r>
      <w:r w:rsidR="002E4CAD" w:rsidRPr="00F33BD9">
        <w:t>ncreased participation of young people in education and training</w:t>
      </w:r>
    </w:p>
    <w:p w:rsidR="002E4CAD" w:rsidRPr="00F33BD9" w:rsidRDefault="00010883" w:rsidP="00152D5F">
      <w:pPr>
        <w:pStyle w:val="ListBullet"/>
      </w:pPr>
      <w:r>
        <w:t>y</w:t>
      </w:r>
      <w:r w:rsidR="002E4CAD" w:rsidRPr="00F33BD9">
        <w:t>oung people make a successful transition from school to further education, training or full-time employment</w:t>
      </w:r>
    </w:p>
    <w:p w:rsidR="002E4CAD" w:rsidRPr="00F33BD9" w:rsidRDefault="00010883" w:rsidP="00152D5F">
      <w:pPr>
        <w:pStyle w:val="ListBullet"/>
      </w:pPr>
      <w:proofErr w:type="gramStart"/>
      <w:r>
        <w:t>i</w:t>
      </w:r>
      <w:r w:rsidR="002E4CAD" w:rsidRPr="00F33BD9">
        <w:t>ncreased</w:t>
      </w:r>
      <w:proofErr w:type="gramEnd"/>
      <w:r w:rsidR="002E4CAD" w:rsidRPr="00F33BD9">
        <w:t xml:space="preserve"> attainment of young people aged 15-24, including Indigenous youth.</w:t>
      </w:r>
    </w:p>
    <w:p w:rsidR="002E4CAD" w:rsidRPr="00F33BD9" w:rsidRDefault="002E4CAD" w:rsidP="00152D5F">
      <w:pPr>
        <w:pStyle w:val="BodyText2"/>
      </w:pPr>
    </w:p>
    <w:p w:rsidR="002E4CAD" w:rsidRDefault="002E4CAD" w:rsidP="00152D5F">
      <w:pPr>
        <w:pStyle w:val="BodyText2"/>
      </w:pPr>
      <w:r w:rsidRPr="00F33BD9">
        <w:t xml:space="preserve">Queensland Catholic Schools have combined the Youth Attainment and Transition project funding with other VET in Schools funding to provide a more substantial funding allocation that can be utilised based on identified local needs. This allows </w:t>
      </w:r>
      <w:bookmarkStart w:id="20" w:name="OLE_LINK22"/>
      <w:bookmarkStart w:id="21" w:name="OLE_LINK23"/>
      <w:r w:rsidRPr="00F33BD9">
        <w:t xml:space="preserve">schools and Educational Authorities </w:t>
      </w:r>
      <w:bookmarkEnd w:id="20"/>
      <w:bookmarkEnd w:id="21"/>
      <w:r w:rsidRPr="00F33BD9">
        <w:t>greater flexibility in the application of funds to meet program outcomes. The strategic directions and key performance indicators for funding are listed in the following tables.</w:t>
      </w:r>
    </w:p>
    <w:p w:rsidR="00152D5F" w:rsidRPr="00F33BD9" w:rsidRDefault="00152D5F" w:rsidP="00152D5F">
      <w:pPr>
        <w:pStyle w:val="BodyText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5007"/>
      </w:tblGrid>
      <w:tr w:rsidR="002E4CAD" w:rsidRPr="00F33BD9" w:rsidTr="008D2DC9">
        <w:tc>
          <w:tcPr>
            <w:tcW w:w="4990" w:type="dxa"/>
            <w:shd w:val="clear" w:color="auto" w:fill="auto"/>
          </w:tcPr>
          <w:p w:rsidR="002E4CAD" w:rsidRPr="00F33BD9" w:rsidRDefault="002E4CAD" w:rsidP="00010883">
            <w:pPr>
              <w:rPr>
                <w:rFonts w:cs="Calibri"/>
                <w:b/>
              </w:rPr>
            </w:pPr>
            <w:r w:rsidRPr="00F33BD9">
              <w:rPr>
                <w:rFonts w:cs="Calibri"/>
                <w:b/>
              </w:rPr>
              <w:t>Strategic Direction 1</w:t>
            </w:r>
          </w:p>
        </w:tc>
        <w:tc>
          <w:tcPr>
            <w:tcW w:w="5007" w:type="dxa"/>
            <w:shd w:val="clear" w:color="auto" w:fill="auto"/>
          </w:tcPr>
          <w:p w:rsidR="002E4CAD" w:rsidRPr="00F33BD9" w:rsidRDefault="002E4CAD" w:rsidP="00010883">
            <w:pPr>
              <w:rPr>
                <w:rFonts w:cs="Calibri"/>
                <w:b/>
              </w:rPr>
            </w:pPr>
            <w:r w:rsidRPr="00F33BD9">
              <w:rPr>
                <w:rFonts w:cs="Calibri"/>
                <w:b/>
              </w:rPr>
              <w:t>Key Performance Indicators</w:t>
            </w:r>
          </w:p>
        </w:tc>
      </w:tr>
      <w:tr w:rsidR="002E4CAD" w:rsidRPr="00F33BD9" w:rsidTr="008D2DC9">
        <w:tc>
          <w:tcPr>
            <w:tcW w:w="4990" w:type="dxa"/>
            <w:shd w:val="clear" w:color="auto" w:fill="auto"/>
          </w:tcPr>
          <w:p w:rsidR="002E4CAD" w:rsidRPr="00F33BD9" w:rsidRDefault="002E4CAD" w:rsidP="00010883">
            <w:pPr>
              <w:rPr>
                <w:rFonts w:cs="Calibri"/>
              </w:rPr>
            </w:pPr>
            <w:r w:rsidRPr="00F33BD9">
              <w:rPr>
                <w:rFonts w:cs="Calibri"/>
              </w:rPr>
              <w:t xml:space="preserve">Provide support for Catholic sector schools in further expansion of the number of young people undertaking vocational education and training during their senior secondary years, especially in the area of </w:t>
            </w:r>
            <w:proofErr w:type="spellStart"/>
            <w:r w:rsidRPr="00F33BD9">
              <w:rPr>
                <w:rFonts w:cs="Calibri"/>
              </w:rPr>
              <w:t>SATs</w:t>
            </w:r>
            <w:proofErr w:type="spellEnd"/>
            <w:r w:rsidRPr="00F33BD9">
              <w:rPr>
                <w:rFonts w:cs="Calibri"/>
              </w:rPr>
              <w:t>.</w:t>
            </w:r>
          </w:p>
        </w:tc>
        <w:tc>
          <w:tcPr>
            <w:tcW w:w="5007" w:type="dxa"/>
            <w:shd w:val="clear" w:color="auto" w:fill="auto"/>
          </w:tcPr>
          <w:p w:rsidR="002E4CAD" w:rsidRPr="00413ADA" w:rsidRDefault="002E4CAD" w:rsidP="00134652">
            <w:pPr>
              <w:pStyle w:val="BodyText"/>
              <w:numPr>
                <w:ilvl w:val="0"/>
                <w:numId w:val="6"/>
              </w:numPr>
              <w:pBdr>
                <w:top w:val="none" w:sz="0" w:space="0" w:color="auto"/>
                <w:left w:val="none" w:sz="0" w:space="0" w:color="auto"/>
                <w:bottom w:val="none" w:sz="0" w:space="0" w:color="auto"/>
                <w:right w:val="none" w:sz="0" w:space="0" w:color="auto"/>
              </w:pBdr>
              <w:jc w:val="left"/>
              <w:rPr>
                <w:rFonts w:ascii="Calibri" w:hAnsi="Calibri" w:cs="Calibri"/>
                <w:b w:val="0"/>
                <w:bCs w:val="0"/>
                <w:sz w:val="22"/>
                <w:szCs w:val="22"/>
                <w:lang w:val="en-AU" w:eastAsia="en-US"/>
              </w:rPr>
            </w:pPr>
            <w:r w:rsidRPr="00413ADA">
              <w:rPr>
                <w:rFonts w:ascii="Calibri" w:hAnsi="Calibri" w:cs="Calibri"/>
                <w:b w:val="0"/>
                <w:bCs w:val="0"/>
                <w:sz w:val="22"/>
                <w:szCs w:val="22"/>
                <w:lang w:val="en-AU" w:eastAsia="en-US"/>
              </w:rPr>
              <w:t>Evidence of establishment of VET courses in Catholic schools not previously engaged in VET</w:t>
            </w:r>
          </w:p>
          <w:p w:rsidR="002E4CAD" w:rsidRPr="00413ADA" w:rsidRDefault="002E4CAD" w:rsidP="00134652">
            <w:pPr>
              <w:pStyle w:val="BodyText"/>
              <w:numPr>
                <w:ilvl w:val="0"/>
                <w:numId w:val="6"/>
              </w:numPr>
              <w:pBdr>
                <w:top w:val="none" w:sz="0" w:space="0" w:color="auto"/>
                <w:left w:val="none" w:sz="0" w:space="0" w:color="auto"/>
                <w:bottom w:val="none" w:sz="0" w:space="0" w:color="auto"/>
                <w:right w:val="none" w:sz="0" w:space="0" w:color="auto"/>
              </w:pBdr>
              <w:jc w:val="left"/>
              <w:rPr>
                <w:rFonts w:ascii="Calibri" w:hAnsi="Calibri" w:cs="Calibri"/>
                <w:lang w:val="en-AU" w:eastAsia="en-US"/>
              </w:rPr>
            </w:pPr>
            <w:r w:rsidRPr="00413ADA">
              <w:rPr>
                <w:rFonts w:ascii="Calibri" w:hAnsi="Calibri" w:cs="Calibri"/>
                <w:b w:val="0"/>
                <w:bCs w:val="0"/>
                <w:sz w:val="22"/>
                <w:szCs w:val="22"/>
                <w:lang w:val="en-AU" w:eastAsia="en-US"/>
              </w:rPr>
              <w:t>Evidence of an increased number of students undertaking VET programs offered in those Catholic schools already involved with VET.</w:t>
            </w:r>
          </w:p>
        </w:tc>
      </w:tr>
    </w:tbl>
    <w:p w:rsidR="002E4CAD" w:rsidRPr="00F33BD9" w:rsidRDefault="002E4CAD" w:rsidP="00152D5F">
      <w:pPr>
        <w:pStyle w:val="BodyText2"/>
      </w:pPr>
    </w:p>
    <w:p w:rsidR="002E4CAD" w:rsidRPr="00F33BD9" w:rsidRDefault="002E4CAD" w:rsidP="00152D5F">
      <w:pPr>
        <w:pStyle w:val="BodyText2"/>
      </w:pPr>
      <w:r w:rsidRPr="00F33BD9">
        <w:t xml:space="preserve">Catholic schools provide VET opportunities to their students via a number of different avenues. Schools may link their students with school-based apprenticeships and traineeships; they may offer </w:t>
      </w:r>
      <w:proofErr w:type="spellStart"/>
      <w:r w:rsidRPr="00F33BD9">
        <w:t>AQTF</w:t>
      </w:r>
      <w:proofErr w:type="spellEnd"/>
      <w:r w:rsidRPr="00F33BD9">
        <w:t xml:space="preserve"> accredited VET certificates and qualifications within their school programs; they may offer VET subjects as vocational learning strands which, while not including accredited VET competencies, do develop generic employability skills. Schools may also link with TAFE or other Registered Training Organisation to provide vocational subjects for their students. </w:t>
      </w:r>
    </w:p>
    <w:p w:rsidR="002E4CAD" w:rsidRPr="00F33BD9" w:rsidRDefault="002E4CAD" w:rsidP="00152D5F">
      <w:pPr>
        <w:pStyle w:val="BodyText2"/>
      </w:pPr>
    </w:p>
    <w:p w:rsidR="002E4CAD" w:rsidRPr="00F33BD9" w:rsidRDefault="002E4CAD" w:rsidP="00152D5F">
      <w:pPr>
        <w:pStyle w:val="BodyText2"/>
      </w:pPr>
      <w:r w:rsidRPr="00F33BD9">
        <w:t>Schools also provide students with exposure to the workplace via Work Experience and Structured Workplace Learning.</w:t>
      </w:r>
    </w:p>
    <w:p w:rsidR="002E4CAD" w:rsidRPr="00F33BD9" w:rsidRDefault="002E4CAD" w:rsidP="00152D5F">
      <w:pPr>
        <w:pStyle w:val="BodyText2"/>
      </w:pPr>
    </w:p>
    <w:p w:rsidR="002E4CAD" w:rsidRDefault="002E4CAD" w:rsidP="00152D5F">
      <w:pPr>
        <w:pStyle w:val="BodyText2"/>
      </w:pPr>
      <w:r w:rsidRPr="00F33BD9">
        <w:t xml:space="preserve">At the school level, individual schools and dioceses have utilised different strategies to produce outcomes in accordance with the required performance indicators for 2011.  Schools have sought not only to expand student access to VET via the above strategies, but also to promote the many benefits of VET involvement for all students. </w:t>
      </w:r>
    </w:p>
    <w:p w:rsidR="00224061" w:rsidRPr="00F33BD9" w:rsidRDefault="00224061" w:rsidP="00152D5F">
      <w:pPr>
        <w:pStyle w:val="BodyText2"/>
      </w:pPr>
    </w:p>
    <w:p w:rsidR="002E4CAD" w:rsidRDefault="002E4CAD" w:rsidP="00152D5F">
      <w:pPr>
        <w:pStyle w:val="BodyText2"/>
      </w:pPr>
      <w:r w:rsidRPr="00F33BD9">
        <w:t>One of the advantages of providing some funding to schools for use on a discretionary basis (in accordance with the DEEWR guidelines) is that it has enabled schools to implement strategies appropriate to their particular community and maximising VET opportunities for students.</w:t>
      </w:r>
    </w:p>
    <w:p w:rsidR="00152D5F" w:rsidRPr="00F33BD9" w:rsidRDefault="00152D5F" w:rsidP="00152D5F">
      <w:pPr>
        <w:pStyle w:val="BodyText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4"/>
        <w:gridCol w:w="4618"/>
      </w:tblGrid>
      <w:tr w:rsidR="002E4CAD" w:rsidRPr="00F33BD9" w:rsidTr="002E4CAD">
        <w:tc>
          <w:tcPr>
            <w:tcW w:w="4624" w:type="dxa"/>
            <w:shd w:val="clear" w:color="auto" w:fill="auto"/>
          </w:tcPr>
          <w:p w:rsidR="002E4CAD" w:rsidRPr="00F33BD9" w:rsidRDefault="002E4CAD" w:rsidP="00010883">
            <w:pPr>
              <w:rPr>
                <w:rFonts w:cs="Calibri"/>
                <w:b/>
              </w:rPr>
            </w:pPr>
            <w:r w:rsidRPr="00F33BD9">
              <w:rPr>
                <w:rFonts w:cs="Calibri"/>
                <w:b/>
              </w:rPr>
              <w:t>Strategic Direction 2</w:t>
            </w:r>
          </w:p>
        </w:tc>
        <w:tc>
          <w:tcPr>
            <w:tcW w:w="4618" w:type="dxa"/>
            <w:shd w:val="clear" w:color="auto" w:fill="auto"/>
          </w:tcPr>
          <w:p w:rsidR="002E4CAD" w:rsidRPr="00F33BD9" w:rsidRDefault="002E4CAD" w:rsidP="00010883">
            <w:pPr>
              <w:rPr>
                <w:rFonts w:cs="Calibri"/>
                <w:b/>
              </w:rPr>
            </w:pPr>
            <w:r w:rsidRPr="00F33BD9">
              <w:rPr>
                <w:rFonts w:cs="Calibri"/>
                <w:b/>
              </w:rPr>
              <w:t>Key Performance Indicators</w:t>
            </w:r>
          </w:p>
        </w:tc>
      </w:tr>
      <w:tr w:rsidR="002E4CAD" w:rsidRPr="00F33BD9" w:rsidTr="002E4CAD">
        <w:tc>
          <w:tcPr>
            <w:tcW w:w="4624" w:type="dxa"/>
            <w:shd w:val="clear" w:color="auto" w:fill="auto"/>
          </w:tcPr>
          <w:p w:rsidR="002E4CAD" w:rsidRPr="00F33BD9" w:rsidRDefault="002E4CAD" w:rsidP="00010883">
            <w:pPr>
              <w:rPr>
                <w:rFonts w:cs="Calibri"/>
              </w:rPr>
            </w:pPr>
            <w:r w:rsidRPr="00F33BD9">
              <w:rPr>
                <w:rFonts w:cs="Calibri"/>
              </w:rPr>
              <w:t>Increase the breadth and depth of VET in Schools programs offered through the VET in Schools and School-Based New Apprenticeship Pathways.</w:t>
            </w:r>
          </w:p>
        </w:tc>
        <w:tc>
          <w:tcPr>
            <w:tcW w:w="4618" w:type="dxa"/>
            <w:shd w:val="clear" w:color="auto" w:fill="auto"/>
          </w:tcPr>
          <w:p w:rsidR="002E4CAD" w:rsidRPr="00413ADA" w:rsidRDefault="002E4CAD" w:rsidP="00134652">
            <w:pPr>
              <w:pStyle w:val="BodyText"/>
              <w:numPr>
                <w:ilvl w:val="0"/>
                <w:numId w:val="6"/>
              </w:numPr>
              <w:pBdr>
                <w:top w:val="none" w:sz="0" w:space="0" w:color="auto"/>
                <w:left w:val="none" w:sz="0" w:space="0" w:color="auto"/>
                <w:bottom w:val="none" w:sz="0" w:space="0" w:color="auto"/>
                <w:right w:val="none" w:sz="0" w:space="0" w:color="auto"/>
              </w:pBdr>
              <w:jc w:val="left"/>
              <w:rPr>
                <w:rFonts w:ascii="Calibri" w:hAnsi="Calibri" w:cs="Calibri"/>
                <w:b w:val="0"/>
                <w:bCs w:val="0"/>
                <w:sz w:val="22"/>
                <w:szCs w:val="22"/>
                <w:lang w:val="en-AU" w:eastAsia="en-US"/>
              </w:rPr>
            </w:pPr>
            <w:r w:rsidRPr="00413ADA">
              <w:rPr>
                <w:rFonts w:ascii="Calibri" w:hAnsi="Calibri" w:cs="Calibri"/>
                <w:b w:val="0"/>
                <w:bCs w:val="0"/>
                <w:sz w:val="22"/>
                <w:szCs w:val="22"/>
                <w:lang w:val="en-AU" w:eastAsia="en-US"/>
              </w:rPr>
              <w:t>evidence of expanded provision of VET courses in Catholic Schools</w:t>
            </w:r>
          </w:p>
          <w:p w:rsidR="002E4CAD" w:rsidRPr="00413ADA" w:rsidRDefault="002E4CAD" w:rsidP="00134652">
            <w:pPr>
              <w:pStyle w:val="BodyText"/>
              <w:numPr>
                <w:ilvl w:val="0"/>
                <w:numId w:val="6"/>
              </w:numPr>
              <w:pBdr>
                <w:top w:val="none" w:sz="0" w:space="0" w:color="auto"/>
                <w:left w:val="none" w:sz="0" w:space="0" w:color="auto"/>
                <w:bottom w:val="none" w:sz="0" w:space="0" w:color="auto"/>
                <w:right w:val="none" w:sz="0" w:space="0" w:color="auto"/>
              </w:pBdr>
              <w:jc w:val="left"/>
              <w:rPr>
                <w:rFonts w:ascii="Calibri" w:hAnsi="Calibri" w:cs="Calibri"/>
                <w:b w:val="0"/>
                <w:bCs w:val="0"/>
                <w:sz w:val="22"/>
                <w:szCs w:val="22"/>
                <w:lang w:val="en-AU" w:eastAsia="en-US"/>
              </w:rPr>
            </w:pPr>
            <w:r w:rsidRPr="00413ADA">
              <w:rPr>
                <w:rFonts w:ascii="Calibri" w:hAnsi="Calibri" w:cs="Calibri"/>
                <w:b w:val="0"/>
                <w:bCs w:val="0"/>
                <w:sz w:val="22"/>
                <w:szCs w:val="22"/>
                <w:lang w:val="en-AU" w:eastAsia="en-US"/>
              </w:rPr>
              <w:t xml:space="preserve">evidence of expansion of VET programs beyond areas currently predominating in VET </w:t>
            </w:r>
          </w:p>
          <w:p w:rsidR="002E4CAD" w:rsidRPr="00413ADA" w:rsidRDefault="002E4CAD" w:rsidP="00134652">
            <w:pPr>
              <w:pStyle w:val="BodyText"/>
              <w:numPr>
                <w:ilvl w:val="0"/>
                <w:numId w:val="6"/>
              </w:numPr>
              <w:pBdr>
                <w:top w:val="none" w:sz="0" w:space="0" w:color="auto"/>
                <w:left w:val="none" w:sz="0" w:space="0" w:color="auto"/>
                <w:bottom w:val="none" w:sz="0" w:space="0" w:color="auto"/>
                <w:right w:val="none" w:sz="0" w:space="0" w:color="auto"/>
              </w:pBdr>
              <w:jc w:val="left"/>
              <w:rPr>
                <w:rFonts w:cs="Calibri"/>
                <w:b w:val="0"/>
                <w:lang w:val="en-AU" w:eastAsia="en-US"/>
              </w:rPr>
            </w:pPr>
            <w:r w:rsidRPr="00413ADA">
              <w:rPr>
                <w:rFonts w:ascii="Calibri" w:hAnsi="Calibri" w:cs="Calibri"/>
                <w:b w:val="0"/>
                <w:bCs w:val="0"/>
                <w:sz w:val="22"/>
                <w:szCs w:val="22"/>
                <w:lang w:val="en-AU" w:eastAsia="en-US"/>
              </w:rPr>
              <w:t>Evidence of expanded access in Catholic schools to VET courses in identified skill shortage areas.</w:t>
            </w:r>
          </w:p>
        </w:tc>
      </w:tr>
    </w:tbl>
    <w:p w:rsidR="002E4CAD" w:rsidRPr="00F33BD9" w:rsidRDefault="002E4CAD" w:rsidP="00010883">
      <w:pPr>
        <w:rPr>
          <w:rFonts w:cs="Calibri"/>
          <w:b/>
        </w:rPr>
      </w:pPr>
    </w:p>
    <w:p w:rsidR="002E4CAD" w:rsidRDefault="002E4CAD" w:rsidP="00152D5F">
      <w:pPr>
        <w:pStyle w:val="BodyText2"/>
      </w:pPr>
      <w:r w:rsidRPr="00F33BD9">
        <w:t>Schools were assisted with the cost of establishing School Based Apprenticeships and Traineeships (</w:t>
      </w:r>
      <w:proofErr w:type="spellStart"/>
      <w:r w:rsidRPr="00F33BD9">
        <w:t>SATs</w:t>
      </w:r>
      <w:proofErr w:type="spellEnd"/>
      <w:r w:rsidRPr="00F33BD9">
        <w:t xml:space="preserve">) for students through payment of seed funding of $350 per sign-up for  all </w:t>
      </w:r>
      <w:proofErr w:type="spellStart"/>
      <w:r w:rsidRPr="00F33BD9">
        <w:t>SATs</w:t>
      </w:r>
      <w:proofErr w:type="spellEnd"/>
      <w:r w:rsidRPr="00F33BD9">
        <w:t xml:space="preserve"> areas, except for Retail and Hospitality where seed funding payment of $150 was seen as appropriate to those industries which were not affected by major skill shortage. This was one mechanism for encouraging expansion of VET in areas of identified labour skill shortage.</w:t>
      </w:r>
    </w:p>
    <w:p w:rsidR="00152D5F" w:rsidRPr="00F33BD9" w:rsidRDefault="00152D5F" w:rsidP="00152D5F">
      <w:pPr>
        <w:pStyle w:val="BodyText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4"/>
        <w:gridCol w:w="4618"/>
      </w:tblGrid>
      <w:tr w:rsidR="002E4CAD" w:rsidRPr="00F33BD9" w:rsidTr="002E4CAD">
        <w:tc>
          <w:tcPr>
            <w:tcW w:w="4624" w:type="dxa"/>
            <w:shd w:val="clear" w:color="auto" w:fill="auto"/>
          </w:tcPr>
          <w:p w:rsidR="002E4CAD" w:rsidRPr="00F33BD9" w:rsidRDefault="002E4CAD" w:rsidP="00010883">
            <w:pPr>
              <w:rPr>
                <w:rFonts w:cs="Calibri"/>
                <w:b/>
              </w:rPr>
            </w:pPr>
            <w:r w:rsidRPr="00F33BD9">
              <w:rPr>
                <w:rFonts w:cs="Calibri"/>
                <w:b/>
              </w:rPr>
              <w:t>Strategic Direction 3</w:t>
            </w:r>
          </w:p>
        </w:tc>
        <w:tc>
          <w:tcPr>
            <w:tcW w:w="4618" w:type="dxa"/>
            <w:shd w:val="clear" w:color="auto" w:fill="auto"/>
          </w:tcPr>
          <w:p w:rsidR="002E4CAD" w:rsidRPr="00F33BD9" w:rsidRDefault="002E4CAD" w:rsidP="00010883">
            <w:pPr>
              <w:rPr>
                <w:rFonts w:cs="Calibri"/>
                <w:b/>
              </w:rPr>
            </w:pPr>
            <w:r w:rsidRPr="00F33BD9">
              <w:rPr>
                <w:rFonts w:cs="Calibri"/>
                <w:b/>
              </w:rPr>
              <w:t>Key Performance Indicators</w:t>
            </w:r>
          </w:p>
        </w:tc>
      </w:tr>
      <w:tr w:rsidR="002E4CAD" w:rsidRPr="00F33BD9" w:rsidTr="002E4CAD">
        <w:tc>
          <w:tcPr>
            <w:tcW w:w="4624" w:type="dxa"/>
            <w:shd w:val="clear" w:color="auto" w:fill="auto"/>
          </w:tcPr>
          <w:p w:rsidR="002E4CAD" w:rsidRPr="00F33BD9" w:rsidRDefault="002E4CAD" w:rsidP="00010883">
            <w:pPr>
              <w:rPr>
                <w:rFonts w:cs="Calibri"/>
              </w:rPr>
            </w:pPr>
            <w:r w:rsidRPr="00F33BD9">
              <w:rPr>
                <w:rFonts w:cs="Calibri"/>
              </w:rPr>
              <w:t>Develop strategies to maintain quality standards in VET in schools.</w:t>
            </w:r>
          </w:p>
        </w:tc>
        <w:tc>
          <w:tcPr>
            <w:tcW w:w="4618" w:type="dxa"/>
            <w:shd w:val="clear" w:color="auto" w:fill="auto"/>
          </w:tcPr>
          <w:p w:rsidR="002E4CAD" w:rsidRPr="00413ADA" w:rsidRDefault="002E4CAD" w:rsidP="00134652">
            <w:pPr>
              <w:pStyle w:val="BodyText"/>
              <w:numPr>
                <w:ilvl w:val="0"/>
                <w:numId w:val="7"/>
              </w:numPr>
              <w:pBdr>
                <w:top w:val="none" w:sz="0" w:space="0" w:color="auto"/>
                <w:left w:val="none" w:sz="0" w:space="0" w:color="auto"/>
                <w:bottom w:val="none" w:sz="0" w:space="0" w:color="auto"/>
                <w:right w:val="none" w:sz="0" w:space="0" w:color="auto"/>
              </w:pBdr>
              <w:jc w:val="left"/>
              <w:rPr>
                <w:rFonts w:ascii="Calibri" w:hAnsi="Calibri" w:cs="Calibri"/>
                <w:b w:val="0"/>
                <w:bCs w:val="0"/>
                <w:sz w:val="22"/>
                <w:szCs w:val="22"/>
                <w:lang w:val="en-AU" w:eastAsia="en-US"/>
              </w:rPr>
            </w:pPr>
            <w:r w:rsidRPr="00413ADA">
              <w:rPr>
                <w:rFonts w:ascii="Calibri" w:hAnsi="Calibri" w:cs="Calibri"/>
                <w:b w:val="0"/>
                <w:bCs w:val="0"/>
                <w:sz w:val="22"/>
                <w:szCs w:val="22"/>
                <w:lang w:val="en-AU" w:eastAsia="en-US"/>
              </w:rPr>
              <w:t>evidence of development and provision of quality professional development opportunities in VET for Catholic school staff</w:t>
            </w:r>
          </w:p>
          <w:p w:rsidR="002E4CAD" w:rsidRPr="00413ADA" w:rsidRDefault="002E4CAD" w:rsidP="00134652">
            <w:pPr>
              <w:pStyle w:val="BodyText"/>
              <w:numPr>
                <w:ilvl w:val="0"/>
                <w:numId w:val="7"/>
              </w:numPr>
              <w:pBdr>
                <w:top w:val="none" w:sz="0" w:space="0" w:color="auto"/>
                <w:left w:val="none" w:sz="0" w:space="0" w:color="auto"/>
                <w:bottom w:val="none" w:sz="0" w:space="0" w:color="auto"/>
                <w:right w:val="none" w:sz="0" w:space="0" w:color="auto"/>
              </w:pBdr>
              <w:jc w:val="left"/>
              <w:rPr>
                <w:rFonts w:ascii="Calibri" w:hAnsi="Calibri" w:cs="Calibri"/>
                <w:b w:val="0"/>
                <w:bCs w:val="0"/>
                <w:sz w:val="22"/>
                <w:szCs w:val="22"/>
                <w:lang w:val="en-AU" w:eastAsia="en-US"/>
              </w:rPr>
            </w:pPr>
            <w:r w:rsidRPr="00413ADA">
              <w:rPr>
                <w:rFonts w:ascii="Calibri" w:hAnsi="Calibri" w:cs="Calibri"/>
                <w:b w:val="0"/>
                <w:bCs w:val="0"/>
                <w:sz w:val="22"/>
                <w:szCs w:val="22"/>
                <w:lang w:val="en-AU" w:eastAsia="en-US"/>
              </w:rPr>
              <w:t xml:space="preserve">evidence of structures in place for Catholic schools to facilitate compliance with </w:t>
            </w:r>
            <w:proofErr w:type="spellStart"/>
            <w:r w:rsidRPr="00413ADA">
              <w:rPr>
                <w:rFonts w:ascii="Calibri" w:hAnsi="Calibri" w:cs="Calibri"/>
                <w:b w:val="0"/>
                <w:bCs w:val="0"/>
                <w:sz w:val="22"/>
                <w:szCs w:val="22"/>
                <w:lang w:val="en-AU" w:eastAsia="en-US"/>
              </w:rPr>
              <w:t>AQTF</w:t>
            </w:r>
            <w:proofErr w:type="spellEnd"/>
          </w:p>
          <w:p w:rsidR="002E4CAD" w:rsidRPr="00413ADA" w:rsidRDefault="002E4CAD" w:rsidP="00134652">
            <w:pPr>
              <w:pStyle w:val="BodyText"/>
              <w:numPr>
                <w:ilvl w:val="0"/>
                <w:numId w:val="7"/>
              </w:numPr>
              <w:pBdr>
                <w:top w:val="none" w:sz="0" w:space="0" w:color="auto"/>
                <w:left w:val="none" w:sz="0" w:space="0" w:color="auto"/>
                <w:bottom w:val="none" w:sz="0" w:space="0" w:color="auto"/>
                <w:right w:val="none" w:sz="0" w:space="0" w:color="auto"/>
              </w:pBdr>
              <w:jc w:val="left"/>
              <w:rPr>
                <w:rFonts w:ascii="Calibri" w:hAnsi="Calibri" w:cs="Calibri"/>
                <w:b w:val="0"/>
                <w:lang w:val="en-AU" w:eastAsia="en-US"/>
              </w:rPr>
            </w:pPr>
            <w:proofErr w:type="gramStart"/>
            <w:r w:rsidRPr="00413ADA">
              <w:rPr>
                <w:rFonts w:ascii="Calibri" w:hAnsi="Calibri" w:cs="Calibri"/>
                <w:b w:val="0"/>
                <w:bCs w:val="0"/>
                <w:sz w:val="22"/>
                <w:szCs w:val="22"/>
                <w:lang w:val="en-AU" w:eastAsia="en-US"/>
              </w:rPr>
              <w:t>evidence</w:t>
            </w:r>
            <w:proofErr w:type="gramEnd"/>
            <w:r w:rsidRPr="00413ADA">
              <w:rPr>
                <w:rFonts w:ascii="Calibri" w:hAnsi="Calibri" w:cs="Calibri"/>
                <w:b w:val="0"/>
                <w:bCs w:val="0"/>
                <w:sz w:val="22"/>
                <w:szCs w:val="22"/>
                <w:lang w:val="en-AU" w:eastAsia="en-US"/>
              </w:rPr>
              <w:t xml:space="preserve"> of appropriate coordination strategies in place at system and diocesan levels covering all (Catholic) schools.</w:t>
            </w:r>
          </w:p>
          <w:p w:rsidR="002E4CAD" w:rsidRPr="00413ADA" w:rsidRDefault="002E4CAD" w:rsidP="00010883">
            <w:pPr>
              <w:pStyle w:val="BodyText"/>
              <w:pBdr>
                <w:top w:val="none" w:sz="0" w:space="0" w:color="auto"/>
                <w:left w:val="none" w:sz="0" w:space="0" w:color="auto"/>
                <w:bottom w:val="none" w:sz="0" w:space="0" w:color="auto"/>
                <w:right w:val="none" w:sz="0" w:space="0" w:color="auto"/>
              </w:pBdr>
              <w:ind w:left="360"/>
              <w:jc w:val="left"/>
              <w:rPr>
                <w:rFonts w:ascii="Calibri" w:hAnsi="Calibri" w:cs="Calibri"/>
                <w:b w:val="0"/>
                <w:lang w:val="en-AU" w:eastAsia="en-US"/>
              </w:rPr>
            </w:pPr>
          </w:p>
        </w:tc>
      </w:tr>
    </w:tbl>
    <w:p w:rsidR="002E4CAD" w:rsidRPr="00F33BD9" w:rsidRDefault="002E4CAD" w:rsidP="00152D5F">
      <w:pPr>
        <w:pStyle w:val="BodyText2"/>
      </w:pPr>
    </w:p>
    <w:p w:rsidR="002E4CAD" w:rsidRPr="009F3A08" w:rsidRDefault="002E4CAD" w:rsidP="00152D5F">
      <w:pPr>
        <w:pStyle w:val="BodyText2"/>
      </w:pPr>
      <w:r w:rsidRPr="009F3A08">
        <w:t xml:space="preserve">Officers in each diocese provide training, in-service and networking opportunities to develop the capacity to delivery VET. In addition, those involved with VET have accessed national and state conferences in order to keep abreast of changes and innovations in the area and to maintain networking opportunities. There </w:t>
      </w:r>
      <w:proofErr w:type="gramStart"/>
      <w:r w:rsidRPr="009F3A08">
        <w:t>are staff</w:t>
      </w:r>
      <w:proofErr w:type="gramEnd"/>
      <w:r w:rsidRPr="009F3A08">
        <w:t xml:space="preserve"> responsible for the coordination of VET at system level in the Queensland Catholic Education Commission in order to provide a point of contact for dissemination of information and resources.  The maintenance of a dedicated section of the </w:t>
      </w:r>
      <w:proofErr w:type="spellStart"/>
      <w:r w:rsidRPr="009F3A08">
        <w:t>QCEC</w:t>
      </w:r>
      <w:proofErr w:type="spellEnd"/>
      <w:r w:rsidRPr="009F3A08">
        <w:t xml:space="preserve"> website for “Vocational Education” and</w:t>
      </w:r>
      <w:r w:rsidRPr="009F3A08">
        <w:rPr>
          <w:color w:val="0000FF"/>
        </w:rPr>
        <w:t xml:space="preserve"> </w:t>
      </w:r>
      <w:r w:rsidRPr="009F3A08">
        <w:t>VET related issues assists school personnel further in accessing updated professional information.</w:t>
      </w:r>
    </w:p>
    <w:p w:rsidR="002E4CAD" w:rsidRPr="009F3A08" w:rsidRDefault="002E4CAD" w:rsidP="00152D5F">
      <w:pPr>
        <w:pStyle w:val="BodyText2"/>
      </w:pPr>
    </w:p>
    <w:p w:rsidR="002E4CAD" w:rsidRPr="009F3A08" w:rsidRDefault="002E4CAD" w:rsidP="00152D5F">
      <w:pPr>
        <w:pStyle w:val="BodyText2"/>
      </w:pPr>
      <w:r w:rsidRPr="009F3A08">
        <w:t xml:space="preserve">Within schools </w:t>
      </w:r>
      <w:proofErr w:type="gramStart"/>
      <w:r w:rsidRPr="009F3A08">
        <w:t>staff are</w:t>
      </w:r>
      <w:proofErr w:type="gramEnd"/>
      <w:r w:rsidRPr="009F3A08">
        <w:t xml:space="preserve"> designated to manage the delivery and also the compliance arrangements for VET.  Schools continue to try to balance the budgetary imposts of the mandated requirements in terms of facilities and human resources to deliver VET.  Part of the VET funding received by the Queensland Catholic Education Commission is distributed directly to schools (with attached application and acquittal procedures) for discretionary use for these types of purposes. </w:t>
      </w:r>
    </w:p>
    <w:p w:rsidR="002E4CAD" w:rsidRPr="009F3A08" w:rsidRDefault="002E4CAD" w:rsidP="00152D5F">
      <w:pPr>
        <w:pStyle w:val="BodyText2"/>
      </w:pPr>
    </w:p>
    <w:p w:rsidR="002E4CAD" w:rsidRPr="009F3A08" w:rsidRDefault="002E4CAD" w:rsidP="00152D5F">
      <w:pPr>
        <w:pStyle w:val="BodyText2"/>
      </w:pPr>
      <w:r w:rsidRPr="009F3A08">
        <w:t xml:space="preserve">Schools continue to adapt practice in accordance with </w:t>
      </w:r>
      <w:proofErr w:type="spellStart"/>
      <w:r w:rsidRPr="009F3A08">
        <w:t>AQTF</w:t>
      </w:r>
      <w:proofErr w:type="spellEnd"/>
      <w:r w:rsidRPr="009F3A08">
        <w:t xml:space="preserve"> requirements.  It should be noted that </w:t>
      </w:r>
      <w:proofErr w:type="spellStart"/>
      <w:r w:rsidRPr="009F3A08">
        <w:t>AQTF</w:t>
      </w:r>
      <w:proofErr w:type="spellEnd"/>
      <w:r w:rsidRPr="009F3A08">
        <w:t xml:space="preserve"> requirements do change according to industry vision and requirements and this can have significant impact for schools in the delivery of accredited VET.  Catholic secondary schools do however continue to meet audit requirements for </w:t>
      </w:r>
      <w:proofErr w:type="spellStart"/>
      <w:r w:rsidRPr="009F3A08">
        <w:t>AQTF</w:t>
      </w:r>
      <w:proofErr w:type="spellEnd"/>
      <w:r w:rsidRPr="009F3A08">
        <w:t xml:space="preserve"> and to deliver a large variety of VET as part of their senior schooling programs.</w:t>
      </w:r>
    </w:p>
    <w:p w:rsidR="002E4CAD" w:rsidRPr="00F33BD9" w:rsidRDefault="002E4CAD" w:rsidP="00152D5F">
      <w:pPr>
        <w:pStyle w:val="BodyText2"/>
      </w:pPr>
    </w:p>
    <w:p w:rsidR="002E4CAD" w:rsidRDefault="002E4CAD" w:rsidP="00152D5F">
      <w:pPr>
        <w:pStyle w:val="BodyText2"/>
      </w:pPr>
      <w:r w:rsidRPr="00F33BD9">
        <w:t>There are considerable resources dedicated to appropriate coordination and infrastructure for VET at t</w:t>
      </w:r>
      <w:r w:rsidR="00152D5F">
        <w:t xml:space="preserve">he systems and Diocesan level. </w:t>
      </w:r>
      <w:r w:rsidRPr="00F33BD9">
        <w:t xml:space="preserve">Each of the five dioceses has continued to develop quality coordination arrangements to support the expansion of VET and to further facilitate compliance with </w:t>
      </w:r>
      <w:proofErr w:type="spellStart"/>
      <w:r w:rsidRPr="00F33BD9">
        <w:t>AQTF</w:t>
      </w:r>
      <w:proofErr w:type="spellEnd"/>
      <w:r w:rsidRPr="00F33BD9">
        <w:t xml:space="preserve"> requirements. There is a designated Diocesan Officer in each Diocese who works with VET Coordinators and School Administrators to supp</w:t>
      </w:r>
      <w:r w:rsidR="00152D5F">
        <w:t>ort the VET in Schools program.</w:t>
      </w:r>
      <w:r w:rsidRPr="00F33BD9">
        <w:t xml:space="preserve"> There is evidence of the increasing role and impost on VET Coordinators in schools and of school communities endeavouring to meet and support the needs of a complex and changing role. The increasing complexity of VET in Schools has led to additional demands on staff within schools.</w:t>
      </w:r>
    </w:p>
    <w:p w:rsidR="00224061" w:rsidRDefault="00224061">
      <w:pPr>
        <w:spacing w:line="240" w:lineRule="auto"/>
        <w:rPr>
          <w:rFonts w:cs="Calibri"/>
        </w:rPr>
      </w:pPr>
      <w:r>
        <w:br w:type="page"/>
      </w:r>
    </w:p>
    <w:p w:rsidR="00224061" w:rsidRPr="00F33BD9" w:rsidRDefault="00224061" w:rsidP="00152D5F">
      <w:pPr>
        <w:pStyle w:val="BodyText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4"/>
        <w:gridCol w:w="4618"/>
      </w:tblGrid>
      <w:tr w:rsidR="002E4CAD" w:rsidRPr="00F33BD9" w:rsidTr="002E4CAD">
        <w:tc>
          <w:tcPr>
            <w:tcW w:w="4624" w:type="dxa"/>
            <w:shd w:val="clear" w:color="auto" w:fill="auto"/>
          </w:tcPr>
          <w:p w:rsidR="002E4CAD" w:rsidRPr="00F33BD9" w:rsidRDefault="002E4CAD" w:rsidP="00010883">
            <w:pPr>
              <w:rPr>
                <w:rFonts w:cs="Calibri"/>
                <w:b/>
              </w:rPr>
            </w:pPr>
            <w:r w:rsidRPr="00F33BD9">
              <w:rPr>
                <w:rFonts w:cs="Calibri"/>
                <w:b/>
              </w:rPr>
              <w:t>Strategic Direction 4</w:t>
            </w:r>
          </w:p>
        </w:tc>
        <w:tc>
          <w:tcPr>
            <w:tcW w:w="4618" w:type="dxa"/>
            <w:shd w:val="clear" w:color="auto" w:fill="auto"/>
          </w:tcPr>
          <w:p w:rsidR="002E4CAD" w:rsidRPr="00F33BD9" w:rsidRDefault="002E4CAD" w:rsidP="00010883">
            <w:pPr>
              <w:rPr>
                <w:rFonts w:cs="Calibri"/>
                <w:b/>
              </w:rPr>
            </w:pPr>
            <w:r w:rsidRPr="00F33BD9">
              <w:rPr>
                <w:rFonts w:cs="Calibri"/>
                <w:b/>
              </w:rPr>
              <w:t>Key Performance Indicators</w:t>
            </w:r>
          </w:p>
        </w:tc>
      </w:tr>
      <w:tr w:rsidR="002E4CAD" w:rsidRPr="00F33BD9" w:rsidTr="002E4CAD">
        <w:tc>
          <w:tcPr>
            <w:tcW w:w="4624" w:type="dxa"/>
            <w:shd w:val="clear" w:color="auto" w:fill="auto"/>
          </w:tcPr>
          <w:p w:rsidR="002E4CAD" w:rsidRPr="00F33BD9" w:rsidRDefault="002E4CAD" w:rsidP="00010883">
            <w:pPr>
              <w:rPr>
                <w:rFonts w:cs="Calibri"/>
              </w:rPr>
            </w:pPr>
            <w:r w:rsidRPr="00F33BD9">
              <w:rPr>
                <w:rFonts w:cs="Calibri"/>
              </w:rPr>
              <w:t>Support improved access of under-represented groups, particularly students with disabilities, Indigenous students and those in rural and remote locations.</w:t>
            </w:r>
          </w:p>
        </w:tc>
        <w:tc>
          <w:tcPr>
            <w:tcW w:w="4618" w:type="dxa"/>
            <w:shd w:val="clear" w:color="auto" w:fill="auto"/>
          </w:tcPr>
          <w:p w:rsidR="002E4CAD" w:rsidRPr="00413ADA" w:rsidRDefault="002E4CAD" w:rsidP="00134652">
            <w:pPr>
              <w:pStyle w:val="BodyText"/>
              <w:numPr>
                <w:ilvl w:val="0"/>
                <w:numId w:val="8"/>
              </w:numPr>
              <w:pBdr>
                <w:top w:val="none" w:sz="0" w:space="0" w:color="auto"/>
                <w:left w:val="none" w:sz="0" w:space="0" w:color="auto"/>
                <w:bottom w:val="none" w:sz="0" w:space="0" w:color="auto"/>
                <w:right w:val="none" w:sz="0" w:space="0" w:color="auto"/>
              </w:pBdr>
              <w:jc w:val="left"/>
              <w:rPr>
                <w:rFonts w:ascii="Calibri" w:hAnsi="Calibri" w:cs="Calibri"/>
                <w:b w:val="0"/>
                <w:lang w:val="en-AU" w:eastAsia="en-US"/>
              </w:rPr>
            </w:pPr>
            <w:r w:rsidRPr="00413ADA">
              <w:rPr>
                <w:rFonts w:ascii="Calibri" w:hAnsi="Calibri" w:cs="Calibri"/>
                <w:b w:val="0"/>
                <w:bCs w:val="0"/>
                <w:sz w:val="22"/>
                <w:szCs w:val="22"/>
                <w:lang w:val="en-AU" w:eastAsia="en-US"/>
              </w:rPr>
              <w:t xml:space="preserve">Increased numbers of disadvantaged and other under-represented groups participating in VET programs, </w:t>
            </w:r>
            <w:proofErr w:type="spellStart"/>
            <w:r w:rsidRPr="00413ADA">
              <w:rPr>
                <w:rFonts w:ascii="Calibri" w:hAnsi="Calibri" w:cs="Calibri"/>
                <w:b w:val="0"/>
                <w:bCs w:val="0"/>
                <w:sz w:val="22"/>
                <w:szCs w:val="22"/>
                <w:lang w:val="en-AU" w:eastAsia="en-US"/>
              </w:rPr>
              <w:t>SWL</w:t>
            </w:r>
            <w:proofErr w:type="spellEnd"/>
            <w:r w:rsidRPr="00413ADA">
              <w:rPr>
                <w:rFonts w:ascii="Calibri" w:hAnsi="Calibri" w:cs="Calibri"/>
                <w:b w:val="0"/>
                <w:bCs w:val="0"/>
                <w:sz w:val="22"/>
                <w:szCs w:val="22"/>
                <w:lang w:val="en-AU" w:eastAsia="en-US"/>
              </w:rPr>
              <w:t xml:space="preserve"> programs, </w:t>
            </w:r>
            <w:proofErr w:type="spellStart"/>
            <w:r w:rsidRPr="00413ADA">
              <w:rPr>
                <w:rFonts w:ascii="Calibri" w:hAnsi="Calibri" w:cs="Calibri"/>
                <w:b w:val="0"/>
                <w:bCs w:val="0"/>
                <w:sz w:val="22"/>
                <w:szCs w:val="22"/>
                <w:lang w:val="en-AU" w:eastAsia="en-US"/>
              </w:rPr>
              <w:t>SATs</w:t>
            </w:r>
            <w:proofErr w:type="spellEnd"/>
            <w:r w:rsidRPr="00413ADA">
              <w:rPr>
                <w:rFonts w:ascii="Calibri" w:hAnsi="Calibri" w:cs="Calibri"/>
                <w:b w:val="0"/>
                <w:bCs w:val="0"/>
                <w:sz w:val="22"/>
                <w:szCs w:val="22"/>
                <w:lang w:val="en-AU" w:eastAsia="en-US"/>
              </w:rPr>
              <w:t>.</w:t>
            </w:r>
          </w:p>
        </w:tc>
      </w:tr>
    </w:tbl>
    <w:p w:rsidR="002E4CAD" w:rsidRPr="00F33BD9" w:rsidRDefault="002E4CAD" w:rsidP="00152D5F">
      <w:pPr>
        <w:pStyle w:val="BodyText2"/>
      </w:pPr>
    </w:p>
    <w:p w:rsidR="002E4CAD" w:rsidRPr="009F3A08" w:rsidRDefault="002E4CAD" w:rsidP="00152D5F">
      <w:pPr>
        <w:pStyle w:val="BodyText2"/>
      </w:pPr>
      <w:r w:rsidRPr="009F3A08">
        <w:t>Funds aimed at improving Access and Equity has been devoted to improving the opportunities of disadvantaged students under two different categories:</w:t>
      </w:r>
    </w:p>
    <w:p w:rsidR="002E4CAD" w:rsidRPr="009F3A08" w:rsidRDefault="002E4CAD" w:rsidP="00152D5F">
      <w:pPr>
        <w:pStyle w:val="BodyText2"/>
      </w:pPr>
    </w:p>
    <w:p w:rsidR="002E4CAD" w:rsidRPr="009F3A08" w:rsidRDefault="002E4CAD" w:rsidP="00152D5F">
      <w:pPr>
        <w:pStyle w:val="ListNumber"/>
      </w:pPr>
      <w:r w:rsidRPr="009F3A08">
        <w:t xml:space="preserve">Travel and accommodation </w:t>
      </w:r>
      <w:r w:rsidRPr="00152D5F">
        <w:t>support</w:t>
      </w:r>
      <w:r w:rsidRPr="009F3A08">
        <w:t xml:space="preserve"> for rural and remote students who have to travel to access the on-the-job or off-the-job components of their training </w:t>
      </w:r>
    </w:p>
    <w:p w:rsidR="002E4CAD" w:rsidRPr="009F3A08" w:rsidRDefault="002E4CAD" w:rsidP="00152D5F">
      <w:pPr>
        <w:pStyle w:val="ListNumber"/>
      </w:pPr>
      <w:r w:rsidRPr="009F3A08">
        <w:t xml:space="preserve">Access and Equity support for students with special needs. </w:t>
      </w:r>
    </w:p>
    <w:p w:rsidR="00AF68FB" w:rsidRPr="00F33BD9" w:rsidRDefault="00AF68FB" w:rsidP="00A63DFD">
      <w:pPr>
        <w:pStyle w:val="Heading2"/>
      </w:pPr>
      <w:bookmarkStart w:id="22" w:name="_Toc365385408"/>
      <w:r w:rsidRPr="00F33BD9">
        <w:t>Independent Schools Queensland</w:t>
      </w:r>
      <w:bookmarkEnd w:id="22"/>
      <w:r w:rsidRPr="00F33BD9">
        <w:t xml:space="preserve"> </w:t>
      </w:r>
    </w:p>
    <w:p w:rsidR="00A63DFD" w:rsidRDefault="00AF68FB" w:rsidP="00A63DFD">
      <w:pPr>
        <w:pStyle w:val="BodyText2"/>
      </w:pPr>
      <w:bookmarkStart w:id="23" w:name="_Toc325701937"/>
      <w:r w:rsidRPr="009F3A08">
        <w:t>Independent Schools Queensland (</w:t>
      </w:r>
      <w:proofErr w:type="spellStart"/>
      <w:r w:rsidRPr="009F3A08">
        <w:t>ISQ</w:t>
      </w:r>
      <w:proofErr w:type="spellEnd"/>
      <w:r w:rsidRPr="009F3A08">
        <w:t>) policy response to the National Partnership (NP) continues to build upon the agreed Queensland strategies and indicative actions for maximising engagement, attainment and transitions as outlined in Table 4 of the Q</w:t>
      </w:r>
      <w:r w:rsidR="00A63DFD">
        <w:t xml:space="preserve">ueensland Implementation Plan. </w:t>
      </w:r>
    </w:p>
    <w:p w:rsidR="00A63DFD" w:rsidRDefault="00A63DFD" w:rsidP="00A63DFD">
      <w:pPr>
        <w:pStyle w:val="BodyText2"/>
      </w:pPr>
    </w:p>
    <w:p w:rsidR="00AF68FB" w:rsidRDefault="00AF68FB" w:rsidP="00A63DFD">
      <w:pPr>
        <w:pStyle w:val="BodyText2"/>
      </w:pPr>
      <w:proofErr w:type="spellStart"/>
      <w:r w:rsidRPr="00F33BD9">
        <w:t>ISQ’s</w:t>
      </w:r>
      <w:proofErr w:type="spellEnd"/>
      <w:r w:rsidRPr="00F33BD9">
        <w:t xml:space="preserve"> approach to NP-YAT was developed to ensure maximum impact across specific at risk school communities ensuring alignment to </w:t>
      </w:r>
      <w:r w:rsidR="00A63DFD">
        <w:t xml:space="preserve">the NP-YAT specified outcomes. </w:t>
      </w:r>
      <w:r w:rsidRPr="00F33BD9">
        <w:t>This strategic approach includes:</w:t>
      </w:r>
      <w:bookmarkEnd w:id="23"/>
    </w:p>
    <w:p w:rsidR="00AF68FB" w:rsidRPr="00F33BD9" w:rsidRDefault="00AF68FB" w:rsidP="00A63DFD">
      <w:pPr>
        <w:pStyle w:val="ListBullet"/>
      </w:pPr>
      <w:r w:rsidRPr="00F33BD9">
        <w:t>revitalising cross sectoral planning process by integrating new Commonwealth programs with Queensland’s existing youth planning processes and implement Youth Support Coordinator Programs to improve services for young people and focus on youth attainment and transitions</w:t>
      </w:r>
    </w:p>
    <w:p w:rsidR="00AF68FB" w:rsidRPr="00F33BD9" w:rsidRDefault="00AF68FB" w:rsidP="00A63DFD">
      <w:pPr>
        <w:pStyle w:val="ListBullet"/>
      </w:pPr>
      <w:proofErr w:type="gramStart"/>
      <w:r w:rsidRPr="00F33BD9">
        <w:t>targeting</w:t>
      </w:r>
      <w:proofErr w:type="gramEnd"/>
      <w:r w:rsidRPr="00F33BD9">
        <w:t xml:space="preserve"> VET in schools on qualifications that will result in successful transitions for young people.</w:t>
      </w:r>
    </w:p>
    <w:p w:rsidR="00AF68FB" w:rsidRPr="00F33BD9" w:rsidRDefault="00AF68FB" w:rsidP="00A63DFD">
      <w:pPr>
        <w:pStyle w:val="ListBullet"/>
      </w:pPr>
      <w:r w:rsidRPr="00F33BD9">
        <w:t>improving the economies of scale for VET in schools programs by forming clusters of schools and better utilising local infrastructure</w:t>
      </w:r>
    </w:p>
    <w:p w:rsidR="00AF68FB" w:rsidRPr="00F33BD9" w:rsidRDefault="00AF68FB" w:rsidP="00A63DFD">
      <w:pPr>
        <w:pStyle w:val="ListBullet"/>
      </w:pPr>
      <w:r w:rsidRPr="00F33BD9">
        <w:t>ensuring all students within the schools involved are on track to achieve a Queensland Certificate of Education, Certificate II, Queensland Certificate of Individual Achievement or an International Baccalaureate Diploma</w:t>
      </w:r>
    </w:p>
    <w:p w:rsidR="00AF68FB" w:rsidRPr="00F33BD9" w:rsidRDefault="00AF68FB" w:rsidP="00A63DFD">
      <w:pPr>
        <w:pStyle w:val="ListBullet"/>
      </w:pPr>
      <w:r w:rsidRPr="00F33BD9">
        <w:t>assisting schools to ensure that young people who won’t receive a qualification on leaving school have a plan in place for completing either an academic or vocational qualification</w:t>
      </w:r>
    </w:p>
    <w:p w:rsidR="00AF68FB" w:rsidRPr="00F33BD9" w:rsidRDefault="00AF68FB" w:rsidP="00A63DFD">
      <w:pPr>
        <w:pStyle w:val="ListBullet"/>
      </w:pPr>
      <w:r w:rsidRPr="00F33BD9">
        <w:t xml:space="preserve">assisting schools to undertake transition planning for students in the final year of school to ensure that all young people have plans in place to transition to further education, training or employment combined with training </w:t>
      </w:r>
    </w:p>
    <w:p w:rsidR="00AF68FB" w:rsidRPr="00F33BD9" w:rsidRDefault="00AF68FB" w:rsidP="00A63DFD">
      <w:pPr>
        <w:pStyle w:val="ListBullet"/>
      </w:pPr>
      <w:proofErr w:type="gramStart"/>
      <w:r w:rsidRPr="00F33BD9">
        <w:t>expanding</w:t>
      </w:r>
      <w:proofErr w:type="gramEnd"/>
      <w:r w:rsidRPr="00F33BD9">
        <w:t xml:space="preserve"> the Early Leavers survey into non-government schools to improve data collection on young people not enrolled in education and training.</w:t>
      </w:r>
    </w:p>
    <w:p w:rsidR="00AF68FB" w:rsidRPr="00F33BD9" w:rsidRDefault="00AF68FB" w:rsidP="00A63DFD">
      <w:pPr>
        <w:pStyle w:val="BodyText2"/>
      </w:pPr>
    </w:p>
    <w:p w:rsidR="00A63DFD" w:rsidRDefault="00AF68FB" w:rsidP="00A63DFD">
      <w:pPr>
        <w:pStyle w:val="BodyText2"/>
      </w:pPr>
      <w:proofErr w:type="spellStart"/>
      <w:r w:rsidRPr="00F33BD9">
        <w:t>ISQ</w:t>
      </w:r>
      <w:proofErr w:type="spellEnd"/>
      <w:r w:rsidRPr="00F33BD9">
        <w:t xml:space="preserve"> has focused its efforts in </w:t>
      </w:r>
      <w:r w:rsidRPr="00F33BD9">
        <w:rPr>
          <w:i/>
        </w:rPr>
        <w:t>the Flexible and customised approaches for communities and individuals</w:t>
      </w:r>
      <w:r w:rsidRPr="00F33BD9">
        <w:t xml:space="preserve"> reform area. The program funds are used to support four programs, including professional development in the area of Career Education and support for teachers to update qualifications in Trade Training Centres.</w:t>
      </w:r>
    </w:p>
    <w:p w:rsidR="00A63DFD" w:rsidRDefault="00A63DFD" w:rsidP="00A63DFD">
      <w:pPr>
        <w:pStyle w:val="BodyText2"/>
      </w:pPr>
    </w:p>
    <w:p w:rsidR="00A63DFD" w:rsidRDefault="00AF68FB" w:rsidP="00A63DFD">
      <w:pPr>
        <w:pStyle w:val="BodyText2"/>
      </w:pPr>
      <w:r w:rsidRPr="00F33BD9">
        <w:t>The Programs are:</w:t>
      </w:r>
    </w:p>
    <w:p w:rsidR="00AF68FB" w:rsidRPr="00AF68FB" w:rsidRDefault="00AF68FB" w:rsidP="00A63DFD">
      <w:pPr>
        <w:pStyle w:val="Heading3"/>
      </w:pPr>
      <w:r w:rsidRPr="00AF68FB">
        <w:t>Disengaged Students Program</w:t>
      </w:r>
    </w:p>
    <w:p w:rsidR="00AF68FB" w:rsidRPr="00F33BD9" w:rsidRDefault="00AF68FB" w:rsidP="00A63DFD">
      <w:pPr>
        <w:pStyle w:val="BodyText2"/>
      </w:pPr>
      <w:r w:rsidRPr="00F33BD9">
        <w:t xml:space="preserve">Under the Disengaged Students Program, </w:t>
      </w:r>
      <w:proofErr w:type="spellStart"/>
      <w:r w:rsidRPr="00F33BD9">
        <w:t>ISQ</w:t>
      </w:r>
      <w:proofErr w:type="spellEnd"/>
      <w:r w:rsidRPr="00F33BD9">
        <w:t xml:space="preserve"> has engaged with a limited group of schools that had significant levels of disengaged students and had not already received funds under the Low SES School Communities National Partnership. The funds are being used to develop specific engagement strategies specific to the school community and students at risk.</w:t>
      </w:r>
    </w:p>
    <w:p w:rsidR="00A63DFD" w:rsidRDefault="00AF68FB" w:rsidP="00A63DFD">
      <w:pPr>
        <w:pStyle w:val="Heading3"/>
      </w:pPr>
      <w:r w:rsidRPr="00AF68FB">
        <w:lastRenderedPageBreak/>
        <w:t>Special Assistance Schools Program</w:t>
      </w:r>
    </w:p>
    <w:p w:rsidR="00A63DFD" w:rsidRDefault="00AF68FB" w:rsidP="00A63DFD">
      <w:pPr>
        <w:pStyle w:val="BodyText2"/>
      </w:pPr>
      <w:r w:rsidRPr="00F33BD9">
        <w:t>The Special Assistance Schools Program is focused on Schools that offer education and training programs which predominantly support the re-engagement of disengaged 15 – 17 year old youth and therefore will assist in the meeting of the participation and attainment targets.</w:t>
      </w:r>
    </w:p>
    <w:p w:rsidR="00A63DFD" w:rsidRDefault="00A63DFD" w:rsidP="00A63DFD">
      <w:pPr>
        <w:pStyle w:val="BodyText2"/>
      </w:pPr>
    </w:p>
    <w:p w:rsidR="00AF68FB" w:rsidRPr="00F33BD9" w:rsidRDefault="00AF68FB" w:rsidP="00A63DFD">
      <w:pPr>
        <w:pStyle w:val="BodyText2"/>
      </w:pPr>
      <w:r w:rsidRPr="00F33BD9">
        <w:t>Targeted outcomes include:</w:t>
      </w:r>
    </w:p>
    <w:p w:rsidR="00AF68FB" w:rsidRPr="00F33BD9" w:rsidRDefault="00AF68FB" w:rsidP="00A63DFD">
      <w:pPr>
        <w:pStyle w:val="ListBullet"/>
      </w:pPr>
      <w:r w:rsidRPr="00F33BD9">
        <w:t>involvement in cross sectoral planning process to improve services for young people and focus on youth attainment and transitions in the region</w:t>
      </w:r>
    </w:p>
    <w:p w:rsidR="00AF68FB" w:rsidRPr="00F33BD9" w:rsidRDefault="00AF68FB" w:rsidP="00A63DFD">
      <w:pPr>
        <w:pStyle w:val="ListBullet"/>
      </w:pPr>
      <w:r w:rsidRPr="00F33BD9">
        <w:t>undertaking planning so that all students are on track to achieve a Queensland Certificate of Education, Certificate II, Queensland Certificate of Individual Achievement  or an International Baccalaureate Diploma</w:t>
      </w:r>
    </w:p>
    <w:p w:rsidR="00AF68FB" w:rsidRPr="00F33BD9" w:rsidRDefault="00AF68FB" w:rsidP="00A63DFD">
      <w:pPr>
        <w:pStyle w:val="ListBullet"/>
      </w:pPr>
      <w:r w:rsidRPr="00010883">
        <w:t xml:space="preserve">increasing assistance to young people </w:t>
      </w:r>
      <w:r w:rsidRPr="00F33BD9">
        <w:t>who may not receive a qualification</w:t>
      </w:r>
      <w:r w:rsidRPr="00010883">
        <w:t xml:space="preserve"> on leaving school to have plans in place for completing qualifications after school </w:t>
      </w:r>
    </w:p>
    <w:p w:rsidR="00AF68FB" w:rsidRPr="00F33BD9" w:rsidRDefault="00AF68FB" w:rsidP="00A63DFD">
      <w:pPr>
        <w:pStyle w:val="ListBullet"/>
      </w:pPr>
      <w:r w:rsidRPr="00F33BD9">
        <w:t>providing more assistance to students to plan their transition through senior secondary school and into further education, training, or training and employment combined with training</w:t>
      </w:r>
    </w:p>
    <w:p w:rsidR="00AF68FB" w:rsidRPr="00F33BD9" w:rsidRDefault="00AF68FB" w:rsidP="00A63DFD">
      <w:pPr>
        <w:pStyle w:val="ListBullet"/>
      </w:pPr>
      <w:r w:rsidRPr="00F33BD9">
        <w:t>expansion of Senior Education and Training planning processes (or equivalent) by ensuring that young people are supported to attain a qualification and make a successful transition at s</w:t>
      </w:r>
      <w:r w:rsidR="00A63DFD">
        <w:t>chool and after leaving school</w:t>
      </w:r>
    </w:p>
    <w:p w:rsidR="00F1303C" w:rsidRDefault="00AF68FB" w:rsidP="00F1303C">
      <w:pPr>
        <w:pStyle w:val="BodyText2"/>
      </w:pPr>
      <w:proofErr w:type="gramStart"/>
      <w:r w:rsidRPr="00F33BD9">
        <w:t>working</w:t>
      </w:r>
      <w:proofErr w:type="gramEnd"/>
      <w:r w:rsidRPr="00F33BD9">
        <w:t xml:space="preserve"> with Commonwealth Youth Connections providers and Youth Support Coordinators to ensure that young people who drop out of school, or who are at risk of dropping out of school are supported to make a transition to other education or training options.</w:t>
      </w:r>
    </w:p>
    <w:p w:rsidR="00F1303C" w:rsidRDefault="00AF68FB" w:rsidP="00F1303C">
      <w:pPr>
        <w:pStyle w:val="Heading3"/>
      </w:pPr>
      <w:r w:rsidRPr="00AF68FB">
        <w:t>Vocational Outcomes</w:t>
      </w:r>
    </w:p>
    <w:p w:rsidR="00AF68FB" w:rsidRDefault="00AF68FB" w:rsidP="00F1303C">
      <w:pPr>
        <w:pStyle w:val="BodyText2"/>
      </w:pPr>
      <w:r w:rsidRPr="00F33BD9">
        <w:t>Funding has been provided to support teachers to undertake studies to support stronger VET aligned outcomes for students. Teachers across the sector have been given an opportunity to complete TAE Cert IV.</w:t>
      </w:r>
    </w:p>
    <w:p w:rsidR="00F1303C" w:rsidRDefault="00AF68FB" w:rsidP="00F1303C">
      <w:pPr>
        <w:pStyle w:val="Heading3"/>
      </w:pPr>
      <w:r w:rsidRPr="00AF68FB">
        <w:t>Career Development</w:t>
      </w:r>
    </w:p>
    <w:p w:rsidR="00AF68FB" w:rsidRDefault="00AF68FB" w:rsidP="00F1303C">
      <w:pPr>
        <w:pStyle w:val="BodyText2"/>
        <w:rPr>
          <w:b/>
        </w:rPr>
      </w:pPr>
      <w:r w:rsidRPr="00F33BD9">
        <w:t xml:space="preserve">Funding has been provided to support teachers to undertake studies a Cert IV in Career Education to help facilitate better career counselling across </w:t>
      </w:r>
      <w:proofErr w:type="spellStart"/>
      <w:r w:rsidRPr="00F33BD9">
        <w:t>ISQ</w:t>
      </w:r>
      <w:proofErr w:type="spellEnd"/>
      <w:r w:rsidRPr="00F33BD9">
        <w:t xml:space="preserve"> schools</w:t>
      </w:r>
      <w:r w:rsidRPr="00F33BD9">
        <w:rPr>
          <w:b/>
        </w:rPr>
        <w:t>.</w:t>
      </w:r>
    </w:p>
    <w:p w:rsidR="00F1303C" w:rsidRPr="00F33BD9" w:rsidRDefault="00F1303C" w:rsidP="00F1303C">
      <w:pPr>
        <w:pStyle w:val="BodyText2"/>
        <w:rPr>
          <w:b/>
        </w:rPr>
      </w:pPr>
    </w:p>
    <w:p w:rsidR="00F57EF2" w:rsidRDefault="00AF68FB" w:rsidP="00F1303C">
      <w:pPr>
        <w:pStyle w:val="BodyText2"/>
      </w:pPr>
      <w:r w:rsidRPr="00F33BD9">
        <w:t xml:space="preserve">For programs 1 and 2, annual performance reports are been received from all Schools involved. These are reviewed by </w:t>
      </w:r>
      <w:proofErr w:type="spellStart"/>
      <w:r w:rsidRPr="00F33BD9">
        <w:t>ISQ</w:t>
      </w:r>
      <w:proofErr w:type="spellEnd"/>
      <w:r w:rsidRPr="00F33BD9">
        <w:t xml:space="preserve"> to ensure alignment to the Program goals and specified outcomes.</w:t>
      </w:r>
    </w:p>
    <w:p w:rsidR="0040278E" w:rsidRPr="00F33BD9" w:rsidRDefault="002D6AF1" w:rsidP="00F1303C">
      <w:pPr>
        <w:pStyle w:val="Heading2"/>
      </w:pPr>
      <w:bookmarkStart w:id="24" w:name="_Toc365385409"/>
      <w:r w:rsidRPr="00F33BD9">
        <w:t>In</w:t>
      </w:r>
      <w:r w:rsidR="0040278E" w:rsidRPr="00F33BD9">
        <w:t>digenous Reporting</w:t>
      </w:r>
      <w:bookmarkEnd w:id="24"/>
    </w:p>
    <w:p w:rsidR="002D6AF1" w:rsidRDefault="002D6AF1" w:rsidP="00F1303C">
      <w:pPr>
        <w:pStyle w:val="BodyText2"/>
      </w:pPr>
      <w:r w:rsidRPr="00F33BD9">
        <w:t>Queensland has the second largest Indigenous school student population in Australia with 48,865 Indigenous students enrolled in Queensland schools in 2011.  Queensland’s Indigenous school student population is 29.1 per cent of Australia’s Indigenous student population which is second to New South Wales which has 31.1 per cent (or 52,192).</w:t>
      </w:r>
    </w:p>
    <w:p w:rsidR="00F1303C" w:rsidRPr="00F33BD9" w:rsidRDefault="00F1303C" w:rsidP="00F1303C">
      <w:pPr>
        <w:pStyle w:val="BodyText2"/>
      </w:pPr>
    </w:p>
    <w:p w:rsidR="002D6AF1" w:rsidRPr="00F33BD9" w:rsidRDefault="002D6AF1" w:rsidP="00F1303C">
      <w:pPr>
        <w:pStyle w:val="BodyText2"/>
      </w:pPr>
      <w:r w:rsidRPr="00F33BD9">
        <w:t>While Queensland has the second largest number of Indigenous school students in Australia, Queensland has the highest number of Indigenous Year 12 stud</w:t>
      </w:r>
      <w:r w:rsidR="00F1303C">
        <w:t>ents in Australia.</w:t>
      </w:r>
      <w:r w:rsidRPr="00F33BD9">
        <w:t xml:space="preserve"> In 2011, Queensland had 2,197 Indigenous students enrolled in Year 12 </w:t>
      </w:r>
      <w:r w:rsidR="006100C1">
        <w:t>across</w:t>
      </w:r>
      <w:r w:rsidRPr="00F33BD9">
        <w:t xml:space="preserve"> governm</w:t>
      </w:r>
      <w:r w:rsidR="00F1303C">
        <w:t>ent and non-government schools.</w:t>
      </w:r>
      <w:r w:rsidRPr="00F33BD9">
        <w:t xml:space="preserve"> This was well ahead of second ranking state – New South Wales which had 1,446 Indigenous Year 12 enrolments.</w:t>
      </w:r>
    </w:p>
    <w:p w:rsidR="002D6AF1" w:rsidRPr="00F33BD9" w:rsidRDefault="002D6AF1" w:rsidP="00F1303C">
      <w:pPr>
        <w:pStyle w:val="Heading2"/>
      </w:pPr>
      <w:bookmarkStart w:id="25" w:name="_Toc365385410"/>
      <w:r w:rsidRPr="00F33BD9">
        <w:lastRenderedPageBreak/>
        <w:t xml:space="preserve">Strategic </w:t>
      </w:r>
      <w:r w:rsidR="003611F6" w:rsidRPr="00F33BD9">
        <w:t>P</w:t>
      </w:r>
      <w:r w:rsidRPr="00F33BD9">
        <w:t xml:space="preserve">olicy </w:t>
      </w:r>
      <w:r w:rsidR="003611F6" w:rsidRPr="00F33BD9">
        <w:t>D</w:t>
      </w:r>
      <w:r w:rsidRPr="00F33BD9">
        <w:t>irections</w:t>
      </w:r>
      <w:bookmarkEnd w:id="25"/>
    </w:p>
    <w:p w:rsidR="002D6AF1" w:rsidRPr="00F33BD9" w:rsidRDefault="002D6AF1" w:rsidP="00F1303C">
      <w:pPr>
        <w:pStyle w:val="Heading3"/>
      </w:pPr>
      <w:r w:rsidRPr="00F33BD9">
        <w:t>Closing the Gap Education</w:t>
      </w:r>
      <w:r w:rsidR="003611F6" w:rsidRPr="00F33BD9">
        <w:t xml:space="preserve"> </w:t>
      </w:r>
      <w:r w:rsidRPr="00F33BD9">
        <w:t>Strategy</w:t>
      </w:r>
    </w:p>
    <w:p w:rsidR="002D6AF1" w:rsidRPr="00F33BD9" w:rsidRDefault="002D6AF1" w:rsidP="00F1303C">
      <w:pPr>
        <w:pStyle w:val="BodyText2"/>
      </w:pPr>
      <w:r w:rsidRPr="00F33BD9">
        <w:t>The Closing the Gap Education Strategy is the overarching strategy for the education of Indigenous students in Queensland state schools. It was developed in response to key COAG Closing the Gap targets for schooling which are to:</w:t>
      </w:r>
    </w:p>
    <w:p w:rsidR="002D6AF1" w:rsidRPr="00F33BD9" w:rsidRDefault="002D6AF1" w:rsidP="00F1303C">
      <w:pPr>
        <w:pStyle w:val="ListBullet"/>
      </w:pPr>
      <w:bookmarkStart w:id="26" w:name="OLE_LINK5"/>
      <w:bookmarkStart w:id="27" w:name="OLE_LINK6"/>
      <w:r w:rsidRPr="00F33BD9">
        <w:t>halve the gap for Aboriginal and Torres Strait Islander students in reading, writing and numeracy within a decade (by 2018)</w:t>
      </w:r>
      <w:bookmarkEnd w:id="26"/>
      <w:bookmarkEnd w:id="27"/>
    </w:p>
    <w:p w:rsidR="002D6AF1" w:rsidRPr="00F33BD9" w:rsidRDefault="002D6AF1" w:rsidP="00F1303C">
      <w:pPr>
        <w:pStyle w:val="ListBullet"/>
      </w:pPr>
      <w:proofErr w:type="gramStart"/>
      <w:r w:rsidRPr="00F33BD9">
        <w:t>at</w:t>
      </w:r>
      <w:proofErr w:type="gramEnd"/>
      <w:r w:rsidRPr="00F33BD9">
        <w:t xml:space="preserve"> least halve the gap in Aboriginal and Torres Strait Islander Year 12 attainment or equivalent attainment rates by 2020.</w:t>
      </w:r>
    </w:p>
    <w:p w:rsidR="008D2DC9" w:rsidRDefault="008D2DC9" w:rsidP="00F1303C">
      <w:pPr>
        <w:pStyle w:val="BodyText2"/>
      </w:pPr>
    </w:p>
    <w:p w:rsidR="002D6AF1" w:rsidRDefault="002D6AF1" w:rsidP="00F1303C">
      <w:pPr>
        <w:pStyle w:val="BodyText2"/>
      </w:pPr>
      <w:r w:rsidRPr="00F33BD9">
        <w:t xml:space="preserve">The </w:t>
      </w:r>
      <w:bookmarkStart w:id="28" w:name="OLE_LINK16"/>
      <w:bookmarkStart w:id="29" w:name="OLE_LINK21"/>
      <w:r w:rsidRPr="00F33BD9">
        <w:t>strategy serves to translate these high level commitments into practical steps for DET regions and state schools to apply in their contexts</w:t>
      </w:r>
      <w:bookmarkEnd w:id="28"/>
      <w:bookmarkEnd w:id="29"/>
      <w:r w:rsidRPr="00F33BD9">
        <w:t xml:space="preserve"> by setting three intermediary state-wide targets focussed on improving the three key foundation areas of attainment, attendance and retention.  ‘Close the gap in year 12 retention by 201</w:t>
      </w:r>
      <w:r w:rsidR="00F1303C">
        <w:t>3’ is one of the three targets.</w:t>
      </w:r>
      <w:r w:rsidRPr="00F33BD9">
        <w:t xml:space="preserve"> These targets serve to focus regions and schools on identifying and implementing targeted strategies and act as intermediate measures of Queensland’s progress towards the COAG Closing the Gap targets for schooling.</w:t>
      </w:r>
    </w:p>
    <w:p w:rsidR="00F1303C" w:rsidRPr="00F33BD9" w:rsidRDefault="00F1303C" w:rsidP="00F1303C">
      <w:pPr>
        <w:pStyle w:val="BodyText2"/>
      </w:pPr>
    </w:p>
    <w:p w:rsidR="002D6AF1" w:rsidRPr="00F33BD9" w:rsidRDefault="002D6AF1" w:rsidP="00F1303C">
      <w:pPr>
        <w:pStyle w:val="BodyText2"/>
      </w:pPr>
      <w:r w:rsidRPr="00F33BD9">
        <w:t>The strategy outlines four key service lines and associated priority areas that evidence and experience indicate will improve attainment, attendance and retention outcomes for Aboriginal and Torres Strait Islander students. They serve to concentrate action to drive the transformational changes necessary to achieve the required improvements in Indigenous education.  ‘Participation to employment’ is a key service line.</w:t>
      </w:r>
    </w:p>
    <w:p w:rsidR="002D6AF1" w:rsidRPr="00F33BD9" w:rsidRDefault="002D6AF1" w:rsidP="00F1303C">
      <w:pPr>
        <w:pStyle w:val="Heading3"/>
      </w:pPr>
      <w:r w:rsidRPr="00F33BD9">
        <w:t>Aboriginal and Torres Strait Islander Education Action Plan 2010 - 2014</w:t>
      </w:r>
    </w:p>
    <w:p w:rsidR="002D6AF1" w:rsidRDefault="002D6AF1" w:rsidP="00F1303C">
      <w:pPr>
        <w:pStyle w:val="BodyText2"/>
      </w:pPr>
      <w:r w:rsidRPr="00F33BD9">
        <w:t xml:space="preserve">The Queensland Department of Education, Training and Employment </w:t>
      </w:r>
      <w:proofErr w:type="gramStart"/>
      <w:r w:rsidRPr="00F33BD9">
        <w:t>is</w:t>
      </w:r>
      <w:proofErr w:type="gramEnd"/>
      <w:r w:rsidRPr="00F33BD9">
        <w:t xml:space="preserve"> also committed to implementing the national Aboriginal and Torres Strait Islander Education Action Plan (2010-2014).  The Action Plan is part of a larger commitment by the Australian, state and territory governments to address Aboriginal and Torres Strait Islander educational disadvantage within the national COAG Closing the Gap agenda.</w:t>
      </w:r>
    </w:p>
    <w:p w:rsidR="00F1303C" w:rsidRPr="00F33BD9" w:rsidRDefault="00F1303C" w:rsidP="00F1303C">
      <w:pPr>
        <w:pStyle w:val="BodyText2"/>
      </w:pPr>
    </w:p>
    <w:p w:rsidR="002D6AF1" w:rsidRDefault="002D6AF1" w:rsidP="00F1303C">
      <w:pPr>
        <w:pStyle w:val="BodyText2"/>
      </w:pPr>
      <w:r w:rsidRPr="00F33BD9">
        <w:t xml:space="preserve">The Action Plan is for all schooling sectors – both </w:t>
      </w:r>
      <w:r w:rsidR="00F1303C">
        <w:t xml:space="preserve">government and non-government. </w:t>
      </w:r>
      <w:r w:rsidRPr="00F33BD9">
        <w:t>It outlines actions that will be undertaken at national, state and local levels to improve educational outcomes for Aboriginal and Torres Strait Islander students.</w:t>
      </w:r>
    </w:p>
    <w:p w:rsidR="00F1303C" w:rsidRPr="00F33BD9" w:rsidRDefault="00F1303C" w:rsidP="00F1303C">
      <w:pPr>
        <w:pStyle w:val="BodyText2"/>
      </w:pPr>
    </w:p>
    <w:p w:rsidR="002D6AF1" w:rsidRDefault="002D6AF1" w:rsidP="00F1303C">
      <w:pPr>
        <w:pStyle w:val="BodyText2"/>
      </w:pPr>
      <w:r w:rsidRPr="00F33BD9">
        <w:t>Each action is linked to six priority domain areas to guide effort over the five years – one of which includes ‘Pathways to real post-school options’.</w:t>
      </w:r>
    </w:p>
    <w:p w:rsidR="00F1303C" w:rsidRPr="00F33BD9" w:rsidRDefault="00F1303C" w:rsidP="00F1303C">
      <w:pPr>
        <w:pStyle w:val="BodyText2"/>
      </w:pPr>
    </w:p>
    <w:p w:rsidR="002D6AF1" w:rsidRPr="00F33BD9" w:rsidRDefault="002D6AF1" w:rsidP="00F1303C">
      <w:pPr>
        <w:pStyle w:val="BodyText2"/>
      </w:pPr>
      <w:r w:rsidRPr="00F33BD9">
        <w:t>To implement specific local-level actions and focus effort, each state and territory has identified a list of ‘focus schools’.</w:t>
      </w:r>
      <w:r w:rsidR="008D2DC9">
        <w:t xml:space="preserve"> </w:t>
      </w:r>
      <w:r w:rsidRPr="00F33BD9">
        <w:t>In Queensland, there are 268 focus schools – comprising 206 state schools, 59 Catholic schools and 3 independent schools.</w:t>
      </w:r>
    </w:p>
    <w:p w:rsidR="002D6AF1" w:rsidRPr="00F33BD9" w:rsidRDefault="002D6AF1" w:rsidP="00F1303C">
      <w:pPr>
        <w:pStyle w:val="Heading2"/>
      </w:pPr>
      <w:bookmarkStart w:id="30" w:name="_Toc365385411"/>
      <w:r w:rsidRPr="00F33BD9">
        <w:t>Key strategies</w:t>
      </w:r>
      <w:r w:rsidR="005A727A" w:rsidRPr="00F33BD9">
        <w:t xml:space="preserve"> </w:t>
      </w:r>
      <w:r w:rsidRPr="00F33BD9">
        <w:t>/ initiative</w:t>
      </w:r>
      <w:bookmarkEnd w:id="30"/>
    </w:p>
    <w:p w:rsidR="002D6AF1" w:rsidRPr="00F33BD9" w:rsidRDefault="002D6AF1" w:rsidP="00F1303C">
      <w:pPr>
        <w:pStyle w:val="BodyText2"/>
      </w:pPr>
      <w:r w:rsidRPr="00F33BD9">
        <w:t>The Department of Education, Training and Employment funds and implements a range of initiatives and strategies to support the attainment, retention and transition of Indigenous students including:</w:t>
      </w:r>
    </w:p>
    <w:p w:rsidR="002D6AF1" w:rsidRPr="00F33BD9" w:rsidRDefault="00F1303C" w:rsidP="00F1303C">
      <w:pPr>
        <w:pStyle w:val="Heading3"/>
      </w:pPr>
      <w:r>
        <w:lastRenderedPageBreak/>
        <w:t xml:space="preserve">Learn, Earn Legend! </w:t>
      </w:r>
      <w:r w:rsidR="002D6AF1" w:rsidRPr="00F33BD9">
        <w:t>Year 12 Destinations initiative</w:t>
      </w:r>
    </w:p>
    <w:p w:rsidR="002D6AF1" w:rsidRDefault="002D6AF1" w:rsidP="00F1303C">
      <w:pPr>
        <w:pStyle w:val="BodyText2"/>
      </w:pPr>
      <w:proofErr w:type="gramStart"/>
      <w:r w:rsidRPr="00F33BD9">
        <w:t>The Learn</w:t>
      </w:r>
      <w:proofErr w:type="gramEnd"/>
      <w:r w:rsidRPr="00F33BD9">
        <w:t xml:space="preserve"> Earn Legend! Year 12 Destinations Initiative provides pathway support for Indigenous Year 12 students across Queensland with transitioning from school to further education, training and employment.  Students are supported by a case manager through Year 12 and for a minimum</w:t>
      </w:r>
      <w:r w:rsidR="00F1303C">
        <w:t xml:space="preserve"> of six months post schooling.</w:t>
      </w:r>
    </w:p>
    <w:p w:rsidR="00F1303C" w:rsidRPr="00F33BD9" w:rsidRDefault="00F1303C" w:rsidP="00F1303C">
      <w:pPr>
        <w:pStyle w:val="BodyText2"/>
      </w:pPr>
    </w:p>
    <w:p w:rsidR="002D6AF1" w:rsidRDefault="002D6AF1" w:rsidP="00F1303C">
      <w:pPr>
        <w:pStyle w:val="BodyText2"/>
      </w:pPr>
      <w:r w:rsidRPr="00F33BD9">
        <w:t>The initiative is cross-sectoral and is funded by the Commonwealth Department of Education, Employment and Workplace Relations, Department of Communities and Department of Educa</w:t>
      </w:r>
      <w:r w:rsidR="00F1303C">
        <w:t>tion, Training and Employment.</w:t>
      </w:r>
    </w:p>
    <w:p w:rsidR="00F1303C" w:rsidRPr="00F33BD9" w:rsidRDefault="00F1303C" w:rsidP="00F1303C">
      <w:pPr>
        <w:pStyle w:val="BodyText2"/>
      </w:pPr>
    </w:p>
    <w:p w:rsidR="002D6AF1" w:rsidRPr="00F33BD9" w:rsidRDefault="002D6AF1" w:rsidP="00F1303C">
      <w:pPr>
        <w:pStyle w:val="BodyText2"/>
      </w:pPr>
      <w:r w:rsidRPr="00F33BD9">
        <w:t>The initiative:</w:t>
      </w:r>
    </w:p>
    <w:p w:rsidR="002D6AF1" w:rsidRPr="00F33BD9" w:rsidRDefault="002D6AF1" w:rsidP="00F1303C">
      <w:pPr>
        <w:pStyle w:val="ListBullet"/>
      </w:pPr>
      <w:r w:rsidRPr="00F33BD9">
        <w:t>is targeted at Indigenous Year 12 students in all schools in Queensland, including non</w:t>
      </w:r>
      <w:r w:rsidR="005A727A" w:rsidRPr="00F33BD9">
        <w:t>-</w:t>
      </w:r>
      <w:r w:rsidRPr="00F33BD9">
        <w:t xml:space="preserve">government schools </w:t>
      </w:r>
    </w:p>
    <w:p w:rsidR="002D6AF1" w:rsidRPr="00F33BD9" w:rsidRDefault="002D6AF1" w:rsidP="00F1303C">
      <w:pPr>
        <w:pStyle w:val="ListBullet"/>
      </w:pPr>
      <w:r w:rsidRPr="00F33BD9">
        <w:t>aims to increase retention and successful completion rates of every Indigenous Year 12 student</w:t>
      </w:r>
    </w:p>
    <w:p w:rsidR="002D6AF1" w:rsidRPr="00F33BD9" w:rsidRDefault="002D6AF1" w:rsidP="00F1303C">
      <w:pPr>
        <w:pStyle w:val="ListBullet"/>
      </w:pPr>
      <w:r w:rsidRPr="00F33BD9">
        <w:t>is concerned with case managing the cohort throughout the final year of schooling and then for a minimum of six months post schooling to provide support and assistance for successful transition from schooling to further education, training and/or meaningful employment.</w:t>
      </w:r>
    </w:p>
    <w:p w:rsidR="008D2DC9" w:rsidRDefault="008D2DC9" w:rsidP="008D2DC9">
      <w:pPr>
        <w:tabs>
          <w:tab w:val="num" w:pos="329"/>
        </w:tabs>
        <w:rPr>
          <w:rFonts w:cs="Calibri"/>
        </w:rPr>
      </w:pPr>
    </w:p>
    <w:p w:rsidR="002D6AF1" w:rsidRDefault="002D6AF1" w:rsidP="00DE75DF">
      <w:pPr>
        <w:pStyle w:val="BodyText2"/>
      </w:pPr>
      <w:r w:rsidRPr="00F33BD9">
        <w:t>The Queensland Indigenous Education Consultative Committee (</w:t>
      </w:r>
      <w:proofErr w:type="spellStart"/>
      <w:r w:rsidRPr="00F33BD9">
        <w:t>QIECC</w:t>
      </w:r>
      <w:proofErr w:type="spellEnd"/>
      <w:r w:rsidRPr="00F33BD9">
        <w:t>) is engaged in the initiative and provides a representative on regional and the State steering committee.</w:t>
      </w:r>
    </w:p>
    <w:p w:rsidR="00DE75DF" w:rsidRPr="00F33BD9" w:rsidRDefault="00DE75DF" w:rsidP="00DE75DF">
      <w:pPr>
        <w:pStyle w:val="BodyText2"/>
      </w:pPr>
    </w:p>
    <w:p w:rsidR="002D6AF1" w:rsidRDefault="002D6AF1" w:rsidP="00DE75DF">
      <w:pPr>
        <w:pStyle w:val="BodyText2"/>
      </w:pPr>
      <w:r w:rsidRPr="00F33BD9">
        <w:t>In 2010, some 1095 Indigenous Year 12 students enrolled in public schools and 101 in non-government schools were profiled and their destinations recorded. Destination data for these students, as at 31 March 2011, was provided in the 2010 report.</w:t>
      </w:r>
    </w:p>
    <w:p w:rsidR="00DE75DF" w:rsidRPr="00F33BD9" w:rsidRDefault="00DE75DF" w:rsidP="00DE75DF">
      <w:pPr>
        <w:pStyle w:val="BodyText2"/>
      </w:pPr>
    </w:p>
    <w:p w:rsidR="002D6AF1" w:rsidRPr="00F33BD9" w:rsidRDefault="002D6AF1" w:rsidP="00DE75DF">
      <w:pPr>
        <w:pStyle w:val="BodyText2"/>
      </w:pPr>
      <w:r w:rsidRPr="00F33BD9">
        <w:t>In 2011, some 1523 Indigenous Year 12 enrolled in public and 159 in non-government schools were case managed and their intended post school destinations were recorded. Preliminary data on intended post school destinations for this cohort of students, as at the end of Term 4 2011, indicates that:</w:t>
      </w:r>
    </w:p>
    <w:p w:rsidR="002D6AF1" w:rsidRPr="00F33BD9" w:rsidRDefault="002D6AF1" w:rsidP="00DE75DF">
      <w:pPr>
        <w:pStyle w:val="ListBullet"/>
      </w:pPr>
      <w:r w:rsidRPr="00F33BD9">
        <w:t>19 per cent (318) were intending to secure employment</w:t>
      </w:r>
    </w:p>
    <w:p w:rsidR="002D6AF1" w:rsidRPr="00F33BD9" w:rsidRDefault="002D6AF1" w:rsidP="00DE75DF">
      <w:pPr>
        <w:pStyle w:val="ListBullet"/>
      </w:pPr>
      <w:r w:rsidRPr="00F33BD9">
        <w:t>21 per cent (359) were intending to undertake an Apprenticeship</w:t>
      </w:r>
    </w:p>
    <w:p w:rsidR="002D6AF1" w:rsidRPr="00F33BD9" w:rsidRDefault="002D6AF1" w:rsidP="00DE75DF">
      <w:pPr>
        <w:pStyle w:val="ListBullet"/>
      </w:pPr>
      <w:r w:rsidRPr="00F33BD9">
        <w:t>10 per cent (163) were intending to undertake a Traineeship</w:t>
      </w:r>
    </w:p>
    <w:p w:rsidR="002D6AF1" w:rsidRPr="00F33BD9" w:rsidRDefault="002D6AF1" w:rsidP="00DE75DF">
      <w:pPr>
        <w:pStyle w:val="ListBullet"/>
      </w:pPr>
      <w:r w:rsidRPr="00F33BD9">
        <w:t>21 per cent (350) were intending to enrol in University studies</w:t>
      </w:r>
    </w:p>
    <w:p w:rsidR="002D6AF1" w:rsidRPr="00F33BD9" w:rsidRDefault="002D6AF1" w:rsidP="00DE75DF">
      <w:pPr>
        <w:pStyle w:val="ListBullet"/>
      </w:pPr>
      <w:r w:rsidRPr="00F33BD9">
        <w:t>20 per cent (333) were intending to enrol in a TAFE course</w:t>
      </w:r>
    </w:p>
    <w:p w:rsidR="002D6AF1" w:rsidRPr="00F33BD9" w:rsidRDefault="002D6AF1" w:rsidP="00DE75DF">
      <w:pPr>
        <w:pStyle w:val="ListBullet"/>
      </w:pPr>
      <w:r w:rsidRPr="00F33BD9">
        <w:t>2 per cent (33) were intending to enlist in the Defence Forces</w:t>
      </w:r>
    </w:p>
    <w:p w:rsidR="002D6AF1" w:rsidRPr="00F33BD9" w:rsidRDefault="002D6AF1" w:rsidP="00DE75DF">
      <w:pPr>
        <w:pStyle w:val="ListBullet"/>
      </w:pPr>
      <w:r w:rsidRPr="00F33BD9">
        <w:t>6 students indicated that they will be pursuing an elite sporting pathway</w:t>
      </w:r>
    </w:p>
    <w:p w:rsidR="002D6AF1" w:rsidRPr="00F33BD9" w:rsidRDefault="002D6AF1" w:rsidP="00DE75DF">
      <w:pPr>
        <w:pStyle w:val="ListBullet"/>
      </w:pPr>
      <w:r w:rsidRPr="00F33BD9">
        <w:t>7 per cent (120) indicated ‘Other’.</w:t>
      </w:r>
    </w:p>
    <w:p w:rsidR="002D6AF1" w:rsidRPr="00F33BD9" w:rsidRDefault="002D6AF1" w:rsidP="00DE75DF">
      <w:pPr>
        <w:pStyle w:val="Heading3"/>
      </w:pPr>
      <w:r w:rsidRPr="00F33BD9">
        <w:t>Secondary schooling options for remote Indigenous students</w:t>
      </w:r>
    </w:p>
    <w:p w:rsidR="002D6AF1" w:rsidRDefault="002D6AF1" w:rsidP="00DE75DF">
      <w:pPr>
        <w:pStyle w:val="BodyText2"/>
      </w:pPr>
      <w:r w:rsidRPr="00F33BD9">
        <w:t xml:space="preserve">The Department of Education, Training and Employment is committed to providing remote Indigenous students with access to high quality comprehensive schooling options that also provide support services to </w:t>
      </w:r>
      <w:r w:rsidR="00DE75DF">
        <w:t>ensure their school retention.</w:t>
      </w:r>
    </w:p>
    <w:p w:rsidR="00DE75DF" w:rsidRPr="00F33BD9" w:rsidRDefault="00DE75DF" w:rsidP="00DE75DF">
      <w:pPr>
        <w:pStyle w:val="BodyText2"/>
      </w:pPr>
    </w:p>
    <w:p w:rsidR="002D6AF1" w:rsidRDefault="002D6AF1" w:rsidP="00DE75DF">
      <w:pPr>
        <w:pStyle w:val="BodyText2"/>
      </w:pPr>
      <w:r w:rsidRPr="00F33BD9">
        <w:rPr>
          <w:u w:val="single"/>
        </w:rPr>
        <w:t>Prep to Year 12 college structures</w:t>
      </w:r>
      <w:r w:rsidRPr="00F33BD9">
        <w:t xml:space="preserve"> in combination with their feeder schools provide real opportunities for students in remote Cape York and Torres Strait communities to access quality secondary education and remain within the region to complete Year 12. Western Cape College in Weipa, </w:t>
      </w:r>
      <w:proofErr w:type="spellStart"/>
      <w:r w:rsidRPr="00F33BD9">
        <w:t>Tagai</w:t>
      </w:r>
      <w:proofErr w:type="spellEnd"/>
      <w:r w:rsidRPr="00F33BD9">
        <w:t xml:space="preserve"> State College on Thursday Island and Northern Peninsula Area State College in Bamaga all offer secondary education to Year 12.</w:t>
      </w:r>
    </w:p>
    <w:p w:rsidR="00DE75DF" w:rsidRPr="00F33BD9" w:rsidRDefault="00DE75DF" w:rsidP="00DE75DF">
      <w:pPr>
        <w:pStyle w:val="BodyText2"/>
      </w:pPr>
    </w:p>
    <w:p w:rsidR="002D6AF1" w:rsidRDefault="002D6AF1" w:rsidP="00DE75DF">
      <w:pPr>
        <w:pStyle w:val="BodyText2"/>
      </w:pPr>
      <w:r w:rsidRPr="00F33BD9">
        <w:rPr>
          <w:u w:val="single"/>
        </w:rPr>
        <w:t>Weipa Student Residential Campus</w:t>
      </w:r>
      <w:r w:rsidRPr="00F33BD9">
        <w:t xml:space="preserve"> is a new 120 bed secondary school student residential facility in Weipa that replaced the previous 20-bed facility.  This new facility allows a greater number of students from other </w:t>
      </w:r>
      <w:r w:rsidRPr="00F33BD9">
        <w:lastRenderedPageBreak/>
        <w:t>Cape communities to access the educational opportunities offered by the Western Cape College – Weipa Campus. The residential campus will operate in conjunction with the Western Cape College.</w:t>
      </w:r>
    </w:p>
    <w:p w:rsidR="00DE75DF" w:rsidRPr="00F33BD9" w:rsidRDefault="00DE75DF" w:rsidP="00DE75DF">
      <w:pPr>
        <w:pStyle w:val="BodyText2"/>
      </w:pPr>
    </w:p>
    <w:p w:rsidR="002D6AF1" w:rsidRDefault="002D6AF1" w:rsidP="00DE75DF">
      <w:pPr>
        <w:pStyle w:val="BodyText2"/>
      </w:pPr>
      <w:r w:rsidRPr="00F33BD9">
        <w:rPr>
          <w:u w:val="single"/>
        </w:rPr>
        <w:t>Spinifex State College Residential Campus</w:t>
      </w:r>
      <w:r w:rsidRPr="00F33BD9">
        <w:t xml:space="preserve"> is a state-run residential boarding facility that provides students, particularly </w:t>
      </w:r>
      <w:proofErr w:type="gramStart"/>
      <w:r w:rsidRPr="00F33BD9">
        <w:t>Indigenous</w:t>
      </w:r>
      <w:proofErr w:type="gramEnd"/>
      <w:r w:rsidRPr="00F33BD9">
        <w:t xml:space="preserve"> students, from rural and remote areas of north-west Queensland with access to quality education at </w:t>
      </w:r>
      <w:r w:rsidR="006A1E7E" w:rsidRPr="00F33BD9">
        <w:t>Spinifex</w:t>
      </w:r>
      <w:r w:rsidRPr="00F33BD9">
        <w:t xml:space="preserve"> State College in Mt Isa.</w:t>
      </w:r>
    </w:p>
    <w:p w:rsidR="00DE75DF" w:rsidRPr="00F33BD9" w:rsidRDefault="00DE75DF" w:rsidP="00DE75DF">
      <w:pPr>
        <w:pStyle w:val="BodyText2"/>
      </w:pPr>
    </w:p>
    <w:p w:rsidR="002D6AF1" w:rsidRDefault="002D6AF1" w:rsidP="00DE75DF">
      <w:pPr>
        <w:pStyle w:val="BodyText2"/>
      </w:pPr>
      <w:r w:rsidRPr="00F33BD9">
        <w:rPr>
          <w:u w:val="single"/>
        </w:rPr>
        <w:t>Senior Schooling Service Guarantee</w:t>
      </w:r>
      <w:r w:rsidRPr="00F33BD9">
        <w:t xml:space="preserve"> being implemented at Western Cape College and </w:t>
      </w:r>
      <w:proofErr w:type="spellStart"/>
      <w:r w:rsidRPr="00F33BD9">
        <w:t>Tagai</w:t>
      </w:r>
      <w:proofErr w:type="spellEnd"/>
      <w:r w:rsidRPr="00F33BD9">
        <w:t xml:space="preserve"> State College stipulates that 100 per cent of Year 12 graduates will receive an OP, articulated VET pathway or paid employment. This initiative has been successfully implemented since 2006, tracking students two years post-destination to ensure sustainability and suitability of pathway. This program means that Indigenous students can see the links between education and future success.</w:t>
      </w:r>
    </w:p>
    <w:p w:rsidR="00DE75DF" w:rsidRPr="00F33BD9" w:rsidRDefault="00DE75DF" w:rsidP="00DE75DF">
      <w:pPr>
        <w:pStyle w:val="BodyText2"/>
      </w:pPr>
    </w:p>
    <w:p w:rsidR="002D6AF1" w:rsidRDefault="002D6AF1" w:rsidP="00DE75DF">
      <w:pPr>
        <w:pStyle w:val="BodyText2"/>
      </w:pPr>
      <w:r w:rsidRPr="00F33BD9">
        <w:rPr>
          <w:u w:val="single"/>
        </w:rPr>
        <w:t>Transition Support Services</w:t>
      </w:r>
      <w:r w:rsidRPr="00F33BD9">
        <w:t xml:space="preserve"> is provided to remote Indigenous students from Cape York, Northern Peninsula Area, Torres Strait and Palm Island to support them to ensure they make a smooth transition from their primary phase of schooling in their home communities to secondary schooling in large metropolitan or urban areas, in both state and non-state schools.  In 2011, the service supported approximately 600</w:t>
      </w:r>
      <w:r w:rsidRPr="00F33BD9">
        <w:rPr>
          <w:color w:val="0000FF"/>
        </w:rPr>
        <w:t xml:space="preserve"> </w:t>
      </w:r>
      <w:r w:rsidRPr="00F33BD9">
        <w:t>Indigenou</w:t>
      </w:r>
      <w:r w:rsidRPr="00F33BD9">
        <w:rPr>
          <w:color w:val="0000FF"/>
        </w:rPr>
        <w:t>s</w:t>
      </w:r>
      <w:r w:rsidRPr="00F33BD9">
        <w:t xml:space="preserve"> students from Cape York, Torres Strait, Northern Peninsula Area and Palm Island communities</w:t>
      </w:r>
      <w:r w:rsidR="00723786">
        <w:t>.</w:t>
      </w:r>
    </w:p>
    <w:p w:rsidR="00DE75DF" w:rsidRDefault="00DE75DF" w:rsidP="00DE75DF">
      <w:pPr>
        <w:pStyle w:val="BodyText2"/>
      </w:pPr>
    </w:p>
    <w:p w:rsidR="00723786" w:rsidRPr="00723786" w:rsidRDefault="00723786" w:rsidP="00DE75DF">
      <w:pPr>
        <w:pStyle w:val="BodyText2"/>
      </w:pPr>
      <w:r>
        <w:t>The Queensland Catholic Education Commission has provided the following data on Indigenous outcomes.</w:t>
      </w:r>
    </w:p>
    <w:p w:rsidR="00723786" w:rsidRPr="00AF68FB" w:rsidRDefault="00723786" w:rsidP="00DE75DF">
      <w:pPr>
        <w:pStyle w:val="Heading3"/>
      </w:pPr>
      <w:r w:rsidRPr="00AF68FB">
        <w:t>Indigenous Data</w:t>
      </w:r>
    </w:p>
    <w:p w:rsidR="00723786" w:rsidRPr="00F33BD9" w:rsidRDefault="00723786" w:rsidP="00723786">
      <w:pPr>
        <w:rPr>
          <w:rFonts w:cs="Calibri"/>
        </w:rPr>
      </w:pPr>
      <w:proofErr w:type="spellStart"/>
      <w:r w:rsidRPr="00F33BD9">
        <w:rPr>
          <w:rFonts w:cs="Calibri"/>
          <w:b/>
        </w:rPr>
        <w:t>QCEC</w:t>
      </w:r>
      <w:proofErr w:type="spellEnd"/>
      <w:r w:rsidRPr="00F33BD9">
        <w:rPr>
          <w:rFonts w:cs="Calibri"/>
          <w:b/>
        </w:rPr>
        <w:t xml:space="preserve"> 2011 Year 12 Completers</w:t>
      </w:r>
    </w:p>
    <w:tbl>
      <w:tblPr>
        <w:tblW w:w="10060" w:type="dxa"/>
        <w:tblInd w:w="93" w:type="dxa"/>
        <w:tblLook w:val="04A0" w:firstRow="1" w:lastRow="0" w:firstColumn="1" w:lastColumn="0" w:noHBand="0" w:noVBand="1"/>
      </w:tblPr>
      <w:tblGrid>
        <w:gridCol w:w="2120"/>
        <w:gridCol w:w="1200"/>
        <w:gridCol w:w="1500"/>
        <w:gridCol w:w="1460"/>
        <w:gridCol w:w="1360"/>
        <w:gridCol w:w="1200"/>
        <w:gridCol w:w="1220"/>
      </w:tblGrid>
      <w:tr w:rsidR="00723786" w:rsidRPr="00F33BD9" w:rsidTr="00723786">
        <w:trPr>
          <w:trHeight w:val="255"/>
        </w:trPr>
        <w:tc>
          <w:tcPr>
            <w:tcW w:w="2120" w:type="dxa"/>
            <w:tcBorders>
              <w:top w:val="single" w:sz="8"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2010 Completers</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All students</w:t>
            </w:r>
          </w:p>
        </w:tc>
        <w:tc>
          <w:tcPr>
            <w:tcW w:w="1500" w:type="dxa"/>
            <w:tcBorders>
              <w:top w:val="single" w:sz="8" w:space="0" w:color="auto"/>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w:t>
            </w:r>
          </w:p>
        </w:tc>
        <w:tc>
          <w:tcPr>
            <w:tcW w:w="1460" w:type="dxa"/>
            <w:tcBorders>
              <w:top w:val="single" w:sz="8" w:space="0" w:color="auto"/>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Indigenous</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Non-</w:t>
            </w:r>
            <w:proofErr w:type="spellStart"/>
            <w:r w:rsidRPr="00F33BD9">
              <w:rPr>
                <w:rFonts w:eastAsia="Times New Roman" w:cs="Calibri"/>
                <w:sz w:val="20"/>
                <w:szCs w:val="20"/>
                <w:lang w:eastAsia="en-AU"/>
              </w:rPr>
              <w:t>Indig</w:t>
            </w:r>
            <w:proofErr w:type="spellEnd"/>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Student Statements</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9701</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 </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251</w:t>
            </w:r>
          </w:p>
        </w:tc>
        <w:tc>
          <w:tcPr>
            <w:tcW w:w="13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 </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9450</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 </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SS and QCE</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8733</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90.0%</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194</w:t>
            </w:r>
          </w:p>
        </w:tc>
        <w:tc>
          <w:tcPr>
            <w:tcW w:w="1360" w:type="dxa"/>
            <w:tcBorders>
              <w:top w:val="nil"/>
              <w:left w:val="nil"/>
              <w:bottom w:val="single" w:sz="4" w:space="0" w:color="auto"/>
              <w:right w:val="single" w:sz="4" w:space="0" w:color="auto"/>
            </w:tcBorders>
            <w:shd w:val="clear" w:color="000000" w:fill="FFFF00"/>
            <w:noWrap/>
            <w:vAlign w:val="bottom"/>
            <w:hideMark/>
          </w:tcPr>
          <w:p w:rsidR="00723786" w:rsidRPr="00D76B68" w:rsidRDefault="00723786" w:rsidP="00723786">
            <w:pPr>
              <w:spacing w:line="240" w:lineRule="auto"/>
              <w:rPr>
                <w:rFonts w:eastAsia="Times New Roman" w:cs="Calibri"/>
                <w:sz w:val="20"/>
                <w:szCs w:val="20"/>
                <w:lang w:eastAsia="en-AU"/>
              </w:rPr>
            </w:pPr>
            <w:r w:rsidRPr="00D76B68">
              <w:rPr>
                <w:rFonts w:eastAsia="Times New Roman" w:cs="Calibri"/>
                <w:sz w:val="20"/>
                <w:szCs w:val="20"/>
                <w:lang w:eastAsia="en-AU"/>
              </w:rPr>
              <w:t>77.3%</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8539</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90.4%</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SS - no QCE</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968</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10.0%</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57</w:t>
            </w:r>
          </w:p>
        </w:tc>
        <w:tc>
          <w:tcPr>
            <w:tcW w:w="1360" w:type="dxa"/>
            <w:tcBorders>
              <w:top w:val="nil"/>
              <w:left w:val="nil"/>
              <w:bottom w:val="single" w:sz="4" w:space="0" w:color="auto"/>
              <w:right w:val="single" w:sz="4" w:space="0" w:color="auto"/>
            </w:tcBorders>
            <w:shd w:val="clear" w:color="000000" w:fill="FFFF00"/>
            <w:noWrap/>
            <w:vAlign w:val="bottom"/>
            <w:hideMark/>
          </w:tcPr>
          <w:p w:rsidR="00723786" w:rsidRPr="00D76B68" w:rsidRDefault="00723786" w:rsidP="00723786">
            <w:pPr>
              <w:spacing w:line="240" w:lineRule="auto"/>
              <w:rPr>
                <w:rFonts w:eastAsia="Times New Roman" w:cs="Calibri"/>
                <w:sz w:val="20"/>
                <w:szCs w:val="20"/>
                <w:lang w:eastAsia="en-AU"/>
              </w:rPr>
            </w:pPr>
            <w:r w:rsidRPr="00D76B68">
              <w:rPr>
                <w:rFonts w:eastAsia="Times New Roman" w:cs="Calibri"/>
                <w:sz w:val="20"/>
                <w:szCs w:val="20"/>
                <w:lang w:eastAsia="en-AU"/>
              </w:rPr>
              <w:t>22.7%</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911</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9.6%</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SS and SAT</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1086</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11.2%</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54</w:t>
            </w:r>
          </w:p>
        </w:tc>
        <w:tc>
          <w:tcPr>
            <w:tcW w:w="1360" w:type="dxa"/>
            <w:tcBorders>
              <w:top w:val="nil"/>
              <w:left w:val="nil"/>
              <w:bottom w:val="single" w:sz="4" w:space="0" w:color="auto"/>
              <w:right w:val="single" w:sz="4" w:space="0" w:color="auto"/>
            </w:tcBorders>
            <w:shd w:val="clear" w:color="000000" w:fill="FFFF00"/>
            <w:noWrap/>
            <w:vAlign w:val="bottom"/>
            <w:hideMark/>
          </w:tcPr>
          <w:p w:rsidR="00723786" w:rsidRPr="00D76B68" w:rsidRDefault="00723786" w:rsidP="00723786">
            <w:pPr>
              <w:spacing w:line="240" w:lineRule="auto"/>
              <w:rPr>
                <w:rFonts w:eastAsia="Times New Roman" w:cs="Calibri"/>
                <w:sz w:val="20"/>
                <w:szCs w:val="20"/>
                <w:lang w:eastAsia="en-AU"/>
              </w:rPr>
            </w:pPr>
            <w:r w:rsidRPr="00D76B68">
              <w:rPr>
                <w:rFonts w:eastAsia="Times New Roman" w:cs="Calibri"/>
                <w:sz w:val="20"/>
                <w:szCs w:val="20"/>
                <w:lang w:eastAsia="en-AU"/>
              </w:rPr>
              <w:t>21.5%</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1032</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10.9%</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SS and VET module</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5127</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52.9%</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157</w:t>
            </w:r>
          </w:p>
        </w:tc>
        <w:tc>
          <w:tcPr>
            <w:tcW w:w="1360" w:type="dxa"/>
            <w:tcBorders>
              <w:top w:val="nil"/>
              <w:left w:val="nil"/>
              <w:bottom w:val="single" w:sz="4" w:space="0" w:color="auto"/>
              <w:right w:val="single" w:sz="4" w:space="0" w:color="auto"/>
            </w:tcBorders>
            <w:shd w:val="clear" w:color="000000" w:fill="FFFF00"/>
            <w:noWrap/>
            <w:vAlign w:val="bottom"/>
            <w:hideMark/>
          </w:tcPr>
          <w:p w:rsidR="00723786" w:rsidRPr="00D76B68" w:rsidRDefault="00723786" w:rsidP="00723786">
            <w:pPr>
              <w:spacing w:line="240" w:lineRule="auto"/>
              <w:rPr>
                <w:rFonts w:eastAsia="Times New Roman" w:cs="Calibri"/>
                <w:sz w:val="20"/>
                <w:szCs w:val="20"/>
                <w:lang w:eastAsia="en-AU"/>
              </w:rPr>
            </w:pPr>
            <w:r w:rsidRPr="00D76B68">
              <w:rPr>
                <w:rFonts w:eastAsia="Times New Roman" w:cs="Calibri"/>
                <w:sz w:val="20"/>
                <w:szCs w:val="20"/>
                <w:lang w:eastAsia="en-AU"/>
              </w:rPr>
              <w:t>62.5%</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4970</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52.6%</w:t>
            </w:r>
          </w:p>
        </w:tc>
      </w:tr>
      <w:tr w:rsidR="00723786" w:rsidRPr="00F33BD9" w:rsidTr="00723786">
        <w:trPr>
          <w:trHeight w:val="255"/>
        </w:trPr>
        <w:tc>
          <w:tcPr>
            <w:tcW w:w="2120" w:type="dxa"/>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SS and OP</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6663</w:t>
            </w:r>
          </w:p>
        </w:tc>
        <w:tc>
          <w:tcPr>
            <w:tcW w:w="15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68.7%</w:t>
            </w:r>
          </w:p>
        </w:tc>
        <w:tc>
          <w:tcPr>
            <w:tcW w:w="146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92</w:t>
            </w:r>
          </w:p>
        </w:tc>
        <w:tc>
          <w:tcPr>
            <w:tcW w:w="1360" w:type="dxa"/>
            <w:tcBorders>
              <w:top w:val="nil"/>
              <w:left w:val="nil"/>
              <w:bottom w:val="single" w:sz="4" w:space="0" w:color="auto"/>
              <w:right w:val="single" w:sz="4" w:space="0" w:color="auto"/>
            </w:tcBorders>
            <w:shd w:val="clear" w:color="000000" w:fill="FFFF00"/>
            <w:noWrap/>
            <w:vAlign w:val="bottom"/>
            <w:hideMark/>
          </w:tcPr>
          <w:p w:rsidR="00723786" w:rsidRPr="00D76B68" w:rsidRDefault="00723786" w:rsidP="00723786">
            <w:pPr>
              <w:spacing w:line="240" w:lineRule="auto"/>
              <w:rPr>
                <w:rFonts w:eastAsia="Times New Roman" w:cs="Calibri"/>
                <w:sz w:val="20"/>
                <w:szCs w:val="20"/>
                <w:lang w:eastAsia="en-AU"/>
              </w:rPr>
            </w:pPr>
            <w:r w:rsidRPr="00D76B68">
              <w:rPr>
                <w:rFonts w:eastAsia="Times New Roman" w:cs="Calibri"/>
                <w:sz w:val="20"/>
                <w:szCs w:val="20"/>
                <w:lang w:eastAsia="en-AU"/>
              </w:rPr>
              <w:t>36.7%</w:t>
            </w:r>
          </w:p>
        </w:tc>
        <w:tc>
          <w:tcPr>
            <w:tcW w:w="1200" w:type="dxa"/>
            <w:tcBorders>
              <w:top w:val="nil"/>
              <w:left w:val="nil"/>
              <w:bottom w:val="single" w:sz="4" w:space="0" w:color="auto"/>
              <w:right w:val="single" w:sz="4"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6571</w:t>
            </w:r>
          </w:p>
        </w:tc>
        <w:tc>
          <w:tcPr>
            <w:tcW w:w="1220" w:type="dxa"/>
            <w:tcBorders>
              <w:top w:val="nil"/>
              <w:left w:val="nil"/>
              <w:bottom w:val="single" w:sz="4" w:space="0" w:color="auto"/>
              <w:right w:val="single" w:sz="8" w:space="0" w:color="auto"/>
            </w:tcBorders>
            <w:shd w:val="clear" w:color="auto" w:fill="auto"/>
            <w:noWrap/>
            <w:vAlign w:val="bottom"/>
            <w:hideMark/>
          </w:tcPr>
          <w:p w:rsidR="00723786" w:rsidRPr="00F33BD9" w:rsidRDefault="00723786" w:rsidP="00723786">
            <w:pPr>
              <w:spacing w:line="240" w:lineRule="auto"/>
              <w:rPr>
                <w:rFonts w:eastAsia="Times New Roman" w:cs="Calibri"/>
                <w:sz w:val="20"/>
                <w:szCs w:val="20"/>
                <w:lang w:eastAsia="en-AU"/>
              </w:rPr>
            </w:pPr>
            <w:r w:rsidRPr="00F33BD9">
              <w:rPr>
                <w:rFonts w:eastAsia="Times New Roman" w:cs="Calibri"/>
                <w:sz w:val="20"/>
                <w:szCs w:val="20"/>
                <w:lang w:eastAsia="en-AU"/>
              </w:rPr>
              <w:t>69.5%</w:t>
            </w:r>
          </w:p>
        </w:tc>
      </w:tr>
    </w:tbl>
    <w:p w:rsidR="00224061" w:rsidRDefault="00224061" w:rsidP="00010883">
      <w:pPr>
        <w:rPr>
          <w:rFonts w:cs="Calibri"/>
          <w:b/>
        </w:rPr>
      </w:pPr>
    </w:p>
    <w:p w:rsidR="0040278E" w:rsidRPr="00F33BD9" w:rsidRDefault="0040278E" w:rsidP="00DE75DF">
      <w:pPr>
        <w:pStyle w:val="Heading2"/>
      </w:pPr>
      <w:bookmarkStart w:id="31" w:name="_Toc365385412"/>
      <w:r w:rsidRPr="00F33BD9">
        <w:t>The Compact with Young Australians</w:t>
      </w:r>
      <w:bookmarkEnd w:id="31"/>
    </w:p>
    <w:p w:rsidR="00224061" w:rsidRDefault="00224C17" w:rsidP="00DE75DF">
      <w:pPr>
        <w:pStyle w:val="BodyText2"/>
      </w:pPr>
      <w:r>
        <w:t xml:space="preserve">As reported in the 2010 report, Queensland’s Education and Training Reforms for the Future (ETRF) </w:t>
      </w:r>
      <w:r>
        <w:rPr>
          <w:rFonts w:eastAsia="SimSun"/>
          <w:lang w:eastAsia="zh-CN"/>
        </w:rPr>
        <w:t xml:space="preserve">launched in 2002 and embedded in Queensland’s legislation since </w:t>
      </w:r>
      <w:r>
        <w:t xml:space="preserve">2004 has improved participation and has placed Queensland in a strong position to achieve the YAT-NP targets.   In addition, the Queensland </w:t>
      </w:r>
      <w:r w:rsidRPr="00FB451B">
        <w:rPr>
          <w:i/>
        </w:rPr>
        <w:t>Education (General Provisions) Act</w:t>
      </w:r>
      <w:r>
        <w:t xml:space="preserve"> 2006 meets the requirement for compulsory schooling until completion of Year 10, and for mandatory full‐time participation in education, training or employment, or a combination of these activities, until age 17.</w:t>
      </w:r>
    </w:p>
    <w:p w:rsidR="009A0717" w:rsidRDefault="00224C17" w:rsidP="00DE75DF">
      <w:pPr>
        <w:pStyle w:val="BodyText2"/>
        <w:sectPr w:rsidR="009A0717" w:rsidSect="005F2405">
          <w:pgSz w:w="11906" w:h="16838"/>
          <w:pgMar w:top="720" w:right="991" w:bottom="720" w:left="1134" w:header="568" w:footer="708" w:gutter="0"/>
          <w:cols w:space="708"/>
          <w:docGrid w:linePitch="360"/>
        </w:sectPr>
      </w:pPr>
      <w:r>
        <w:t xml:space="preserve"> </w:t>
      </w:r>
    </w:p>
    <w:p w:rsidR="009A0717" w:rsidRPr="009A0717" w:rsidRDefault="009A0717" w:rsidP="00085F93">
      <w:pPr>
        <w:pStyle w:val="Heading1"/>
        <w:spacing w:before="0"/>
      </w:pPr>
      <w:bookmarkStart w:id="32" w:name="_Toc320196900"/>
      <w:bookmarkStart w:id="33" w:name="_Toc365385413"/>
      <w:r w:rsidRPr="009A0717">
        <w:lastRenderedPageBreak/>
        <w:t>ANNEXURE 1</w:t>
      </w:r>
      <w:bookmarkEnd w:id="32"/>
      <w:r w:rsidRPr="009A0717">
        <w:t xml:space="preserve"> A – Youth Connections - QLD</w:t>
      </w:r>
      <w:bookmarkEnd w:id="33"/>
    </w:p>
    <w:p w:rsidR="009A0717" w:rsidRPr="009A0717" w:rsidRDefault="009A0717" w:rsidP="00085F93">
      <w:pPr>
        <w:pStyle w:val="Heading2"/>
        <w:spacing w:before="120" w:after="0"/>
        <w:rPr>
          <w:lang w:eastAsia="en-AU"/>
        </w:rPr>
      </w:pPr>
      <w:bookmarkStart w:id="34" w:name="_Toc365385414"/>
      <w:r w:rsidRPr="009A0717">
        <w:rPr>
          <w:lang w:eastAsia="en-AU"/>
        </w:rPr>
        <w:t>National Summary</w:t>
      </w:r>
      <w:bookmarkEnd w:id="34"/>
    </w:p>
    <w:p w:rsidR="009A0717" w:rsidRPr="009A0717" w:rsidRDefault="009A0717" w:rsidP="009A0717">
      <w:pPr>
        <w:spacing w:line="240" w:lineRule="auto"/>
        <w:rPr>
          <w:rFonts w:eastAsia="Times New Roman"/>
          <w:sz w:val="24"/>
          <w:szCs w:val="24"/>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Now in its third year of operation Youth Connections is established and performing well. </w:t>
      </w:r>
    </w:p>
    <w:p w:rsidR="009A0717" w:rsidRPr="009A0717" w:rsidRDefault="009A0717" w:rsidP="009A0717">
      <w:pPr>
        <w:spacing w:line="240" w:lineRule="auto"/>
        <w:rPr>
          <w:rFonts w:eastAsia="Times New Roman"/>
          <w:lang w:eastAsia="en-AU"/>
        </w:rPr>
      </w:pPr>
      <w:r w:rsidRPr="009A0717">
        <w:rPr>
          <w:rFonts w:eastAsia="Times New Roman"/>
          <w:lang w:eastAsia="en-AU"/>
        </w:rPr>
        <w:t>Some key achievements over the past two years:</w:t>
      </w:r>
    </w:p>
    <w:p w:rsidR="009A0717" w:rsidRPr="009A0717" w:rsidRDefault="009A0717" w:rsidP="00134652">
      <w:pPr>
        <w:numPr>
          <w:ilvl w:val="0"/>
          <w:numId w:val="12"/>
        </w:numPr>
        <w:spacing w:line="240" w:lineRule="auto"/>
        <w:contextualSpacing/>
      </w:pPr>
      <w:r w:rsidRPr="009A0717">
        <w:t>Youth Connections providers are engaging young people from disadvantaged backgrounds. 39% of Individual Support Services participants are in the most disadvantage Socio-Economic Indexes for Areas quintile compared to 13% of the total population.</w:t>
      </w:r>
    </w:p>
    <w:p w:rsidR="009A0717" w:rsidRPr="009A0717" w:rsidRDefault="009A0717" w:rsidP="00134652">
      <w:pPr>
        <w:numPr>
          <w:ilvl w:val="0"/>
          <w:numId w:val="12"/>
        </w:numPr>
        <w:spacing w:line="240" w:lineRule="auto"/>
        <w:contextualSpacing/>
      </w:pPr>
      <w:r w:rsidRPr="009A0717">
        <w:t>The subjective wellbeing of young people receiving Individual Support Services improved during their time in the program.</w:t>
      </w:r>
    </w:p>
    <w:p w:rsidR="009A0717" w:rsidRPr="009A0717" w:rsidRDefault="009A0717" w:rsidP="00134652">
      <w:pPr>
        <w:numPr>
          <w:ilvl w:val="0"/>
          <w:numId w:val="12"/>
        </w:numPr>
        <w:spacing w:line="240" w:lineRule="auto"/>
        <w:contextualSpacing/>
      </w:pPr>
      <w:r w:rsidRPr="009A0717">
        <w:t xml:space="preserve">Early findings from the evaluation of the Youth Attainment and Transitions National Partnership (undertaken by </w:t>
      </w:r>
      <w:proofErr w:type="spellStart"/>
      <w:r w:rsidRPr="009A0717">
        <w:t>dandolopartners</w:t>
      </w:r>
      <w:proofErr w:type="spellEnd"/>
      <w:r w:rsidRPr="009A0717">
        <w:t>) are positive - Youth Connections is performing as intended. The evaluation highlighted areas for DEEWR attention and program refinement.</w:t>
      </w:r>
    </w:p>
    <w:p w:rsidR="009A0717" w:rsidRPr="009A0717" w:rsidRDefault="009A0717" w:rsidP="00134652">
      <w:pPr>
        <w:numPr>
          <w:ilvl w:val="0"/>
          <w:numId w:val="12"/>
        </w:numPr>
        <w:spacing w:line="240" w:lineRule="auto"/>
        <w:contextualSpacing/>
      </w:pPr>
      <w:r w:rsidRPr="009A0717">
        <w:t>The flexibility of the model and the focus on disadvantaged groups has attracted additional funding for both the program and more importantly to provider organisations:</w:t>
      </w:r>
    </w:p>
    <w:p w:rsidR="009A0717" w:rsidRPr="009A0717" w:rsidRDefault="009A0717" w:rsidP="00085F93">
      <w:pPr>
        <w:numPr>
          <w:ilvl w:val="0"/>
          <w:numId w:val="13"/>
        </w:numPr>
        <w:spacing w:after="120" w:line="240" w:lineRule="auto"/>
        <w:ind w:left="993" w:right="-142"/>
        <w:contextualSpacing/>
        <w:rPr>
          <w:rFonts w:cs="Calibri"/>
        </w:rPr>
      </w:pPr>
      <w:r w:rsidRPr="009A0717">
        <w:t>An additional $1.4 million for Youth Connections in the 2011-12 Budget to better support teenage parents in 10 locations</w:t>
      </w:r>
    </w:p>
    <w:p w:rsidR="009A0717" w:rsidRPr="009A0717" w:rsidRDefault="009A0717" w:rsidP="00085F93">
      <w:pPr>
        <w:numPr>
          <w:ilvl w:val="0"/>
          <w:numId w:val="13"/>
        </w:numPr>
        <w:spacing w:after="120" w:line="240" w:lineRule="auto"/>
        <w:ind w:left="993" w:right="-142"/>
        <w:contextualSpacing/>
        <w:rPr>
          <w:rFonts w:cs="Calibri"/>
        </w:rPr>
      </w:pPr>
      <w:r w:rsidRPr="009A0717">
        <w:t xml:space="preserve">Three Youth Connections </w:t>
      </w:r>
      <w:r w:rsidRPr="009A0717">
        <w:rPr>
          <w:rFonts w:cs="Calibri"/>
        </w:rPr>
        <w:t>providers have been contracted to deliver the $3.5 million Youth Connections/Reducing Substance Abuse Pilot Projects for two years (2011-2012)</w:t>
      </w:r>
    </w:p>
    <w:p w:rsidR="009A0717" w:rsidRPr="009A0717" w:rsidRDefault="009A0717" w:rsidP="00085F93">
      <w:pPr>
        <w:numPr>
          <w:ilvl w:val="0"/>
          <w:numId w:val="13"/>
        </w:numPr>
        <w:spacing w:after="120" w:line="240" w:lineRule="auto"/>
        <w:ind w:left="993" w:right="-142"/>
        <w:contextualSpacing/>
        <w:rPr>
          <w:rFonts w:cs="Calibri"/>
        </w:rPr>
      </w:pPr>
      <w:r w:rsidRPr="009A0717">
        <w:t>The network of Youth Connections</w:t>
      </w:r>
      <w:r w:rsidRPr="009A0717">
        <w:rPr>
          <w:rFonts w:cs="Calibri"/>
        </w:rPr>
        <w:t xml:space="preserve"> providers in Victoria is being used for ‘Springboard’ a new Victorian Government program to support young people in residential out-of-home care ($16.9 million over four years).   </w:t>
      </w:r>
    </w:p>
    <w:p w:rsidR="009A0717" w:rsidRPr="009A0717" w:rsidRDefault="009A0717" w:rsidP="00F275DD">
      <w:pPr>
        <w:pStyle w:val="Heading3"/>
        <w:rPr>
          <w:lang w:eastAsia="en-AU"/>
        </w:rPr>
      </w:pPr>
      <w:r w:rsidRPr="009A0717">
        <w:rPr>
          <w:lang w:eastAsia="en-AU"/>
        </w:rPr>
        <w:t>Individual Support Services</w:t>
      </w:r>
    </w:p>
    <w:p w:rsidR="009A0717" w:rsidRPr="009A0717" w:rsidRDefault="009A0717" w:rsidP="009A0717">
      <w:pPr>
        <w:spacing w:line="240" w:lineRule="auto"/>
        <w:rPr>
          <w:rFonts w:eastAsia="Times New Roman"/>
          <w:lang w:eastAsia="en-AU"/>
        </w:rPr>
      </w:pPr>
      <w:r w:rsidRPr="009A0717">
        <w:rPr>
          <w:rFonts w:eastAsia="Times New Roman" w:cs="Calibri"/>
          <w:lang w:eastAsia="en-AU"/>
        </w:rPr>
        <w:t>Under ‘</w:t>
      </w:r>
      <w:r w:rsidRPr="009A0717">
        <w:rPr>
          <w:rFonts w:eastAsia="Times New Roman"/>
          <w:i/>
          <w:iCs/>
          <w:szCs w:val="24"/>
          <w:lang w:eastAsia="en-AU"/>
        </w:rPr>
        <w:t>Individual Support Services’,</w:t>
      </w:r>
      <w:r w:rsidRPr="009A0717">
        <w:rPr>
          <w:rFonts w:eastAsia="Times New Roman" w:cs="Calibri"/>
          <w:lang w:eastAsia="en-AU"/>
        </w:rPr>
        <w:t xml:space="preserve"> Youth Connections providers delivered flexible and individualised services to young people at risk, including those who are most at risk of disengaging from learning or disconnecting from school or education, through to those who are severely disconnected from education, family and community.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In the first two years of operation, Youth Connections provided Individual Support Services to 38,102 young people. 22,574 (59%) young people achieved a final outcome in the program, which represents re-engagement or a sustained improvement in a young person’s engagement with education, training or employment. A further 6,828 (18%) were assessed as making significant progress in addressing their barriers to full engagement in education.</w:t>
      </w:r>
      <w:r w:rsidRPr="009A0717">
        <w:rPr>
          <w:rFonts w:eastAsia="Times New Roman" w:cs="Calibri"/>
          <w:lang w:eastAsia="en-AU"/>
        </w:rPr>
        <w:t xml:space="preserve"> Individual Support Services</w:t>
      </w:r>
      <w:r w:rsidRPr="009A0717">
        <w:rPr>
          <w:rFonts w:eastAsia="Times New Roman" w:cs="Calibri"/>
          <w:i/>
          <w:lang w:eastAsia="en-AU"/>
        </w:rPr>
        <w:t xml:space="preserve"> </w:t>
      </w:r>
      <w:r w:rsidRPr="009A0717">
        <w:rPr>
          <w:rFonts w:eastAsia="Times New Roman" w:cs="Calibri"/>
          <w:lang w:eastAsia="en-AU"/>
        </w:rPr>
        <w:t>appeared to help young people to re-engage in education and training.</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Youth Connections service providers apply the </w:t>
      </w:r>
      <w:r w:rsidRPr="009A0717">
        <w:rPr>
          <w:rFonts w:eastAsia="Times New Roman"/>
          <w:i/>
          <w:iCs/>
          <w:szCs w:val="24"/>
          <w:lang w:eastAsia="en-AU"/>
        </w:rPr>
        <w:t>Personal Wellbeing Index – School Children</w:t>
      </w:r>
      <w:r w:rsidRPr="009A0717">
        <w:rPr>
          <w:rFonts w:eastAsia="Times New Roman"/>
          <w:lang w:eastAsia="en-AU"/>
        </w:rPr>
        <w:t xml:space="preserve"> to assess the Subjective Wellbeing of </w:t>
      </w:r>
      <w:r w:rsidRPr="009A0717">
        <w:rPr>
          <w:rFonts w:eastAsia="Times New Roman" w:cs="Calibri"/>
          <w:lang w:eastAsia="en-AU"/>
        </w:rPr>
        <w:t>Individual Support Service</w:t>
      </w:r>
      <w:r w:rsidRPr="009A0717">
        <w:rPr>
          <w:rFonts w:eastAsia="Times New Roman" w:cs="Calibri"/>
          <w:i/>
          <w:lang w:eastAsia="en-AU"/>
        </w:rPr>
        <w:t xml:space="preserve"> </w:t>
      </w:r>
      <w:r w:rsidRPr="009A0717">
        <w:rPr>
          <w:rFonts w:eastAsia="Times New Roman"/>
          <w:lang w:eastAsia="en-AU"/>
        </w:rPr>
        <w:t>recipients. The survey is completed at entry and exit. 7,779 participants completed the survey. A significant 5.86 percentage point increase in Subjective Wellbeing was observed from when the participant entered the program compared to when they exited the program</w:t>
      </w:r>
      <w:r w:rsidRPr="009A0717">
        <w:rPr>
          <w:rFonts w:eastAsia="Times New Roman"/>
          <w:vertAlign w:val="superscript"/>
          <w:lang w:eastAsia="en-AU"/>
        </w:rPr>
        <w:footnoteReference w:id="13"/>
      </w:r>
      <w:r w:rsidRPr="009A0717">
        <w:rPr>
          <w:rFonts w:eastAsia="Times New Roman"/>
          <w:lang w:eastAsia="en-AU"/>
        </w:rPr>
        <w:t xml:space="preserve">. This is a very positive result and suggests that the Youth Connections program is having a substantial and positive impact on the personal wellbeing of many young people who have completed the program, at least in the short term. These data also suggests a considerable reduction in the proportion of young people who are likely to be depressed or at high-risk for depression after participating in Youth Connections. </w:t>
      </w:r>
    </w:p>
    <w:p w:rsidR="009A0717" w:rsidRPr="009A0717" w:rsidRDefault="009A0717" w:rsidP="009A0717">
      <w:pPr>
        <w:spacing w:after="120" w:line="240" w:lineRule="auto"/>
        <w:rPr>
          <w:rFonts w:eastAsia="Times New Roman"/>
          <w:lang w:eastAsia="en-AU"/>
        </w:rPr>
      </w:pPr>
      <w:r w:rsidRPr="009A0717">
        <w:rPr>
          <w:rFonts w:eastAsia="Times New Roman"/>
          <w:lang w:eastAsia="en-AU"/>
        </w:rPr>
        <w:t xml:space="preserve">While Youth Connections is performing well, supporting the needs of Youth Connections participants is a complex and resource-intensive challenge for providers. Demand for Individual Support Services outstrips program capacity, and some providers are unable to take on all referrals. </w:t>
      </w:r>
    </w:p>
    <w:p w:rsidR="009A0717" w:rsidRPr="009A0717" w:rsidRDefault="009A0717" w:rsidP="00F275DD">
      <w:pPr>
        <w:pStyle w:val="Heading3"/>
        <w:rPr>
          <w:lang w:eastAsia="en-AU"/>
        </w:rPr>
      </w:pPr>
      <w:r w:rsidRPr="009A0717">
        <w:rPr>
          <w:lang w:eastAsia="en-AU"/>
        </w:rPr>
        <w:lastRenderedPageBreak/>
        <w:t>Outreach and Re-engagement Activities</w:t>
      </w:r>
    </w:p>
    <w:p w:rsidR="009A0717" w:rsidRPr="009A0717" w:rsidRDefault="009A0717" w:rsidP="009A0717">
      <w:pPr>
        <w:spacing w:line="240" w:lineRule="auto"/>
        <w:rPr>
          <w:rFonts w:eastAsia="Times New Roman" w:cs="Calibri"/>
          <w:lang w:eastAsia="en-AU"/>
        </w:rPr>
      </w:pPr>
      <w:proofErr w:type="gramStart"/>
      <w:r w:rsidRPr="009A0717">
        <w:rPr>
          <w:rFonts w:eastAsia="Times New Roman" w:cs="Calibri"/>
          <w:lang w:eastAsia="en-AU"/>
        </w:rPr>
        <w:t>Under ‘</w:t>
      </w:r>
      <w:r w:rsidRPr="009A0717">
        <w:rPr>
          <w:rFonts w:eastAsia="Times New Roman"/>
          <w:i/>
          <w:iCs/>
          <w:szCs w:val="24"/>
          <w:lang w:eastAsia="en-AU"/>
        </w:rPr>
        <w:t>Outreach and Re-engagement Activities’</w:t>
      </w:r>
      <w:r w:rsidRPr="009A0717">
        <w:rPr>
          <w:rFonts w:eastAsia="Times New Roman" w:cs="Calibri"/>
          <w:lang w:eastAsia="en-AU"/>
        </w:rPr>
        <w:t>, Youth Connections providers offer proactive, youth focused re-engagement activities and outreach services.</w:t>
      </w:r>
      <w:proofErr w:type="gramEnd"/>
      <w:r w:rsidRPr="009A0717">
        <w:rPr>
          <w:rFonts w:eastAsia="Times New Roman" w:cs="Calibri"/>
          <w:lang w:eastAsia="en-AU"/>
        </w:rPr>
        <w:t xml:space="preserve"> Outreach and </w:t>
      </w:r>
    </w:p>
    <w:p w:rsidR="009A0717" w:rsidRPr="009A0717" w:rsidRDefault="009A0717" w:rsidP="009A0717">
      <w:pPr>
        <w:spacing w:line="240" w:lineRule="auto"/>
        <w:rPr>
          <w:rFonts w:eastAsia="Times New Roman"/>
          <w:lang w:eastAsia="en-AU"/>
        </w:rPr>
      </w:pPr>
      <w:r w:rsidRPr="009A0717">
        <w:rPr>
          <w:rFonts w:eastAsia="Times New Roman" w:cs="Calibri"/>
          <w:lang w:eastAsia="en-AU"/>
        </w:rPr>
        <w:t>Re-engagement Activities aim to find severely disengaged young people, and to connect these young people with activities to support their re-engagement with learning, family and community.</w:t>
      </w:r>
      <w:r w:rsidRPr="009A0717">
        <w:rPr>
          <w:rFonts w:eastAsia="Times New Roman"/>
          <w:lang w:eastAsia="en-AU"/>
        </w:rPr>
        <w:t xml:space="preserve"> 10,607 activities were held to find and connect with at-risk young people, with providers linking with 276,982 young people through these activities.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cs="Calibri"/>
          <w:lang w:eastAsia="en-AU"/>
        </w:rPr>
      </w:pPr>
      <w:r w:rsidRPr="009A0717">
        <w:rPr>
          <w:rFonts w:eastAsia="Times New Roman" w:cs="Calibri"/>
          <w:lang w:eastAsia="en-AU"/>
        </w:rPr>
        <w:t xml:space="preserve">Early findings from the Youth Attainment and Transitions National Partnership evaluation show that Outreach and Re-engagement Activities services began slowly, but are making inroads towards targeted outcomes. </w:t>
      </w:r>
      <w:r w:rsidRPr="009A0717">
        <w:rPr>
          <w:rFonts w:eastAsia="Times New Roman"/>
          <w:lang w:eastAsia="en-AU"/>
        </w:rPr>
        <w:t xml:space="preserve">Improving provider understanding and performance </w:t>
      </w:r>
      <w:r w:rsidRPr="009A0717">
        <w:rPr>
          <w:rFonts w:eastAsia="Times New Roman" w:cs="Calibri"/>
          <w:lang w:eastAsia="en-AU"/>
        </w:rPr>
        <w:t>has been, and will continue to be, a focus for DEEWR.</w:t>
      </w:r>
    </w:p>
    <w:p w:rsidR="009A0717" w:rsidRPr="009A0717" w:rsidRDefault="009A0717" w:rsidP="00F275DD">
      <w:pPr>
        <w:pStyle w:val="Heading3"/>
        <w:rPr>
          <w:lang w:eastAsia="en-AU"/>
        </w:rPr>
      </w:pPr>
      <w:r w:rsidRPr="009A0717">
        <w:rPr>
          <w:lang w:eastAsia="en-AU"/>
        </w:rPr>
        <w:t>Strengthening Services in the Region Activities</w:t>
      </w:r>
    </w:p>
    <w:p w:rsidR="009A0717" w:rsidRPr="009A0717" w:rsidRDefault="009A0717" w:rsidP="009A0717">
      <w:pPr>
        <w:spacing w:line="240" w:lineRule="auto"/>
        <w:rPr>
          <w:rFonts w:eastAsia="Times New Roman"/>
          <w:lang w:eastAsia="en-AU"/>
        </w:rPr>
      </w:pPr>
      <w:r w:rsidRPr="009A0717">
        <w:rPr>
          <w:rFonts w:eastAsia="Times New Roman" w:cs="Calibri"/>
          <w:lang w:eastAsia="en-AU"/>
        </w:rPr>
        <w:t>Under ‘</w:t>
      </w:r>
      <w:r w:rsidRPr="009A0717">
        <w:rPr>
          <w:rFonts w:eastAsia="Times New Roman"/>
          <w:i/>
          <w:iCs/>
          <w:szCs w:val="24"/>
          <w:lang w:eastAsia="en-AU"/>
        </w:rPr>
        <w:t>Strengthening Services in the Region Activities’</w:t>
      </w:r>
      <w:r w:rsidRPr="009A0717">
        <w:rPr>
          <w:rFonts w:eastAsia="Times New Roman" w:cs="Calibri"/>
          <w:lang w:eastAsia="en-AU"/>
        </w:rPr>
        <w:t xml:space="preserve">, Youth Connections providers work to build capacity and strengthen services for young people at risk and ensure that providers of other services in a region are connected. </w:t>
      </w:r>
      <w:r w:rsidRPr="009A0717">
        <w:rPr>
          <w:rFonts w:eastAsia="Times New Roman"/>
          <w:lang w:eastAsia="en-AU"/>
        </w:rPr>
        <w:t xml:space="preserve">Providers undertook a range of initiatives to strengthen services in the region, with 5,386 activities held.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cs="Calibri"/>
          <w:lang w:eastAsia="en-AU"/>
        </w:rPr>
      </w:pPr>
      <w:r w:rsidRPr="009A0717">
        <w:rPr>
          <w:rFonts w:eastAsia="Times New Roman"/>
          <w:lang w:eastAsia="en-AU"/>
        </w:rPr>
        <w:t xml:space="preserve">Like Outreach and Re-Engagement Activities, </w:t>
      </w:r>
      <w:r w:rsidRPr="009A0717">
        <w:rPr>
          <w:rFonts w:eastAsia="Times New Roman" w:cs="Calibri"/>
          <w:lang w:eastAsia="en-AU"/>
        </w:rPr>
        <w:t xml:space="preserve">Strengthening Services in the Region Activities </w:t>
      </w:r>
      <w:r w:rsidRPr="009A0717">
        <w:rPr>
          <w:rFonts w:eastAsia="Times New Roman"/>
          <w:lang w:eastAsia="en-AU"/>
        </w:rPr>
        <w:t xml:space="preserve">was a less familiar service delivery component for service providers than Individual Support Services. </w:t>
      </w:r>
      <w:r w:rsidRPr="009A0717">
        <w:rPr>
          <w:rFonts w:eastAsia="Times New Roman" w:cs="Calibri"/>
          <w:lang w:eastAsia="en-AU"/>
        </w:rPr>
        <w:t xml:space="preserve">Early findings from the </w:t>
      </w:r>
      <w:proofErr w:type="spellStart"/>
      <w:r w:rsidRPr="009A0717">
        <w:rPr>
          <w:rFonts w:eastAsia="Times New Roman" w:cs="Calibri"/>
          <w:lang w:eastAsia="en-AU"/>
        </w:rPr>
        <w:t>dandolo</w:t>
      </w:r>
      <w:proofErr w:type="spellEnd"/>
      <w:r w:rsidRPr="009A0717">
        <w:rPr>
          <w:rFonts w:eastAsia="Times New Roman" w:cs="Calibri"/>
          <w:lang w:eastAsia="en-AU"/>
        </w:rPr>
        <w:t xml:space="preserve"> evaluation confirm that objectives and roles for Strengthening Services in the Region Activities do not appear to be consistently understood by providers.</w:t>
      </w:r>
      <w:r w:rsidRPr="009A0717">
        <w:rPr>
          <w:rFonts w:eastAsia="Times New Roman" w:cs="Calibri"/>
          <w:b/>
          <w:lang w:eastAsia="en-AU"/>
        </w:rPr>
        <w:t xml:space="preserve"> </w:t>
      </w:r>
      <w:r w:rsidRPr="009A0717">
        <w:rPr>
          <w:rFonts w:eastAsia="Times New Roman" w:cs="Calibri"/>
          <w:lang w:eastAsia="en-AU"/>
        </w:rPr>
        <w:t xml:space="preserve">While providers have been reporting effort, it appears their understanding and capacity in this area is not strong. Some of their effort has been directed toward awareness raising and promotional activities or attendance at stakeholder group meetings, neither of which would be considered ‘Strengthening Services in the Region Activities’. This area of provider performance is most closely linked with the School Business Community Partnership Brokers program, and providers are expected to work together, where appropriate, to address the needs of their region. In some regions providers are working well together and progressing partnership arrangements to improve support services, however the level of collaboration in other regions is variable. </w:t>
      </w:r>
    </w:p>
    <w:p w:rsidR="009A0717" w:rsidRPr="009A0717" w:rsidRDefault="009A0717" w:rsidP="009A0717">
      <w:pPr>
        <w:spacing w:line="240" w:lineRule="auto"/>
        <w:rPr>
          <w:rFonts w:eastAsia="Times New Roman" w:cs="Calibri"/>
          <w:lang w:eastAsia="en-AU"/>
        </w:rPr>
      </w:pPr>
    </w:p>
    <w:p w:rsidR="009A0717" w:rsidRPr="009A0717" w:rsidRDefault="009A0717" w:rsidP="009A0717">
      <w:pPr>
        <w:spacing w:line="240" w:lineRule="auto"/>
        <w:rPr>
          <w:rFonts w:eastAsia="Times New Roman" w:cs="Calibri"/>
          <w:lang w:eastAsia="en-AU"/>
        </w:rPr>
      </w:pPr>
      <w:r w:rsidRPr="009A0717">
        <w:rPr>
          <w:rFonts w:eastAsia="Times New Roman"/>
          <w:lang w:eastAsia="en-AU"/>
        </w:rPr>
        <w:t>DEEWR took steps early in the life of the program to address these issues, through revised guidelines, provider newsletters and proactive contract management. Improved provider understanding and performance against</w:t>
      </w:r>
      <w:r w:rsidRPr="009A0717">
        <w:rPr>
          <w:rFonts w:eastAsia="Times New Roman" w:cs="Calibri"/>
          <w:lang w:eastAsia="en-AU"/>
        </w:rPr>
        <w:t xml:space="preserve"> this element has been, and will continue to be, a focus for DEEWR in 2012.</w:t>
      </w:r>
    </w:p>
    <w:p w:rsidR="009A0717" w:rsidRPr="009A0717" w:rsidRDefault="009A0717" w:rsidP="00F275DD">
      <w:pPr>
        <w:pStyle w:val="Heading3"/>
        <w:rPr>
          <w:lang w:eastAsia="en-AU"/>
        </w:rPr>
      </w:pPr>
      <w:r w:rsidRPr="009A0717">
        <w:rPr>
          <w:lang w:eastAsia="en-AU"/>
        </w:rPr>
        <w:t>Indigenous youth and humanitarian refugees</w:t>
      </w: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The Youth Connections program includes a focus on Indigenous and humanitarian refugee young people. These two groups are more likely to be at risk and may require mainstream programs to be tailored to meet their specific needs.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In the first two years of operation</w:t>
      </w:r>
      <w:r w:rsidRPr="009A0717" w:rsidDel="00633E12">
        <w:rPr>
          <w:rFonts w:eastAsia="Times New Roman"/>
          <w:lang w:eastAsia="en-AU"/>
        </w:rPr>
        <w:t xml:space="preserve"> </w:t>
      </w:r>
      <w:r w:rsidRPr="009A0717">
        <w:rPr>
          <w:rFonts w:eastAsia="Times New Roman"/>
          <w:lang w:eastAsia="en-AU"/>
        </w:rPr>
        <w:t xml:space="preserve">6,803 Indigenous young people received Individual Support Services, and 30% of outreach activities included an Indigenous focus. The program continued to effectively engage Indigenous young people, who annually represented 19% of the caseload in 2011 - a small increase from 2010 (18%). While the rate of Indigenous young people achieving final outcomes is lower than for non-Indigenous (approximately 10% lower), 3,306 (46%) Indigenous young people achieved a final outcome in the program, and a further 1,498 (22%) made progress in addressing their barriers to engagement.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For humanitarian refugee participants the program was slower to deliver support and achieve </w:t>
      </w:r>
      <w:proofErr w:type="gramStart"/>
      <w:r w:rsidRPr="009A0717">
        <w:rPr>
          <w:rFonts w:eastAsia="Times New Roman"/>
          <w:lang w:eastAsia="en-AU"/>
        </w:rPr>
        <w:t>outcomes,</w:t>
      </w:r>
      <w:proofErr w:type="gramEnd"/>
      <w:r w:rsidRPr="009A0717">
        <w:rPr>
          <w:rFonts w:eastAsia="Times New Roman"/>
          <w:lang w:eastAsia="en-AU"/>
        </w:rPr>
        <w:t xml:space="preserve"> however improvements were apparent in 2011. This was a focus area for DEEWR during 2011 and providers received information, data and advice on how to better engage this group. DEEWR worked closely with the Department of Immigration and Citizenship, as well as consulting with state and territory governments on </w:t>
      </w:r>
      <w:r w:rsidRPr="009A0717">
        <w:rPr>
          <w:rFonts w:eastAsia="Times New Roman"/>
          <w:lang w:eastAsia="en-AU"/>
        </w:rPr>
        <w:lastRenderedPageBreak/>
        <w:t xml:space="preserve">the revised data. Nationally, 160 humanitarian refugees received Individual Support Services from Youth Connections providers in 2010, this number more than doubled in 2011 to 340.  </w:t>
      </w:r>
    </w:p>
    <w:p w:rsidR="009A0717" w:rsidRPr="009A0717" w:rsidRDefault="009A0717" w:rsidP="00F275DD">
      <w:pPr>
        <w:pStyle w:val="Heading3"/>
        <w:rPr>
          <w:lang w:eastAsia="en-AU"/>
        </w:rPr>
      </w:pPr>
      <w:r w:rsidRPr="009A0717">
        <w:rPr>
          <w:lang w:eastAsia="en-AU"/>
        </w:rPr>
        <w:t>Provider networks</w:t>
      </w:r>
    </w:p>
    <w:p w:rsidR="009A0717" w:rsidRPr="009A0717" w:rsidRDefault="009A0717" w:rsidP="009A0717">
      <w:pPr>
        <w:spacing w:line="240" w:lineRule="auto"/>
        <w:rPr>
          <w:rFonts w:eastAsia="Times New Roman" w:cs="Calibri"/>
          <w:lang w:eastAsia="en-AU"/>
        </w:rPr>
      </w:pPr>
      <w:r w:rsidRPr="009A0717">
        <w:rPr>
          <w:rFonts w:eastAsia="Times New Roman" w:cs="Calibri"/>
          <w:lang w:eastAsia="en-AU"/>
        </w:rPr>
        <w:t xml:space="preserve">DEEWR continues to work closely with the state and national Youth Connections provider networks, which are an important forum to engage key stakeholders and improve program delivery and outcomes. </w:t>
      </w:r>
    </w:p>
    <w:p w:rsidR="009A0717" w:rsidRPr="009A0717" w:rsidRDefault="009A0717" w:rsidP="009A0717">
      <w:pPr>
        <w:spacing w:line="240" w:lineRule="auto"/>
        <w:rPr>
          <w:rFonts w:eastAsia="Times New Roman" w:cs="Calibri"/>
          <w:lang w:eastAsia="en-AU"/>
        </w:rPr>
      </w:pPr>
    </w:p>
    <w:p w:rsidR="009A0717" w:rsidRPr="009A0717" w:rsidRDefault="009A0717" w:rsidP="009A0717">
      <w:pPr>
        <w:spacing w:line="240" w:lineRule="auto"/>
        <w:rPr>
          <w:rFonts w:eastAsia="Times New Roman" w:cs="Calibri"/>
          <w:lang w:eastAsia="en-AU"/>
        </w:rPr>
      </w:pPr>
      <w:r w:rsidRPr="009A0717">
        <w:rPr>
          <w:rFonts w:eastAsia="Times New Roman" w:cs="Calibri"/>
          <w:lang w:eastAsia="en-AU"/>
        </w:rPr>
        <w:t>The national Youth Connections provider network priorities for 2012 are:</w:t>
      </w:r>
    </w:p>
    <w:p w:rsidR="009A0717" w:rsidRPr="009A0717" w:rsidRDefault="009A0717" w:rsidP="00134652">
      <w:pPr>
        <w:numPr>
          <w:ilvl w:val="0"/>
          <w:numId w:val="15"/>
        </w:numPr>
        <w:spacing w:line="240" w:lineRule="auto"/>
      </w:pPr>
      <w:r w:rsidRPr="009A0717">
        <w:t>Create a greater awareness of the Youth Connections program with key stakeholders</w:t>
      </w:r>
    </w:p>
    <w:p w:rsidR="009A0717" w:rsidRPr="009A0717" w:rsidRDefault="009A0717" w:rsidP="00134652">
      <w:pPr>
        <w:numPr>
          <w:ilvl w:val="0"/>
          <w:numId w:val="15"/>
        </w:numPr>
        <w:spacing w:line="240" w:lineRule="auto"/>
      </w:pPr>
      <w:r w:rsidRPr="009A0717">
        <w:t>Undertake a project under Strengthening Services to improve access and support for young people in youth justice</w:t>
      </w:r>
    </w:p>
    <w:p w:rsidR="009A0717" w:rsidRPr="009A0717" w:rsidRDefault="009A0717" w:rsidP="00134652">
      <w:pPr>
        <w:numPr>
          <w:ilvl w:val="0"/>
          <w:numId w:val="15"/>
        </w:numPr>
        <w:spacing w:line="240" w:lineRule="auto"/>
      </w:pPr>
      <w:r w:rsidRPr="009A0717">
        <w:t>Provide input into the findings of the Youth Attainment and Transitions National Partnership Evaluation and the Schools Funding Review</w:t>
      </w:r>
    </w:p>
    <w:p w:rsidR="009A0717" w:rsidRPr="009A0717" w:rsidRDefault="009A0717" w:rsidP="00134652">
      <w:pPr>
        <w:numPr>
          <w:ilvl w:val="0"/>
          <w:numId w:val="15"/>
        </w:numPr>
        <w:spacing w:line="240" w:lineRule="auto"/>
      </w:pPr>
      <w:r w:rsidRPr="009A0717">
        <w:t>Continue to develop the program with an emphasis on improving Outreach and Re-engagement and Strengthening Services in the Region Activities.</w:t>
      </w:r>
    </w:p>
    <w:p w:rsidR="009A0717" w:rsidRPr="009A0717" w:rsidRDefault="009A0717" w:rsidP="00F275DD">
      <w:pPr>
        <w:pStyle w:val="Heading3"/>
        <w:rPr>
          <w:lang w:eastAsia="en-AU"/>
        </w:rPr>
      </w:pPr>
      <w:r w:rsidRPr="009A0717">
        <w:rPr>
          <w:lang w:eastAsia="en-AU"/>
        </w:rPr>
        <w:t>YAT conference</w:t>
      </w:r>
    </w:p>
    <w:p w:rsidR="009A0717" w:rsidRPr="009A0717" w:rsidRDefault="009A0717" w:rsidP="009A0717">
      <w:pPr>
        <w:spacing w:line="240" w:lineRule="auto"/>
        <w:rPr>
          <w:rFonts w:eastAsia="Times New Roman"/>
          <w:lang w:eastAsia="en-AU"/>
        </w:rPr>
      </w:pPr>
      <w:r w:rsidRPr="009A0717">
        <w:rPr>
          <w:rFonts w:eastAsia="Times New Roman"/>
          <w:lang w:eastAsia="en-AU"/>
        </w:rPr>
        <w:t>A highlight in 2011 was the Youth Attainment and Transitions National Partnership Conference sponsored by DEEWR. The Youth Attainment and Transitions National Networks hosted the Conference on 29-30 November in Sydney. The conference theme was “Achievement through Collaboration” and this was promoted through inspiring and motivational speakers and breakout sessions. All Youth Connections and Partnership Broker providers had the opportunity to send a representative and over 550 people attended the conference.</w:t>
      </w:r>
    </w:p>
    <w:p w:rsidR="009A0717" w:rsidRPr="009A0717" w:rsidRDefault="009A0717" w:rsidP="00F275DD">
      <w:pPr>
        <w:pStyle w:val="Heading3"/>
        <w:rPr>
          <w:lang w:eastAsia="en-AU"/>
        </w:rPr>
      </w:pPr>
      <w:r w:rsidRPr="009A0717">
        <w:rPr>
          <w:lang w:eastAsia="en-AU"/>
        </w:rPr>
        <w:t>Youth Attainment and Transitions remote service providers’ forum</w:t>
      </w:r>
    </w:p>
    <w:p w:rsidR="009A0717" w:rsidRPr="009A0717" w:rsidRDefault="009A0717" w:rsidP="009A0717">
      <w:pPr>
        <w:spacing w:line="240" w:lineRule="auto"/>
        <w:rPr>
          <w:rFonts w:eastAsia="Times New Roman"/>
          <w:lang w:eastAsia="en-AU"/>
        </w:rPr>
      </w:pPr>
      <w:r w:rsidRPr="009A0717">
        <w:rPr>
          <w:rFonts w:eastAsia="Times New Roman"/>
          <w:lang w:eastAsia="en-AU"/>
        </w:rPr>
        <w:t>The Youth Attainment and Transitions National Network also hosted the Remote Service Providers Forum on 23-25 August in Alice Springs sponsored by DEEWR. Youth Connections and Partnership Brokers representatives from 25 regions attended the forum. The theme of the forum was “Conversations, Connections and Community: Supporting positive pathways for young people in remote Australia”. The forum enabled providers working a remote environment to share best practice models and attend workshops tailored for remote service delivery and supporting Indigenous youth.</w:t>
      </w:r>
    </w:p>
    <w:p w:rsidR="009A0717" w:rsidRPr="009A0717" w:rsidRDefault="009A0717" w:rsidP="00F275DD">
      <w:pPr>
        <w:pStyle w:val="Heading3"/>
        <w:rPr>
          <w:lang w:eastAsia="en-AU"/>
        </w:rPr>
      </w:pPr>
      <w:r w:rsidRPr="009A0717">
        <w:rPr>
          <w:lang w:eastAsia="en-AU"/>
        </w:rPr>
        <w:t>New website with case studies</w:t>
      </w:r>
    </w:p>
    <w:p w:rsidR="009A0717" w:rsidRPr="009A0717" w:rsidRDefault="009A0717" w:rsidP="009A0717">
      <w:pPr>
        <w:spacing w:line="240" w:lineRule="auto"/>
        <w:rPr>
          <w:rFonts w:eastAsia="Times New Roman"/>
          <w:lang w:eastAsia="en-AU"/>
        </w:rPr>
      </w:pPr>
      <w:r w:rsidRPr="009A0717">
        <w:rPr>
          <w:rFonts w:eastAsia="Times New Roman" w:cs="Calibri"/>
          <w:lang w:eastAsia="en-AU"/>
        </w:rPr>
        <w:t xml:space="preserve">Youth Connections </w:t>
      </w:r>
      <w:r w:rsidRPr="009A0717">
        <w:rPr>
          <w:rFonts w:eastAsia="Times New Roman"/>
          <w:lang w:eastAsia="en-AU"/>
        </w:rPr>
        <w:t xml:space="preserve">case studies have been developed to strengthen provider understanding, to showcase the Youth Connections program and to demonstrate effective practice. A number of case studies across the three service elements of the Youth Connections program are available on the </w:t>
      </w:r>
      <w:r w:rsidR="006808B3" w:rsidRPr="00A47C81">
        <w:rPr>
          <w:rFonts w:asciiTheme="minorHAnsi" w:hAnsiTheme="minorHAnsi" w:cstheme="minorHAnsi"/>
          <w:lang w:eastAsia="en-AU"/>
        </w:rPr>
        <w:t xml:space="preserve">new </w:t>
      </w:r>
      <w:hyperlink r:id="rId19" w:history="1">
        <w:r w:rsidR="003C4491" w:rsidRPr="003C4491">
          <w:rPr>
            <w:rStyle w:val="Hyperlink"/>
          </w:rPr>
          <w:t>Youth Attainment and Transitions website</w:t>
        </w:r>
      </w:hyperlink>
      <w:r w:rsidR="006808B3" w:rsidRPr="00A47C81">
        <w:rPr>
          <w:rFonts w:asciiTheme="minorHAnsi" w:hAnsiTheme="minorHAnsi" w:cstheme="minorHAnsi"/>
          <w:lang w:eastAsia="en-AU"/>
        </w:rPr>
        <w:t>, launched in 2011.</w:t>
      </w:r>
      <w:r w:rsidRPr="009A0717">
        <w:rPr>
          <w:rFonts w:eastAsia="Times New Roman"/>
          <w:lang w:eastAsia="en-AU"/>
        </w:rPr>
        <w:t xml:space="preserve"> </w:t>
      </w:r>
    </w:p>
    <w:p w:rsidR="009A0717" w:rsidRPr="009A0717" w:rsidRDefault="009A0717" w:rsidP="00BF7F25">
      <w:pPr>
        <w:pStyle w:val="Heading3"/>
        <w:rPr>
          <w:lang w:eastAsia="en-AU"/>
        </w:rPr>
      </w:pPr>
      <w:r w:rsidRPr="009A0717">
        <w:rPr>
          <w:lang w:eastAsia="en-AU"/>
        </w:rPr>
        <w:t>2011 DEEWR focus areas</w:t>
      </w:r>
    </w:p>
    <w:p w:rsidR="009A0717" w:rsidRPr="009A0717" w:rsidRDefault="009A0717" w:rsidP="009A0717">
      <w:pPr>
        <w:spacing w:line="240" w:lineRule="auto"/>
        <w:rPr>
          <w:rFonts w:eastAsia="Times New Roman"/>
          <w:b/>
          <w:lang w:eastAsia="en-AU"/>
        </w:rPr>
      </w:pPr>
      <w:r w:rsidRPr="009A0717">
        <w:rPr>
          <w:rFonts w:eastAsia="Times New Roman" w:cs="Calibri"/>
          <w:lang w:eastAsia="en-AU"/>
        </w:rPr>
        <w:t xml:space="preserve">At the beginning of 2011, DEEWR identified a number of areas to improve program and provider performance. Throughout 2011 DEEWR supported providers through: updating the program guidelines; additional case management support around the focus areas; bulletins to providers containing advice; meetings with provider networks; publishing good practice case studies and remapping the humanitarian refugee flagged regions. </w:t>
      </w:r>
    </w:p>
    <w:p w:rsidR="009A0717" w:rsidRPr="009A0717" w:rsidRDefault="009A0717" w:rsidP="00BF7F25">
      <w:pPr>
        <w:pStyle w:val="Heading3"/>
        <w:rPr>
          <w:lang w:eastAsia="en-AU"/>
        </w:rPr>
      </w:pPr>
      <w:r w:rsidRPr="009A0717">
        <w:rPr>
          <w:lang w:eastAsia="en-AU"/>
        </w:rPr>
        <w:t>2012 DEEWR focus areas</w:t>
      </w:r>
    </w:p>
    <w:p w:rsidR="009A0717" w:rsidRPr="009A0717" w:rsidRDefault="009A0717" w:rsidP="00134652">
      <w:pPr>
        <w:numPr>
          <w:ilvl w:val="0"/>
          <w:numId w:val="11"/>
        </w:numPr>
        <w:spacing w:line="240" w:lineRule="auto"/>
        <w:contextualSpacing/>
      </w:pPr>
      <w:r w:rsidRPr="009A0717">
        <w:t>Continued promotion of the program beyond existing service networks</w:t>
      </w:r>
    </w:p>
    <w:p w:rsidR="009A0717" w:rsidRPr="00D76B68" w:rsidRDefault="009A0717" w:rsidP="009A0717">
      <w:pPr>
        <w:numPr>
          <w:ilvl w:val="0"/>
          <w:numId w:val="11"/>
        </w:numPr>
        <w:spacing w:line="240" w:lineRule="auto"/>
        <w:contextualSpacing/>
        <w:rPr>
          <w:rFonts w:cs="Calibri"/>
        </w:rPr>
      </w:pPr>
      <w:r w:rsidRPr="009A0717">
        <w:t xml:space="preserve">Improved provider understanding and performance against ‘Outreach and Re-engagement Activities’ and </w:t>
      </w:r>
      <w:r w:rsidRPr="00D76B68">
        <w:rPr>
          <w:i/>
        </w:rPr>
        <w:t>‘</w:t>
      </w:r>
      <w:r w:rsidRPr="00D76B68">
        <w:rPr>
          <w:rFonts w:cs="Calibri"/>
        </w:rPr>
        <w:t>Strengthening Services in the Region Activities’</w:t>
      </w:r>
    </w:p>
    <w:p w:rsidR="009A0717" w:rsidRPr="009A0717" w:rsidRDefault="009A0717" w:rsidP="00134652">
      <w:pPr>
        <w:numPr>
          <w:ilvl w:val="0"/>
          <w:numId w:val="14"/>
        </w:numPr>
        <w:spacing w:line="240" w:lineRule="auto"/>
        <w:contextualSpacing/>
      </w:pPr>
      <w:r w:rsidRPr="009A0717">
        <w:lastRenderedPageBreak/>
        <w:t>Ongoing strengthening and development of the program</w:t>
      </w:r>
    </w:p>
    <w:p w:rsidR="00224061" w:rsidRDefault="009A0717" w:rsidP="00134652">
      <w:pPr>
        <w:numPr>
          <w:ilvl w:val="0"/>
          <w:numId w:val="14"/>
        </w:numPr>
        <w:spacing w:line="240" w:lineRule="auto"/>
        <w:contextualSpacing/>
      </w:pPr>
      <w:r w:rsidRPr="009A0717">
        <w:t>Continued focus on improving outcomes for Indigenous and humanitarian refugee participants.</w:t>
      </w:r>
    </w:p>
    <w:p w:rsidR="009A0717" w:rsidRPr="009A0717" w:rsidRDefault="009A0717" w:rsidP="00D35240">
      <w:pPr>
        <w:pStyle w:val="Heading2"/>
        <w:spacing w:after="0"/>
        <w:rPr>
          <w:lang w:eastAsia="en-AU"/>
        </w:rPr>
      </w:pPr>
      <w:bookmarkStart w:id="35" w:name="_Toc365385415"/>
      <w:r w:rsidRPr="009A0717">
        <w:rPr>
          <w:lang w:eastAsia="en-AU"/>
        </w:rPr>
        <w:t>Queensland Summary</w:t>
      </w:r>
      <w:bookmarkEnd w:id="35"/>
    </w:p>
    <w:p w:rsidR="009A0717" w:rsidRPr="009A0717" w:rsidRDefault="009A0717" w:rsidP="00085F93">
      <w:pPr>
        <w:pStyle w:val="Heading3"/>
        <w:spacing w:before="120"/>
        <w:rPr>
          <w:lang w:eastAsia="en-AU"/>
        </w:rPr>
      </w:pPr>
      <w:r w:rsidRPr="009A0717">
        <w:rPr>
          <w:lang w:eastAsia="en-AU"/>
        </w:rPr>
        <w:t>Context</w:t>
      </w: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In Queensland, Youth Connections services target young people aged 14-18 and primarily focus on young people disengaged from education. Schools and schooling sectors work with young people in school who are most at risk of disengaging.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Youth Connections providers work closely with state government initiatives: Youth Support Coordinators and regional Youth Support Coordinators. The relationship between Youth Connections providers and the state government program providers is established and operating well.</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i/>
          <w:lang w:eastAsia="en-AU"/>
        </w:rPr>
      </w:pPr>
      <w:r w:rsidRPr="009A0717">
        <w:rPr>
          <w:rFonts w:eastAsia="Times New Roman"/>
          <w:lang w:eastAsia="en-AU"/>
        </w:rPr>
        <w:t xml:space="preserve">In 2011 progress continued on a number of state government education reforms including the </w:t>
      </w:r>
      <w:r w:rsidRPr="009A0717">
        <w:rPr>
          <w:rFonts w:eastAsia="Times New Roman"/>
          <w:i/>
          <w:lang w:eastAsia="en-AU"/>
        </w:rPr>
        <w:t xml:space="preserve">Flying Start </w:t>
      </w:r>
      <w:r w:rsidRPr="009A0717">
        <w:rPr>
          <w:rFonts w:eastAsia="Times New Roman"/>
          <w:lang w:eastAsia="en-AU"/>
        </w:rPr>
        <w:t>suite of initiatives</w:t>
      </w:r>
      <w:r w:rsidRPr="009A0717">
        <w:rPr>
          <w:rFonts w:eastAsia="Times New Roman"/>
          <w:i/>
          <w:lang w:eastAsia="en-AU"/>
        </w:rPr>
        <w:t xml:space="preserve">: </w:t>
      </w:r>
    </w:p>
    <w:p w:rsidR="009A0717" w:rsidRPr="009A0717" w:rsidRDefault="009A0717" w:rsidP="00134652">
      <w:pPr>
        <w:numPr>
          <w:ilvl w:val="0"/>
          <w:numId w:val="10"/>
        </w:numPr>
        <w:spacing w:line="240" w:lineRule="auto"/>
        <w:contextualSpacing/>
      </w:pPr>
      <w:r w:rsidRPr="009A0717">
        <w:t>moving Year 7 to high school in 2015 and the pilot of these arrangements in 20 schools from 2012</w:t>
      </w:r>
    </w:p>
    <w:p w:rsidR="009A0717" w:rsidRPr="009A0717" w:rsidRDefault="009A0717" w:rsidP="00134652">
      <w:pPr>
        <w:numPr>
          <w:ilvl w:val="0"/>
          <w:numId w:val="10"/>
        </w:numPr>
        <w:spacing w:line="240" w:lineRule="auto"/>
        <w:contextualSpacing/>
      </w:pPr>
      <w:r w:rsidRPr="009A0717">
        <w:t xml:space="preserve">strengthened pastoral case support for the Year 7 transition </w:t>
      </w:r>
    </w:p>
    <w:p w:rsidR="009A0717" w:rsidRPr="009A0717" w:rsidRDefault="009A0717" w:rsidP="00134652">
      <w:pPr>
        <w:numPr>
          <w:ilvl w:val="0"/>
          <w:numId w:val="10"/>
        </w:numPr>
        <w:spacing w:line="240" w:lineRule="auto"/>
        <w:contextualSpacing/>
      </w:pPr>
      <w:r w:rsidRPr="009A0717">
        <w:t xml:space="preserve">additional professional development for teachers and </w:t>
      </w:r>
    </w:p>
    <w:p w:rsidR="009A0717" w:rsidRPr="009A0717" w:rsidRDefault="009A0717" w:rsidP="00134652">
      <w:pPr>
        <w:numPr>
          <w:ilvl w:val="0"/>
          <w:numId w:val="10"/>
        </w:numPr>
        <w:spacing w:line="240" w:lineRule="auto"/>
        <w:contextualSpacing/>
      </w:pPr>
      <w:proofErr w:type="gramStart"/>
      <w:r w:rsidRPr="009A0717">
        <w:t>the</w:t>
      </w:r>
      <w:proofErr w:type="gramEnd"/>
      <w:r w:rsidRPr="009A0717">
        <w:t xml:space="preserve"> introduction of a Junior Secondary program in state schools from 2013. </w:t>
      </w:r>
    </w:p>
    <w:p w:rsidR="009A0717" w:rsidRPr="009A0717" w:rsidRDefault="009A0717" w:rsidP="00BF7F25">
      <w:pPr>
        <w:pStyle w:val="Heading3"/>
        <w:rPr>
          <w:lang w:eastAsia="en-AU"/>
        </w:rPr>
      </w:pPr>
      <w:r w:rsidRPr="009A0717">
        <w:rPr>
          <w:lang w:eastAsia="en-AU"/>
        </w:rPr>
        <w:t>Program Status</w:t>
      </w:r>
    </w:p>
    <w:p w:rsidR="009A0717" w:rsidRPr="009A0717" w:rsidRDefault="009A0717" w:rsidP="009A0717">
      <w:pPr>
        <w:spacing w:line="240" w:lineRule="auto"/>
        <w:rPr>
          <w:rFonts w:eastAsia="Times New Roman"/>
          <w:lang w:eastAsia="en-AU"/>
        </w:rPr>
      </w:pPr>
      <w:r w:rsidRPr="009A0717">
        <w:rPr>
          <w:rFonts w:eastAsia="Times New Roman"/>
          <w:lang w:eastAsia="en-AU"/>
        </w:rPr>
        <w:t>In the first two years of operation in Queensland, Youth Connections provided Individual Support Services to 6,906 young people. 4,199 (61%) young people in the program achieved a final outcome, which represents re-engagement or a sustained improvement in a young person’s engagement with education, training or employment. A further 1,393 (20%) were assessed as making significant progress in addressing their barriers to engagement in education. In addition, 1,430 Outreach and Re-engagement activities were held to find and connect with severely disconnected young people, with providers linking with 66,431 young people through these activities. In this period, providers undertook a range of initiatives to strengthen services in the region, with 1,628 activities being held.</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cs="Calibri"/>
          <w:lang w:eastAsia="en-AU"/>
        </w:rPr>
      </w:pPr>
      <w:r w:rsidRPr="009A0717">
        <w:rPr>
          <w:rFonts w:eastAsia="Times New Roman" w:cs="Calibri"/>
          <w:lang w:eastAsia="en-AU"/>
        </w:rPr>
        <w:t>In Queensland 1,427 (21%) of young people in the program were identified as Indigenous Australians. 800 (56%) Indigenous young people achieved a final outcome, and a further 294 (21%) were assessed as making significant progress in addressing their barriers.</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Youth Connections providers in Queensland are progressing well and on-track in terms of delivering program outcomes. There are many examples of collaboration between Youth Connections providers and Partnership Brokers. </w:t>
      </w:r>
    </w:p>
    <w:p w:rsidR="009A0717" w:rsidRPr="009A0717" w:rsidRDefault="009A0717" w:rsidP="00BF7F25">
      <w:pPr>
        <w:pStyle w:val="Heading3"/>
        <w:rPr>
          <w:lang w:eastAsia="en-AU"/>
        </w:rPr>
      </w:pPr>
      <w:r w:rsidRPr="009A0717">
        <w:rPr>
          <w:lang w:eastAsia="en-AU"/>
        </w:rPr>
        <w:t>Challenges</w:t>
      </w:r>
    </w:p>
    <w:p w:rsidR="009A0717" w:rsidRPr="009A0717" w:rsidRDefault="009A0717" w:rsidP="009A0717">
      <w:pPr>
        <w:spacing w:line="240" w:lineRule="auto"/>
        <w:rPr>
          <w:rFonts w:eastAsia="Times New Roman"/>
          <w:lang w:eastAsia="en-AU"/>
        </w:rPr>
      </w:pPr>
      <w:r w:rsidRPr="009A0717">
        <w:rPr>
          <w:rFonts w:eastAsia="Times New Roman"/>
          <w:lang w:eastAsia="en-AU"/>
        </w:rPr>
        <w:t>DEEWR continues to work in collaboration with Queensland Department of Education, Training and Employment (</w:t>
      </w:r>
      <w:proofErr w:type="spellStart"/>
      <w:r w:rsidRPr="009A0717">
        <w:rPr>
          <w:rFonts w:eastAsia="Times New Roman"/>
          <w:lang w:eastAsia="en-AU"/>
        </w:rPr>
        <w:t>DETE</w:t>
      </w:r>
      <w:proofErr w:type="spellEnd"/>
      <w:r w:rsidRPr="009A0717">
        <w:rPr>
          <w:rFonts w:eastAsia="Times New Roman"/>
          <w:lang w:eastAsia="en-AU"/>
        </w:rPr>
        <w:t xml:space="preserve">) to ensure Youth Connections and Youth Support Coordinator Initiatives have every possible chance of success in their respective roles and service delivery methods. The complementary nature of many programs and services for young people in Queensland highlights the need for providers to work together to building capacity among stakeholders and strengthen services in each region. </w:t>
      </w:r>
    </w:p>
    <w:p w:rsidR="009A0717" w:rsidRPr="009A0717" w:rsidRDefault="009A0717" w:rsidP="009A0717">
      <w:pPr>
        <w:spacing w:line="240" w:lineRule="auto"/>
        <w:rPr>
          <w:rFonts w:eastAsia="Times New Roman"/>
          <w:lang w:eastAsia="en-AU"/>
        </w:rPr>
      </w:pPr>
    </w:p>
    <w:p w:rsidR="009A0717" w:rsidRPr="009A0717" w:rsidRDefault="009A0717" w:rsidP="009A0717">
      <w:pPr>
        <w:spacing w:line="240" w:lineRule="auto"/>
        <w:rPr>
          <w:rFonts w:eastAsia="Times New Roman"/>
          <w:lang w:eastAsia="en-AU"/>
        </w:rPr>
      </w:pPr>
      <w:r w:rsidRPr="009A0717">
        <w:rPr>
          <w:rFonts w:eastAsia="Times New Roman"/>
          <w:lang w:eastAsia="en-AU"/>
        </w:rPr>
        <w:t xml:space="preserve">Outreach and Re-engagement activities implemented by Youth Connections providers have changed over time in-line with the changing behaviour of severely disengaged youth, and new challenges of social media and communications technology. A collaborative relationship between DEEWR and </w:t>
      </w:r>
      <w:proofErr w:type="spellStart"/>
      <w:r w:rsidRPr="009A0717">
        <w:rPr>
          <w:rFonts w:eastAsia="Times New Roman"/>
          <w:lang w:eastAsia="en-AU"/>
        </w:rPr>
        <w:t>DETE</w:t>
      </w:r>
      <w:proofErr w:type="spellEnd"/>
      <w:r w:rsidRPr="009A0717">
        <w:rPr>
          <w:rFonts w:eastAsia="Times New Roman"/>
          <w:lang w:eastAsia="en-AU"/>
        </w:rPr>
        <w:t xml:space="preserve"> has been valuable in recognising and responding to program changes at the local and state level.  </w:t>
      </w:r>
    </w:p>
    <w:p w:rsidR="001657CD" w:rsidRDefault="001657CD">
      <w:pPr>
        <w:spacing w:line="240" w:lineRule="auto"/>
        <w:rPr>
          <w:rFonts w:eastAsia="Times New Roman"/>
          <w:sz w:val="24"/>
          <w:szCs w:val="24"/>
          <w:lang w:eastAsia="en-AU"/>
        </w:rPr>
      </w:pPr>
      <w:r>
        <w:rPr>
          <w:rFonts w:eastAsia="Times New Roman"/>
          <w:sz w:val="24"/>
          <w:szCs w:val="24"/>
          <w:lang w:eastAsia="en-AU"/>
        </w:rPr>
        <w:br w:type="page"/>
      </w:r>
    </w:p>
    <w:p w:rsidR="001657CD" w:rsidRDefault="001657CD" w:rsidP="00ED3CBC">
      <w:pPr>
        <w:pStyle w:val="Heading2"/>
      </w:pPr>
      <w:bookmarkStart w:id="36" w:name="_Toc365385416"/>
      <w:r>
        <w:lastRenderedPageBreak/>
        <w:t>Youth Connections program data</w:t>
      </w:r>
      <w:bookmarkEnd w:id="36"/>
    </w:p>
    <w:p w:rsidR="001657CD" w:rsidRPr="009863DD" w:rsidRDefault="001657CD" w:rsidP="00AD5A2C">
      <w:pPr>
        <w:pStyle w:val="Heading3"/>
      </w:pPr>
      <w:r w:rsidRPr="009863DD">
        <w:t>Connection Level definitions</w:t>
      </w:r>
    </w:p>
    <w:p w:rsidR="001657CD" w:rsidRDefault="001657CD" w:rsidP="001657CD">
      <w:pPr>
        <w:pStyle w:val="ListParagraph"/>
        <w:numPr>
          <w:ilvl w:val="0"/>
          <w:numId w:val="31"/>
        </w:numPr>
        <w:spacing w:after="200"/>
      </w:pPr>
      <w:r>
        <w:t>Connection Level 1: young people who are attached to/attending school/education on a regular basis but who are the most at risk of disengaging from learning and/or disconnecting from school/education</w:t>
      </w:r>
    </w:p>
    <w:p w:rsidR="001657CD" w:rsidRDefault="001657CD" w:rsidP="001657CD">
      <w:pPr>
        <w:pStyle w:val="ListParagraph"/>
        <w:numPr>
          <w:ilvl w:val="0"/>
          <w:numId w:val="31"/>
        </w:numPr>
        <w:spacing w:after="200"/>
      </w:pPr>
      <w:r>
        <w:t xml:space="preserve">Connection Level </w:t>
      </w:r>
      <w:proofErr w:type="spellStart"/>
      <w:r>
        <w:t>2a</w:t>
      </w:r>
      <w:proofErr w:type="spellEnd"/>
      <w:r>
        <w:t>: young people whose attendance record at school/education is poor</w:t>
      </w:r>
    </w:p>
    <w:p w:rsidR="001657CD" w:rsidRDefault="001657CD" w:rsidP="001657CD">
      <w:pPr>
        <w:pStyle w:val="ListParagraph"/>
        <w:numPr>
          <w:ilvl w:val="0"/>
          <w:numId w:val="31"/>
        </w:numPr>
        <w:spacing w:after="200"/>
      </w:pPr>
      <w:r>
        <w:t xml:space="preserve">Connection Level </w:t>
      </w:r>
      <w:proofErr w:type="spellStart"/>
      <w:r>
        <w:t>2b</w:t>
      </w:r>
      <w:proofErr w:type="spellEnd"/>
      <w:r>
        <w:t>: young people who have been continuously disconnected from school/education for longer than three months</w:t>
      </w:r>
    </w:p>
    <w:p w:rsidR="001657CD" w:rsidRDefault="001657CD" w:rsidP="001B1DFA">
      <w:pPr>
        <w:pStyle w:val="Heading3"/>
        <w:spacing w:after="0"/>
      </w:pPr>
      <w:r w:rsidRPr="009863DD">
        <w:t>Table 1: Participant Status</w:t>
      </w:r>
    </w:p>
    <w:tbl>
      <w:tblPr>
        <w:tblpPr w:leftFromText="180" w:rightFromText="180" w:vertAnchor="text" w:horzAnchor="margin" w:tblpY="155"/>
        <w:tblW w:w="7880" w:type="dxa"/>
        <w:tblLook w:val="04A0" w:firstRow="1" w:lastRow="0" w:firstColumn="1" w:lastColumn="0" w:noHBand="0" w:noVBand="1"/>
      </w:tblPr>
      <w:tblGrid>
        <w:gridCol w:w="5264"/>
        <w:gridCol w:w="1276"/>
        <w:gridCol w:w="1340"/>
      </w:tblGrid>
      <w:tr w:rsidR="001657CD" w:rsidRPr="00BC0B36" w:rsidTr="001B1DFA">
        <w:trPr>
          <w:trHeight w:val="300"/>
        </w:trPr>
        <w:tc>
          <w:tcPr>
            <w:tcW w:w="788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rsidR="001657CD" w:rsidRPr="00BC0B36" w:rsidRDefault="001657CD" w:rsidP="001B1DFA">
            <w:pPr>
              <w:jc w:val="center"/>
              <w:rPr>
                <w:rFonts w:cs="Calibri"/>
                <w:b/>
                <w:bCs/>
                <w:color w:val="000000"/>
              </w:rPr>
            </w:pPr>
            <w:r w:rsidRPr="00BC0B36">
              <w:rPr>
                <w:rFonts w:cs="Calibri"/>
                <w:b/>
                <w:bCs/>
                <w:color w:val="000000"/>
              </w:rPr>
              <w:t>Participant Status</w:t>
            </w:r>
          </w:p>
        </w:tc>
      </w:tr>
      <w:tr w:rsidR="001657CD" w:rsidRPr="00BC0B36" w:rsidTr="001B1DF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9863DD" w:rsidRDefault="001657CD" w:rsidP="001B1DFA">
            <w:pPr>
              <w:rPr>
                <w:rFonts w:cs="Calibri"/>
                <w:b/>
                <w:color w:val="000000"/>
              </w:rPr>
            </w:pPr>
            <w:r w:rsidRPr="009863DD">
              <w:rPr>
                <w:rFonts w:cs="Calibri"/>
                <w:b/>
                <w:color w:val="000000"/>
              </w:rPr>
              <w:t> </w:t>
            </w:r>
            <w:r>
              <w:rPr>
                <w:rFonts w:cs="Calibri"/>
                <w:b/>
                <w:color w:val="000000"/>
              </w:rPr>
              <w:t>Participant Status</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9863DD" w:rsidRDefault="001657CD" w:rsidP="001B1DFA">
            <w:pPr>
              <w:jc w:val="center"/>
              <w:rPr>
                <w:rFonts w:cs="Calibri"/>
                <w:b/>
                <w:bCs/>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9863DD" w:rsidRDefault="001657CD" w:rsidP="001B1DFA">
            <w:pPr>
              <w:jc w:val="center"/>
              <w:rPr>
                <w:rFonts w:cs="Calibri"/>
                <w:b/>
                <w:color w:val="000000"/>
              </w:rPr>
            </w:pPr>
            <w:r w:rsidRPr="009863DD">
              <w:rPr>
                <w:rFonts w:cs="Calibri"/>
                <w:b/>
                <w:color w:val="000000"/>
              </w:rPr>
              <w:t>National</w:t>
            </w:r>
          </w:p>
        </w:tc>
      </w:tr>
      <w:tr w:rsidR="001657CD" w:rsidRPr="00BC0B36" w:rsidTr="001B1DFA">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Default="001657CD" w:rsidP="001B1DFA">
            <w:pPr>
              <w:rPr>
                <w:rFonts w:cs="Calibri"/>
                <w:color w:val="000000"/>
              </w:rPr>
            </w:pPr>
            <w:r>
              <w:rPr>
                <w:rFonts w:cs="Calibri"/>
                <w:color w:val="000000"/>
              </w:rPr>
              <w:t xml:space="preserve">Receiving Individual Support Services </w:t>
            </w:r>
          </w:p>
        </w:tc>
        <w:tc>
          <w:tcPr>
            <w:tcW w:w="1276"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1157</w:t>
            </w:r>
          </w:p>
        </w:tc>
        <w:tc>
          <w:tcPr>
            <w:tcW w:w="1340"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6125</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Default="001657CD" w:rsidP="001B1DFA">
            <w:pPr>
              <w:rPr>
                <w:rFonts w:cs="Calibri"/>
                <w:color w:val="000000"/>
              </w:rPr>
            </w:pPr>
            <w:r>
              <w:rPr>
                <w:rFonts w:cs="Calibri"/>
                <w:color w:val="000000"/>
              </w:rPr>
              <w:t>Receiving Individual Support Services previously and exited</w:t>
            </w:r>
          </w:p>
        </w:tc>
        <w:tc>
          <w:tcPr>
            <w:tcW w:w="1276"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5749</w:t>
            </w:r>
          </w:p>
        </w:tc>
        <w:tc>
          <w:tcPr>
            <w:tcW w:w="1340"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31,977</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Default="001657CD" w:rsidP="001B1DFA">
            <w:pPr>
              <w:rPr>
                <w:rFonts w:cs="Calibri"/>
                <w:color w:val="000000"/>
              </w:rPr>
            </w:pPr>
            <w:r>
              <w:rPr>
                <w:rFonts w:cs="Calibri"/>
                <w:color w:val="000000"/>
              </w:rPr>
              <w:t>Registered but not yet enrolled for Individual Support Services</w:t>
            </w:r>
          </w:p>
        </w:tc>
        <w:tc>
          <w:tcPr>
            <w:tcW w:w="1276"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221</w:t>
            </w:r>
          </w:p>
        </w:tc>
        <w:tc>
          <w:tcPr>
            <w:tcW w:w="1340"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3769</w:t>
            </w:r>
          </w:p>
        </w:tc>
      </w:tr>
      <w:tr w:rsidR="001657CD" w:rsidRPr="00BC0B36" w:rsidTr="001B1DFA">
        <w:trPr>
          <w:trHeight w:val="315"/>
        </w:trPr>
        <w:tc>
          <w:tcPr>
            <w:tcW w:w="5264" w:type="dxa"/>
            <w:tcBorders>
              <w:top w:val="nil"/>
              <w:left w:val="nil"/>
              <w:bottom w:val="double" w:sz="6" w:space="0" w:color="auto"/>
              <w:right w:val="nil"/>
            </w:tcBorders>
            <w:shd w:val="clear" w:color="auto" w:fill="auto"/>
            <w:noWrap/>
            <w:vAlign w:val="bottom"/>
            <w:hideMark/>
          </w:tcPr>
          <w:p w:rsidR="001657CD" w:rsidRDefault="001657CD" w:rsidP="001B1DFA">
            <w:pPr>
              <w:rPr>
                <w:rFonts w:cs="Calibri"/>
                <w:color w:val="000000"/>
              </w:rPr>
            </w:pPr>
            <w:r>
              <w:rPr>
                <w:rFonts w:cs="Calibri"/>
                <w:color w:val="000000"/>
              </w:rPr>
              <w:t>Total</w:t>
            </w:r>
          </w:p>
        </w:tc>
        <w:tc>
          <w:tcPr>
            <w:tcW w:w="1276" w:type="dxa"/>
            <w:tcBorders>
              <w:top w:val="nil"/>
              <w:left w:val="nil"/>
              <w:bottom w:val="double" w:sz="6" w:space="0" w:color="auto"/>
              <w:right w:val="nil"/>
            </w:tcBorders>
            <w:shd w:val="clear" w:color="auto" w:fill="auto"/>
            <w:noWrap/>
            <w:vAlign w:val="bottom"/>
            <w:hideMark/>
          </w:tcPr>
          <w:p w:rsidR="001657CD" w:rsidRDefault="001657CD" w:rsidP="001B1DFA">
            <w:pPr>
              <w:jc w:val="right"/>
              <w:rPr>
                <w:rFonts w:cs="Calibri"/>
                <w:color w:val="000000"/>
              </w:rPr>
            </w:pPr>
            <w:r>
              <w:rPr>
                <w:rFonts w:cs="Calibri"/>
                <w:color w:val="000000"/>
              </w:rPr>
              <w:t>7127</w:t>
            </w:r>
          </w:p>
        </w:tc>
        <w:tc>
          <w:tcPr>
            <w:tcW w:w="1340" w:type="dxa"/>
            <w:tcBorders>
              <w:top w:val="nil"/>
              <w:left w:val="nil"/>
              <w:bottom w:val="double" w:sz="6" w:space="0" w:color="auto"/>
              <w:right w:val="nil"/>
            </w:tcBorders>
            <w:shd w:val="clear" w:color="auto" w:fill="auto"/>
            <w:noWrap/>
            <w:vAlign w:val="bottom"/>
            <w:hideMark/>
          </w:tcPr>
          <w:p w:rsidR="001657CD" w:rsidRDefault="001657CD" w:rsidP="001B1DFA">
            <w:pPr>
              <w:jc w:val="right"/>
              <w:rPr>
                <w:rFonts w:cs="Calibri"/>
                <w:color w:val="000000"/>
              </w:rPr>
            </w:pPr>
            <w:r>
              <w:rPr>
                <w:rFonts w:cs="Calibri"/>
                <w:color w:val="000000"/>
              </w:rPr>
              <w:t>41,871</w:t>
            </w:r>
          </w:p>
        </w:tc>
      </w:tr>
    </w:tbl>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Default="001657CD" w:rsidP="001657CD"/>
    <w:p w:rsidR="001657CD" w:rsidRPr="009863DD" w:rsidRDefault="001657CD" w:rsidP="00ED3CBC">
      <w:pPr>
        <w:pStyle w:val="Heading3"/>
      </w:pPr>
      <w:r w:rsidRPr="009863DD">
        <w:t xml:space="preserve">Table 2: </w:t>
      </w:r>
      <w:r>
        <w:t>QLD</w:t>
      </w:r>
      <w:r w:rsidRPr="009863DD">
        <w:t xml:space="preserve"> Contract Levels</w:t>
      </w:r>
    </w:p>
    <w:tbl>
      <w:tblPr>
        <w:tblStyle w:val="TableGrid1"/>
        <w:tblpPr w:leftFromText="180" w:rightFromText="180" w:vertAnchor="text" w:horzAnchor="margin" w:tblpY="61"/>
        <w:tblW w:w="0" w:type="auto"/>
        <w:tblLook w:val="04A0" w:firstRow="1" w:lastRow="0" w:firstColumn="1" w:lastColumn="0" w:noHBand="0" w:noVBand="1"/>
        <w:tblCaption w:val="Table 2: QLD Contract Levels"/>
        <w:tblDescription w:val=" QLD Contract Levels by outcome level"/>
      </w:tblPr>
      <w:tblGrid>
        <w:gridCol w:w="1217"/>
        <w:gridCol w:w="1218"/>
        <w:gridCol w:w="1218"/>
        <w:gridCol w:w="1218"/>
      </w:tblGrid>
      <w:tr w:rsidR="001657CD" w:rsidRPr="001B1DFA" w:rsidTr="001B1DFA">
        <w:trPr>
          <w:tblHeader/>
        </w:trPr>
        <w:tc>
          <w:tcPr>
            <w:tcW w:w="1217" w:type="dxa"/>
            <w:tcBorders>
              <w:bottom w:val="double" w:sz="4" w:space="0" w:color="auto"/>
            </w:tcBorders>
            <w:shd w:val="clear" w:color="auto" w:fill="DBE5F1" w:themeFill="accent1" w:themeFillTint="33"/>
          </w:tcPr>
          <w:p w:rsidR="001657CD" w:rsidRPr="001B1DFA" w:rsidRDefault="001657CD" w:rsidP="001B1DFA">
            <w:pPr>
              <w:tabs>
                <w:tab w:val="left" w:pos="6153"/>
              </w:tabs>
              <w:outlineLvl w:val="2"/>
              <w:rPr>
                <w:rFonts w:asciiTheme="minorHAnsi" w:hAnsiTheme="minorHAnsi" w:cstheme="minorHAnsi"/>
                <w:b/>
              </w:rPr>
            </w:pPr>
          </w:p>
        </w:tc>
        <w:tc>
          <w:tcPr>
            <w:tcW w:w="1218" w:type="dxa"/>
            <w:tcBorders>
              <w:bottom w:val="double" w:sz="4" w:space="0" w:color="auto"/>
            </w:tcBorders>
            <w:shd w:val="clear" w:color="auto" w:fill="DBE5F1" w:themeFill="accent1" w:themeFillTint="33"/>
          </w:tcPr>
          <w:p w:rsidR="001657CD" w:rsidRPr="001B1DFA" w:rsidRDefault="001657CD" w:rsidP="001B1DFA">
            <w:pPr>
              <w:tabs>
                <w:tab w:val="left" w:pos="6153"/>
              </w:tabs>
              <w:outlineLvl w:val="2"/>
              <w:rPr>
                <w:rFonts w:asciiTheme="minorHAnsi" w:hAnsiTheme="minorHAnsi" w:cstheme="minorHAnsi"/>
                <w:b/>
              </w:rPr>
            </w:pPr>
            <w:r w:rsidRPr="001B1DFA">
              <w:rPr>
                <w:rFonts w:asciiTheme="minorHAnsi" w:hAnsiTheme="minorHAnsi" w:cstheme="minorHAnsi"/>
                <w:b/>
              </w:rPr>
              <w:t>Outcomes Level 1</w:t>
            </w:r>
          </w:p>
        </w:tc>
        <w:tc>
          <w:tcPr>
            <w:tcW w:w="1218" w:type="dxa"/>
            <w:tcBorders>
              <w:bottom w:val="double" w:sz="4" w:space="0" w:color="auto"/>
            </w:tcBorders>
            <w:shd w:val="clear" w:color="auto" w:fill="DBE5F1" w:themeFill="accent1" w:themeFillTint="33"/>
          </w:tcPr>
          <w:p w:rsidR="001657CD" w:rsidRPr="001B1DFA" w:rsidRDefault="001657CD" w:rsidP="001B1DFA">
            <w:pPr>
              <w:tabs>
                <w:tab w:val="left" w:pos="6153"/>
              </w:tabs>
              <w:outlineLvl w:val="2"/>
              <w:rPr>
                <w:rFonts w:asciiTheme="minorHAnsi" w:hAnsiTheme="minorHAnsi" w:cstheme="minorHAnsi"/>
                <w:b/>
              </w:rPr>
            </w:pPr>
            <w:r w:rsidRPr="001B1DFA">
              <w:rPr>
                <w:rFonts w:asciiTheme="minorHAnsi" w:hAnsiTheme="minorHAnsi" w:cstheme="minorHAnsi"/>
                <w:b/>
              </w:rPr>
              <w:t xml:space="preserve">Outcomes Level </w:t>
            </w:r>
            <w:proofErr w:type="spellStart"/>
            <w:r w:rsidRPr="001B1DFA">
              <w:rPr>
                <w:rFonts w:asciiTheme="minorHAnsi" w:hAnsiTheme="minorHAnsi" w:cstheme="minorHAnsi"/>
                <w:b/>
              </w:rPr>
              <w:t>2a</w:t>
            </w:r>
            <w:proofErr w:type="spellEnd"/>
          </w:p>
        </w:tc>
        <w:tc>
          <w:tcPr>
            <w:tcW w:w="1218" w:type="dxa"/>
            <w:tcBorders>
              <w:bottom w:val="double" w:sz="4" w:space="0" w:color="auto"/>
            </w:tcBorders>
            <w:shd w:val="clear" w:color="auto" w:fill="DBE5F1" w:themeFill="accent1" w:themeFillTint="33"/>
          </w:tcPr>
          <w:p w:rsidR="001657CD" w:rsidRPr="001B1DFA" w:rsidRDefault="001657CD" w:rsidP="001B1DFA">
            <w:pPr>
              <w:tabs>
                <w:tab w:val="left" w:pos="6153"/>
              </w:tabs>
              <w:outlineLvl w:val="2"/>
              <w:rPr>
                <w:rFonts w:asciiTheme="minorHAnsi" w:hAnsiTheme="minorHAnsi" w:cstheme="minorHAnsi"/>
                <w:b/>
              </w:rPr>
            </w:pPr>
            <w:r w:rsidRPr="001B1DFA">
              <w:rPr>
                <w:rFonts w:asciiTheme="minorHAnsi" w:hAnsiTheme="minorHAnsi" w:cstheme="minorHAnsi"/>
                <w:b/>
              </w:rPr>
              <w:t xml:space="preserve">Outcomes Level </w:t>
            </w:r>
            <w:proofErr w:type="spellStart"/>
            <w:r w:rsidRPr="001B1DFA">
              <w:rPr>
                <w:rFonts w:asciiTheme="minorHAnsi" w:hAnsiTheme="minorHAnsi" w:cstheme="minorHAnsi"/>
                <w:b/>
              </w:rPr>
              <w:t>2b</w:t>
            </w:r>
            <w:proofErr w:type="spellEnd"/>
          </w:p>
        </w:tc>
      </w:tr>
      <w:tr w:rsidR="001657CD" w:rsidRPr="001B1DFA" w:rsidTr="001B1DFA">
        <w:tc>
          <w:tcPr>
            <w:tcW w:w="1217" w:type="dxa"/>
            <w:vAlign w:val="bottom"/>
          </w:tcPr>
          <w:p w:rsidR="001657CD" w:rsidRPr="001B1DFA" w:rsidRDefault="001657CD" w:rsidP="001B1DFA">
            <w:pPr>
              <w:tabs>
                <w:tab w:val="left" w:pos="6153"/>
              </w:tabs>
              <w:outlineLvl w:val="2"/>
              <w:rPr>
                <w:rFonts w:asciiTheme="minorHAnsi" w:hAnsiTheme="minorHAnsi" w:cstheme="minorHAnsi"/>
                <w:b/>
              </w:rPr>
            </w:pPr>
            <w:r w:rsidRPr="001B1DFA">
              <w:rPr>
                <w:rFonts w:asciiTheme="minorHAnsi" w:hAnsiTheme="minorHAnsi" w:cstheme="minorHAnsi"/>
                <w:b/>
              </w:rPr>
              <w:t>QLD (%)</w:t>
            </w:r>
          </w:p>
        </w:tc>
        <w:tc>
          <w:tcPr>
            <w:tcW w:w="1218" w:type="dxa"/>
            <w:vAlign w:val="bottom"/>
          </w:tcPr>
          <w:p w:rsidR="001657CD" w:rsidRPr="001B1DFA" w:rsidRDefault="001657CD" w:rsidP="001B1DFA">
            <w:pPr>
              <w:jc w:val="right"/>
              <w:rPr>
                <w:rFonts w:asciiTheme="minorHAnsi" w:hAnsiTheme="minorHAnsi" w:cstheme="minorHAnsi"/>
                <w:color w:val="000000"/>
              </w:rPr>
            </w:pPr>
            <w:r w:rsidRPr="001B1DFA">
              <w:rPr>
                <w:rFonts w:asciiTheme="minorHAnsi" w:hAnsiTheme="minorHAnsi" w:cstheme="minorHAnsi"/>
                <w:color w:val="000000"/>
              </w:rPr>
              <w:t>10%</w:t>
            </w:r>
          </w:p>
        </w:tc>
        <w:tc>
          <w:tcPr>
            <w:tcW w:w="1218" w:type="dxa"/>
            <w:vAlign w:val="bottom"/>
          </w:tcPr>
          <w:p w:rsidR="001657CD" w:rsidRPr="001B1DFA" w:rsidRDefault="001657CD" w:rsidP="001B1DFA">
            <w:pPr>
              <w:jc w:val="right"/>
              <w:rPr>
                <w:rFonts w:asciiTheme="minorHAnsi" w:hAnsiTheme="minorHAnsi" w:cstheme="minorHAnsi"/>
                <w:color w:val="000000"/>
              </w:rPr>
            </w:pPr>
            <w:r w:rsidRPr="001B1DFA">
              <w:rPr>
                <w:rFonts w:asciiTheme="minorHAnsi" w:hAnsiTheme="minorHAnsi" w:cstheme="minorHAnsi"/>
                <w:color w:val="000000"/>
              </w:rPr>
              <w:t>40%</w:t>
            </w:r>
          </w:p>
        </w:tc>
        <w:tc>
          <w:tcPr>
            <w:tcW w:w="1218" w:type="dxa"/>
            <w:vAlign w:val="bottom"/>
          </w:tcPr>
          <w:p w:rsidR="001657CD" w:rsidRPr="001B1DFA" w:rsidRDefault="001657CD" w:rsidP="001B1DFA">
            <w:pPr>
              <w:jc w:val="right"/>
              <w:rPr>
                <w:rFonts w:asciiTheme="minorHAnsi" w:hAnsiTheme="minorHAnsi" w:cstheme="minorHAnsi"/>
                <w:color w:val="000000"/>
              </w:rPr>
            </w:pPr>
            <w:r w:rsidRPr="001B1DFA">
              <w:rPr>
                <w:rFonts w:asciiTheme="minorHAnsi" w:hAnsiTheme="minorHAnsi" w:cstheme="minorHAnsi"/>
                <w:color w:val="000000"/>
              </w:rPr>
              <w:t>50%</w:t>
            </w:r>
          </w:p>
        </w:tc>
      </w:tr>
    </w:tbl>
    <w:p w:rsidR="001657CD" w:rsidRPr="009863DD" w:rsidRDefault="001657CD" w:rsidP="001657CD"/>
    <w:p w:rsidR="001657CD" w:rsidRPr="009863DD" w:rsidRDefault="001657CD" w:rsidP="001657CD"/>
    <w:p w:rsidR="001657CD" w:rsidRDefault="001657CD" w:rsidP="001657CD"/>
    <w:p w:rsidR="001657CD" w:rsidRDefault="001657CD" w:rsidP="001657CD"/>
    <w:p w:rsidR="001657CD" w:rsidRPr="00A82550" w:rsidRDefault="001657CD" w:rsidP="00ED3CBC">
      <w:pPr>
        <w:pStyle w:val="Heading3"/>
      </w:pPr>
      <w:r w:rsidRPr="00A82550">
        <w:t xml:space="preserve">Table 3: Comparison between </w:t>
      </w:r>
      <w:r>
        <w:t>QLD</w:t>
      </w:r>
      <w:r w:rsidRPr="00A82550">
        <w:t xml:space="preserve"> and National Participant Numbers</w:t>
      </w:r>
    </w:p>
    <w:tbl>
      <w:tblPr>
        <w:tblStyle w:val="TableGrid"/>
        <w:tblpPr w:leftFromText="180" w:rightFromText="180" w:vertAnchor="text" w:horzAnchor="margin" w:tblpY="19"/>
        <w:tblW w:w="0" w:type="auto"/>
        <w:tblLook w:val="04A0" w:firstRow="1" w:lastRow="0" w:firstColumn="1" w:lastColumn="0" w:noHBand="0" w:noVBand="1"/>
        <w:tblCaption w:val="Table 3: Comparison between NSW and National Participant Numbers"/>
        <w:tblDescription w:val="NSW and National Participants by Connection Level"/>
      </w:tblPr>
      <w:tblGrid>
        <w:gridCol w:w="1526"/>
        <w:gridCol w:w="2268"/>
        <w:gridCol w:w="2410"/>
        <w:gridCol w:w="2409"/>
      </w:tblGrid>
      <w:tr w:rsidR="001657CD" w:rsidRPr="00A82550" w:rsidTr="001B1DFA">
        <w:trPr>
          <w:tblHeader/>
        </w:trPr>
        <w:tc>
          <w:tcPr>
            <w:tcW w:w="1526" w:type="dxa"/>
            <w:shd w:val="clear" w:color="auto" w:fill="DBE5F1" w:themeFill="accent1" w:themeFillTint="33"/>
          </w:tcPr>
          <w:p w:rsidR="001657CD" w:rsidRPr="00A82550" w:rsidRDefault="001657CD" w:rsidP="001B1DFA">
            <w:pPr>
              <w:rPr>
                <w:b/>
              </w:rPr>
            </w:pPr>
          </w:p>
        </w:tc>
        <w:tc>
          <w:tcPr>
            <w:tcW w:w="2268" w:type="dxa"/>
            <w:shd w:val="clear" w:color="auto" w:fill="DBE5F1" w:themeFill="accent1" w:themeFillTint="33"/>
          </w:tcPr>
          <w:p w:rsidR="001657CD" w:rsidRPr="00A82550" w:rsidRDefault="001657CD" w:rsidP="001B1DFA">
            <w:pPr>
              <w:rPr>
                <w:b/>
              </w:rPr>
            </w:pPr>
            <w:r w:rsidRPr="00A82550">
              <w:rPr>
                <w:b/>
              </w:rPr>
              <w:t>Participants Level 1</w:t>
            </w:r>
          </w:p>
        </w:tc>
        <w:tc>
          <w:tcPr>
            <w:tcW w:w="2410" w:type="dxa"/>
            <w:shd w:val="clear" w:color="auto" w:fill="DBE5F1" w:themeFill="accent1" w:themeFillTint="33"/>
          </w:tcPr>
          <w:p w:rsidR="001657CD" w:rsidRPr="00A82550" w:rsidRDefault="001657CD" w:rsidP="001B1DFA">
            <w:pPr>
              <w:rPr>
                <w:b/>
              </w:rPr>
            </w:pPr>
            <w:r w:rsidRPr="00A82550">
              <w:rPr>
                <w:b/>
              </w:rPr>
              <w:t xml:space="preserve">Participants Level </w:t>
            </w:r>
            <w:proofErr w:type="spellStart"/>
            <w:r w:rsidRPr="00A82550">
              <w:rPr>
                <w:b/>
              </w:rPr>
              <w:t>2a</w:t>
            </w:r>
            <w:proofErr w:type="spellEnd"/>
          </w:p>
        </w:tc>
        <w:tc>
          <w:tcPr>
            <w:tcW w:w="2409" w:type="dxa"/>
            <w:shd w:val="clear" w:color="auto" w:fill="DBE5F1" w:themeFill="accent1" w:themeFillTint="33"/>
          </w:tcPr>
          <w:p w:rsidR="001657CD" w:rsidRPr="00A82550" w:rsidRDefault="001657CD" w:rsidP="001B1DFA">
            <w:pPr>
              <w:rPr>
                <w:b/>
              </w:rPr>
            </w:pPr>
            <w:r w:rsidRPr="00A82550">
              <w:rPr>
                <w:b/>
              </w:rPr>
              <w:t xml:space="preserve">Participants Level </w:t>
            </w:r>
            <w:proofErr w:type="spellStart"/>
            <w:r w:rsidRPr="00A82550">
              <w:rPr>
                <w:b/>
              </w:rPr>
              <w:t>2b</w:t>
            </w:r>
            <w:proofErr w:type="spellEnd"/>
          </w:p>
        </w:tc>
      </w:tr>
      <w:tr w:rsidR="001657CD" w:rsidRPr="00A82550" w:rsidTr="001B1DFA">
        <w:tc>
          <w:tcPr>
            <w:tcW w:w="1526" w:type="dxa"/>
            <w:vAlign w:val="bottom"/>
          </w:tcPr>
          <w:p w:rsidR="001657CD" w:rsidRPr="00A82550" w:rsidRDefault="001657CD" w:rsidP="001B1DFA">
            <w:pPr>
              <w:rPr>
                <w:rFonts w:cs="Calibri"/>
                <w:b/>
                <w:bCs/>
                <w:color w:val="000000"/>
              </w:rPr>
            </w:pPr>
            <w:r>
              <w:rPr>
                <w:rFonts w:cs="Calibri"/>
                <w:b/>
                <w:bCs/>
                <w:color w:val="000000"/>
              </w:rPr>
              <w:t>QLD</w:t>
            </w:r>
            <w:r w:rsidRPr="00A82550">
              <w:rPr>
                <w:rFonts w:cs="Calibri"/>
                <w:b/>
                <w:bCs/>
                <w:color w:val="000000"/>
              </w:rPr>
              <w:t xml:space="preserve"> (No.)</w:t>
            </w:r>
          </w:p>
        </w:tc>
        <w:tc>
          <w:tcPr>
            <w:tcW w:w="2268" w:type="dxa"/>
            <w:vAlign w:val="bottom"/>
          </w:tcPr>
          <w:p w:rsidR="001657CD" w:rsidRDefault="001657CD" w:rsidP="001B1DFA">
            <w:pPr>
              <w:jc w:val="right"/>
              <w:rPr>
                <w:rFonts w:cs="Calibri"/>
                <w:color w:val="000000"/>
              </w:rPr>
            </w:pPr>
            <w:r>
              <w:rPr>
                <w:rFonts w:cs="Calibri"/>
                <w:color w:val="000000"/>
              </w:rPr>
              <w:t>535</w:t>
            </w:r>
          </w:p>
        </w:tc>
        <w:tc>
          <w:tcPr>
            <w:tcW w:w="2410" w:type="dxa"/>
            <w:vAlign w:val="bottom"/>
          </w:tcPr>
          <w:p w:rsidR="001657CD" w:rsidRDefault="001657CD" w:rsidP="001B1DFA">
            <w:pPr>
              <w:jc w:val="right"/>
              <w:rPr>
                <w:rFonts w:cs="Calibri"/>
                <w:color w:val="000000"/>
              </w:rPr>
            </w:pPr>
            <w:r>
              <w:rPr>
                <w:rFonts w:cs="Calibri"/>
                <w:color w:val="000000"/>
              </w:rPr>
              <w:t>2922</w:t>
            </w:r>
          </w:p>
        </w:tc>
        <w:tc>
          <w:tcPr>
            <w:tcW w:w="2409" w:type="dxa"/>
            <w:vAlign w:val="bottom"/>
          </w:tcPr>
          <w:p w:rsidR="001657CD" w:rsidRDefault="001657CD" w:rsidP="001B1DFA">
            <w:pPr>
              <w:jc w:val="right"/>
              <w:rPr>
                <w:rFonts w:cs="Calibri"/>
                <w:color w:val="000000"/>
              </w:rPr>
            </w:pPr>
            <w:r>
              <w:rPr>
                <w:rFonts w:cs="Calibri"/>
                <w:color w:val="000000"/>
              </w:rPr>
              <w:t>3461</w:t>
            </w:r>
          </w:p>
        </w:tc>
      </w:tr>
      <w:tr w:rsidR="001657CD" w:rsidRPr="00A82550" w:rsidTr="001B1DFA">
        <w:tc>
          <w:tcPr>
            <w:tcW w:w="1526" w:type="dxa"/>
            <w:vAlign w:val="bottom"/>
          </w:tcPr>
          <w:p w:rsidR="001657CD" w:rsidRPr="00A82550" w:rsidRDefault="001657CD" w:rsidP="001B1DFA">
            <w:pPr>
              <w:rPr>
                <w:rFonts w:cs="Calibri"/>
                <w:b/>
                <w:bCs/>
                <w:color w:val="000000"/>
              </w:rPr>
            </w:pPr>
            <w:r>
              <w:rPr>
                <w:rFonts w:cs="Calibri"/>
                <w:b/>
                <w:bCs/>
                <w:color w:val="000000"/>
              </w:rPr>
              <w:t>QLD</w:t>
            </w:r>
            <w:r w:rsidRPr="00A82550">
              <w:rPr>
                <w:rFonts w:cs="Calibri"/>
                <w:b/>
                <w:bCs/>
                <w:color w:val="000000"/>
              </w:rPr>
              <w:t xml:space="preserve"> (%)</w:t>
            </w:r>
          </w:p>
        </w:tc>
        <w:tc>
          <w:tcPr>
            <w:tcW w:w="2268" w:type="dxa"/>
            <w:vAlign w:val="bottom"/>
          </w:tcPr>
          <w:p w:rsidR="001657CD" w:rsidRDefault="001657CD" w:rsidP="001B1DFA">
            <w:pPr>
              <w:jc w:val="right"/>
              <w:rPr>
                <w:rFonts w:cs="Calibri"/>
                <w:color w:val="000000"/>
              </w:rPr>
            </w:pPr>
            <w:r>
              <w:rPr>
                <w:rFonts w:cs="Calibri"/>
                <w:color w:val="000000"/>
              </w:rPr>
              <w:t>8%</w:t>
            </w:r>
          </w:p>
        </w:tc>
        <w:tc>
          <w:tcPr>
            <w:tcW w:w="2410" w:type="dxa"/>
            <w:vAlign w:val="bottom"/>
          </w:tcPr>
          <w:p w:rsidR="001657CD" w:rsidRDefault="001657CD" w:rsidP="001B1DFA">
            <w:pPr>
              <w:jc w:val="right"/>
              <w:rPr>
                <w:rFonts w:cs="Calibri"/>
                <w:color w:val="000000"/>
              </w:rPr>
            </w:pPr>
            <w:r>
              <w:rPr>
                <w:rFonts w:cs="Calibri"/>
                <w:color w:val="000000"/>
              </w:rPr>
              <w:t>42%</w:t>
            </w:r>
          </w:p>
        </w:tc>
        <w:tc>
          <w:tcPr>
            <w:tcW w:w="2409" w:type="dxa"/>
            <w:vAlign w:val="bottom"/>
          </w:tcPr>
          <w:p w:rsidR="001657CD" w:rsidRDefault="001657CD" w:rsidP="001B1DFA">
            <w:pPr>
              <w:jc w:val="right"/>
              <w:rPr>
                <w:rFonts w:cs="Calibri"/>
                <w:color w:val="000000"/>
              </w:rPr>
            </w:pPr>
            <w:r>
              <w:rPr>
                <w:rFonts w:cs="Calibri"/>
                <w:color w:val="000000"/>
              </w:rPr>
              <w:t>50%</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 </w:t>
            </w:r>
          </w:p>
        </w:tc>
        <w:tc>
          <w:tcPr>
            <w:tcW w:w="2268" w:type="dxa"/>
            <w:vAlign w:val="bottom"/>
          </w:tcPr>
          <w:p w:rsidR="001657CD" w:rsidRDefault="001657CD" w:rsidP="001B1DFA">
            <w:pPr>
              <w:rPr>
                <w:rFonts w:cs="Calibri"/>
                <w:color w:val="000000"/>
              </w:rPr>
            </w:pPr>
            <w:r>
              <w:rPr>
                <w:rFonts w:cs="Calibri"/>
                <w:color w:val="000000"/>
              </w:rPr>
              <w:t> </w:t>
            </w:r>
          </w:p>
        </w:tc>
        <w:tc>
          <w:tcPr>
            <w:tcW w:w="2410" w:type="dxa"/>
            <w:vAlign w:val="bottom"/>
          </w:tcPr>
          <w:p w:rsidR="001657CD" w:rsidRDefault="001657CD" w:rsidP="001B1DFA">
            <w:pPr>
              <w:rPr>
                <w:rFonts w:cs="Calibri"/>
                <w:color w:val="000000"/>
              </w:rPr>
            </w:pPr>
            <w:r>
              <w:rPr>
                <w:rFonts w:cs="Calibri"/>
                <w:color w:val="000000"/>
              </w:rPr>
              <w:t> </w:t>
            </w:r>
          </w:p>
        </w:tc>
        <w:tc>
          <w:tcPr>
            <w:tcW w:w="2409" w:type="dxa"/>
            <w:vAlign w:val="bottom"/>
          </w:tcPr>
          <w:p w:rsidR="001657CD" w:rsidRDefault="001657CD" w:rsidP="001B1DFA">
            <w:pPr>
              <w:rPr>
                <w:rFonts w:cs="Calibri"/>
                <w:color w:val="000000"/>
              </w:rPr>
            </w:pPr>
            <w:r>
              <w:rPr>
                <w:rFonts w:cs="Calibri"/>
                <w:color w:val="000000"/>
              </w:rPr>
              <w:t> </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National (No.)</w:t>
            </w:r>
          </w:p>
        </w:tc>
        <w:tc>
          <w:tcPr>
            <w:tcW w:w="2268" w:type="dxa"/>
            <w:vAlign w:val="bottom"/>
          </w:tcPr>
          <w:p w:rsidR="001657CD" w:rsidRDefault="001657CD" w:rsidP="001B1DFA">
            <w:pPr>
              <w:jc w:val="right"/>
              <w:rPr>
                <w:rFonts w:cs="Calibri"/>
                <w:color w:val="000000"/>
              </w:rPr>
            </w:pPr>
            <w:r>
              <w:rPr>
                <w:rFonts w:cs="Calibri"/>
                <w:color w:val="000000"/>
              </w:rPr>
              <w:t>10,218</w:t>
            </w:r>
          </w:p>
        </w:tc>
        <w:tc>
          <w:tcPr>
            <w:tcW w:w="2410" w:type="dxa"/>
            <w:vAlign w:val="bottom"/>
          </w:tcPr>
          <w:p w:rsidR="001657CD" w:rsidRDefault="001657CD" w:rsidP="001B1DFA">
            <w:pPr>
              <w:jc w:val="right"/>
              <w:rPr>
                <w:rFonts w:cs="Calibri"/>
                <w:color w:val="000000"/>
              </w:rPr>
            </w:pPr>
            <w:r>
              <w:rPr>
                <w:rFonts w:cs="Calibri"/>
                <w:color w:val="000000"/>
              </w:rPr>
              <w:t>13,798</w:t>
            </w:r>
          </w:p>
        </w:tc>
        <w:tc>
          <w:tcPr>
            <w:tcW w:w="2409" w:type="dxa"/>
            <w:vAlign w:val="bottom"/>
          </w:tcPr>
          <w:p w:rsidR="001657CD" w:rsidRDefault="001657CD" w:rsidP="001B1DFA">
            <w:pPr>
              <w:jc w:val="right"/>
              <w:rPr>
                <w:rFonts w:cs="Calibri"/>
                <w:color w:val="000000"/>
              </w:rPr>
            </w:pPr>
            <w:r>
              <w:rPr>
                <w:rFonts w:cs="Calibri"/>
                <w:color w:val="000000"/>
              </w:rPr>
              <w:t>14,794</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National (%)</w:t>
            </w:r>
          </w:p>
        </w:tc>
        <w:tc>
          <w:tcPr>
            <w:tcW w:w="2268" w:type="dxa"/>
            <w:vAlign w:val="bottom"/>
          </w:tcPr>
          <w:p w:rsidR="001657CD" w:rsidRDefault="001657CD" w:rsidP="001B1DFA">
            <w:pPr>
              <w:jc w:val="right"/>
              <w:rPr>
                <w:rFonts w:cs="Calibri"/>
                <w:color w:val="000000"/>
              </w:rPr>
            </w:pPr>
            <w:r>
              <w:rPr>
                <w:rFonts w:cs="Calibri"/>
                <w:color w:val="000000"/>
              </w:rPr>
              <w:t>26%</w:t>
            </w:r>
          </w:p>
        </w:tc>
        <w:tc>
          <w:tcPr>
            <w:tcW w:w="2410" w:type="dxa"/>
            <w:vAlign w:val="bottom"/>
          </w:tcPr>
          <w:p w:rsidR="001657CD" w:rsidRDefault="001657CD" w:rsidP="001B1DFA">
            <w:pPr>
              <w:jc w:val="right"/>
              <w:rPr>
                <w:rFonts w:cs="Calibri"/>
                <w:color w:val="000000"/>
              </w:rPr>
            </w:pPr>
            <w:r>
              <w:rPr>
                <w:rFonts w:cs="Calibri"/>
                <w:color w:val="000000"/>
              </w:rPr>
              <w:t>36%</w:t>
            </w:r>
          </w:p>
        </w:tc>
        <w:tc>
          <w:tcPr>
            <w:tcW w:w="2409" w:type="dxa"/>
            <w:vAlign w:val="bottom"/>
          </w:tcPr>
          <w:p w:rsidR="001657CD" w:rsidRDefault="001657CD" w:rsidP="001B1DFA">
            <w:pPr>
              <w:jc w:val="right"/>
              <w:rPr>
                <w:rFonts w:cs="Calibri"/>
                <w:color w:val="000000"/>
              </w:rPr>
            </w:pPr>
            <w:r>
              <w:rPr>
                <w:rFonts w:cs="Calibri"/>
                <w:color w:val="000000"/>
              </w:rPr>
              <w:t>38%</w:t>
            </w:r>
          </w:p>
        </w:tc>
      </w:tr>
    </w:tbl>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Pr>
        <w:keepNext/>
        <w:spacing w:after="200"/>
        <w:rPr>
          <w:b/>
          <w:bCs/>
          <w:color w:val="4F81BD" w:themeColor="accent1"/>
          <w:sz w:val="18"/>
          <w:szCs w:val="18"/>
        </w:rPr>
      </w:pPr>
    </w:p>
    <w:p w:rsidR="001657CD" w:rsidRPr="00A82550" w:rsidRDefault="001657CD" w:rsidP="001B1DFA">
      <w:pPr>
        <w:pStyle w:val="Heading3"/>
        <w:spacing w:after="0"/>
      </w:pPr>
      <w:r w:rsidRPr="00A82550">
        <w:t xml:space="preserve">Table 4: Comparison between </w:t>
      </w:r>
      <w:r>
        <w:t>QLD</w:t>
      </w:r>
      <w:r w:rsidRPr="00A82550">
        <w:t xml:space="preserve"> and National Participant Outcomes</w:t>
      </w:r>
    </w:p>
    <w:tbl>
      <w:tblPr>
        <w:tblStyle w:val="TableGrid"/>
        <w:tblpPr w:leftFromText="181" w:rightFromText="181" w:vertAnchor="text" w:horzAnchor="margin" w:tblpY="162"/>
        <w:tblW w:w="0" w:type="auto"/>
        <w:tblLook w:val="04A0" w:firstRow="1" w:lastRow="0" w:firstColumn="1" w:lastColumn="0" w:noHBand="0" w:noVBand="1"/>
        <w:tblCaption w:val="Table 4: Comparison between QLD and National Participant Outcomes"/>
        <w:tblDescription w:val="Comparison between QLD and National Participant Outcomes by outcome level"/>
      </w:tblPr>
      <w:tblGrid>
        <w:gridCol w:w="1526"/>
        <w:gridCol w:w="2268"/>
        <w:gridCol w:w="2410"/>
        <w:gridCol w:w="2409"/>
      </w:tblGrid>
      <w:tr w:rsidR="001657CD" w:rsidRPr="00A82550" w:rsidTr="001B1DFA">
        <w:trPr>
          <w:tblHeader/>
        </w:trPr>
        <w:tc>
          <w:tcPr>
            <w:tcW w:w="1526" w:type="dxa"/>
            <w:shd w:val="clear" w:color="auto" w:fill="DBE5F1" w:themeFill="accent1" w:themeFillTint="33"/>
          </w:tcPr>
          <w:p w:rsidR="001657CD" w:rsidRPr="00A82550" w:rsidRDefault="001657CD" w:rsidP="001B1DFA">
            <w:pPr>
              <w:rPr>
                <w:b/>
              </w:rPr>
            </w:pPr>
          </w:p>
        </w:tc>
        <w:tc>
          <w:tcPr>
            <w:tcW w:w="2268" w:type="dxa"/>
            <w:shd w:val="clear" w:color="auto" w:fill="DBE5F1" w:themeFill="accent1" w:themeFillTint="33"/>
          </w:tcPr>
          <w:p w:rsidR="001657CD" w:rsidRPr="00A82550" w:rsidRDefault="001657CD" w:rsidP="001B1DFA">
            <w:pPr>
              <w:rPr>
                <w:b/>
              </w:rPr>
            </w:pPr>
            <w:r w:rsidRPr="00A82550">
              <w:rPr>
                <w:b/>
              </w:rPr>
              <w:t>Outcomes Level 1</w:t>
            </w:r>
          </w:p>
        </w:tc>
        <w:tc>
          <w:tcPr>
            <w:tcW w:w="2410" w:type="dxa"/>
            <w:shd w:val="clear" w:color="auto" w:fill="DBE5F1" w:themeFill="accent1" w:themeFillTint="33"/>
          </w:tcPr>
          <w:p w:rsidR="001657CD" w:rsidRPr="00A82550" w:rsidRDefault="001657CD" w:rsidP="001B1DFA">
            <w:pPr>
              <w:rPr>
                <w:b/>
              </w:rPr>
            </w:pPr>
            <w:r w:rsidRPr="00A82550">
              <w:rPr>
                <w:b/>
              </w:rPr>
              <w:t xml:space="preserve">Outcomes Level </w:t>
            </w:r>
            <w:proofErr w:type="spellStart"/>
            <w:r w:rsidRPr="00A82550">
              <w:rPr>
                <w:b/>
              </w:rPr>
              <w:t>2a</w:t>
            </w:r>
            <w:proofErr w:type="spellEnd"/>
          </w:p>
        </w:tc>
        <w:tc>
          <w:tcPr>
            <w:tcW w:w="2409" w:type="dxa"/>
            <w:shd w:val="clear" w:color="auto" w:fill="DBE5F1" w:themeFill="accent1" w:themeFillTint="33"/>
          </w:tcPr>
          <w:p w:rsidR="001657CD" w:rsidRPr="00A82550" w:rsidRDefault="001657CD" w:rsidP="001B1DFA">
            <w:pPr>
              <w:rPr>
                <w:b/>
              </w:rPr>
            </w:pPr>
            <w:r w:rsidRPr="00A82550">
              <w:rPr>
                <w:b/>
              </w:rPr>
              <w:t xml:space="preserve">Outcomes Level </w:t>
            </w:r>
            <w:proofErr w:type="spellStart"/>
            <w:r w:rsidRPr="00A82550">
              <w:rPr>
                <w:b/>
              </w:rPr>
              <w:t>2b</w:t>
            </w:r>
            <w:proofErr w:type="spellEnd"/>
          </w:p>
        </w:tc>
      </w:tr>
      <w:tr w:rsidR="001657CD" w:rsidRPr="00A82550" w:rsidTr="001B1DFA">
        <w:tc>
          <w:tcPr>
            <w:tcW w:w="1526" w:type="dxa"/>
            <w:vAlign w:val="bottom"/>
          </w:tcPr>
          <w:p w:rsidR="001657CD" w:rsidRPr="00A82550" w:rsidRDefault="001657CD" w:rsidP="001B1DFA">
            <w:pPr>
              <w:rPr>
                <w:rFonts w:cs="Calibri"/>
                <w:b/>
                <w:bCs/>
                <w:color w:val="000000"/>
              </w:rPr>
            </w:pPr>
            <w:r>
              <w:rPr>
                <w:rFonts w:cs="Calibri"/>
                <w:b/>
                <w:bCs/>
                <w:color w:val="000000"/>
              </w:rPr>
              <w:t>QLD</w:t>
            </w:r>
            <w:r w:rsidRPr="00A82550">
              <w:rPr>
                <w:rFonts w:cs="Calibri"/>
                <w:b/>
                <w:bCs/>
                <w:color w:val="000000"/>
              </w:rPr>
              <w:t xml:space="preserve"> (No.)</w:t>
            </w:r>
          </w:p>
        </w:tc>
        <w:tc>
          <w:tcPr>
            <w:tcW w:w="2268" w:type="dxa"/>
            <w:vAlign w:val="bottom"/>
          </w:tcPr>
          <w:p w:rsidR="001657CD" w:rsidRDefault="001657CD" w:rsidP="001B1DFA">
            <w:pPr>
              <w:jc w:val="right"/>
              <w:rPr>
                <w:rFonts w:cs="Calibri"/>
                <w:color w:val="000000"/>
              </w:rPr>
            </w:pPr>
            <w:r>
              <w:rPr>
                <w:rFonts w:cs="Calibri"/>
                <w:color w:val="000000"/>
              </w:rPr>
              <w:t>454</w:t>
            </w:r>
          </w:p>
        </w:tc>
        <w:tc>
          <w:tcPr>
            <w:tcW w:w="2410" w:type="dxa"/>
            <w:vAlign w:val="bottom"/>
          </w:tcPr>
          <w:p w:rsidR="001657CD" w:rsidRDefault="001657CD" w:rsidP="001B1DFA">
            <w:pPr>
              <w:jc w:val="right"/>
              <w:rPr>
                <w:rFonts w:cs="Calibri"/>
                <w:color w:val="000000"/>
              </w:rPr>
            </w:pPr>
            <w:r>
              <w:rPr>
                <w:rFonts w:cs="Calibri"/>
                <w:color w:val="000000"/>
              </w:rPr>
              <w:t>2454</w:t>
            </w:r>
          </w:p>
        </w:tc>
        <w:tc>
          <w:tcPr>
            <w:tcW w:w="2409" w:type="dxa"/>
            <w:vAlign w:val="bottom"/>
          </w:tcPr>
          <w:p w:rsidR="001657CD" w:rsidRDefault="001657CD" w:rsidP="001B1DFA">
            <w:pPr>
              <w:jc w:val="right"/>
              <w:rPr>
                <w:rFonts w:cs="Calibri"/>
                <w:color w:val="000000"/>
              </w:rPr>
            </w:pPr>
            <w:r>
              <w:rPr>
                <w:rFonts w:cs="Calibri"/>
                <w:color w:val="000000"/>
              </w:rPr>
              <w:t>2746</w:t>
            </w:r>
          </w:p>
        </w:tc>
      </w:tr>
      <w:tr w:rsidR="001657CD" w:rsidRPr="00A82550" w:rsidTr="001B1DFA">
        <w:tc>
          <w:tcPr>
            <w:tcW w:w="1526" w:type="dxa"/>
            <w:vAlign w:val="bottom"/>
          </w:tcPr>
          <w:p w:rsidR="001657CD" w:rsidRPr="00A82550" w:rsidRDefault="001657CD" w:rsidP="001B1DFA">
            <w:pPr>
              <w:rPr>
                <w:rFonts w:cs="Calibri"/>
                <w:b/>
                <w:bCs/>
                <w:color w:val="000000"/>
              </w:rPr>
            </w:pPr>
            <w:r>
              <w:rPr>
                <w:rFonts w:cs="Calibri"/>
                <w:b/>
                <w:bCs/>
                <w:color w:val="000000"/>
              </w:rPr>
              <w:t>QLD</w:t>
            </w:r>
            <w:r w:rsidRPr="00A82550">
              <w:rPr>
                <w:rFonts w:cs="Calibri"/>
                <w:b/>
                <w:bCs/>
                <w:color w:val="000000"/>
              </w:rPr>
              <w:t xml:space="preserve"> (%)</w:t>
            </w:r>
          </w:p>
        </w:tc>
        <w:tc>
          <w:tcPr>
            <w:tcW w:w="2268" w:type="dxa"/>
            <w:vAlign w:val="bottom"/>
          </w:tcPr>
          <w:p w:rsidR="001657CD" w:rsidRDefault="001657CD" w:rsidP="001B1DFA">
            <w:pPr>
              <w:jc w:val="right"/>
              <w:rPr>
                <w:rFonts w:cs="Calibri"/>
                <w:color w:val="000000"/>
              </w:rPr>
            </w:pPr>
            <w:r>
              <w:rPr>
                <w:rFonts w:cs="Calibri"/>
                <w:color w:val="000000"/>
              </w:rPr>
              <w:t>8%</w:t>
            </w:r>
          </w:p>
        </w:tc>
        <w:tc>
          <w:tcPr>
            <w:tcW w:w="2410" w:type="dxa"/>
            <w:vAlign w:val="bottom"/>
          </w:tcPr>
          <w:p w:rsidR="001657CD" w:rsidRDefault="001657CD" w:rsidP="001B1DFA">
            <w:pPr>
              <w:jc w:val="right"/>
              <w:rPr>
                <w:rFonts w:cs="Calibri"/>
                <w:color w:val="000000"/>
              </w:rPr>
            </w:pPr>
            <w:r>
              <w:rPr>
                <w:rFonts w:cs="Calibri"/>
                <w:color w:val="000000"/>
              </w:rPr>
              <w:t>43%</w:t>
            </w:r>
          </w:p>
        </w:tc>
        <w:tc>
          <w:tcPr>
            <w:tcW w:w="2409" w:type="dxa"/>
            <w:vAlign w:val="bottom"/>
          </w:tcPr>
          <w:p w:rsidR="001657CD" w:rsidRDefault="001657CD" w:rsidP="001B1DFA">
            <w:pPr>
              <w:jc w:val="right"/>
              <w:rPr>
                <w:rFonts w:cs="Calibri"/>
                <w:color w:val="000000"/>
              </w:rPr>
            </w:pPr>
            <w:r>
              <w:rPr>
                <w:rFonts w:cs="Calibri"/>
                <w:color w:val="000000"/>
              </w:rPr>
              <w:t>49%</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 </w:t>
            </w:r>
          </w:p>
        </w:tc>
        <w:tc>
          <w:tcPr>
            <w:tcW w:w="2268" w:type="dxa"/>
            <w:vAlign w:val="bottom"/>
          </w:tcPr>
          <w:p w:rsidR="001657CD" w:rsidRDefault="001657CD" w:rsidP="001B1DFA">
            <w:pPr>
              <w:rPr>
                <w:rFonts w:cs="Calibri"/>
                <w:color w:val="000000"/>
              </w:rPr>
            </w:pPr>
            <w:r>
              <w:rPr>
                <w:rFonts w:cs="Calibri"/>
                <w:color w:val="000000"/>
              </w:rPr>
              <w:t> </w:t>
            </w:r>
          </w:p>
        </w:tc>
        <w:tc>
          <w:tcPr>
            <w:tcW w:w="2410" w:type="dxa"/>
            <w:vAlign w:val="bottom"/>
          </w:tcPr>
          <w:p w:rsidR="001657CD" w:rsidRDefault="001657CD" w:rsidP="001B1DFA">
            <w:pPr>
              <w:rPr>
                <w:rFonts w:cs="Calibri"/>
                <w:color w:val="000000"/>
              </w:rPr>
            </w:pPr>
            <w:r>
              <w:rPr>
                <w:rFonts w:cs="Calibri"/>
                <w:color w:val="000000"/>
              </w:rPr>
              <w:t> </w:t>
            </w:r>
          </w:p>
        </w:tc>
        <w:tc>
          <w:tcPr>
            <w:tcW w:w="2409" w:type="dxa"/>
            <w:vAlign w:val="bottom"/>
          </w:tcPr>
          <w:p w:rsidR="001657CD" w:rsidRDefault="001657CD" w:rsidP="001B1DFA">
            <w:pPr>
              <w:rPr>
                <w:rFonts w:cs="Calibri"/>
                <w:color w:val="000000"/>
              </w:rPr>
            </w:pPr>
            <w:r>
              <w:rPr>
                <w:rFonts w:cs="Calibri"/>
                <w:color w:val="000000"/>
              </w:rPr>
              <w:t> </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National (No.)</w:t>
            </w:r>
          </w:p>
        </w:tc>
        <w:tc>
          <w:tcPr>
            <w:tcW w:w="2268" w:type="dxa"/>
            <w:vAlign w:val="bottom"/>
          </w:tcPr>
          <w:p w:rsidR="001657CD" w:rsidRDefault="001657CD" w:rsidP="001B1DFA">
            <w:pPr>
              <w:jc w:val="right"/>
              <w:rPr>
                <w:rFonts w:cs="Calibri"/>
                <w:color w:val="000000"/>
              </w:rPr>
            </w:pPr>
            <w:r>
              <w:rPr>
                <w:rFonts w:cs="Calibri"/>
                <w:color w:val="000000"/>
              </w:rPr>
              <w:t>8255</w:t>
            </w:r>
          </w:p>
        </w:tc>
        <w:tc>
          <w:tcPr>
            <w:tcW w:w="2410" w:type="dxa"/>
            <w:vAlign w:val="bottom"/>
          </w:tcPr>
          <w:p w:rsidR="001657CD" w:rsidRDefault="001657CD" w:rsidP="001B1DFA">
            <w:pPr>
              <w:jc w:val="right"/>
              <w:rPr>
                <w:rFonts w:cs="Calibri"/>
                <w:color w:val="000000"/>
              </w:rPr>
            </w:pPr>
            <w:r>
              <w:rPr>
                <w:rFonts w:cs="Calibri"/>
                <w:color w:val="000000"/>
              </w:rPr>
              <w:t>10,742</w:t>
            </w:r>
          </w:p>
        </w:tc>
        <w:tc>
          <w:tcPr>
            <w:tcW w:w="2409" w:type="dxa"/>
            <w:vAlign w:val="bottom"/>
          </w:tcPr>
          <w:p w:rsidR="001657CD" w:rsidRDefault="001657CD" w:rsidP="001B1DFA">
            <w:pPr>
              <w:jc w:val="right"/>
              <w:rPr>
                <w:rFonts w:cs="Calibri"/>
                <w:color w:val="000000"/>
              </w:rPr>
            </w:pPr>
            <w:r>
              <w:rPr>
                <w:rFonts w:cs="Calibri"/>
                <w:color w:val="000000"/>
              </w:rPr>
              <w:t>11,010</w:t>
            </w:r>
          </w:p>
        </w:tc>
      </w:tr>
      <w:tr w:rsidR="001657CD" w:rsidRPr="00A82550" w:rsidTr="001B1DFA">
        <w:tc>
          <w:tcPr>
            <w:tcW w:w="1526" w:type="dxa"/>
            <w:vAlign w:val="bottom"/>
          </w:tcPr>
          <w:p w:rsidR="001657CD" w:rsidRPr="00A82550" w:rsidRDefault="001657CD" w:rsidP="001B1DFA">
            <w:pPr>
              <w:rPr>
                <w:rFonts w:cs="Calibri"/>
                <w:b/>
                <w:bCs/>
                <w:color w:val="000000"/>
              </w:rPr>
            </w:pPr>
            <w:r w:rsidRPr="00A82550">
              <w:rPr>
                <w:rFonts w:cs="Calibri"/>
                <w:b/>
                <w:bCs/>
                <w:color w:val="000000"/>
              </w:rPr>
              <w:t>National (%)</w:t>
            </w:r>
          </w:p>
        </w:tc>
        <w:tc>
          <w:tcPr>
            <w:tcW w:w="2268" w:type="dxa"/>
            <w:vAlign w:val="bottom"/>
          </w:tcPr>
          <w:p w:rsidR="001657CD" w:rsidRDefault="001657CD" w:rsidP="001B1DFA">
            <w:pPr>
              <w:jc w:val="right"/>
              <w:rPr>
                <w:rFonts w:cs="Calibri"/>
                <w:color w:val="000000"/>
              </w:rPr>
            </w:pPr>
            <w:r>
              <w:rPr>
                <w:rFonts w:cs="Calibri"/>
                <w:color w:val="000000"/>
              </w:rPr>
              <w:t>28%</w:t>
            </w:r>
          </w:p>
        </w:tc>
        <w:tc>
          <w:tcPr>
            <w:tcW w:w="2410" w:type="dxa"/>
            <w:vAlign w:val="bottom"/>
          </w:tcPr>
          <w:p w:rsidR="001657CD" w:rsidRDefault="001657CD" w:rsidP="001B1DFA">
            <w:pPr>
              <w:jc w:val="right"/>
              <w:rPr>
                <w:rFonts w:cs="Calibri"/>
                <w:color w:val="000000"/>
              </w:rPr>
            </w:pPr>
            <w:r>
              <w:rPr>
                <w:rFonts w:cs="Calibri"/>
                <w:color w:val="000000"/>
              </w:rPr>
              <w:t>36%</w:t>
            </w:r>
          </w:p>
        </w:tc>
        <w:tc>
          <w:tcPr>
            <w:tcW w:w="2409" w:type="dxa"/>
            <w:vAlign w:val="bottom"/>
          </w:tcPr>
          <w:p w:rsidR="001657CD" w:rsidRDefault="001657CD" w:rsidP="001B1DFA">
            <w:pPr>
              <w:jc w:val="right"/>
              <w:rPr>
                <w:rFonts w:cs="Calibri"/>
                <w:color w:val="000000"/>
              </w:rPr>
            </w:pPr>
            <w:r>
              <w:rPr>
                <w:rFonts w:cs="Calibri"/>
                <w:color w:val="000000"/>
              </w:rPr>
              <w:t>37%</w:t>
            </w:r>
          </w:p>
        </w:tc>
      </w:tr>
    </w:tbl>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 w:rsidR="001657CD" w:rsidRPr="00A82550" w:rsidRDefault="001657CD" w:rsidP="001657CD">
      <w:pPr>
        <w:ind w:right="-708" w:hanging="426"/>
      </w:pPr>
    </w:p>
    <w:p w:rsidR="00AD5A2C" w:rsidRDefault="00AD5A2C" w:rsidP="00AD5A2C">
      <w:pPr>
        <w:pStyle w:val="Caption"/>
        <w:keepNext/>
        <w:spacing w:after="0"/>
        <w:rPr>
          <w:b w:val="0"/>
          <w:color w:val="000000"/>
          <w:sz w:val="20"/>
          <w:szCs w:val="20"/>
          <w:u w:val="single"/>
          <w:lang w:eastAsia="en-US"/>
        </w:rPr>
      </w:pPr>
    </w:p>
    <w:p w:rsidR="001657CD" w:rsidRDefault="001657CD" w:rsidP="001657CD">
      <w:pPr>
        <w:pStyle w:val="Caption"/>
        <w:keepNext/>
      </w:pPr>
      <w:r>
        <w:t>Figure 1: QLD – Age of Participants</w:t>
      </w:r>
    </w:p>
    <w:p w:rsidR="001657CD" w:rsidRDefault="001657CD" w:rsidP="001657CD">
      <w:pPr>
        <w:tabs>
          <w:tab w:val="left" w:pos="6153"/>
        </w:tabs>
      </w:pPr>
      <w:r w:rsidRPr="009533F5">
        <w:rPr>
          <w:noProof/>
          <w:lang w:eastAsia="en-AU"/>
        </w:rPr>
        <w:drawing>
          <wp:inline distT="0" distB="0" distL="0" distR="0" wp14:anchorId="4895F3D8" wp14:editId="3BB8792A">
            <wp:extent cx="5947063" cy="4144488"/>
            <wp:effectExtent l="0" t="0" r="15875" b="27940"/>
            <wp:docPr id="53" name="Chart 27" descr="QLD Age of Participants, graphic representation of table 5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657CD" w:rsidRDefault="001657CD" w:rsidP="001657CD">
      <w:pPr>
        <w:pStyle w:val="Caption"/>
        <w:keepNext/>
      </w:pPr>
      <w:r>
        <w:t>Figure 2: National – Age of Participants</w:t>
      </w:r>
    </w:p>
    <w:p w:rsidR="001657CD" w:rsidRDefault="001657CD" w:rsidP="001657CD">
      <w:pPr>
        <w:tabs>
          <w:tab w:val="left" w:pos="6153"/>
        </w:tabs>
      </w:pPr>
      <w:r w:rsidRPr="009533F5">
        <w:rPr>
          <w:noProof/>
          <w:lang w:eastAsia="en-AU"/>
        </w:rPr>
        <w:drawing>
          <wp:inline distT="0" distB="0" distL="0" distR="0" wp14:anchorId="77080AEF" wp14:editId="0A9866D1">
            <wp:extent cx="5947063" cy="3990109"/>
            <wp:effectExtent l="0" t="0" r="15875" b="10795"/>
            <wp:docPr id="54" name="Chart 28" descr="National Age of participants, graphic representation of table 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657CD" w:rsidRDefault="001657CD" w:rsidP="00ED3CBC">
      <w:pPr>
        <w:pStyle w:val="Heading3"/>
      </w:pPr>
      <w:r>
        <w:lastRenderedPageBreak/>
        <w:t>Table 5</w:t>
      </w:r>
      <w:r w:rsidRPr="0063631F">
        <w:t xml:space="preserve">: </w:t>
      </w:r>
      <w:r>
        <w:t>QLD</w:t>
      </w:r>
      <w:r w:rsidRPr="0063631F">
        <w:t xml:space="preserve"> - Age of Participants</w:t>
      </w:r>
    </w:p>
    <w:tbl>
      <w:tblPr>
        <w:tblW w:w="8647" w:type="dxa"/>
        <w:tblInd w:w="-34" w:type="dxa"/>
        <w:tblLook w:val="04A0" w:firstRow="1" w:lastRow="0" w:firstColumn="1" w:lastColumn="0" w:noHBand="0" w:noVBand="1"/>
      </w:tblPr>
      <w:tblGrid>
        <w:gridCol w:w="683"/>
        <w:gridCol w:w="1444"/>
        <w:gridCol w:w="1701"/>
        <w:gridCol w:w="1559"/>
        <w:gridCol w:w="1701"/>
        <w:gridCol w:w="1559"/>
      </w:tblGrid>
      <w:tr w:rsidR="001657CD" w:rsidRPr="001713B7" w:rsidTr="001B1DFA">
        <w:trPr>
          <w:trHeight w:val="390"/>
        </w:trPr>
        <w:tc>
          <w:tcPr>
            <w:tcW w:w="68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Pr>
                <w:b/>
              </w:rPr>
              <w:t>Age</w:t>
            </w:r>
          </w:p>
        </w:tc>
        <w:tc>
          <w:tcPr>
            <w:tcW w:w="1444"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sidRPr="001713B7">
              <w:rPr>
                <w:b/>
              </w:rPr>
              <w:t>Level 1</w:t>
            </w:r>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sidRPr="001713B7">
              <w:rPr>
                <w:b/>
              </w:rPr>
              <w:t xml:space="preserve">Level </w:t>
            </w:r>
            <w:proofErr w:type="spellStart"/>
            <w:r w:rsidRPr="001713B7">
              <w:rPr>
                <w:b/>
              </w:rPr>
              <w:t>2a</w:t>
            </w:r>
            <w:proofErr w:type="spellEnd"/>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sidRPr="001713B7">
              <w:rPr>
                <w:b/>
              </w:rPr>
              <w:t xml:space="preserve">Level </w:t>
            </w:r>
            <w:proofErr w:type="spellStart"/>
            <w:r w:rsidRPr="001713B7">
              <w:rPr>
                <w:b/>
              </w:rPr>
              <w:t>2b</w:t>
            </w:r>
            <w:proofErr w:type="spellEnd"/>
          </w:p>
        </w:tc>
        <w:tc>
          <w:tcPr>
            <w:tcW w:w="1701"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sidRPr="001713B7">
              <w:rPr>
                <w:b/>
              </w:rPr>
              <w:t>Total</w:t>
            </w:r>
          </w:p>
        </w:tc>
        <w:tc>
          <w:tcPr>
            <w:tcW w:w="1559"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1713B7" w:rsidRDefault="001657CD" w:rsidP="001B1DFA">
            <w:pPr>
              <w:tabs>
                <w:tab w:val="left" w:pos="6153"/>
              </w:tabs>
              <w:jc w:val="center"/>
              <w:rPr>
                <w:b/>
              </w:rPr>
            </w:pPr>
            <w:r w:rsidRPr="001713B7">
              <w:rPr>
                <w:b/>
              </w:rPr>
              <w:t>% Total</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11</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12</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4</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13</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29</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13</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53</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14</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73</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237</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98</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395</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15</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150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636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309</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1048</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16%</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16</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125</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881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658</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1578</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24%</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17</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92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710</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951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1696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25%</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18</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311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841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1176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18%</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19</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17</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96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411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516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8%</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20</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17</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152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170</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21</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24</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26</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22</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24</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r w:rsidR="001657CD" w:rsidRPr="001713B7" w:rsidTr="001B1DFA">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1657CD" w:rsidRDefault="001657CD" w:rsidP="001B1DFA">
            <w:pPr>
              <w:rPr>
                <w:rFonts w:cs="Calibri"/>
                <w:b/>
                <w:bCs/>
                <w:color w:val="000000"/>
              </w:rPr>
            </w:pPr>
            <w:r>
              <w:rPr>
                <w:rFonts w:cs="Calibri"/>
                <w:b/>
                <w:bCs/>
                <w:color w:val="000000"/>
              </w:rPr>
              <w:t>25</w:t>
            </w:r>
          </w:p>
        </w:tc>
        <w:tc>
          <w:tcPr>
            <w:tcW w:w="1444"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c>
          <w:tcPr>
            <w:tcW w:w="1701"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w:t>
            </w:r>
          </w:p>
        </w:tc>
        <w:tc>
          <w:tcPr>
            <w:tcW w:w="1559" w:type="dxa"/>
            <w:tcBorders>
              <w:top w:val="nil"/>
              <w:left w:val="nil"/>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0%</w:t>
            </w:r>
          </w:p>
        </w:tc>
      </w:tr>
    </w:tbl>
    <w:p w:rsidR="001657CD" w:rsidRDefault="001657CD" w:rsidP="001657CD">
      <w:pPr>
        <w:tabs>
          <w:tab w:val="left" w:pos="6153"/>
        </w:tabs>
        <w:rPr>
          <w:b/>
        </w:rPr>
      </w:pPr>
    </w:p>
    <w:p w:rsidR="001657CD" w:rsidRDefault="001657CD" w:rsidP="00ED3CBC">
      <w:pPr>
        <w:pStyle w:val="Heading3"/>
      </w:pPr>
      <w:r>
        <w:t>Table 6: National</w:t>
      </w:r>
      <w:r w:rsidRPr="00580A81">
        <w:t xml:space="preserve"> – Age of Participants</w:t>
      </w:r>
    </w:p>
    <w:tbl>
      <w:tblPr>
        <w:tblStyle w:val="TableGrid"/>
        <w:tblW w:w="0" w:type="auto"/>
        <w:tblLook w:val="04A0" w:firstRow="1" w:lastRow="0" w:firstColumn="1" w:lastColumn="0" w:noHBand="0" w:noVBand="1"/>
        <w:tblCaption w:val="Table 6: National – Age of Participants"/>
        <w:tblDescription w:val="National – Age of Participants by participation level"/>
      </w:tblPr>
      <w:tblGrid>
        <w:gridCol w:w="518"/>
        <w:gridCol w:w="1619"/>
        <w:gridCol w:w="1619"/>
        <w:gridCol w:w="1619"/>
        <w:gridCol w:w="1619"/>
        <w:gridCol w:w="1619"/>
      </w:tblGrid>
      <w:tr w:rsidR="001657CD" w:rsidRPr="00580A81" w:rsidTr="00D35240">
        <w:trPr>
          <w:tblHeader/>
        </w:trPr>
        <w:tc>
          <w:tcPr>
            <w:tcW w:w="518" w:type="dxa"/>
            <w:shd w:val="clear" w:color="auto" w:fill="DBE5F1" w:themeFill="accent1" w:themeFillTint="33"/>
          </w:tcPr>
          <w:p w:rsidR="001657CD" w:rsidRPr="00580A81" w:rsidRDefault="001657CD" w:rsidP="001B1DFA">
            <w:pPr>
              <w:tabs>
                <w:tab w:val="left" w:pos="6153"/>
              </w:tabs>
              <w:jc w:val="center"/>
              <w:rPr>
                <w:b/>
              </w:rPr>
            </w:pPr>
          </w:p>
        </w:tc>
        <w:tc>
          <w:tcPr>
            <w:tcW w:w="1619" w:type="dxa"/>
            <w:shd w:val="clear" w:color="auto" w:fill="DBE5F1" w:themeFill="accent1" w:themeFillTint="33"/>
          </w:tcPr>
          <w:p w:rsidR="001657CD" w:rsidRPr="00580A81" w:rsidRDefault="001657CD" w:rsidP="001B1DFA">
            <w:pPr>
              <w:tabs>
                <w:tab w:val="left" w:pos="6153"/>
              </w:tabs>
              <w:jc w:val="center"/>
              <w:rPr>
                <w:b/>
              </w:rPr>
            </w:pPr>
            <w:r w:rsidRPr="00580A81">
              <w:rPr>
                <w:b/>
              </w:rPr>
              <w:t>Level 1</w:t>
            </w:r>
          </w:p>
        </w:tc>
        <w:tc>
          <w:tcPr>
            <w:tcW w:w="1619" w:type="dxa"/>
            <w:shd w:val="clear" w:color="auto" w:fill="DBE5F1" w:themeFill="accent1" w:themeFillTint="33"/>
          </w:tcPr>
          <w:p w:rsidR="001657CD" w:rsidRPr="00580A81" w:rsidRDefault="001657CD" w:rsidP="001B1DFA">
            <w:pPr>
              <w:tabs>
                <w:tab w:val="left" w:pos="6153"/>
              </w:tabs>
              <w:jc w:val="center"/>
              <w:rPr>
                <w:b/>
              </w:rPr>
            </w:pPr>
            <w:r w:rsidRPr="00580A81">
              <w:rPr>
                <w:b/>
              </w:rPr>
              <w:t xml:space="preserve">Level </w:t>
            </w:r>
            <w:proofErr w:type="spellStart"/>
            <w:r w:rsidRPr="00580A81">
              <w:rPr>
                <w:b/>
              </w:rPr>
              <w:t>2a</w:t>
            </w:r>
            <w:proofErr w:type="spellEnd"/>
          </w:p>
        </w:tc>
        <w:tc>
          <w:tcPr>
            <w:tcW w:w="1619" w:type="dxa"/>
            <w:shd w:val="clear" w:color="auto" w:fill="DBE5F1" w:themeFill="accent1" w:themeFillTint="33"/>
          </w:tcPr>
          <w:p w:rsidR="001657CD" w:rsidRPr="00580A81" w:rsidRDefault="001657CD" w:rsidP="001B1DFA">
            <w:pPr>
              <w:tabs>
                <w:tab w:val="left" w:pos="6153"/>
              </w:tabs>
              <w:jc w:val="center"/>
              <w:rPr>
                <w:b/>
              </w:rPr>
            </w:pPr>
            <w:r w:rsidRPr="00580A81">
              <w:rPr>
                <w:b/>
              </w:rPr>
              <w:t xml:space="preserve">Level </w:t>
            </w:r>
            <w:proofErr w:type="spellStart"/>
            <w:r w:rsidRPr="00580A81">
              <w:rPr>
                <w:b/>
              </w:rPr>
              <w:t>2b</w:t>
            </w:r>
            <w:proofErr w:type="spellEnd"/>
          </w:p>
        </w:tc>
        <w:tc>
          <w:tcPr>
            <w:tcW w:w="1619" w:type="dxa"/>
            <w:shd w:val="clear" w:color="auto" w:fill="DBE5F1" w:themeFill="accent1" w:themeFillTint="33"/>
          </w:tcPr>
          <w:p w:rsidR="001657CD" w:rsidRPr="00580A81" w:rsidRDefault="001657CD" w:rsidP="001B1DFA">
            <w:pPr>
              <w:tabs>
                <w:tab w:val="left" w:pos="6153"/>
              </w:tabs>
              <w:jc w:val="center"/>
              <w:rPr>
                <w:b/>
              </w:rPr>
            </w:pPr>
            <w:r w:rsidRPr="00580A81">
              <w:rPr>
                <w:b/>
              </w:rPr>
              <w:t>Total</w:t>
            </w:r>
          </w:p>
        </w:tc>
        <w:tc>
          <w:tcPr>
            <w:tcW w:w="1619" w:type="dxa"/>
            <w:shd w:val="clear" w:color="auto" w:fill="DBE5F1" w:themeFill="accent1" w:themeFillTint="33"/>
          </w:tcPr>
          <w:p w:rsidR="001657CD" w:rsidRPr="00580A81" w:rsidRDefault="001657CD" w:rsidP="001B1DFA">
            <w:pPr>
              <w:tabs>
                <w:tab w:val="left" w:pos="6153"/>
              </w:tabs>
              <w:jc w:val="center"/>
              <w:rPr>
                <w:b/>
              </w:rPr>
            </w:pPr>
            <w:r w:rsidRPr="00580A81">
              <w:rPr>
                <w:b/>
              </w:rPr>
              <w:t>%</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7</w:t>
            </w:r>
          </w:p>
        </w:tc>
        <w:tc>
          <w:tcPr>
            <w:tcW w:w="1619" w:type="dxa"/>
            <w:vAlign w:val="bottom"/>
          </w:tcPr>
          <w:p w:rsidR="001657CD" w:rsidRDefault="001657CD" w:rsidP="001B1DFA">
            <w:pPr>
              <w:jc w:val="right"/>
              <w:rPr>
                <w:rFonts w:cs="Calibri"/>
                <w:color w:val="000000"/>
              </w:rPr>
            </w:pPr>
            <w:r>
              <w:rPr>
                <w:rFonts w:cs="Calibri"/>
                <w:color w:val="000000"/>
              </w:rPr>
              <w:t>2</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2</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8</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9</w:t>
            </w:r>
          </w:p>
        </w:tc>
        <w:tc>
          <w:tcPr>
            <w:tcW w:w="1619" w:type="dxa"/>
            <w:vAlign w:val="bottom"/>
          </w:tcPr>
          <w:p w:rsidR="001657CD" w:rsidRDefault="001657CD" w:rsidP="001B1DFA">
            <w:pPr>
              <w:jc w:val="right"/>
              <w:rPr>
                <w:rFonts w:cs="Calibri"/>
                <w:color w:val="000000"/>
              </w:rPr>
            </w:pPr>
            <w:r>
              <w:rPr>
                <w:rFonts w:cs="Calibri"/>
                <w:color w:val="000000"/>
              </w:rPr>
              <w:t>9</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9</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10</w:t>
            </w:r>
          </w:p>
        </w:tc>
        <w:tc>
          <w:tcPr>
            <w:tcW w:w="1619" w:type="dxa"/>
            <w:vAlign w:val="bottom"/>
          </w:tcPr>
          <w:p w:rsidR="001657CD" w:rsidRDefault="001657CD" w:rsidP="001B1DFA">
            <w:pPr>
              <w:jc w:val="right"/>
              <w:rPr>
                <w:rFonts w:cs="Calibri"/>
                <w:color w:val="000000"/>
              </w:rPr>
            </w:pPr>
            <w:r>
              <w:rPr>
                <w:rFonts w:cs="Calibri"/>
                <w:color w:val="000000"/>
              </w:rPr>
              <w:t>28</w:t>
            </w:r>
          </w:p>
        </w:tc>
        <w:tc>
          <w:tcPr>
            <w:tcW w:w="1619" w:type="dxa"/>
            <w:vAlign w:val="bottom"/>
          </w:tcPr>
          <w:p w:rsidR="001657CD" w:rsidRDefault="001657CD" w:rsidP="001B1DFA">
            <w:pPr>
              <w:jc w:val="right"/>
              <w:rPr>
                <w:rFonts w:cs="Calibri"/>
                <w:color w:val="000000"/>
              </w:rPr>
            </w:pPr>
            <w:r>
              <w:rPr>
                <w:rFonts w:cs="Calibri"/>
                <w:color w:val="000000"/>
              </w:rPr>
              <w:t>5</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34</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11</w:t>
            </w:r>
          </w:p>
        </w:tc>
        <w:tc>
          <w:tcPr>
            <w:tcW w:w="1619" w:type="dxa"/>
            <w:vAlign w:val="bottom"/>
          </w:tcPr>
          <w:p w:rsidR="001657CD" w:rsidRDefault="001657CD" w:rsidP="001B1DFA">
            <w:pPr>
              <w:jc w:val="right"/>
              <w:rPr>
                <w:rFonts w:cs="Calibri"/>
                <w:color w:val="000000"/>
              </w:rPr>
            </w:pPr>
            <w:r>
              <w:rPr>
                <w:rFonts w:cs="Calibri"/>
                <w:color w:val="000000"/>
              </w:rPr>
              <w:t>156</w:t>
            </w:r>
          </w:p>
        </w:tc>
        <w:tc>
          <w:tcPr>
            <w:tcW w:w="1619" w:type="dxa"/>
            <w:vAlign w:val="bottom"/>
          </w:tcPr>
          <w:p w:rsidR="001657CD" w:rsidRDefault="001657CD" w:rsidP="001B1DFA">
            <w:pPr>
              <w:jc w:val="right"/>
              <w:rPr>
                <w:rFonts w:cs="Calibri"/>
                <w:color w:val="000000"/>
              </w:rPr>
            </w:pPr>
            <w:r>
              <w:rPr>
                <w:rFonts w:cs="Calibri"/>
                <w:color w:val="000000"/>
              </w:rPr>
              <w:t>29</w:t>
            </w:r>
          </w:p>
        </w:tc>
        <w:tc>
          <w:tcPr>
            <w:tcW w:w="1619" w:type="dxa"/>
            <w:vAlign w:val="bottom"/>
          </w:tcPr>
          <w:p w:rsidR="001657CD" w:rsidRDefault="001657CD" w:rsidP="001B1DFA">
            <w:pPr>
              <w:jc w:val="right"/>
              <w:rPr>
                <w:rFonts w:cs="Calibri"/>
                <w:color w:val="000000"/>
              </w:rPr>
            </w:pPr>
            <w:r>
              <w:rPr>
                <w:rFonts w:cs="Calibri"/>
                <w:color w:val="000000"/>
              </w:rPr>
              <w:t>3</w:t>
            </w:r>
          </w:p>
        </w:tc>
        <w:tc>
          <w:tcPr>
            <w:tcW w:w="1619" w:type="dxa"/>
            <w:vAlign w:val="bottom"/>
          </w:tcPr>
          <w:p w:rsidR="001657CD" w:rsidRDefault="001657CD" w:rsidP="001B1DFA">
            <w:pPr>
              <w:jc w:val="right"/>
              <w:rPr>
                <w:rFonts w:cs="Calibri"/>
                <w:color w:val="000000"/>
              </w:rPr>
            </w:pPr>
            <w:r>
              <w:rPr>
                <w:rFonts w:cs="Calibri"/>
                <w:color w:val="000000"/>
              </w:rPr>
              <w:t>186</w:t>
            </w:r>
          </w:p>
        </w:tc>
        <w:tc>
          <w:tcPr>
            <w:tcW w:w="1619" w:type="dxa"/>
            <w:vAlign w:val="bottom"/>
          </w:tcPr>
          <w:p w:rsidR="001657CD" w:rsidRDefault="001657CD" w:rsidP="001B1DFA">
            <w:pPr>
              <w:jc w:val="right"/>
              <w:rPr>
                <w:rFonts w:cs="Calibri"/>
                <w:color w:val="000000"/>
              </w:rPr>
            </w:pPr>
            <w:r>
              <w:rPr>
                <w:rFonts w:cs="Calibri"/>
                <w:color w:val="000000"/>
              </w:rPr>
              <w:t>1%</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12</w:t>
            </w:r>
          </w:p>
        </w:tc>
        <w:tc>
          <w:tcPr>
            <w:tcW w:w="1619" w:type="dxa"/>
            <w:vAlign w:val="bottom"/>
          </w:tcPr>
          <w:p w:rsidR="001657CD" w:rsidRDefault="001657CD" w:rsidP="001B1DFA">
            <w:pPr>
              <w:jc w:val="right"/>
              <w:rPr>
                <w:rFonts w:cs="Calibri"/>
                <w:color w:val="000000"/>
              </w:rPr>
            </w:pPr>
            <w:r>
              <w:rPr>
                <w:rFonts w:cs="Calibri"/>
                <w:color w:val="000000"/>
              </w:rPr>
              <w:t>325</w:t>
            </w:r>
          </w:p>
        </w:tc>
        <w:tc>
          <w:tcPr>
            <w:tcW w:w="1619" w:type="dxa"/>
            <w:vAlign w:val="bottom"/>
          </w:tcPr>
          <w:p w:rsidR="001657CD" w:rsidRDefault="001657CD" w:rsidP="001B1DFA">
            <w:pPr>
              <w:jc w:val="right"/>
              <w:rPr>
                <w:rFonts w:cs="Calibri"/>
                <w:color w:val="000000"/>
              </w:rPr>
            </w:pPr>
            <w:r>
              <w:rPr>
                <w:rFonts w:cs="Calibri"/>
                <w:color w:val="000000"/>
              </w:rPr>
              <w:t>113</w:t>
            </w:r>
          </w:p>
        </w:tc>
        <w:tc>
          <w:tcPr>
            <w:tcW w:w="1619" w:type="dxa"/>
            <w:vAlign w:val="bottom"/>
          </w:tcPr>
          <w:p w:rsidR="001657CD" w:rsidRDefault="001657CD" w:rsidP="001B1DFA">
            <w:pPr>
              <w:jc w:val="right"/>
              <w:rPr>
                <w:rFonts w:cs="Calibri"/>
                <w:color w:val="000000"/>
              </w:rPr>
            </w:pPr>
            <w:r>
              <w:rPr>
                <w:rFonts w:cs="Calibri"/>
                <w:color w:val="000000"/>
              </w:rPr>
              <w:t>18</w:t>
            </w:r>
          </w:p>
        </w:tc>
        <w:tc>
          <w:tcPr>
            <w:tcW w:w="1619" w:type="dxa"/>
            <w:vAlign w:val="bottom"/>
          </w:tcPr>
          <w:p w:rsidR="001657CD" w:rsidRDefault="001657CD" w:rsidP="001B1DFA">
            <w:pPr>
              <w:jc w:val="right"/>
              <w:rPr>
                <w:rFonts w:cs="Calibri"/>
                <w:color w:val="000000"/>
              </w:rPr>
            </w:pPr>
            <w:r>
              <w:rPr>
                <w:rFonts w:cs="Calibri"/>
                <w:color w:val="000000"/>
              </w:rPr>
              <w:t>442</w:t>
            </w:r>
          </w:p>
        </w:tc>
        <w:tc>
          <w:tcPr>
            <w:tcW w:w="1619" w:type="dxa"/>
            <w:vAlign w:val="bottom"/>
          </w:tcPr>
          <w:p w:rsidR="001657CD" w:rsidRDefault="001657CD" w:rsidP="001B1DFA">
            <w:pPr>
              <w:jc w:val="right"/>
              <w:rPr>
                <w:rFonts w:cs="Calibri"/>
                <w:color w:val="000000"/>
              </w:rPr>
            </w:pPr>
            <w:r>
              <w:rPr>
                <w:rFonts w:cs="Calibri"/>
                <w:color w:val="000000"/>
              </w:rPr>
              <w:t>1%</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13</w:t>
            </w:r>
          </w:p>
        </w:tc>
        <w:tc>
          <w:tcPr>
            <w:tcW w:w="1619" w:type="dxa"/>
            <w:vAlign w:val="bottom"/>
          </w:tcPr>
          <w:p w:rsidR="001657CD" w:rsidRDefault="001657CD" w:rsidP="001B1DFA">
            <w:pPr>
              <w:jc w:val="right"/>
              <w:rPr>
                <w:rFonts w:cs="Calibri"/>
                <w:color w:val="000000"/>
              </w:rPr>
            </w:pPr>
            <w:r>
              <w:rPr>
                <w:rFonts w:cs="Calibri"/>
                <w:color w:val="000000"/>
              </w:rPr>
              <w:t>680</w:t>
            </w:r>
          </w:p>
        </w:tc>
        <w:tc>
          <w:tcPr>
            <w:tcW w:w="1619" w:type="dxa"/>
            <w:vAlign w:val="bottom"/>
          </w:tcPr>
          <w:p w:rsidR="001657CD" w:rsidRDefault="001657CD" w:rsidP="001B1DFA">
            <w:pPr>
              <w:jc w:val="right"/>
              <w:rPr>
                <w:rFonts w:cs="Calibri"/>
                <w:color w:val="000000"/>
              </w:rPr>
            </w:pPr>
            <w:r>
              <w:rPr>
                <w:rFonts w:cs="Calibri"/>
                <w:color w:val="000000"/>
              </w:rPr>
              <w:t>317</w:t>
            </w:r>
          </w:p>
        </w:tc>
        <w:tc>
          <w:tcPr>
            <w:tcW w:w="1619" w:type="dxa"/>
            <w:vAlign w:val="bottom"/>
          </w:tcPr>
          <w:p w:rsidR="001657CD" w:rsidRDefault="001657CD" w:rsidP="001B1DFA">
            <w:pPr>
              <w:jc w:val="right"/>
              <w:rPr>
                <w:rFonts w:cs="Calibri"/>
                <w:color w:val="000000"/>
              </w:rPr>
            </w:pPr>
            <w:r>
              <w:rPr>
                <w:rFonts w:cs="Calibri"/>
                <w:color w:val="000000"/>
              </w:rPr>
              <w:t>80</w:t>
            </w:r>
          </w:p>
        </w:tc>
        <w:tc>
          <w:tcPr>
            <w:tcW w:w="1619" w:type="dxa"/>
            <w:vAlign w:val="bottom"/>
          </w:tcPr>
          <w:p w:rsidR="001657CD" w:rsidRDefault="001657CD" w:rsidP="001B1DFA">
            <w:pPr>
              <w:jc w:val="right"/>
              <w:rPr>
                <w:rFonts w:cs="Calibri"/>
                <w:color w:val="000000"/>
              </w:rPr>
            </w:pPr>
            <w:r>
              <w:rPr>
                <w:rFonts w:cs="Calibri"/>
                <w:color w:val="000000"/>
              </w:rPr>
              <w:t>1044</w:t>
            </w:r>
          </w:p>
        </w:tc>
        <w:tc>
          <w:tcPr>
            <w:tcW w:w="1619" w:type="dxa"/>
            <w:vAlign w:val="bottom"/>
          </w:tcPr>
          <w:p w:rsidR="001657CD" w:rsidRDefault="001657CD" w:rsidP="001B1DFA">
            <w:pPr>
              <w:jc w:val="right"/>
              <w:rPr>
                <w:rFonts w:cs="Calibri"/>
                <w:color w:val="000000"/>
              </w:rPr>
            </w:pPr>
            <w:r>
              <w:rPr>
                <w:rFonts w:cs="Calibri"/>
                <w:color w:val="000000"/>
              </w:rPr>
              <w:t>3%</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14</w:t>
            </w:r>
          </w:p>
        </w:tc>
        <w:tc>
          <w:tcPr>
            <w:tcW w:w="1619" w:type="dxa"/>
            <w:vAlign w:val="bottom"/>
          </w:tcPr>
          <w:p w:rsidR="001657CD" w:rsidRDefault="001657CD" w:rsidP="001B1DFA">
            <w:pPr>
              <w:jc w:val="right"/>
              <w:rPr>
                <w:rFonts w:cs="Calibri"/>
                <w:color w:val="000000"/>
              </w:rPr>
            </w:pPr>
            <w:r>
              <w:rPr>
                <w:rFonts w:cs="Calibri"/>
                <w:color w:val="000000"/>
              </w:rPr>
              <w:t>1341</w:t>
            </w:r>
          </w:p>
        </w:tc>
        <w:tc>
          <w:tcPr>
            <w:tcW w:w="1619" w:type="dxa"/>
            <w:vAlign w:val="bottom"/>
          </w:tcPr>
          <w:p w:rsidR="001657CD" w:rsidRDefault="001657CD" w:rsidP="001B1DFA">
            <w:pPr>
              <w:jc w:val="right"/>
              <w:rPr>
                <w:rFonts w:cs="Calibri"/>
                <w:color w:val="000000"/>
              </w:rPr>
            </w:pPr>
            <w:r>
              <w:rPr>
                <w:rFonts w:cs="Calibri"/>
                <w:color w:val="000000"/>
              </w:rPr>
              <w:t>936</w:t>
            </w:r>
          </w:p>
        </w:tc>
        <w:tc>
          <w:tcPr>
            <w:tcW w:w="1619" w:type="dxa"/>
            <w:vAlign w:val="bottom"/>
          </w:tcPr>
          <w:p w:rsidR="001657CD" w:rsidRDefault="001657CD" w:rsidP="001B1DFA">
            <w:pPr>
              <w:jc w:val="right"/>
              <w:rPr>
                <w:rFonts w:cs="Calibri"/>
                <w:color w:val="000000"/>
              </w:rPr>
            </w:pPr>
            <w:r>
              <w:rPr>
                <w:rFonts w:cs="Calibri"/>
                <w:color w:val="000000"/>
              </w:rPr>
              <w:t>293</w:t>
            </w:r>
          </w:p>
        </w:tc>
        <w:tc>
          <w:tcPr>
            <w:tcW w:w="1619" w:type="dxa"/>
            <w:vAlign w:val="bottom"/>
          </w:tcPr>
          <w:p w:rsidR="001657CD" w:rsidRDefault="001657CD" w:rsidP="001B1DFA">
            <w:pPr>
              <w:jc w:val="right"/>
              <w:rPr>
                <w:rFonts w:cs="Calibri"/>
                <w:color w:val="000000"/>
              </w:rPr>
            </w:pPr>
            <w:r>
              <w:rPr>
                <w:rFonts w:cs="Calibri"/>
                <w:color w:val="000000"/>
              </w:rPr>
              <w:t>2482</w:t>
            </w:r>
          </w:p>
        </w:tc>
        <w:tc>
          <w:tcPr>
            <w:tcW w:w="1619" w:type="dxa"/>
            <w:vAlign w:val="bottom"/>
          </w:tcPr>
          <w:p w:rsidR="001657CD" w:rsidRDefault="001657CD" w:rsidP="001B1DFA">
            <w:pPr>
              <w:jc w:val="right"/>
              <w:rPr>
                <w:rFonts w:cs="Calibri"/>
                <w:color w:val="000000"/>
              </w:rPr>
            </w:pPr>
            <w:r>
              <w:rPr>
                <w:rFonts w:cs="Calibri"/>
                <w:color w:val="000000"/>
              </w:rPr>
              <w:t>7%</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15</w:t>
            </w:r>
          </w:p>
        </w:tc>
        <w:tc>
          <w:tcPr>
            <w:tcW w:w="1619" w:type="dxa"/>
            <w:vAlign w:val="bottom"/>
          </w:tcPr>
          <w:p w:rsidR="001657CD" w:rsidRDefault="001657CD" w:rsidP="001B1DFA">
            <w:pPr>
              <w:jc w:val="right"/>
              <w:rPr>
                <w:rFonts w:cs="Calibri"/>
                <w:color w:val="000000"/>
              </w:rPr>
            </w:pPr>
            <w:r>
              <w:rPr>
                <w:rFonts w:cs="Calibri"/>
                <w:color w:val="000000"/>
              </w:rPr>
              <w:t>2088</w:t>
            </w:r>
          </w:p>
        </w:tc>
        <w:tc>
          <w:tcPr>
            <w:tcW w:w="1619" w:type="dxa"/>
            <w:vAlign w:val="bottom"/>
          </w:tcPr>
          <w:p w:rsidR="001657CD" w:rsidRDefault="001657CD" w:rsidP="001B1DFA">
            <w:pPr>
              <w:jc w:val="right"/>
              <w:rPr>
                <w:rFonts w:cs="Calibri"/>
                <w:color w:val="000000"/>
              </w:rPr>
            </w:pPr>
            <w:r>
              <w:rPr>
                <w:rFonts w:cs="Calibri"/>
                <w:color w:val="000000"/>
              </w:rPr>
              <w:t>2235</w:t>
            </w:r>
          </w:p>
        </w:tc>
        <w:tc>
          <w:tcPr>
            <w:tcW w:w="1619" w:type="dxa"/>
            <w:vAlign w:val="bottom"/>
          </w:tcPr>
          <w:p w:rsidR="001657CD" w:rsidRDefault="001657CD" w:rsidP="001B1DFA">
            <w:pPr>
              <w:jc w:val="right"/>
              <w:rPr>
                <w:rFonts w:cs="Calibri"/>
                <w:color w:val="000000"/>
              </w:rPr>
            </w:pPr>
            <w:r>
              <w:rPr>
                <w:rFonts w:cs="Calibri"/>
                <w:color w:val="000000"/>
              </w:rPr>
              <w:t>915</w:t>
            </w:r>
          </w:p>
        </w:tc>
        <w:tc>
          <w:tcPr>
            <w:tcW w:w="1619" w:type="dxa"/>
            <w:vAlign w:val="bottom"/>
          </w:tcPr>
          <w:p w:rsidR="001657CD" w:rsidRDefault="001657CD" w:rsidP="001B1DFA">
            <w:pPr>
              <w:jc w:val="right"/>
              <w:rPr>
                <w:rFonts w:cs="Calibri"/>
                <w:color w:val="000000"/>
              </w:rPr>
            </w:pPr>
            <w:r>
              <w:rPr>
                <w:rFonts w:cs="Calibri"/>
                <w:color w:val="000000"/>
              </w:rPr>
              <w:t>5000</w:t>
            </w:r>
          </w:p>
        </w:tc>
        <w:tc>
          <w:tcPr>
            <w:tcW w:w="1619" w:type="dxa"/>
            <w:vAlign w:val="bottom"/>
          </w:tcPr>
          <w:p w:rsidR="001657CD" w:rsidRDefault="001657CD" w:rsidP="001B1DFA">
            <w:pPr>
              <w:jc w:val="right"/>
              <w:rPr>
                <w:rFonts w:cs="Calibri"/>
                <w:color w:val="000000"/>
              </w:rPr>
            </w:pPr>
            <w:r>
              <w:rPr>
                <w:rFonts w:cs="Calibri"/>
                <w:color w:val="000000"/>
              </w:rPr>
              <w:t>13%</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16</w:t>
            </w:r>
          </w:p>
        </w:tc>
        <w:tc>
          <w:tcPr>
            <w:tcW w:w="1619" w:type="dxa"/>
            <w:vAlign w:val="bottom"/>
          </w:tcPr>
          <w:p w:rsidR="001657CD" w:rsidRDefault="001657CD" w:rsidP="001B1DFA">
            <w:pPr>
              <w:jc w:val="right"/>
              <w:rPr>
                <w:rFonts w:cs="Calibri"/>
                <w:color w:val="000000"/>
              </w:rPr>
            </w:pPr>
            <w:r>
              <w:rPr>
                <w:rFonts w:cs="Calibri"/>
                <w:color w:val="000000"/>
              </w:rPr>
              <w:t>2447</w:t>
            </w:r>
          </w:p>
        </w:tc>
        <w:tc>
          <w:tcPr>
            <w:tcW w:w="1619" w:type="dxa"/>
            <w:vAlign w:val="bottom"/>
          </w:tcPr>
          <w:p w:rsidR="001657CD" w:rsidRDefault="001657CD" w:rsidP="001B1DFA">
            <w:pPr>
              <w:jc w:val="right"/>
              <w:rPr>
                <w:rFonts w:cs="Calibri"/>
                <w:color w:val="000000"/>
              </w:rPr>
            </w:pPr>
            <w:r>
              <w:rPr>
                <w:rFonts w:cs="Calibri"/>
                <w:color w:val="000000"/>
              </w:rPr>
              <w:t>3500</w:t>
            </w:r>
          </w:p>
        </w:tc>
        <w:tc>
          <w:tcPr>
            <w:tcW w:w="1619" w:type="dxa"/>
            <w:vAlign w:val="bottom"/>
          </w:tcPr>
          <w:p w:rsidR="001657CD" w:rsidRDefault="001657CD" w:rsidP="001B1DFA">
            <w:pPr>
              <w:jc w:val="right"/>
              <w:rPr>
                <w:rFonts w:cs="Calibri"/>
                <w:color w:val="000000"/>
              </w:rPr>
            </w:pPr>
            <w:r>
              <w:rPr>
                <w:rFonts w:cs="Calibri"/>
                <w:color w:val="000000"/>
              </w:rPr>
              <w:t>2078</w:t>
            </w:r>
          </w:p>
        </w:tc>
        <w:tc>
          <w:tcPr>
            <w:tcW w:w="1619" w:type="dxa"/>
            <w:vAlign w:val="bottom"/>
          </w:tcPr>
          <w:p w:rsidR="001657CD" w:rsidRDefault="001657CD" w:rsidP="001B1DFA">
            <w:pPr>
              <w:jc w:val="right"/>
              <w:rPr>
                <w:rFonts w:cs="Calibri"/>
                <w:color w:val="000000"/>
              </w:rPr>
            </w:pPr>
            <w:r>
              <w:rPr>
                <w:rFonts w:cs="Calibri"/>
                <w:color w:val="000000"/>
              </w:rPr>
              <w:t>7579</w:t>
            </w:r>
          </w:p>
        </w:tc>
        <w:tc>
          <w:tcPr>
            <w:tcW w:w="1619" w:type="dxa"/>
            <w:vAlign w:val="bottom"/>
          </w:tcPr>
          <w:p w:rsidR="001657CD" w:rsidRDefault="001657CD" w:rsidP="001B1DFA">
            <w:pPr>
              <w:jc w:val="right"/>
              <w:rPr>
                <w:rFonts w:cs="Calibri"/>
                <w:color w:val="000000"/>
              </w:rPr>
            </w:pPr>
            <w:r>
              <w:rPr>
                <w:rFonts w:cs="Calibri"/>
                <w:color w:val="000000"/>
              </w:rPr>
              <w:t>20%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17</w:t>
            </w:r>
          </w:p>
        </w:tc>
        <w:tc>
          <w:tcPr>
            <w:tcW w:w="1619" w:type="dxa"/>
            <w:vAlign w:val="bottom"/>
          </w:tcPr>
          <w:p w:rsidR="001657CD" w:rsidRDefault="001657CD" w:rsidP="001B1DFA">
            <w:pPr>
              <w:jc w:val="right"/>
              <w:rPr>
                <w:rFonts w:cs="Calibri"/>
                <w:color w:val="000000"/>
              </w:rPr>
            </w:pPr>
            <w:r>
              <w:rPr>
                <w:rFonts w:cs="Calibri"/>
                <w:color w:val="000000"/>
              </w:rPr>
              <w:t>1850</w:t>
            </w:r>
          </w:p>
        </w:tc>
        <w:tc>
          <w:tcPr>
            <w:tcW w:w="1619" w:type="dxa"/>
            <w:vAlign w:val="bottom"/>
          </w:tcPr>
          <w:p w:rsidR="001657CD" w:rsidRDefault="001657CD" w:rsidP="001B1DFA">
            <w:pPr>
              <w:jc w:val="right"/>
              <w:rPr>
                <w:rFonts w:cs="Calibri"/>
                <w:color w:val="000000"/>
              </w:rPr>
            </w:pPr>
            <w:r>
              <w:rPr>
                <w:rFonts w:cs="Calibri"/>
                <w:color w:val="000000"/>
              </w:rPr>
              <w:t>3489</w:t>
            </w:r>
          </w:p>
        </w:tc>
        <w:tc>
          <w:tcPr>
            <w:tcW w:w="1619" w:type="dxa"/>
            <w:vAlign w:val="bottom"/>
          </w:tcPr>
          <w:p w:rsidR="001657CD" w:rsidRDefault="001657CD" w:rsidP="001B1DFA">
            <w:pPr>
              <w:jc w:val="right"/>
              <w:rPr>
                <w:rFonts w:cs="Calibri"/>
                <w:color w:val="000000"/>
              </w:rPr>
            </w:pPr>
            <w:r>
              <w:rPr>
                <w:rFonts w:cs="Calibri"/>
                <w:color w:val="000000"/>
              </w:rPr>
              <w:t>3480</w:t>
            </w:r>
          </w:p>
        </w:tc>
        <w:tc>
          <w:tcPr>
            <w:tcW w:w="1619" w:type="dxa"/>
            <w:vAlign w:val="bottom"/>
          </w:tcPr>
          <w:p w:rsidR="001657CD" w:rsidRDefault="001657CD" w:rsidP="001B1DFA">
            <w:pPr>
              <w:jc w:val="right"/>
              <w:rPr>
                <w:rFonts w:cs="Calibri"/>
                <w:color w:val="000000"/>
              </w:rPr>
            </w:pPr>
            <w:r>
              <w:rPr>
                <w:rFonts w:cs="Calibri"/>
                <w:color w:val="000000"/>
              </w:rPr>
              <w:t>8389</w:t>
            </w:r>
          </w:p>
        </w:tc>
        <w:tc>
          <w:tcPr>
            <w:tcW w:w="1619" w:type="dxa"/>
            <w:vAlign w:val="bottom"/>
          </w:tcPr>
          <w:p w:rsidR="001657CD" w:rsidRDefault="001657CD" w:rsidP="001B1DFA">
            <w:pPr>
              <w:jc w:val="right"/>
              <w:rPr>
                <w:rFonts w:cs="Calibri"/>
                <w:color w:val="000000"/>
              </w:rPr>
            </w:pPr>
            <w:r>
              <w:rPr>
                <w:rFonts w:cs="Calibri"/>
                <w:color w:val="000000"/>
              </w:rPr>
              <w:t>23%</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18</w:t>
            </w:r>
          </w:p>
        </w:tc>
        <w:tc>
          <w:tcPr>
            <w:tcW w:w="1619" w:type="dxa"/>
            <w:vAlign w:val="bottom"/>
          </w:tcPr>
          <w:p w:rsidR="001657CD" w:rsidRDefault="001657CD" w:rsidP="001B1DFA">
            <w:pPr>
              <w:jc w:val="right"/>
              <w:rPr>
                <w:rFonts w:cs="Calibri"/>
                <w:color w:val="000000"/>
              </w:rPr>
            </w:pPr>
            <w:r>
              <w:rPr>
                <w:rFonts w:cs="Calibri"/>
                <w:color w:val="000000"/>
              </w:rPr>
              <w:t>889</w:t>
            </w:r>
          </w:p>
        </w:tc>
        <w:tc>
          <w:tcPr>
            <w:tcW w:w="1619" w:type="dxa"/>
            <w:vAlign w:val="bottom"/>
          </w:tcPr>
          <w:p w:rsidR="001657CD" w:rsidRDefault="001657CD" w:rsidP="001B1DFA">
            <w:pPr>
              <w:jc w:val="right"/>
              <w:rPr>
                <w:rFonts w:cs="Calibri"/>
                <w:color w:val="000000"/>
              </w:rPr>
            </w:pPr>
            <w:r>
              <w:rPr>
                <w:rFonts w:cs="Calibri"/>
                <w:color w:val="000000"/>
              </w:rPr>
              <w:t>2047</w:t>
            </w:r>
          </w:p>
        </w:tc>
        <w:tc>
          <w:tcPr>
            <w:tcW w:w="1619" w:type="dxa"/>
            <w:vAlign w:val="bottom"/>
          </w:tcPr>
          <w:p w:rsidR="001657CD" w:rsidRDefault="001657CD" w:rsidP="001B1DFA">
            <w:pPr>
              <w:jc w:val="right"/>
              <w:rPr>
                <w:rFonts w:cs="Calibri"/>
                <w:color w:val="000000"/>
              </w:rPr>
            </w:pPr>
            <w:r>
              <w:rPr>
                <w:rFonts w:cs="Calibri"/>
                <w:color w:val="000000"/>
              </w:rPr>
              <w:t>3683</w:t>
            </w:r>
          </w:p>
        </w:tc>
        <w:tc>
          <w:tcPr>
            <w:tcW w:w="1619" w:type="dxa"/>
            <w:vAlign w:val="bottom"/>
          </w:tcPr>
          <w:p w:rsidR="001657CD" w:rsidRDefault="001657CD" w:rsidP="001B1DFA">
            <w:pPr>
              <w:jc w:val="right"/>
              <w:rPr>
                <w:rFonts w:cs="Calibri"/>
                <w:color w:val="000000"/>
              </w:rPr>
            </w:pPr>
            <w:r>
              <w:rPr>
                <w:rFonts w:cs="Calibri"/>
                <w:color w:val="000000"/>
              </w:rPr>
              <w:t>6324</w:t>
            </w:r>
          </w:p>
        </w:tc>
        <w:tc>
          <w:tcPr>
            <w:tcW w:w="1619" w:type="dxa"/>
            <w:vAlign w:val="bottom"/>
          </w:tcPr>
          <w:p w:rsidR="001657CD" w:rsidRDefault="001657CD" w:rsidP="001B1DFA">
            <w:pPr>
              <w:jc w:val="right"/>
              <w:rPr>
                <w:rFonts w:cs="Calibri"/>
                <w:color w:val="000000"/>
              </w:rPr>
            </w:pPr>
            <w:r>
              <w:rPr>
                <w:rFonts w:cs="Calibri"/>
                <w:color w:val="000000"/>
              </w:rPr>
              <w:t>17%</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19</w:t>
            </w:r>
          </w:p>
        </w:tc>
        <w:tc>
          <w:tcPr>
            <w:tcW w:w="1619" w:type="dxa"/>
            <w:vAlign w:val="bottom"/>
          </w:tcPr>
          <w:p w:rsidR="001657CD" w:rsidRDefault="001657CD" w:rsidP="001B1DFA">
            <w:pPr>
              <w:jc w:val="right"/>
              <w:rPr>
                <w:rFonts w:cs="Calibri"/>
                <w:color w:val="000000"/>
              </w:rPr>
            </w:pPr>
            <w:r>
              <w:rPr>
                <w:rFonts w:cs="Calibri"/>
                <w:color w:val="000000"/>
              </w:rPr>
              <w:t>315</w:t>
            </w:r>
          </w:p>
        </w:tc>
        <w:tc>
          <w:tcPr>
            <w:tcW w:w="1619" w:type="dxa"/>
            <w:vAlign w:val="bottom"/>
          </w:tcPr>
          <w:p w:rsidR="001657CD" w:rsidRDefault="001657CD" w:rsidP="001B1DFA">
            <w:pPr>
              <w:jc w:val="right"/>
              <w:rPr>
                <w:rFonts w:cs="Calibri"/>
                <w:color w:val="000000"/>
              </w:rPr>
            </w:pPr>
            <w:r>
              <w:rPr>
                <w:rFonts w:cs="Calibri"/>
                <w:color w:val="000000"/>
              </w:rPr>
              <w:t>829</w:t>
            </w:r>
          </w:p>
        </w:tc>
        <w:tc>
          <w:tcPr>
            <w:tcW w:w="1619" w:type="dxa"/>
            <w:vAlign w:val="bottom"/>
          </w:tcPr>
          <w:p w:rsidR="001657CD" w:rsidRDefault="001657CD" w:rsidP="001B1DFA">
            <w:pPr>
              <w:jc w:val="right"/>
              <w:rPr>
                <w:rFonts w:cs="Calibri"/>
                <w:color w:val="000000"/>
              </w:rPr>
            </w:pPr>
            <w:r>
              <w:rPr>
                <w:rFonts w:cs="Calibri"/>
                <w:color w:val="000000"/>
              </w:rPr>
              <w:t>2474</w:t>
            </w:r>
          </w:p>
        </w:tc>
        <w:tc>
          <w:tcPr>
            <w:tcW w:w="1619" w:type="dxa"/>
            <w:vAlign w:val="bottom"/>
          </w:tcPr>
          <w:p w:rsidR="001657CD" w:rsidRDefault="001657CD" w:rsidP="001B1DFA">
            <w:pPr>
              <w:jc w:val="right"/>
              <w:rPr>
                <w:rFonts w:cs="Calibri"/>
                <w:color w:val="000000"/>
              </w:rPr>
            </w:pPr>
            <w:r>
              <w:rPr>
                <w:rFonts w:cs="Calibri"/>
                <w:color w:val="000000"/>
              </w:rPr>
              <w:t>3508</w:t>
            </w:r>
          </w:p>
        </w:tc>
        <w:tc>
          <w:tcPr>
            <w:tcW w:w="1619" w:type="dxa"/>
            <w:vAlign w:val="bottom"/>
          </w:tcPr>
          <w:p w:rsidR="001657CD" w:rsidRDefault="001657CD" w:rsidP="001B1DFA">
            <w:pPr>
              <w:jc w:val="right"/>
              <w:rPr>
                <w:rFonts w:cs="Calibri"/>
                <w:color w:val="000000"/>
              </w:rPr>
            </w:pPr>
            <w:r>
              <w:rPr>
                <w:rFonts w:cs="Calibri"/>
                <w:color w:val="000000"/>
              </w:rPr>
              <w:t>9%</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20</w:t>
            </w:r>
          </w:p>
        </w:tc>
        <w:tc>
          <w:tcPr>
            <w:tcW w:w="1619" w:type="dxa"/>
            <w:vAlign w:val="bottom"/>
          </w:tcPr>
          <w:p w:rsidR="001657CD" w:rsidRDefault="001657CD" w:rsidP="001B1DFA">
            <w:pPr>
              <w:jc w:val="right"/>
              <w:rPr>
                <w:rFonts w:cs="Calibri"/>
                <w:color w:val="000000"/>
              </w:rPr>
            </w:pPr>
            <w:r>
              <w:rPr>
                <w:rFonts w:cs="Calibri"/>
                <w:color w:val="000000"/>
              </w:rPr>
              <w:t>65</w:t>
            </w:r>
          </w:p>
        </w:tc>
        <w:tc>
          <w:tcPr>
            <w:tcW w:w="1619" w:type="dxa"/>
            <w:vAlign w:val="bottom"/>
          </w:tcPr>
          <w:p w:rsidR="001657CD" w:rsidRDefault="001657CD" w:rsidP="001B1DFA">
            <w:pPr>
              <w:jc w:val="right"/>
              <w:rPr>
                <w:rFonts w:cs="Calibri"/>
                <w:color w:val="000000"/>
              </w:rPr>
            </w:pPr>
            <w:r>
              <w:rPr>
                <w:rFonts w:cs="Calibri"/>
                <w:color w:val="000000"/>
              </w:rPr>
              <w:t>212</w:t>
            </w:r>
          </w:p>
        </w:tc>
        <w:tc>
          <w:tcPr>
            <w:tcW w:w="1619" w:type="dxa"/>
            <w:vAlign w:val="bottom"/>
          </w:tcPr>
          <w:p w:rsidR="001657CD" w:rsidRDefault="001657CD" w:rsidP="001B1DFA">
            <w:pPr>
              <w:jc w:val="right"/>
              <w:rPr>
                <w:rFonts w:cs="Calibri"/>
                <w:color w:val="000000"/>
              </w:rPr>
            </w:pPr>
            <w:r>
              <w:rPr>
                <w:rFonts w:cs="Calibri"/>
                <w:color w:val="000000"/>
              </w:rPr>
              <w:t>1225</w:t>
            </w:r>
          </w:p>
        </w:tc>
        <w:tc>
          <w:tcPr>
            <w:tcW w:w="1619" w:type="dxa"/>
            <w:vAlign w:val="bottom"/>
          </w:tcPr>
          <w:p w:rsidR="001657CD" w:rsidRDefault="001657CD" w:rsidP="001B1DFA">
            <w:pPr>
              <w:jc w:val="right"/>
              <w:rPr>
                <w:rFonts w:cs="Calibri"/>
                <w:color w:val="000000"/>
              </w:rPr>
            </w:pPr>
            <w:r>
              <w:rPr>
                <w:rFonts w:cs="Calibri"/>
                <w:color w:val="000000"/>
              </w:rPr>
              <w:t>1473</w:t>
            </w:r>
          </w:p>
        </w:tc>
        <w:tc>
          <w:tcPr>
            <w:tcW w:w="1619" w:type="dxa"/>
            <w:vAlign w:val="bottom"/>
          </w:tcPr>
          <w:p w:rsidR="001657CD" w:rsidRDefault="001657CD" w:rsidP="001B1DFA">
            <w:pPr>
              <w:jc w:val="right"/>
              <w:rPr>
                <w:rFonts w:cs="Calibri"/>
                <w:color w:val="000000"/>
              </w:rPr>
            </w:pPr>
            <w:r>
              <w:rPr>
                <w:rFonts w:cs="Calibri"/>
                <w:color w:val="000000"/>
              </w:rPr>
              <w:t>4%</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21</w:t>
            </w:r>
          </w:p>
        </w:tc>
        <w:tc>
          <w:tcPr>
            <w:tcW w:w="1619" w:type="dxa"/>
            <w:vAlign w:val="bottom"/>
          </w:tcPr>
          <w:p w:rsidR="001657CD" w:rsidRDefault="001657CD" w:rsidP="001B1DFA">
            <w:pPr>
              <w:jc w:val="right"/>
              <w:rPr>
                <w:rFonts w:cs="Calibri"/>
                <w:color w:val="000000"/>
              </w:rPr>
            </w:pPr>
            <w:r>
              <w:rPr>
                <w:rFonts w:cs="Calibri"/>
                <w:color w:val="000000"/>
              </w:rPr>
              <w:t>20</w:t>
            </w:r>
          </w:p>
        </w:tc>
        <w:tc>
          <w:tcPr>
            <w:tcW w:w="1619" w:type="dxa"/>
            <w:vAlign w:val="bottom"/>
          </w:tcPr>
          <w:p w:rsidR="001657CD" w:rsidRDefault="001657CD" w:rsidP="001B1DFA">
            <w:pPr>
              <w:jc w:val="right"/>
              <w:rPr>
                <w:rFonts w:cs="Calibri"/>
                <w:color w:val="000000"/>
              </w:rPr>
            </w:pPr>
            <w:r>
              <w:rPr>
                <w:rFonts w:cs="Calibri"/>
                <w:color w:val="000000"/>
              </w:rPr>
              <w:t>64</w:t>
            </w:r>
          </w:p>
        </w:tc>
        <w:tc>
          <w:tcPr>
            <w:tcW w:w="1619" w:type="dxa"/>
            <w:vAlign w:val="bottom"/>
          </w:tcPr>
          <w:p w:rsidR="001657CD" w:rsidRDefault="001657CD" w:rsidP="001B1DFA">
            <w:pPr>
              <w:jc w:val="right"/>
              <w:rPr>
                <w:rFonts w:cs="Calibri"/>
                <w:color w:val="000000"/>
              </w:rPr>
            </w:pPr>
            <w:r>
              <w:rPr>
                <w:rFonts w:cs="Calibri"/>
                <w:color w:val="000000"/>
              </w:rPr>
              <w:t>462</w:t>
            </w:r>
          </w:p>
        </w:tc>
        <w:tc>
          <w:tcPr>
            <w:tcW w:w="1619" w:type="dxa"/>
            <w:vAlign w:val="bottom"/>
          </w:tcPr>
          <w:p w:rsidR="001657CD" w:rsidRDefault="001657CD" w:rsidP="001B1DFA">
            <w:pPr>
              <w:jc w:val="right"/>
              <w:rPr>
                <w:rFonts w:cs="Calibri"/>
                <w:color w:val="000000"/>
              </w:rPr>
            </w:pPr>
            <w:r>
              <w:rPr>
                <w:rFonts w:cs="Calibri"/>
                <w:color w:val="000000"/>
              </w:rPr>
              <w:t>535</w:t>
            </w:r>
          </w:p>
        </w:tc>
        <w:tc>
          <w:tcPr>
            <w:tcW w:w="1619" w:type="dxa"/>
            <w:vAlign w:val="bottom"/>
          </w:tcPr>
          <w:p w:rsidR="001657CD" w:rsidRDefault="001657CD" w:rsidP="001B1DFA">
            <w:pPr>
              <w:jc w:val="right"/>
              <w:rPr>
                <w:rFonts w:cs="Calibri"/>
                <w:color w:val="000000"/>
              </w:rPr>
            </w:pPr>
            <w:r>
              <w:rPr>
                <w:rFonts w:cs="Calibri"/>
                <w:color w:val="000000"/>
              </w:rPr>
              <w:t>1%</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22</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13</w:t>
            </w:r>
          </w:p>
        </w:tc>
        <w:tc>
          <w:tcPr>
            <w:tcW w:w="1619" w:type="dxa"/>
            <w:vAlign w:val="bottom"/>
          </w:tcPr>
          <w:p w:rsidR="001657CD" w:rsidRDefault="001657CD" w:rsidP="001B1DFA">
            <w:pPr>
              <w:jc w:val="right"/>
              <w:rPr>
                <w:rFonts w:cs="Calibri"/>
                <w:color w:val="000000"/>
              </w:rPr>
            </w:pPr>
            <w:r>
              <w:rPr>
                <w:rFonts w:cs="Calibri"/>
                <w:color w:val="000000"/>
              </w:rPr>
              <w:t>63</w:t>
            </w:r>
          </w:p>
        </w:tc>
        <w:tc>
          <w:tcPr>
            <w:tcW w:w="1619" w:type="dxa"/>
            <w:vAlign w:val="bottom"/>
          </w:tcPr>
          <w:p w:rsidR="001657CD" w:rsidRDefault="001657CD" w:rsidP="001B1DFA">
            <w:pPr>
              <w:jc w:val="right"/>
              <w:rPr>
                <w:rFonts w:cs="Calibri"/>
                <w:color w:val="000000"/>
              </w:rPr>
            </w:pPr>
            <w:r>
              <w:rPr>
                <w:rFonts w:cs="Calibri"/>
                <w:color w:val="000000"/>
              </w:rPr>
              <w:t>74</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23</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5</w:t>
            </w:r>
          </w:p>
        </w:tc>
        <w:tc>
          <w:tcPr>
            <w:tcW w:w="1619" w:type="dxa"/>
            <w:vAlign w:val="bottom"/>
          </w:tcPr>
          <w:p w:rsidR="001657CD" w:rsidRDefault="001657CD" w:rsidP="001B1DFA">
            <w:pPr>
              <w:jc w:val="right"/>
              <w:rPr>
                <w:rFonts w:cs="Calibri"/>
                <w:color w:val="000000"/>
              </w:rPr>
            </w:pPr>
            <w:r>
              <w:rPr>
                <w:rFonts w:cs="Calibri"/>
                <w:color w:val="000000"/>
              </w:rPr>
              <w:t>12</w:t>
            </w:r>
          </w:p>
        </w:tc>
        <w:tc>
          <w:tcPr>
            <w:tcW w:w="1619" w:type="dxa"/>
            <w:vAlign w:val="bottom"/>
          </w:tcPr>
          <w:p w:rsidR="001657CD" w:rsidRDefault="001657CD" w:rsidP="001B1DFA">
            <w:pPr>
              <w:jc w:val="right"/>
              <w:rPr>
                <w:rFonts w:cs="Calibri"/>
                <w:color w:val="000000"/>
              </w:rPr>
            </w:pPr>
            <w:r>
              <w:rPr>
                <w:rFonts w:cs="Calibri"/>
                <w:color w:val="000000"/>
              </w:rPr>
              <w:t>16</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24</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6</w:t>
            </w:r>
          </w:p>
        </w:tc>
        <w:tc>
          <w:tcPr>
            <w:tcW w:w="1619" w:type="dxa"/>
            <w:vAlign w:val="bottom"/>
          </w:tcPr>
          <w:p w:rsidR="001657CD" w:rsidRDefault="001657CD" w:rsidP="001B1DFA">
            <w:pPr>
              <w:jc w:val="right"/>
              <w:rPr>
                <w:rFonts w:cs="Calibri"/>
                <w:color w:val="000000"/>
              </w:rPr>
            </w:pPr>
            <w:r>
              <w:rPr>
                <w:rFonts w:cs="Calibri"/>
                <w:color w:val="000000"/>
              </w:rPr>
              <w:t>8</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25</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2</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4</w:t>
            </w:r>
          </w:p>
        </w:tc>
        <w:tc>
          <w:tcPr>
            <w:tcW w:w="1619" w:type="dxa"/>
            <w:vAlign w:val="bottom"/>
          </w:tcPr>
          <w:p w:rsidR="001657CD" w:rsidRDefault="001657CD" w:rsidP="001B1DFA">
            <w:pPr>
              <w:jc w:val="right"/>
              <w:rPr>
                <w:rFonts w:cs="Calibri"/>
                <w:color w:val="000000"/>
              </w:rPr>
            </w:pPr>
            <w:r>
              <w:rPr>
                <w:rFonts w:cs="Calibri"/>
                <w:color w:val="000000"/>
              </w:rPr>
              <w:t>0%</w:t>
            </w:r>
          </w:p>
        </w:tc>
      </w:tr>
      <w:tr w:rsidR="001657CD" w:rsidTr="001B1DFA">
        <w:tc>
          <w:tcPr>
            <w:tcW w:w="518" w:type="dxa"/>
            <w:vAlign w:val="bottom"/>
          </w:tcPr>
          <w:p w:rsidR="001657CD" w:rsidRPr="00B44C9D" w:rsidRDefault="001657CD" w:rsidP="001B1DFA">
            <w:pPr>
              <w:rPr>
                <w:rFonts w:cs="Calibri"/>
                <w:b/>
                <w:color w:val="000000"/>
              </w:rPr>
            </w:pPr>
            <w:r w:rsidRPr="00B44C9D">
              <w:rPr>
                <w:rFonts w:cs="Calibri"/>
                <w:b/>
                <w:color w:val="000000"/>
              </w:rPr>
              <w:t>27</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0</w:t>
            </w:r>
          </w:p>
        </w:tc>
        <w:tc>
          <w:tcPr>
            <w:tcW w:w="1619" w:type="dxa"/>
            <w:vAlign w:val="bottom"/>
          </w:tcPr>
          <w:p w:rsidR="001657CD" w:rsidRDefault="001657CD" w:rsidP="001B1DFA">
            <w:pPr>
              <w:jc w:val="right"/>
              <w:rPr>
                <w:rFonts w:cs="Calibri"/>
                <w:color w:val="000000"/>
              </w:rPr>
            </w:pPr>
            <w:r>
              <w:rPr>
                <w:rFonts w:cs="Calibri"/>
                <w:color w:val="000000"/>
              </w:rPr>
              <w:t>1</w:t>
            </w:r>
          </w:p>
        </w:tc>
        <w:tc>
          <w:tcPr>
            <w:tcW w:w="1619" w:type="dxa"/>
            <w:vAlign w:val="bottom"/>
          </w:tcPr>
          <w:p w:rsidR="001657CD" w:rsidRDefault="001657CD" w:rsidP="001B1DFA">
            <w:pPr>
              <w:jc w:val="right"/>
              <w:rPr>
                <w:rFonts w:cs="Calibri"/>
                <w:color w:val="000000"/>
              </w:rPr>
            </w:pPr>
            <w:r>
              <w:rPr>
                <w:rFonts w:cs="Calibri"/>
                <w:color w:val="000000"/>
              </w:rPr>
              <w:t>0%</w:t>
            </w:r>
          </w:p>
        </w:tc>
      </w:tr>
    </w:tbl>
    <w:p w:rsidR="001657CD" w:rsidRDefault="001657CD" w:rsidP="001657CD">
      <w:pPr>
        <w:tabs>
          <w:tab w:val="left" w:pos="6153"/>
        </w:tabs>
      </w:pPr>
    </w:p>
    <w:p w:rsidR="001657CD" w:rsidRDefault="001657CD" w:rsidP="001657CD"/>
    <w:p w:rsidR="00ED3CBC" w:rsidRDefault="00ED3CBC" w:rsidP="001657CD"/>
    <w:p w:rsidR="00ED3CBC" w:rsidRDefault="00ED3CBC">
      <w:pPr>
        <w:spacing w:line="240" w:lineRule="auto"/>
      </w:pPr>
      <w:r>
        <w:br w:type="page"/>
      </w:r>
    </w:p>
    <w:p w:rsidR="001657CD" w:rsidRDefault="001657CD" w:rsidP="001657CD">
      <w:r w:rsidRPr="00D36A5C">
        <w:rPr>
          <w:b/>
          <w:bCs/>
          <w:color w:val="4F81BD" w:themeColor="accent1"/>
          <w:sz w:val="18"/>
          <w:szCs w:val="18"/>
        </w:rPr>
        <w:lastRenderedPageBreak/>
        <w:t xml:space="preserve">Figure </w:t>
      </w:r>
      <w:r>
        <w:rPr>
          <w:b/>
          <w:bCs/>
          <w:color w:val="4F81BD" w:themeColor="accent1"/>
          <w:sz w:val="18"/>
          <w:szCs w:val="18"/>
        </w:rPr>
        <w:t>3</w:t>
      </w:r>
      <w:r w:rsidRPr="00D36A5C">
        <w:rPr>
          <w:b/>
          <w:bCs/>
          <w:color w:val="4F81BD" w:themeColor="accent1"/>
          <w:sz w:val="18"/>
          <w:szCs w:val="18"/>
        </w:rPr>
        <w:t xml:space="preserve">: </w:t>
      </w:r>
      <w:r>
        <w:rPr>
          <w:b/>
          <w:bCs/>
          <w:color w:val="4F81BD" w:themeColor="accent1"/>
          <w:sz w:val="18"/>
          <w:szCs w:val="18"/>
        </w:rPr>
        <w:t>QLD</w:t>
      </w:r>
      <w:r w:rsidRPr="00D36A5C">
        <w:rPr>
          <w:b/>
          <w:bCs/>
          <w:color w:val="4F81BD" w:themeColor="accent1"/>
          <w:sz w:val="18"/>
          <w:szCs w:val="18"/>
        </w:rPr>
        <w:t xml:space="preserve"> Age profile by Connection Level</w:t>
      </w:r>
    </w:p>
    <w:p w:rsidR="001657CD" w:rsidRDefault="001657CD" w:rsidP="001657CD">
      <w:r w:rsidRPr="00B44C9D">
        <w:rPr>
          <w:noProof/>
          <w:lang w:eastAsia="en-AU"/>
        </w:rPr>
        <w:drawing>
          <wp:inline distT="0" distB="0" distL="0" distR="0" wp14:anchorId="029A6326" wp14:editId="77DA68CA">
            <wp:extent cx="6198919" cy="4061361"/>
            <wp:effectExtent l="0" t="0" r="11430" b="15875"/>
            <wp:docPr id="31" name="Chart 21" descr="QLD Age profile by connection level, graphic representation of table 5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657CD" w:rsidRDefault="001657CD" w:rsidP="001657CD"/>
    <w:p w:rsidR="001657CD" w:rsidRPr="00CE02B7" w:rsidRDefault="001657CD" w:rsidP="001657CD">
      <w:pPr>
        <w:rPr>
          <w:b/>
          <w:bCs/>
          <w:color w:val="4F81BD" w:themeColor="accent1"/>
          <w:sz w:val="18"/>
          <w:szCs w:val="18"/>
        </w:rPr>
      </w:pPr>
      <w:r w:rsidRPr="00CE02B7">
        <w:rPr>
          <w:b/>
          <w:bCs/>
          <w:color w:val="4F81BD" w:themeColor="accent1"/>
          <w:sz w:val="18"/>
          <w:szCs w:val="18"/>
        </w:rPr>
        <w:t>Figure 4: National Age profile by Connection Level</w:t>
      </w:r>
    </w:p>
    <w:p w:rsidR="001657CD" w:rsidRDefault="001657CD" w:rsidP="001657CD">
      <w:pPr>
        <w:tabs>
          <w:tab w:val="left" w:pos="6153"/>
        </w:tabs>
        <w:ind w:right="-425"/>
      </w:pPr>
      <w:r w:rsidRPr="00B44C9D">
        <w:rPr>
          <w:noProof/>
          <w:lang w:eastAsia="en-AU"/>
        </w:rPr>
        <w:drawing>
          <wp:inline distT="0" distB="0" distL="0" distR="0" wp14:anchorId="53181889" wp14:editId="5E721749">
            <wp:extent cx="6198919" cy="4417621"/>
            <wp:effectExtent l="0" t="0" r="11430" b="21590"/>
            <wp:docPr id="48" name="Chart 22" descr="National Age profile by connection level, graphic representation of table 6 abov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657CD" w:rsidRDefault="001657CD" w:rsidP="00AD5A2C">
      <w:pPr>
        <w:pStyle w:val="Caption"/>
        <w:keepNext/>
        <w:spacing w:after="120"/>
      </w:pPr>
      <w:r>
        <w:lastRenderedPageBreak/>
        <w:t>Figure 5: Percentage of Participants who have been identified as having a characteristic</w:t>
      </w:r>
    </w:p>
    <w:p w:rsidR="001657CD" w:rsidRDefault="001657CD" w:rsidP="001657CD">
      <w:r w:rsidRPr="009533F5">
        <w:rPr>
          <w:noProof/>
          <w:lang w:eastAsia="en-AU"/>
        </w:rPr>
        <w:drawing>
          <wp:inline distT="0" distB="0" distL="0" distR="0" wp14:anchorId="57722053" wp14:editId="504F03C4">
            <wp:extent cx="5950873" cy="6163294"/>
            <wp:effectExtent l="0" t="0" r="12065" b="9525"/>
            <wp:docPr id="55" name="Chart 29" descr="QLD and National percentage of participants who have been identified as having a characteristic, graphic representation of table 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657CD" w:rsidRDefault="001657CD" w:rsidP="001B1DFA">
      <w:pPr>
        <w:pStyle w:val="Heading3"/>
      </w:pPr>
      <w:r>
        <w:t>Table 7:</w:t>
      </w:r>
      <w:r w:rsidRPr="00D36A5C">
        <w:t xml:space="preserve"> </w:t>
      </w:r>
      <w:r>
        <w:t>Percentage of Participants who have been identified as having a characteristic</w:t>
      </w:r>
    </w:p>
    <w:tbl>
      <w:tblPr>
        <w:tblStyle w:val="TableGrid"/>
        <w:tblW w:w="0" w:type="auto"/>
        <w:tblLook w:val="04A0" w:firstRow="1" w:lastRow="0" w:firstColumn="1" w:lastColumn="0" w:noHBand="0" w:noVBand="1"/>
        <w:tblCaption w:val="Table 7: Percentage of Participants who have been identified as having a characteristic"/>
        <w:tblDescription w:val="Percentage of Participants who have been identified as having a characteristic - Queensland and National data"/>
      </w:tblPr>
      <w:tblGrid>
        <w:gridCol w:w="2517"/>
        <w:gridCol w:w="1702"/>
        <w:gridCol w:w="1701"/>
        <w:gridCol w:w="1843"/>
        <w:gridCol w:w="1843"/>
      </w:tblGrid>
      <w:tr w:rsidR="001657CD" w:rsidRPr="00580A81" w:rsidTr="00D35240">
        <w:trPr>
          <w:tblHeader/>
        </w:trPr>
        <w:tc>
          <w:tcPr>
            <w:tcW w:w="2517" w:type="dxa"/>
            <w:shd w:val="clear" w:color="auto" w:fill="DBE5F1" w:themeFill="accent1" w:themeFillTint="33"/>
          </w:tcPr>
          <w:p w:rsidR="001657CD" w:rsidRPr="00580A81" w:rsidRDefault="001657CD" w:rsidP="001B1DFA">
            <w:pPr>
              <w:tabs>
                <w:tab w:val="left" w:pos="6153"/>
              </w:tabs>
              <w:jc w:val="center"/>
              <w:rPr>
                <w:b/>
              </w:rPr>
            </w:pPr>
          </w:p>
        </w:tc>
        <w:tc>
          <w:tcPr>
            <w:tcW w:w="1702" w:type="dxa"/>
            <w:shd w:val="clear" w:color="auto" w:fill="DBE5F1" w:themeFill="accent1" w:themeFillTint="33"/>
          </w:tcPr>
          <w:p w:rsidR="001657CD" w:rsidRPr="00580A81" w:rsidRDefault="001657CD" w:rsidP="001B1DFA">
            <w:pPr>
              <w:tabs>
                <w:tab w:val="left" w:pos="6153"/>
              </w:tabs>
              <w:jc w:val="center"/>
              <w:rPr>
                <w:b/>
              </w:rPr>
            </w:pPr>
            <w:r>
              <w:rPr>
                <w:b/>
              </w:rPr>
              <w:t>QLD</w:t>
            </w:r>
          </w:p>
        </w:tc>
        <w:tc>
          <w:tcPr>
            <w:tcW w:w="1701" w:type="dxa"/>
            <w:shd w:val="clear" w:color="auto" w:fill="DBE5F1" w:themeFill="accent1" w:themeFillTint="33"/>
          </w:tcPr>
          <w:p w:rsidR="001657CD" w:rsidRPr="00580A81" w:rsidRDefault="001657CD" w:rsidP="001B1DFA">
            <w:pPr>
              <w:tabs>
                <w:tab w:val="left" w:pos="6153"/>
              </w:tabs>
              <w:jc w:val="center"/>
              <w:rPr>
                <w:b/>
              </w:rPr>
            </w:pPr>
            <w:r>
              <w:rPr>
                <w:b/>
              </w:rPr>
              <w:t>% QLD</w:t>
            </w:r>
          </w:p>
        </w:tc>
        <w:tc>
          <w:tcPr>
            <w:tcW w:w="1843" w:type="dxa"/>
            <w:shd w:val="clear" w:color="auto" w:fill="DBE5F1" w:themeFill="accent1" w:themeFillTint="33"/>
          </w:tcPr>
          <w:p w:rsidR="001657CD" w:rsidRPr="00580A81" w:rsidRDefault="001657CD" w:rsidP="001B1DFA">
            <w:pPr>
              <w:tabs>
                <w:tab w:val="left" w:pos="6153"/>
              </w:tabs>
              <w:jc w:val="center"/>
              <w:rPr>
                <w:b/>
              </w:rPr>
            </w:pPr>
            <w:r>
              <w:rPr>
                <w:b/>
              </w:rPr>
              <w:t>National</w:t>
            </w:r>
          </w:p>
        </w:tc>
        <w:tc>
          <w:tcPr>
            <w:tcW w:w="1843" w:type="dxa"/>
            <w:shd w:val="clear" w:color="auto" w:fill="DBE5F1" w:themeFill="accent1" w:themeFillTint="33"/>
          </w:tcPr>
          <w:p w:rsidR="001657CD" w:rsidRPr="00580A81" w:rsidRDefault="001657CD" w:rsidP="001B1DFA">
            <w:pPr>
              <w:tabs>
                <w:tab w:val="left" w:pos="6153"/>
              </w:tabs>
              <w:jc w:val="center"/>
              <w:rPr>
                <w:b/>
              </w:rPr>
            </w:pPr>
            <w:r>
              <w:rPr>
                <w:b/>
              </w:rPr>
              <w:t>% National</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Culturally and linguistically diverse</w:t>
            </w:r>
          </w:p>
        </w:tc>
        <w:tc>
          <w:tcPr>
            <w:tcW w:w="1702" w:type="dxa"/>
            <w:vAlign w:val="bottom"/>
          </w:tcPr>
          <w:p w:rsidR="001657CD" w:rsidRDefault="001657CD" w:rsidP="001B1DFA">
            <w:pPr>
              <w:spacing w:line="240" w:lineRule="auto"/>
              <w:jc w:val="right"/>
              <w:rPr>
                <w:rFonts w:cs="Calibri"/>
                <w:color w:val="000000"/>
              </w:rPr>
            </w:pPr>
            <w:r>
              <w:rPr>
                <w:rFonts w:cs="Calibri"/>
                <w:color w:val="000000"/>
              </w:rPr>
              <w:t>441</w:t>
            </w:r>
          </w:p>
        </w:tc>
        <w:tc>
          <w:tcPr>
            <w:tcW w:w="1701" w:type="dxa"/>
            <w:vAlign w:val="bottom"/>
          </w:tcPr>
          <w:p w:rsidR="001657CD" w:rsidRDefault="001657CD" w:rsidP="001B1DFA">
            <w:pPr>
              <w:spacing w:line="240" w:lineRule="auto"/>
              <w:jc w:val="right"/>
              <w:rPr>
                <w:rFonts w:cs="Calibri"/>
                <w:color w:val="000000"/>
              </w:rPr>
            </w:pPr>
            <w:r>
              <w:rPr>
                <w:rFonts w:cs="Calibri"/>
                <w:color w:val="000000"/>
              </w:rPr>
              <w:t>6%</w:t>
            </w:r>
          </w:p>
        </w:tc>
        <w:tc>
          <w:tcPr>
            <w:tcW w:w="1843" w:type="dxa"/>
            <w:vAlign w:val="bottom"/>
          </w:tcPr>
          <w:p w:rsidR="001657CD" w:rsidRDefault="001657CD" w:rsidP="001B1DFA">
            <w:pPr>
              <w:spacing w:line="240" w:lineRule="auto"/>
              <w:jc w:val="right"/>
              <w:rPr>
                <w:rFonts w:cs="Calibri"/>
                <w:color w:val="000000"/>
              </w:rPr>
            </w:pPr>
            <w:r>
              <w:rPr>
                <w:rFonts w:cs="Calibri"/>
                <w:color w:val="000000"/>
              </w:rPr>
              <w:t>2609</w:t>
            </w:r>
          </w:p>
        </w:tc>
        <w:tc>
          <w:tcPr>
            <w:tcW w:w="1843" w:type="dxa"/>
            <w:vAlign w:val="bottom"/>
          </w:tcPr>
          <w:p w:rsidR="001657CD" w:rsidRDefault="001657CD" w:rsidP="001B1DFA">
            <w:pPr>
              <w:spacing w:line="240" w:lineRule="auto"/>
              <w:jc w:val="right"/>
              <w:rPr>
                <w:rFonts w:cs="Calibri"/>
                <w:color w:val="000000"/>
              </w:rPr>
            </w:pPr>
            <w:r>
              <w:rPr>
                <w:rFonts w:cs="Calibri"/>
                <w:color w:val="000000"/>
              </w:rPr>
              <w:t>7%</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Disability</w:t>
            </w:r>
          </w:p>
        </w:tc>
        <w:tc>
          <w:tcPr>
            <w:tcW w:w="1702" w:type="dxa"/>
            <w:vAlign w:val="bottom"/>
          </w:tcPr>
          <w:p w:rsidR="001657CD" w:rsidRDefault="001657CD" w:rsidP="001B1DFA">
            <w:pPr>
              <w:spacing w:line="240" w:lineRule="auto"/>
              <w:jc w:val="right"/>
              <w:rPr>
                <w:rFonts w:cs="Calibri"/>
                <w:color w:val="000000"/>
              </w:rPr>
            </w:pPr>
            <w:r>
              <w:rPr>
                <w:rFonts w:cs="Calibri"/>
                <w:color w:val="000000"/>
              </w:rPr>
              <w:t>321</w:t>
            </w:r>
          </w:p>
        </w:tc>
        <w:tc>
          <w:tcPr>
            <w:tcW w:w="1701" w:type="dxa"/>
            <w:vAlign w:val="bottom"/>
          </w:tcPr>
          <w:p w:rsidR="001657CD" w:rsidRDefault="001657CD" w:rsidP="001B1DFA">
            <w:pPr>
              <w:spacing w:line="240" w:lineRule="auto"/>
              <w:jc w:val="right"/>
              <w:rPr>
                <w:rFonts w:cs="Calibri"/>
                <w:color w:val="000000"/>
              </w:rPr>
            </w:pPr>
            <w:r>
              <w:rPr>
                <w:rFonts w:cs="Calibri"/>
                <w:color w:val="000000"/>
              </w:rPr>
              <w:t>5%</w:t>
            </w:r>
          </w:p>
        </w:tc>
        <w:tc>
          <w:tcPr>
            <w:tcW w:w="1843" w:type="dxa"/>
            <w:vAlign w:val="bottom"/>
          </w:tcPr>
          <w:p w:rsidR="001657CD" w:rsidRDefault="001657CD" w:rsidP="001B1DFA">
            <w:pPr>
              <w:spacing w:line="240" w:lineRule="auto"/>
              <w:jc w:val="right"/>
              <w:rPr>
                <w:rFonts w:cs="Calibri"/>
                <w:color w:val="000000"/>
              </w:rPr>
            </w:pPr>
            <w:r>
              <w:rPr>
                <w:rFonts w:cs="Calibri"/>
                <w:color w:val="000000"/>
              </w:rPr>
              <w:t>1702</w:t>
            </w:r>
          </w:p>
        </w:tc>
        <w:tc>
          <w:tcPr>
            <w:tcW w:w="1843" w:type="dxa"/>
            <w:vAlign w:val="bottom"/>
          </w:tcPr>
          <w:p w:rsidR="001657CD" w:rsidRDefault="001657CD" w:rsidP="001B1DFA">
            <w:pPr>
              <w:spacing w:line="240" w:lineRule="auto"/>
              <w:jc w:val="right"/>
              <w:rPr>
                <w:rFonts w:cs="Calibri"/>
                <w:color w:val="000000"/>
              </w:rPr>
            </w:pPr>
            <w:r>
              <w:rPr>
                <w:rFonts w:cs="Calibri"/>
                <w:color w:val="000000"/>
              </w:rPr>
              <w:t>4%</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Humanitarian Refugee</w:t>
            </w:r>
          </w:p>
        </w:tc>
        <w:tc>
          <w:tcPr>
            <w:tcW w:w="1702" w:type="dxa"/>
            <w:vAlign w:val="bottom"/>
          </w:tcPr>
          <w:p w:rsidR="001657CD" w:rsidRDefault="001657CD" w:rsidP="001B1DFA">
            <w:pPr>
              <w:spacing w:line="240" w:lineRule="auto"/>
              <w:jc w:val="right"/>
              <w:rPr>
                <w:rFonts w:cs="Calibri"/>
                <w:color w:val="000000"/>
              </w:rPr>
            </w:pPr>
            <w:r>
              <w:rPr>
                <w:rFonts w:cs="Calibri"/>
                <w:color w:val="000000"/>
              </w:rPr>
              <w:t>16</w:t>
            </w:r>
          </w:p>
        </w:tc>
        <w:tc>
          <w:tcPr>
            <w:tcW w:w="1701" w:type="dxa"/>
            <w:vAlign w:val="bottom"/>
          </w:tcPr>
          <w:p w:rsidR="001657CD" w:rsidRDefault="001657CD" w:rsidP="001B1DFA">
            <w:pPr>
              <w:spacing w:line="240" w:lineRule="auto"/>
              <w:jc w:val="right"/>
              <w:rPr>
                <w:rFonts w:cs="Calibri"/>
                <w:color w:val="000000"/>
              </w:rPr>
            </w:pPr>
            <w:r>
              <w:rPr>
                <w:rFonts w:cs="Calibri"/>
                <w:color w:val="000000"/>
              </w:rPr>
              <w:t>0%</w:t>
            </w:r>
          </w:p>
        </w:tc>
        <w:tc>
          <w:tcPr>
            <w:tcW w:w="1843" w:type="dxa"/>
            <w:vAlign w:val="bottom"/>
          </w:tcPr>
          <w:p w:rsidR="001657CD" w:rsidRDefault="001657CD" w:rsidP="001B1DFA">
            <w:pPr>
              <w:spacing w:line="240" w:lineRule="auto"/>
              <w:jc w:val="right"/>
              <w:rPr>
                <w:rFonts w:cs="Calibri"/>
                <w:color w:val="000000"/>
              </w:rPr>
            </w:pPr>
            <w:r>
              <w:rPr>
                <w:rFonts w:cs="Calibri"/>
                <w:color w:val="000000"/>
              </w:rPr>
              <w:t>506</w:t>
            </w:r>
          </w:p>
        </w:tc>
        <w:tc>
          <w:tcPr>
            <w:tcW w:w="1843" w:type="dxa"/>
            <w:vAlign w:val="bottom"/>
          </w:tcPr>
          <w:p w:rsidR="001657CD" w:rsidRDefault="001657CD" w:rsidP="001B1DFA">
            <w:pPr>
              <w:spacing w:line="240" w:lineRule="auto"/>
              <w:jc w:val="right"/>
              <w:rPr>
                <w:rFonts w:cs="Calibri"/>
                <w:color w:val="000000"/>
              </w:rPr>
            </w:pPr>
            <w:r>
              <w:rPr>
                <w:rFonts w:cs="Calibri"/>
                <w:color w:val="000000"/>
              </w:rPr>
              <w:t>1%</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Indigenous Australian</w:t>
            </w:r>
          </w:p>
        </w:tc>
        <w:tc>
          <w:tcPr>
            <w:tcW w:w="1702" w:type="dxa"/>
            <w:vAlign w:val="bottom"/>
          </w:tcPr>
          <w:p w:rsidR="001657CD" w:rsidRDefault="001657CD" w:rsidP="001B1DFA">
            <w:pPr>
              <w:spacing w:line="240" w:lineRule="auto"/>
              <w:jc w:val="right"/>
              <w:rPr>
                <w:rFonts w:cs="Calibri"/>
                <w:color w:val="000000"/>
              </w:rPr>
            </w:pPr>
            <w:r>
              <w:rPr>
                <w:rFonts w:cs="Calibri"/>
                <w:color w:val="000000"/>
              </w:rPr>
              <w:t>1427</w:t>
            </w:r>
          </w:p>
        </w:tc>
        <w:tc>
          <w:tcPr>
            <w:tcW w:w="1701" w:type="dxa"/>
            <w:vAlign w:val="bottom"/>
          </w:tcPr>
          <w:p w:rsidR="001657CD" w:rsidRDefault="001657CD" w:rsidP="001B1DFA">
            <w:pPr>
              <w:spacing w:line="240" w:lineRule="auto"/>
              <w:jc w:val="right"/>
              <w:rPr>
                <w:rFonts w:cs="Calibri"/>
                <w:color w:val="000000"/>
              </w:rPr>
            </w:pPr>
            <w:r>
              <w:rPr>
                <w:rFonts w:cs="Calibri"/>
                <w:color w:val="000000"/>
              </w:rPr>
              <w:t>21%</w:t>
            </w:r>
          </w:p>
        </w:tc>
        <w:tc>
          <w:tcPr>
            <w:tcW w:w="1843" w:type="dxa"/>
            <w:vAlign w:val="bottom"/>
          </w:tcPr>
          <w:p w:rsidR="001657CD" w:rsidRDefault="001657CD" w:rsidP="001B1DFA">
            <w:pPr>
              <w:spacing w:line="240" w:lineRule="auto"/>
              <w:jc w:val="right"/>
              <w:rPr>
                <w:rFonts w:cs="Calibri"/>
                <w:color w:val="000000"/>
              </w:rPr>
            </w:pPr>
            <w:r>
              <w:rPr>
                <w:rFonts w:cs="Calibri"/>
                <w:color w:val="000000"/>
              </w:rPr>
              <w:t>6803</w:t>
            </w:r>
          </w:p>
        </w:tc>
        <w:tc>
          <w:tcPr>
            <w:tcW w:w="1843" w:type="dxa"/>
            <w:vAlign w:val="bottom"/>
          </w:tcPr>
          <w:p w:rsidR="001657CD" w:rsidRDefault="001657CD" w:rsidP="001B1DFA">
            <w:pPr>
              <w:spacing w:line="240" w:lineRule="auto"/>
              <w:jc w:val="right"/>
              <w:rPr>
                <w:rFonts w:cs="Calibri"/>
                <w:color w:val="000000"/>
              </w:rPr>
            </w:pPr>
            <w:r>
              <w:rPr>
                <w:rFonts w:cs="Calibri"/>
                <w:color w:val="000000"/>
              </w:rPr>
              <w:t>18%</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Parent</w:t>
            </w:r>
          </w:p>
        </w:tc>
        <w:tc>
          <w:tcPr>
            <w:tcW w:w="1702" w:type="dxa"/>
            <w:vAlign w:val="bottom"/>
          </w:tcPr>
          <w:p w:rsidR="001657CD" w:rsidRDefault="001657CD" w:rsidP="001B1DFA">
            <w:pPr>
              <w:spacing w:line="240" w:lineRule="auto"/>
              <w:jc w:val="right"/>
              <w:rPr>
                <w:rFonts w:cs="Calibri"/>
                <w:color w:val="000000"/>
              </w:rPr>
            </w:pPr>
            <w:r>
              <w:rPr>
                <w:rFonts w:cs="Calibri"/>
                <w:color w:val="000000"/>
              </w:rPr>
              <w:t>124</w:t>
            </w:r>
          </w:p>
        </w:tc>
        <w:tc>
          <w:tcPr>
            <w:tcW w:w="1701" w:type="dxa"/>
            <w:vAlign w:val="bottom"/>
          </w:tcPr>
          <w:p w:rsidR="001657CD" w:rsidRDefault="001657CD" w:rsidP="001B1DFA">
            <w:pPr>
              <w:spacing w:line="240" w:lineRule="auto"/>
              <w:jc w:val="right"/>
              <w:rPr>
                <w:rFonts w:cs="Calibri"/>
                <w:color w:val="000000"/>
              </w:rPr>
            </w:pPr>
            <w:r>
              <w:rPr>
                <w:rFonts w:cs="Calibri"/>
                <w:color w:val="000000"/>
              </w:rPr>
              <w:t>2%</w:t>
            </w:r>
          </w:p>
        </w:tc>
        <w:tc>
          <w:tcPr>
            <w:tcW w:w="1843" w:type="dxa"/>
            <w:vAlign w:val="bottom"/>
          </w:tcPr>
          <w:p w:rsidR="001657CD" w:rsidRDefault="001657CD" w:rsidP="001B1DFA">
            <w:pPr>
              <w:spacing w:line="240" w:lineRule="auto"/>
              <w:jc w:val="right"/>
              <w:rPr>
                <w:rFonts w:cs="Calibri"/>
                <w:color w:val="000000"/>
              </w:rPr>
            </w:pPr>
            <w:r>
              <w:rPr>
                <w:rFonts w:cs="Calibri"/>
                <w:color w:val="000000"/>
              </w:rPr>
              <w:t>651</w:t>
            </w:r>
          </w:p>
        </w:tc>
        <w:tc>
          <w:tcPr>
            <w:tcW w:w="1843" w:type="dxa"/>
            <w:vAlign w:val="bottom"/>
          </w:tcPr>
          <w:p w:rsidR="001657CD" w:rsidRDefault="001657CD" w:rsidP="001B1DFA">
            <w:pPr>
              <w:spacing w:line="240" w:lineRule="auto"/>
              <w:jc w:val="right"/>
              <w:rPr>
                <w:rFonts w:cs="Calibri"/>
                <w:color w:val="000000"/>
              </w:rPr>
            </w:pPr>
            <w:r>
              <w:rPr>
                <w:rFonts w:cs="Calibri"/>
                <w:color w:val="000000"/>
              </w:rPr>
              <w:t>2%</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Receiving Centrelink Income Support</w:t>
            </w:r>
          </w:p>
        </w:tc>
        <w:tc>
          <w:tcPr>
            <w:tcW w:w="1702" w:type="dxa"/>
            <w:vAlign w:val="bottom"/>
          </w:tcPr>
          <w:p w:rsidR="001657CD" w:rsidRDefault="001657CD" w:rsidP="001B1DFA">
            <w:pPr>
              <w:spacing w:line="240" w:lineRule="auto"/>
              <w:jc w:val="right"/>
              <w:rPr>
                <w:rFonts w:cs="Calibri"/>
                <w:color w:val="000000"/>
              </w:rPr>
            </w:pPr>
            <w:r>
              <w:rPr>
                <w:rFonts w:cs="Calibri"/>
                <w:color w:val="000000"/>
              </w:rPr>
              <w:t>1960</w:t>
            </w:r>
          </w:p>
        </w:tc>
        <w:tc>
          <w:tcPr>
            <w:tcW w:w="1701" w:type="dxa"/>
            <w:vAlign w:val="bottom"/>
          </w:tcPr>
          <w:p w:rsidR="001657CD" w:rsidRDefault="001657CD" w:rsidP="001B1DFA">
            <w:pPr>
              <w:spacing w:line="240" w:lineRule="auto"/>
              <w:jc w:val="right"/>
              <w:rPr>
                <w:rFonts w:cs="Calibri"/>
                <w:color w:val="000000"/>
              </w:rPr>
            </w:pPr>
            <w:r>
              <w:rPr>
                <w:rFonts w:cs="Calibri"/>
                <w:color w:val="000000"/>
              </w:rPr>
              <w:t>28%</w:t>
            </w:r>
          </w:p>
        </w:tc>
        <w:tc>
          <w:tcPr>
            <w:tcW w:w="1843" w:type="dxa"/>
            <w:vAlign w:val="bottom"/>
          </w:tcPr>
          <w:p w:rsidR="001657CD" w:rsidRDefault="001657CD" w:rsidP="001B1DFA">
            <w:pPr>
              <w:spacing w:line="240" w:lineRule="auto"/>
              <w:jc w:val="right"/>
              <w:rPr>
                <w:rFonts w:cs="Calibri"/>
                <w:color w:val="000000"/>
              </w:rPr>
            </w:pPr>
            <w:r>
              <w:rPr>
                <w:rFonts w:cs="Calibri"/>
                <w:color w:val="000000"/>
              </w:rPr>
              <w:t>11,299</w:t>
            </w:r>
          </w:p>
        </w:tc>
        <w:tc>
          <w:tcPr>
            <w:tcW w:w="1843" w:type="dxa"/>
            <w:vAlign w:val="bottom"/>
          </w:tcPr>
          <w:p w:rsidR="001657CD" w:rsidRDefault="001657CD" w:rsidP="001B1DFA">
            <w:pPr>
              <w:spacing w:line="240" w:lineRule="auto"/>
              <w:jc w:val="right"/>
              <w:rPr>
                <w:rFonts w:cs="Calibri"/>
                <w:color w:val="000000"/>
              </w:rPr>
            </w:pPr>
            <w:r>
              <w:rPr>
                <w:rFonts w:cs="Calibri"/>
                <w:color w:val="000000"/>
              </w:rPr>
              <w:t>30%</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Suspected or diagnosed mental health issue</w:t>
            </w:r>
          </w:p>
        </w:tc>
        <w:tc>
          <w:tcPr>
            <w:tcW w:w="1702" w:type="dxa"/>
            <w:vAlign w:val="bottom"/>
          </w:tcPr>
          <w:p w:rsidR="001657CD" w:rsidRDefault="001657CD" w:rsidP="001B1DFA">
            <w:pPr>
              <w:spacing w:line="240" w:lineRule="auto"/>
              <w:jc w:val="right"/>
              <w:rPr>
                <w:rFonts w:cs="Calibri"/>
                <w:color w:val="000000"/>
              </w:rPr>
            </w:pPr>
            <w:r>
              <w:rPr>
                <w:rFonts w:cs="Calibri"/>
                <w:color w:val="000000"/>
              </w:rPr>
              <w:t>1037</w:t>
            </w:r>
          </w:p>
        </w:tc>
        <w:tc>
          <w:tcPr>
            <w:tcW w:w="1701" w:type="dxa"/>
            <w:vAlign w:val="bottom"/>
          </w:tcPr>
          <w:p w:rsidR="001657CD" w:rsidRDefault="001657CD" w:rsidP="001B1DFA">
            <w:pPr>
              <w:spacing w:line="240" w:lineRule="auto"/>
              <w:jc w:val="right"/>
              <w:rPr>
                <w:rFonts w:cs="Calibri"/>
                <w:color w:val="000000"/>
              </w:rPr>
            </w:pPr>
            <w:r>
              <w:rPr>
                <w:rFonts w:cs="Calibri"/>
                <w:color w:val="000000"/>
              </w:rPr>
              <w:t>15%</w:t>
            </w:r>
          </w:p>
        </w:tc>
        <w:tc>
          <w:tcPr>
            <w:tcW w:w="1843" w:type="dxa"/>
            <w:vAlign w:val="bottom"/>
          </w:tcPr>
          <w:p w:rsidR="001657CD" w:rsidRDefault="001657CD" w:rsidP="001B1DFA">
            <w:pPr>
              <w:spacing w:line="240" w:lineRule="auto"/>
              <w:jc w:val="right"/>
              <w:rPr>
                <w:rFonts w:cs="Calibri"/>
                <w:color w:val="000000"/>
              </w:rPr>
            </w:pPr>
            <w:r>
              <w:rPr>
                <w:rFonts w:cs="Calibri"/>
                <w:color w:val="000000"/>
              </w:rPr>
              <w:t>7651</w:t>
            </w:r>
          </w:p>
        </w:tc>
        <w:tc>
          <w:tcPr>
            <w:tcW w:w="1843" w:type="dxa"/>
            <w:vAlign w:val="bottom"/>
          </w:tcPr>
          <w:p w:rsidR="001657CD" w:rsidRDefault="001657CD" w:rsidP="001B1DFA">
            <w:pPr>
              <w:spacing w:line="240" w:lineRule="auto"/>
              <w:jc w:val="right"/>
              <w:rPr>
                <w:rFonts w:cs="Calibri"/>
                <w:color w:val="000000"/>
              </w:rPr>
            </w:pPr>
            <w:r>
              <w:rPr>
                <w:rFonts w:cs="Calibri"/>
                <w:color w:val="000000"/>
              </w:rPr>
              <w:t>20%</w:t>
            </w:r>
          </w:p>
        </w:tc>
      </w:tr>
      <w:tr w:rsidR="001657CD" w:rsidTr="001B1DFA">
        <w:tc>
          <w:tcPr>
            <w:tcW w:w="2517" w:type="dxa"/>
            <w:vAlign w:val="bottom"/>
          </w:tcPr>
          <w:p w:rsidR="001657CD" w:rsidRDefault="001657CD" w:rsidP="001B1DFA">
            <w:pPr>
              <w:spacing w:line="240" w:lineRule="auto"/>
              <w:rPr>
                <w:rFonts w:cs="Calibri"/>
                <w:color w:val="000000"/>
              </w:rPr>
            </w:pPr>
            <w:r>
              <w:rPr>
                <w:rFonts w:cs="Calibri"/>
                <w:color w:val="000000"/>
              </w:rPr>
              <w:t>Young Carer</w:t>
            </w:r>
          </w:p>
        </w:tc>
        <w:tc>
          <w:tcPr>
            <w:tcW w:w="1702" w:type="dxa"/>
            <w:vAlign w:val="bottom"/>
          </w:tcPr>
          <w:p w:rsidR="001657CD" w:rsidRDefault="001657CD" w:rsidP="001B1DFA">
            <w:pPr>
              <w:spacing w:line="240" w:lineRule="auto"/>
              <w:jc w:val="right"/>
              <w:rPr>
                <w:rFonts w:cs="Calibri"/>
                <w:color w:val="000000"/>
              </w:rPr>
            </w:pPr>
            <w:r>
              <w:rPr>
                <w:rFonts w:cs="Calibri"/>
                <w:color w:val="000000"/>
              </w:rPr>
              <w:t>92</w:t>
            </w:r>
          </w:p>
        </w:tc>
        <w:tc>
          <w:tcPr>
            <w:tcW w:w="1701" w:type="dxa"/>
            <w:vAlign w:val="bottom"/>
          </w:tcPr>
          <w:p w:rsidR="001657CD" w:rsidRDefault="001657CD" w:rsidP="001B1DFA">
            <w:pPr>
              <w:spacing w:line="240" w:lineRule="auto"/>
              <w:jc w:val="right"/>
              <w:rPr>
                <w:rFonts w:cs="Calibri"/>
                <w:color w:val="000000"/>
              </w:rPr>
            </w:pPr>
            <w:r>
              <w:rPr>
                <w:rFonts w:cs="Calibri"/>
                <w:color w:val="000000"/>
              </w:rPr>
              <w:t>1%</w:t>
            </w:r>
          </w:p>
        </w:tc>
        <w:tc>
          <w:tcPr>
            <w:tcW w:w="1843" w:type="dxa"/>
            <w:vAlign w:val="bottom"/>
          </w:tcPr>
          <w:p w:rsidR="001657CD" w:rsidRDefault="001657CD" w:rsidP="001B1DFA">
            <w:pPr>
              <w:spacing w:line="240" w:lineRule="auto"/>
              <w:jc w:val="right"/>
              <w:rPr>
                <w:rFonts w:cs="Calibri"/>
                <w:color w:val="000000"/>
              </w:rPr>
            </w:pPr>
            <w:r>
              <w:rPr>
                <w:rFonts w:cs="Calibri"/>
                <w:color w:val="000000"/>
              </w:rPr>
              <w:t>784</w:t>
            </w:r>
          </w:p>
        </w:tc>
        <w:tc>
          <w:tcPr>
            <w:tcW w:w="1843" w:type="dxa"/>
            <w:vAlign w:val="bottom"/>
          </w:tcPr>
          <w:p w:rsidR="001657CD" w:rsidRDefault="001657CD" w:rsidP="001B1DFA">
            <w:pPr>
              <w:spacing w:line="240" w:lineRule="auto"/>
              <w:jc w:val="right"/>
              <w:rPr>
                <w:rFonts w:cs="Calibri"/>
                <w:color w:val="000000"/>
              </w:rPr>
            </w:pPr>
            <w:r>
              <w:rPr>
                <w:rFonts w:cs="Calibri"/>
                <w:color w:val="000000"/>
              </w:rPr>
              <w:t>2%</w:t>
            </w:r>
          </w:p>
        </w:tc>
      </w:tr>
    </w:tbl>
    <w:p w:rsidR="001657CD" w:rsidRDefault="001657CD" w:rsidP="001657CD">
      <w:pPr>
        <w:pStyle w:val="Caption"/>
        <w:keepNext/>
      </w:pPr>
      <w:r>
        <w:lastRenderedPageBreak/>
        <w:t xml:space="preserve">Figure 6: Percentage of Participants </w:t>
      </w:r>
      <w:r w:rsidRPr="009F1FA1">
        <w:t xml:space="preserve">identified as having </w:t>
      </w:r>
      <w:r>
        <w:t xml:space="preserve">a </w:t>
      </w:r>
      <w:r w:rsidRPr="009F1FA1">
        <w:t>barrier</w:t>
      </w:r>
    </w:p>
    <w:p w:rsidR="001657CD" w:rsidRDefault="001657CD" w:rsidP="001657CD">
      <w:pPr>
        <w:pStyle w:val="Caption"/>
        <w:keepNext/>
      </w:pPr>
      <w:r w:rsidRPr="00506007">
        <w:rPr>
          <w:noProof/>
        </w:rPr>
        <w:drawing>
          <wp:inline distT="0" distB="0" distL="0" distR="0" wp14:anchorId="691C94DC" wp14:editId="08879ADC">
            <wp:extent cx="6412675" cy="8775865"/>
            <wp:effectExtent l="0" t="0" r="26670" b="25400"/>
            <wp:docPr id="32" name="Chart 1" descr="QLD and National percentage of participants who have been identified as having a barrier, graphic representation of table 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657CD" w:rsidRPr="001B1DFA" w:rsidRDefault="001657CD" w:rsidP="001B1DFA">
      <w:pPr>
        <w:pStyle w:val="Heading3"/>
        <w:rPr>
          <w:lang w:val="en-AU"/>
        </w:rPr>
      </w:pPr>
      <w:r>
        <w:lastRenderedPageBreak/>
        <w:t>Table 8:</w:t>
      </w:r>
      <w:r w:rsidRPr="00D36A5C">
        <w:t xml:space="preserve"> </w:t>
      </w:r>
      <w:r w:rsidRPr="003E33C6">
        <w:t>Percentage of Participants identified as having a barrier</w:t>
      </w:r>
    </w:p>
    <w:tbl>
      <w:tblPr>
        <w:tblStyle w:val="TableGrid"/>
        <w:tblW w:w="0" w:type="auto"/>
        <w:tblLook w:val="04A0" w:firstRow="1" w:lastRow="0" w:firstColumn="1" w:lastColumn="0" w:noHBand="0" w:noVBand="1"/>
        <w:tblCaption w:val="Table 8: Percentage of Participants identified as having a barrier"/>
        <w:tblDescription w:val="Percentage of Participants identified as having a barrier - Queensland and National data"/>
      </w:tblPr>
      <w:tblGrid>
        <w:gridCol w:w="5211"/>
        <w:gridCol w:w="1134"/>
        <w:gridCol w:w="1276"/>
      </w:tblGrid>
      <w:tr w:rsidR="001657CD" w:rsidRPr="003E33C6" w:rsidTr="00D35240">
        <w:trPr>
          <w:tblHeader/>
        </w:trPr>
        <w:tc>
          <w:tcPr>
            <w:tcW w:w="5211" w:type="dxa"/>
            <w:shd w:val="clear" w:color="auto" w:fill="C6D9F1" w:themeFill="text2" w:themeFillTint="33"/>
            <w:vAlign w:val="bottom"/>
          </w:tcPr>
          <w:p w:rsidR="001657CD" w:rsidRPr="003E33C6" w:rsidRDefault="001657CD" w:rsidP="001B1DFA">
            <w:pPr>
              <w:jc w:val="center"/>
              <w:rPr>
                <w:rFonts w:cs="Calibri"/>
                <w:b/>
                <w:bCs/>
                <w:color w:val="000000"/>
              </w:rPr>
            </w:pPr>
            <w:r w:rsidRPr="003E33C6">
              <w:rPr>
                <w:rFonts w:cs="Calibri"/>
                <w:b/>
                <w:bCs/>
                <w:color w:val="000000"/>
              </w:rPr>
              <w:t>Barrier</w:t>
            </w:r>
          </w:p>
        </w:tc>
        <w:tc>
          <w:tcPr>
            <w:tcW w:w="1134" w:type="dxa"/>
            <w:shd w:val="clear" w:color="auto" w:fill="C6D9F1" w:themeFill="text2" w:themeFillTint="33"/>
          </w:tcPr>
          <w:p w:rsidR="001657CD" w:rsidRPr="003E33C6" w:rsidRDefault="001657CD" w:rsidP="001B1DFA">
            <w:pPr>
              <w:jc w:val="center"/>
              <w:rPr>
                <w:b/>
              </w:rPr>
            </w:pPr>
            <w:r>
              <w:rPr>
                <w:b/>
              </w:rPr>
              <w:t>QLD</w:t>
            </w:r>
          </w:p>
        </w:tc>
        <w:tc>
          <w:tcPr>
            <w:tcW w:w="1276" w:type="dxa"/>
            <w:shd w:val="clear" w:color="auto" w:fill="C6D9F1" w:themeFill="text2" w:themeFillTint="33"/>
          </w:tcPr>
          <w:p w:rsidR="001657CD" w:rsidRPr="003E33C6" w:rsidRDefault="001657CD" w:rsidP="001B1DFA">
            <w:pPr>
              <w:jc w:val="center"/>
              <w:rPr>
                <w:b/>
              </w:rPr>
            </w:pPr>
            <w:r w:rsidRPr="003E33C6">
              <w:rPr>
                <w:b/>
              </w:rPr>
              <w:t>National</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Abuse/Domestic Violence issue</w:t>
            </w:r>
          </w:p>
        </w:tc>
        <w:tc>
          <w:tcPr>
            <w:tcW w:w="1134" w:type="dxa"/>
            <w:vAlign w:val="bottom"/>
          </w:tcPr>
          <w:p w:rsidR="001657CD" w:rsidRDefault="001657CD" w:rsidP="001B1DFA">
            <w:pPr>
              <w:jc w:val="center"/>
              <w:rPr>
                <w:rFonts w:cs="Calibri"/>
                <w:color w:val="000000"/>
              </w:rPr>
            </w:pPr>
            <w:r>
              <w:rPr>
                <w:rFonts w:cs="Calibri"/>
                <w:color w:val="000000"/>
              </w:rPr>
              <w:t>10%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Alcohol and/or drug misuse</w:t>
            </w:r>
          </w:p>
        </w:tc>
        <w:tc>
          <w:tcPr>
            <w:tcW w:w="1134" w:type="dxa"/>
            <w:vAlign w:val="bottom"/>
          </w:tcPr>
          <w:p w:rsidR="001657CD" w:rsidRDefault="001657CD" w:rsidP="001B1DFA">
            <w:pPr>
              <w:jc w:val="center"/>
              <w:rPr>
                <w:rFonts w:cs="Calibri"/>
                <w:color w:val="000000"/>
              </w:rPr>
            </w:pPr>
            <w:r>
              <w:rPr>
                <w:rFonts w:cs="Calibri"/>
                <w:color w:val="000000"/>
              </w:rPr>
              <w:t>21%</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20%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Anger management issues</w:t>
            </w:r>
          </w:p>
        </w:tc>
        <w:tc>
          <w:tcPr>
            <w:tcW w:w="1134" w:type="dxa"/>
            <w:vAlign w:val="bottom"/>
          </w:tcPr>
          <w:p w:rsidR="001657CD" w:rsidRDefault="001657CD" w:rsidP="001B1DFA">
            <w:pPr>
              <w:jc w:val="center"/>
              <w:rPr>
                <w:rFonts w:cs="Calibri"/>
                <w:color w:val="000000"/>
              </w:rPr>
            </w:pPr>
            <w:r>
              <w:rPr>
                <w:rFonts w:cs="Calibri"/>
                <w:color w:val="000000"/>
              </w:rPr>
              <w:t>33%</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31%</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Behavioural problems</w:t>
            </w:r>
          </w:p>
        </w:tc>
        <w:tc>
          <w:tcPr>
            <w:tcW w:w="1134" w:type="dxa"/>
            <w:vAlign w:val="bottom"/>
          </w:tcPr>
          <w:p w:rsidR="001657CD" w:rsidRDefault="001657CD" w:rsidP="001B1DFA">
            <w:pPr>
              <w:jc w:val="center"/>
              <w:rPr>
                <w:rFonts w:cs="Calibri"/>
                <w:color w:val="000000"/>
              </w:rPr>
            </w:pPr>
            <w:r>
              <w:rPr>
                <w:rFonts w:cs="Calibri"/>
                <w:color w:val="000000"/>
              </w:rPr>
              <w:t>57%</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54%</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Bullying</w:t>
            </w:r>
          </w:p>
        </w:tc>
        <w:tc>
          <w:tcPr>
            <w:tcW w:w="1134" w:type="dxa"/>
            <w:vAlign w:val="bottom"/>
          </w:tcPr>
          <w:p w:rsidR="001657CD" w:rsidRDefault="001657CD" w:rsidP="001B1DFA">
            <w:pPr>
              <w:jc w:val="center"/>
              <w:rPr>
                <w:rFonts w:cs="Calibri"/>
                <w:color w:val="000000"/>
              </w:rPr>
            </w:pPr>
            <w:r>
              <w:rPr>
                <w:rFonts w:cs="Calibri"/>
                <w:color w:val="000000"/>
              </w:rPr>
              <w:t>23%</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25%</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Critical life event</w:t>
            </w:r>
          </w:p>
        </w:tc>
        <w:tc>
          <w:tcPr>
            <w:tcW w:w="1134" w:type="dxa"/>
            <w:vAlign w:val="bottom"/>
          </w:tcPr>
          <w:p w:rsidR="001657CD" w:rsidRDefault="001657CD" w:rsidP="001B1DFA">
            <w:pPr>
              <w:jc w:val="center"/>
              <w:rPr>
                <w:rFonts w:cs="Calibri"/>
                <w:color w:val="000000"/>
              </w:rPr>
            </w:pPr>
            <w:r>
              <w:rPr>
                <w:rFonts w:cs="Calibri"/>
                <w:color w:val="000000"/>
              </w:rPr>
              <w:t>13%</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16%</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Current or previous Juvenile Justice Orders</w:t>
            </w:r>
          </w:p>
        </w:tc>
        <w:tc>
          <w:tcPr>
            <w:tcW w:w="1134" w:type="dxa"/>
            <w:vAlign w:val="bottom"/>
          </w:tcPr>
          <w:p w:rsidR="001657CD" w:rsidRDefault="001657CD" w:rsidP="001B1DFA">
            <w:pPr>
              <w:jc w:val="center"/>
              <w:rPr>
                <w:rFonts w:cs="Calibri"/>
                <w:color w:val="000000"/>
              </w:rPr>
            </w:pPr>
            <w:r>
              <w:rPr>
                <w:rFonts w:cs="Calibri"/>
                <w:color w:val="000000"/>
              </w:rPr>
              <w:t>9%</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Disability</w:t>
            </w:r>
          </w:p>
        </w:tc>
        <w:tc>
          <w:tcPr>
            <w:tcW w:w="1134" w:type="dxa"/>
            <w:vAlign w:val="bottom"/>
          </w:tcPr>
          <w:p w:rsidR="001657CD" w:rsidRDefault="001657CD" w:rsidP="001B1DFA">
            <w:pPr>
              <w:jc w:val="center"/>
              <w:rPr>
                <w:rFonts w:cs="Calibri"/>
                <w:color w:val="000000"/>
              </w:rPr>
            </w:pPr>
            <w:r>
              <w:rPr>
                <w:rFonts w:cs="Calibri"/>
                <w:color w:val="000000"/>
              </w:rPr>
              <w:t>5%</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Disconnection from cultural heritage</w:t>
            </w:r>
          </w:p>
        </w:tc>
        <w:tc>
          <w:tcPr>
            <w:tcW w:w="1134" w:type="dxa"/>
            <w:vAlign w:val="bottom"/>
          </w:tcPr>
          <w:p w:rsidR="001657CD" w:rsidRDefault="001657CD" w:rsidP="001B1DFA">
            <w:pPr>
              <w:jc w:val="center"/>
              <w:rPr>
                <w:rFonts w:cs="Calibri"/>
                <w:color w:val="000000"/>
              </w:rPr>
            </w:pPr>
            <w:r>
              <w:rPr>
                <w:rFonts w:cs="Calibri"/>
                <w:color w:val="000000"/>
              </w:rPr>
              <w:t>5%</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Financial distress</w:t>
            </w:r>
          </w:p>
        </w:tc>
        <w:tc>
          <w:tcPr>
            <w:tcW w:w="1134" w:type="dxa"/>
            <w:vAlign w:val="bottom"/>
          </w:tcPr>
          <w:p w:rsidR="001657CD" w:rsidRDefault="001657CD" w:rsidP="001B1DFA">
            <w:pPr>
              <w:jc w:val="center"/>
              <w:rPr>
                <w:rFonts w:cs="Calibri"/>
                <w:color w:val="000000"/>
              </w:rPr>
            </w:pPr>
            <w:r>
              <w:rPr>
                <w:rFonts w:cs="Calibri"/>
                <w:color w:val="000000"/>
              </w:rPr>
              <w:t>26%</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26%</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Gifted</w:t>
            </w:r>
          </w:p>
        </w:tc>
        <w:tc>
          <w:tcPr>
            <w:tcW w:w="1134" w:type="dxa"/>
            <w:vAlign w:val="bottom"/>
          </w:tcPr>
          <w:p w:rsidR="001657CD" w:rsidRDefault="001657CD" w:rsidP="001B1DFA">
            <w:pPr>
              <w:jc w:val="center"/>
              <w:rPr>
                <w:rFonts w:cs="Calibri"/>
                <w:color w:val="000000"/>
              </w:rPr>
            </w:pPr>
            <w:r>
              <w:rPr>
                <w:rFonts w:cs="Calibri"/>
                <w:color w:val="000000"/>
              </w:rPr>
              <w:t>1%</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Homelessness</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In detention/previously in detention</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3%</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Inadequate family support</w:t>
            </w:r>
          </w:p>
        </w:tc>
        <w:tc>
          <w:tcPr>
            <w:tcW w:w="1134" w:type="dxa"/>
            <w:vAlign w:val="bottom"/>
          </w:tcPr>
          <w:p w:rsidR="001657CD" w:rsidRDefault="001657CD" w:rsidP="001B1DFA">
            <w:pPr>
              <w:jc w:val="center"/>
              <w:rPr>
                <w:rFonts w:cs="Calibri"/>
                <w:color w:val="000000"/>
              </w:rPr>
            </w:pPr>
            <w:r>
              <w:rPr>
                <w:rFonts w:cs="Calibri"/>
                <w:color w:val="000000"/>
              </w:rPr>
              <w:t>22%</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27%</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Learning Difficulty</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Low literacy and/or numeracy</w:t>
            </w:r>
          </w:p>
        </w:tc>
        <w:tc>
          <w:tcPr>
            <w:tcW w:w="1134" w:type="dxa"/>
            <w:vAlign w:val="bottom"/>
          </w:tcPr>
          <w:p w:rsidR="001657CD" w:rsidRDefault="001657CD" w:rsidP="001B1DFA">
            <w:pPr>
              <w:jc w:val="center"/>
              <w:rPr>
                <w:rFonts w:cs="Calibri"/>
                <w:color w:val="000000"/>
              </w:rPr>
            </w:pPr>
            <w:r>
              <w:rPr>
                <w:rFonts w:cs="Calibri"/>
                <w:color w:val="000000"/>
              </w:rPr>
              <w:t>55%</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52%</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Low Self Esteem</w:t>
            </w:r>
          </w:p>
        </w:tc>
        <w:tc>
          <w:tcPr>
            <w:tcW w:w="1134" w:type="dxa"/>
            <w:vAlign w:val="bottom"/>
          </w:tcPr>
          <w:p w:rsidR="001657CD" w:rsidRDefault="001657CD" w:rsidP="001B1DFA">
            <w:pPr>
              <w:jc w:val="center"/>
              <w:rPr>
                <w:rFonts w:cs="Calibri"/>
                <w:color w:val="000000"/>
              </w:rPr>
            </w:pPr>
            <w:r>
              <w:rPr>
                <w:rFonts w:cs="Calibri"/>
                <w:color w:val="000000"/>
              </w:rPr>
              <w:t>61%</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56%</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Medical or other health issue</w:t>
            </w:r>
          </w:p>
        </w:tc>
        <w:tc>
          <w:tcPr>
            <w:tcW w:w="1134" w:type="dxa"/>
            <w:vAlign w:val="bottom"/>
          </w:tcPr>
          <w:p w:rsidR="001657CD" w:rsidRDefault="001657CD" w:rsidP="001B1DFA">
            <w:pPr>
              <w:jc w:val="center"/>
              <w:rPr>
                <w:rFonts w:cs="Calibri"/>
                <w:color w:val="000000"/>
              </w:rPr>
            </w:pPr>
            <w:r>
              <w:rPr>
                <w:rFonts w:cs="Calibri"/>
                <w:color w:val="000000"/>
              </w:rPr>
              <w:t>9%</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Negative experience(s) with education and training</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Out of home care</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4%</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Parent/Pregnancy</w:t>
            </w:r>
          </w:p>
        </w:tc>
        <w:tc>
          <w:tcPr>
            <w:tcW w:w="1134" w:type="dxa"/>
            <w:vAlign w:val="bottom"/>
          </w:tcPr>
          <w:p w:rsidR="001657CD" w:rsidRDefault="001657CD" w:rsidP="001B1DFA">
            <w:pPr>
              <w:jc w:val="center"/>
              <w:rPr>
                <w:rFonts w:cs="Calibri"/>
                <w:color w:val="000000"/>
              </w:rPr>
            </w:pPr>
            <w:r>
              <w:rPr>
                <w:rFonts w:cs="Calibri"/>
                <w:color w:val="000000"/>
              </w:rPr>
              <w:t>3%</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3%</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Petrol sniffing</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Socialisation issues</w:t>
            </w:r>
          </w:p>
        </w:tc>
        <w:tc>
          <w:tcPr>
            <w:tcW w:w="1134" w:type="dxa"/>
            <w:vAlign w:val="bottom"/>
          </w:tcPr>
          <w:p w:rsidR="001657CD" w:rsidRDefault="001657CD" w:rsidP="001B1DFA">
            <w:pPr>
              <w:jc w:val="center"/>
              <w:rPr>
                <w:rFonts w:cs="Calibri"/>
                <w:color w:val="000000"/>
              </w:rPr>
            </w:pPr>
            <w:r>
              <w:rPr>
                <w:rFonts w:cs="Calibri"/>
                <w:color w:val="000000"/>
              </w:rPr>
              <w:t>50%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42%</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Suspected or diagnosed mental health issue</w:t>
            </w:r>
          </w:p>
        </w:tc>
        <w:tc>
          <w:tcPr>
            <w:tcW w:w="1134" w:type="dxa"/>
            <w:vAlign w:val="bottom"/>
          </w:tcPr>
          <w:p w:rsidR="001657CD" w:rsidRDefault="001657CD" w:rsidP="001B1DFA">
            <w:pPr>
              <w:jc w:val="center"/>
              <w:rPr>
                <w:rFonts w:cs="Calibri"/>
                <w:color w:val="000000"/>
              </w:rPr>
            </w:pPr>
            <w:r>
              <w:rPr>
                <w:rFonts w:cs="Calibri"/>
                <w:color w:val="000000"/>
              </w:rPr>
              <w:t>20%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26%</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Unstable living arrangements</w:t>
            </w:r>
          </w:p>
        </w:tc>
        <w:tc>
          <w:tcPr>
            <w:tcW w:w="1134" w:type="dxa"/>
            <w:vAlign w:val="bottom"/>
          </w:tcPr>
          <w:p w:rsidR="001657CD" w:rsidRDefault="001657CD" w:rsidP="001B1DFA">
            <w:pPr>
              <w:jc w:val="center"/>
              <w:rPr>
                <w:rFonts w:cs="Calibri"/>
                <w:color w:val="000000"/>
              </w:rPr>
            </w:pPr>
            <w:r>
              <w:rPr>
                <w:rFonts w:cs="Calibri"/>
                <w:color w:val="000000"/>
              </w:rPr>
              <w:t>16%</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18%</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Volatile substance misuse</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0%</w:t>
            </w:r>
          </w:p>
        </w:tc>
      </w:tr>
      <w:tr w:rsidR="001657CD" w:rsidTr="001B1DFA">
        <w:tc>
          <w:tcPr>
            <w:tcW w:w="5211" w:type="dxa"/>
            <w:vAlign w:val="bottom"/>
          </w:tcPr>
          <w:p w:rsidR="001657CD" w:rsidRPr="00C763A7" w:rsidRDefault="001657CD" w:rsidP="001B1DFA">
            <w:pPr>
              <w:spacing w:before="40" w:after="40"/>
              <w:rPr>
                <w:rFonts w:cs="Calibri"/>
                <w:color w:val="000000"/>
              </w:rPr>
            </w:pPr>
            <w:r w:rsidRPr="00C763A7">
              <w:rPr>
                <w:rFonts w:cs="Calibri"/>
                <w:color w:val="000000"/>
              </w:rPr>
              <w:t>Young Carer responsibilities</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276" w:type="dxa"/>
            <w:vAlign w:val="bottom"/>
          </w:tcPr>
          <w:p w:rsidR="001657CD" w:rsidRPr="003E33C6" w:rsidRDefault="001657CD" w:rsidP="001B1DFA">
            <w:pPr>
              <w:jc w:val="center"/>
              <w:rPr>
                <w:rFonts w:cs="Calibri"/>
                <w:color w:val="000000"/>
              </w:rPr>
            </w:pPr>
            <w:r w:rsidRPr="003E33C6">
              <w:rPr>
                <w:rFonts w:cs="Calibri"/>
                <w:color w:val="000000"/>
              </w:rPr>
              <w:t>4%</w:t>
            </w:r>
          </w:p>
        </w:tc>
      </w:tr>
    </w:tbl>
    <w:p w:rsidR="001657CD" w:rsidRDefault="001657CD" w:rsidP="001657CD"/>
    <w:p w:rsidR="001657CD" w:rsidRDefault="001657CD" w:rsidP="001657CD">
      <w:pPr>
        <w:pStyle w:val="Caption"/>
        <w:keepNext/>
      </w:pPr>
    </w:p>
    <w:p w:rsidR="001657CD" w:rsidRDefault="001657CD" w:rsidP="001657CD">
      <w:pPr>
        <w:pStyle w:val="Caption"/>
        <w:keepNext/>
      </w:pPr>
    </w:p>
    <w:p w:rsidR="001657CD" w:rsidRDefault="001657CD" w:rsidP="001657CD">
      <w:r>
        <w:br w:type="page"/>
      </w:r>
    </w:p>
    <w:p w:rsidR="001657CD" w:rsidRDefault="001657CD" w:rsidP="001657CD">
      <w:pPr>
        <w:pStyle w:val="Caption"/>
        <w:keepNext/>
      </w:pPr>
      <w:r>
        <w:lastRenderedPageBreak/>
        <w:t>Figure 7</w:t>
      </w:r>
      <w:r w:rsidR="00FD03F9">
        <w:t>: QLD</w:t>
      </w:r>
      <w:r w:rsidRPr="00BE6EBE">
        <w:t xml:space="preserve"> Participant Barriers by</w:t>
      </w:r>
      <w:r>
        <w:t xml:space="preserve"> </w:t>
      </w:r>
      <w:r w:rsidRPr="00BE6EBE">
        <w:t>Connection Level</w:t>
      </w:r>
      <w:r>
        <w:rPr>
          <w:noProof/>
        </w:rPr>
        <w:drawing>
          <wp:inline distT="0" distB="0" distL="0" distR="0" wp14:anchorId="17EF4193" wp14:editId="50B36298">
            <wp:extent cx="6163293" cy="8858992"/>
            <wp:effectExtent l="0" t="0" r="9525" b="18415"/>
            <wp:docPr id="33" name="Chart 33" descr="QLD percentage of participants who have been identified as having a barrier, graphic representation of table 9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657CD" w:rsidRDefault="001657CD" w:rsidP="001657CD">
      <w:pPr>
        <w:pStyle w:val="Caption"/>
        <w:keepNext/>
      </w:pPr>
    </w:p>
    <w:p w:rsidR="001657CD" w:rsidRDefault="001657CD" w:rsidP="00ED3CBC">
      <w:pPr>
        <w:pStyle w:val="Heading3"/>
      </w:pPr>
      <w:r>
        <w:t>Table 9</w:t>
      </w:r>
      <w:r w:rsidRPr="001553A9">
        <w:t xml:space="preserve">: </w:t>
      </w:r>
      <w:r>
        <w:t xml:space="preserve">QLD - </w:t>
      </w:r>
      <w:r w:rsidRPr="001553A9">
        <w:t>Percentage of participants identified as having barrier, by Connection Level</w:t>
      </w:r>
    </w:p>
    <w:tbl>
      <w:tblPr>
        <w:tblStyle w:val="TableGrid"/>
        <w:tblW w:w="0" w:type="auto"/>
        <w:tblLook w:val="04A0" w:firstRow="1" w:lastRow="0" w:firstColumn="1" w:lastColumn="0" w:noHBand="0" w:noVBand="1"/>
        <w:tblCaption w:val="Table 9: QLD - Percentage of participants identified as having barrier, by Connection Level"/>
        <w:tblDescription w:val="QLD - Percentage of participants identified as having barrier by connection level"/>
      </w:tblPr>
      <w:tblGrid>
        <w:gridCol w:w="6345"/>
        <w:gridCol w:w="993"/>
        <w:gridCol w:w="1134"/>
        <w:gridCol w:w="1134"/>
      </w:tblGrid>
      <w:tr w:rsidR="001657CD" w:rsidRPr="001553A9" w:rsidTr="00D35240">
        <w:trPr>
          <w:tblHeader/>
        </w:trPr>
        <w:tc>
          <w:tcPr>
            <w:tcW w:w="6345" w:type="dxa"/>
            <w:shd w:val="clear" w:color="auto" w:fill="C6D9F1" w:themeFill="text2" w:themeFillTint="33"/>
            <w:vAlign w:val="center"/>
          </w:tcPr>
          <w:p w:rsidR="001657CD" w:rsidRPr="001553A9" w:rsidRDefault="001657CD" w:rsidP="001B1DFA">
            <w:pPr>
              <w:jc w:val="center"/>
              <w:rPr>
                <w:b/>
              </w:rPr>
            </w:pPr>
            <w:r w:rsidRPr="001553A9">
              <w:rPr>
                <w:b/>
              </w:rPr>
              <w:t>Barrier</w:t>
            </w:r>
          </w:p>
        </w:tc>
        <w:tc>
          <w:tcPr>
            <w:tcW w:w="993" w:type="dxa"/>
            <w:shd w:val="clear" w:color="auto" w:fill="C6D9F1" w:themeFill="text2" w:themeFillTint="33"/>
          </w:tcPr>
          <w:p w:rsidR="001657CD" w:rsidRPr="001553A9" w:rsidRDefault="001657CD" w:rsidP="001B1DFA">
            <w:pPr>
              <w:jc w:val="center"/>
              <w:rPr>
                <w:b/>
              </w:rPr>
            </w:pPr>
            <w:r>
              <w:rPr>
                <w:b/>
              </w:rPr>
              <w:t>QLD</w:t>
            </w:r>
            <w:r w:rsidRPr="001553A9">
              <w:rPr>
                <w:b/>
              </w:rPr>
              <w:t xml:space="preserve"> Level 1</w:t>
            </w:r>
          </w:p>
        </w:tc>
        <w:tc>
          <w:tcPr>
            <w:tcW w:w="1134" w:type="dxa"/>
            <w:shd w:val="clear" w:color="auto" w:fill="C6D9F1" w:themeFill="text2" w:themeFillTint="33"/>
          </w:tcPr>
          <w:p w:rsidR="001657CD" w:rsidRPr="001553A9" w:rsidRDefault="001657CD" w:rsidP="001B1DFA">
            <w:pPr>
              <w:jc w:val="center"/>
              <w:rPr>
                <w:b/>
              </w:rPr>
            </w:pPr>
            <w:r>
              <w:rPr>
                <w:b/>
              </w:rPr>
              <w:t>QLD</w:t>
            </w:r>
            <w:r w:rsidRPr="001553A9">
              <w:rPr>
                <w:b/>
              </w:rPr>
              <w:t xml:space="preserve"> Level </w:t>
            </w:r>
            <w:proofErr w:type="spellStart"/>
            <w:r w:rsidRPr="001553A9">
              <w:rPr>
                <w:b/>
              </w:rPr>
              <w:t>2a</w:t>
            </w:r>
            <w:proofErr w:type="spellEnd"/>
          </w:p>
        </w:tc>
        <w:tc>
          <w:tcPr>
            <w:tcW w:w="1134" w:type="dxa"/>
            <w:shd w:val="clear" w:color="auto" w:fill="C6D9F1" w:themeFill="text2" w:themeFillTint="33"/>
          </w:tcPr>
          <w:p w:rsidR="001657CD" w:rsidRPr="001553A9" w:rsidRDefault="001657CD" w:rsidP="001B1DFA">
            <w:pPr>
              <w:jc w:val="center"/>
              <w:rPr>
                <w:b/>
              </w:rPr>
            </w:pPr>
            <w:r>
              <w:rPr>
                <w:b/>
              </w:rPr>
              <w:t xml:space="preserve">QLD </w:t>
            </w:r>
            <w:r w:rsidRPr="001553A9">
              <w:rPr>
                <w:b/>
              </w:rPr>
              <w:t xml:space="preserve">Level </w:t>
            </w:r>
            <w:proofErr w:type="spellStart"/>
            <w:r w:rsidRPr="001553A9">
              <w:rPr>
                <w:b/>
              </w:rPr>
              <w:t>2b</w:t>
            </w:r>
            <w:proofErr w:type="spellEnd"/>
          </w:p>
        </w:tc>
      </w:tr>
      <w:tr w:rsidR="001657CD" w:rsidRPr="0051278F" w:rsidTr="001B1DFA">
        <w:tc>
          <w:tcPr>
            <w:tcW w:w="6345" w:type="dxa"/>
          </w:tcPr>
          <w:p w:rsidR="001657CD" w:rsidRPr="0051278F" w:rsidRDefault="001657CD" w:rsidP="001B1DFA">
            <w:r w:rsidRPr="0051278F">
              <w:t>Abuse/Domestic Violence issue</w:t>
            </w:r>
          </w:p>
        </w:tc>
        <w:tc>
          <w:tcPr>
            <w:tcW w:w="993" w:type="dxa"/>
            <w:vAlign w:val="bottom"/>
          </w:tcPr>
          <w:p w:rsidR="001657CD" w:rsidRDefault="001657CD" w:rsidP="001B1DFA">
            <w:pPr>
              <w:jc w:val="center"/>
              <w:rPr>
                <w:rFonts w:cs="Calibri"/>
                <w:color w:val="000000"/>
              </w:rPr>
            </w:pPr>
            <w:r>
              <w:rPr>
                <w:rFonts w:cs="Calibri"/>
                <w:color w:val="000000"/>
              </w:rPr>
              <w:t>7%</w:t>
            </w:r>
          </w:p>
        </w:tc>
        <w:tc>
          <w:tcPr>
            <w:tcW w:w="1134" w:type="dxa"/>
            <w:vAlign w:val="bottom"/>
          </w:tcPr>
          <w:p w:rsidR="001657CD" w:rsidRDefault="001657CD" w:rsidP="001B1DFA">
            <w:pPr>
              <w:jc w:val="center"/>
              <w:rPr>
                <w:rFonts w:cs="Calibri"/>
                <w:color w:val="000000"/>
              </w:rPr>
            </w:pPr>
            <w:r>
              <w:rPr>
                <w:rFonts w:cs="Calibri"/>
                <w:color w:val="000000"/>
              </w:rPr>
              <w:t>8%</w:t>
            </w:r>
          </w:p>
        </w:tc>
        <w:tc>
          <w:tcPr>
            <w:tcW w:w="1134" w:type="dxa"/>
            <w:vAlign w:val="bottom"/>
          </w:tcPr>
          <w:p w:rsidR="001657CD" w:rsidRDefault="001657CD" w:rsidP="001B1DFA">
            <w:pPr>
              <w:jc w:val="center"/>
              <w:rPr>
                <w:rFonts w:cs="Calibri"/>
                <w:color w:val="000000"/>
              </w:rPr>
            </w:pPr>
            <w:r>
              <w:rPr>
                <w:rFonts w:cs="Calibri"/>
                <w:color w:val="000000"/>
              </w:rPr>
              <w:t>12%</w:t>
            </w:r>
          </w:p>
        </w:tc>
      </w:tr>
      <w:tr w:rsidR="001657CD" w:rsidRPr="0051278F" w:rsidTr="001B1DFA">
        <w:tc>
          <w:tcPr>
            <w:tcW w:w="6345" w:type="dxa"/>
          </w:tcPr>
          <w:p w:rsidR="001657CD" w:rsidRPr="0051278F" w:rsidRDefault="001657CD" w:rsidP="001B1DFA">
            <w:r w:rsidRPr="0051278F">
              <w:t>Alcohol and/or drug misuse</w:t>
            </w:r>
          </w:p>
        </w:tc>
        <w:tc>
          <w:tcPr>
            <w:tcW w:w="993" w:type="dxa"/>
            <w:vAlign w:val="bottom"/>
          </w:tcPr>
          <w:p w:rsidR="001657CD" w:rsidRDefault="001657CD" w:rsidP="001B1DFA">
            <w:pPr>
              <w:jc w:val="center"/>
              <w:rPr>
                <w:rFonts w:cs="Calibri"/>
                <w:color w:val="000000"/>
              </w:rPr>
            </w:pPr>
            <w:r>
              <w:rPr>
                <w:rFonts w:cs="Calibri"/>
                <w:color w:val="000000"/>
              </w:rPr>
              <w:t>11%</w:t>
            </w:r>
          </w:p>
        </w:tc>
        <w:tc>
          <w:tcPr>
            <w:tcW w:w="1134" w:type="dxa"/>
            <w:vAlign w:val="bottom"/>
          </w:tcPr>
          <w:p w:rsidR="001657CD" w:rsidRDefault="001657CD" w:rsidP="001B1DFA">
            <w:pPr>
              <w:jc w:val="center"/>
              <w:rPr>
                <w:rFonts w:cs="Calibri"/>
                <w:color w:val="000000"/>
              </w:rPr>
            </w:pPr>
            <w:r>
              <w:rPr>
                <w:rFonts w:cs="Calibri"/>
                <w:color w:val="000000"/>
              </w:rPr>
              <w:t>16%</w:t>
            </w:r>
          </w:p>
        </w:tc>
        <w:tc>
          <w:tcPr>
            <w:tcW w:w="1134" w:type="dxa"/>
            <w:vAlign w:val="bottom"/>
          </w:tcPr>
          <w:p w:rsidR="001657CD" w:rsidRDefault="001657CD" w:rsidP="001B1DFA">
            <w:pPr>
              <w:jc w:val="center"/>
              <w:rPr>
                <w:rFonts w:cs="Calibri"/>
                <w:color w:val="000000"/>
              </w:rPr>
            </w:pPr>
            <w:r>
              <w:rPr>
                <w:rFonts w:cs="Calibri"/>
                <w:color w:val="000000"/>
              </w:rPr>
              <w:t>26%</w:t>
            </w:r>
          </w:p>
        </w:tc>
      </w:tr>
      <w:tr w:rsidR="001657CD" w:rsidRPr="0051278F" w:rsidTr="001B1DFA">
        <w:tc>
          <w:tcPr>
            <w:tcW w:w="6345" w:type="dxa"/>
          </w:tcPr>
          <w:p w:rsidR="001657CD" w:rsidRPr="0051278F" w:rsidRDefault="001657CD" w:rsidP="001B1DFA">
            <w:r w:rsidRPr="0051278F">
              <w:t>Anger management issues</w:t>
            </w:r>
          </w:p>
        </w:tc>
        <w:tc>
          <w:tcPr>
            <w:tcW w:w="993" w:type="dxa"/>
            <w:vAlign w:val="bottom"/>
          </w:tcPr>
          <w:p w:rsidR="001657CD" w:rsidRDefault="001657CD" w:rsidP="001B1DFA">
            <w:pPr>
              <w:jc w:val="center"/>
              <w:rPr>
                <w:rFonts w:cs="Calibri"/>
                <w:color w:val="000000"/>
              </w:rPr>
            </w:pPr>
            <w:r>
              <w:rPr>
                <w:rFonts w:cs="Calibri"/>
                <w:color w:val="000000"/>
              </w:rPr>
              <w:t>27%</w:t>
            </w:r>
          </w:p>
        </w:tc>
        <w:tc>
          <w:tcPr>
            <w:tcW w:w="1134" w:type="dxa"/>
            <w:vAlign w:val="bottom"/>
          </w:tcPr>
          <w:p w:rsidR="001657CD" w:rsidRDefault="001657CD" w:rsidP="001B1DFA">
            <w:pPr>
              <w:jc w:val="center"/>
              <w:rPr>
                <w:rFonts w:cs="Calibri"/>
                <w:color w:val="000000"/>
              </w:rPr>
            </w:pPr>
            <w:r>
              <w:rPr>
                <w:rFonts w:cs="Calibri"/>
                <w:color w:val="000000"/>
              </w:rPr>
              <w:t>37%</w:t>
            </w:r>
          </w:p>
        </w:tc>
        <w:tc>
          <w:tcPr>
            <w:tcW w:w="1134" w:type="dxa"/>
            <w:vAlign w:val="bottom"/>
          </w:tcPr>
          <w:p w:rsidR="001657CD" w:rsidRDefault="001657CD" w:rsidP="001B1DFA">
            <w:pPr>
              <w:jc w:val="center"/>
              <w:rPr>
                <w:rFonts w:cs="Calibri"/>
                <w:color w:val="000000"/>
              </w:rPr>
            </w:pPr>
            <w:r>
              <w:rPr>
                <w:rFonts w:cs="Calibri"/>
                <w:color w:val="000000"/>
              </w:rPr>
              <w:t>31%</w:t>
            </w:r>
          </w:p>
        </w:tc>
      </w:tr>
      <w:tr w:rsidR="001657CD" w:rsidRPr="0051278F" w:rsidTr="001B1DFA">
        <w:tc>
          <w:tcPr>
            <w:tcW w:w="6345" w:type="dxa"/>
          </w:tcPr>
          <w:p w:rsidR="001657CD" w:rsidRPr="0051278F" w:rsidRDefault="001657CD" w:rsidP="001B1DFA">
            <w:r w:rsidRPr="0051278F">
              <w:t>Behavioural problems</w:t>
            </w:r>
          </w:p>
        </w:tc>
        <w:tc>
          <w:tcPr>
            <w:tcW w:w="993" w:type="dxa"/>
            <w:vAlign w:val="bottom"/>
          </w:tcPr>
          <w:p w:rsidR="001657CD" w:rsidRDefault="001657CD" w:rsidP="001B1DFA">
            <w:pPr>
              <w:jc w:val="center"/>
              <w:rPr>
                <w:rFonts w:cs="Calibri"/>
                <w:color w:val="000000"/>
              </w:rPr>
            </w:pPr>
            <w:r>
              <w:rPr>
                <w:rFonts w:cs="Calibri"/>
                <w:color w:val="000000"/>
              </w:rPr>
              <w:t>63%</w:t>
            </w:r>
          </w:p>
        </w:tc>
        <w:tc>
          <w:tcPr>
            <w:tcW w:w="1134" w:type="dxa"/>
            <w:vAlign w:val="bottom"/>
          </w:tcPr>
          <w:p w:rsidR="001657CD" w:rsidRDefault="001657CD" w:rsidP="001B1DFA">
            <w:pPr>
              <w:jc w:val="center"/>
              <w:rPr>
                <w:rFonts w:cs="Calibri"/>
                <w:color w:val="000000"/>
              </w:rPr>
            </w:pPr>
            <w:r>
              <w:rPr>
                <w:rFonts w:cs="Calibri"/>
                <w:color w:val="000000"/>
              </w:rPr>
              <w:t>64%</w:t>
            </w:r>
          </w:p>
        </w:tc>
        <w:tc>
          <w:tcPr>
            <w:tcW w:w="1134" w:type="dxa"/>
            <w:vAlign w:val="bottom"/>
          </w:tcPr>
          <w:p w:rsidR="001657CD" w:rsidRDefault="001657CD" w:rsidP="001B1DFA">
            <w:pPr>
              <w:jc w:val="center"/>
              <w:rPr>
                <w:rFonts w:cs="Calibri"/>
                <w:color w:val="000000"/>
              </w:rPr>
            </w:pPr>
            <w:r>
              <w:rPr>
                <w:rFonts w:cs="Calibri"/>
                <w:color w:val="000000"/>
              </w:rPr>
              <w:t>49%</w:t>
            </w:r>
          </w:p>
        </w:tc>
      </w:tr>
      <w:tr w:rsidR="001657CD" w:rsidRPr="0051278F" w:rsidTr="001B1DFA">
        <w:tc>
          <w:tcPr>
            <w:tcW w:w="6345" w:type="dxa"/>
          </w:tcPr>
          <w:p w:rsidR="001657CD" w:rsidRPr="0051278F" w:rsidRDefault="001657CD" w:rsidP="001B1DFA">
            <w:r w:rsidRPr="0051278F">
              <w:t>Bullying</w:t>
            </w:r>
          </w:p>
        </w:tc>
        <w:tc>
          <w:tcPr>
            <w:tcW w:w="993" w:type="dxa"/>
            <w:vAlign w:val="bottom"/>
          </w:tcPr>
          <w:p w:rsidR="001657CD" w:rsidRDefault="001657CD" w:rsidP="001B1DFA">
            <w:pPr>
              <w:jc w:val="center"/>
              <w:rPr>
                <w:rFonts w:cs="Calibri"/>
                <w:color w:val="000000"/>
              </w:rPr>
            </w:pPr>
            <w:r>
              <w:rPr>
                <w:rFonts w:cs="Calibri"/>
                <w:color w:val="000000"/>
              </w:rPr>
              <w:t>26%</w:t>
            </w:r>
          </w:p>
        </w:tc>
        <w:tc>
          <w:tcPr>
            <w:tcW w:w="1134" w:type="dxa"/>
            <w:vAlign w:val="bottom"/>
          </w:tcPr>
          <w:p w:rsidR="001657CD" w:rsidRDefault="001657CD" w:rsidP="001B1DFA">
            <w:pPr>
              <w:jc w:val="center"/>
              <w:rPr>
                <w:rFonts w:cs="Calibri"/>
                <w:color w:val="000000"/>
              </w:rPr>
            </w:pPr>
            <w:r>
              <w:rPr>
                <w:rFonts w:cs="Calibri"/>
                <w:color w:val="000000"/>
              </w:rPr>
              <w:t>23%</w:t>
            </w:r>
          </w:p>
        </w:tc>
        <w:tc>
          <w:tcPr>
            <w:tcW w:w="1134" w:type="dxa"/>
            <w:vAlign w:val="bottom"/>
          </w:tcPr>
          <w:p w:rsidR="001657CD" w:rsidRDefault="001657CD" w:rsidP="001B1DFA">
            <w:pPr>
              <w:jc w:val="center"/>
              <w:rPr>
                <w:rFonts w:cs="Calibri"/>
                <w:color w:val="000000"/>
              </w:rPr>
            </w:pPr>
            <w:r>
              <w:rPr>
                <w:rFonts w:cs="Calibri"/>
                <w:color w:val="000000"/>
              </w:rPr>
              <w:t>21%</w:t>
            </w:r>
          </w:p>
        </w:tc>
      </w:tr>
      <w:tr w:rsidR="001657CD" w:rsidRPr="0051278F" w:rsidTr="001B1DFA">
        <w:tc>
          <w:tcPr>
            <w:tcW w:w="6345" w:type="dxa"/>
          </w:tcPr>
          <w:p w:rsidR="001657CD" w:rsidRPr="0051278F" w:rsidRDefault="001657CD" w:rsidP="001B1DFA">
            <w:r w:rsidRPr="0051278F">
              <w:t>Critical life event</w:t>
            </w:r>
          </w:p>
        </w:tc>
        <w:tc>
          <w:tcPr>
            <w:tcW w:w="993" w:type="dxa"/>
            <w:vAlign w:val="bottom"/>
          </w:tcPr>
          <w:p w:rsidR="001657CD" w:rsidRDefault="001657CD" w:rsidP="001B1DFA">
            <w:pPr>
              <w:jc w:val="center"/>
              <w:rPr>
                <w:rFonts w:cs="Calibri"/>
                <w:color w:val="000000"/>
              </w:rPr>
            </w:pPr>
            <w:r>
              <w:rPr>
                <w:rFonts w:cs="Calibri"/>
                <w:color w:val="000000"/>
              </w:rPr>
              <w:t>10%</w:t>
            </w:r>
          </w:p>
        </w:tc>
        <w:tc>
          <w:tcPr>
            <w:tcW w:w="1134" w:type="dxa"/>
            <w:vAlign w:val="bottom"/>
          </w:tcPr>
          <w:p w:rsidR="001657CD" w:rsidRDefault="001657CD" w:rsidP="001B1DFA">
            <w:pPr>
              <w:jc w:val="center"/>
              <w:rPr>
                <w:rFonts w:cs="Calibri"/>
                <w:color w:val="000000"/>
              </w:rPr>
            </w:pPr>
            <w:r>
              <w:rPr>
                <w:rFonts w:cs="Calibri"/>
                <w:color w:val="000000"/>
              </w:rPr>
              <w:t>11%</w:t>
            </w:r>
          </w:p>
        </w:tc>
        <w:tc>
          <w:tcPr>
            <w:tcW w:w="1134" w:type="dxa"/>
            <w:vAlign w:val="bottom"/>
          </w:tcPr>
          <w:p w:rsidR="001657CD" w:rsidRDefault="001657CD" w:rsidP="001B1DFA">
            <w:pPr>
              <w:jc w:val="center"/>
              <w:rPr>
                <w:rFonts w:cs="Calibri"/>
                <w:color w:val="000000"/>
              </w:rPr>
            </w:pPr>
            <w:r>
              <w:rPr>
                <w:rFonts w:cs="Calibri"/>
                <w:color w:val="000000"/>
              </w:rPr>
              <w:t>15%</w:t>
            </w:r>
          </w:p>
        </w:tc>
      </w:tr>
      <w:tr w:rsidR="001657CD" w:rsidRPr="0051278F" w:rsidTr="001B1DFA">
        <w:tc>
          <w:tcPr>
            <w:tcW w:w="6345" w:type="dxa"/>
          </w:tcPr>
          <w:p w:rsidR="001657CD" w:rsidRPr="0051278F" w:rsidRDefault="001657CD" w:rsidP="001B1DFA">
            <w:r w:rsidRPr="0051278F">
              <w:t>Current or previous Juvenile Justice Orders</w:t>
            </w:r>
          </w:p>
        </w:tc>
        <w:tc>
          <w:tcPr>
            <w:tcW w:w="993"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134" w:type="dxa"/>
            <w:vAlign w:val="bottom"/>
          </w:tcPr>
          <w:p w:rsidR="001657CD" w:rsidRDefault="001657CD" w:rsidP="001B1DFA">
            <w:pPr>
              <w:jc w:val="center"/>
              <w:rPr>
                <w:rFonts w:cs="Calibri"/>
                <w:color w:val="000000"/>
              </w:rPr>
            </w:pPr>
            <w:r>
              <w:rPr>
                <w:rFonts w:cs="Calibri"/>
                <w:color w:val="000000"/>
              </w:rPr>
              <w:t>15%</w:t>
            </w:r>
          </w:p>
        </w:tc>
      </w:tr>
      <w:tr w:rsidR="001657CD" w:rsidRPr="0051278F" w:rsidTr="001B1DFA">
        <w:tc>
          <w:tcPr>
            <w:tcW w:w="6345" w:type="dxa"/>
          </w:tcPr>
          <w:p w:rsidR="001657CD" w:rsidRPr="0051278F" w:rsidRDefault="001657CD" w:rsidP="001B1DFA">
            <w:r w:rsidRPr="0051278F">
              <w:t>Disability</w:t>
            </w:r>
          </w:p>
        </w:tc>
        <w:tc>
          <w:tcPr>
            <w:tcW w:w="993" w:type="dxa"/>
            <w:vAlign w:val="bottom"/>
          </w:tcPr>
          <w:p w:rsidR="001657CD" w:rsidRDefault="001657CD" w:rsidP="001B1DFA">
            <w:pPr>
              <w:jc w:val="center"/>
              <w:rPr>
                <w:rFonts w:cs="Calibri"/>
                <w:color w:val="000000"/>
              </w:rPr>
            </w:pPr>
            <w:r>
              <w:rPr>
                <w:rFonts w:cs="Calibri"/>
                <w:color w:val="000000"/>
              </w:rPr>
              <w:t>5%</w:t>
            </w:r>
          </w:p>
        </w:tc>
        <w:tc>
          <w:tcPr>
            <w:tcW w:w="1134" w:type="dxa"/>
            <w:vAlign w:val="bottom"/>
          </w:tcPr>
          <w:p w:rsidR="001657CD" w:rsidRDefault="001657CD" w:rsidP="001B1DFA">
            <w:pPr>
              <w:jc w:val="center"/>
              <w:rPr>
                <w:rFonts w:cs="Calibri"/>
                <w:color w:val="000000"/>
              </w:rPr>
            </w:pPr>
            <w:r>
              <w:rPr>
                <w:rFonts w:cs="Calibri"/>
                <w:color w:val="000000"/>
              </w:rPr>
              <w:t>5%</w:t>
            </w:r>
          </w:p>
        </w:tc>
        <w:tc>
          <w:tcPr>
            <w:tcW w:w="1134" w:type="dxa"/>
            <w:vAlign w:val="bottom"/>
          </w:tcPr>
          <w:p w:rsidR="001657CD" w:rsidRDefault="001657CD" w:rsidP="001B1DFA">
            <w:pPr>
              <w:jc w:val="center"/>
              <w:rPr>
                <w:rFonts w:cs="Calibri"/>
                <w:color w:val="000000"/>
              </w:rPr>
            </w:pPr>
            <w:r>
              <w:rPr>
                <w:rFonts w:cs="Calibri"/>
                <w:color w:val="000000"/>
              </w:rPr>
              <w:t>5%</w:t>
            </w:r>
          </w:p>
        </w:tc>
      </w:tr>
      <w:tr w:rsidR="001657CD" w:rsidRPr="0051278F" w:rsidTr="001B1DFA">
        <w:tc>
          <w:tcPr>
            <w:tcW w:w="6345" w:type="dxa"/>
          </w:tcPr>
          <w:p w:rsidR="001657CD" w:rsidRPr="0051278F" w:rsidRDefault="001657CD" w:rsidP="001B1DFA">
            <w:r w:rsidRPr="0051278F">
              <w:t>Disconnection from cultural heritage</w:t>
            </w:r>
          </w:p>
        </w:tc>
        <w:tc>
          <w:tcPr>
            <w:tcW w:w="993" w:type="dxa"/>
            <w:vAlign w:val="bottom"/>
          </w:tcPr>
          <w:p w:rsidR="001657CD" w:rsidRDefault="001657CD" w:rsidP="001B1DFA">
            <w:pPr>
              <w:jc w:val="center"/>
              <w:rPr>
                <w:rFonts w:cs="Calibri"/>
                <w:color w:val="000000"/>
              </w:rPr>
            </w:pPr>
            <w:r>
              <w:rPr>
                <w:rFonts w:cs="Calibri"/>
                <w:color w:val="000000"/>
              </w:rPr>
              <w:t>4%</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134" w:type="dxa"/>
            <w:vAlign w:val="bottom"/>
          </w:tcPr>
          <w:p w:rsidR="001657CD" w:rsidRDefault="001657CD" w:rsidP="001B1DFA">
            <w:pPr>
              <w:jc w:val="center"/>
              <w:rPr>
                <w:rFonts w:cs="Calibri"/>
                <w:color w:val="000000"/>
              </w:rPr>
            </w:pPr>
            <w:r>
              <w:rPr>
                <w:rFonts w:cs="Calibri"/>
                <w:color w:val="000000"/>
              </w:rPr>
              <w:t>6%</w:t>
            </w:r>
          </w:p>
        </w:tc>
      </w:tr>
      <w:tr w:rsidR="001657CD" w:rsidRPr="0051278F" w:rsidTr="001B1DFA">
        <w:tc>
          <w:tcPr>
            <w:tcW w:w="6345" w:type="dxa"/>
          </w:tcPr>
          <w:p w:rsidR="001657CD" w:rsidRPr="0051278F" w:rsidRDefault="001657CD" w:rsidP="001B1DFA">
            <w:r w:rsidRPr="0051278F">
              <w:t>Financial distress</w:t>
            </w:r>
          </w:p>
        </w:tc>
        <w:tc>
          <w:tcPr>
            <w:tcW w:w="993" w:type="dxa"/>
            <w:vAlign w:val="bottom"/>
          </w:tcPr>
          <w:p w:rsidR="001657CD" w:rsidRDefault="001657CD" w:rsidP="001B1DFA">
            <w:pPr>
              <w:jc w:val="center"/>
              <w:rPr>
                <w:rFonts w:cs="Calibri"/>
                <w:color w:val="000000"/>
              </w:rPr>
            </w:pPr>
            <w:r>
              <w:rPr>
                <w:rFonts w:cs="Calibri"/>
                <w:color w:val="000000"/>
              </w:rPr>
              <w:t>17%</w:t>
            </w:r>
          </w:p>
        </w:tc>
        <w:tc>
          <w:tcPr>
            <w:tcW w:w="1134" w:type="dxa"/>
            <w:vAlign w:val="bottom"/>
          </w:tcPr>
          <w:p w:rsidR="001657CD" w:rsidRDefault="001657CD" w:rsidP="001B1DFA">
            <w:pPr>
              <w:jc w:val="center"/>
              <w:rPr>
                <w:rFonts w:cs="Calibri"/>
                <w:color w:val="000000"/>
              </w:rPr>
            </w:pPr>
            <w:r>
              <w:rPr>
                <w:rFonts w:cs="Calibri"/>
                <w:color w:val="000000"/>
              </w:rPr>
              <w:t>16%</w:t>
            </w:r>
          </w:p>
        </w:tc>
        <w:tc>
          <w:tcPr>
            <w:tcW w:w="1134" w:type="dxa"/>
            <w:vAlign w:val="bottom"/>
          </w:tcPr>
          <w:p w:rsidR="001657CD" w:rsidRDefault="001657CD" w:rsidP="001B1DFA">
            <w:pPr>
              <w:jc w:val="center"/>
              <w:rPr>
                <w:rFonts w:cs="Calibri"/>
                <w:color w:val="000000"/>
              </w:rPr>
            </w:pPr>
            <w:r>
              <w:rPr>
                <w:rFonts w:cs="Calibri"/>
                <w:color w:val="000000"/>
              </w:rPr>
              <w:t>36%</w:t>
            </w:r>
          </w:p>
        </w:tc>
      </w:tr>
      <w:tr w:rsidR="001657CD" w:rsidRPr="0051278F" w:rsidTr="001B1DFA">
        <w:tc>
          <w:tcPr>
            <w:tcW w:w="6345" w:type="dxa"/>
          </w:tcPr>
          <w:p w:rsidR="001657CD" w:rsidRPr="0051278F" w:rsidRDefault="001657CD" w:rsidP="001B1DFA">
            <w:r w:rsidRPr="0051278F">
              <w:t>Gifted</w:t>
            </w:r>
          </w:p>
        </w:tc>
        <w:tc>
          <w:tcPr>
            <w:tcW w:w="993" w:type="dxa"/>
            <w:vAlign w:val="bottom"/>
          </w:tcPr>
          <w:p w:rsidR="001657CD" w:rsidRDefault="001657CD" w:rsidP="001B1DFA">
            <w:pPr>
              <w:jc w:val="center"/>
              <w:rPr>
                <w:rFonts w:cs="Calibri"/>
                <w:color w:val="000000"/>
              </w:rPr>
            </w:pPr>
            <w:r>
              <w:rPr>
                <w:rFonts w:cs="Calibri"/>
                <w:color w:val="000000"/>
              </w:rPr>
              <w:t>1%</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1%</w:t>
            </w:r>
          </w:p>
        </w:tc>
      </w:tr>
      <w:tr w:rsidR="001657CD" w:rsidRPr="0051278F" w:rsidTr="001B1DFA">
        <w:tc>
          <w:tcPr>
            <w:tcW w:w="6345" w:type="dxa"/>
          </w:tcPr>
          <w:p w:rsidR="001657CD" w:rsidRPr="0051278F" w:rsidRDefault="001657CD" w:rsidP="001B1DFA">
            <w:r w:rsidRPr="0051278F">
              <w:t>Homelessness</w:t>
            </w:r>
          </w:p>
        </w:tc>
        <w:tc>
          <w:tcPr>
            <w:tcW w:w="993" w:type="dxa"/>
            <w:vAlign w:val="bottom"/>
          </w:tcPr>
          <w:p w:rsidR="001657CD" w:rsidRDefault="001657CD" w:rsidP="001B1DFA">
            <w:pPr>
              <w:jc w:val="center"/>
              <w:rPr>
                <w:rFonts w:cs="Calibri"/>
                <w:color w:val="000000"/>
              </w:rPr>
            </w:pPr>
            <w:r>
              <w:rPr>
                <w:rFonts w:cs="Calibri"/>
                <w:color w:val="000000"/>
              </w:rPr>
              <w:t>1%</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6%</w:t>
            </w:r>
          </w:p>
        </w:tc>
      </w:tr>
      <w:tr w:rsidR="001657CD" w:rsidRPr="0051278F" w:rsidTr="001B1DFA">
        <w:tc>
          <w:tcPr>
            <w:tcW w:w="6345" w:type="dxa"/>
          </w:tcPr>
          <w:p w:rsidR="001657CD" w:rsidRPr="0051278F" w:rsidRDefault="001657CD" w:rsidP="001B1DFA">
            <w:r w:rsidRPr="0051278F">
              <w:t>In detention/previously in detention</w:t>
            </w:r>
          </w:p>
        </w:tc>
        <w:tc>
          <w:tcPr>
            <w:tcW w:w="993"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1%</w:t>
            </w:r>
          </w:p>
        </w:tc>
        <w:tc>
          <w:tcPr>
            <w:tcW w:w="1134" w:type="dxa"/>
            <w:vAlign w:val="bottom"/>
          </w:tcPr>
          <w:p w:rsidR="001657CD" w:rsidRDefault="001657CD" w:rsidP="001B1DFA">
            <w:pPr>
              <w:jc w:val="center"/>
              <w:rPr>
                <w:rFonts w:cs="Calibri"/>
                <w:color w:val="000000"/>
              </w:rPr>
            </w:pPr>
            <w:r>
              <w:rPr>
                <w:rFonts w:cs="Calibri"/>
                <w:color w:val="000000"/>
              </w:rPr>
              <w:t>4%</w:t>
            </w:r>
          </w:p>
        </w:tc>
      </w:tr>
      <w:tr w:rsidR="001657CD" w:rsidRPr="0051278F" w:rsidTr="001B1DFA">
        <w:tc>
          <w:tcPr>
            <w:tcW w:w="6345" w:type="dxa"/>
          </w:tcPr>
          <w:p w:rsidR="001657CD" w:rsidRPr="0051278F" w:rsidRDefault="001657CD" w:rsidP="001B1DFA">
            <w:r w:rsidRPr="0051278F">
              <w:t>Inadequate family support</w:t>
            </w:r>
          </w:p>
        </w:tc>
        <w:tc>
          <w:tcPr>
            <w:tcW w:w="993" w:type="dxa"/>
            <w:vAlign w:val="bottom"/>
          </w:tcPr>
          <w:p w:rsidR="001657CD" w:rsidRDefault="001657CD" w:rsidP="001B1DFA">
            <w:pPr>
              <w:jc w:val="center"/>
              <w:rPr>
                <w:rFonts w:cs="Calibri"/>
                <w:color w:val="000000"/>
              </w:rPr>
            </w:pPr>
            <w:r>
              <w:rPr>
                <w:rFonts w:cs="Calibri"/>
                <w:color w:val="000000"/>
              </w:rPr>
              <w:t>13%</w:t>
            </w:r>
          </w:p>
        </w:tc>
        <w:tc>
          <w:tcPr>
            <w:tcW w:w="1134" w:type="dxa"/>
            <w:vAlign w:val="bottom"/>
          </w:tcPr>
          <w:p w:rsidR="001657CD" w:rsidRDefault="001657CD" w:rsidP="001B1DFA">
            <w:pPr>
              <w:jc w:val="center"/>
              <w:rPr>
                <w:rFonts w:cs="Calibri"/>
                <w:color w:val="000000"/>
              </w:rPr>
            </w:pPr>
            <w:r>
              <w:rPr>
                <w:rFonts w:cs="Calibri"/>
                <w:color w:val="000000"/>
              </w:rPr>
              <w:t>17%</w:t>
            </w:r>
          </w:p>
        </w:tc>
        <w:tc>
          <w:tcPr>
            <w:tcW w:w="1134" w:type="dxa"/>
            <w:vAlign w:val="bottom"/>
          </w:tcPr>
          <w:p w:rsidR="001657CD" w:rsidRDefault="001657CD" w:rsidP="001B1DFA">
            <w:pPr>
              <w:jc w:val="center"/>
              <w:rPr>
                <w:rFonts w:cs="Calibri"/>
                <w:color w:val="000000"/>
              </w:rPr>
            </w:pPr>
            <w:r>
              <w:rPr>
                <w:rFonts w:cs="Calibri"/>
                <w:color w:val="000000"/>
              </w:rPr>
              <w:t>28%</w:t>
            </w:r>
          </w:p>
        </w:tc>
      </w:tr>
      <w:tr w:rsidR="001657CD" w:rsidRPr="0051278F" w:rsidTr="001B1DFA">
        <w:tc>
          <w:tcPr>
            <w:tcW w:w="6345" w:type="dxa"/>
          </w:tcPr>
          <w:p w:rsidR="001657CD" w:rsidRPr="0051278F" w:rsidRDefault="001657CD" w:rsidP="001B1DFA">
            <w:r w:rsidRPr="0051278F">
              <w:t>Learning Difficulty</w:t>
            </w:r>
          </w:p>
        </w:tc>
        <w:tc>
          <w:tcPr>
            <w:tcW w:w="993" w:type="dxa"/>
            <w:vAlign w:val="bottom"/>
          </w:tcPr>
          <w:p w:rsidR="001657CD" w:rsidRDefault="001657CD" w:rsidP="001B1DFA">
            <w:pPr>
              <w:jc w:val="center"/>
              <w:rPr>
                <w:rFonts w:cs="Calibri"/>
                <w:color w:val="000000"/>
              </w:rPr>
            </w:pPr>
            <w:r>
              <w:rPr>
                <w:rFonts w:cs="Calibri"/>
                <w:color w:val="000000"/>
              </w:rPr>
              <w:t>3%</w:t>
            </w:r>
          </w:p>
        </w:tc>
        <w:tc>
          <w:tcPr>
            <w:tcW w:w="1134" w:type="dxa"/>
            <w:vAlign w:val="bottom"/>
          </w:tcPr>
          <w:p w:rsidR="001657CD" w:rsidRDefault="001657CD" w:rsidP="001B1DFA">
            <w:pPr>
              <w:jc w:val="center"/>
              <w:rPr>
                <w:rFonts w:cs="Calibri"/>
                <w:color w:val="000000"/>
              </w:rPr>
            </w:pPr>
            <w:r>
              <w:rPr>
                <w:rFonts w:cs="Calibri"/>
                <w:color w:val="000000"/>
              </w:rPr>
              <w:t>4%</w:t>
            </w:r>
          </w:p>
        </w:tc>
        <w:tc>
          <w:tcPr>
            <w:tcW w:w="1134" w:type="dxa"/>
            <w:vAlign w:val="bottom"/>
          </w:tcPr>
          <w:p w:rsidR="001657CD" w:rsidRDefault="001657CD" w:rsidP="001B1DFA">
            <w:pPr>
              <w:jc w:val="center"/>
              <w:rPr>
                <w:rFonts w:cs="Calibri"/>
                <w:color w:val="000000"/>
              </w:rPr>
            </w:pPr>
            <w:r>
              <w:rPr>
                <w:rFonts w:cs="Calibri"/>
                <w:color w:val="000000"/>
              </w:rPr>
              <w:t>5%</w:t>
            </w:r>
          </w:p>
        </w:tc>
      </w:tr>
      <w:tr w:rsidR="001657CD" w:rsidRPr="0051278F" w:rsidTr="001B1DFA">
        <w:tc>
          <w:tcPr>
            <w:tcW w:w="6345" w:type="dxa"/>
          </w:tcPr>
          <w:p w:rsidR="001657CD" w:rsidRPr="0051278F" w:rsidRDefault="001657CD" w:rsidP="001B1DFA">
            <w:r w:rsidRPr="0051278F">
              <w:t>Low literacy and/or numeracy</w:t>
            </w:r>
          </w:p>
        </w:tc>
        <w:tc>
          <w:tcPr>
            <w:tcW w:w="993" w:type="dxa"/>
            <w:vAlign w:val="bottom"/>
          </w:tcPr>
          <w:p w:rsidR="001657CD" w:rsidRDefault="001657CD" w:rsidP="001B1DFA">
            <w:pPr>
              <w:jc w:val="center"/>
              <w:rPr>
                <w:rFonts w:cs="Calibri"/>
                <w:color w:val="000000"/>
              </w:rPr>
            </w:pPr>
            <w:r>
              <w:rPr>
                <w:rFonts w:cs="Calibri"/>
                <w:color w:val="000000"/>
              </w:rPr>
              <w:t>48%</w:t>
            </w:r>
          </w:p>
        </w:tc>
        <w:tc>
          <w:tcPr>
            <w:tcW w:w="1134" w:type="dxa"/>
            <w:vAlign w:val="bottom"/>
          </w:tcPr>
          <w:p w:rsidR="001657CD" w:rsidRDefault="001657CD" w:rsidP="001B1DFA">
            <w:pPr>
              <w:jc w:val="center"/>
              <w:rPr>
                <w:rFonts w:cs="Calibri"/>
                <w:color w:val="000000"/>
              </w:rPr>
            </w:pPr>
            <w:r>
              <w:rPr>
                <w:rFonts w:cs="Calibri"/>
                <w:color w:val="000000"/>
              </w:rPr>
              <w:t>55%</w:t>
            </w:r>
          </w:p>
        </w:tc>
        <w:tc>
          <w:tcPr>
            <w:tcW w:w="1134" w:type="dxa"/>
            <w:vAlign w:val="bottom"/>
          </w:tcPr>
          <w:p w:rsidR="001657CD" w:rsidRDefault="001657CD" w:rsidP="001B1DFA">
            <w:pPr>
              <w:jc w:val="center"/>
              <w:rPr>
                <w:rFonts w:cs="Calibri"/>
                <w:color w:val="000000"/>
              </w:rPr>
            </w:pPr>
            <w:r>
              <w:rPr>
                <w:rFonts w:cs="Calibri"/>
                <w:color w:val="000000"/>
              </w:rPr>
              <w:t>56%</w:t>
            </w:r>
          </w:p>
        </w:tc>
      </w:tr>
      <w:tr w:rsidR="001657CD" w:rsidRPr="0051278F" w:rsidTr="001B1DFA">
        <w:tc>
          <w:tcPr>
            <w:tcW w:w="6345" w:type="dxa"/>
          </w:tcPr>
          <w:p w:rsidR="001657CD" w:rsidRPr="0051278F" w:rsidRDefault="001657CD" w:rsidP="001B1DFA">
            <w:r w:rsidRPr="0051278F">
              <w:t>Low Self Esteem</w:t>
            </w:r>
          </w:p>
        </w:tc>
        <w:tc>
          <w:tcPr>
            <w:tcW w:w="993" w:type="dxa"/>
            <w:vAlign w:val="bottom"/>
          </w:tcPr>
          <w:p w:rsidR="001657CD" w:rsidRDefault="001657CD" w:rsidP="001B1DFA">
            <w:pPr>
              <w:jc w:val="center"/>
              <w:rPr>
                <w:rFonts w:cs="Calibri"/>
                <w:color w:val="000000"/>
              </w:rPr>
            </w:pPr>
            <w:r>
              <w:rPr>
                <w:rFonts w:cs="Calibri"/>
                <w:color w:val="000000"/>
              </w:rPr>
              <w:t>58%</w:t>
            </w:r>
          </w:p>
        </w:tc>
        <w:tc>
          <w:tcPr>
            <w:tcW w:w="1134" w:type="dxa"/>
            <w:vAlign w:val="bottom"/>
          </w:tcPr>
          <w:p w:rsidR="001657CD" w:rsidRDefault="001657CD" w:rsidP="001B1DFA">
            <w:pPr>
              <w:jc w:val="center"/>
              <w:rPr>
                <w:rFonts w:cs="Calibri"/>
                <w:color w:val="000000"/>
              </w:rPr>
            </w:pPr>
            <w:r>
              <w:rPr>
                <w:rFonts w:cs="Calibri"/>
                <w:color w:val="000000"/>
              </w:rPr>
              <w:t>60%</w:t>
            </w:r>
          </w:p>
        </w:tc>
        <w:tc>
          <w:tcPr>
            <w:tcW w:w="1134" w:type="dxa"/>
            <w:vAlign w:val="bottom"/>
          </w:tcPr>
          <w:p w:rsidR="001657CD" w:rsidRDefault="001657CD" w:rsidP="001B1DFA">
            <w:pPr>
              <w:jc w:val="center"/>
              <w:rPr>
                <w:rFonts w:cs="Calibri"/>
                <w:color w:val="000000"/>
              </w:rPr>
            </w:pPr>
            <w:r>
              <w:rPr>
                <w:rFonts w:cs="Calibri"/>
                <w:color w:val="000000"/>
              </w:rPr>
              <w:t>62%</w:t>
            </w:r>
          </w:p>
        </w:tc>
      </w:tr>
      <w:tr w:rsidR="001657CD" w:rsidRPr="0051278F" w:rsidTr="001B1DFA">
        <w:tc>
          <w:tcPr>
            <w:tcW w:w="6345" w:type="dxa"/>
          </w:tcPr>
          <w:p w:rsidR="001657CD" w:rsidRPr="0051278F" w:rsidRDefault="001657CD" w:rsidP="001B1DFA">
            <w:r w:rsidRPr="0051278F">
              <w:t>Medical or other health issue</w:t>
            </w:r>
          </w:p>
        </w:tc>
        <w:tc>
          <w:tcPr>
            <w:tcW w:w="993" w:type="dxa"/>
            <w:vAlign w:val="bottom"/>
          </w:tcPr>
          <w:p w:rsidR="001657CD" w:rsidRDefault="001657CD" w:rsidP="001B1DFA">
            <w:pPr>
              <w:jc w:val="center"/>
              <w:rPr>
                <w:rFonts w:cs="Calibri"/>
                <w:color w:val="000000"/>
              </w:rPr>
            </w:pPr>
            <w:r>
              <w:rPr>
                <w:rFonts w:cs="Calibri"/>
                <w:color w:val="000000"/>
              </w:rPr>
              <w:t>6%</w:t>
            </w:r>
          </w:p>
        </w:tc>
        <w:tc>
          <w:tcPr>
            <w:tcW w:w="1134" w:type="dxa"/>
            <w:vAlign w:val="bottom"/>
          </w:tcPr>
          <w:p w:rsidR="001657CD" w:rsidRDefault="001657CD" w:rsidP="001B1DFA">
            <w:pPr>
              <w:jc w:val="center"/>
              <w:rPr>
                <w:rFonts w:cs="Calibri"/>
                <w:color w:val="000000"/>
              </w:rPr>
            </w:pPr>
            <w:r>
              <w:rPr>
                <w:rFonts w:cs="Calibri"/>
                <w:color w:val="000000"/>
              </w:rPr>
              <w:t>8%</w:t>
            </w:r>
          </w:p>
        </w:tc>
        <w:tc>
          <w:tcPr>
            <w:tcW w:w="1134" w:type="dxa"/>
            <w:vAlign w:val="bottom"/>
          </w:tcPr>
          <w:p w:rsidR="001657CD" w:rsidRDefault="001657CD" w:rsidP="001B1DFA">
            <w:pPr>
              <w:jc w:val="center"/>
              <w:rPr>
                <w:rFonts w:cs="Calibri"/>
                <w:color w:val="000000"/>
              </w:rPr>
            </w:pPr>
            <w:r>
              <w:rPr>
                <w:rFonts w:cs="Calibri"/>
                <w:color w:val="000000"/>
              </w:rPr>
              <w:t>10%</w:t>
            </w:r>
          </w:p>
        </w:tc>
      </w:tr>
      <w:tr w:rsidR="001657CD" w:rsidRPr="0051278F" w:rsidTr="001B1DFA">
        <w:tc>
          <w:tcPr>
            <w:tcW w:w="6345" w:type="dxa"/>
          </w:tcPr>
          <w:p w:rsidR="001657CD" w:rsidRPr="0051278F" w:rsidRDefault="001657CD" w:rsidP="001B1DFA">
            <w:r w:rsidRPr="0051278F">
              <w:t>Negative experience(s) with education and training</w:t>
            </w:r>
          </w:p>
        </w:tc>
        <w:tc>
          <w:tcPr>
            <w:tcW w:w="993"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r>
      <w:tr w:rsidR="001657CD" w:rsidRPr="0051278F" w:rsidTr="001B1DFA">
        <w:tc>
          <w:tcPr>
            <w:tcW w:w="6345" w:type="dxa"/>
          </w:tcPr>
          <w:p w:rsidR="001657CD" w:rsidRPr="0051278F" w:rsidRDefault="001657CD" w:rsidP="001B1DFA">
            <w:r w:rsidRPr="0051278F">
              <w:t>Out of home care</w:t>
            </w:r>
          </w:p>
        </w:tc>
        <w:tc>
          <w:tcPr>
            <w:tcW w:w="993" w:type="dxa"/>
            <w:vAlign w:val="bottom"/>
          </w:tcPr>
          <w:p w:rsidR="001657CD" w:rsidRDefault="001657CD" w:rsidP="001B1DFA">
            <w:pPr>
              <w:jc w:val="center"/>
              <w:rPr>
                <w:rFonts w:cs="Calibri"/>
                <w:color w:val="000000"/>
              </w:rPr>
            </w:pPr>
            <w:r>
              <w:rPr>
                <w:rFonts w:cs="Calibri"/>
                <w:color w:val="000000"/>
              </w:rPr>
              <w:t>4%</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6%</w:t>
            </w:r>
          </w:p>
        </w:tc>
      </w:tr>
      <w:tr w:rsidR="001657CD" w:rsidRPr="0051278F" w:rsidTr="001B1DFA">
        <w:tc>
          <w:tcPr>
            <w:tcW w:w="6345" w:type="dxa"/>
          </w:tcPr>
          <w:p w:rsidR="001657CD" w:rsidRPr="0051278F" w:rsidRDefault="001657CD" w:rsidP="001B1DFA">
            <w:r w:rsidRPr="0051278F">
              <w:t>Parent/Pregnancy</w:t>
            </w:r>
          </w:p>
        </w:tc>
        <w:tc>
          <w:tcPr>
            <w:tcW w:w="993" w:type="dxa"/>
            <w:vAlign w:val="bottom"/>
          </w:tcPr>
          <w:p w:rsidR="001657CD" w:rsidRDefault="001657CD" w:rsidP="001B1DFA">
            <w:pPr>
              <w:jc w:val="center"/>
              <w:rPr>
                <w:rFonts w:cs="Calibri"/>
                <w:color w:val="000000"/>
              </w:rPr>
            </w:pPr>
            <w:r>
              <w:rPr>
                <w:rFonts w:cs="Calibri"/>
                <w:color w:val="000000"/>
              </w:rPr>
              <w:t>1%</w:t>
            </w:r>
          </w:p>
        </w:tc>
        <w:tc>
          <w:tcPr>
            <w:tcW w:w="1134" w:type="dxa"/>
            <w:vAlign w:val="bottom"/>
          </w:tcPr>
          <w:p w:rsidR="001657CD" w:rsidRDefault="001657CD" w:rsidP="001B1DFA">
            <w:pPr>
              <w:jc w:val="center"/>
              <w:rPr>
                <w:rFonts w:cs="Calibri"/>
                <w:color w:val="000000"/>
              </w:rPr>
            </w:pPr>
            <w:r>
              <w:rPr>
                <w:rFonts w:cs="Calibri"/>
                <w:color w:val="000000"/>
              </w:rPr>
              <w:t>1%</w:t>
            </w:r>
          </w:p>
        </w:tc>
        <w:tc>
          <w:tcPr>
            <w:tcW w:w="1134" w:type="dxa"/>
            <w:vAlign w:val="bottom"/>
          </w:tcPr>
          <w:p w:rsidR="001657CD" w:rsidRDefault="001657CD" w:rsidP="001B1DFA">
            <w:pPr>
              <w:jc w:val="center"/>
              <w:rPr>
                <w:rFonts w:cs="Calibri"/>
                <w:color w:val="000000"/>
              </w:rPr>
            </w:pPr>
            <w:r>
              <w:rPr>
                <w:rFonts w:cs="Calibri"/>
                <w:color w:val="000000"/>
              </w:rPr>
              <w:t>5%</w:t>
            </w:r>
          </w:p>
        </w:tc>
      </w:tr>
      <w:tr w:rsidR="001657CD" w:rsidRPr="0051278F" w:rsidTr="001B1DFA">
        <w:tc>
          <w:tcPr>
            <w:tcW w:w="6345" w:type="dxa"/>
          </w:tcPr>
          <w:p w:rsidR="001657CD" w:rsidRPr="0051278F" w:rsidRDefault="001657CD" w:rsidP="001B1DFA">
            <w:r w:rsidRPr="0051278F">
              <w:t>Petrol sniffing</w:t>
            </w:r>
          </w:p>
        </w:tc>
        <w:tc>
          <w:tcPr>
            <w:tcW w:w="993"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r>
      <w:tr w:rsidR="001657CD" w:rsidRPr="0051278F" w:rsidTr="001B1DFA">
        <w:tc>
          <w:tcPr>
            <w:tcW w:w="6345" w:type="dxa"/>
          </w:tcPr>
          <w:p w:rsidR="001657CD" w:rsidRPr="0051278F" w:rsidRDefault="001657CD" w:rsidP="001B1DFA">
            <w:r w:rsidRPr="0051278F">
              <w:t>Socialisation issues</w:t>
            </w:r>
          </w:p>
        </w:tc>
        <w:tc>
          <w:tcPr>
            <w:tcW w:w="993" w:type="dxa"/>
            <w:vAlign w:val="bottom"/>
          </w:tcPr>
          <w:p w:rsidR="001657CD" w:rsidRDefault="001657CD" w:rsidP="001B1DFA">
            <w:pPr>
              <w:jc w:val="center"/>
              <w:rPr>
                <w:rFonts w:cs="Calibri"/>
                <w:color w:val="000000"/>
              </w:rPr>
            </w:pPr>
            <w:r>
              <w:rPr>
                <w:rFonts w:cs="Calibri"/>
                <w:color w:val="000000"/>
              </w:rPr>
              <w:t>52%</w:t>
            </w:r>
          </w:p>
        </w:tc>
        <w:tc>
          <w:tcPr>
            <w:tcW w:w="1134" w:type="dxa"/>
            <w:vAlign w:val="bottom"/>
          </w:tcPr>
          <w:p w:rsidR="001657CD" w:rsidRDefault="001657CD" w:rsidP="001B1DFA">
            <w:pPr>
              <w:jc w:val="center"/>
              <w:rPr>
                <w:rFonts w:cs="Calibri"/>
                <w:color w:val="000000"/>
              </w:rPr>
            </w:pPr>
            <w:r>
              <w:rPr>
                <w:rFonts w:cs="Calibri"/>
                <w:color w:val="000000"/>
              </w:rPr>
              <w:t>47%</w:t>
            </w:r>
          </w:p>
        </w:tc>
        <w:tc>
          <w:tcPr>
            <w:tcW w:w="1134" w:type="dxa"/>
            <w:vAlign w:val="bottom"/>
          </w:tcPr>
          <w:p w:rsidR="001657CD" w:rsidRDefault="001657CD" w:rsidP="001B1DFA">
            <w:pPr>
              <w:jc w:val="center"/>
              <w:rPr>
                <w:rFonts w:cs="Calibri"/>
                <w:color w:val="000000"/>
              </w:rPr>
            </w:pPr>
            <w:r>
              <w:rPr>
                <w:rFonts w:cs="Calibri"/>
                <w:color w:val="000000"/>
              </w:rPr>
              <w:t>53%</w:t>
            </w:r>
          </w:p>
        </w:tc>
      </w:tr>
      <w:tr w:rsidR="001657CD" w:rsidRPr="0051278F" w:rsidTr="001B1DFA">
        <w:tc>
          <w:tcPr>
            <w:tcW w:w="6345" w:type="dxa"/>
          </w:tcPr>
          <w:p w:rsidR="001657CD" w:rsidRPr="0051278F" w:rsidRDefault="001657CD" w:rsidP="001B1DFA">
            <w:r w:rsidRPr="0051278F">
              <w:t>Suspected or diagnosed mental health issue</w:t>
            </w:r>
          </w:p>
        </w:tc>
        <w:tc>
          <w:tcPr>
            <w:tcW w:w="993" w:type="dxa"/>
            <w:vAlign w:val="bottom"/>
          </w:tcPr>
          <w:p w:rsidR="001657CD" w:rsidRDefault="001657CD" w:rsidP="001B1DFA">
            <w:pPr>
              <w:jc w:val="center"/>
              <w:rPr>
                <w:rFonts w:cs="Calibri"/>
                <w:color w:val="000000"/>
              </w:rPr>
            </w:pPr>
            <w:r>
              <w:rPr>
                <w:rFonts w:cs="Calibri"/>
                <w:color w:val="000000"/>
              </w:rPr>
              <w:t>12%</w:t>
            </w:r>
          </w:p>
        </w:tc>
        <w:tc>
          <w:tcPr>
            <w:tcW w:w="1134" w:type="dxa"/>
            <w:vAlign w:val="bottom"/>
          </w:tcPr>
          <w:p w:rsidR="001657CD" w:rsidRDefault="001657CD" w:rsidP="001B1DFA">
            <w:pPr>
              <w:jc w:val="center"/>
              <w:rPr>
                <w:rFonts w:cs="Calibri"/>
                <w:color w:val="000000"/>
              </w:rPr>
            </w:pPr>
            <w:r>
              <w:rPr>
                <w:rFonts w:cs="Calibri"/>
                <w:color w:val="000000"/>
              </w:rPr>
              <w:t>17%</w:t>
            </w:r>
          </w:p>
        </w:tc>
        <w:tc>
          <w:tcPr>
            <w:tcW w:w="1134" w:type="dxa"/>
            <w:vAlign w:val="bottom"/>
          </w:tcPr>
          <w:p w:rsidR="001657CD" w:rsidRDefault="001657CD" w:rsidP="001B1DFA">
            <w:pPr>
              <w:jc w:val="center"/>
              <w:rPr>
                <w:rFonts w:cs="Calibri"/>
                <w:color w:val="000000"/>
              </w:rPr>
            </w:pPr>
            <w:r>
              <w:rPr>
                <w:rFonts w:cs="Calibri"/>
                <w:color w:val="000000"/>
              </w:rPr>
              <w:t>23%</w:t>
            </w:r>
          </w:p>
        </w:tc>
      </w:tr>
      <w:tr w:rsidR="001657CD" w:rsidRPr="0051278F" w:rsidTr="001B1DFA">
        <w:tc>
          <w:tcPr>
            <w:tcW w:w="6345" w:type="dxa"/>
          </w:tcPr>
          <w:p w:rsidR="001657CD" w:rsidRPr="0051278F" w:rsidRDefault="001657CD" w:rsidP="001B1DFA">
            <w:r w:rsidRPr="0051278F">
              <w:t>Unstable living arrangements</w:t>
            </w:r>
          </w:p>
        </w:tc>
        <w:tc>
          <w:tcPr>
            <w:tcW w:w="993" w:type="dxa"/>
            <w:vAlign w:val="bottom"/>
          </w:tcPr>
          <w:p w:rsidR="001657CD" w:rsidRDefault="001657CD" w:rsidP="001B1DFA">
            <w:pPr>
              <w:jc w:val="center"/>
              <w:rPr>
                <w:rFonts w:cs="Calibri"/>
                <w:color w:val="000000"/>
              </w:rPr>
            </w:pPr>
            <w:r>
              <w:rPr>
                <w:rFonts w:cs="Calibri"/>
                <w:color w:val="000000"/>
              </w:rPr>
              <w:t>6%</w:t>
            </w:r>
          </w:p>
        </w:tc>
        <w:tc>
          <w:tcPr>
            <w:tcW w:w="1134" w:type="dxa"/>
            <w:vAlign w:val="bottom"/>
          </w:tcPr>
          <w:p w:rsidR="001657CD" w:rsidRDefault="001657CD" w:rsidP="001B1DFA">
            <w:pPr>
              <w:jc w:val="center"/>
              <w:rPr>
                <w:rFonts w:cs="Calibri"/>
                <w:color w:val="000000"/>
              </w:rPr>
            </w:pPr>
            <w:r>
              <w:rPr>
                <w:rFonts w:cs="Calibri"/>
                <w:color w:val="000000"/>
              </w:rPr>
              <w:t>10%</w:t>
            </w:r>
          </w:p>
        </w:tc>
        <w:tc>
          <w:tcPr>
            <w:tcW w:w="1134" w:type="dxa"/>
            <w:vAlign w:val="bottom"/>
          </w:tcPr>
          <w:p w:rsidR="001657CD" w:rsidRDefault="001657CD" w:rsidP="001B1DFA">
            <w:pPr>
              <w:jc w:val="center"/>
              <w:rPr>
                <w:rFonts w:cs="Calibri"/>
                <w:color w:val="000000"/>
              </w:rPr>
            </w:pPr>
            <w:r>
              <w:rPr>
                <w:rFonts w:cs="Calibri"/>
                <w:color w:val="000000"/>
              </w:rPr>
              <w:t>22%</w:t>
            </w:r>
          </w:p>
        </w:tc>
      </w:tr>
      <w:tr w:rsidR="001657CD" w:rsidRPr="0051278F" w:rsidTr="001B1DFA">
        <w:tc>
          <w:tcPr>
            <w:tcW w:w="6345" w:type="dxa"/>
          </w:tcPr>
          <w:p w:rsidR="001657CD" w:rsidRPr="0051278F" w:rsidRDefault="001657CD" w:rsidP="001B1DFA">
            <w:r w:rsidRPr="0051278F">
              <w:t>Volatile substance misuse</w:t>
            </w:r>
          </w:p>
        </w:tc>
        <w:tc>
          <w:tcPr>
            <w:tcW w:w="993"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c>
          <w:tcPr>
            <w:tcW w:w="1134" w:type="dxa"/>
            <w:vAlign w:val="bottom"/>
          </w:tcPr>
          <w:p w:rsidR="001657CD" w:rsidRDefault="001657CD" w:rsidP="001B1DFA">
            <w:pPr>
              <w:jc w:val="center"/>
              <w:rPr>
                <w:rFonts w:cs="Calibri"/>
                <w:color w:val="000000"/>
              </w:rPr>
            </w:pPr>
            <w:r>
              <w:rPr>
                <w:rFonts w:cs="Calibri"/>
                <w:color w:val="000000"/>
              </w:rPr>
              <w:t>0%</w:t>
            </w:r>
          </w:p>
        </w:tc>
      </w:tr>
      <w:tr w:rsidR="001657CD" w:rsidRPr="0051278F" w:rsidTr="001B1DFA">
        <w:tc>
          <w:tcPr>
            <w:tcW w:w="6345" w:type="dxa"/>
          </w:tcPr>
          <w:p w:rsidR="001657CD" w:rsidRPr="0051278F" w:rsidRDefault="001657CD" w:rsidP="001B1DFA">
            <w:r>
              <w:t>Young Carer responsibilities</w:t>
            </w:r>
          </w:p>
        </w:tc>
        <w:tc>
          <w:tcPr>
            <w:tcW w:w="993"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2%</w:t>
            </w:r>
          </w:p>
        </w:tc>
        <w:tc>
          <w:tcPr>
            <w:tcW w:w="1134" w:type="dxa"/>
            <w:vAlign w:val="bottom"/>
          </w:tcPr>
          <w:p w:rsidR="001657CD" w:rsidRDefault="001657CD" w:rsidP="001B1DFA">
            <w:pPr>
              <w:jc w:val="center"/>
              <w:rPr>
                <w:rFonts w:cs="Calibri"/>
                <w:color w:val="000000"/>
              </w:rPr>
            </w:pPr>
            <w:r>
              <w:rPr>
                <w:rFonts w:cs="Calibri"/>
                <w:color w:val="000000"/>
              </w:rPr>
              <w:t>3%</w:t>
            </w:r>
          </w:p>
        </w:tc>
      </w:tr>
    </w:tbl>
    <w:p w:rsidR="001657CD" w:rsidRDefault="001657CD" w:rsidP="001657CD">
      <w:pPr>
        <w:rPr>
          <w:rFonts w:cs="Calibri"/>
          <w:bCs/>
          <w:color w:val="000000"/>
        </w:rPr>
      </w:pPr>
    </w:p>
    <w:p w:rsidR="001657CD" w:rsidRDefault="001657CD" w:rsidP="001657CD">
      <w:pPr>
        <w:rPr>
          <w:rFonts w:cs="Calibri"/>
          <w:bCs/>
          <w:color w:val="000000"/>
        </w:rPr>
      </w:pPr>
      <w:r>
        <w:rPr>
          <w:rFonts w:cs="Calibri"/>
          <w:bCs/>
          <w:color w:val="000000"/>
        </w:rPr>
        <w:br w:type="page"/>
      </w:r>
    </w:p>
    <w:p w:rsidR="001657CD" w:rsidRDefault="001657CD" w:rsidP="001657CD">
      <w:pPr>
        <w:pStyle w:val="Caption"/>
        <w:keepNext/>
      </w:pPr>
      <w:r>
        <w:lastRenderedPageBreak/>
        <w:t>Figure 8: National Participant Barriers by Connection Level</w:t>
      </w:r>
      <w:r w:rsidRPr="009533F5">
        <w:rPr>
          <w:noProof/>
        </w:rPr>
        <w:drawing>
          <wp:inline distT="0" distB="0" distL="0" distR="0" wp14:anchorId="52EB7288" wp14:editId="2D959C55">
            <wp:extent cx="6139543" cy="8847117"/>
            <wp:effectExtent l="0" t="0" r="13970" b="11430"/>
            <wp:docPr id="58" name="Chart 32" descr="National percentage of participants who have been identified as having a barrier, graphic representation of table 10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657CD" w:rsidRPr="001553A9" w:rsidRDefault="001657CD" w:rsidP="00ED3CBC">
      <w:pPr>
        <w:pStyle w:val="Heading3"/>
      </w:pPr>
      <w:r>
        <w:lastRenderedPageBreak/>
        <w:t>Table 10</w:t>
      </w:r>
      <w:r w:rsidRPr="001553A9">
        <w:t xml:space="preserve">: </w:t>
      </w:r>
      <w:r>
        <w:t xml:space="preserve">National - </w:t>
      </w:r>
      <w:r w:rsidRPr="001553A9">
        <w:t>Percentage of participants identified as having barrier, by Connection Level</w:t>
      </w:r>
    </w:p>
    <w:tbl>
      <w:tblPr>
        <w:tblStyle w:val="TableGrid"/>
        <w:tblW w:w="0" w:type="auto"/>
        <w:tblLayout w:type="fixed"/>
        <w:tblLook w:val="04A0" w:firstRow="1" w:lastRow="0" w:firstColumn="1" w:lastColumn="0" w:noHBand="0" w:noVBand="1"/>
        <w:tblCaption w:val="Table 10: National - Percentage of participants identified as having barrier, by Connection Level"/>
        <w:tblDescription w:val="National - Percentage of participants identified as having barrier by connection level"/>
      </w:tblPr>
      <w:tblGrid>
        <w:gridCol w:w="5353"/>
        <w:gridCol w:w="1418"/>
        <w:gridCol w:w="1417"/>
        <w:gridCol w:w="1559"/>
      </w:tblGrid>
      <w:tr w:rsidR="001657CD" w:rsidRPr="001553A9" w:rsidTr="00D35240">
        <w:trPr>
          <w:tblHeader/>
        </w:trPr>
        <w:tc>
          <w:tcPr>
            <w:tcW w:w="5353" w:type="dxa"/>
            <w:shd w:val="clear" w:color="auto" w:fill="C6D9F1" w:themeFill="text2" w:themeFillTint="33"/>
            <w:vAlign w:val="center"/>
          </w:tcPr>
          <w:p w:rsidR="001657CD" w:rsidRPr="001553A9" w:rsidRDefault="001657CD" w:rsidP="001B1DFA">
            <w:pPr>
              <w:jc w:val="center"/>
              <w:rPr>
                <w:b/>
              </w:rPr>
            </w:pPr>
            <w:r w:rsidRPr="001553A9">
              <w:rPr>
                <w:b/>
              </w:rPr>
              <w:t>Barrier</w:t>
            </w:r>
          </w:p>
        </w:tc>
        <w:tc>
          <w:tcPr>
            <w:tcW w:w="1418" w:type="dxa"/>
            <w:shd w:val="clear" w:color="auto" w:fill="C6D9F1" w:themeFill="text2" w:themeFillTint="33"/>
          </w:tcPr>
          <w:p w:rsidR="001657CD" w:rsidRPr="001553A9" w:rsidRDefault="001657CD" w:rsidP="001B1DFA">
            <w:pPr>
              <w:jc w:val="center"/>
              <w:rPr>
                <w:b/>
              </w:rPr>
            </w:pPr>
            <w:r w:rsidRPr="001553A9">
              <w:rPr>
                <w:b/>
              </w:rPr>
              <w:t>National Level 1</w:t>
            </w:r>
          </w:p>
        </w:tc>
        <w:tc>
          <w:tcPr>
            <w:tcW w:w="1417" w:type="dxa"/>
            <w:shd w:val="clear" w:color="auto" w:fill="C6D9F1" w:themeFill="text2" w:themeFillTint="33"/>
          </w:tcPr>
          <w:p w:rsidR="001657CD" w:rsidRPr="001553A9" w:rsidRDefault="001657CD" w:rsidP="001B1DFA">
            <w:pPr>
              <w:jc w:val="center"/>
              <w:rPr>
                <w:b/>
              </w:rPr>
            </w:pPr>
            <w:r w:rsidRPr="001553A9">
              <w:rPr>
                <w:b/>
              </w:rPr>
              <w:t xml:space="preserve">National Level </w:t>
            </w:r>
            <w:proofErr w:type="spellStart"/>
            <w:r w:rsidRPr="001553A9">
              <w:rPr>
                <w:b/>
              </w:rPr>
              <w:t>2a</w:t>
            </w:r>
            <w:proofErr w:type="spellEnd"/>
          </w:p>
        </w:tc>
        <w:tc>
          <w:tcPr>
            <w:tcW w:w="1559" w:type="dxa"/>
            <w:shd w:val="clear" w:color="auto" w:fill="C6D9F1" w:themeFill="text2" w:themeFillTint="33"/>
          </w:tcPr>
          <w:p w:rsidR="001657CD" w:rsidRPr="001553A9" w:rsidRDefault="001657CD" w:rsidP="001B1DFA">
            <w:pPr>
              <w:jc w:val="center"/>
              <w:rPr>
                <w:b/>
              </w:rPr>
            </w:pPr>
            <w:r w:rsidRPr="001553A9">
              <w:rPr>
                <w:b/>
              </w:rPr>
              <w:t xml:space="preserve">National Level </w:t>
            </w:r>
            <w:proofErr w:type="spellStart"/>
            <w:r w:rsidRPr="001553A9">
              <w:rPr>
                <w:b/>
              </w:rPr>
              <w:t>2b</w:t>
            </w:r>
            <w:proofErr w:type="spellEnd"/>
          </w:p>
        </w:tc>
      </w:tr>
      <w:tr w:rsidR="001657CD" w:rsidTr="001B1DFA">
        <w:tc>
          <w:tcPr>
            <w:tcW w:w="5353" w:type="dxa"/>
          </w:tcPr>
          <w:p w:rsidR="001657CD" w:rsidRPr="0051278F" w:rsidRDefault="001657CD" w:rsidP="001B1DFA">
            <w:r w:rsidRPr="0051278F">
              <w:t>Abuse/Domestic Violence issue</w:t>
            </w:r>
          </w:p>
        </w:tc>
        <w:tc>
          <w:tcPr>
            <w:tcW w:w="1418" w:type="dxa"/>
          </w:tcPr>
          <w:p w:rsidR="001657CD" w:rsidRPr="0051278F" w:rsidRDefault="001657CD" w:rsidP="001B1DFA">
            <w:pPr>
              <w:jc w:val="center"/>
            </w:pPr>
            <w:r w:rsidRPr="0051278F">
              <w:t>6%</w:t>
            </w:r>
          </w:p>
        </w:tc>
        <w:tc>
          <w:tcPr>
            <w:tcW w:w="1417" w:type="dxa"/>
          </w:tcPr>
          <w:p w:rsidR="001657CD" w:rsidRPr="0051278F" w:rsidRDefault="001657CD" w:rsidP="001B1DFA">
            <w:pPr>
              <w:jc w:val="center"/>
            </w:pPr>
            <w:r w:rsidRPr="0051278F">
              <w:t>10%</w:t>
            </w:r>
          </w:p>
        </w:tc>
        <w:tc>
          <w:tcPr>
            <w:tcW w:w="1559" w:type="dxa"/>
          </w:tcPr>
          <w:p w:rsidR="001657CD" w:rsidRPr="0051278F" w:rsidRDefault="001657CD" w:rsidP="001B1DFA">
            <w:pPr>
              <w:jc w:val="center"/>
            </w:pPr>
            <w:r w:rsidRPr="0051278F">
              <w:t>12%</w:t>
            </w:r>
          </w:p>
        </w:tc>
      </w:tr>
      <w:tr w:rsidR="001657CD" w:rsidTr="001B1DFA">
        <w:tc>
          <w:tcPr>
            <w:tcW w:w="5353" w:type="dxa"/>
          </w:tcPr>
          <w:p w:rsidR="001657CD" w:rsidRPr="0051278F" w:rsidRDefault="001657CD" w:rsidP="001B1DFA">
            <w:r w:rsidRPr="0051278F">
              <w:t>Alcohol and/or drug misuse</w:t>
            </w:r>
          </w:p>
        </w:tc>
        <w:tc>
          <w:tcPr>
            <w:tcW w:w="1418" w:type="dxa"/>
          </w:tcPr>
          <w:p w:rsidR="001657CD" w:rsidRPr="0051278F" w:rsidRDefault="001657CD" w:rsidP="001B1DFA">
            <w:pPr>
              <w:jc w:val="center"/>
            </w:pPr>
            <w:r w:rsidRPr="0051278F">
              <w:t>9%</w:t>
            </w:r>
          </w:p>
        </w:tc>
        <w:tc>
          <w:tcPr>
            <w:tcW w:w="1417" w:type="dxa"/>
          </w:tcPr>
          <w:p w:rsidR="001657CD" w:rsidRPr="0051278F" w:rsidRDefault="001657CD" w:rsidP="001B1DFA">
            <w:pPr>
              <w:jc w:val="center"/>
            </w:pPr>
            <w:r w:rsidRPr="0051278F">
              <w:t>19%</w:t>
            </w:r>
          </w:p>
        </w:tc>
        <w:tc>
          <w:tcPr>
            <w:tcW w:w="1559" w:type="dxa"/>
          </w:tcPr>
          <w:p w:rsidR="001657CD" w:rsidRPr="0051278F" w:rsidRDefault="001657CD" w:rsidP="001B1DFA">
            <w:pPr>
              <w:jc w:val="center"/>
            </w:pPr>
            <w:r w:rsidRPr="0051278F">
              <w:t>28%</w:t>
            </w:r>
          </w:p>
        </w:tc>
      </w:tr>
      <w:tr w:rsidR="001657CD" w:rsidTr="001B1DFA">
        <w:tc>
          <w:tcPr>
            <w:tcW w:w="5353" w:type="dxa"/>
          </w:tcPr>
          <w:p w:rsidR="001657CD" w:rsidRPr="0051278F" w:rsidRDefault="001657CD" w:rsidP="001B1DFA">
            <w:r w:rsidRPr="0051278F">
              <w:t>Anger management issues</w:t>
            </w:r>
          </w:p>
        </w:tc>
        <w:tc>
          <w:tcPr>
            <w:tcW w:w="1418" w:type="dxa"/>
          </w:tcPr>
          <w:p w:rsidR="001657CD" w:rsidRPr="0051278F" w:rsidRDefault="001657CD" w:rsidP="001B1DFA">
            <w:pPr>
              <w:jc w:val="center"/>
            </w:pPr>
            <w:r w:rsidRPr="0051278F">
              <w:t>28%</w:t>
            </w:r>
          </w:p>
        </w:tc>
        <w:tc>
          <w:tcPr>
            <w:tcW w:w="1417" w:type="dxa"/>
          </w:tcPr>
          <w:p w:rsidR="001657CD" w:rsidRPr="0051278F" w:rsidRDefault="001657CD" w:rsidP="001B1DFA">
            <w:pPr>
              <w:jc w:val="center"/>
            </w:pPr>
            <w:r w:rsidRPr="0051278F">
              <w:t>36%</w:t>
            </w:r>
          </w:p>
        </w:tc>
        <w:tc>
          <w:tcPr>
            <w:tcW w:w="1559" w:type="dxa"/>
          </w:tcPr>
          <w:p w:rsidR="001657CD" w:rsidRPr="0051278F" w:rsidRDefault="001657CD" w:rsidP="001B1DFA">
            <w:pPr>
              <w:jc w:val="center"/>
            </w:pPr>
            <w:r w:rsidRPr="0051278F">
              <w:t>28%</w:t>
            </w:r>
          </w:p>
        </w:tc>
      </w:tr>
      <w:tr w:rsidR="001657CD" w:rsidTr="001B1DFA">
        <w:tc>
          <w:tcPr>
            <w:tcW w:w="5353" w:type="dxa"/>
          </w:tcPr>
          <w:p w:rsidR="001657CD" w:rsidRPr="0051278F" w:rsidRDefault="001657CD" w:rsidP="001B1DFA">
            <w:r w:rsidRPr="0051278F">
              <w:t>Behavioural problems</w:t>
            </w:r>
          </w:p>
        </w:tc>
        <w:tc>
          <w:tcPr>
            <w:tcW w:w="1418" w:type="dxa"/>
          </w:tcPr>
          <w:p w:rsidR="001657CD" w:rsidRPr="0051278F" w:rsidRDefault="001657CD" w:rsidP="001B1DFA">
            <w:pPr>
              <w:jc w:val="center"/>
            </w:pPr>
            <w:r w:rsidRPr="0051278F">
              <w:t>57%</w:t>
            </w:r>
          </w:p>
        </w:tc>
        <w:tc>
          <w:tcPr>
            <w:tcW w:w="1417" w:type="dxa"/>
          </w:tcPr>
          <w:p w:rsidR="001657CD" w:rsidRPr="0051278F" w:rsidRDefault="001657CD" w:rsidP="001B1DFA">
            <w:pPr>
              <w:jc w:val="center"/>
            </w:pPr>
            <w:r w:rsidRPr="0051278F">
              <w:t>61%</w:t>
            </w:r>
          </w:p>
        </w:tc>
        <w:tc>
          <w:tcPr>
            <w:tcW w:w="1559" w:type="dxa"/>
          </w:tcPr>
          <w:p w:rsidR="001657CD" w:rsidRPr="0051278F" w:rsidRDefault="001657CD" w:rsidP="001B1DFA">
            <w:pPr>
              <w:jc w:val="center"/>
            </w:pPr>
            <w:r w:rsidRPr="0051278F">
              <w:t>43%</w:t>
            </w:r>
          </w:p>
        </w:tc>
      </w:tr>
      <w:tr w:rsidR="001657CD" w:rsidTr="001B1DFA">
        <w:tc>
          <w:tcPr>
            <w:tcW w:w="5353" w:type="dxa"/>
          </w:tcPr>
          <w:p w:rsidR="001657CD" w:rsidRPr="0051278F" w:rsidRDefault="001657CD" w:rsidP="001B1DFA">
            <w:r w:rsidRPr="0051278F">
              <w:t>Bullying</w:t>
            </w:r>
          </w:p>
        </w:tc>
        <w:tc>
          <w:tcPr>
            <w:tcW w:w="1418" w:type="dxa"/>
          </w:tcPr>
          <w:p w:rsidR="001657CD" w:rsidRPr="0051278F" w:rsidRDefault="001657CD" w:rsidP="001B1DFA">
            <w:pPr>
              <w:jc w:val="center"/>
            </w:pPr>
            <w:r w:rsidRPr="0051278F">
              <w:t>26%</w:t>
            </w:r>
          </w:p>
        </w:tc>
        <w:tc>
          <w:tcPr>
            <w:tcW w:w="1417" w:type="dxa"/>
          </w:tcPr>
          <w:p w:rsidR="001657CD" w:rsidRPr="0051278F" w:rsidRDefault="001657CD" w:rsidP="001B1DFA">
            <w:pPr>
              <w:jc w:val="center"/>
            </w:pPr>
            <w:r w:rsidRPr="0051278F">
              <w:t>26%</w:t>
            </w:r>
          </w:p>
        </w:tc>
        <w:tc>
          <w:tcPr>
            <w:tcW w:w="1559" w:type="dxa"/>
          </w:tcPr>
          <w:p w:rsidR="001657CD" w:rsidRPr="0051278F" w:rsidRDefault="001657CD" w:rsidP="001B1DFA">
            <w:pPr>
              <w:jc w:val="center"/>
            </w:pPr>
            <w:r w:rsidRPr="0051278F">
              <w:t>21%</w:t>
            </w:r>
          </w:p>
        </w:tc>
      </w:tr>
      <w:tr w:rsidR="001657CD" w:rsidTr="001B1DFA">
        <w:tc>
          <w:tcPr>
            <w:tcW w:w="5353" w:type="dxa"/>
          </w:tcPr>
          <w:p w:rsidR="001657CD" w:rsidRPr="0051278F" w:rsidRDefault="001657CD" w:rsidP="001B1DFA">
            <w:r w:rsidRPr="0051278F">
              <w:t>Critical life event</w:t>
            </w:r>
          </w:p>
        </w:tc>
        <w:tc>
          <w:tcPr>
            <w:tcW w:w="1418" w:type="dxa"/>
          </w:tcPr>
          <w:p w:rsidR="001657CD" w:rsidRPr="0051278F" w:rsidRDefault="001657CD" w:rsidP="001B1DFA">
            <w:pPr>
              <w:jc w:val="center"/>
            </w:pPr>
            <w:r w:rsidRPr="0051278F">
              <w:t>11%</w:t>
            </w:r>
          </w:p>
        </w:tc>
        <w:tc>
          <w:tcPr>
            <w:tcW w:w="1417" w:type="dxa"/>
          </w:tcPr>
          <w:p w:rsidR="001657CD" w:rsidRPr="0051278F" w:rsidRDefault="001657CD" w:rsidP="001B1DFA">
            <w:pPr>
              <w:jc w:val="center"/>
            </w:pPr>
            <w:r w:rsidRPr="0051278F">
              <w:t>16%</w:t>
            </w:r>
          </w:p>
        </w:tc>
        <w:tc>
          <w:tcPr>
            <w:tcW w:w="1559" w:type="dxa"/>
          </w:tcPr>
          <w:p w:rsidR="001657CD" w:rsidRPr="0051278F" w:rsidRDefault="001657CD" w:rsidP="001B1DFA">
            <w:pPr>
              <w:jc w:val="center"/>
            </w:pPr>
            <w:r w:rsidRPr="0051278F">
              <w:t>17%</w:t>
            </w:r>
          </w:p>
        </w:tc>
      </w:tr>
      <w:tr w:rsidR="001657CD" w:rsidTr="001B1DFA">
        <w:tc>
          <w:tcPr>
            <w:tcW w:w="5353" w:type="dxa"/>
          </w:tcPr>
          <w:p w:rsidR="001657CD" w:rsidRPr="0051278F" w:rsidRDefault="001657CD" w:rsidP="001B1DFA">
            <w:r w:rsidRPr="0051278F">
              <w:t>Current or previous Juvenile Justice Orders</w:t>
            </w:r>
          </w:p>
        </w:tc>
        <w:tc>
          <w:tcPr>
            <w:tcW w:w="1418" w:type="dxa"/>
          </w:tcPr>
          <w:p w:rsidR="001657CD" w:rsidRPr="0051278F" w:rsidRDefault="001657CD" w:rsidP="001B1DFA">
            <w:pPr>
              <w:jc w:val="center"/>
            </w:pPr>
            <w:r w:rsidRPr="0051278F">
              <w:t>3%</w:t>
            </w:r>
          </w:p>
        </w:tc>
        <w:tc>
          <w:tcPr>
            <w:tcW w:w="1417" w:type="dxa"/>
          </w:tcPr>
          <w:p w:rsidR="001657CD" w:rsidRPr="0051278F" w:rsidRDefault="001657CD" w:rsidP="001B1DFA">
            <w:pPr>
              <w:jc w:val="center"/>
            </w:pPr>
            <w:r w:rsidRPr="0051278F">
              <w:t>8%</w:t>
            </w:r>
          </w:p>
        </w:tc>
        <w:tc>
          <w:tcPr>
            <w:tcW w:w="1559" w:type="dxa"/>
          </w:tcPr>
          <w:p w:rsidR="001657CD" w:rsidRPr="0051278F" w:rsidRDefault="001657CD" w:rsidP="001B1DFA">
            <w:pPr>
              <w:jc w:val="center"/>
            </w:pPr>
            <w:r w:rsidRPr="0051278F">
              <w:t>18%</w:t>
            </w:r>
          </w:p>
        </w:tc>
      </w:tr>
      <w:tr w:rsidR="001657CD" w:rsidTr="001B1DFA">
        <w:tc>
          <w:tcPr>
            <w:tcW w:w="5353" w:type="dxa"/>
          </w:tcPr>
          <w:p w:rsidR="001657CD" w:rsidRPr="0051278F" w:rsidRDefault="001657CD" w:rsidP="001B1DFA">
            <w:r w:rsidRPr="0051278F">
              <w:t>Disability</w:t>
            </w:r>
          </w:p>
        </w:tc>
        <w:tc>
          <w:tcPr>
            <w:tcW w:w="1418" w:type="dxa"/>
          </w:tcPr>
          <w:p w:rsidR="001657CD" w:rsidRPr="0051278F" w:rsidRDefault="001657CD" w:rsidP="001B1DFA">
            <w:pPr>
              <w:jc w:val="center"/>
            </w:pPr>
            <w:r w:rsidRPr="0051278F">
              <w:t>4%</w:t>
            </w:r>
          </w:p>
        </w:tc>
        <w:tc>
          <w:tcPr>
            <w:tcW w:w="1417" w:type="dxa"/>
          </w:tcPr>
          <w:p w:rsidR="001657CD" w:rsidRPr="0051278F" w:rsidRDefault="001657CD" w:rsidP="001B1DFA">
            <w:pPr>
              <w:jc w:val="center"/>
            </w:pPr>
            <w:r w:rsidRPr="0051278F">
              <w:t>5%</w:t>
            </w:r>
          </w:p>
        </w:tc>
        <w:tc>
          <w:tcPr>
            <w:tcW w:w="1559" w:type="dxa"/>
          </w:tcPr>
          <w:p w:rsidR="001657CD" w:rsidRPr="0051278F" w:rsidRDefault="001657CD" w:rsidP="001B1DFA">
            <w:pPr>
              <w:jc w:val="center"/>
            </w:pPr>
            <w:r w:rsidRPr="0051278F">
              <w:t>5%</w:t>
            </w:r>
          </w:p>
        </w:tc>
      </w:tr>
      <w:tr w:rsidR="001657CD" w:rsidTr="001B1DFA">
        <w:tc>
          <w:tcPr>
            <w:tcW w:w="5353" w:type="dxa"/>
          </w:tcPr>
          <w:p w:rsidR="001657CD" w:rsidRPr="0051278F" w:rsidRDefault="001657CD" w:rsidP="001B1DFA">
            <w:r w:rsidRPr="0051278F">
              <w:t>Disconnection from cultural heritage</w:t>
            </w:r>
          </w:p>
        </w:tc>
        <w:tc>
          <w:tcPr>
            <w:tcW w:w="1418" w:type="dxa"/>
          </w:tcPr>
          <w:p w:rsidR="001657CD" w:rsidRPr="0051278F" w:rsidRDefault="001657CD" w:rsidP="001B1DFA">
            <w:pPr>
              <w:jc w:val="center"/>
            </w:pPr>
            <w:r w:rsidRPr="0051278F">
              <w:t>5%</w:t>
            </w:r>
          </w:p>
        </w:tc>
        <w:tc>
          <w:tcPr>
            <w:tcW w:w="1417" w:type="dxa"/>
          </w:tcPr>
          <w:p w:rsidR="001657CD" w:rsidRPr="0051278F" w:rsidRDefault="001657CD" w:rsidP="001B1DFA">
            <w:pPr>
              <w:jc w:val="center"/>
            </w:pPr>
            <w:r w:rsidRPr="0051278F">
              <w:t>4%</w:t>
            </w:r>
          </w:p>
        </w:tc>
        <w:tc>
          <w:tcPr>
            <w:tcW w:w="1559" w:type="dxa"/>
          </w:tcPr>
          <w:p w:rsidR="001657CD" w:rsidRPr="0051278F" w:rsidRDefault="001657CD" w:rsidP="001B1DFA">
            <w:pPr>
              <w:jc w:val="center"/>
            </w:pPr>
            <w:r w:rsidRPr="0051278F">
              <w:t>5%</w:t>
            </w:r>
          </w:p>
        </w:tc>
      </w:tr>
      <w:tr w:rsidR="001657CD" w:rsidTr="001B1DFA">
        <w:tc>
          <w:tcPr>
            <w:tcW w:w="5353" w:type="dxa"/>
          </w:tcPr>
          <w:p w:rsidR="001657CD" w:rsidRPr="0051278F" w:rsidRDefault="001657CD" w:rsidP="001B1DFA">
            <w:r w:rsidRPr="0051278F">
              <w:t>Financial distress</w:t>
            </w:r>
          </w:p>
        </w:tc>
        <w:tc>
          <w:tcPr>
            <w:tcW w:w="1418" w:type="dxa"/>
          </w:tcPr>
          <w:p w:rsidR="001657CD" w:rsidRPr="0051278F" w:rsidRDefault="001657CD" w:rsidP="001B1DFA">
            <w:pPr>
              <w:jc w:val="center"/>
            </w:pPr>
            <w:r w:rsidRPr="0051278F">
              <w:t>12%</w:t>
            </w:r>
          </w:p>
        </w:tc>
        <w:tc>
          <w:tcPr>
            <w:tcW w:w="1417" w:type="dxa"/>
          </w:tcPr>
          <w:p w:rsidR="001657CD" w:rsidRPr="0051278F" w:rsidRDefault="001657CD" w:rsidP="001B1DFA">
            <w:pPr>
              <w:jc w:val="center"/>
            </w:pPr>
            <w:r w:rsidRPr="0051278F">
              <w:t>21%</w:t>
            </w:r>
          </w:p>
        </w:tc>
        <w:tc>
          <w:tcPr>
            <w:tcW w:w="1559" w:type="dxa"/>
          </w:tcPr>
          <w:p w:rsidR="001657CD" w:rsidRPr="0051278F" w:rsidRDefault="001657CD" w:rsidP="001B1DFA">
            <w:pPr>
              <w:jc w:val="center"/>
            </w:pPr>
            <w:r w:rsidRPr="0051278F">
              <w:t>39%</w:t>
            </w:r>
          </w:p>
        </w:tc>
      </w:tr>
      <w:tr w:rsidR="001657CD" w:rsidTr="001B1DFA">
        <w:tc>
          <w:tcPr>
            <w:tcW w:w="5353" w:type="dxa"/>
          </w:tcPr>
          <w:p w:rsidR="001657CD" w:rsidRPr="0051278F" w:rsidRDefault="001657CD" w:rsidP="001B1DFA">
            <w:r w:rsidRPr="0051278F">
              <w:t>Gifted</w:t>
            </w:r>
          </w:p>
        </w:tc>
        <w:tc>
          <w:tcPr>
            <w:tcW w:w="1418" w:type="dxa"/>
          </w:tcPr>
          <w:p w:rsidR="001657CD" w:rsidRPr="0051278F" w:rsidRDefault="001657CD" w:rsidP="001B1DFA">
            <w:pPr>
              <w:jc w:val="center"/>
            </w:pPr>
            <w:r w:rsidRPr="0051278F">
              <w:t>1%</w:t>
            </w:r>
          </w:p>
        </w:tc>
        <w:tc>
          <w:tcPr>
            <w:tcW w:w="1417" w:type="dxa"/>
          </w:tcPr>
          <w:p w:rsidR="001657CD" w:rsidRPr="0051278F" w:rsidRDefault="001657CD" w:rsidP="001B1DFA">
            <w:pPr>
              <w:jc w:val="center"/>
            </w:pPr>
            <w:r w:rsidRPr="0051278F">
              <w:t>1%</w:t>
            </w:r>
          </w:p>
        </w:tc>
        <w:tc>
          <w:tcPr>
            <w:tcW w:w="1559" w:type="dxa"/>
          </w:tcPr>
          <w:p w:rsidR="001657CD" w:rsidRPr="0051278F" w:rsidRDefault="001657CD" w:rsidP="001B1DFA">
            <w:pPr>
              <w:jc w:val="center"/>
            </w:pPr>
            <w:r w:rsidRPr="0051278F">
              <w:t>1%</w:t>
            </w:r>
          </w:p>
        </w:tc>
      </w:tr>
      <w:tr w:rsidR="001657CD" w:rsidTr="001B1DFA">
        <w:tc>
          <w:tcPr>
            <w:tcW w:w="5353" w:type="dxa"/>
          </w:tcPr>
          <w:p w:rsidR="001657CD" w:rsidRPr="0051278F" w:rsidRDefault="001657CD" w:rsidP="001B1DFA">
            <w:r w:rsidRPr="0051278F">
              <w:t>Homelessness</w:t>
            </w:r>
          </w:p>
        </w:tc>
        <w:tc>
          <w:tcPr>
            <w:tcW w:w="1418" w:type="dxa"/>
          </w:tcPr>
          <w:p w:rsidR="001657CD" w:rsidRPr="0051278F" w:rsidRDefault="001657CD" w:rsidP="001B1DFA">
            <w:pPr>
              <w:jc w:val="center"/>
            </w:pPr>
            <w:r w:rsidRPr="0051278F">
              <w:t>1%</w:t>
            </w:r>
          </w:p>
        </w:tc>
        <w:tc>
          <w:tcPr>
            <w:tcW w:w="1417" w:type="dxa"/>
          </w:tcPr>
          <w:p w:rsidR="001657CD" w:rsidRPr="0051278F" w:rsidRDefault="001657CD" w:rsidP="001B1DFA">
            <w:pPr>
              <w:jc w:val="center"/>
            </w:pPr>
            <w:r w:rsidRPr="0051278F">
              <w:t>3%</w:t>
            </w:r>
          </w:p>
        </w:tc>
        <w:tc>
          <w:tcPr>
            <w:tcW w:w="1559" w:type="dxa"/>
          </w:tcPr>
          <w:p w:rsidR="001657CD" w:rsidRPr="0051278F" w:rsidRDefault="001657CD" w:rsidP="001B1DFA">
            <w:pPr>
              <w:jc w:val="center"/>
            </w:pPr>
            <w:r w:rsidRPr="0051278F">
              <w:t>8%</w:t>
            </w:r>
          </w:p>
        </w:tc>
      </w:tr>
      <w:tr w:rsidR="001657CD" w:rsidTr="001B1DFA">
        <w:tc>
          <w:tcPr>
            <w:tcW w:w="5353" w:type="dxa"/>
          </w:tcPr>
          <w:p w:rsidR="001657CD" w:rsidRPr="0051278F" w:rsidRDefault="001657CD" w:rsidP="001B1DFA">
            <w:r w:rsidRPr="0051278F">
              <w:t>In detention/previously in detention</w:t>
            </w:r>
          </w:p>
        </w:tc>
        <w:tc>
          <w:tcPr>
            <w:tcW w:w="1418" w:type="dxa"/>
          </w:tcPr>
          <w:p w:rsidR="001657CD" w:rsidRPr="0051278F" w:rsidRDefault="001657CD" w:rsidP="001B1DFA">
            <w:pPr>
              <w:jc w:val="center"/>
            </w:pPr>
            <w:r w:rsidRPr="0051278F">
              <w:t>1%</w:t>
            </w:r>
          </w:p>
        </w:tc>
        <w:tc>
          <w:tcPr>
            <w:tcW w:w="1417" w:type="dxa"/>
          </w:tcPr>
          <w:p w:rsidR="001657CD" w:rsidRPr="0051278F" w:rsidRDefault="001657CD" w:rsidP="001B1DFA">
            <w:pPr>
              <w:jc w:val="center"/>
            </w:pPr>
            <w:r w:rsidRPr="0051278F">
              <w:t>2%</w:t>
            </w:r>
          </w:p>
        </w:tc>
        <w:tc>
          <w:tcPr>
            <w:tcW w:w="1559" w:type="dxa"/>
          </w:tcPr>
          <w:p w:rsidR="001657CD" w:rsidRPr="0051278F" w:rsidRDefault="001657CD" w:rsidP="001B1DFA">
            <w:pPr>
              <w:jc w:val="center"/>
            </w:pPr>
            <w:r w:rsidRPr="0051278F">
              <w:t>5%</w:t>
            </w:r>
          </w:p>
        </w:tc>
      </w:tr>
      <w:tr w:rsidR="001657CD" w:rsidTr="001B1DFA">
        <w:tc>
          <w:tcPr>
            <w:tcW w:w="5353" w:type="dxa"/>
          </w:tcPr>
          <w:p w:rsidR="001657CD" w:rsidRPr="0051278F" w:rsidRDefault="001657CD" w:rsidP="001B1DFA">
            <w:r w:rsidRPr="0051278F">
              <w:t>Inadequate family support</w:t>
            </w:r>
          </w:p>
        </w:tc>
        <w:tc>
          <w:tcPr>
            <w:tcW w:w="1418" w:type="dxa"/>
          </w:tcPr>
          <w:p w:rsidR="001657CD" w:rsidRPr="0051278F" w:rsidRDefault="001657CD" w:rsidP="001B1DFA">
            <w:pPr>
              <w:jc w:val="center"/>
            </w:pPr>
            <w:r w:rsidRPr="0051278F">
              <w:t>16%</w:t>
            </w:r>
          </w:p>
        </w:tc>
        <w:tc>
          <w:tcPr>
            <w:tcW w:w="1417" w:type="dxa"/>
          </w:tcPr>
          <w:p w:rsidR="001657CD" w:rsidRPr="0051278F" w:rsidRDefault="001657CD" w:rsidP="001B1DFA">
            <w:pPr>
              <w:jc w:val="center"/>
            </w:pPr>
            <w:r w:rsidRPr="0051278F">
              <w:t>25%</w:t>
            </w:r>
          </w:p>
        </w:tc>
        <w:tc>
          <w:tcPr>
            <w:tcW w:w="1559" w:type="dxa"/>
          </w:tcPr>
          <w:p w:rsidR="001657CD" w:rsidRPr="0051278F" w:rsidRDefault="001657CD" w:rsidP="001B1DFA">
            <w:pPr>
              <w:jc w:val="center"/>
            </w:pPr>
            <w:r w:rsidRPr="0051278F">
              <w:t>35%</w:t>
            </w:r>
          </w:p>
        </w:tc>
      </w:tr>
      <w:tr w:rsidR="001657CD" w:rsidTr="001B1DFA">
        <w:tc>
          <w:tcPr>
            <w:tcW w:w="5353" w:type="dxa"/>
          </w:tcPr>
          <w:p w:rsidR="001657CD" w:rsidRPr="0051278F" w:rsidRDefault="001657CD" w:rsidP="001B1DFA">
            <w:r w:rsidRPr="0051278F">
              <w:t>Learning Difficulty</w:t>
            </w:r>
          </w:p>
        </w:tc>
        <w:tc>
          <w:tcPr>
            <w:tcW w:w="1418" w:type="dxa"/>
          </w:tcPr>
          <w:p w:rsidR="001657CD" w:rsidRPr="0051278F" w:rsidRDefault="001657CD" w:rsidP="001B1DFA">
            <w:pPr>
              <w:jc w:val="center"/>
            </w:pPr>
            <w:r w:rsidRPr="0051278F">
              <w:t>4%</w:t>
            </w:r>
          </w:p>
        </w:tc>
        <w:tc>
          <w:tcPr>
            <w:tcW w:w="1417" w:type="dxa"/>
          </w:tcPr>
          <w:p w:rsidR="001657CD" w:rsidRPr="0051278F" w:rsidRDefault="001657CD" w:rsidP="001B1DFA">
            <w:pPr>
              <w:jc w:val="center"/>
            </w:pPr>
            <w:r w:rsidRPr="0051278F">
              <w:t>5%</w:t>
            </w:r>
          </w:p>
        </w:tc>
        <w:tc>
          <w:tcPr>
            <w:tcW w:w="1559" w:type="dxa"/>
          </w:tcPr>
          <w:p w:rsidR="001657CD" w:rsidRPr="0051278F" w:rsidRDefault="001657CD" w:rsidP="001B1DFA">
            <w:pPr>
              <w:jc w:val="center"/>
            </w:pPr>
            <w:r w:rsidRPr="0051278F">
              <w:t>5%</w:t>
            </w:r>
          </w:p>
        </w:tc>
      </w:tr>
      <w:tr w:rsidR="001657CD" w:rsidTr="001B1DFA">
        <w:tc>
          <w:tcPr>
            <w:tcW w:w="5353" w:type="dxa"/>
          </w:tcPr>
          <w:p w:rsidR="001657CD" w:rsidRPr="0051278F" w:rsidRDefault="001657CD" w:rsidP="001B1DFA">
            <w:r w:rsidRPr="0051278F">
              <w:t>Low literacy and/or numeracy</w:t>
            </w:r>
          </w:p>
        </w:tc>
        <w:tc>
          <w:tcPr>
            <w:tcW w:w="1418" w:type="dxa"/>
          </w:tcPr>
          <w:p w:rsidR="001657CD" w:rsidRPr="0051278F" w:rsidRDefault="001657CD" w:rsidP="001B1DFA">
            <w:pPr>
              <w:jc w:val="center"/>
            </w:pPr>
            <w:r w:rsidRPr="0051278F">
              <w:t>45%</w:t>
            </w:r>
          </w:p>
        </w:tc>
        <w:tc>
          <w:tcPr>
            <w:tcW w:w="1417" w:type="dxa"/>
          </w:tcPr>
          <w:p w:rsidR="001657CD" w:rsidRPr="0051278F" w:rsidRDefault="001657CD" w:rsidP="001B1DFA">
            <w:pPr>
              <w:jc w:val="center"/>
            </w:pPr>
            <w:r w:rsidRPr="0051278F">
              <w:t>53%</w:t>
            </w:r>
          </w:p>
        </w:tc>
        <w:tc>
          <w:tcPr>
            <w:tcW w:w="1559" w:type="dxa"/>
          </w:tcPr>
          <w:p w:rsidR="001657CD" w:rsidRPr="0051278F" w:rsidRDefault="001657CD" w:rsidP="001B1DFA">
            <w:pPr>
              <w:jc w:val="center"/>
            </w:pPr>
            <w:r w:rsidRPr="0051278F">
              <w:t>54%</w:t>
            </w:r>
          </w:p>
        </w:tc>
      </w:tr>
      <w:tr w:rsidR="001657CD" w:rsidTr="001B1DFA">
        <w:tc>
          <w:tcPr>
            <w:tcW w:w="5353" w:type="dxa"/>
          </w:tcPr>
          <w:p w:rsidR="001657CD" w:rsidRPr="0051278F" w:rsidRDefault="001657CD" w:rsidP="001B1DFA">
            <w:r w:rsidRPr="0051278F">
              <w:t>Low Self Esteem</w:t>
            </w:r>
          </w:p>
        </w:tc>
        <w:tc>
          <w:tcPr>
            <w:tcW w:w="1418" w:type="dxa"/>
          </w:tcPr>
          <w:p w:rsidR="001657CD" w:rsidRPr="0051278F" w:rsidRDefault="001657CD" w:rsidP="001B1DFA">
            <w:pPr>
              <w:jc w:val="center"/>
            </w:pPr>
            <w:r w:rsidRPr="0051278F">
              <w:t>53%</w:t>
            </w:r>
          </w:p>
        </w:tc>
        <w:tc>
          <w:tcPr>
            <w:tcW w:w="1417" w:type="dxa"/>
          </w:tcPr>
          <w:p w:rsidR="001657CD" w:rsidRPr="0051278F" w:rsidRDefault="001657CD" w:rsidP="001B1DFA">
            <w:pPr>
              <w:jc w:val="center"/>
            </w:pPr>
            <w:r w:rsidRPr="0051278F">
              <w:t>55%</w:t>
            </w:r>
          </w:p>
        </w:tc>
        <w:tc>
          <w:tcPr>
            <w:tcW w:w="1559" w:type="dxa"/>
          </w:tcPr>
          <w:p w:rsidR="001657CD" w:rsidRPr="0051278F" w:rsidRDefault="001657CD" w:rsidP="001B1DFA">
            <w:pPr>
              <w:jc w:val="center"/>
            </w:pPr>
            <w:r w:rsidRPr="0051278F">
              <w:t>56%</w:t>
            </w:r>
          </w:p>
        </w:tc>
      </w:tr>
      <w:tr w:rsidR="001657CD" w:rsidTr="001B1DFA">
        <w:tc>
          <w:tcPr>
            <w:tcW w:w="5353" w:type="dxa"/>
          </w:tcPr>
          <w:p w:rsidR="001657CD" w:rsidRPr="0051278F" w:rsidRDefault="001657CD" w:rsidP="001B1DFA">
            <w:r w:rsidRPr="0051278F">
              <w:t>Medical or other health issue</w:t>
            </w:r>
          </w:p>
        </w:tc>
        <w:tc>
          <w:tcPr>
            <w:tcW w:w="1418" w:type="dxa"/>
          </w:tcPr>
          <w:p w:rsidR="001657CD" w:rsidRPr="0051278F" w:rsidRDefault="001657CD" w:rsidP="001B1DFA">
            <w:pPr>
              <w:jc w:val="center"/>
            </w:pPr>
            <w:r w:rsidRPr="0051278F">
              <w:t>7%</w:t>
            </w:r>
          </w:p>
        </w:tc>
        <w:tc>
          <w:tcPr>
            <w:tcW w:w="1417" w:type="dxa"/>
          </w:tcPr>
          <w:p w:rsidR="001657CD" w:rsidRPr="0051278F" w:rsidRDefault="001657CD" w:rsidP="001B1DFA">
            <w:pPr>
              <w:jc w:val="center"/>
            </w:pPr>
            <w:r w:rsidRPr="0051278F">
              <w:t>10%</w:t>
            </w:r>
          </w:p>
        </w:tc>
        <w:tc>
          <w:tcPr>
            <w:tcW w:w="1559" w:type="dxa"/>
          </w:tcPr>
          <w:p w:rsidR="001657CD" w:rsidRPr="0051278F" w:rsidRDefault="001657CD" w:rsidP="001B1DFA">
            <w:pPr>
              <w:jc w:val="center"/>
            </w:pPr>
            <w:r w:rsidRPr="0051278F">
              <w:t>11%</w:t>
            </w:r>
          </w:p>
        </w:tc>
      </w:tr>
      <w:tr w:rsidR="001657CD" w:rsidTr="001B1DFA">
        <w:tc>
          <w:tcPr>
            <w:tcW w:w="5353" w:type="dxa"/>
          </w:tcPr>
          <w:p w:rsidR="001657CD" w:rsidRPr="0051278F" w:rsidRDefault="001657CD" w:rsidP="001B1DFA">
            <w:r w:rsidRPr="0051278F">
              <w:t>Negative experience(s) with education and training</w:t>
            </w:r>
          </w:p>
        </w:tc>
        <w:tc>
          <w:tcPr>
            <w:tcW w:w="1418" w:type="dxa"/>
          </w:tcPr>
          <w:p w:rsidR="001657CD" w:rsidRPr="0051278F" w:rsidRDefault="001657CD" w:rsidP="001B1DFA">
            <w:pPr>
              <w:jc w:val="center"/>
            </w:pPr>
            <w:r w:rsidRPr="0051278F">
              <w:t>0%</w:t>
            </w:r>
          </w:p>
        </w:tc>
        <w:tc>
          <w:tcPr>
            <w:tcW w:w="1417" w:type="dxa"/>
          </w:tcPr>
          <w:p w:rsidR="001657CD" w:rsidRPr="0051278F" w:rsidRDefault="001657CD" w:rsidP="001B1DFA">
            <w:pPr>
              <w:jc w:val="center"/>
            </w:pPr>
            <w:r w:rsidRPr="0051278F">
              <w:t>0%</w:t>
            </w:r>
          </w:p>
        </w:tc>
        <w:tc>
          <w:tcPr>
            <w:tcW w:w="1559" w:type="dxa"/>
          </w:tcPr>
          <w:p w:rsidR="001657CD" w:rsidRPr="0051278F" w:rsidRDefault="001657CD" w:rsidP="001B1DFA">
            <w:pPr>
              <w:jc w:val="center"/>
            </w:pPr>
            <w:r w:rsidRPr="0051278F">
              <w:t>0%</w:t>
            </w:r>
          </w:p>
        </w:tc>
      </w:tr>
      <w:tr w:rsidR="001657CD" w:rsidTr="001B1DFA">
        <w:tc>
          <w:tcPr>
            <w:tcW w:w="5353" w:type="dxa"/>
          </w:tcPr>
          <w:p w:rsidR="001657CD" w:rsidRPr="0051278F" w:rsidRDefault="001657CD" w:rsidP="001B1DFA">
            <w:r w:rsidRPr="0051278F">
              <w:t>Out of home care</w:t>
            </w:r>
          </w:p>
        </w:tc>
        <w:tc>
          <w:tcPr>
            <w:tcW w:w="1418" w:type="dxa"/>
          </w:tcPr>
          <w:p w:rsidR="001657CD" w:rsidRPr="0051278F" w:rsidRDefault="001657CD" w:rsidP="001B1DFA">
            <w:pPr>
              <w:jc w:val="center"/>
            </w:pPr>
            <w:r w:rsidRPr="0051278F">
              <w:t>2%</w:t>
            </w:r>
          </w:p>
        </w:tc>
        <w:tc>
          <w:tcPr>
            <w:tcW w:w="1417" w:type="dxa"/>
          </w:tcPr>
          <w:p w:rsidR="001657CD" w:rsidRPr="0051278F" w:rsidRDefault="001657CD" w:rsidP="001B1DFA">
            <w:pPr>
              <w:jc w:val="center"/>
            </w:pPr>
            <w:r w:rsidRPr="0051278F">
              <w:t>3%</w:t>
            </w:r>
          </w:p>
        </w:tc>
        <w:tc>
          <w:tcPr>
            <w:tcW w:w="1559" w:type="dxa"/>
          </w:tcPr>
          <w:p w:rsidR="001657CD" w:rsidRPr="0051278F" w:rsidRDefault="001657CD" w:rsidP="001B1DFA">
            <w:pPr>
              <w:jc w:val="center"/>
            </w:pPr>
            <w:r w:rsidRPr="0051278F">
              <w:t>5%</w:t>
            </w:r>
          </w:p>
        </w:tc>
      </w:tr>
      <w:tr w:rsidR="001657CD" w:rsidTr="001B1DFA">
        <w:tc>
          <w:tcPr>
            <w:tcW w:w="5353" w:type="dxa"/>
          </w:tcPr>
          <w:p w:rsidR="001657CD" w:rsidRPr="0051278F" w:rsidRDefault="001657CD" w:rsidP="001B1DFA">
            <w:r w:rsidRPr="0051278F">
              <w:t>Parent/Pregnancy</w:t>
            </w:r>
          </w:p>
        </w:tc>
        <w:tc>
          <w:tcPr>
            <w:tcW w:w="1418" w:type="dxa"/>
          </w:tcPr>
          <w:p w:rsidR="001657CD" w:rsidRPr="0051278F" w:rsidRDefault="001657CD" w:rsidP="001B1DFA">
            <w:pPr>
              <w:jc w:val="center"/>
            </w:pPr>
            <w:r w:rsidRPr="0051278F">
              <w:t>0%</w:t>
            </w:r>
          </w:p>
        </w:tc>
        <w:tc>
          <w:tcPr>
            <w:tcW w:w="1417" w:type="dxa"/>
          </w:tcPr>
          <w:p w:rsidR="001657CD" w:rsidRPr="0051278F" w:rsidRDefault="001657CD" w:rsidP="001B1DFA">
            <w:pPr>
              <w:jc w:val="center"/>
            </w:pPr>
            <w:r w:rsidRPr="0051278F">
              <w:t>1%</w:t>
            </w:r>
          </w:p>
        </w:tc>
        <w:tc>
          <w:tcPr>
            <w:tcW w:w="1559" w:type="dxa"/>
          </w:tcPr>
          <w:p w:rsidR="001657CD" w:rsidRPr="0051278F" w:rsidRDefault="001657CD" w:rsidP="001B1DFA">
            <w:pPr>
              <w:jc w:val="center"/>
            </w:pPr>
            <w:r w:rsidRPr="0051278F">
              <w:t>6%</w:t>
            </w:r>
          </w:p>
        </w:tc>
      </w:tr>
      <w:tr w:rsidR="001657CD" w:rsidTr="001B1DFA">
        <w:tc>
          <w:tcPr>
            <w:tcW w:w="5353" w:type="dxa"/>
          </w:tcPr>
          <w:p w:rsidR="001657CD" w:rsidRPr="0051278F" w:rsidRDefault="001657CD" w:rsidP="001B1DFA">
            <w:r w:rsidRPr="0051278F">
              <w:t>Petrol sniffing</w:t>
            </w:r>
          </w:p>
        </w:tc>
        <w:tc>
          <w:tcPr>
            <w:tcW w:w="1418" w:type="dxa"/>
          </w:tcPr>
          <w:p w:rsidR="001657CD" w:rsidRPr="0051278F" w:rsidRDefault="001657CD" w:rsidP="001B1DFA">
            <w:pPr>
              <w:jc w:val="center"/>
            </w:pPr>
            <w:r w:rsidRPr="0051278F">
              <w:t>0%</w:t>
            </w:r>
          </w:p>
        </w:tc>
        <w:tc>
          <w:tcPr>
            <w:tcW w:w="1417" w:type="dxa"/>
          </w:tcPr>
          <w:p w:rsidR="001657CD" w:rsidRPr="0051278F" w:rsidRDefault="001657CD" w:rsidP="001B1DFA">
            <w:pPr>
              <w:jc w:val="center"/>
            </w:pPr>
            <w:r w:rsidRPr="0051278F">
              <w:t>0%</w:t>
            </w:r>
          </w:p>
        </w:tc>
        <w:tc>
          <w:tcPr>
            <w:tcW w:w="1559" w:type="dxa"/>
          </w:tcPr>
          <w:p w:rsidR="001657CD" w:rsidRPr="0051278F" w:rsidRDefault="001657CD" w:rsidP="001B1DFA">
            <w:pPr>
              <w:jc w:val="center"/>
            </w:pPr>
            <w:r w:rsidRPr="0051278F">
              <w:t>0%</w:t>
            </w:r>
          </w:p>
        </w:tc>
      </w:tr>
      <w:tr w:rsidR="001657CD" w:rsidTr="001B1DFA">
        <w:tc>
          <w:tcPr>
            <w:tcW w:w="5353" w:type="dxa"/>
          </w:tcPr>
          <w:p w:rsidR="001657CD" w:rsidRPr="0051278F" w:rsidRDefault="001657CD" w:rsidP="001B1DFA">
            <w:r w:rsidRPr="0051278F">
              <w:t>Socialisation issues</w:t>
            </w:r>
          </w:p>
        </w:tc>
        <w:tc>
          <w:tcPr>
            <w:tcW w:w="1418" w:type="dxa"/>
          </w:tcPr>
          <w:p w:rsidR="001657CD" w:rsidRPr="0051278F" w:rsidRDefault="001657CD" w:rsidP="001B1DFA">
            <w:pPr>
              <w:jc w:val="center"/>
            </w:pPr>
            <w:r w:rsidRPr="0051278F">
              <w:t>36%</w:t>
            </w:r>
          </w:p>
        </w:tc>
        <w:tc>
          <w:tcPr>
            <w:tcW w:w="1417" w:type="dxa"/>
          </w:tcPr>
          <w:p w:rsidR="001657CD" w:rsidRPr="0051278F" w:rsidRDefault="001657CD" w:rsidP="001B1DFA">
            <w:pPr>
              <w:jc w:val="center"/>
            </w:pPr>
            <w:r w:rsidRPr="0051278F">
              <w:t>41%</w:t>
            </w:r>
          </w:p>
        </w:tc>
        <w:tc>
          <w:tcPr>
            <w:tcW w:w="1559" w:type="dxa"/>
          </w:tcPr>
          <w:p w:rsidR="001657CD" w:rsidRPr="0051278F" w:rsidRDefault="001657CD" w:rsidP="001B1DFA">
            <w:pPr>
              <w:jc w:val="center"/>
            </w:pPr>
            <w:r w:rsidRPr="0051278F">
              <w:t>44%</w:t>
            </w:r>
          </w:p>
        </w:tc>
      </w:tr>
      <w:tr w:rsidR="001657CD" w:rsidTr="001B1DFA">
        <w:tc>
          <w:tcPr>
            <w:tcW w:w="5353" w:type="dxa"/>
          </w:tcPr>
          <w:p w:rsidR="001657CD" w:rsidRPr="0051278F" w:rsidRDefault="001657CD" w:rsidP="001B1DFA">
            <w:r w:rsidRPr="0051278F">
              <w:t>Suspected or diagnosed mental health issue</w:t>
            </w:r>
          </w:p>
        </w:tc>
        <w:tc>
          <w:tcPr>
            <w:tcW w:w="1418" w:type="dxa"/>
          </w:tcPr>
          <w:p w:rsidR="001657CD" w:rsidRPr="0051278F" w:rsidRDefault="001657CD" w:rsidP="001B1DFA">
            <w:pPr>
              <w:jc w:val="center"/>
            </w:pPr>
            <w:r w:rsidRPr="0051278F">
              <w:t>15%</w:t>
            </w:r>
          </w:p>
        </w:tc>
        <w:tc>
          <w:tcPr>
            <w:tcW w:w="1417" w:type="dxa"/>
          </w:tcPr>
          <w:p w:rsidR="001657CD" w:rsidRPr="0051278F" w:rsidRDefault="001657CD" w:rsidP="001B1DFA">
            <w:pPr>
              <w:jc w:val="center"/>
            </w:pPr>
            <w:r w:rsidRPr="0051278F">
              <w:t>28%</w:t>
            </w:r>
          </w:p>
        </w:tc>
        <w:tc>
          <w:tcPr>
            <w:tcW w:w="1559" w:type="dxa"/>
          </w:tcPr>
          <w:p w:rsidR="001657CD" w:rsidRPr="0051278F" w:rsidRDefault="001657CD" w:rsidP="001B1DFA">
            <w:pPr>
              <w:jc w:val="center"/>
            </w:pPr>
            <w:r w:rsidRPr="0051278F">
              <w:t>30%</w:t>
            </w:r>
          </w:p>
        </w:tc>
      </w:tr>
      <w:tr w:rsidR="001657CD" w:rsidTr="001B1DFA">
        <w:tc>
          <w:tcPr>
            <w:tcW w:w="5353" w:type="dxa"/>
          </w:tcPr>
          <w:p w:rsidR="001657CD" w:rsidRPr="0051278F" w:rsidRDefault="001657CD" w:rsidP="001B1DFA">
            <w:r w:rsidRPr="0051278F">
              <w:t>Unstable living arrangements</w:t>
            </w:r>
          </w:p>
        </w:tc>
        <w:tc>
          <w:tcPr>
            <w:tcW w:w="1418" w:type="dxa"/>
          </w:tcPr>
          <w:p w:rsidR="001657CD" w:rsidRPr="0051278F" w:rsidRDefault="001657CD" w:rsidP="001B1DFA">
            <w:pPr>
              <w:jc w:val="center"/>
            </w:pPr>
            <w:r w:rsidRPr="0051278F">
              <w:t>7%</w:t>
            </w:r>
          </w:p>
        </w:tc>
        <w:tc>
          <w:tcPr>
            <w:tcW w:w="1417" w:type="dxa"/>
          </w:tcPr>
          <w:p w:rsidR="001657CD" w:rsidRPr="0051278F" w:rsidRDefault="001657CD" w:rsidP="001B1DFA">
            <w:pPr>
              <w:jc w:val="center"/>
            </w:pPr>
            <w:r w:rsidRPr="0051278F">
              <w:t>16%</w:t>
            </w:r>
          </w:p>
        </w:tc>
        <w:tc>
          <w:tcPr>
            <w:tcW w:w="1559" w:type="dxa"/>
          </w:tcPr>
          <w:p w:rsidR="001657CD" w:rsidRPr="0051278F" w:rsidRDefault="001657CD" w:rsidP="001B1DFA">
            <w:pPr>
              <w:jc w:val="center"/>
            </w:pPr>
            <w:r w:rsidRPr="0051278F">
              <w:t>27%</w:t>
            </w:r>
          </w:p>
        </w:tc>
      </w:tr>
      <w:tr w:rsidR="001657CD" w:rsidTr="001B1DFA">
        <w:tc>
          <w:tcPr>
            <w:tcW w:w="5353" w:type="dxa"/>
          </w:tcPr>
          <w:p w:rsidR="001657CD" w:rsidRPr="0051278F" w:rsidRDefault="001657CD" w:rsidP="001B1DFA">
            <w:r w:rsidRPr="0051278F">
              <w:t>Volatile substance misuse</w:t>
            </w:r>
          </w:p>
        </w:tc>
        <w:tc>
          <w:tcPr>
            <w:tcW w:w="1418" w:type="dxa"/>
          </w:tcPr>
          <w:p w:rsidR="001657CD" w:rsidRPr="0051278F" w:rsidRDefault="001657CD" w:rsidP="001B1DFA">
            <w:pPr>
              <w:jc w:val="center"/>
            </w:pPr>
            <w:r w:rsidRPr="0051278F">
              <w:t>0%</w:t>
            </w:r>
          </w:p>
        </w:tc>
        <w:tc>
          <w:tcPr>
            <w:tcW w:w="1417" w:type="dxa"/>
          </w:tcPr>
          <w:p w:rsidR="001657CD" w:rsidRPr="0051278F" w:rsidRDefault="001657CD" w:rsidP="001B1DFA">
            <w:pPr>
              <w:jc w:val="center"/>
            </w:pPr>
            <w:r w:rsidRPr="0051278F">
              <w:t>0%</w:t>
            </w:r>
          </w:p>
        </w:tc>
        <w:tc>
          <w:tcPr>
            <w:tcW w:w="1559" w:type="dxa"/>
          </w:tcPr>
          <w:p w:rsidR="001657CD" w:rsidRPr="0051278F" w:rsidRDefault="001657CD" w:rsidP="001B1DFA">
            <w:pPr>
              <w:jc w:val="center"/>
            </w:pPr>
            <w:r w:rsidRPr="0051278F">
              <w:t>0%</w:t>
            </w:r>
          </w:p>
        </w:tc>
      </w:tr>
      <w:tr w:rsidR="001657CD" w:rsidTr="001B1DFA">
        <w:tc>
          <w:tcPr>
            <w:tcW w:w="5353" w:type="dxa"/>
          </w:tcPr>
          <w:p w:rsidR="001657CD" w:rsidRPr="0051278F" w:rsidRDefault="001657CD" w:rsidP="001B1DFA">
            <w:r>
              <w:t>Young Carer responsibilities</w:t>
            </w:r>
          </w:p>
        </w:tc>
        <w:tc>
          <w:tcPr>
            <w:tcW w:w="1418" w:type="dxa"/>
          </w:tcPr>
          <w:p w:rsidR="001657CD" w:rsidRPr="0051278F" w:rsidRDefault="001657CD" w:rsidP="001B1DFA">
            <w:pPr>
              <w:jc w:val="center"/>
            </w:pPr>
            <w:r>
              <w:t>3%</w:t>
            </w:r>
          </w:p>
        </w:tc>
        <w:tc>
          <w:tcPr>
            <w:tcW w:w="1417" w:type="dxa"/>
          </w:tcPr>
          <w:p w:rsidR="001657CD" w:rsidRPr="0051278F" w:rsidRDefault="001657CD" w:rsidP="001B1DFA">
            <w:pPr>
              <w:jc w:val="center"/>
            </w:pPr>
            <w:r>
              <w:t>3%</w:t>
            </w:r>
          </w:p>
        </w:tc>
        <w:tc>
          <w:tcPr>
            <w:tcW w:w="1559" w:type="dxa"/>
          </w:tcPr>
          <w:p w:rsidR="001657CD" w:rsidRPr="0051278F" w:rsidRDefault="001657CD" w:rsidP="001B1DFA">
            <w:pPr>
              <w:jc w:val="center"/>
            </w:pPr>
            <w:r>
              <w:t>4%</w:t>
            </w:r>
          </w:p>
        </w:tc>
      </w:tr>
    </w:tbl>
    <w:p w:rsidR="00FD03F9" w:rsidRDefault="00FD03F9" w:rsidP="00ED3CBC">
      <w:pPr>
        <w:pStyle w:val="Heading2"/>
        <w:rPr>
          <w:lang w:val="en-AU"/>
        </w:rPr>
      </w:pPr>
      <w:bookmarkStart w:id="37" w:name="_Toc365385417"/>
      <w:r>
        <w:rPr>
          <w:lang w:val="en-AU"/>
        </w:rPr>
        <w:br w:type="page"/>
      </w:r>
    </w:p>
    <w:p w:rsidR="001657CD" w:rsidRDefault="001657CD" w:rsidP="00ED3CBC">
      <w:pPr>
        <w:pStyle w:val="Heading2"/>
      </w:pPr>
      <w:r>
        <w:lastRenderedPageBreak/>
        <w:t>Outcomes</w:t>
      </w:r>
      <w:bookmarkEnd w:id="37"/>
    </w:p>
    <w:p w:rsidR="001657CD" w:rsidRPr="008A4267" w:rsidRDefault="001657CD" w:rsidP="00ED3CBC">
      <w:pPr>
        <w:pStyle w:val="Heading3"/>
      </w:pPr>
      <w:r>
        <w:t>Table 11</w:t>
      </w:r>
      <w:r w:rsidRPr="008A4267">
        <w:t>: Participant Outcomes – All participants (current and exited)</w:t>
      </w:r>
    </w:p>
    <w:tbl>
      <w:tblPr>
        <w:tblStyle w:val="TableGrid"/>
        <w:tblW w:w="0" w:type="auto"/>
        <w:tblLook w:val="04A0" w:firstRow="1" w:lastRow="0" w:firstColumn="1" w:lastColumn="0" w:noHBand="0" w:noVBand="1"/>
        <w:tblCaption w:val="Table 8: Participant Outcomes - all participants (current and exited)"/>
        <w:tblDescription w:val="Comparison between NSW and National Participant Outcomes"/>
      </w:tblPr>
      <w:tblGrid>
        <w:gridCol w:w="3794"/>
        <w:gridCol w:w="1480"/>
        <w:gridCol w:w="1480"/>
        <w:gridCol w:w="1480"/>
        <w:gridCol w:w="1480"/>
      </w:tblGrid>
      <w:tr w:rsidR="001657CD" w:rsidRPr="00DE704A" w:rsidTr="001B1DFA">
        <w:trPr>
          <w:tblHeader/>
        </w:trPr>
        <w:tc>
          <w:tcPr>
            <w:tcW w:w="3794" w:type="dxa"/>
            <w:shd w:val="clear" w:color="auto" w:fill="C6D9F1" w:themeFill="text2" w:themeFillTint="33"/>
          </w:tcPr>
          <w:p w:rsidR="001657CD" w:rsidRPr="00DE704A" w:rsidRDefault="001657CD" w:rsidP="001B1DFA">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QLD</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QLD %</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National %</w:t>
            </w:r>
          </w:p>
        </w:tc>
      </w:tr>
      <w:tr w:rsidR="001657CD" w:rsidTr="001B1DFA">
        <w:tc>
          <w:tcPr>
            <w:tcW w:w="3794" w:type="dxa"/>
          </w:tcPr>
          <w:p w:rsidR="001657CD" w:rsidRDefault="001657CD" w:rsidP="001B1DFA">
            <w:r>
              <w:t>Young people enrolled in individual support services</w:t>
            </w:r>
          </w:p>
        </w:tc>
        <w:tc>
          <w:tcPr>
            <w:tcW w:w="1480" w:type="dxa"/>
            <w:vAlign w:val="center"/>
          </w:tcPr>
          <w:p w:rsidR="001657CD" w:rsidRDefault="001657CD" w:rsidP="001B1DFA">
            <w:pPr>
              <w:jc w:val="center"/>
              <w:rPr>
                <w:rFonts w:cs="Calibri"/>
                <w:color w:val="000000"/>
              </w:rPr>
            </w:pPr>
            <w:r>
              <w:rPr>
                <w:rFonts w:cs="Calibri"/>
                <w:color w:val="000000"/>
              </w:rPr>
              <w:t>6906</w:t>
            </w:r>
          </w:p>
        </w:tc>
        <w:tc>
          <w:tcPr>
            <w:tcW w:w="1480" w:type="dxa"/>
            <w:vAlign w:val="center"/>
          </w:tcPr>
          <w:p w:rsidR="001657CD" w:rsidRDefault="001657CD" w:rsidP="001B1DFA">
            <w:pPr>
              <w:jc w:val="center"/>
              <w:rPr>
                <w:rFonts w:cs="Calibri"/>
                <w:color w:val="000000"/>
              </w:rPr>
            </w:pPr>
            <w:r>
              <w:rPr>
                <w:rFonts w:cs="Calibri"/>
                <w:color w:val="000000"/>
              </w:rPr>
              <w:t>-</w:t>
            </w:r>
          </w:p>
        </w:tc>
        <w:tc>
          <w:tcPr>
            <w:tcW w:w="1480" w:type="dxa"/>
            <w:vAlign w:val="center"/>
          </w:tcPr>
          <w:p w:rsidR="001657CD" w:rsidRDefault="001657CD" w:rsidP="001B1DFA">
            <w:pPr>
              <w:jc w:val="center"/>
              <w:rPr>
                <w:rFonts w:cs="Calibri"/>
                <w:color w:val="000000"/>
              </w:rPr>
            </w:pPr>
            <w:r>
              <w:rPr>
                <w:rFonts w:cs="Calibri"/>
                <w:color w:val="000000"/>
              </w:rPr>
              <w:t>38,102</w:t>
            </w:r>
          </w:p>
        </w:tc>
        <w:tc>
          <w:tcPr>
            <w:tcW w:w="1480" w:type="dxa"/>
            <w:vAlign w:val="center"/>
          </w:tcPr>
          <w:p w:rsidR="001657CD" w:rsidRDefault="001657CD" w:rsidP="001B1DFA">
            <w:pPr>
              <w:jc w:val="center"/>
              <w:rPr>
                <w:rFonts w:cs="Calibri"/>
                <w:color w:val="000000"/>
              </w:rPr>
            </w:pPr>
            <w:r>
              <w:rPr>
                <w:rFonts w:cs="Calibri"/>
                <w:color w:val="000000"/>
              </w:rPr>
              <w:t>-</w:t>
            </w:r>
          </w:p>
        </w:tc>
      </w:tr>
      <w:tr w:rsidR="001657CD" w:rsidTr="001B1DFA">
        <w:tc>
          <w:tcPr>
            <w:tcW w:w="3794" w:type="dxa"/>
          </w:tcPr>
          <w:p w:rsidR="001657CD" w:rsidRDefault="001657CD" w:rsidP="001B1DFA">
            <w:r>
              <w:t>Young people who have achieved a progressive outcome*</w:t>
            </w:r>
          </w:p>
        </w:tc>
        <w:tc>
          <w:tcPr>
            <w:tcW w:w="1480" w:type="dxa"/>
            <w:vAlign w:val="center"/>
          </w:tcPr>
          <w:p w:rsidR="001657CD" w:rsidRDefault="001657CD" w:rsidP="001B1DFA">
            <w:pPr>
              <w:jc w:val="center"/>
              <w:rPr>
                <w:rFonts w:cs="Calibri"/>
                <w:color w:val="000000"/>
              </w:rPr>
            </w:pPr>
            <w:r>
              <w:rPr>
                <w:rFonts w:cs="Calibri"/>
                <w:color w:val="000000"/>
              </w:rPr>
              <w:t>5371</w:t>
            </w:r>
          </w:p>
        </w:tc>
        <w:tc>
          <w:tcPr>
            <w:tcW w:w="1480" w:type="dxa"/>
            <w:vAlign w:val="center"/>
          </w:tcPr>
          <w:p w:rsidR="001657CD" w:rsidRDefault="001657CD" w:rsidP="001B1DFA">
            <w:pPr>
              <w:jc w:val="center"/>
              <w:rPr>
                <w:rFonts w:cs="Calibri"/>
                <w:color w:val="000000"/>
              </w:rPr>
            </w:pPr>
            <w:r>
              <w:rPr>
                <w:rFonts w:cs="Calibri"/>
                <w:color w:val="000000"/>
              </w:rPr>
              <w:t>78%</w:t>
            </w:r>
          </w:p>
        </w:tc>
        <w:tc>
          <w:tcPr>
            <w:tcW w:w="1480" w:type="dxa"/>
            <w:vAlign w:val="center"/>
          </w:tcPr>
          <w:p w:rsidR="001657CD" w:rsidRDefault="001657CD" w:rsidP="001B1DFA">
            <w:pPr>
              <w:jc w:val="center"/>
              <w:rPr>
                <w:rFonts w:cs="Calibri"/>
                <w:color w:val="000000"/>
              </w:rPr>
            </w:pPr>
            <w:r>
              <w:rPr>
                <w:rFonts w:cs="Calibri"/>
                <w:color w:val="000000"/>
              </w:rPr>
              <w:t>27,743</w:t>
            </w:r>
          </w:p>
        </w:tc>
        <w:tc>
          <w:tcPr>
            <w:tcW w:w="1480" w:type="dxa"/>
            <w:vAlign w:val="center"/>
          </w:tcPr>
          <w:p w:rsidR="001657CD" w:rsidRDefault="001657CD" w:rsidP="001B1DFA">
            <w:pPr>
              <w:jc w:val="center"/>
              <w:rPr>
                <w:rFonts w:cs="Calibri"/>
                <w:color w:val="000000"/>
              </w:rPr>
            </w:pPr>
            <w:r>
              <w:rPr>
                <w:rFonts w:cs="Calibri"/>
                <w:color w:val="000000"/>
              </w:rPr>
              <w:t>73%</w:t>
            </w:r>
          </w:p>
        </w:tc>
      </w:tr>
      <w:tr w:rsidR="001657CD" w:rsidTr="001B1DFA">
        <w:tc>
          <w:tcPr>
            <w:tcW w:w="3794" w:type="dxa"/>
          </w:tcPr>
          <w:p w:rsidR="001657CD" w:rsidRDefault="001657CD" w:rsidP="001B1DFA">
            <w:r>
              <w:t>Young people who have achieved a final outcome**</w:t>
            </w:r>
          </w:p>
        </w:tc>
        <w:tc>
          <w:tcPr>
            <w:tcW w:w="1480" w:type="dxa"/>
            <w:vAlign w:val="center"/>
          </w:tcPr>
          <w:p w:rsidR="001657CD" w:rsidRDefault="001657CD" w:rsidP="001B1DFA">
            <w:pPr>
              <w:jc w:val="center"/>
              <w:rPr>
                <w:rFonts w:cs="Calibri"/>
                <w:color w:val="000000"/>
              </w:rPr>
            </w:pPr>
            <w:r>
              <w:rPr>
                <w:rFonts w:cs="Calibri"/>
                <w:color w:val="000000"/>
              </w:rPr>
              <w:t>4199</w:t>
            </w:r>
          </w:p>
        </w:tc>
        <w:tc>
          <w:tcPr>
            <w:tcW w:w="1480" w:type="dxa"/>
            <w:vAlign w:val="center"/>
          </w:tcPr>
          <w:p w:rsidR="001657CD" w:rsidRDefault="001657CD" w:rsidP="001B1DFA">
            <w:pPr>
              <w:jc w:val="center"/>
              <w:rPr>
                <w:rFonts w:cs="Calibri"/>
                <w:color w:val="000000"/>
              </w:rPr>
            </w:pPr>
            <w:r>
              <w:rPr>
                <w:rFonts w:cs="Calibri"/>
                <w:color w:val="000000"/>
              </w:rPr>
              <w:t>61%</w:t>
            </w:r>
          </w:p>
        </w:tc>
        <w:tc>
          <w:tcPr>
            <w:tcW w:w="1480" w:type="dxa"/>
            <w:vAlign w:val="center"/>
          </w:tcPr>
          <w:p w:rsidR="001657CD" w:rsidRDefault="001657CD" w:rsidP="001B1DFA">
            <w:pPr>
              <w:jc w:val="center"/>
              <w:rPr>
                <w:rFonts w:cs="Calibri"/>
                <w:color w:val="000000"/>
              </w:rPr>
            </w:pPr>
            <w:r>
              <w:rPr>
                <w:rFonts w:cs="Calibri"/>
                <w:color w:val="000000"/>
              </w:rPr>
              <w:t>22,574</w:t>
            </w:r>
          </w:p>
        </w:tc>
        <w:tc>
          <w:tcPr>
            <w:tcW w:w="1480" w:type="dxa"/>
            <w:vAlign w:val="center"/>
          </w:tcPr>
          <w:p w:rsidR="001657CD" w:rsidRDefault="001657CD" w:rsidP="001B1DFA">
            <w:pPr>
              <w:jc w:val="center"/>
              <w:rPr>
                <w:rFonts w:cs="Calibri"/>
                <w:color w:val="000000"/>
              </w:rPr>
            </w:pPr>
            <w:r>
              <w:rPr>
                <w:rFonts w:cs="Calibri"/>
                <w:color w:val="000000"/>
              </w:rPr>
              <w:t>59%</w:t>
            </w:r>
          </w:p>
        </w:tc>
      </w:tr>
    </w:tbl>
    <w:p w:rsidR="001657CD" w:rsidRPr="008A4267" w:rsidRDefault="001657CD" w:rsidP="00ED3CBC">
      <w:pPr>
        <w:pStyle w:val="Heading3"/>
      </w:pPr>
      <w:r>
        <w:t xml:space="preserve">Table 12: </w:t>
      </w:r>
      <w:r w:rsidRPr="008A4267">
        <w:t>Participant Outcomes – exited participants</w:t>
      </w:r>
    </w:p>
    <w:tbl>
      <w:tblPr>
        <w:tblStyle w:val="TableGrid"/>
        <w:tblW w:w="0" w:type="auto"/>
        <w:tblLook w:val="04A0" w:firstRow="1" w:lastRow="0" w:firstColumn="1" w:lastColumn="0" w:noHBand="0" w:noVBand="1"/>
        <w:tblCaption w:val="Table 9: Participant Outcomes - exited participants"/>
        <w:tblDescription w:val="Comparison between NSW and National Participant Outcomes"/>
      </w:tblPr>
      <w:tblGrid>
        <w:gridCol w:w="3794"/>
        <w:gridCol w:w="1480"/>
        <w:gridCol w:w="1480"/>
        <w:gridCol w:w="1480"/>
        <w:gridCol w:w="1480"/>
      </w:tblGrid>
      <w:tr w:rsidR="001657CD" w:rsidRPr="00DE704A" w:rsidTr="001B1DFA">
        <w:trPr>
          <w:tblHeader/>
        </w:trPr>
        <w:tc>
          <w:tcPr>
            <w:tcW w:w="3794" w:type="dxa"/>
            <w:shd w:val="clear" w:color="auto" w:fill="C6D9F1" w:themeFill="text2" w:themeFillTint="33"/>
          </w:tcPr>
          <w:p w:rsidR="001657CD" w:rsidRPr="00DE704A" w:rsidRDefault="001657CD" w:rsidP="001B1DFA">
            <w:pPr>
              <w:jc w:val="center"/>
              <w:rPr>
                <w:rFonts w:cs="Calibri"/>
                <w:b/>
                <w:bCs/>
                <w:color w:val="000000"/>
              </w:rPr>
            </w:pPr>
            <w:r>
              <w:rPr>
                <w:rFonts w:cs="Calibri"/>
                <w:b/>
                <w:bCs/>
                <w:color w:val="000000"/>
              </w:rPr>
              <w:t>Participant outcomes</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QLD</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QLD %</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National</w:t>
            </w:r>
          </w:p>
        </w:tc>
        <w:tc>
          <w:tcPr>
            <w:tcW w:w="1480" w:type="dxa"/>
            <w:shd w:val="clear" w:color="auto" w:fill="C6D9F1" w:themeFill="text2" w:themeFillTint="33"/>
            <w:vAlign w:val="bottom"/>
          </w:tcPr>
          <w:p w:rsidR="001657CD" w:rsidRDefault="001657CD" w:rsidP="001B1DFA">
            <w:pPr>
              <w:jc w:val="center"/>
              <w:rPr>
                <w:rFonts w:cs="Calibri"/>
                <w:b/>
                <w:bCs/>
                <w:color w:val="000000"/>
              </w:rPr>
            </w:pPr>
            <w:r>
              <w:rPr>
                <w:rFonts w:cs="Calibri"/>
                <w:b/>
                <w:bCs/>
                <w:color w:val="000000"/>
              </w:rPr>
              <w:t>National %</w:t>
            </w:r>
          </w:p>
        </w:tc>
      </w:tr>
      <w:tr w:rsidR="001657CD" w:rsidTr="001B1DFA">
        <w:tc>
          <w:tcPr>
            <w:tcW w:w="3794" w:type="dxa"/>
          </w:tcPr>
          <w:p w:rsidR="001657CD" w:rsidRDefault="001657CD" w:rsidP="001B1DFA">
            <w:r>
              <w:t>Young people enrolled in individual support services</w:t>
            </w:r>
          </w:p>
        </w:tc>
        <w:tc>
          <w:tcPr>
            <w:tcW w:w="1480" w:type="dxa"/>
            <w:vAlign w:val="center"/>
          </w:tcPr>
          <w:p w:rsidR="001657CD" w:rsidRDefault="001657CD" w:rsidP="001B1DFA">
            <w:pPr>
              <w:jc w:val="center"/>
              <w:rPr>
                <w:rFonts w:cs="Calibri"/>
                <w:color w:val="000000"/>
              </w:rPr>
            </w:pPr>
            <w:r>
              <w:rPr>
                <w:rFonts w:cs="Calibri"/>
                <w:color w:val="000000"/>
              </w:rPr>
              <w:t>5749</w:t>
            </w:r>
          </w:p>
        </w:tc>
        <w:tc>
          <w:tcPr>
            <w:tcW w:w="1480" w:type="dxa"/>
            <w:vAlign w:val="center"/>
          </w:tcPr>
          <w:p w:rsidR="001657CD" w:rsidRDefault="001657CD" w:rsidP="001B1DFA">
            <w:pPr>
              <w:jc w:val="center"/>
              <w:rPr>
                <w:rFonts w:cs="Calibri"/>
                <w:color w:val="000000"/>
              </w:rPr>
            </w:pPr>
            <w:r>
              <w:rPr>
                <w:rFonts w:cs="Calibri"/>
                <w:color w:val="000000"/>
              </w:rPr>
              <w:t>-</w:t>
            </w:r>
          </w:p>
        </w:tc>
        <w:tc>
          <w:tcPr>
            <w:tcW w:w="1480" w:type="dxa"/>
            <w:vAlign w:val="center"/>
          </w:tcPr>
          <w:p w:rsidR="001657CD" w:rsidRDefault="001657CD" w:rsidP="001B1DFA">
            <w:pPr>
              <w:jc w:val="center"/>
              <w:rPr>
                <w:rFonts w:cs="Calibri"/>
                <w:color w:val="000000"/>
              </w:rPr>
            </w:pPr>
            <w:r>
              <w:rPr>
                <w:rFonts w:cs="Calibri"/>
                <w:color w:val="000000"/>
              </w:rPr>
              <w:t>31,977</w:t>
            </w:r>
          </w:p>
        </w:tc>
        <w:tc>
          <w:tcPr>
            <w:tcW w:w="1480" w:type="dxa"/>
            <w:vAlign w:val="center"/>
          </w:tcPr>
          <w:p w:rsidR="001657CD" w:rsidRDefault="001657CD" w:rsidP="001B1DFA">
            <w:pPr>
              <w:jc w:val="center"/>
              <w:rPr>
                <w:rFonts w:cs="Calibri"/>
                <w:color w:val="000000"/>
              </w:rPr>
            </w:pPr>
            <w:r>
              <w:rPr>
                <w:rFonts w:cs="Calibri"/>
                <w:color w:val="000000"/>
              </w:rPr>
              <w:t>-</w:t>
            </w:r>
          </w:p>
        </w:tc>
      </w:tr>
      <w:tr w:rsidR="001657CD" w:rsidTr="001B1DFA">
        <w:tc>
          <w:tcPr>
            <w:tcW w:w="3794" w:type="dxa"/>
          </w:tcPr>
          <w:p w:rsidR="001657CD" w:rsidRDefault="001657CD" w:rsidP="001B1DFA">
            <w:r>
              <w:t>Young people who have achieved a progressive outcome</w:t>
            </w:r>
          </w:p>
        </w:tc>
        <w:tc>
          <w:tcPr>
            <w:tcW w:w="1480" w:type="dxa"/>
            <w:vAlign w:val="center"/>
          </w:tcPr>
          <w:p w:rsidR="001657CD" w:rsidRDefault="001657CD" w:rsidP="001B1DFA">
            <w:pPr>
              <w:jc w:val="center"/>
              <w:rPr>
                <w:rFonts w:cs="Calibri"/>
                <w:color w:val="000000"/>
              </w:rPr>
            </w:pPr>
            <w:r>
              <w:rPr>
                <w:rFonts w:cs="Calibri"/>
                <w:color w:val="000000"/>
              </w:rPr>
              <w:t>4500</w:t>
            </w:r>
          </w:p>
        </w:tc>
        <w:tc>
          <w:tcPr>
            <w:tcW w:w="1480" w:type="dxa"/>
            <w:vAlign w:val="center"/>
          </w:tcPr>
          <w:p w:rsidR="001657CD" w:rsidRDefault="001657CD" w:rsidP="001B1DFA">
            <w:pPr>
              <w:jc w:val="center"/>
              <w:rPr>
                <w:rFonts w:cs="Calibri"/>
                <w:color w:val="000000"/>
              </w:rPr>
            </w:pPr>
            <w:r>
              <w:rPr>
                <w:rFonts w:cs="Calibri"/>
                <w:color w:val="000000"/>
              </w:rPr>
              <w:t>78%</w:t>
            </w:r>
          </w:p>
        </w:tc>
        <w:tc>
          <w:tcPr>
            <w:tcW w:w="1480" w:type="dxa"/>
            <w:vAlign w:val="center"/>
          </w:tcPr>
          <w:p w:rsidR="001657CD" w:rsidRDefault="001657CD" w:rsidP="001B1DFA">
            <w:pPr>
              <w:jc w:val="center"/>
              <w:rPr>
                <w:rFonts w:cs="Calibri"/>
                <w:color w:val="000000"/>
              </w:rPr>
            </w:pPr>
            <w:r>
              <w:rPr>
                <w:rFonts w:cs="Calibri"/>
                <w:color w:val="000000"/>
              </w:rPr>
              <w:t>23,431</w:t>
            </w:r>
          </w:p>
        </w:tc>
        <w:tc>
          <w:tcPr>
            <w:tcW w:w="1480" w:type="dxa"/>
            <w:vAlign w:val="center"/>
          </w:tcPr>
          <w:p w:rsidR="001657CD" w:rsidRDefault="001657CD" w:rsidP="001B1DFA">
            <w:pPr>
              <w:jc w:val="center"/>
              <w:rPr>
                <w:rFonts w:cs="Calibri"/>
                <w:color w:val="000000"/>
              </w:rPr>
            </w:pPr>
            <w:r>
              <w:rPr>
                <w:rFonts w:cs="Calibri"/>
                <w:color w:val="000000"/>
              </w:rPr>
              <w:t>73%</w:t>
            </w:r>
          </w:p>
        </w:tc>
      </w:tr>
      <w:tr w:rsidR="001657CD" w:rsidTr="001B1DFA">
        <w:tc>
          <w:tcPr>
            <w:tcW w:w="3794" w:type="dxa"/>
          </w:tcPr>
          <w:p w:rsidR="001657CD" w:rsidRDefault="001657CD" w:rsidP="001B1DFA">
            <w:r>
              <w:t>Young people who have achieved a final outcome</w:t>
            </w:r>
          </w:p>
        </w:tc>
        <w:tc>
          <w:tcPr>
            <w:tcW w:w="1480" w:type="dxa"/>
            <w:vAlign w:val="center"/>
          </w:tcPr>
          <w:p w:rsidR="001657CD" w:rsidRDefault="001657CD" w:rsidP="001B1DFA">
            <w:pPr>
              <w:jc w:val="center"/>
              <w:rPr>
                <w:rFonts w:cs="Calibri"/>
                <w:color w:val="000000"/>
              </w:rPr>
            </w:pPr>
            <w:r>
              <w:rPr>
                <w:rFonts w:cs="Calibri"/>
                <w:color w:val="000000"/>
              </w:rPr>
              <w:t>3562</w:t>
            </w:r>
          </w:p>
        </w:tc>
        <w:tc>
          <w:tcPr>
            <w:tcW w:w="1480" w:type="dxa"/>
            <w:vAlign w:val="center"/>
          </w:tcPr>
          <w:p w:rsidR="001657CD" w:rsidRDefault="001657CD" w:rsidP="001B1DFA">
            <w:pPr>
              <w:jc w:val="center"/>
              <w:rPr>
                <w:rFonts w:cs="Calibri"/>
                <w:color w:val="000000"/>
              </w:rPr>
            </w:pPr>
            <w:r>
              <w:rPr>
                <w:rFonts w:cs="Calibri"/>
                <w:color w:val="000000"/>
              </w:rPr>
              <w:t>62%</w:t>
            </w:r>
          </w:p>
        </w:tc>
        <w:tc>
          <w:tcPr>
            <w:tcW w:w="1480" w:type="dxa"/>
            <w:vAlign w:val="center"/>
          </w:tcPr>
          <w:p w:rsidR="001657CD" w:rsidRDefault="001657CD" w:rsidP="001B1DFA">
            <w:pPr>
              <w:jc w:val="center"/>
              <w:rPr>
                <w:rFonts w:cs="Calibri"/>
                <w:color w:val="000000"/>
              </w:rPr>
            </w:pPr>
            <w:r>
              <w:rPr>
                <w:rFonts w:cs="Calibri"/>
                <w:color w:val="000000"/>
              </w:rPr>
              <w:t>19,527</w:t>
            </w:r>
          </w:p>
        </w:tc>
        <w:tc>
          <w:tcPr>
            <w:tcW w:w="1480" w:type="dxa"/>
            <w:vAlign w:val="center"/>
          </w:tcPr>
          <w:p w:rsidR="001657CD" w:rsidRDefault="001657CD" w:rsidP="001B1DFA">
            <w:pPr>
              <w:jc w:val="center"/>
              <w:rPr>
                <w:rFonts w:cs="Calibri"/>
                <w:color w:val="000000"/>
              </w:rPr>
            </w:pPr>
            <w:r>
              <w:rPr>
                <w:rFonts w:cs="Calibri"/>
                <w:color w:val="000000"/>
              </w:rPr>
              <w:t>61%</w:t>
            </w:r>
          </w:p>
        </w:tc>
      </w:tr>
    </w:tbl>
    <w:p w:rsidR="00FD03F9" w:rsidRDefault="00FD03F9" w:rsidP="001657CD">
      <w:pPr>
        <w:ind w:right="-188"/>
      </w:pPr>
    </w:p>
    <w:p w:rsidR="001657CD" w:rsidRDefault="001657CD" w:rsidP="001657CD">
      <w:pPr>
        <w:ind w:right="-188"/>
      </w:pPr>
      <w:r>
        <w:t>*A progressive outcome represents a young person making significant progress in addressing their barriers to full engagement in education.</w:t>
      </w:r>
    </w:p>
    <w:p w:rsidR="001657CD" w:rsidRDefault="001657CD" w:rsidP="001657CD"/>
    <w:p w:rsidR="001657CD" w:rsidRDefault="001657CD" w:rsidP="001657CD">
      <w:pPr>
        <w:ind w:right="-188"/>
      </w:pPr>
      <w:r>
        <w:t xml:space="preserve">**A final outcome represents re-engagement or a sustained improvement in a young person’s engagement with education, training or employment. </w:t>
      </w:r>
    </w:p>
    <w:p w:rsidR="001657CD" w:rsidRDefault="001657CD" w:rsidP="001657CD"/>
    <w:p w:rsidR="001657CD" w:rsidRDefault="001657CD" w:rsidP="001657CD">
      <w:pPr>
        <w:pStyle w:val="Caption"/>
        <w:keepNext/>
      </w:pPr>
      <w:r>
        <w:t>Figure 9: NSW - Number of young people achieving outcomes</w:t>
      </w:r>
    </w:p>
    <w:p w:rsidR="001657CD" w:rsidRDefault="001657CD" w:rsidP="001657CD">
      <w:pPr>
        <w:ind w:right="-188"/>
        <w:rPr>
          <w:u w:val="single"/>
        </w:rPr>
      </w:pPr>
      <w:r w:rsidRPr="00801619">
        <w:rPr>
          <w:noProof/>
          <w:u w:val="single"/>
          <w:lang w:eastAsia="en-AU"/>
        </w:rPr>
        <w:drawing>
          <wp:inline distT="0" distB="0" distL="0" distR="0" wp14:anchorId="69795428" wp14:editId="6E9E7B8A">
            <wp:extent cx="5947063" cy="3253839"/>
            <wp:effectExtent l="0" t="0" r="15875" b="22860"/>
            <wp:docPr id="13" name="Chart 13" descr="QLD number of young people achieving outcomes, graphic representation of table 13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657CD" w:rsidRDefault="001657CD" w:rsidP="001657CD">
      <w:pPr>
        <w:rPr>
          <w:rFonts w:cs="Calibri"/>
          <w:b/>
          <w:bCs/>
          <w:color w:val="000000"/>
        </w:rPr>
      </w:pPr>
    </w:p>
    <w:p w:rsidR="001657CD" w:rsidRPr="008A4267" w:rsidRDefault="001657CD" w:rsidP="00ED3CBC">
      <w:pPr>
        <w:pStyle w:val="Heading3"/>
      </w:pPr>
      <w:r>
        <w:lastRenderedPageBreak/>
        <w:t>Table 13: QLD - Number of young people achieving outcomes</w:t>
      </w:r>
    </w:p>
    <w:tbl>
      <w:tblPr>
        <w:tblW w:w="10207" w:type="dxa"/>
        <w:tblInd w:w="108" w:type="dxa"/>
        <w:tblLook w:val="04A0" w:firstRow="1" w:lastRow="0" w:firstColumn="1" w:lastColumn="0" w:noHBand="0" w:noVBand="1"/>
      </w:tblPr>
      <w:tblGrid>
        <w:gridCol w:w="4388"/>
        <w:gridCol w:w="969"/>
        <w:gridCol w:w="970"/>
        <w:gridCol w:w="970"/>
        <w:gridCol w:w="970"/>
        <w:gridCol w:w="970"/>
        <w:gridCol w:w="970"/>
      </w:tblGrid>
      <w:tr w:rsidR="001657CD" w:rsidRPr="00C763A7" w:rsidTr="001B1DFA">
        <w:trPr>
          <w:trHeight w:val="300"/>
          <w:tblHeader/>
        </w:trPr>
        <w:tc>
          <w:tcPr>
            <w:tcW w:w="43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Pr="00C763A7" w:rsidRDefault="001657CD" w:rsidP="001B1DFA">
            <w:pPr>
              <w:rPr>
                <w:rFonts w:cs="Calibri"/>
                <w:b/>
                <w:bCs/>
                <w:color w:val="000000"/>
              </w:rPr>
            </w:pPr>
            <w:r>
              <w:rPr>
                <w:rFonts w:cs="Calibri"/>
                <w:b/>
                <w:bCs/>
                <w:color w:val="000000"/>
              </w:rPr>
              <w:t>QLD Participant outcome achievement</w:t>
            </w:r>
          </w:p>
        </w:tc>
        <w:tc>
          <w:tcPr>
            <w:tcW w:w="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Level 1</w:t>
            </w:r>
          </w:p>
          <w:p w:rsidR="001657CD" w:rsidRPr="00C763A7" w:rsidRDefault="001657CD" w:rsidP="001B1DF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Level 1</w:t>
            </w:r>
          </w:p>
          <w:p w:rsidR="001657CD" w:rsidRPr="00C763A7" w:rsidRDefault="001657CD" w:rsidP="001B1DFA">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1657CD" w:rsidRPr="00C763A7" w:rsidRDefault="001657CD" w:rsidP="001B1DF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1657CD" w:rsidRPr="00C763A7" w:rsidRDefault="001657CD" w:rsidP="001B1DFA">
            <w:pPr>
              <w:jc w:val="center"/>
              <w:rPr>
                <w:rFonts w:cs="Calibri"/>
                <w:b/>
                <w:bCs/>
                <w:color w:val="000000"/>
              </w:rPr>
            </w:pPr>
            <w:r>
              <w:rPr>
                <w:rFonts w:cs="Calibri"/>
                <w:b/>
                <w:bCs/>
                <w:color w:val="000000"/>
              </w:rPr>
              <w:t>%</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1657CD" w:rsidRPr="00C763A7" w:rsidRDefault="001657CD" w:rsidP="001B1DFA">
            <w:pPr>
              <w:jc w:val="center"/>
              <w:rPr>
                <w:rFonts w:cs="Calibri"/>
                <w:b/>
                <w:bCs/>
                <w:color w:val="000000"/>
              </w:rPr>
            </w:pPr>
            <w:r>
              <w:rPr>
                <w:rFonts w:cs="Calibri"/>
                <w:b/>
                <w:bCs/>
                <w:color w:val="000000"/>
              </w:rPr>
              <w:t>No.</w:t>
            </w:r>
          </w:p>
        </w:tc>
        <w:tc>
          <w:tcPr>
            <w:tcW w:w="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657CD"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1657CD" w:rsidRPr="00C763A7" w:rsidRDefault="001657CD" w:rsidP="001B1DFA">
            <w:pPr>
              <w:jc w:val="center"/>
              <w:rPr>
                <w:rFonts w:cs="Calibri"/>
                <w:b/>
                <w:bCs/>
                <w:color w:val="000000"/>
              </w:rPr>
            </w:pPr>
            <w:r>
              <w:rPr>
                <w:rFonts w:cs="Calibri"/>
                <w:b/>
                <w:bCs/>
                <w:color w:val="000000"/>
              </w:rPr>
              <w:t>%</w:t>
            </w:r>
          </w:p>
        </w:tc>
      </w:tr>
      <w:tr w:rsidR="001657CD" w:rsidTr="001B1DFA">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1657CD" w:rsidRPr="00C763A7" w:rsidRDefault="001657CD" w:rsidP="001B1DFA">
            <w:pPr>
              <w:spacing w:before="40" w:after="40"/>
              <w:rPr>
                <w:rFonts w:cs="Calibri"/>
                <w:color w:val="000000"/>
              </w:rPr>
            </w:pPr>
            <w:r>
              <w:rPr>
                <w:rFonts w:cs="Calibri"/>
                <w:color w:val="000000"/>
              </w:rPr>
              <w:t>Achieved a final outcome</w:t>
            </w:r>
          </w:p>
        </w:tc>
        <w:tc>
          <w:tcPr>
            <w:tcW w:w="9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center"/>
              <w:rPr>
                <w:rFonts w:cs="Calibri"/>
                <w:color w:val="000000"/>
              </w:rPr>
            </w:pPr>
            <w:r>
              <w:rPr>
                <w:rFonts w:cs="Calibri"/>
                <w:color w:val="000000"/>
              </w:rPr>
              <w:t>402</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75%</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center"/>
              <w:rPr>
                <w:rFonts w:cs="Calibri"/>
                <w:color w:val="000000"/>
              </w:rPr>
            </w:pPr>
            <w:r>
              <w:rPr>
                <w:rFonts w:cs="Calibri"/>
                <w:color w:val="000000"/>
              </w:rPr>
              <w:t>2000</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spacing w:before="40" w:after="40"/>
              <w:jc w:val="center"/>
              <w:rPr>
                <w:rFonts w:cs="Calibri"/>
                <w:color w:val="000000"/>
              </w:rPr>
            </w:pPr>
            <w:r>
              <w:rPr>
                <w:rFonts w:cs="Calibri"/>
                <w:color w:val="000000"/>
              </w:rPr>
              <w:t>68%</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center"/>
              <w:rPr>
                <w:rFonts w:cs="Calibri"/>
                <w:color w:val="000000"/>
              </w:rPr>
            </w:pPr>
            <w:r>
              <w:rPr>
                <w:rFonts w:cs="Calibri"/>
                <w:color w:val="000000"/>
              </w:rPr>
              <w:t>2001</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center"/>
              <w:rPr>
                <w:rFonts w:cs="Calibri"/>
                <w:color w:val="000000"/>
              </w:rPr>
            </w:pPr>
            <w:r>
              <w:rPr>
                <w:rFonts w:cs="Calibri"/>
                <w:color w:val="000000"/>
              </w:rPr>
              <w:t>58%</w:t>
            </w:r>
          </w:p>
        </w:tc>
      </w:tr>
      <w:tr w:rsidR="001657CD" w:rsidTr="001B1DFA">
        <w:trPr>
          <w:trHeight w:val="300"/>
        </w:trPr>
        <w:tc>
          <w:tcPr>
            <w:tcW w:w="4388" w:type="dxa"/>
            <w:tcBorders>
              <w:top w:val="single" w:sz="4" w:space="0" w:color="auto"/>
              <w:left w:val="single" w:sz="4" w:space="0" w:color="auto"/>
              <w:bottom w:val="single" w:sz="4" w:space="0" w:color="auto"/>
              <w:right w:val="single" w:sz="4" w:space="0" w:color="auto"/>
            </w:tcBorders>
            <w:vAlign w:val="bottom"/>
          </w:tcPr>
          <w:p w:rsidR="001657CD" w:rsidRPr="00C763A7" w:rsidRDefault="001657CD" w:rsidP="001B1DFA">
            <w:pPr>
              <w:spacing w:before="40" w:after="40"/>
              <w:rPr>
                <w:rFonts w:cs="Calibri"/>
                <w:color w:val="000000"/>
              </w:rPr>
            </w:pPr>
            <w:r>
              <w:rPr>
                <w:rFonts w:cs="Calibri"/>
                <w:color w:val="000000"/>
              </w:rPr>
              <w:t>Achieved a progressive outcome</w:t>
            </w:r>
          </w:p>
        </w:tc>
        <w:tc>
          <w:tcPr>
            <w:tcW w:w="9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456</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85%</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2439</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spacing w:before="40" w:after="40"/>
              <w:jc w:val="center"/>
              <w:rPr>
                <w:rFonts w:cs="Calibri"/>
                <w:color w:val="000000"/>
              </w:rPr>
            </w:pPr>
            <w:r>
              <w:rPr>
                <w:rFonts w:cs="Calibri"/>
                <w:color w:val="000000"/>
              </w:rPr>
              <w:t>83%</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2714</w:t>
            </w:r>
          </w:p>
        </w:tc>
        <w:tc>
          <w:tcPr>
            <w:tcW w:w="970"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spacing w:before="40" w:after="40"/>
              <w:jc w:val="center"/>
              <w:rPr>
                <w:rFonts w:cs="Calibri"/>
                <w:color w:val="000000"/>
              </w:rPr>
            </w:pPr>
            <w:r>
              <w:rPr>
                <w:rFonts w:cs="Calibri"/>
                <w:color w:val="000000"/>
              </w:rPr>
              <w:t>78%</w:t>
            </w:r>
          </w:p>
        </w:tc>
      </w:tr>
    </w:tbl>
    <w:p w:rsidR="001657CD" w:rsidRDefault="001657CD" w:rsidP="001657CD"/>
    <w:p w:rsidR="005606F5" w:rsidRDefault="005606F5" w:rsidP="001657CD"/>
    <w:p w:rsidR="005606F5" w:rsidRDefault="005606F5" w:rsidP="001657CD"/>
    <w:p w:rsidR="001657CD" w:rsidRDefault="001657CD" w:rsidP="001657CD">
      <w:pPr>
        <w:pStyle w:val="Caption"/>
        <w:keepNext/>
      </w:pPr>
      <w:r>
        <w:t>Figure 10: National - Number of young people achieving outcomes</w:t>
      </w:r>
      <w:r w:rsidRPr="00801619">
        <w:rPr>
          <w:noProof/>
        </w:rPr>
        <w:drawing>
          <wp:inline distT="0" distB="0" distL="0" distR="0" wp14:anchorId="61C1463F" wp14:editId="4EB0B847">
            <wp:extent cx="5947063" cy="2861953"/>
            <wp:effectExtent l="0" t="0" r="15875" b="14605"/>
            <wp:docPr id="14" name="Chart 14" descr="National number of young people achieving outcomes, graphic representation of table 14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657CD" w:rsidRDefault="001657CD" w:rsidP="00ED3CBC">
      <w:pPr>
        <w:pStyle w:val="Heading3"/>
        <w:rPr>
          <w:lang w:val="en-AU"/>
        </w:rPr>
      </w:pPr>
      <w:r>
        <w:t>Table 14: National - Number of young people achieving outcomes</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999"/>
        <w:gridCol w:w="940"/>
        <w:gridCol w:w="970"/>
        <w:gridCol w:w="970"/>
        <w:gridCol w:w="970"/>
        <w:gridCol w:w="970"/>
      </w:tblGrid>
      <w:tr w:rsidR="005606F5" w:rsidRPr="00C763A7" w:rsidTr="001B1DFA">
        <w:trPr>
          <w:trHeight w:val="300"/>
        </w:trPr>
        <w:tc>
          <w:tcPr>
            <w:tcW w:w="4388" w:type="dxa"/>
            <w:shd w:val="clear" w:color="auto" w:fill="C6D9F1" w:themeFill="text2" w:themeFillTint="33"/>
            <w:vAlign w:val="bottom"/>
          </w:tcPr>
          <w:p w:rsidR="005606F5" w:rsidRPr="00C763A7" w:rsidRDefault="005606F5" w:rsidP="001B1DFA">
            <w:pPr>
              <w:rPr>
                <w:rFonts w:cs="Calibri"/>
                <w:b/>
                <w:bCs/>
                <w:color w:val="000000"/>
              </w:rPr>
            </w:pPr>
            <w:r>
              <w:rPr>
                <w:rFonts w:cs="Calibri"/>
                <w:b/>
                <w:bCs/>
                <w:color w:val="000000"/>
              </w:rPr>
              <w:t>National Participant outcome achievement</w:t>
            </w:r>
          </w:p>
        </w:tc>
        <w:tc>
          <w:tcPr>
            <w:tcW w:w="999" w:type="dxa"/>
            <w:shd w:val="clear" w:color="auto" w:fill="C6D9F1" w:themeFill="text2" w:themeFillTint="33"/>
            <w:vAlign w:val="bottom"/>
          </w:tcPr>
          <w:p w:rsidR="005606F5" w:rsidRDefault="005606F5" w:rsidP="001B1DFA">
            <w:pPr>
              <w:jc w:val="center"/>
              <w:rPr>
                <w:rFonts w:cs="Calibri"/>
                <w:b/>
                <w:bCs/>
                <w:color w:val="000000"/>
              </w:rPr>
            </w:pPr>
            <w:r>
              <w:rPr>
                <w:rFonts w:cs="Calibri"/>
                <w:b/>
                <w:bCs/>
                <w:color w:val="000000"/>
              </w:rPr>
              <w:t>Level 1</w:t>
            </w:r>
          </w:p>
          <w:p w:rsidR="005606F5" w:rsidRPr="00C763A7" w:rsidRDefault="005606F5" w:rsidP="001B1DFA">
            <w:pPr>
              <w:jc w:val="center"/>
              <w:rPr>
                <w:rFonts w:cs="Calibri"/>
                <w:b/>
                <w:bCs/>
                <w:color w:val="000000"/>
              </w:rPr>
            </w:pPr>
            <w:r>
              <w:rPr>
                <w:rFonts w:cs="Calibri"/>
                <w:b/>
                <w:bCs/>
                <w:color w:val="000000"/>
              </w:rPr>
              <w:t>No.</w:t>
            </w:r>
          </w:p>
        </w:tc>
        <w:tc>
          <w:tcPr>
            <w:tcW w:w="940" w:type="dxa"/>
            <w:shd w:val="clear" w:color="auto" w:fill="C6D9F1" w:themeFill="text2" w:themeFillTint="33"/>
            <w:vAlign w:val="bottom"/>
          </w:tcPr>
          <w:p w:rsidR="005606F5" w:rsidRDefault="005606F5" w:rsidP="001B1DFA">
            <w:pPr>
              <w:jc w:val="center"/>
              <w:rPr>
                <w:rFonts w:cs="Calibri"/>
                <w:b/>
                <w:bCs/>
                <w:color w:val="000000"/>
              </w:rPr>
            </w:pPr>
            <w:r>
              <w:rPr>
                <w:rFonts w:cs="Calibri"/>
                <w:b/>
                <w:bCs/>
                <w:color w:val="000000"/>
              </w:rPr>
              <w:t>Level 1</w:t>
            </w:r>
          </w:p>
          <w:p w:rsidR="005606F5" w:rsidRPr="00C763A7" w:rsidRDefault="005606F5" w:rsidP="001B1DFA">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5606F5" w:rsidRDefault="005606F5"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5606F5" w:rsidRPr="00C763A7" w:rsidRDefault="005606F5" w:rsidP="001B1DFA">
            <w:pPr>
              <w:jc w:val="center"/>
              <w:rPr>
                <w:rFonts w:cs="Calibri"/>
                <w:b/>
                <w:bCs/>
                <w:color w:val="000000"/>
              </w:rPr>
            </w:pPr>
            <w:r>
              <w:rPr>
                <w:rFonts w:cs="Calibri"/>
                <w:b/>
                <w:bCs/>
                <w:color w:val="000000"/>
              </w:rPr>
              <w:t>No.</w:t>
            </w:r>
          </w:p>
        </w:tc>
        <w:tc>
          <w:tcPr>
            <w:tcW w:w="970" w:type="dxa"/>
            <w:shd w:val="clear" w:color="auto" w:fill="C6D9F1" w:themeFill="text2" w:themeFillTint="33"/>
            <w:noWrap/>
            <w:vAlign w:val="bottom"/>
          </w:tcPr>
          <w:p w:rsidR="005606F5" w:rsidRDefault="005606F5"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p w:rsidR="005606F5" w:rsidRPr="00C763A7" w:rsidRDefault="005606F5" w:rsidP="001B1DFA">
            <w:pPr>
              <w:jc w:val="center"/>
              <w:rPr>
                <w:rFonts w:cs="Calibri"/>
                <w:b/>
                <w:bCs/>
                <w:color w:val="000000"/>
              </w:rPr>
            </w:pPr>
            <w:r>
              <w:rPr>
                <w:rFonts w:cs="Calibri"/>
                <w:b/>
                <w:bCs/>
                <w:color w:val="000000"/>
              </w:rPr>
              <w:t>%</w:t>
            </w:r>
          </w:p>
        </w:tc>
        <w:tc>
          <w:tcPr>
            <w:tcW w:w="970" w:type="dxa"/>
            <w:shd w:val="clear" w:color="auto" w:fill="C6D9F1" w:themeFill="text2" w:themeFillTint="33"/>
            <w:vAlign w:val="bottom"/>
          </w:tcPr>
          <w:p w:rsidR="005606F5" w:rsidRDefault="005606F5"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5606F5" w:rsidRPr="00C763A7" w:rsidRDefault="005606F5" w:rsidP="001B1DFA">
            <w:pPr>
              <w:jc w:val="center"/>
              <w:rPr>
                <w:rFonts w:cs="Calibri"/>
                <w:b/>
                <w:bCs/>
                <w:color w:val="000000"/>
              </w:rPr>
            </w:pPr>
            <w:r>
              <w:rPr>
                <w:rFonts w:cs="Calibri"/>
                <w:b/>
                <w:bCs/>
                <w:color w:val="000000"/>
              </w:rPr>
              <w:t>No.</w:t>
            </w:r>
          </w:p>
        </w:tc>
        <w:tc>
          <w:tcPr>
            <w:tcW w:w="970" w:type="dxa"/>
            <w:shd w:val="clear" w:color="auto" w:fill="C6D9F1" w:themeFill="text2" w:themeFillTint="33"/>
            <w:vAlign w:val="bottom"/>
          </w:tcPr>
          <w:p w:rsidR="005606F5" w:rsidRDefault="005606F5"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p w:rsidR="005606F5" w:rsidRPr="00C763A7" w:rsidRDefault="005606F5" w:rsidP="001B1DFA">
            <w:pPr>
              <w:jc w:val="center"/>
              <w:rPr>
                <w:rFonts w:cs="Calibri"/>
                <w:b/>
                <w:bCs/>
                <w:color w:val="000000"/>
              </w:rPr>
            </w:pPr>
            <w:r>
              <w:rPr>
                <w:rFonts w:cs="Calibri"/>
                <w:b/>
                <w:bCs/>
                <w:color w:val="000000"/>
              </w:rPr>
              <w:t>%</w:t>
            </w:r>
          </w:p>
        </w:tc>
      </w:tr>
      <w:tr w:rsidR="005606F5" w:rsidRPr="00C763A7" w:rsidTr="001B1DFA">
        <w:trPr>
          <w:trHeight w:val="300"/>
        </w:trPr>
        <w:tc>
          <w:tcPr>
            <w:tcW w:w="4388" w:type="dxa"/>
            <w:vAlign w:val="bottom"/>
          </w:tcPr>
          <w:p w:rsidR="005606F5" w:rsidRPr="00C763A7" w:rsidRDefault="005606F5" w:rsidP="001B1DFA">
            <w:pPr>
              <w:spacing w:before="40" w:after="40"/>
              <w:rPr>
                <w:rFonts w:cs="Calibri"/>
                <w:color w:val="000000"/>
              </w:rPr>
            </w:pPr>
            <w:r>
              <w:rPr>
                <w:rFonts w:cs="Calibri"/>
                <w:color w:val="000000"/>
              </w:rPr>
              <w:t>Achieved a final outcome</w:t>
            </w:r>
          </w:p>
        </w:tc>
        <w:tc>
          <w:tcPr>
            <w:tcW w:w="999" w:type="dxa"/>
            <w:vAlign w:val="bottom"/>
          </w:tcPr>
          <w:p w:rsidR="005606F5" w:rsidRDefault="005606F5" w:rsidP="001B1DFA">
            <w:pPr>
              <w:spacing w:before="40" w:after="40"/>
              <w:jc w:val="right"/>
              <w:rPr>
                <w:rFonts w:cs="Calibri"/>
                <w:color w:val="000000"/>
              </w:rPr>
            </w:pPr>
            <w:r>
              <w:rPr>
                <w:rFonts w:cs="Calibri"/>
                <w:color w:val="000000"/>
              </w:rPr>
              <w:t>7040</w:t>
            </w:r>
          </w:p>
        </w:tc>
        <w:tc>
          <w:tcPr>
            <w:tcW w:w="940" w:type="dxa"/>
            <w:vAlign w:val="bottom"/>
          </w:tcPr>
          <w:p w:rsidR="005606F5" w:rsidRDefault="005606F5" w:rsidP="001B1DFA">
            <w:pPr>
              <w:spacing w:before="40" w:after="40"/>
              <w:jc w:val="right"/>
              <w:rPr>
                <w:rFonts w:cs="Calibri"/>
                <w:color w:val="000000"/>
              </w:rPr>
            </w:pPr>
            <w:r>
              <w:rPr>
                <w:rFonts w:cs="Calibri"/>
                <w:color w:val="000000"/>
              </w:rPr>
              <w:t>69%</w:t>
            </w:r>
          </w:p>
        </w:tc>
        <w:tc>
          <w:tcPr>
            <w:tcW w:w="970" w:type="dxa"/>
            <w:vAlign w:val="bottom"/>
          </w:tcPr>
          <w:p w:rsidR="005606F5" w:rsidRDefault="005606F5" w:rsidP="001B1DFA">
            <w:pPr>
              <w:spacing w:before="40" w:after="40"/>
              <w:jc w:val="right"/>
              <w:rPr>
                <w:rFonts w:cs="Calibri"/>
                <w:color w:val="000000"/>
              </w:rPr>
            </w:pPr>
            <w:r>
              <w:rPr>
                <w:rFonts w:cs="Calibri"/>
                <w:color w:val="000000"/>
              </w:rPr>
              <w:t>8580</w:t>
            </w:r>
          </w:p>
        </w:tc>
        <w:tc>
          <w:tcPr>
            <w:tcW w:w="970" w:type="dxa"/>
            <w:shd w:val="clear" w:color="auto" w:fill="auto"/>
            <w:noWrap/>
            <w:vAlign w:val="bottom"/>
          </w:tcPr>
          <w:p w:rsidR="005606F5" w:rsidRDefault="005606F5" w:rsidP="001B1DFA">
            <w:pPr>
              <w:spacing w:before="40" w:after="40"/>
              <w:jc w:val="right"/>
              <w:rPr>
                <w:rFonts w:cs="Calibri"/>
                <w:color w:val="000000"/>
              </w:rPr>
            </w:pPr>
            <w:r>
              <w:rPr>
                <w:rFonts w:cs="Calibri"/>
                <w:color w:val="000000"/>
              </w:rPr>
              <w:t>62%</w:t>
            </w:r>
          </w:p>
        </w:tc>
        <w:tc>
          <w:tcPr>
            <w:tcW w:w="970" w:type="dxa"/>
            <w:vAlign w:val="bottom"/>
          </w:tcPr>
          <w:p w:rsidR="005606F5" w:rsidRDefault="005606F5" w:rsidP="001B1DFA">
            <w:pPr>
              <w:spacing w:before="40" w:after="40"/>
              <w:jc w:val="right"/>
              <w:rPr>
                <w:rFonts w:cs="Calibri"/>
                <w:color w:val="000000"/>
              </w:rPr>
            </w:pPr>
            <w:r>
              <w:rPr>
                <w:rFonts w:cs="Calibri"/>
                <w:color w:val="000000"/>
              </w:rPr>
              <w:t>8260</w:t>
            </w:r>
          </w:p>
        </w:tc>
        <w:tc>
          <w:tcPr>
            <w:tcW w:w="970" w:type="dxa"/>
            <w:vAlign w:val="bottom"/>
          </w:tcPr>
          <w:p w:rsidR="005606F5" w:rsidRDefault="005606F5" w:rsidP="001B1DFA">
            <w:pPr>
              <w:spacing w:before="40" w:after="40"/>
              <w:jc w:val="right"/>
              <w:rPr>
                <w:rFonts w:cs="Calibri"/>
                <w:color w:val="000000"/>
              </w:rPr>
            </w:pPr>
            <w:r>
              <w:rPr>
                <w:rFonts w:cs="Calibri"/>
                <w:color w:val="000000"/>
              </w:rPr>
              <w:t>56%</w:t>
            </w:r>
          </w:p>
        </w:tc>
      </w:tr>
      <w:tr w:rsidR="005606F5" w:rsidRPr="00C763A7" w:rsidTr="001B1DFA">
        <w:trPr>
          <w:trHeight w:val="111"/>
        </w:trPr>
        <w:tc>
          <w:tcPr>
            <w:tcW w:w="4388" w:type="dxa"/>
            <w:vAlign w:val="bottom"/>
          </w:tcPr>
          <w:p w:rsidR="005606F5" w:rsidRPr="00C763A7" w:rsidRDefault="005606F5" w:rsidP="001B1DFA">
            <w:pPr>
              <w:spacing w:before="40" w:after="40"/>
              <w:rPr>
                <w:rFonts w:cs="Calibri"/>
                <w:color w:val="000000"/>
              </w:rPr>
            </w:pPr>
            <w:r>
              <w:rPr>
                <w:rFonts w:cs="Calibri"/>
                <w:color w:val="000000"/>
              </w:rPr>
              <w:t>Achieved a progressive outcome</w:t>
            </w:r>
          </w:p>
        </w:tc>
        <w:tc>
          <w:tcPr>
            <w:tcW w:w="999" w:type="dxa"/>
            <w:vAlign w:val="bottom"/>
          </w:tcPr>
          <w:p w:rsidR="005606F5" w:rsidRDefault="005606F5" w:rsidP="001B1DFA">
            <w:pPr>
              <w:spacing w:before="40" w:after="40"/>
              <w:jc w:val="right"/>
              <w:rPr>
                <w:rFonts w:cs="Calibri"/>
                <w:color w:val="000000"/>
              </w:rPr>
            </w:pPr>
            <w:r>
              <w:rPr>
                <w:rFonts w:cs="Calibri"/>
                <w:color w:val="000000"/>
              </w:rPr>
              <w:t>8068</w:t>
            </w:r>
          </w:p>
        </w:tc>
        <w:tc>
          <w:tcPr>
            <w:tcW w:w="940" w:type="dxa"/>
            <w:vAlign w:val="bottom"/>
          </w:tcPr>
          <w:p w:rsidR="005606F5" w:rsidRDefault="005606F5" w:rsidP="001B1DFA">
            <w:pPr>
              <w:spacing w:before="40" w:after="40"/>
              <w:jc w:val="right"/>
              <w:rPr>
                <w:rFonts w:cs="Calibri"/>
                <w:color w:val="000000"/>
              </w:rPr>
            </w:pPr>
            <w:r>
              <w:rPr>
                <w:rFonts w:cs="Calibri"/>
                <w:color w:val="000000"/>
              </w:rPr>
              <w:t>79%</w:t>
            </w:r>
          </w:p>
        </w:tc>
        <w:tc>
          <w:tcPr>
            <w:tcW w:w="970" w:type="dxa"/>
            <w:vAlign w:val="bottom"/>
          </w:tcPr>
          <w:p w:rsidR="005606F5" w:rsidRDefault="005606F5" w:rsidP="001B1DFA">
            <w:pPr>
              <w:spacing w:before="40" w:after="40"/>
              <w:jc w:val="right"/>
              <w:rPr>
                <w:rFonts w:cs="Calibri"/>
                <w:color w:val="000000"/>
              </w:rPr>
            </w:pPr>
            <w:r>
              <w:rPr>
                <w:rFonts w:cs="Calibri"/>
                <w:color w:val="000000"/>
              </w:rPr>
              <w:t>10,579</w:t>
            </w:r>
          </w:p>
        </w:tc>
        <w:tc>
          <w:tcPr>
            <w:tcW w:w="970" w:type="dxa"/>
            <w:shd w:val="clear" w:color="auto" w:fill="auto"/>
            <w:noWrap/>
            <w:vAlign w:val="bottom"/>
            <w:hideMark/>
          </w:tcPr>
          <w:p w:rsidR="005606F5" w:rsidRDefault="005606F5" w:rsidP="001B1DFA">
            <w:pPr>
              <w:spacing w:before="40" w:after="40"/>
              <w:jc w:val="right"/>
              <w:rPr>
                <w:rFonts w:cs="Calibri"/>
                <w:color w:val="000000"/>
              </w:rPr>
            </w:pPr>
            <w:r>
              <w:rPr>
                <w:rFonts w:cs="Calibri"/>
                <w:color w:val="000000"/>
              </w:rPr>
              <w:t>77%</w:t>
            </w:r>
          </w:p>
        </w:tc>
        <w:tc>
          <w:tcPr>
            <w:tcW w:w="970" w:type="dxa"/>
            <w:vAlign w:val="bottom"/>
          </w:tcPr>
          <w:p w:rsidR="005606F5" w:rsidRDefault="005606F5" w:rsidP="001B1DFA">
            <w:pPr>
              <w:spacing w:before="40" w:after="40"/>
              <w:jc w:val="right"/>
              <w:rPr>
                <w:rFonts w:cs="Calibri"/>
                <w:color w:val="000000"/>
              </w:rPr>
            </w:pPr>
            <w:r>
              <w:rPr>
                <w:rFonts w:cs="Calibri"/>
                <w:color w:val="000000"/>
              </w:rPr>
              <w:t>10,599</w:t>
            </w:r>
          </w:p>
        </w:tc>
        <w:tc>
          <w:tcPr>
            <w:tcW w:w="970" w:type="dxa"/>
            <w:vAlign w:val="bottom"/>
          </w:tcPr>
          <w:p w:rsidR="005606F5" w:rsidRDefault="005606F5" w:rsidP="001B1DFA">
            <w:pPr>
              <w:spacing w:before="40" w:after="40"/>
              <w:jc w:val="right"/>
              <w:rPr>
                <w:rFonts w:cs="Calibri"/>
                <w:color w:val="000000"/>
              </w:rPr>
            </w:pPr>
            <w:r>
              <w:rPr>
                <w:rFonts w:cs="Calibri"/>
                <w:color w:val="000000"/>
              </w:rPr>
              <w:t>72%</w:t>
            </w:r>
          </w:p>
        </w:tc>
      </w:tr>
    </w:tbl>
    <w:p w:rsidR="005606F5" w:rsidRDefault="005606F5" w:rsidP="005606F5"/>
    <w:p w:rsidR="001657CD" w:rsidRDefault="001657CD" w:rsidP="001657CD">
      <w:pPr>
        <w:pStyle w:val="Caption"/>
        <w:keepNext/>
      </w:pPr>
      <w:r>
        <w:lastRenderedPageBreak/>
        <w:t>Figure 11: % Achieving an outcomes (progressive or final) by characteristic</w:t>
      </w:r>
    </w:p>
    <w:p w:rsidR="001657CD" w:rsidRDefault="001657CD" w:rsidP="001657CD">
      <w:pPr>
        <w:jc w:val="center"/>
      </w:pPr>
      <w:r w:rsidRPr="00801619">
        <w:rPr>
          <w:noProof/>
          <w:lang w:eastAsia="en-AU"/>
        </w:rPr>
        <w:drawing>
          <wp:inline distT="0" distB="0" distL="0" distR="0" wp14:anchorId="657D3BCC" wp14:editId="106BFF4B">
            <wp:extent cx="6082772" cy="4488873"/>
            <wp:effectExtent l="0" t="0" r="13335" b="26035"/>
            <wp:docPr id="15" name="Chart 15" descr="QLD and National percentage achieving an outcome (progressive or final)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606F5" w:rsidRDefault="005606F5" w:rsidP="001657CD">
      <w:pPr>
        <w:jc w:val="center"/>
      </w:pPr>
    </w:p>
    <w:p w:rsidR="001657CD" w:rsidRDefault="001657CD" w:rsidP="001657CD">
      <w:pPr>
        <w:pStyle w:val="Caption"/>
        <w:keepNext/>
      </w:pPr>
      <w:r>
        <w:t xml:space="preserve">Figure 12: % </w:t>
      </w:r>
      <w:proofErr w:type="gramStart"/>
      <w:r>
        <w:t>Achieving</w:t>
      </w:r>
      <w:proofErr w:type="gramEnd"/>
      <w:r>
        <w:t xml:space="preserve"> a final outcome by characteristic</w:t>
      </w:r>
    </w:p>
    <w:p w:rsidR="001657CD" w:rsidRDefault="001657CD" w:rsidP="001657CD">
      <w:pPr>
        <w:ind w:right="-567"/>
      </w:pPr>
      <w:r w:rsidRPr="00801619">
        <w:rPr>
          <w:noProof/>
          <w:lang w:eastAsia="en-AU"/>
        </w:rPr>
        <w:drawing>
          <wp:inline distT="0" distB="0" distL="0" distR="0" wp14:anchorId="1C11DA0D" wp14:editId="73E6DD97">
            <wp:extent cx="6084042" cy="3752602"/>
            <wp:effectExtent l="0" t="0" r="12065" b="19685"/>
            <wp:docPr id="17" name="Chart 17" descr="QLD and National percentage achieving a final outcome by characteristic, graphic representation of tables 15 and 16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657CD" w:rsidRPr="00E9731F" w:rsidRDefault="00FD03F9" w:rsidP="00ED3CBC">
      <w:pPr>
        <w:pStyle w:val="Heading3"/>
      </w:pPr>
      <w:r>
        <w:lastRenderedPageBreak/>
        <w:t xml:space="preserve">Table 15: </w:t>
      </w:r>
      <w:r>
        <w:rPr>
          <w:lang w:val="en-AU"/>
        </w:rPr>
        <w:t>QLD</w:t>
      </w:r>
      <w:r w:rsidR="001657CD">
        <w:t>- Participant outcome achievement by characteristic</w:t>
      </w:r>
    </w:p>
    <w:tbl>
      <w:tblPr>
        <w:tblW w:w="10207" w:type="dxa"/>
        <w:tblInd w:w="108" w:type="dxa"/>
        <w:tblLook w:val="04A0" w:firstRow="1" w:lastRow="0" w:firstColumn="1" w:lastColumn="0" w:noHBand="0" w:noVBand="1"/>
      </w:tblPr>
      <w:tblGrid>
        <w:gridCol w:w="2835"/>
        <w:gridCol w:w="1228"/>
        <w:gridCol w:w="1229"/>
        <w:gridCol w:w="1229"/>
        <w:gridCol w:w="1228"/>
        <w:gridCol w:w="1229"/>
        <w:gridCol w:w="1229"/>
      </w:tblGrid>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br w:type="page"/>
            </w:r>
            <w:r>
              <w:rPr>
                <w:rFonts w:cs="Calibri"/>
                <w:b/>
                <w:bCs/>
                <w:color w:val="000000"/>
              </w:rPr>
              <w:t>QLD - Participant Characteristic</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Achieved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Achieved a Final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657CD" w:rsidRPr="00C763A7" w:rsidRDefault="001657CD" w:rsidP="001B1DFA">
            <w:pPr>
              <w:jc w:val="center"/>
              <w:rPr>
                <w:rFonts w:cs="Calibri"/>
                <w:b/>
                <w:bCs/>
                <w:color w:val="000000"/>
              </w:rPr>
            </w:pPr>
            <w:r>
              <w:rPr>
                <w:rFonts w:cs="Calibri"/>
                <w:b/>
                <w:bCs/>
                <w:color w:val="000000"/>
              </w:rPr>
              <w:t>Grand Total</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of total achieving an outcome</w:t>
            </w:r>
          </w:p>
        </w:tc>
        <w:tc>
          <w:tcPr>
            <w:tcW w:w="122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of total achieving a final outcome</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Culturally and linguistically diverse</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368</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298</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441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83%</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68%</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Disability</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279</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203</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321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87%</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63%</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Humanitarian Refugee</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13</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16</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69%</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Indigenous Australian</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1094</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800</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333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1427</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77%</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56%</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Parent</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101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58</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23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124</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47%</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Receiving Centrelink Income Support</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1472</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1030</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488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1960</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75%</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53%</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Suspected or diagnosed mental health issue</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881</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609</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156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1037</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85%</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59%</w:t>
            </w:r>
          </w:p>
        </w:tc>
      </w:tr>
      <w:tr w:rsidR="001657CD" w:rsidRPr="00C763A7" w:rsidTr="001B1DFA">
        <w:trPr>
          <w:trHeight w:val="300"/>
        </w:trPr>
        <w:tc>
          <w:tcPr>
            <w:tcW w:w="283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Young Carer</w:t>
            </w:r>
          </w:p>
        </w:tc>
        <w:tc>
          <w:tcPr>
            <w:tcW w:w="1228"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74</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47</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18</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92</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80%</w:t>
            </w:r>
          </w:p>
        </w:tc>
        <w:tc>
          <w:tcPr>
            <w:tcW w:w="122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51%</w:t>
            </w:r>
          </w:p>
        </w:tc>
      </w:tr>
    </w:tbl>
    <w:p w:rsidR="001657CD" w:rsidRDefault="001657CD" w:rsidP="001657CD">
      <w:pPr>
        <w:ind w:right="-567" w:hanging="426"/>
      </w:pPr>
    </w:p>
    <w:p w:rsidR="005606F5" w:rsidRDefault="005606F5">
      <w:pPr>
        <w:spacing w:line="240" w:lineRule="auto"/>
        <w:rPr>
          <w:rFonts w:eastAsia="Times New Roman"/>
          <w:b/>
          <w:bCs/>
          <w:lang w:val="x-none"/>
        </w:rPr>
      </w:pPr>
    </w:p>
    <w:p w:rsidR="001657CD" w:rsidRPr="008A4267" w:rsidRDefault="001657CD" w:rsidP="00ED3CBC">
      <w:pPr>
        <w:pStyle w:val="Heading3"/>
      </w:pPr>
      <w:r>
        <w:t>Table 16: National- Participant outcome achievement by characteristic</w:t>
      </w:r>
    </w:p>
    <w:tbl>
      <w:tblPr>
        <w:tblW w:w="10207" w:type="dxa"/>
        <w:tblInd w:w="108" w:type="dxa"/>
        <w:tblLook w:val="04A0" w:firstRow="1" w:lastRow="0" w:firstColumn="1" w:lastColumn="0" w:noHBand="0" w:noVBand="1"/>
      </w:tblPr>
      <w:tblGrid>
        <w:gridCol w:w="2807"/>
        <w:gridCol w:w="1269"/>
        <w:gridCol w:w="1226"/>
        <w:gridCol w:w="1225"/>
        <w:gridCol w:w="1228"/>
        <w:gridCol w:w="1226"/>
        <w:gridCol w:w="1226"/>
      </w:tblGrid>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National – Participant Characteristic</w:t>
            </w:r>
          </w:p>
        </w:tc>
        <w:tc>
          <w:tcPr>
            <w:tcW w:w="126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Achieved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Achieved a Final Outcome</w:t>
            </w:r>
          </w:p>
        </w:tc>
        <w:tc>
          <w:tcPr>
            <w:tcW w:w="12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Not yet achieved</w:t>
            </w:r>
          </w:p>
        </w:tc>
        <w:tc>
          <w:tcPr>
            <w:tcW w:w="12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1657CD" w:rsidRPr="00C763A7" w:rsidRDefault="001657CD" w:rsidP="001B1DFA">
            <w:pPr>
              <w:jc w:val="center"/>
              <w:rPr>
                <w:rFonts w:cs="Calibri"/>
                <w:b/>
                <w:bCs/>
                <w:color w:val="000000"/>
              </w:rPr>
            </w:pPr>
            <w:r>
              <w:rPr>
                <w:rFonts w:cs="Calibri"/>
                <w:b/>
                <w:bCs/>
                <w:color w:val="000000"/>
              </w:rPr>
              <w:t>Grand Total</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of total achieving an outcome</w:t>
            </w:r>
          </w:p>
        </w:tc>
        <w:tc>
          <w:tcPr>
            <w:tcW w:w="12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of total achieving a final outcome</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Culturally and linguistically diverse</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2144</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1754</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465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2609</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82%</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67%</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Disability</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1380</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1041</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322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1702</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81%</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61%</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Humanitarian Refugee</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423</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357</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83</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506</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84%</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71%</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Indigenous Australian</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4804</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3306</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1999</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6803</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71%</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49%</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Parent</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495</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312</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156</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651</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76%</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48%</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Receiving Centrelink Income Support</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8178</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5780</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3121</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11,299</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72%</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51%</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Suspected or diagnosed mental health issue</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6216</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4602</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1435</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7651</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81%</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60%</w:t>
            </w:r>
          </w:p>
        </w:tc>
      </w:tr>
      <w:tr w:rsidR="001657CD" w:rsidRPr="00C763A7" w:rsidTr="001B1DFA">
        <w:trPr>
          <w:trHeight w:val="300"/>
        </w:trPr>
        <w:tc>
          <w:tcPr>
            <w:tcW w:w="2807"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rPr>
                <w:rFonts w:cs="Calibri"/>
                <w:color w:val="000000"/>
              </w:rPr>
            </w:pPr>
            <w:r>
              <w:rPr>
                <w:rFonts w:cs="Calibri"/>
                <w:color w:val="000000"/>
              </w:rPr>
              <w:t>Young Carer</w:t>
            </w:r>
          </w:p>
        </w:tc>
        <w:tc>
          <w:tcPr>
            <w:tcW w:w="1269"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630</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471</w:t>
            </w:r>
          </w:p>
        </w:tc>
        <w:tc>
          <w:tcPr>
            <w:tcW w:w="1225"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154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7CD" w:rsidRDefault="001657CD" w:rsidP="001B1DFA">
            <w:pPr>
              <w:jc w:val="right"/>
              <w:rPr>
                <w:rFonts w:cs="Calibri"/>
                <w:color w:val="000000"/>
              </w:rPr>
            </w:pPr>
            <w:r>
              <w:rPr>
                <w:rFonts w:cs="Calibri"/>
                <w:color w:val="000000"/>
              </w:rPr>
              <w:t>784</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80%</w:t>
            </w:r>
          </w:p>
        </w:tc>
        <w:tc>
          <w:tcPr>
            <w:tcW w:w="1226" w:type="dxa"/>
            <w:tcBorders>
              <w:top w:val="single" w:sz="4" w:space="0" w:color="auto"/>
              <w:left w:val="single" w:sz="4" w:space="0" w:color="auto"/>
              <w:bottom w:val="single" w:sz="4" w:space="0" w:color="auto"/>
              <w:right w:val="single" w:sz="4" w:space="0" w:color="auto"/>
            </w:tcBorders>
            <w:vAlign w:val="bottom"/>
          </w:tcPr>
          <w:p w:rsidR="001657CD" w:rsidRDefault="001657CD" w:rsidP="001B1DFA">
            <w:pPr>
              <w:jc w:val="right"/>
              <w:rPr>
                <w:rFonts w:cs="Calibri"/>
                <w:color w:val="000000"/>
              </w:rPr>
            </w:pPr>
            <w:r>
              <w:rPr>
                <w:rFonts w:cs="Calibri"/>
                <w:color w:val="000000"/>
              </w:rPr>
              <w:t>60%</w:t>
            </w:r>
          </w:p>
        </w:tc>
      </w:tr>
    </w:tbl>
    <w:p w:rsidR="001657CD" w:rsidRDefault="001657CD" w:rsidP="001657CD">
      <w:pPr>
        <w:ind w:right="-567" w:hanging="426"/>
        <w:sectPr w:rsidR="001657CD" w:rsidSect="001B1DFA">
          <w:pgSz w:w="11906" w:h="16838"/>
          <w:pgMar w:top="1276" w:right="1077" w:bottom="1276" w:left="1077" w:header="709" w:footer="709" w:gutter="0"/>
          <w:cols w:space="708"/>
          <w:docGrid w:linePitch="360"/>
        </w:sectPr>
      </w:pPr>
    </w:p>
    <w:p w:rsidR="001657CD" w:rsidRDefault="00FD03F9" w:rsidP="001657CD">
      <w:pPr>
        <w:pStyle w:val="Caption"/>
        <w:keepNext/>
      </w:pPr>
      <w:r>
        <w:lastRenderedPageBreak/>
        <w:t>Figure 13: QLD</w:t>
      </w:r>
      <w:r w:rsidR="001657CD">
        <w:t xml:space="preserve"> – Final outcomes achieved </w:t>
      </w:r>
      <w:r w:rsidR="001657CD" w:rsidRPr="00801619">
        <w:rPr>
          <w:noProof/>
        </w:rPr>
        <w:drawing>
          <wp:inline distT="0" distB="0" distL="0" distR="0" wp14:anchorId="46257722" wp14:editId="265831C3">
            <wp:extent cx="9286504" cy="2956956"/>
            <wp:effectExtent l="0" t="0" r="10160" b="15240"/>
            <wp:docPr id="19" name="Chart 19" descr="QLD Final outcomes achieved,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657CD" w:rsidRDefault="001657CD" w:rsidP="001657CD">
      <w:pPr>
        <w:pStyle w:val="Caption"/>
        <w:keepNext/>
      </w:pPr>
      <w:r>
        <w:t>Figure 14: National – Final outcomes achieved</w:t>
      </w:r>
    </w:p>
    <w:p w:rsidR="001657CD" w:rsidRDefault="001657CD" w:rsidP="001657CD">
      <w:pPr>
        <w:ind w:right="-567"/>
      </w:pPr>
      <w:r w:rsidRPr="00801619">
        <w:rPr>
          <w:noProof/>
          <w:lang w:eastAsia="en-AU"/>
        </w:rPr>
        <w:drawing>
          <wp:inline distT="0" distB="0" distL="0" distR="0" wp14:anchorId="4DC681ED" wp14:editId="53733C49">
            <wp:extent cx="9262819" cy="2790701"/>
            <wp:effectExtent l="0" t="0" r="14605" b="10160"/>
            <wp:docPr id="18" name="Chart 18" descr="National Final outcomes achieved, graphic representation of table 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657CD" w:rsidRDefault="00FD03F9" w:rsidP="001657CD">
      <w:pPr>
        <w:pStyle w:val="Caption"/>
        <w:keepNext/>
      </w:pPr>
      <w:r>
        <w:lastRenderedPageBreak/>
        <w:t>Figure 15: QLD</w:t>
      </w:r>
      <w:r w:rsidR="001657CD">
        <w:t xml:space="preserve"> – Final Outcomes Achieved by Connection Level</w:t>
      </w:r>
      <w:r w:rsidR="001657CD" w:rsidRPr="00801619">
        <w:rPr>
          <w:noProof/>
        </w:rPr>
        <w:drawing>
          <wp:inline distT="0" distB="0" distL="0" distR="0" wp14:anchorId="57D47558" wp14:editId="0CA685F1">
            <wp:extent cx="9610188" cy="2968831"/>
            <wp:effectExtent l="0" t="0" r="10160" b="22225"/>
            <wp:docPr id="20" name="Chart 20" descr="QLD Final outcomes achieved by connection level, graphic representation of table 17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657CD" w:rsidRPr="00FC7154" w:rsidRDefault="001657CD" w:rsidP="001657CD">
      <w:pPr>
        <w:pStyle w:val="Caption"/>
        <w:keepNext/>
      </w:pPr>
      <w:r>
        <w:lastRenderedPageBreak/>
        <w:t>Figure 16: National – Final Outcomes Achieved by Connection Level</w:t>
      </w:r>
      <w:r w:rsidRPr="00801619">
        <w:rPr>
          <w:noProof/>
        </w:rPr>
        <w:drawing>
          <wp:inline distT="0" distB="0" distL="0" distR="0" wp14:anchorId="54A27982" wp14:editId="781C4C76">
            <wp:extent cx="9614188" cy="2968831"/>
            <wp:effectExtent l="0" t="0" r="25400" b="22225"/>
            <wp:docPr id="22" name="Chart 22" descr="National Final outcomes achieved by connection level, graphic representation of table18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657CD" w:rsidRDefault="001657CD" w:rsidP="001657CD">
      <w:pPr>
        <w:ind w:right="-567" w:hanging="426"/>
        <w:sectPr w:rsidR="001657CD" w:rsidSect="001B1DFA">
          <w:pgSz w:w="16838" w:h="11906" w:orient="landscape"/>
          <w:pgMar w:top="851" w:right="1134" w:bottom="993" w:left="1440" w:header="708" w:footer="708" w:gutter="0"/>
          <w:cols w:space="708"/>
          <w:docGrid w:linePitch="360"/>
        </w:sectPr>
      </w:pPr>
    </w:p>
    <w:tbl>
      <w:tblPr>
        <w:tblpPr w:leftFromText="180" w:rightFromText="180" w:horzAnchor="margin" w:tblpY="486"/>
        <w:tblW w:w="10206"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1657CD" w:rsidRPr="00C763A7" w:rsidTr="001B1DFA">
        <w:trPr>
          <w:trHeight w:val="674"/>
        </w:trPr>
        <w:tc>
          <w:tcPr>
            <w:tcW w:w="5954"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lastRenderedPageBreak/>
              <w:t>QLD Final Outcomes Achieved</w:t>
            </w:r>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1657CD" w:rsidRPr="00C763A7" w:rsidRDefault="001657CD" w:rsidP="001B1DFA">
            <w:pPr>
              <w:jc w:val="center"/>
              <w:rPr>
                <w:rFonts w:cs="Calibri"/>
                <w:b/>
                <w:bCs/>
                <w:color w:val="000000"/>
              </w:rPr>
            </w:pPr>
            <w:r>
              <w:rPr>
                <w:rFonts w:cs="Calibri"/>
                <w:b/>
                <w:bCs/>
                <w:color w:val="000000"/>
              </w:rPr>
              <w:t>Total</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212</w:t>
            </w:r>
          </w:p>
        </w:tc>
        <w:tc>
          <w:tcPr>
            <w:tcW w:w="1063" w:type="dxa"/>
            <w:vAlign w:val="center"/>
          </w:tcPr>
          <w:p w:rsidR="001657CD" w:rsidRDefault="001657CD" w:rsidP="001B1DFA">
            <w:pPr>
              <w:jc w:val="center"/>
              <w:rPr>
                <w:rFonts w:cs="Calibri"/>
                <w:color w:val="000000"/>
              </w:rPr>
            </w:pPr>
            <w:r>
              <w:rPr>
                <w:rFonts w:cs="Calibri"/>
                <w:color w:val="000000"/>
              </w:rPr>
              <w:t>885</w:t>
            </w:r>
          </w:p>
        </w:tc>
        <w:tc>
          <w:tcPr>
            <w:tcW w:w="1063" w:type="dxa"/>
            <w:vAlign w:val="center"/>
          </w:tcPr>
          <w:p w:rsidR="001657CD" w:rsidRDefault="001657CD" w:rsidP="001B1DFA">
            <w:pPr>
              <w:jc w:val="center"/>
              <w:rPr>
                <w:rFonts w:cs="Calibri"/>
                <w:color w:val="000000"/>
              </w:rPr>
            </w:pPr>
            <w:r>
              <w:rPr>
                <w:rFonts w:cs="Calibri"/>
                <w:color w:val="000000"/>
              </w:rPr>
              <w:t>122</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1219</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288</w:t>
            </w:r>
          </w:p>
        </w:tc>
        <w:tc>
          <w:tcPr>
            <w:tcW w:w="1063" w:type="dxa"/>
            <w:vAlign w:val="center"/>
          </w:tcPr>
          <w:p w:rsidR="001657CD" w:rsidRDefault="001657CD" w:rsidP="001B1DFA">
            <w:pPr>
              <w:jc w:val="center"/>
              <w:rPr>
                <w:rFonts w:cs="Calibri"/>
                <w:color w:val="000000"/>
              </w:rPr>
            </w:pPr>
            <w:r>
              <w:rPr>
                <w:rFonts w:cs="Calibri"/>
                <w:color w:val="000000"/>
              </w:rPr>
              <w:t>890</w:t>
            </w:r>
          </w:p>
        </w:tc>
        <w:tc>
          <w:tcPr>
            <w:tcW w:w="1063" w:type="dxa"/>
            <w:vAlign w:val="center"/>
          </w:tcPr>
          <w:p w:rsidR="001657CD" w:rsidRDefault="001657CD" w:rsidP="001B1DFA">
            <w:pPr>
              <w:jc w:val="center"/>
              <w:rPr>
                <w:rFonts w:cs="Calibri"/>
                <w:color w:val="000000"/>
              </w:rPr>
            </w:pPr>
            <w:r>
              <w:rPr>
                <w:rFonts w:cs="Calibri"/>
                <w:color w:val="000000"/>
              </w:rPr>
              <w:t>99</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1277</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198</w:t>
            </w:r>
          </w:p>
        </w:tc>
        <w:tc>
          <w:tcPr>
            <w:tcW w:w="1063" w:type="dxa"/>
            <w:vAlign w:val="center"/>
          </w:tcPr>
          <w:p w:rsidR="001657CD" w:rsidRDefault="001657CD" w:rsidP="001B1DFA">
            <w:pPr>
              <w:jc w:val="center"/>
              <w:rPr>
                <w:rFonts w:cs="Calibri"/>
                <w:color w:val="000000"/>
              </w:rPr>
            </w:pPr>
            <w:r>
              <w:rPr>
                <w:rFonts w:cs="Calibri"/>
                <w:color w:val="000000"/>
              </w:rPr>
              <w:t>618</w:t>
            </w:r>
          </w:p>
        </w:tc>
        <w:tc>
          <w:tcPr>
            <w:tcW w:w="1063" w:type="dxa"/>
            <w:vAlign w:val="center"/>
          </w:tcPr>
          <w:p w:rsidR="001657CD" w:rsidRDefault="001657CD" w:rsidP="001B1DFA">
            <w:pPr>
              <w:jc w:val="center"/>
              <w:rPr>
                <w:rFonts w:cs="Calibri"/>
                <w:color w:val="000000"/>
              </w:rPr>
            </w:pPr>
            <w:r>
              <w:rPr>
                <w:rFonts w:cs="Calibri"/>
                <w:color w:val="000000"/>
              </w:rPr>
              <w:t>78</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894</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76</w:t>
            </w:r>
          </w:p>
        </w:tc>
        <w:tc>
          <w:tcPr>
            <w:tcW w:w="1063" w:type="dxa"/>
            <w:vAlign w:val="center"/>
          </w:tcPr>
          <w:p w:rsidR="001657CD" w:rsidRDefault="001657CD" w:rsidP="001B1DFA">
            <w:pPr>
              <w:jc w:val="center"/>
              <w:rPr>
                <w:rFonts w:cs="Calibri"/>
                <w:color w:val="000000"/>
              </w:rPr>
            </w:pPr>
            <w:r>
              <w:rPr>
                <w:rFonts w:cs="Calibri"/>
                <w:color w:val="000000"/>
              </w:rPr>
              <w:t>1165</w:t>
            </w:r>
          </w:p>
        </w:tc>
        <w:tc>
          <w:tcPr>
            <w:tcW w:w="1063" w:type="dxa"/>
            <w:vAlign w:val="center"/>
          </w:tcPr>
          <w:p w:rsidR="001657CD" w:rsidRDefault="001657CD" w:rsidP="001B1DFA">
            <w:pPr>
              <w:jc w:val="center"/>
              <w:rPr>
                <w:rFonts w:cs="Calibri"/>
                <w:color w:val="000000"/>
              </w:rPr>
            </w:pPr>
            <w:r>
              <w:rPr>
                <w:rFonts w:cs="Calibri"/>
                <w:color w:val="000000"/>
              </w:rPr>
              <w:t>108</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1349</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1657CD" w:rsidRDefault="001657CD" w:rsidP="001B1DFA">
            <w:pPr>
              <w:jc w:val="center"/>
              <w:rPr>
                <w:rFonts w:cs="Calibri"/>
                <w:color w:val="000000"/>
              </w:rPr>
            </w:pPr>
            <w:r>
              <w:rPr>
                <w:rFonts w:cs="Calibri"/>
                <w:color w:val="000000"/>
              </w:rPr>
              <w:t>10</w:t>
            </w:r>
          </w:p>
        </w:tc>
        <w:tc>
          <w:tcPr>
            <w:tcW w:w="1063" w:type="dxa"/>
            <w:vAlign w:val="center"/>
          </w:tcPr>
          <w:p w:rsidR="001657CD" w:rsidRDefault="001657CD" w:rsidP="001B1DFA">
            <w:pPr>
              <w:jc w:val="center"/>
              <w:rPr>
                <w:rFonts w:cs="Calibri"/>
                <w:color w:val="000000"/>
              </w:rPr>
            </w:pPr>
            <w:r>
              <w:rPr>
                <w:rFonts w:cs="Calibri"/>
                <w:color w:val="000000"/>
              </w:rPr>
              <w:t>500</w:t>
            </w:r>
          </w:p>
        </w:tc>
        <w:tc>
          <w:tcPr>
            <w:tcW w:w="1063" w:type="dxa"/>
            <w:vAlign w:val="center"/>
          </w:tcPr>
          <w:p w:rsidR="001657CD" w:rsidRDefault="001657CD" w:rsidP="001B1DFA">
            <w:pPr>
              <w:jc w:val="center"/>
              <w:rPr>
                <w:rFonts w:cs="Calibri"/>
                <w:color w:val="000000"/>
              </w:rPr>
            </w:pPr>
            <w:r>
              <w:rPr>
                <w:rFonts w:cs="Calibri"/>
                <w:color w:val="000000"/>
              </w:rPr>
              <w:t>862</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1372</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1657CD" w:rsidRDefault="001657CD" w:rsidP="001B1DFA">
            <w:pPr>
              <w:jc w:val="center"/>
              <w:rPr>
                <w:rFonts w:cs="Calibri"/>
                <w:color w:val="000000"/>
              </w:rPr>
            </w:pPr>
            <w:r>
              <w:rPr>
                <w:rFonts w:cs="Calibri"/>
                <w:color w:val="000000"/>
              </w:rPr>
              <w:t>19</w:t>
            </w:r>
          </w:p>
        </w:tc>
        <w:tc>
          <w:tcPr>
            <w:tcW w:w="1063" w:type="dxa"/>
            <w:vAlign w:val="center"/>
          </w:tcPr>
          <w:p w:rsidR="001657CD" w:rsidRDefault="001657CD" w:rsidP="001B1DFA">
            <w:pPr>
              <w:jc w:val="center"/>
              <w:rPr>
                <w:rFonts w:cs="Calibri"/>
                <w:color w:val="000000"/>
              </w:rPr>
            </w:pPr>
            <w:r>
              <w:rPr>
                <w:rFonts w:cs="Calibri"/>
                <w:color w:val="000000"/>
              </w:rPr>
              <w:t>748</w:t>
            </w:r>
          </w:p>
        </w:tc>
        <w:tc>
          <w:tcPr>
            <w:tcW w:w="1063" w:type="dxa"/>
            <w:vAlign w:val="center"/>
          </w:tcPr>
          <w:p w:rsidR="001657CD" w:rsidRDefault="001657CD" w:rsidP="001B1DFA">
            <w:pPr>
              <w:jc w:val="center"/>
              <w:rPr>
                <w:rFonts w:cs="Calibri"/>
                <w:color w:val="000000"/>
              </w:rPr>
            </w:pPr>
            <w:r>
              <w:rPr>
                <w:rFonts w:cs="Calibri"/>
                <w:color w:val="000000"/>
              </w:rPr>
              <w:t>1059</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1826</w:t>
            </w:r>
          </w:p>
        </w:tc>
      </w:tr>
      <w:tr w:rsidR="001657CD" w:rsidRPr="00C763A7" w:rsidTr="001B1DFA">
        <w:trPr>
          <w:trHeight w:val="300"/>
        </w:trPr>
        <w:tc>
          <w:tcPr>
            <w:tcW w:w="5954" w:type="dxa"/>
            <w:tcBorders>
              <w:bottom w:val="single" w:sz="18" w:space="0" w:color="auto"/>
            </w:tcBorders>
            <w:vAlign w:val="bottom"/>
          </w:tcPr>
          <w:p w:rsidR="001657CD" w:rsidRDefault="001657CD" w:rsidP="001B1DFA">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5</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231</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1602</w:t>
            </w:r>
          </w:p>
        </w:tc>
        <w:tc>
          <w:tcPr>
            <w:tcW w:w="1063" w:type="dxa"/>
            <w:tcBorders>
              <w:bottom w:val="single" w:sz="18" w:space="0" w:color="auto"/>
            </w:tcBorders>
            <w:shd w:val="clear" w:color="auto" w:fill="auto"/>
            <w:noWrap/>
            <w:vAlign w:val="center"/>
            <w:hideMark/>
          </w:tcPr>
          <w:p w:rsidR="001657CD" w:rsidRDefault="001657CD" w:rsidP="001B1DFA">
            <w:pPr>
              <w:jc w:val="center"/>
              <w:rPr>
                <w:rFonts w:cs="Calibri"/>
                <w:color w:val="000000"/>
              </w:rPr>
            </w:pPr>
            <w:r>
              <w:rPr>
                <w:rFonts w:cs="Calibri"/>
                <w:color w:val="000000"/>
              </w:rPr>
              <w:t>1838</w:t>
            </w:r>
          </w:p>
        </w:tc>
      </w:tr>
    </w:tbl>
    <w:p w:rsidR="001657CD" w:rsidRPr="008A4267" w:rsidRDefault="001657CD" w:rsidP="00ED3CBC">
      <w:pPr>
        <w:pStyle w:val="Heading3"/>
      </w:pPr>
      <w:r>
        <w:t>Table 17: QLD- Final Outcomes achieved by Connection Level</w:t>
      </w:r>
    </w:p>
    <w:p w:rsidR="001657CD" w:rsidRDefault="001657CD" w:rsidP="001657CD">
      <w:pPr>
        <w:ind w:right="-567" w:hanging="426"/>
      </w:pPr>
    </w:p>
    <w:p w:rsidR="001657CD" w:rsidRPr="008A4267" w:rsidRDefault="001657CD" w:rsidP="00ED3CBC">
      <w:pPr>
        <w:pStyle w:val="Heading3"/>
      </w:pPr>
      <w:r>
        <w:t>Table 18: National- Final Outcomes achieved by Connection Level</w:t>
      </w:r>
    </w:p>
    <w:tbl>
      <w:tblPr>
        <w:tblW w:w="10206" w:type="dxa"/>
        <w:tblInd w:w="108" w:type="dxa"/>
        <w:tblBorders>
          <w:top w:val="single" w:sz="18" w:space="0" w:color="auto"/>
          <w:left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954"/>
        <w:gridCol w:w="1063"/>
        <w:gridCol w:w="1063"/>
        <w:gridCol w:w="1063"/>
        <w:gridCol w:w="1063"/>
      </w:tblGrid>
      <w:tr w:rsidR="001657CD" w:rsidRPr="00C763A7" w:rsidTr="001B1DFA">
        <w:trPr>
          <w:trHeight w:val="674"/>
          <w:tblHeader/>
        </w:trPr>
        <w:tc>
          <w:tcPr>
            <w:tcW w:w="5954"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National Final Outcomes Achieved</w:t>
            </w:r>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Level 1</w:t>
            </w:r>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2a</w:t>
            </w:r>
            <w:proofErr w:type="spellEnd"/>
          </w:p>
        </w:tc>
        <w:tc>
          <w:tcPr>
            <w:tcW w:w="1063" w:type="dxa"/>
            <w:shd w:val="clear" w:color="auto" w:fill="C6D9F1" w:themeFill="text2" w:themeFillTint="33"/>
            <w:vAlign w:val="center"/>
          </w:tcPr>
          <w:p w:rsidR="001657CD" w:rsidRPr="00C763A7" w:rsidRDefault="001657CD" w:rsidP="001B1DFA">
            <w:pPr>
              <w:jc w:val="center"/>
              <w:rPr>
                <w:rFonts w:cs="Calibri"/>
                <w:b/>
                <w:bCs/>
                <w:color w:val="000000"/>
              </w:rPr>
            </w:pPr>
            <w:r>
              <w:rPr>
                <w:rFonts w:cs="Calibri"/>
                <w:b/>
                <w:bCs/>
                <w:color w:val="000000"/>
              </w:rPr>
              <w:t xml:space="preserve">Level </w:t>
            </w:r>
            <w:proofErr w:type="spellStart"/>
            <w:r>
              <w:rPr>
                <w:rFonts w:cs="Calibri"/>
                <w:b/>
                <w:bCs/>
                <w:color w:val="000000"/>
              </w:rPr>
              <w:t>2b</w:t>
            </w:r>
            <w:proofErr w:type="spellEnd"/>
          </w:p>
        </w:tc>
        <w:tc>
          <w:tcPr>
            <w:tcW w:w="1063" w:type="dxa"/>
            <w:shd w:val="clear" w:color="auto" w:fill="C6D9F1" w:themeFill="text2" w:themeFillTint="33"/>
            <w:noWrap/>
            <w:vAlign w:val="center"/>
            <w:hideMark/>
          </w:tcPr>
          <w:p w:rsidR="001657CD" w:rsidRPr="00C763A7" w:rsidRDefault="001657CD" w:rsidP="001B1DFA">
            <w:pPr>
              <w:jc w:val="center"/>
              <w:rPr>
                <w:rFonts w:cs="Calibri"/>
                <w:b/>
                <w:bCs/>
                <w:color w:val="000000"/>
              </w:rPr>
            </w:pPr>
            <w:r>
              <w:rPr>
                <w:rFonts w:cs="Calibri"/>
                <w:b/>
                <w:bCs/>
                <w:color w:val="000000"/>
              </w:rPr>
              <w:t>Total</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Attendance: The participant’s attendance at school or education setting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3187</w:t>
            </w:r>
          </w:p>
        </w:tc>
        <w:tc>
          <w:tcPr>
            <w:tcW w:w="1063" w:type="dxa"/>
            <w:vAlign w:val="center"/>
          </w:tcPr>
          <w:p w:rsidR="001657CD" w:rsidRDefault="001657CD" w:rsidP="001B1DFA">
            <w:pPr>
              <w:jc w:val="center"/>
              <w:rPr>
                <w:rFonts w:cs="Calibri"/>
                <w:color w:val="000000"/>
              </w:rPr>
            </w:pPr>
            <w:r>
              <w:rPr>
                <w:rFonts w:cs="Calibri"/>
                <w:color w:val="000000"/>
              </w:rPr>
              <w:t>3990</w:t>
            </w:r>
          </w:p>
        </w:tc>
        <w:tc>
          <w:tcPr>
            <w:tcW w:w="1063" w:type="dxa"/>
            <w:vAlign w:val="center"/>
          </w:tcPr>
          <w:p w:rsidR="001657CD" w:rsidRDefault="001657CD" w:rsidP="001B1DFA">
            <w:pPr>
              <w:jc w:val="center"/>
              <w:rPr>
                <w:rFonts w:cs="Calibri"/>
                <w:color w:val="000000"/>
              </w:rPr>
            </w:pPr>
            <w:r>
              <w:rPr>
                <w:rFonts w:cs="Calibri"/>
                <w:color w:val="000000"/>
              </w:rPr>
              <w:t>517</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7694</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Behaviour: The participant’s behaviour at school or educational setting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4410</w:t>
            </w:r>
          </w:p>
        </w:tc>
        <w:tc>
          <w:tcPr>
            <w:tcW w:w="1063" w:type="dxa"/>
            <w:vAlign w:val="center"/>
          </w:tcPr>
          <w:p w:rsidR="001657CD" w:rsidRDefault="001657CD" w:rsidP="001B1DFA">
            <w:pPr>
              <w:jc w:val="center"/>
              <w:rPr>
                <w:rFonts w:cs="Calibri"/>
                <w:color w:val="000000"/>
              </w:rPr>
            </w:pPr>
            <w:r>
              <w:rPr>
                <w:rFonts w:cs="Calibri"/>
                <w:color w:val="000000"/>
              </w:rPr>
              <w:t>3896</w:t>
            </w:r>
          </w:p>
        </w:tc>
        <w:tc>
          <w:tcPr>
            <w:tcW w:w="1063" w:type="dxa"/>
            <w:vAlign w:val="center"/>
          </w:tcPr>
          <w:p w:rsidR="001657CD" w:rsidRDefault="001657CD" w:rsidP="001B1DFA">
            <w:pPr>
              <w:jc w:val="center"/>
              <w:rPr>
                <w:rFonts w:cs="Calibri"/>
                <w:color w:val="000000"/>
              </w:rPr>
            </w:pPr>
            <w:r>
              <w:rPr>
                <w:rFonts w:cs="Calibri"/>
                <w:color w:val="000000"/>
              </w:rPr>
              <w:t>381</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8687</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Educational performance: The participant’s educational performance improved consistently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3954</w:t>
            </w:r>
          </w:p>
        </w:tc>
        <w:tc>
          <w:tcPr>
            <w:tcW w:w="1063" w:type="dxa"/>
            <w:vAlign w:val="center"/>
          </w:tcPr>
          <w:p w:rsidR="001657CD" w:rsidRDefault="001657CD" w:rsidP="001B1DFA">
            <w:pPr>
              <w:jc w:val="center"/>
              <w:rPr>
                <w:rFonts w:cs="Calibri"/>
                <w:color w:val="000000"/>
              </w:rPr>
            </w:pPr>
            <w:r>
              <w:rPr>
                <w:rFonts w:cs="Calibri"/>
                <w:color w:val="000000"/>
              </w:rPr>
              <w:t>3142</w:t>
            </w:r>
          </w:p>
        </w:tc>
        <w:tc>
          <w:tcPr>
            <w:tcW w:w="1063" w:type="dxa"/>
            <w:vAlign w:val="center"/>
          </w:tcPr>
          <w:p w:rsidR="001657CD" w:rsidRDefault="001657CD" w:rsidP="001B1DFA">
            <w:pPr>
              <w:jc w:val="center"/>
              <w:rPr>
                <w:rFonts w:cs="Calibri"/>
                <w:color w:val="000000"/>
              </w:rPr>
            </w:pPr>
            <w:r>
              <w:rPr>
                <w:rFonts w:cs="Calibri"/>
                <w:color w:val="000000"/>
              </w:rPr>
              <w:t>370</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7466</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Strengthened engagement: The participant’s engagement was strengthened and they remained engaged in education over the whole school term, or for 13 weeks.</w:t>
            </w:r>
          </w:p>
        </w:tc>
        <w:tc>
          <w:tcPr>
            <w:tcW w:w="1063" w:type="dxa"/>
            <w:vAlign w:val="center"/>
          </w:tcPr>
          <w:p w:rsidR="001657CD" w:rsidRDefault="001657CD" w:rsidP="001B1DFA">
            <w:pPr>
              <w:jc w:val="center"/>
              <w:rPr>
                <w:rFonts w:cs="Calibri"/>
                <w:color w:val="000000"/>
              </w:rPr>
            </w:pPr>
            <w:r>
              <w:rPr>
                <w:rFonts w:cs="Calibri"/>
                <w:color w:val="000000"/>
              </w:rPr>
              <w:t>1160</w:t>
            </w:r>
          </w:p>
        </w:tc>
        <w:tc>
          <w:tcPr>
            <w:tcW w:w="1063" w:type="dxa"/>
            <w:vAlign w:val="center"/>
          </w:tcPr>
          <w:p w:rsidR="001657CD" w:rsidRDefault="001657CD" w:rsidP="001B1DFA">
            <w:pPr>
              <w:jc w:val="center"/>
              <w:rPr>
                <w:rFonts w:cs="Calibri"/>
                <w:color w:val="000000"/>
              </w:rPr>
            </w:pPr>
            <w:r>
              <w:rPr>
                <w:rFonts w:cs="Calibri"/>
                <w:color w:val="000000"/>
              </w:rPr>
              <w:t>4584</w:t>
            </w:r>
          </w:p>
        </w:tc>
        <w:tc>
          <w:tcPr>
            <w:tcW w:w="1063" w:type="dxa"/>
            <w:vAlign w:val="center"/>
          </w:tcPr>
          <w:p w:rsidR="001657CD" w:rsidRDefault="001657CD" w:rsidP="001B1DFA">
            <w:pPr>
              <w:jc w:val="center"/>
              <w:rPr>
                <w:rFonts w:cs="Calibri"/>
                <w:color w:val="000000"/>
              </w:rPr>
            </w:pPr>
            <w:r>
              <w:rPr>
                <w:rFonts w:cs="Calibri"/>
                <w:color w:val="000000"/>
              </w:rPr>
              <w:t>496</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6240</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Engaged in employment: The participant started employment and has remained in that employment for 13 weeks.</w:t>
            </w:r>
          </w:p>
        </w:tc>
        <w:tc>
          <w:tcPr>
            <w:tcW w:w="1063" w:type="dxa"/>
            <w:vAlign w:val="center"/>
          </w:tcPr>
          <w:p w:rsidR="001657CD" w:rsidRDefault="001657CD" w:rsidP="001B1DFA">
            <w:pPr>
              <w:jc w:val="center"/>
              <w:rPr>
                <w:rFonts w:cs="Calibri"/>
                <w:color w:val="000000"/>
              </w:rPr>
            </w:pPr>
            <w:r>
              <w:rPr>
                <w:rFonts w:cs="Calibri"/>
                <w:color w:val="000000"/>
              </w:rPr>
              <w:t>107</w:t>
            </w:r>
          </w:p>
        </w:tc>
        <w:tc>
          <w:tcPr>
            <w:tcW w:w="1063" w:type="dxa"/>
            <w:vAlign w:val="center"/>
          </w:tcPr>
          <w:p w:rsidR="001657CD" w:rsidRDefault="001657CD" w:rsidP="001B1DFA">
            <w:pPr>
              <w:jc w:val="center"/>
              <w:rPr>
                <w:rFonts w:cs="Calibri"/>
                <w:color w:val="000000"/>
              </w:rPr>
            </w:pPr>
            <w:r>
              <w:rPr>
                <w:rFonts w:cs="Calibri"/>
                <w:color w:val="000000"/>
              </w:rPr>
              <w:t>1688</w:t>
            </w:r>
          </w:p>
        </w:tc>
        <w:tc>
          <w:tcPr>
            <w:tcW w:w="1063" w:type="dxa"/>
            <w:vAlign w:val="center"/>
          </w:tcPr>
          <w:p w:rsidR="001657CD" w:rsidRDefault="001657CD" w:rsidP="001B1DFA">
            <w:pPr>
              <w:jc w:val="center"/>
              <w:rPr>
                <w:rFonts w:cs="Calibri"/>
                <w:color w:val="000000"/>
              </w:rPr>
            </w:pPr>
            <w:r>
              <w:rPr>
                <w:rFonts w:cs="Calibri"/>
                <w:color w:val="000000"/>
              </w:rPr>
              <w:t>3057</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4852</w:t>
            </w:r>
          </w:p>
        </w:tc>
      </w:tr>
      <w:tr w:rsidR="001657CD" w:rsidRPr="00C763A7" w:rsidTr="001B1DFA">
        <w:trPr>
          <w:trHeight w:val="300"/>
        </w:trPr>
        <w:tc>
          <w:tcPr>
            <w:tcW w:w="5954" w:type="dxa"/>
            <w:vAlign w:val="bottom"/>
          </w:tcPr>
          <w:p w:rsidR="001657CD" w:rsidRDefault="001657CD" w:rsidP="001B1DFA">
            <w:pPr>
              <w:rPr>
                <w:rFonts w:cs="Calibri"/>
                <w:color w:val="000000"/>
              </w:rPr>
            </w:pPr>
            <w:r>
              <w:rPr>
                <w:rFonts w:cs="Calibri"/>
                <w:color w:val="000000"/>
              </w:rPr>
              <w:t>Re-engaged in education: The participant re-engaged in education and sustained that engagement for 13 weeks.</w:t>
            </w:r>
          </w:p>
        </w:tc>
        <w:tc>
          <w:tcPr>
            <w:tcW w:w="1063" w:type="dxa"/>
            <w:vAlign w:val="center"/>
          </w:tcPr>
          <w:p w:rsidR="001657CD" w:rsidRDefault="001657CD" w:rsidP="001B1DFA">
            <w:pPr>
              <w:jc w:val="center"/>
              <w:rPr>
                <w:rFonts w:cs="Calibri"/>
                <w:color w:val="000000"/>
              </w:rPr>
            </w:pPr>
            <w:r>
              <w:rPr>
                <w:rFonts w:cs="Calibri"/>
                <w:color w:val="000000"/>
              </w:rPr>
              <w:t>293</w:t>
            </w:r>
          </w:p>
        </w:tc>
        <w:tc>
          <w:tcPr>
            <w:tcW w:w="1063" w:type="dxa"/>
            <w:vAlign w:val="center"/>
          </w:tcPr>
          <w:p w:rsidR="001657CD" w:rsidRDefault="001657CD" w:rsidP="001B1DFA">
            <w:pPr>
              <w:jc w:val="center"/>
              <w:rPr>
                <w:rFonts w:cs="Calibri"/>
                <w:color w:val="000000"/>
              </w:rPr>
            </w:pPr>
            <w:r>
              <w:rPr>
                <w:rFonts w:cs="Calibri"/>
                <w:color w:val="000000"/>
              </w:rPr>
              <w:t>3298</w:t>
            </w:r>
          </w:p>
        </w:tc>
        <w:tc>
          <w:tcPr>
            <w:tcW w:w="1063" w:type="dxa"/>
            <w:vAlign w:val="center"/>
          </w:tcPr>
          <w:p w:rsidR="001657CD" w:rsidRDefault="001657CD" w:rsidP="001B1DFA">
            <w:pPr>
              <w:jc w:val="center"/>
              <w:rPr>
                <w:rFonts w:cs="Calibri"/>
                <w:color w:val="000000"/>
              </w:rPr>
            </w:pPr>
            <w:r>
              <w:rPr>
                <w:rFonts w:cs="Calibri"/>
                <w:color w:val="000000"/>
              </w:rPr>
              <w:t>5118</w:t>
            </w:r>
          </w:p>
        </w:tc>
        <w:tc>
          <w:tcPr>
            <w:tcW w:w="1063" w:type="dxa"/>
            <w:shd w:val="clear" w:color="auto" w:fill="auto"/>
            <w:noWrap/>
            <w:vAlign w:val="center"/>
            <w:hideMark/>
          </w:tcPr>
          <w:p w:rsidR="001657CD" w:rsidRDefault="001657CD" w:rsidP="001B1DFA">
            <w:pPr>
              <w:jc w:val="center"/>
              <w:rPr>
                <w:rFonts w:cs="Calibri"/>
                <w:color w:val="000000"/>
              </w:rPr>
            </w:pPr>
            <w:r>
              <w:rPr>
                <w:rFonts w:cs="Calibri"/>
                <w:color w:val="000000"/>
              </w:rPr>
              <w:t>8709</w:t>
            </w:r>
          </w:p>
        </w:tc>
      </w:tr>
      <w:tr w:rsidR="001657CD" w:rsidRPr="00C763A7" w:rsidTr="001B1DFA">
        <w:trPr>
          <w:trHeight w:val="300"/>
        </w:trPr>
        <w:tc>
          <w:tcPr>
            <w:tcW w:w="5954" w:type="dxa"/>
            <w:tcBorders>
              <w:bottom w:val="single" w:sz="18" w:space="0" w:color="auto"/>
            </w:tcBorders>
            <w:vAlign w:val="bottom"/>
          </w:tcPr>
          <w:p w:rsidR="001657CD" w:rsidRDefault="001657CD" w:rsidP="001B1DFA">
            <w:pPr>
              <w:rPr>
                <w:rFonts w:cs="Calibri"/>
                <w:color w:val="000000"/>
              </w:rPr>
            </w:pPr>
            <w:r>
              <w:rPr>
                <w:rFonts w:cs="Calibri"/>
                <w:color w:val="000000"/>
              </w:rPr>
              <w:t>Commenced in education: The participant commenced in education.</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60</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930</w:t>
            </w:r>
          </w:p>
        </w:tc>
        <w:tc>
          <w:tcPr>
            <w:tcW w:w="1063" w:type="dxa"/>
            <w:tcBorders>
              <w:bottom w:val="single" w:sz="18" w:space="0" w:color="auto"/>
            </w:tcBorders>
            <w:vAlign w:val="center"/>
          </w:tcPr>
          <w:p w:rsidR="001657CD" w:rsidRDefault="001657CD" w:rsidP="001B1DFA">
            <w:pPr>
              <w:jc w:val="center"/>
              <w:rPr>
                <w:rFonts w:cs="Calibri"/>
                <w:color w:val="000000"/>
              </w:rPr>
            </w:pPr>
            <w:r>
              <w:rPr>
                <w:rFonts w:cs="Calibri"/>
                <w:color w:val="000000"/>
              </w:rPr>
              <w:t>6629</w:t>
            </w:r>
          </w:p>
        </w:tc>
        <w:tc>
          <w:tcPr>
            <w:tcW w:w="1063" w:type="dxa"/>
            <w:tcBorders>
              <w:bottom w:val="single" w:sz="18" w:space="0" w:color="auto"/>
            </w:tcBorders>
            <w:shd w:val="clear" w:color="auto" w:fill="auto"/>
            <w:noWrap/>
            <w:vAlign w:val="center"/>
            <w:hideMark/>
          </w:tcPr>
          <w:p w:rsidR="001657CD" w:rsidRDefault="001657CD" w:rsidP="001B1DFA">
            <w:pPr>
              <w:jc w:val="center"/>
              <w:rPr>
                <w:rFonts w:cs="Calibri"/>
                <w:color w:val="000000"/>
              </w:rPr>
            </w:pPr>
            <w:r>
              <w:rPr>
                <w:rFonts w:cs="Calibri"/>
                <w:color w:val="000000"/>
              </w:rPr>
              <w:t>7619</w:t>
            </w:r>
          </w:p>
        </w:tc>
      </w:tr>
    </w:tbl>
    <w:p w:rsidR="001657CD" w:rsidRPr="001B7A68" w:rsidRDefault="001657CD" w:rsidP="001B7A68">
      <w:pPr>
        <w:pStyle w:val="Heading2"/>
      </w:pPr>
      <w:bookmarkStart w:id="38" w:name="_Toc365385418"/>
      <w:r w:rsidRPr="001B7A68">
        <w:lastRenderedPageBreak/>
        <w:t>Indigenous</w:t>
      </w:r>
      <w:bookmarkEnd w:id="38"/>
    </w:p>
    <w:p w:rsidR="001657CD" w:rsidRDefault="001657CD" w:rsidP="001657CD"/>
    <w:p w:rsidR="001657CD" w:rsidRDefault="001657CD" w:rsidP="001657CD">
      <w:pPr>
        <w:pStyle w:val="Caption"/>
        <w:keepNext/>
      </w:pPr>
      <w:r>
        <w:t>Figure 17: % of Total Indigenous participants by State</w:t>
      </w:r>
    </w:p>
    <w:p w:rsidR="001657CD" w:rsidRDefault="001657CD" w:rsidP="001657CD">
      <w:r w:rsidRPr="00A53179">
        <w:rPr>
          <w:noProof/>
          <w:lang w:eastAsia="en-AU"/>
        </w:rPr>
        <w:drawing>
          <wp:inline distT="0" distB="0" distL="0" distR="0" wp14:anchorId="6B6FFFBC" wp14:editId="42B2BA72">
            <wp:extent cx="5950874" cy="2517568"/>
            <wp:effectExtent l="19050" t="0" r="11776" b="0"/>
            <wp:docPr id="67" name="Chart 41" descr="Percentage of total Indigenous Participants by state&#10;ACT: 1%&#10;NSW: 45%&#10;NT: 7%&#10;QLD: 21%&#10;SA: 4%&#10;TAS: 2%&#10;VIC: 6%&#10;W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657CD" w:rsidRDefault="001657CD" w:rsidP="001657CD"/>
    <w:p w:rsidR="001657CD" w:rsidRDefault="001657CD" w:rsidP="001657CD">
      <w:pPr>
        <w:rPr>
          <w:rFonts w:cs="Calibri"/>
          <w:b/>
          <w:bCs/>
          <w:color w:val="000000"/>
        </w:rPr>
      </w:pPr>
    </w:p>
    <w:p w:rsidR="001657CD" w:rsidRPr="0056510B" w:rsidRDefault="001657CD" w:rsidP="00ED3CBC">
      <w:pPr>
        <w:pStyle w:val="Heading3"/>
      </w:pPr>
      <w:r>
        <w:t>Table 19</w:t>
      </w:r>
      <w:r w:rsidRPr="0056510B">
        <w:t>: % of Total Indigenous participants by State</w:t>
      </w:r>
    </w:p>
    <w:tbl>
      <w:tblPr>
        <w:tblStyle w:val="TableGrid"/>
        <w:tblW w:w="0" w:type="auto"/>
        <w:tblLook w:val="04A0" w:firstRow="1" w:lastRow="0" w:firstColumn="1" w:lastColumn="0" w:noHBand="0" w:noVBand="1"/>
        <w:tblCaption w:val="Table 19: percentage of Total Indigenous participants by State"/>
        <w:tblDescription w:val="Percentage of Total Indigenous participants by State"/>
      </w:tblPr>
      <w:tblGrid>
        <w:gridCol w:w="1278"/>
        <w:gridCol w:w="1125"/>
        <w:gridCol w:w="1128"/>
        <w:gridCol w:w="1123"/>
        <w:gridCol w:w="1126"/>
        <w:gridCol w:w="1123"/>
        <w:gridCol w:w="1125"/>
        <w:gridCol w:w="1124"/>
        <w:gridCol w:w="1126"/>
      </w:tblGrid>
      <w:tr w:rsidR="001657CD" w:rsidTr="00D35240">
        <w:trPr>
          <w:tblHeader/>
        </w:trPr>
        <w:tc>
          <w:tcPr>
            <w:tcW w:w="1142" w:type="dxa"/>
            <w:shd w:val="clear" w:color="auto" w:fill="DBE5F1" w:themeFill="accent1" w:themeFillTint="33"/>
          </w:tcPr>
          <w:p w:rsidR="001657CD" w:rsidRPr="00B44F04" w:rsidRDefault="001657CD" w:rsidP="001B1DFA">
            <w:pPr>
              <w:rPr>
                <w:rFonts w:cs="Calibri"/>
                <w:b/>
                <w:color w:val="000000"/>
              </w:rPr>
            </w:pPr>
          </w:p>
        </w:tc>
        <w:tc>
          <w:tcPr>
            <w:tcW w:w="1142" w:type="dxa"/>
            <w:shd w:val="clear" w:color="auto" w:fill="DBE5F1" w:themeFill="accent1" w:themeFillTint="33"/>
          </w:tcPr>
          <w:p w:rsidR="001657CD" w:rsidRPr="00B44F04" w:rsidRDefault="001657CD" w:rsidP="001B1DFA">
            <w:pPr>
              <w:jc w:val="center"/>
              <w:rPr>
                <w:rFonts w:cs="Calibri"/>
                <w:b/>
                <w:color w:val="000000"/>
              </w:rPr>
            </w:pPr>
            <w:r w:rsidRPr="00B44F04">
              <w:rPr>
                <w:rFonts w:cs="Calibri"/>
                <w:b/>
                <w:color w:val="000000"/>
              </w:rPr>
              <w:t>ACT</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NSW</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NT</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QLD</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SA</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TAS</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VIC</w:t>
            </w:r>
          </w:p>
        </w:tc>
        <w:tc>
          <w:tcPr>
            <w:tcW w:w="114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WA</w:t>
            </w:r>
          </w:p>
        </w:tc>
      </w:tr>
      <w:tr w:rsidR="001657CD" w:rsidTr="001B1DFA">
        <w:tc>
          <w:tcPr>
            <w:tcW w:w="1142" w:type="dxa"/>
          </w:tcPr>
          <w:p w:rsidR="001657CD" w:rsidRDefault="001657CD" w:rsidP="001B1DFA">
            <w:r>
              <w:t xml:space="preserve">% of total indigenous </w:t>
            </w:r>
            <w:r w:rsidRPr="00B44F04">
              <w:rPr>
                <w:rFonts w:cs="Calibri"/>
                <w:color w:val="000000"/>
              </w:rPr>
              <w:t>participants</w:t>
            </w:r>
          </w:p>
        </w:tc>
        <w:tc>
          <w:tcPr>
            <w:tcW w:w="1142" w:type="dxa"/>
            <w:vAlign w:val="center"/>
          </w:tcPr>
          <w:p w:rsidR="001657CD" w:rsidRPr="00B44F04" w:rsidRDefault="001657CD" w:rsidP="001B1DFA">
            <w:pPr>
              <w:jc w:val="center"/>
              <w:rPr>
                <w:rFonts w:cs="Calibri"/>
                <w:color w:val="000000"/>
              </w:rPr>
            </w:pPr>
            <w:r w:rsidRPr="00B44F04">
              <w:rPr>
                <w:rFonts w:cs="Calibri"/>
                <w:color w:val="000000"/>
              </w:rPr>
              <w:t>1%</w:t>
            </w:r>
          </w:p>
        </w:tc>
        <w:tc>
          <w:tcPr>
            <w:tcW w:w="1142" w:type="dxa"/>
            <w:vAlign w:val="center"/>
          </w:tcPr>
          <w:p w:rsidR="001657CD" w:rsidRPr="00B44F04" w:rsidRDefault="001657CD" w:rsidP="001B1DFA">
            <w:pPr>
              <w:jc w:val="center"/>
              <w:rPr>
                <w:rFonts w:cs="Calibri"/>
                <w:color w:val="000000"/>
              </w:rPr>
            </w:pPr>
            <w:r>
              <w:rPr>
                <w:rFonts w:cs="Calibri"/>
                <w:color w:val="000000"/>
              </w:rPr>
              <w:t>45%</w:t>
            </w:r>
          </w:p>
        </w:tc>
        <w:tc>
          <w:tcPr>
            <w:tcW w:w="1142" w:type="dxa"/>
            <w:vAlign w:val="center"/>
          </w:tcPr>
          <w:p w:rsidR="001657CD" w:rsidRPr="00B44F04" w:rsidRDefault="001657CD" w:rsidP="001B1DFA">
            <w:pPr>
              <w:jc w:val="center"/>
              <w:rPr>
                <w:rFonts w:cs="Calibri"/>
                <w:color w:val="000000"/>
              </w:rPr>
            </w:pPr>
            <w:r>
              <w:rPr>
                <w:rFonts w:cs="Calibri"/>
                <w:color w:val="000000"/>
              </w:rPr>
              <w:t>7%</w:t>
            </w:r>
          </w:p>
        </w:tc>
        <w:tc>
          <w:tcPr>
            <w:tcW w:w="1142" w:type="dxa"/>
            <w:vAlign w:val="center"/>
          </w:tcPr>
          <w:p w:rsidR="001657CD" w:rsidRPr="00B44F04" w:rsidRDefault="001657CD" w:rsidP="001B1DFA">
            <w:pPr>
              <w:jc w:val="center"/>
              <w:rPr>
                <w:rFonts w:cs="Calibri"/>
                <w:color w:val="000000"/>
              </w:rPr>
            </w:pPr>
            <w:r>
              <w:rPr>
                <w:rFonts w:cs="Calibri"/>
                <w:color w:val="000000"/>
              </w:rPr>
              <w:t>21%</w:t>
            </w:r>
          </w:p>
        </w:tc>
        <w:tc>
          <w:tcPr>
            <w:tcW w:w="1142" w:type="dxa"/>
            <w:vAlign w:val="center"/>
          </w:tcPr>
          <w:p w:rsidR="001657CD" w:rsidRPr="00B44F04" w:rsidRDefault="001657CD" w:rsidP="001B1DFA">
            <w:pPr>
              <w:jc w:val="center"/>
              <w:rPr>
                <w:rFonts w:cs="Calibri"/>
                <w:color w:val="000000"/>
              </w:rPr>
            </w:pPr>
            <w:r>
              <w:rPr>
                <w:rFonts w:cs="Calibri"/>
                <w:color w:val="000000"/>
              </w:rPr>
              <w:t>4%</w:t>
            </w:r>
          </w:p>
        </w:tc>
        <w:tc>
          <w:tcPr>
            <w:tcW w:w="1142" w:type="dxa"/>
            <w:vAlign w:val="center"/>
          </w:tcPr>
          <w:p w:rsidR="001657CD" w:rsidRPr="00B44F04" w:rsidRDefault="001657CD" w:rsidP="001B1DFA">
            <w:pPr>
              <w:jc w:val="center"/>
              <w:rPr>
                <w:rFonts w:cs="Calibri"/>
                <w:color w:val="000000"/>
              </w:rPr>
            </w:pPr>
            <w:r>
              <w:rPr>
                <w:rFonts w:cs="Calibri"/>
                <w:color w:val="000000"/>
              </w:rPr>
              <w:t>2%</w:t>
            </w:r>
          </w:p>
        </w:tc>
        <w:tc>
          <w:tcPr>
            <w:tcW w:w="1142" w:type="dxa"/>
            <w:vAlign w:val="center"/>
          </w:tcPr>
          <w:p w:rsidR="001657CD" w:rsidRPr="00B44F04" w:rsidRDefault="001657CD" w:rsidP="001B1DFA">
            <w:pPr>
              <w:jc w:val="center"/>
              <w:rPr>
                <w:rFonts w:cs="Calibri"/>
                <w:color w:val="000000"/>
              </w:rPr>
            </w:pPr>
            <w:r>
              <w:rPr>
                <w:rFonts w:cs="Calibri"/>
                <w:color w:val="000000"/>
              </w:rPr>
              <w:t>6%</w:t>
            </w:r>
          </w:p>
        </w:tc>
        <w:tc>
          <w:tcPr>
            <w:tcW w:w="1142" w:type="dxa"/>
            <w:vAlign w:val="center"/>
          </w:tcPr>
          <w:p w:rsidR="001657CD" w:rsidRPr="00B44F04" w:rsidRDefault="001657CD" w:rsidP="001B1DFA">
            <w:pPr>
              <w:jc w:val="center"/>
              <w:rPr>
                <w:rFonts w:cs="Calibri"/>
                <w:color w:val="000000"/>
              </w:rPr>
            </w:pPr>
            <w:r>
              <w:rPr>
                <w:rFonts w:cs="Calibri"/>
                <w:color w:val="000000"/>
              </w:rPr>
              <w:t>14%</w:t>
            </w:r>
          </w:p>
        </w:tc>
      </w:tr>
    </w:tbl>
    <w:p w:rsidR="001657CD" w:rsidRDefault="001657CD" w:rsidP="001657CD">
      <w:pPr>
        <w:pStyle w:val="Caption"/>
        <w:keepNext/>
      </w:pPr>
    </w:p>
    <w:p w:rsidR="005606F5" w:rsidRPr="005606F5" w:rsidRDefault="005606F5" w:rsidP="005606F5">
      <w:pPr>
        <w:rPr>
          <w:lang w:eastAsia="en-AU"/>
        </w:rPr>
      </w:pPr>
    </w:p>
    <w:p w:rsidR="001657CD" w:rsidRDefault="001657CD" w:rsidP="001657CD">
      <w:pPr>
        <w:pStyle w:val="Caption"/>
        <w:keepNext/>
      </w:pPr>
      <w:r>
        <w:t>Figure 18: % of caseload that is Indigenous in each state</w:t>
      </w:r>
    </w:p>
    <w:p w:rsidR="001657CD" w:rsidRDefault="001657CD" w:rsidP="001657CD">
      <w:r w:rsidRPr="00801619">
        <w:rPr>
          <w:noProof/>
          <w:lang w:eastAsia="en-AU"/>
        </w:rPr>
        <w:drawing>
          <wp:inline distT="0" distB="0" distL="0" distR="0" wp14:anchorId="73CCB2F6" wp14:editId="0EFA79F0">
            <wp:extent cx="5943600" cy="2405380"/>
            <wp:effectExtent l="19050" t="0" r="19050" b="0"/>
            <wp:docPr id="23" name="Chart 23" descr="Percentage of caseload that is Indigenous in each State&#10;National: 18%&#10;ACT: 12%&#10;NSW: 22%&#10;NT: 74%&#10;QLD: 21%&#10;SA: 14%&#10;TAS: 9%&#10;VIC: 5%&#10;W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657CD" w:rsidRDefault="001657CD" w:rsidP="001657CD">
      <w:pPr>
        <w:rPr>
          <w:rFonts w:cs="Calibri"/>
          <w:b/>
          <w:bCs/>
          <w:color w:val="000000"/>
        </w:rPr>
      </w:pPr>
    </w:p>
    <w:p w:rsidR="005606F5" w:rsidRDefault="005606F5">
      <w:pPr>
        <w:spacing w:line="240" w:lineRule="auto"/>
        <w:rPr>
          <w:rFonts w:eastAsia="Times New Roman"/>
          <w:b/>
          <w:bCs/>
          <w:lang w:val="x-none"/>
        </w:rPr>
      </w:pPr>
      <w:r>
        <w:br w:type="page"/>
      </w:r>
    </w:p>
    <w:p w:rsidR="001657CD" w:rsidRPr="001B1DFA" w:rsidRDefault="001657CD" w:rsidP="001B1DFA">
      <w:pPr>
        <w:pStyle w:val="Heading3"/>
        <w:rPr>
          <w:lang w:val="en-AU"/>
        </w:rPr>
      </w:pPr>
      <w:r>
        <w:lastRenderedPageBreak/>
        <w:t>Table 20</w:t>
      </w:r>
      <w:r w:rsidRPr="0056510B">
        <w:t xml:space="preserve">: % of </w:t>
      </w:r>
      <w:r>
        <w:t>caseload that is Indigenous in each</w:t>
      </w:r>
      <w:r w:rsidRPr="0056510B">
        <w:t xml:space="preserve"> State</w:t>
      </w:r>
    </w:p>
    <w:tbl>
      <w:tblPr>
        <w:tblStyle w:val="TableGrid"/>
        <w:tblW w:w="0" w:type="auto"/>
        <w:tblLook w:val="04A0" w:firstRow="1" w:lastRow="0" w:firstColumn="1" w:lastColumn="0" w:noHBand="0" w:noVBand="1"/>
        <w:tblCaption w:val="Table 20: Percentage of caseload that is Indigenous in each State"/>
        <w:tblDescription w:val="Percentage of caseload that is Indigenous in each State"/>
      </w:tblPr>
      <w:tblGrid>
        <w:gridCol w:w="1284"/>
        <w:gridCol w:w="1004"/>
        <w:gridCol w:w="1024"/>
        <w:gridCol w:w="982"/>
        <w:gridCol w:w="1008"/>
        <w:gridCol w:w="982"/>
        <w:gridCol w:w="999"/>
        <w:gridCol w:w="989"/>
        <w:gridCol w:w="1007"/>
        <w:gridCol w:w="999"/>
      </w:tblGrid>
      <w:tr w:rsidR="001657CD" w:rsidTr="001B1DFA">
        <w:trPr>
          <w:tblHeader/>
        </w:trPr>
        <w:tc>
          <w:tcPr>
            <w:tcW w:w="1285" w:type="dxa"/>
            <w:shd w:val="clear" w:color="auto" w:fill="DBE5F1" w:themeFill="accent1" w:themeFillTint="33"/>
          </w:tcPr>
          <w:p w:rsidR="001657CD" w:rsidRPr="00B44F04" w:rsidRDefault="001657CD" w:rsidP="001B1DFA">
            <w:pPr>
              <w:rPr>
                <w:rFonts w:cs="Calibri"/>
                <w:b/>
                <w:color w:val="000000"/>
              </w:rPr>
            </w:pPr>
          </w:p>
        </w:tc>
        <w:tc>
          <w:tcPr>
            <w:tcW w:w="1011" w:type="dxa"/>
            <w:shd w:val="clear" w:color="auto" w:fill="DBE5F1" w:themeFill="accent1" w:themeFillTint="33"/>
          </w:tcPr>
          <w:p w:rsidR="001657CD" w:rsidRPr="00B44F04" w:rsidRDefault="001657CD" w:rsidP="001B1DFA">
            <w:pPr>
              <w:jc w:val="center"/>
              <w:rPr>
                <w:rFonts w:cs="Calibri"/>
                <w:b/>
                <w:color w:val="000000"/>
              </w:rPr>
            </w:pPr>
            <w:r w:rsidRPr="00B44F04">
              <w:rPr>
                <w:rFonts w:cs="Calibri"/>
                <w:b/>
                <w:color w:val="000000"/>
              </w:rPr>
              <w:t>ACT</w:t>
            </w:r>
          </w:p>
        </w:tc>
        <w:tc>
          <w:tcPr>
            <w:tcW w:w="1031"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NSW</w:t>
            </w:r>
          </w:p>
        </w:tc>
        <w:tc>
          <w:tcPr>
            <w:tcW w:w="989"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NT</w:t>
            </w:r>
          </w:p>
        </w:tc>
        <w:tc>
          <w:tcPr>
            <w:tcW w:w="1016"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QLD</w:t>
            </w:r>
          </w:p>
        </w:tc>
        <w:tc>
          <w:tcPr>
            <w:tcW w:w="989"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SA</w:t>
            </w:r>
          </w:p>
        </w:tc>
        <w:tc>
          <w:tcPr>
            <w:tcW w:w="1007"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TAS</w:t>
            </w:r>
          </w:p>
        </w:tc>
        <w:tc>
          <w:tcPr>
            <w:tcW w:w="998"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VIC</w:t>
            </w:r>
          </w:p>
        </w:tc>
        <w:tc>
          <w:tcPr>
            <w:tcW w:w="1015"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WA</w:t>
            </w:r>
          </w:p>
        </w:tc>
        <w:tc>
          <w:tcPr>
            <w:tcW w:w="937" w:type="dxa"/>
            <w:shd w:val="clear" w:color="auto" w:fill="DBE5F1" w:themeFill="accent1" w:themeFillTint="33"/>
          </w:tcPr>
          <w:p w:rsidR="001657CD" w:rsidRDefault="001657CD" w:rsidP="001B1DFA">
            <w:pPr>
              <w:jc w:val="center"/>
              <w:rPr>
                <w:rFonts w:cs="Calibri"/>
                <w:b/>
                <w:color w:val="000000"/>
              </w:rPr>
            </w:pPr>
            <w:r>
              <w:rPr>
                <w:rFonts w:cs="Calibri"/>
                <w:b/>
                <w:color w:val="000000"/>
              </w:rPr>
              <w:t>National</w:t>
            </w:r>
          </w:p>
        </w:tc>
      </w:tr>
      <w:tr w:rsidR="001657CD" w:rsidTr="001B1DFA">
        <w:tc>
          <w:tcPr>
            <w:tcW w:w="1285" w:type="dxa"/>
          </w:tcPr>
          <w:p w:rsidR="001657CD" w:rsidRDefault="001657CD" w:rsidP="001B1DFA">
            <w:r>
              <w:t>% of caseload that is indigenous</w:t>
            </w:r>
          </w:p>
        </w:tc>
        <w:tc>
          <w:tcPr>
            <w:tcW w:w="1011" w:type="dxa"/>
            <w:vAlign w:val="center"/>
          </w:tcPr>
          <w:p w:rsidR="001657CD" w:rsidRPr="00B44F04" w:rsidRDefault="001657CD" w:rsidP="001B1DFA">
            <w:pPr>
              <w:jc w:val="center"/>
              <w:rPr>
                <w:rFonts w:cs="Calibri"/>
                <w:color w:val="000000"/>
              </w:rPr>
            </w:pPr>
            <w:r w:rsidRPr="00B44F04">
              <w:rPr>
                <w:rFonts w:cs="Calibri"/>
                <w:color w:val="000000"/>
              </w:rPr>
              <w:t>1</w:t>
            </w:r>
            <w:r>
              <w:rPr>
                <w:rFonts w:cs="Calibri"/>
                <w:color w:val="000000"/>
              </w:rPr>
              <w:t>2</w:t>
            </w:r>
            <w:r w:rsidRPr="00B44F04">
              <w:rPr>
                <w:rFonts w:cs="Calibri"/>
                <w:color w:val="000000"/>
              </w:rPr>
              <w:t>%</w:t>
            </w:r>
          </w:p>
        </w:tc>
        <w:tc>
          <w:tcPr>
            <w:tcW w:w="1031" w:type="dxa"/>
            <w:vAlign w:val="center"/>
          </w:tcPr>
          <w:p w:rsidR="001657CD" w:rsidRPr="00B44F04" w:rsidRDefault="001657CD" w:rsidP="001B1DFA">
            <w:pPr>
              <w:jc w:val="center"/>
              <w:rPr>
                <w:rFonts w:cs="Calibri"/>
                <w:color w:val="000000"/>
              </w:rPr>
            </w:pPr>
            <w:r>
              <w:rPr>
                <w:rFonts w:cs="Calibri"/>
                <w:color w:val="000000"/>
              </w:rPr>
              <w:t>22%</w:t>
            </w:r>
          </w:p>
        </w:tc>
        <w:tc>
          <w:tcPr>
            <w:tcW w:w="989" w:type="dxa"/>
            <w:vAlign w:val="center"/>
          </w:tcPr>
          <w:p w:rsidR="001657CD" w:rsidRPr="00B44F04" w:rsidRDefault="001657CD" w:rsidP="001B1DFA">
            <w:pPr>
              <w:jc w:val="center"/>
              <w:rPr>
                <w:rFonts w:cs="Calibri"/>
                <w:color w:val="000000"/>
              </w:rPr>
            </w:pPr>
            <w:r>
              <w:rPr>
                <w:rFonts w:cs="Calibri"/>
                <w:color w:val="000000"/>
              </w:rPr>
              <w:t>74%</w:t>
            </w:r>
          </w:p>
        </w:tc>
        <w:tc>
          <w:tcPr>
            <w:tcW w:w="1016" w:type="dxa"/>
            <w:vAlign w:val="center"/>
          </w:tcPr>
          <w:p w:rsidR="001657CD" w:rsidRPr="00B44F04" w:rsidRDefault="001657CD" w:rsidP="001B1DFA">
            <w:pPr>
              <w:jc w:val="center"/>
              <w:rPr>
                <w:rFonts w:cs="Calibri"/>
                <w:color w:val="000000"/>
              </w:rPr>
            </w:pPr>
            <w:r>
              <w:rPr>
                <w:rFonts w:cs="Calibri"/>
                <w:color w:val="000000"/>
              </w:rPr>
              <w:t>21%</w:t>
            </w:r>
          </w:p>
        </w:tc>
        <w:tc>
          <w:tcPr>
            <w:tcW w:w="989" w:type="dxa"/>
            <w:vAlign w:val="center"/>
          </w:tcPr>
          <w:p w:rsidR="001657CD" w:rsidRPr="00B44F04" w:rsidRDefault="001657CD" w:rsidP="001B1DFA">
            <w:pPr>
              <w:jc w:val="center"/>
              <w:rPr>
                <w:rFonts w:cs="Calibri"/>
                <w:color w:val="000000"/>
              </w:rPr>
            </w:pPr>
            <w:r>
              <w:rPr>
                <w:rFonts w:cs="Calibri"/>
                <w:color w:val="000000"/>
              </w:rPr>
              <w:t>14%</w:t>
            </w:r>
          </w:p>
        </w:tc>
        <w:tc>
          <w:tcPr>
            <w:tcW w:w="1007" w:type="dxa"/>
            <w:vAlign w:val="center"/>
          </w:tcPr>
          <w:p w:rsidR="001657CD" w:rsidRPr="00B44F04" w:rsidRDefault="001657CD" w:rsidP="001B1DFA">
            <w:pPr>
              <w:jc w:val="center"/>
              <w:rPr>
                <w:rFonts w:cs="Calibri"/>
                <w:color w:val="000000"/>
              </w:rPr>
            </w:pPr>
            <w:r>
              <w:rPr>
                <w:rFonts w:cs="Calibri"/>
                <w:color w:val="000000"/>
              </w:rPr>
              <w:t>9%</w:t>
            </w:r>
          </w:p>
        </w:tc>
        <w:tc>
          <w:tcPr>
            <w:tcW w:w="998" w:type="dxa"/>
            <w:vAlign w:val="center"/>
          </w:tcPr>
          <w:p w:rsidR="001657CD" w:rsidRPr="00B44F04" w:rsidRDefault="001657CD" w:rsidP="001B1DFA">
            <w:pPr>
              <w:jc w:val="center"/>
              <w:rPr>
                <w:rFonts w:cs="Calibri"/>
                <w:color w:val="000000"/>
              </w:rPr>
            </w:pPr>
            <w:r>
              <w:rPr>
                <w:rFonts w:cs="Calibri"/>
                <w:color w:val="000000"/>
              </w:rPr>
              <w:t>5%</w:t>
            </w:r>
          </w:p>
        </w:tc>
        <w:tc>
          <w:tcPr>
            <w:tcW w:w="1015" w:type="dxa"/>
            <w:vAlign w:val="center"/>
          </w:tcPr>
          <w:p w:rsidR="001657CD" w:rsidRPr="00B44F04" w:rsidRDefault="001657CD" w:rsidP="001B1DFA">
            <w:pPr>
              <w:jc w:val="center"/>
              <w:rPr>
                <w:rFonts w:cs="Calibri"/>
                <w:color w:val="000000"/>
              </w:rPr>
            </w:pPr>
            <w:r>
              <w:rPr>
                <w:rFonts w:cs="Calibri"/>
                <w:color w:val="000000"/>
              </w:rPr>
              <w:t>23%</w:t>
            </w:r>
          </w:p>
        </w:tc>
        <w:tc>
          <w:tcPr>
            <w:tcW w:w="937" w:type="dxa"/>
            <w:vAlign w:val="center"/>
          </w:tcPr>
          <w:p w:rsidR="001657CD" w:rsidRDefault="001657CD" w:rsidP="001B1DFA">
            <w:pPr>
              <w:jc w:val="center"/>
              <w:rPr>
                <w:rFonts w:cs="Calibri"/>
                <w:color w:val="000000"/>
              </w:rPr>
            </w:pPr>
            <w:r>
              <w:rPr>
                <w:rFonts w:cs="Calibri"/>
                <w:color w:val="000000"/>
              </w:rPr>
              <w:t>18%</w:t>
            </w:r>
          </w:p>
        </w:tc>
      </w:tr>
    </w:tbl>
    <w:p w:rsidR="001657CD" w:rsidRDefault="001657CD" w:rsidP="001657CD"/>
    <w:p w:rsidR="001657CD" w:rsidRDefault="001657CD" w:rsidP="00ED3CBC">
      <w:pPr>
        <w:pStyle w:val="Heading3"/>
      </w:pPr>
      <w:r>
        <w:t>Table 21: Indigenous participants – QLD and National</w:t>
      </w:r>
    </w:p>
    <w:tbl>
      <w:tblPr>
        <w:tblW w:w="7880" w:type="dxa"/>
        <w:tblInd w:w="89" w:type="dxa"/>
        <w:tblLook w:val="04A0" w:firstRow="1" w:lastRow="0" w:firstColumn="1" w:lastColumn="0" w:noHBand="0" w:noVBand="1"/>
      </w:tblPr>
      <w:tblGrid>
        <w:gridCol w:w="5264"/>
        <w:gridCol w:w="1276"/>
        <w:gridCol w:w="1340"/>
      </w:tblGrid>
      <w:tr w:rsidR="001657CD" w:rsidRPr="00BC0B36" w:rsidTr="001B1DF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sidRPr="00BC0B36">
              <w:rPr>
                <w:rFonts w:cs="Calibri"/>
                <w:b/>
                <w:color w:val="000000"/>
              </w:rPr>
              <w:t>National</w:t>
            </w:r>
          </w:p>
        </w:tc>
      </w:tr>
      <w:tr w:rsidR="001657CD" w:rsidRPr="00BC0B36" w:rsidTr="001B1DFA">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Indigenous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A53179" w:rsidRDefault="001657CD" w:rsidP="001B1DFA">
            <w:pPr>
              <w:jc w:val="center"/>
              <w:rPr>
                <w:rFonts w:cs="Calibri"/>
                <w:color w:val="000000"/>
              </w:rPr>
            </w:pPr>
            <w:r w:rsidRPr="00A53179">
              <w:rPr>
                <w:rFonts w:cs="Calibri"/>
                <w:color w:val="000000"/>
              </w:rPr>
              <w:t>1427</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A53179" w:rsidRDefault="001657CD" w:rsidP="001B1DFA">
            <w:pPr>
              <w:jc w:val="center"/>
              <w:rPr>
                <w:rFonts w:cs="Calibri"/>
                <w:color w:val="000000"/>
              </w:rPr>
            </w:pPr>
            <w:r>
              <w:rPr>
                <w:rFonts w:cs="Calibri"/>
                <w:color w:val="000000"/>
              </w:rPr>
              <w:t>6,803</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A53179" w:rsidRDefault="001657CD" w:rsidP="001B1DFA">
            <w:pPr>
              <w:jc w:val="center"/>
              <w:rPr>
                <w:rFonts w:cs="Calibri"/>
                <w:color w:val="000000"/>
              </w:rPr>
            </w:pPr>
            <w:r w:rsidRPr="00A53179">
              <w:rPr>
                <w:rFonts w:cs="Calibri"/>
                <w:color w:val="000000"/>
              </w:rPr>
              <w:t>6</w:t>
            </w:r>
            <w:r>
              <w:rPr>
                <w:rFonts w:cs="Calibri"/>
                <w:color w:val="000000"/>
              </w:rPr>
              <w:t>,</w:t>
            </w:r>
            <w:r w:rsidRPr="00A53179">
              <w:rPr>
                <w:rFonts w:cs="Calibri"/>
                <w:color w:val="000000"/>
              </w:rPr>
              <w:t>906</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A53179" w:rsidRDefault="001657CD" w:rsidP="001B1DFA">
            <w:pPr>
              <w:jc w:val="center"/>
              <w:rPr>
                <w:rFonts w:cs="Calibri"/>
                <w:bCs/>
                <w:color w:val="000000"/>
              </w:rPr>
            </w:pPr>
            <w:r w:rsidRPr="00A53179">
              <w:rPr>
                <w:rFonts w:cs="Calibri"/>
                <w:bCs/>
                <w:color w:val="000000"/>
              </w:rPr>
              <w:t>38</w:t>
            </w:r>
            <w:r>
              <w:rPr>
                <w:rFonts w:cs="Calibri"/>
                <w:bCs/>
                <w:color w:val="000000"/>
              </w:rPr>
              <w:t>,</w:t>
            </w:r>
            <w:r w:rsidRPr="00A53179">
              <w:rPr>
                <w:rFonts w:cs="Calibri"/>
                <w:bCs/>
                <w:color w:val="000000"/>
              </w:rPr>
              <w:t>102</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 Indigenous</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21%</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18%</w:t>
            </w:r>
          </w:p>
        </w:tc>
      </w:tr>
    </w:tbl>
    <w:p w:rsidR="001657CD" w:rsidRDefault="001657CD" w:rsidP="001657CD"/>
    <w:p w:rsidR="001657CD" w:rsidRPr="00FC7154" w:rsidRDefault="001657CD" w:rsidP="00ED3CBC">
      <w:pPr>
        <w:pStyle w:val="Heading3"/>
      </w:pPr>
      <w:r>
        <w:t>Table 22: QLD and National- Indigenous participant outcomes achievement</w:t>
      </w:r>
    </w:p>
    <w:tbl>
      <w:tblPr>
        <w:tblW w:w="10084" w:type="dxa"/>
        <w:tblInd w:w="89" w:type="dxa"/>
        <w:tblLayout w:type="fixed"/>
        <w:tblLook w:val="04A0" w:firstRow="1" w:lastRow="0" w:firstColumn="1" w:lastColumn="0" w:noHBand="0" w:noVBand="1"/>
      </w:tblPr>
      <w:tblGrid>
        <w:gridCol w:w="4981"/>
        <w:gridCol w:w="1417"/>
        <w:gridCol w:w="1134"/>
        <w:gridCol w:w="1276"/>
        <w:gridCol w:w="1276"/>
      </w:tblGrid>
      <w:tr w:rsidR="001657CD" w:rsidRPr="00BC0B36" w:rsidTr="001B1DFA">
        <w:trPr>
          <w:trHeight w:val="300"/>
          <w:tblHeader/>
        </w:trPr>
        <w:tc>
          <w:tcPr>
            <w:tcW w:w="498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rPr>
                <w:rFonts w:cs="Calibri"/>
                <w:b/>
                <w:color w:val="000000"/>
              </w:rPr>
            </w:pPr>
            <w:r w:rsidRPr="00BC0B36">
              <w:rPr>
                <w:rFonts w:cs="Calibri"/>
                <w:b/>
                <w:color w:val="000000"/>
              </w:rPr>
              <w:t> </w:t>
            </w:r>
          </w:p>
        </w:tc>
        <w:tc>
          <w:tcPr>
            <w:tcW w:w="1417"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Pr>
                <w:rFonts w:cs="Calibri"/>
                <w:b/>
                <w:color w:val="000000"/>
              </w:rPr>
              <w:t>QLD</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1657CD" w:rsidRPr="00BC0B36" w:rsidRDefault="001657CD" w:rsidP="001B1DFA">
            <w:pPr>
              <w:jc w:val="center"/>
              <w:rPr>
                <w:rFonts w:cs="Calibri"/>
                <w:b/>
                <w:color w:val="000000"/>
              </w:rPr>
            </w:pPr>
            <w:r>
              <w:rPr>
                <w:rFonts w:cs="Calibri"/>
                <w:b/>
                <w:color w:val="000000"/>
              </w:rPr>
              <w:t>QLD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sidRPr="00BC0B36">
              <w:rPr>
                <w:rFonts w:cs="Calibri"/>
                <w:b/>
                <w:color w:val="000000"/>
              </w:rPr>
              <w:t>National</w:t>
            </w:r>
          </w:p>
        </w:tc>
        <w:tc>
          <w:tcPr>
            <w:tcW w:w="1276" w:type="dxa"/>
            <w:tcBorders>
              <w:top w:val="single" w:sz="4" w:space="0" w:color="auto"/>
              <w:left w:val="nil"/>
              <w:bottom w:val="single" w:sz="4" w:space="0" w:color="auto"/>
              <w:right w:val="single" w:sz="4" w:space="0" w:color="auto"/>
            </w:tcBorders>
            <w:shd w:val="clear" w:color="auto" w:fill="DBE5F1" w:themeFill="accent1" w:themeFillTint="33"/>
            <w:vAlign w:val="bottom"/>
          </w:tcPr>
          <w:p w:rsidR="001657CD" w:rsidRPr="00BC0B36" w:rsidRDefault="001657CD" w:rsidP="001B1DFA">
            <w:pPr>
              <w:jc w:val="center"/>
              <w:rPr>
                <w:rFonts w:cs="Calibri"/>
                <w:b/>
                <w:color w:val="000000"/>
              </w:rPr>
            </w:pPr>
            <w:r>
              <w:rPr>
                <w:rFonts w:cs="Calibri"/>
                <w:b/>
                <w:color w:val="000000"/>
              </w:rPr>
              <w:t>National %</w:t>
            </w:r>
          </w:p>
        </w:tc>
      </w:tr>
      <w:tr w:rsidR="001657CD" w:rsidRPr="00BC0B36" w:rsidTr="001B1DFA">
        <w:trPr>
          <w:trHeight w:val="368"/>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Indigenous young people enrolled in individual support services</w:t>
            </w:r>
            <w:r w:rsidRPr="00BC0B36">
              <w:rPr>
                <w:rFonts w:cs="Calibri"/>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1427</w:t>
            </w:r>
          </w:p>
        </w:tc>
        <w:tc>
          <w:tcPr>
            <w:tcW w:w="1134"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6803</w:t>
            </w:r>
          </w:p>
        </w:tc>
        <w:tc>
          <w:tcPr>
            <w:tcW w:w="1276"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w:t>
            </w:r>
          </w:p>
        </w:tc>
      </w:tr>
      <w:tr w:rsidR="001657CD" w:rsidRPr="00BC0B36" w:rsidTr="001B1DF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Indigenous young people who have achieved a progressive outcome</w:t>
            </w:r>
          </w:p>
        </w:tc>
        <w:tc>
          <w:tcPr>
            <w:tcW w:w="1417"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1047</w:t>
            </w:r>
          </w:p>
        </w:tc>
        <w:tc>
          <w:tcPr>
            <w:tcW w:w="1134"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73%</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8B641B" w:rsidRDefault="001657CD" w:rsidP="001B1DFA">
            <w:pPr>
              <w:jc w:val="center"/>
              <w:rPr>
                <w:rFonts w:cs="Calibri"/>
                <w:color w:val="000000"/>
              </w:rPr>
            </w:pPr>
            <w:r>
              <w:rPr>
                <w:rFonts w:cs="Calibri"/>
                <w:bCs/>
                <w:color w:val="000000"/>
              </w:rPr>
              <w:t>4573</w:t>
            </w:r>
          </w:p>
        </w:tc>
        <w:tc>
          <w:tcPr>
            <w:tcW w:w="1276"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67%</w:t>
            </w:r>
          </w:p>
        </w:tc>
      </w:tr>
      <w:tr w:rsidR="001657CD" w:rsidRPr="00BC0B36" w:rsidTr="001B1DFA">
        <w:trPr>
          <w:trHeight w:val="600"/>
        </w:trPr>
        <w:tc>
          <w:tcPr>
            <w:tcW w:w="4981"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Indigenous young people who have achieved a final outcome</w:t>
            </w:r>
          </w:p>
        </w:tc>
        <w:tc>
          <w:tcPr>
            <w:tcW w:w="1417"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800</w:t>
            </w:r>
          </w:p>
        </w:tc>
        <w:tc>
          <w:tcPr>
            <w:tcW w:w="1134"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56%</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8B641B" w:rsidRDefault="001657CD" w:rsidP="001B1DFA">
            <w:pPr>
              <w:jc w:val="center"/>
              <w:rPr>
                <w:rFonts w:cs="Calibri"/>
                <w:color w:val="000000"/>
              </w:rPr>
            </w:pPr>
            <w:r>
              <w:rPr>
                <w:rFonts w:cs="Calibri"/>
                <w:bCs/>
                <w:color w:val="000000"/>
              </w:rPr>
              <w:t>3306</w:t>
            </w:r>
          </w:p>
        </w:tc>
        <w:tc>
          <w:tcPr>
            <w:tcW w:w="1276"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49%</w:t>
            </w:r>
          </w:p>
        </w:tc>
      </w:tr>
    </w:tbl>
    <w:p w:rsidR="001657CD" w:rsidRDefault="001657CD" w:rsidP="001657CD"/>
    <w:p w:rsidR="001657CD" w:rsidRDefault="001657CD" w:rsidP="001657CD">
      <w:r>
        <w:br w:type="page"/>
      </w:r>
    </w:p>
    <w:p w:rsidR="001657CD" w:rsidRDefault="001657CD" w:rsidP="00ED3CBC">
      <w:pPr>
        <w:pStyle w:val="Heading2"/>
      </w:pPr>
      <w:bookmarkStart w:id="39" w:name="_Toc365385419"/>
      <w:r>
        <w:lastRenderedPageBreak/>
        <w:t>Humanitarian Refugee</w:t>
      </w:r>
      <w:bookmarkEnd w:id="39"/>
      <w:r w:rsidRPr="00FC7154">
        <w:t xml:space="preserve"> </w:t>
      </w:r>
    </w:p>
    <w:p w:rsidR="001657CD" w:rsidRDefault="001657CD" w:rsidP="001657CD">
      <w:pPr>
        <w:pStyle w:val="Caption"/>
        <w:keepNext/>
      </w:pPr>
    </w:p>
    <w:p w:rsidR="001657CD" w:rsidRDefault="001657CD" w:rsidP="001657CD">
      <w:pPr>
        <w:pStyle w:val="Caption"/>
        <w:keepNext/>
      </w:pPr>
      <w:r>
        <w:t>Figure 19: % of Total Humanitarian refugee participants by state</w:t>
      </w:r>
      <w:r w:rsidRPr="0073523D">
        <w:rPr>
          <w:noProof/>
        </w:rPr>
        <w:drawing>
          <wp:inline distT="0" distB="0" distL="0" distR="0" wp14:anchorId="08BD61EC" wp14:editId="646250E8">
            <wp:extent cx="5950874" cy="3016333"/>
            <wp:effectExtent l="19050" t="0" r="11776" b="0"/>
            <wp:docPr id="69" name="Chart 43" descr="Percentage of total Humanitarian Refugee Participants by state&#10;ACT: 5%&#10;NSW: 35%&#10;NT: 0%&#10;QLD: 3%&#10;SA: 3%&#10;TAS: 2%&#10;VIC: 44%&#10;W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657CD" w:rsidRDefault="001657CD" w:rsidP="001657CD">
      <w:pPr>
        <w:rPr>
          <w:rFonts w:cs="Calibri"/>
          <w:b/>
          <w:bCs/>
          <w:color w:val="000000"/>
        </w:rPr>
      </w:pPr>
    </w:p>
    <w:p w:rsidR="001657CD" w:rsidRDefault="001657CD" w:rsidP="00ED3CBC">
      <w:pPr>
        <w:pStyle w:val="Heading3"/>
      </w:pPr>
      <w:r>
        <w:t>Table 23</w:t>
      </w:r>
      <w:r w:rsidRPr="0056510B">
        <w:t xml:space="preserve">: % of Total </w:t>
      </w:r>
      <w:r>
        <w:t>humanitarian refugee</w:t>
      </w:r>
      <w:r w:rsidRPr="0056510B">
        <w:t xml:space="preserve"> participants by State</w:t>
      </w:r>
    </w:p>
    <w:tbl>
      <w:tblPr>
        <w:tblStyle w:val="TableGrid"/>
        <w:tblW w:w="0" w:type="auto"/>
        <w:tblLook w:val="04A0" w:firstRow="1" w:lastRow="0" w:firstColumn="1" w:lastColumn="0" w:noHBand="0" w:noVBand="1"/>
        <w:tblCaption w:val="Table 23: Percentage of Total humanitarian refugee participants by State"/>
        <w:tblDescription w:val="Percentage of Total humanitarian refugee participants by State"/>
      </w:tblPr>
      <w:tblGrid>
        <w:gridCol w:w="1532"/>
        <w:gridCol w:w="1093"/>
        <w:gridCol w:w="1102"/>
        <w:gridCol w:w="1087"/>
        <w:gridCol w:w="1096"/>
        <w:gridCol w:w="1087"/>
        <w:gridCol w:w="1093"/>
        <w:gridCol w:w="1096"/>
        <w:gridCol w:w="1092"/>
      </w:tblGrid>
      <w:tr w:rsidR="001657CD" w:rsidTr="001B1DFA">
        <w:trPr>
          <w:tblHeader/>
        </w:trPr>
        <w:tc>
          <w:tcPr>
            <w:tcW w:w="1532" w:type="dxa"/>
            <w:shd w:val="clear" w:color="auto" w:fill="DBE5F1" w:themeFill="accent1" w:themeFillTint="33"/>
          </w:tcPr>
          <w:p w:rsidR="001657CD" w:rsidRPr="00B44F04" w:rsidRDefault="001657CD" w:rsidP="001B1DFA">
            <w:pPr>
              <w:rPr>
                <w:rFonts w:cs="Calibri"/>
                <w:b/>
                <w:color w:val="000000"/>
              </w:rPr>
            </w:pPr>
          </w:p>
        </w:tc>
        <w:tc>
          <w:tcPr>
            <w:tcW w:w="1093" w:type="dxa"/>
            <w:shd w:val="clear" w:color="auto" w:fill="DBE5F1" w:themeFill="accent1" w:themeFillTint="33"/>
          </w:tcPr>
          <w:p w:rsidR="001657CD" w:rsidRPr="00B44F04" w:rsidRDefault="001657CD" w:rsidP="001B1DFA">
            <w:pPr>
              <w:jc w:val="center"/>
              <w:rPr>
                <w:rFonts w:cs="Calibri"/>
                <w:b/>
                <w:color w:val="000000"/>
              </w:rPr>
            </w:pPr>
            <w:r w:rsidRPr="00B44F04">
              <w:rPr>
                <w:rFonts w:cs="Calibri"/>
                <w:b/>
                <w:color w:val="000000"/>
              </w:rPr>
              <w:t>ACT</w:t>
            </w:r>
          </w:p>
        </w:tc>
        <w:tc>
          <w:tcPr>
            <w:tcW w:w="110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NSW</w:t>
            </w:r>
          </w:p>
        </w:tc>
        <w:tc>
          <w:tcPr>
            <w:tcW w:w="1087"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NT</w:t>
            </w:r>
          </w:p>
        </w:tc>
        <w:tc>
          <w:tcPr>
            <w:tcW w:w="1096"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QLD</w:t>
            </w:r>
          </w:p>
        </w:tc>
        <w:tc>
          <w:tcPr>
            <w:tcW w:w="1087"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SA</w:t>
            </w:r>
          </w:p>
        </w:tc>
        <w:tc>
          <w:tcPr>
            <w:tcW w:w="1093"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TAS</w:t>
            </w:r>
          </w:p>
        </w:tc>
        <w:tc>
          <w:tcPr>
            <w:tcW w:w="1096"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VIC</w:t>
            </w:r>
          </w:p>
        </w:tc>
        <w:tc>
          <w:tcPr>
            <w:tcW w:w="1092"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WA</w:t>
            </w:r>
          </w:p>
        </w:tc>
      </w:tr>
      <w:tr w:rsidR="001657CD" w:rsidTr="001B1DFA">
        <w:tc>
          <w:tcPr>
            <w:tcW w:w="1532" w:type="dxa"/>
          </w:tcPr>
          <w:p w:rsidR="001657CD" w:rsidRDefault="001657CD" w:rsidP="001B1DFA">
            <w:r>
              <w:t xml:space="preserve">% of total humanitarian refugee </w:t>
            </w:r>
            <w:r w:rsidRPr="00B44F04">
              <w:rPr>
                <w:rFonts w:cs="Calibri"/>
                <w:color w:val="000000"/>
              </w:rPr>
              <w:t>participants</w:t>
            </w:r>
          </w:p>
        </w:tc>
        <w:tc>
          <w:tcPr>
            <w:tcW w:w="1093" w:type="dxa"/>
            <w:vAlign w:val="center"/>
          </w:tcPr>
          <w:p w:rsidR="001657CD" w:rsidRPr="00B44F04" w:rsidRDefault="001657CD" w:rsidP="001B1DFA">
            <w:pPr>
              <w:jc w:val="center"/>
              <w:rPr>
                <w:rFonts w:cs="Calibri"/>
                <w:color w:val="000000"/>
              </w:rPr>
            </w:pPr>
            <w:r>
              <w:rPr>
                <w:rFonts w:cs="Calibri"/>
                <w:color w:val="000000"/>
              </w:rPr>
              <w:t>5</w:t>
            </w:r>
            <w:r w:rsidRPr="00B44F04">
              <w:rPr>
                <w:rFonts w:cs="Calibri"/>
                <w:color w:val="000000"/>
              </w:rPr>
              <w:t>%</w:t>
            </w:r>
          </w:p>
        </w:tc>
        <w:tc>
          <w:tcPr>
            <w:tcW w:w="1102" w:type="dxa"/>
            <w:vAlign w:val="center"/>
          </w:tcPr>
          <w:p w:rsidR="001657CD" w:rsidRPr="00B44F04" w:rsidRDefault="001657CD" w:rsidP="001B1DFA">
            <w:pPr>
              <w:jc w:val="center"/>
              <w:rPr>
                <w:rFonts w:cs="Calibri"/>
                <w:color w:val="000000"/>
              </w:rPr>
            </w:pPr>
            <w:r>
              <w:rPr>
                <w:rFonts w:cs="Calibri"/>
                <w:color w:val="000000"/>
              </w:rPr>
              <w:t>35%</w:t>
            </w:r>
          </w:p>
        </w:tc>
        <w:tc>
          <w:tcPr>
            <w:tcW w:w="1087" w:type="dxa"/>
            <w:vAlign w:val="center"/>
          </w:tcPr>
          <w:p w:rsidR="001657CD" w:rsidRPr="00B44F04" w:rsidRDefault="001657CD" w:rsidP="001B1DFA">
            <w:pPr>
              <w:jc w:val="center"/>
              <w:rPr>
                <w:rFonts w:cs="Calibri"/>
                <w:color w:val="000000"/>
              </w:rPr>
            </w:pPr>
            <w:r>
              <w:rPr>
                <w:rFonts w:cs="Calibri"/>
                <w:color w:val="000000"/>
              </w:rPr>
              <w:t>0%</w:t>
            </w:r>
          </w:p>
        </w:tc>
        <w:tc>
          <w:tcPr>
            <w:tcW w:w="1096" w:type="dxa"/>
            <w:vAlign w:val="center"/>
          </w:tcPr>
          <w:p w:rsidR="001657CD" w:rsidRPr="00B44F04" w:rsidRDefault="001657CD" w:rsidP="001B1DFA">
            <w:pPr>
              <w:jc w:val="center"/>
              <w:rPr>
                <w:rFonts w:cs="Calibri"/>
                <w:color w:val="000000"/>
              </w:rPr>
            </w:pPr>
            <w:r>
              <w:rPr>
                <w:rFonts w:cs="Calibri"/>
                <w:color w:val="000000"/>
              </w:rPr>
              <w:t>3%</w:t>
            </w:r>
          </w:p>
        </w:tc>
        <w:tc>
          <w:tcPr>
            <w:tcW w:w="1087" w:type="dxa"/>
            <w:vAlign w:val="center"/>
          </w:tcPr>
          <w:p w:rsidR="001657CD" w:rsidRPr="00B44F04" w:rsidRDefault="001657CD" w:rsidP="001B1DFA">
            <w:pPr>
              <w:jc w:val="center"/>
              <w:rPr>
                <w:rFonts w:cs="Calibri"/>
                <w:color w:val="000000"/>
              </w:rPr>
            </w:pPr>
            <w:r>
              <w:rPr>
                <w:rFonts w:cs="Calibri"/>
                <w:color w:val="000000"/>
              </w:rPr>
              <w:t>3%</w:t>
            </w:r>
          </w:p>
        </w:tc>
        <w:tc>
          <w:tcPr>
            <w:tcW w:w="1093" w:type="dxa"/>
            <w:vAlign w:val="center"/>
          </w:tcPr>
          <w:p w:rsidR="001657CD" w:rsidRPr="00B44F04" w:rsidRDefault="001657CD" w:rsidP="001B1DFA">
            <w:pPr>
              <w:jc w:val="center"/>
              <w:rPr>
                <w:rFonts w:cs="Calibri"/>
                <w:color w:val="000000"/>
              </w:rPr>
            </w:pPr>
            <w:r>
              <w:rPr>
                <w:rFonts w:cs="Calibri"/>
                <w:color w:val="000000"/>
              </w:rPr>
              <w:t>2%</w:t>
            </w:r>
          </w:p>
        </w:tc>
        <w:tc>
          <w:tcPr>
            <w:tcW w:w="1096" w:type="dxa"/>
            <w:vAlign w:val="center"/>
          </w:tcPr>
          <w:p w:rsidR="001657CD" w:rsidRPr="00B44F04" w:rsidRDefault="001657CD" w:rsidP="001B1DFA">
            <w:pPr>
              <w:jc w:val="center"/>
              <w:rPr>
                <w:rFonts w:cs="Calibri"/>
                <w:color w:val="000000"/>
              </w:rPr>
            </w:pPr>
            <w:r>
              <w:rPr>
                <w:rFonts w:cs="Calibri"/>
                <w:color w:val="000000"/>
              </w:rPr>
              <w:t>44%</w:t>
            </w:r>
          </w:p>
        </w:tc>
        <w:tc>
          <w:tcPr>
            <w:tcW w:w="1092" w:type="dxa"/>
            <w:vAlign w:val="center"/>
          </w:tcPr>
          <w:p w:rsidR="001657CD" w:rsidRPr="00B44F04" w:rsidRDefault="001657CD" w:rsidP="001B1DFA">
            <w:pPr>
              <w:jc w:val="center"/>
              <w:rPr>
                <w:rFonts w:cs="Calibri"/>
                <w:color w:val="000000"/>
              </w:rPr>
            </w:pPr>
            <w:r>
              <w:rPr>
                <w:rFonts w:cs="Calibri"/>
                <w:color w:val="000000"/>
              </w:rPr>
              <w:t>8%</w:t>
            </w:r>
          </w:p>
        </w:tc>
      </w:tr>
    </w:tbl>
    <w:p w:rsidR="001657CD" w:rsidRDefault="001657CD" w:rsidP="001657CD">
      <w:pPr>
        <w:pStyle w:val="Caption"/>
        <w:keepNext/>
      </w:pPr>
    </w:p>
    <w:p w:rsidR="001657CD" w:rsidRDefault="001657CD" w:rsidP="001657CD">
      <w:pPr>
        <w:pStyle w:val="Caption"/>
        <w:keepNext/>
      </w:pPr>
      <w:r>
        <w:t>Figure 20: % of caseload that is Humanitarian refugee in each state</w:t>
      </w:r>
    </w:p>
    <w:p w:rsidR="001657CD" w:rsidRDefault="001657CD" w:rsidP="001657CD">
      <w:r w:rsidRPr="00801619">
        <w:rPr>
          <w:noProof/>
          <w:lang w:eastAsia="en-AU"/>
        </w:rPr>
        <w:drawing>
          <wp:inline distT="0" distB="0" distL="0" distR="0" wp14:anchorId="25668714" wp14:editId="6958D09F">
            <wp:extent cx="6025490" cy="2410691"/>
            <wp:effectExtent l="19050" t="0" r="13360" b="8659"/>
            <wp:docPr id="24" name="Chart 24" descr="Percentage of caseload that is Humanitarian Refugee in each State&#10;National: 1%&#10;ACT: 5%&#10;NSW: 1%&#10;NT: 0%&#10;QLD: 0%&#10;SA: 1%&#10;TAS: 1%&#10;VIC: 3%&#10;W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657CD" w:rsidRDefault="001657CD" w:rsidP="001657CD"/>
    <w:p w:rsidR="001657CD" w:rsidRDefault="001657CD" w:rsidP="00D35240">
      <w:pPr>
        <w:pStyle w:val="Heading3"/>
        <w:spacing w:before="360"/>
      </w:pPr>
      <w:r>
        <w:lastRenderedPageBreak/>
        <w:t>Table 24</w:t>
      </w:r>
      <w:r w:rsidRPr="0056510B">
        <w:t xml:space="preserve">: % of </w:t>
      </w:r>
      <w:r>
        <w:t>caseload that is humanitarian refugee in each</w:t>
      </w:r>
      <w:r w:rsidRPr="0056510B">
        <w:t xml:space="preserve"> State</w:t>
      </w:r>
    </w:p>
    <w:tbl>
      <w:tblPr>
        <w:tblStyle w:val="TableGrid"/>
        <w:tblW w:w="0" w:type="auto"/>
        <w:tblLook w:val="04A0" w:firstRow="1" w:lastRow="0" w:firstColumn="1" w:lastColumn="0" w:noHBand="0" w:noVBand="1"/>
        <w:tblCaption w:val="Table 24: Percentage of caseload that is humanitarian refugee in each State"/>
        <w:tblDescription w:val="Percentage of caseload that is humanitarian refugee in each State"/>
      </w:tblPr>
      <w:tblGrid>
        <w:gridCol w:w="3369"/>
        <w:gridCol w:w="850"/>
        <w:gridCol w:w="851"/>
        <w:gridCol w:w="708"/>
        <w:gridCol w:w="709"/>
        <w:gridCol w:w="709"/>
        <w:gridCol w:w="709"/>
        <w:gridCol w:w="708"/>
        <w:gridCol w:w="666"/>
        <w:gridCol w:w="999"/>
      </w:tblGrid>
      <w:tr w:rsidR="001657CD" w:rsidTr="001B1DFA">
        <w:trPr>
          <w:tblHeader/>
        </w:trPr>
        <w:tc>
          <w:tcPr>
            <w:tcW w:w="3369" w:type="dxa"/>
            <w:shd w:val="clear" w:color="auto" w:fill="DBE5F1" w:themeFill="accent1" w:themeFillTint="33"/>
          </w:tcPr>
          <w:p w:rsidR="001657CD" w:rsidRPr="00B44F04" w:rsidRDefault="001657CD" w:rsidP="001B1DFA">
            <w:pPr>
              <w:rPr>
                <w:rFonts w:cs="Calibri"/>
                <w:b/>
                <w:color w:val="000000"/>
              </w:rPr>
            </w:pPr>
          </w:p>
        </w:tc>
        <w:tc>
          <w:tcPr>
            <w:tcW w:w="850" w:type="dxa"/>
            <w:shd w:val="clear" w:color="auto" w:fill="DBE5F1" w:themeFill="accent1" w:themeFillTint="33"/>
          </w:tcPr>
          <w:p w:rsidR="001657CD" w:rsidRPr="00B44F04" w:rsidRDefault="001657CD" w:rsidP="001B1DFA">
            <w:pPr>
              <w:jc w:val="center"/>
              <w:rPr>
                <w:rFonts w:cs="Calibri"/>
                <w:b/>
                <w:color w:val="000000"/>
              </w:rPr>
            </w:pPr>
            <w:r w:rsidRPr="00B44F04">
              <w:rPr>
                <w:rFonts w:cs="Calibri"/>
                <w:b/>
                <w:color w:val="000000"/>
              </w:rPr>
              <w:t>ACT</w:t>
            </w:r>
          </w:p>
        </w:tc>
        <w:tc>
          <w:tcPr>
            <w:tcW w:w="851"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NSW</w:t>
            </w:r>
          </w:p>
        </w:tc>
        <w:tc>
          <w:tcPr>
            <w:tcW w:w="708"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NT</w:t>
            </w:r>
          </w:p>
        </w:tc>
        <w:tc>
          <w:tcPr>
            <w:tcW w:w="709"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QLD</w:t>
            </w:r>
          </w:p>
        </w:tc>
        <w:tc>
          <w:tcPr>
            <w:tcW w:w="709"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SA</w:t>
            </w:r>
          </w:p>
        </w:tc>
        <w:tc>
          <w:tcPr>
            <w:tcW w:w="709"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TAS</w:t>
            </w:r>
          </w:p>
        </w:tc>
        <w:tc>
          <w:tcPr>
            <w:tcW w:w="708"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VIC</w:t>
            </w:r>
          </w:p>
        </w:tc>
        <w:tc>
          <w:tcPr>
            <w:tcW w:w="666" w:type="dxa"/>
            <w:shd w:val="clear" w:color="auto" w:fill="DBE5F1" w:themeFill="accent1" w:themeFillTint="33"/>
          </w:tcPr>
          <w:p w:rsidR="001657CD" w:rsidRPr="00B44F04" w:rsidRDefault="001657CD" w:rsidP="001B1DFA">
            <w:pPr>
              <w:jc w:val="center"/>
              <w:rPr>
                <w:rFonts w:cs="Calibri"/>
                <w:b/>
                <w:color w:val="000000"/>
              </w:rPr>
            </w:pPr>
            <w:r>
              <w:rPr>
                <w:rFonts w:cs="Calibri"/>
                <w:b/>
                <w:color w:val="000000"/>
              </w:rPr>
              <w:t>WA</w:t>
            </w:r>
          </w:p>
        </w:tc>
        <w:tc>
          <w:tcPr>
            <w:tcW w:w="999" w:type="dxa"/>
            <w:shd w:val="clear" w:color="auto" w:fill="DBE5F1" w:themeFill="accent1" w:themeFillTint="33"/>
          </w:tcPr>
          <w:p w:rsidR="001657CD" w:rsidRDefault="001657CD" w:rsidP="001B1DFA">
            <w:pPr>
              <w:jc w:val="center"/>
              <w:rPr>
                <w:rFonts w:cs="Calibri"/>
                <w:b/>
                <w:color w:val="000000"/>
              </w:rPr>
            </w:pPr>
            <w:r>
              <w:rPr>
                <w:rFonts w:cs="Calibri"/>
                <w:b/>
                <w:color w:val="000000"/>
              </w:rPr>
              <w:t>National</w:t>
            </w:r>
          </w:p>
        </w:tc>
      </w:tr>
      <w:tr w:rsidR="001657CD" w:rsidTr="001B1DFA">
        <w:tc>
          <w:tcPr>
            <w:tcW w:w="3369" w:type="dxa"/>
          </w:tcPr>
          <w:p w:rsidR="001657CD" w:rsidRDefault="001657CD" w:rsidP="001B1DFA">
            <w:r>
              <w:t>% of caseload that is humanitarian refugee</w:t>
            </w:r>
          </w:p>
        </w:tc>
        <w:tc>
          <w:tcPr>
            <w:tcW w:w="850" w:type="dxa"/>
            <w:vAlign w:val="center"/>
          </w:tcPr>
          <w:p w:rsidR="001657CD" w:rsidRPr="00B44F04" w:rsidRDefault="001657CD" w:rsidP="001B1DFA">
            <w:pPr>
              <w:jc w:val="center"/>
              <w:rPr>
                <w:rFonts w:cs="Calibri"/>
                <w:color w:val="000000"/>
              </w:rPr>
            </w:pPr>
            <w:r>
              <w:rPr>
                <w:rFonts w:cs="Calibri"/>
                <w:color w:val="000000"/>
              </w:rPr>
              <w:t>5</w:t>
            </w:r>
            <w:r w:rsidRPr="00B44F04">
              <w:rPr>
                <w:rFonts w:cs="Calibri"/>
                <w:color w:val="000000"/>
              </w:rPr>
              <w:t>%</w:t>
            </w:r>
          </w:p>
        </w:tc>
        <w:tc>
          <w:tcPr>
            <w:tcW w:w="851" w:type="dxa"/>
            <w:vAlign w:val="center"/>
          </w:tcPr>
          <w:p w:rsidR="001657CD" w:rsidRPr="00B44F04" w:rsidRDefault="001657CD" w:rsidP="001B1DFA">
            <w:pPr>
              <w:jc w:val="center"/>
              <w:rPr>
                <w:rFonts w:cs="Calibri"/>
                <w:color w:val="000000"/>
              </w:rPr>
            </w:pPr>
            <w:r>
              <w:rPr>
                <w:rFonts w:cs="Calibri"/>
                <w:color w:val="000000"/>
              </w:rPr>
              <w:t>1%</w:t>
            </w:r>
          </w:p>
        </w:tc>
        <w:tc>
          <w:tcPr>
            <w:tcW w:w="708" w:type="dxa"/>
            <w:vAlign w:val="center"/>
          </w:tcPr>
          <w:p w:rsidR="001657CD" w:rsidRPr="00B44F04" w:rsidRDefault="001657CD" w:rsidP="001B1DFA">
            <w:pPr>
              <w:jc w:val="center"/>
              <w:rPr>
                <w:rFonts w:cs="Calibri"/>
                <w:color w:val="000000"/>
              </w:rPr>
            </w:pPr>
            <w:r>
              <w:rPr>
                <w:rFonts w:cs="Calibri"/>
                <w:color w:val="000000"/>
              </w:rPr>
              <w:t>0%</w:t>
            </w:r>
          </w:p>
        </w:tc>
        <w:tc>
          <w:tcPr>
            <w:tcW w:w="709" w:type="dxa"/>
            <w:vAlign w:val="center"/>
          </w:tcPr>
          <w:p w:rsidR="001657CD" w:rsidRPr="00B44F04" w:rsidRDefault="001657CD" w:rsidP="001B1DFA">
            <w:pPr>
              <w:jc w:val="center"/>
              <w:rPr>
                <w:rFonts w:cs="Calibri"/>
                <w:color w:val="000000"/>
              </w:rPr>
            </w:pPr>
            <w:r>
              <w:rPr>
                <w:rFonts w:cs="Calibri"/>
                <w:color w:val="000000"/>
              </w:rPr>
              <w:t>0%</w:t>
            </w:r>
          </w:p>
        </w:tc>
        <w:tc>
          <w:tcPr>
            <w:tcW w:w="709" w:type="dxa"/>
            <w:vAlign w:val="center"/>
          </w:tcPr>
          <w:p w:rsidR="001657CD" w:rsidRPr="00B44F04" w:rsidRDefault="001657CD" w:rsidP="001B1DFA">
            <w:pPr>
              <w:jc w:val="center"/>
              <w:rPr>
                <w:rFonts w:cs="Calibri"/>
                <w:color w:val="000000"/>
              </w:rPr>
            </w:pPr>
            <w:r>
              <w:rPr>
                <w:rFonts w:cs="Calibri"/>
                <w:color w:val="000000"/>
              </w:rPr>
              <w:t>1%</w:t>
            </w:r>
          </w:p>
        </w:tc>
        <w:tc>
          <w:tcPr>
            <w:tcW w:w="709" w:type="dxa"/>
            <w:vAlign w:val="center"/>
          </w:tcPr>
          <w:p w:rsidR="001657CD" w:rsidRPr="00B44F04" w:rsidRDefault="001657CD" w:rsidP="001B1DFA">
            <w:pPr>
              <w:jc w:val="center"/>
              <w:rPr>
                <w:rFonts w:cs="Calibri"/>
                <w:color w:val="000000"/>
              </w:rPr>
            </w:pPr>
            <w:r>
              <w:rPr>
                <w:rFonts w:cs="Calibri"/>
                <w:color w:val="000000"/>
              </w:rPr>
              <w:t>1%</w:t>
            </w:r>
          </w:p>
        </w:tc>
        <w:tc>
          <w:tcPr>
            <w:tcW w:w="708" w:type="dxa"/>
            <w:vAlign w:val="center"/>
          </w:tcPr>
          <w:p w:rsidR="001657CD" w:rsidRPr="00B44F04" w:rsidRDefault="001657CD" w:rsidP="001B1DFA">
            <w:pPr>
              <w:jc w:val="center"/>
              <w:rPr>
                <w:rFonts w:cs="Calibri"/>
                <w:color w:val="000000"/>
              </w:rPr>
            </w:pPr>
            <w:r>
              <w:rPr>
                <w:rFonts w:cs="Calibri"/>
                <w:color w:val="000000"/>
              </w:rPr>
              <w:t>3%</w:t>
            </w:r>
          </w:p>
        </w:tc>
        <w:tc>
          <w:tcPr>
            <w:tcW w:w="666" w:type="dxa"/>
            <w:vAlign w:val="center"/>
          </w:tcPr>
          <w:p w:rsidR="001657CD" w:rsidRPr="00B44F04" w:rsidRDefault="001657CD" w:rsidP="001B1DFA">
            <w:pPr>
              <w:jc w:val="center"/>
              <w:rPr>
                <w:rFonts w:cs="Calibri"/>
                <w:color w:val="000000"/>
              </w:rPr>
            </w:pPr>
            <w:r>
              <w:rPr>
                <w:rFonts w:cs="Calibri"/>
                <w:color w:val="000000"/>
              </w:rPr>
              <w:t>1%</w:t>
            </w:r>
          </w:p>
        </w:tc>
        <w:tc>
          <w:tcPr>
            <w:tcW w:w="999" w:type="dxa"/>
            <w:vAlign w:val="center"/>
          </w:tcPr>
          <w:p w:rsidR="001657CD" w:rsidRDefault="001657CD" w:rsidP="001B1DFA">
            <w:pPr>
              <w:jc w:val="center"/>
              <w:rPr>
                <w:rFonts w:cs="Calibri"/>
                <w:color w:val="000000"/>
              </w:rPr>
            </w:pPr>
            <w:r>
              <w:rPr>
                <w:rFonts w:cs="Calibri"/>
                <w:color w:val="000000"/>
              </w:rPr>
              <w:t>1%</w:t>
            </w:r>
          </w:p>
        </w:tc>
      </w:tr>
    </w:tbl>
    <w:p w:rsidR="001657CD" w:rsidRPr="00D35240" w:rsidRDefault="001657CD" w:rsidP="00D35240">
      <w:pPr>
        <w:pStyle w:val="Heading3"/>
        <w:spacing w:before="360"/>
        <w:rPr>
          <w:lang w:val="en-AU"/>
        </w:rPr>
      </w:pPr>
      <w:r>
        <w:t xml:space="preserve">Table 25: Humanitarian refugee </w:t>
      </w:r>
      <w:r w:rsidR="00D35240">
        <w:t>participants – QLD and National</w:t>
      </w:r>
    </w:p>
    <w:tbl>
      <w:tblPr>
        <w:tblW w:w="7880" w:type="dxa"/>
        <w:tblInd w:w="89" w:type="dxa"/>
        <w:tblLook w:val="04A0" w:firstRow="1" w:lastRow="0" w:firstColumn="1" w:lastColumn="0" w:noHBand="0" w:noVBand="1"/>
      </w:tblPr>
      <w:tblGrid>
        <w:gridCol w:w="5264"/>
        <w:gridCol w:w="1276"/>
        <w:gridCol w:w="1340"/>
      </w:tblGrid>
      <w:tr w:rsidR="001657CD" w:rsidRPr="00BC0B36" w:rsidTr="001B1DF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rPr>
                <w:rFonts w:cs="Calibri"/>
                <w:b/>
                <w:color w:val="000000"/>
              </w:rPr>
            </w:pPr>
            <w:r w:rsidRPr="00BC0B36">
              <w:rPr>
                <w:rFonts w:cs="Calibri"/>
                <w:b/>
                <w:color w:val="000000"/>
              </w:rPr>
              <w:t> </w:t>
            </w:r>
          </w:p>
        </w:tc>
        <w:tc>
          <w:tcPr>
            <w:tcW w:w="127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Pr>
                <w:rFonts w:cs="Calibri"/>
                <w:b/>
                <w:color w:val="000000"/>
              </w:rPr>
              <w:t>QLD</w:t>
            </w:r>
          </w:p>
        </w:tc>
        <w:tc>
          <w:tcPr>
            <w:tcW w:w="134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sidRPr="00BC0B36">
              <w:rPr>
                <w:rFonts w:cs="Calibri"/>
                <w:b/>
                <w:color w:val="000000"/>
              </w:rPr>
              <w:t>National</w:t>
            </w:r>
          </w:p>
        </w:tc>
      </w:tr>
      <w:tr w:rsidR="001657CD" w:rsidRPr="00BC0B36" w:rsidTr="001B1DFA">
        <w:trPr>
          <w:trHeight w:val="368"/>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Humanitarian Refugee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16</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506</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All Participants</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6906</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38,102</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center"/>
            <w:hideMark/>
          </w:tcPr>
          <w:p w:rsidR="001657CD" w:rsidRPr="00BC0B36" w:rsidRDefault="001657CD" w:rsidP="001B1DFA">
            <w:pPr>
              <w:rPr>
                <w:rFonts w:cs="Calibri"/>
                <w:color w:val="000000"/>
              </w:rPr>
            </w:pPr>
            <w:r>
              <w:rPr>
                <w:rFonts w:cs="Calibri"/>
                <w:color w:val="000000"/>
              </w:rPr>
              <w:t xml:space="preserve">% Humanitarian Refugee </w:t>
            </w:r>
          </w:p>
        </w:tc>
        <w:tc>
          <w:tcPr>
            <w:tcW w:w="1276"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0%</w:t>
            </w:r>
          </w:p>
        </w:tc>
        <w:tc>
          <w:tcPr>
            <w:tcW w:w="1340"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w:t>
            </w:r>
          </w:p>
        </w:tc>
      </w:tr>
    </w:tbl>
    <w:p w:rsidR="001657CD" w:rsidRPr="00D35240" w:rsidRDefault="001657CD" w:rsidP="00D35240">
      <w:pPr>
        <w:pStyle w:val="Heading3"/>
        <w:spacing w:before="360"/>
        <w:rPr>
          <w:lang w:val="en-AU"/>
        </w:rPr>
      </w:pPr>
      <w:r>
        <w:t>Table 26: QLD and National- Humanitarian refugee p</w:t>
      </w:r>
      <w:r w:rsidR="00D35240">
        <w:t>articipant outcomes achievement</w:t>
      </w:r>
    </w:p>
    <w:tbl>
      <w:tblPr>
        <w:tblW w:w="10084" w:type="dxa"/>
        <w:tblInd w:w="89" w:type="dxa"/>
        <w:tblLayout w:type="fixed"/>
        <w:tblLook w:val="04A0" w:firstRow="1" w:lastRow="0" w:firstColumn="1" w:lastColumn="0" w:noHBand="0" w:noVBand="1"/>
      </w:tblPr>
      <w:tblGrid>
        <w:gridCol w:w="5264"/>
        <w:gridCol w:w="1178"/>
        <w:gridCol w:w="1232"/>
        <w:gridCol w:w="1134"/>
        <w:gridCol w:w="1276"/>
      </w:tblGrid>
      <w:tr w:rsidR="001657CD" w:rsidRPr="00BC0B36" w:rsidTr="001B1DFA">
        <w:trPr>
          <w:trHeight w:val="300"/>
        </w:trPr>
        <w:tc>
          <w:tcPr>
            <w:tcW w:w="52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rPr>
                <w:rFonts w:cs="Calibri"/>
                <w:b/>
                <w:color w:val="000000"/>
              </w:rPr>
            </w:pPr>
            <w:r w:rsidRPr="00BC0B36">
              <w:rPr>
                <w:rFonts w:cs="Calibri"/>
                <w:b/>
                <w:color w:val="000000"/>
              </w:rPr>
              <w:t> </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Pr>
                <w:rFonts w:cs="Calibri"/>
                <w:b/>
                <w:color w:val="000000"/>
              </w:rPr>
              <w:t>QLD</w:t>
            </w:r>
          </w:p>
        </w:tc>
        <w:tc>
          <w:tcPr>
            <w:tcW w:w="2410" w:type="dxa"/>
            <w:gridSpan w:val="2"/>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1657CD" w:rsidRPr="00BC0B36" w:rsidRDefault="001657CD" w:rsidP="001B1DFA">
            <w:pPr>
              <w:jc w:val="center"/>
              <w:rPr>
                <w:rFonts w:cs="Calibri"/>
                <w:b/>
                <w:color w:val="000000"/>
              </w:rPr>
            </w:pPr>
            <w:r w:rsidRPr="00BC0B36">
              <w:rPr>
                <w:rFonts w:cs="Calibri"/>
                <w:b/>
                <w:color w:val="000000"/>
              </w:rPr>
              <w:t>National</w:t>
            </w:r>
          </w:p>
        </w:tc>
      </w:tr>
      <w:tr w:rsidR="001657CD" w:rsidRPr="00BC0B36" w:rsidTr="001B1DFA">
        <w:trPr>
          <w:trHeight w:val="368"/>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Humanitarian Refugee young people enrolled in individual support services</w:t>
            </w:r>
            <w:r w:rsidRPr="00BC0B36">
              <w:rPr>
                <w:rFonts w:cs="Calibri"/>
                <w:color w:val="000000"/>
              </w:rPr>
              <w:t xml:space="preserve"> </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16</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506</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Humanitarian Refugee young people who have achieved a progressive outcome</w:t>
            </w:r>
          </w:p>
        </w:tc>
        <w:tc>
          <w:tcPr>
            <w:tcW w:w="1178"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12</w:t>
            </w:r>
          </w:p>
        </w:tc>
        <w:tc>
          <w:tcPr>
            <w:tcW w:w="1232"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75%</w:t>
            </w:r>
          </w:p>
        </w:tc>
        <w:tc>
          <w:tcPr>
            <w:tcW w:w="1134"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406</w:t>
            </w:r>
          </w:p>
        </w:tc>
        <w:tc>
          <w:tcPr>
            <w:tcW w:w="1276"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80%</w:t>
            </w:r>
          </w:p>
        </w:tc>
      </w:tr>
      <w:tr w:rsidR="001657CD" w:rsidRPr="00BC0B36" w:rsidTr="001B1DFA">
        <w:trPr>
          <w:trHeight w:val="600"/>
        </w:trPr>
        <w:tc>
          <w:tcPr>
            <w:tcW w:w="5264" w:type="dxa"/>
            <w:tcBorders>
              <w:top w:val="nil"/>
              <w:left w:val="single" w:sz="4" w:space="0" w:color="auto"/>
              <w:bottom w:val="single" w:sz="4" w:space="0" w:color="auto"/>
              <w:right w:val="single" w:sz="4" w:space="0" w:color="auto"/>
            </w:tcBorders>
            <w:shd w:val="clear" w:color="auto" w:fill="auto"/>
            <w:vAlign w:val="bottom"/>
            <w:hideMark/>
          </w:tcPr>
          <w:p w:rsidR="001657CD" w:rsidRPr="00BC0B36" w:rsidRDefault="001657CD" w:rsidP="001B1DFA">
            <w:pPr>
              <w:rPr>
                <w:rFonts w:cs="Calibri"/>
                <w:color w:val="000000"/>
              </w:rPr>
            </w:pPr>
            <w:r>
              <w:rPr>
                <w:rFonts w:cs="Calibri"/>
                <w:color w:val="000000"/>
              </w:rPr>
              <w:t>Humanitarian Refugee young people who have achieved a final outcome</w:t>
            </w:r>
          </w:p>
        </w:tc>
        <w:tc>
          <w:tcPr>
            <w:tcW w:w="1178"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11</w:t>
            </w:r>
          </w:p>
        </w:tc>
        <w:tc>
          <w:tcPr>
            <w:tcW w:w="1232"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69%</w:t>
            </w:r>
          </w:p>
        </w:tc>
        <w:tc>
          <w:tcPr>
            <w:tcW w:w="1134" w:type="dxa"/>
            <w:tcBorders>
              <w:top w:val="nil"/>
              <w:left w:val="nil"/>
              <w:bottom w:val="single" w:sz="4" w:space="0" w:color="auto"/>
              <w:right w:val="single" w:sz="4" w:space="0" w:color="auto"/>
            </w:tcBorders>
            <w:shd w:val="clear" w:color="auto" w:fill="auto"/>
            <w:noWrap/>
            <w:vAlign w:val="center"/>
            <w:hideMark/>
          </w:tcPr>
          <w:p w:rsidR="001657CD" w:rsidRPr="00BC0B36" w:rsidRDefault="001657CD" w:rsidP="001B1DFA">
            <w:pPr>
              <w:jc w:val="center"/>
              <w:rPr>
                <w:rFonts w:cs="Calibri"/>
                <w:color w:val="000000"/>
              </w:rPr>
            </w:pPr>
            <w:r>
              <w:rPr>
                <w:rFonts w:cs="Calibri"/>
                <w:color w:val="000000"/>
              </w:rPr>
              <w:t>357</w:t>
            </w:r>
          </w:p>
        </w:tc>
        <w:tc>
          <w:tcPr>
            <w:tcW w:w="1276" w:type="dxa"/>
            <w:tcBorders>
              <w:top w:val="nil"/>
              <w:left w:val="nil"/>
              <w:bottom w:val="single" w:sz="4" w:space="0" w:color="auto"/>
              <w:right w:val="single" w:sz="4" w:space="0" w:color="auto"/>
            </w:tcBorders>
            <w:shd w:val="clear" w:color="auto" w:fill="auto"/>
            <w:vAlign w:val="center"/>
          </w:tcPr>
          <w:p w:rsidR="001657CD" w:rsidRPr="00BC0B36" w:rsidRDefault="001657CD" w:rsidP="001B1DFA">
            <w:pPr>
              <w:jc w:val="center"/>
              <w:rPr>
                <w:rFonts w:cs="Calibri"/>
                <w:color w:val="000000"/>
              </w:rPr>
            </w:pPr>
            <w:r>
              <w:rPr>
                <w:rFonts w:cs="Calibri"/>
                <w:color w:val="000000"/>
              </w:rPr>
              <w:t>71%</w:t>
            </w:r>
          </w:p>
        </w:tc>
      </w:tr>
    </w:tbl>
    <w:p w:rsidR="005606F5" w:rsidRDefault="005606F5" w:rsidP="001657CD"/>
    <w:p w:rsidR="001657CD" w:rsidRPr="003754C6" w:rsidRDefault="001657CD" w:rsidP="00ED3CBC">
      <w:pPr>
        <w:pStyle w:val="Heading2"/>
      </w:pPr>
      <w:bookmarkStart w:id="40" w:name="_Toc365385420"/>
      <w:r w:rsidRPr="003754C6">
        <w:t>Outreach and Re-engagement Services</w:t>
      </w:r>
      <w:bookmarkEnd w:id="40"/>
    </w:p>
    <w:p w:rsidR="001657CD" w:rsidRDefault="001657CD" w:rsidP="001657CD">
      <w:pPr>
        <w:ind w:right="-188"/>
      </w:pPr>
      <w:r>
        <w:t xml:space="preserve">Providers in Queensland </w:t>
      </w:r>
      <w:r w:rsidRPr="00D80AD9">
        <w:t xml:space="preserve">have conducted </w:t>
      </w:r>
      <w:r>
        <w:t>1,430</w:t>
      </w:r>
      <w:r w:rsidRPr="00D80AD9">
        <w:t xml:space="preserve"> Outreach and Re-engagement activities (some were held multiple times, resulting in</w:t>
      </w:r>
      <w:r>
        <w:t xml:space="preserve"> 1,571</w:t>
      </w:r>
      <w:r w:rsidRPr="00D80AD9">
        <w:t xml:space="preserve"> events). These activities were attended by more </w:t>
      </w:r>
      <w:r>
        <w:t>than 66,431</w:t>
      </w:r>
      <w:r w:rsidRPr="00D80AD9">
        <w:t xml:space="preserve"> people.</w:t>
      </w:r>
    </w:p>
    <w:p w:rsidR="001657CD" w:rsidRDefault="00FD03F9" w:rsidP="00D35240">
      <w:pPr>
        <w:pStyle w:val="Heading3"/>
        <w:spacing w:before="360"/>
      </w:pPr>
      <w:r>
        <w:t xml:space="preserve">Table 27: </w:t>
      </w:r>
      <w:r>
        <w:rPr>
          <w:lang w:val="en-AU"/>
        </w:rPr>
        <w:t>QLD</w:t>
      </w:r>
      <w:r w:rsidR="001657CD">
        <w:t xml:space="preserve"> Outreach and Re-engagement activities</w:t>
      </w:r>
    </w:p>
    <w:tbl>
      <w:tblPr>
        <w:tblW w:w="35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59"/>
      </w:tblGrid>
      <w:tr w:rsidR="001657CD" w:rsidRPr="00E55E11" w:rsidTr="001B1DFA">
        <w:trPr>
          <w:trHeight w:val="909"/>
        </w:trPr>
        <w:tc>
          <w:tcPr>
            <w:tcW w:w="2000" w:type="dxa"/>
            <w:shd w:val="clear" w:color="auto" w:fill="C6D9F1" w:themeFill="text2" w:themeFillTint="33"/>
            <w:noWrap/>
            <w:vAlign w:val="bottom"/>
            <w:hideMark/>
          </w:tcPr>
          <w:p w:rsidR="001657CD" w:rsidRPr="00E55E11" w:rsidRDefault="001657CD" w:rsidP="001B1DFA">
            <w:pPr>
              <w:jc w:val="center"/>
              <w:rPr>
                <w:rFonts w:cs="Calibri"/>
                <w:b/>
                <w:color w:val="000000"/>
              </w:rPr>
            </w:pPr>
            <w:r w:rsidRPr="00E55E11">
              <w:rPr>
                <w:rFonts w:cs="Calibri"/>
                <w:b/>
                <w:color w:val="000000"/>
              </w:rPr>
              <w:t>Number of people attending each event</w:t>
            </w:r>
          </w:p>
        </w:tc>
        <w:tc>
          <w:tcPr>
            <w:tcW w:w="1559" w:type="dxa"/>
            <w:shd w:val="clear" w:color="auto" w:fill="C6D9F1" w:themeFill="text2" w:themeFillTint="33"/>
            <w:noWrap/>
            <w:vAlign w:val="bottom"/>
            <w:hideMark/>
          </w:tcPr>
          <w:p w:rsidR="001657CD" w:rsidRPr="00E55E11" w:rsidRDefault="001657CD" w:rsidP="001B1DFA">
            <w:pPr>
              <w:jc w:val="center"/>
              <w:rPr>
                <w:rFonts w:cs="Calibri"/>
                <w:b/>
                <w:color w:val="000000"/>
              </w:rPr>
            </w:pPr>
            <w:r w:rsidRPr="00E55E11">
              <w:rPr>
                <w:rFonts w:cs="Calibri"/>
                <w:b/>
                <w:color w:val="000000"/>
              </w:rPr>
              <w:t>Number of events</w:t>
            </w:r>
          </w:p>
        </w:tc>
      </w:tr>
      <w:tr w:rsidR="001657CD" w:rsidRPr="00E55E11" w:rsidTr="001B1DFA">
        <w:trPr>
          <w:trHeight w:val="300"/>
        </w:trPr>
        <w:tc>
          <w:tcPr>
            <w:tcW w:w="2000" w:type="dxa"/>
            <w:shd w:val="clear" w:color="auto" w:fill="auto"/>
            <w:noWrap/>
            <w:vAlign w:val="bottom"/>
            <w:hideMark/>
          </w:tcPr>
          <w:p w:rsidR="001657CD" w:rsidRPr="00E55E11" w:rsidRDefault="001657CD" w:rsidP="001B1DFA">
            <w:pPr>
              <w:rPr>
                <w:rFonts w:cs="Calibri"/>
                <w:color w:val="000000"/>
              </w:rPr>
            </w:pPr>
            <w:r w:rsidRPr="00E55E11">
              <w:rPr>
                <w:rFonts w:cs="Calibri"/>
                <w:color w:val="000000"/>
              </w:rPr>
              <w:t>&lt;10</w:t>
            </w:r>
          </w:p>
        </w:tc>
        <w:tc>
          <w:tcPr>
            <w:tcW w:w="1559" w:type="dxa"/>
            <w:shd w:val="clear" w:color="auto" w:fill="auto"/>
            <w:noWrap/>
            <w:vAlign w:val="bottom"/>
            <w:hideMark/>
          </w:tcPr>
          <w:p w:rsidR="001657CD" w:rsidRDefault="001657CD" w:rsidP="001B1DFA">
            <w:pPr>
              <w:jc w:val="right"/>
              <w:rPr>
                <w:rFonts w:cs="Calibri"/>
                <w:color w:val="000000"/>
              </w:rPr>
            </w:pPr>
            <w:r>
              <w:rPr>
                <w:rFonts w:cs="Calibri"/>
                <w:color w:val="000000"/>
              </w:rPr>
              <w:t>780</w:t>
            </w:r>
          </w:p>
        </w:tc>
      </w:tr>
      <w:tr w:rsidR="001657CD" w:rsidRPr="00E55E11" w:rsidTr="001B1DFA">
        <w:trPr>
          <w:trHeight w:val="300"/>
        </w:trPr>
        <w:tc>
          <w:tcPr>
            <w:tcW w:w="2000" w:type="dxa"/>
            <w:shd w:val="clear" w:color="auto" w:fill="auto"/>
            <w:noWrap/>
            <w:vAlign w:val="bottom"/>
            <w:hideMark/>
          </w:tcPr>
          <w:p w:rsidR="001657CD" w:rsidRPr="00E55E11" w:rsidRDefault="001657CD" w:rsidP="001B1DFA">
            <w:pPr>
              <w:rPr>
                <w:rFonts w:cs="Calibri"/>
                <w:color w:val="000000"/>
              </w:rPr>
            </w:pPr>
            <w:r w:rsidRPr="00E55E11">
              <w:rPr>
                <w:rFonts w:cs="Calibri"/>
                <w:color w:val="000000"/>
              </w:rPr>
              <w:t>&lt;20</w:t>
            </w:r>
          </w:p>
        </w:tc>
        <w:tc>
          <w:tcPr>
            <w:tcW w:w="1559" w:type="dxa"/>
            <w:shd w:val="clear" w:color="auto" w:fill="auto"/>
            <w:noWrap/>
            <w:vAlign w:val="bottom"/>
            <w:hideMark/>
          </w:tcPr>
          <w:p w:rsidR="001657CD" w:rsidRDefault="001657CD" w:rsidP="001B1DFA">
            <w:pPr>
              <w:jc w:val="right"/>
              <w:rPr>
                <w:rFonts w:cs="Calibri"/>
                <w:color w:val="000000"/>
              </w:rPr>
            </w:pPr>
            <w:r>
              <w:rPr>
                <w:rFonts w:cs="Calibri"/>
                <w:color w:val="000000"/>
              </w:rPr>
              <w:t>260</w:t>
            </w:r>
          </w:p>
        </w:tc>
      </w:tr>
      <w:tr w:rsidR="001657CD" w:rsidRPr="00E55E11" w:rsidTr="001B1DFA">
        <w:trPr>
          <w:trHeight w:val="300"/>
        </w:trPr>
        <w:tc>
          <w:tcPr>
            <w:tcW w:w="2000" w:type="dxa"/>
            <w:shd w:val="clear" w:color="auto" w:fill="auto"/>
            <w:noWrap/>
            <w:vAlign w:val="bottom"/>
            <w:hideMark/>
          </w:tcPr>
          <w:p w:rsidR="001657CD" w:rsidRPr="00E55E11" w:rsidRDefault="001657CD" w:rsidP="001B1DFA">
            <w:pPr>
              <w:rPr>
                <w:rFonts w:cs="Calibri"/>
                <w:color w:val="000000"/>
              </w:rPr>
            </w:pPr>
            <w:r w:rsidRPr="00E55E11">
              <w:rPr>
                <w:rFonts w:cs="Calibri"/>
                <w:color w:val="000000"/>
              </w:rPr>
              <w:t>&lt;50</w:t>
            </w:r>
          </w:p>
        </w:tc>
        <w:tc>
          <w:tcPr>
            <w:tcW w:w="1559" w:type="dxa"/>
            <w:shd w:val="clear" w:color="auto" w:fill="auto"/>
            <w:noWrap/>
            <w:vAlign w:val="bottom"/>
            <w:hideMark/>
          </w:tcPr>
          <w:p w:rsidR="001657CD" w:rsidRDefault="001657CD" w:rsidP="001B1DFA">
            <w:pPr>
              <w:jc w:val="right"/>
              <w:rPr>
                <w:rFonts w:cs="Calibri"/>
                <w:color w:val="000000"/>
              </w:rPr>
            </w:pPr>
            <w:r>
              <w:rPr>
                <w:rFonts w:cs="Calibri"/>
                <w:color w:val="000000"/>
              </w:rPr>
              <w:t>296</w:t>
            </w:r>
          </w:p>
        </w:tc>
      </w:tr>
      <w:tr w:rsidR="001657CD" w:rsidRPr="00E55E11" w:rsidTr="001B1DFA">
        <w:trPr>
          <w:trHeight w:val="300"/>
        </w:trPr>
        <w:tc>
          <w:tcPr>
            <w:tcW w:w="2000" w:type="dxa"/>
            <w:shd w:val="clear" w:color="auto" w:fill="auto"/>
            <w:noWrap/>
            <w:vAlign w:val="bottom"/>
            <w:hideMark/>
          </w:tcPr>
          <w:p w:rsidR="001657CD" w:rsidRPr="00E55E11" w:rsidRDefault="001657CD" w:rsidP="001B1DFA">
            <w:pPr>
              <w:rPr>
                <w:rFonts w:cs="Calibri"/>
                <w:color w:val="000000"/>
              </w:rPr>
            </w:pPr>
            <w:r>
              <w:rPr>
                <w:rFonts w:cs="Calibri"/>
                <w:color w:val="000000"/>
              </w:rPr>
              <w:t>&lt;7</w:t>
            </w:r>
            <w:r w:rsidRPr="00E55E11">
              <w:rPr>
                <w:rFonts w:cs="Calibri"/>
                <w:color w:val="000000"/>
              </w:rPr>
              <w:t>00</w:t>
            </w:r>
          </w:p>
        </w:tc>
        <w:tc>
          <w:tcPr>
            <w:tcW w:w="1559" w:type="dxa"/>
            <w:shd w:val="clear" w:color="auto" w:fill="auto"/>
            <w:noWrap/>
            <w:vAlign w:val="bottom"/>
            <w:hideMark/>
          </w:tcPr>
          <w:p w:rsidR="001657CD" w:rsidRDefault="001657CD" w:rsidP="001B1DFA">
            <w:pPr>
              <w:jc w:val="right"/>
              <w:rPr>
                <w:rFonts w:cs="Calibri"/>
                <w:color w:val="000000"/>
              </w:rPr>
            </w:pPr>
            <w:r>
              <w:rPr>
                <w:rFonts w:cs="Calibri"/>
                <w:color w:val="000000"/>
              </w:rPr>
              <w:t>224</w:t>
            </w:r>
          </w:p>
        </w:tc>
      </w:tr>
      <w:tr w:rsidR="001657CD" w:rsidRPr="00E55E11" w:rsidTr="001B1DFA">
        <w:trPr>
          <w:trHeight w:val="300"/>
        </w:trPr>
        <w:tc>
          <w:tcPr>
            <w:tcW w:w="2000" w:type="dxa"/>
            <w:shd w:val="clear" w:color="auto" w:fill="auto"/>
            <w:noWrap/>
            <w:vAlign w:val="bottom"/>
            <w:hideMark/>
          </w:tcPr>
          <w:p w:rsidR="001657CD" w:rsidRPr="00E55E11" w:rsidRDefault="001657CD" w:rsidP="001B1DFA">
            <w:pPr>
              <w:rPr>
                <w:rFonts w:cs="Calibri"/>
                <w:color w:val="000000"/>
              </w:rPr>
            </w:pPr>
            <w:r>
              <w:rPr>
                <w:rFonts w:cs="Calibri"/>
                <w:color w:val="000000"/>
              </w:rPr>
              <w:t>&gt;7</w:t>
            </w:r>
            <w:r w:rsidRPr="00E55E11">
              <w:rPr>
                <w:rFonts w:cs="Calibri"/>
                <w:color w:val="000000"/>
              </w:rPr>
              <w:t>00</w:t>
            </w:r>
          </w:p>
        </w:tc>
        <w:tc>
          <w:tcPr>
            <w:tcW w:w="1559" w:type="dxa"/>
            <w:shd w:val="clear" w:color="auto" w:fill="auto"/>
            <w:noWrap/>
            <w:vAlign w:val="bottom"/>
            <w:hideMark/>
          </w:tcPr>
          <w:p w:rsidR="001657CD" w:rsidRDefault="001657CD" w:rsidP="001B1DFA">
            <w:pPr>
              <w:jc w:val="right"/>
              <w:rPr>
                <w:rFonts w:cs="Calibri"/>
                <w:color w:val="000000"/>
              </w:rPr>
            </w:pPr>
            <w:r>
              <w:rPr>
                <w:rFonts w:cs="Calibri"/>
                <w:color w:val="000000"/>
              </w:rPr>
              <w:t>11</w:t>
            </w:r>
          </w:p>
        </w:tc>
      </w:tr>
    </w:tbl>
    <w:p w:rsidR="001657CD" w:rsidRDefault="001657CD" w:rsidP="001657CD">
      <w:pPr>
        <w:ind w:right="-188"/>
      </w:pPr>
    </w:p>
    <w:p w:rsidR="001657CD" w:rsidRDefault="001657CD" w:rsidP="001657CD">
      <w:pPr>
        <w:ind w:right="-188"/>
      </w:pPr>
      <w:r>
        <w:t>282 of these activities were identified as having an Indigenous focus; 53 were identified as having a humanitarian refugee focus.</w:t>
      </w:r>
    </w:p>
    <w:p w:rsidR="001657CD" w:rsidRPr="003754C6" w:rsidRDefault="001657CD" w:rsidP="00ED3CBC">
      <w:pPr>
        <w:pStyle w:val="Heading2"/>
      </w:pPr>
      <w:bookmarkStart w:id="41" w:name="_Toc365385421"/>
      <w:r w:rsidRPr="003754C6">
        <w:lastRenderedPageBreak/>
        <w:t>Strengthening Services in the Region</w:t>
      </w:r>
      <w:bookmarkEnd w:id="41"/>
    </w:p>
    <w:p w:rsidR="001657CD" w:rsidRPr="00D35240" w:rsidRDefault="001657CD" w:rsidP="00D35240">
      <w:pPr>
        <w:ind w:right="-188"/>
      </w:pPr>
      <w:r>
        <w:t>Providers in Queensland have conducted 1,628 activities to strengthen services in their region. 483 of these activities were identified as having an Indigenous focus, 92 were identified as havin</w:t>
      </w:r>
      <w:r w:rsidR="00D35240">
        <w:t>g a humanitarian refugee focus.</w:t>
      </w:r>
    </w:p>
    <w:p w:rsidR="001657CD" w:rsidRPr="00D35240" w:rsidRDefault="00FD03F9" w:rsidP="00D35240">
      <w:pPr>
        <w:pStyle w:val="Heading3"/>
        <w:rPr>
          <w:lang w:val="en-AU"/>
        </w:rPr>
      </w:pPr>
      <w:r>
        <w:t xml:space="preserve">Table 28: </w:t>
      </w:r>
      <w:r>
        <w:rPr>
          <w:lang w:val="en-AU"/>
        </w:rPr>
        <w:t>QLD</w:t>
      </w:r>
      <w:r w:rsidR="001657CD">
        <w:t xml:space="preserve"> Strengthening Services in the Region activitie</w:t>
      </w:r>
      <w:r w:rsidR="00D35240">
        <w:t>s</w:t>
      </w:r>
    </w:p>
    <w:tbl>
      <w:tblPr>
        <w:tblStyle w:val="TableGrid"/>
        <w:tblW w:w="0" w:type="auto"/>
        <w:tblLook w:val="04A0" w:firstRow="1" w:lastRow="0" w:firstColumn="1" w:lastColumn="0" w:noHBand="0" w:noVBand="1"/>
        <w:tblCaption w:val="Table 28: NSW Strengthening Services in the Region activities"/>
        <w:tblDescription w:val="NSW Strengthening Services in the Region activities"/>
      </w:tblPr>
      <w:tblGrid>
        <w:gridCol w:w="6912"/>
        <w:gridCol w:w="1683"/>
        <w:gridCol w:w="1683"/>
      </w:tblGrid>
      <w:tr w:rsidR="001657CD" w:rsidRPr="00AC5CCC" w:rsidTr="00D35240">
        <w:trPr>
          <w:tblHeader/>
        </w:trPr>
        <w:tc>
          <w:tcPr>
            <w:tcW w:w="6912" w:type="dxa"/>
            <w:shd w:val="clear" w:color="auto" w:fill="C6D9F1" w:themeFill="text2" w:themeFillTint="33"/>
            <w:vAlign w:val="center"/>
          </w:tcPr>
          <w:p w:rsidR="001657CD" w:rsidRPr="00AC5CCC" w:rsidRDefault="001657CD" w:rsidP="001B1DFA">
            <w:pPr>
              <w:jc w:val="center"/>
              <w:rPr>
                <w:b/>
              </w:rPr>
            </w:pPr>
            <w:r w:rsidRPr="00AC5CCC">
              <w:rPr>
                <w:b/>
              </w:rPr>
              <w:t>Outcome</w:t>
            </w:r>
          </w:p>
        </w:tc>
        <w:tc>
          <w:tcPr>
            <w:tcW w:w="1683" w:type="dxa"/>
            <w:shd w:val="clear" w:color="auto" w:fill="C6D9F1" w:themeFill="text2" w:themeFillTint="33"/>
            <w:vAlign w:val="center"/>
          </w:tcPr>
          <w:p w:rsidR="001657CD" w:rsidRPr="00AC5CCC" w:rsidRDefault="001657CD" w:rsidP="001B1DFA">
            <w:pPr>
              <w:jc w:val="center"/>
              <w:rPr>
                <w:b/>
              </w:rPr>
            </w:pPr>
            <w:r w:rsidRPr="00AC5CCC">
              <w:rPr>
                <w:b/>
              </w:rPr>
              <w:t>Number of times outcome selected</w:t>
            </w:r>
          </w:p>
        </w:tc>
        <w:tc>
          <w:tcPr>
            <w:tcW w:w="1683" w:type="dxa"/>
            <w:shd w:val="clear" w:color="auto" w:fill="C6D9F1" w:themeFill="text2" w:themeFillTint="33"/>
            <w:vAlign w:val="center"/>
          </w:tcPr>
          <w:p w:rsidR="001657CD" w:rsidRPr="00AC5CCC" w:rsidRDefault="001657CD" w:rsidP="001B1DFA">
            <w:pPr>
              <w:jc w:val="center"/>
              <w:rPr>
                <w:b/>
              </w:rPr>
            </w:pPr>
            <w:r w:rsidRPr="00AC5CCC">
              <w:rPr>
                <w:b/>
              </w:rPr>
              <w:t>Average rating</w:t>
            </w:r>
          </w:p>
        </w:tc>
      </w:tr>
      <w:tr w:rsidR="001657CD" w:rsidTr="001B1DFA">
        <w:tc>
          <w:tcPr>
            <w:tcW w:w="6912" w:type="dxa"/>
            <w:vAlign w:val="bottom"/>
          </w:tcPr>
          <w:p w:rsidR="001657CD" w:rsidRDefault="001657CD" w:rsidP="001B1DFA">
            <w:pPr>
              <w:rPr>
                <w:rFonts w:cs="Calibri"/>
                <w:color w:val="000000"/>
              </w:rPr>
            </w:pPr>
            <w:r>
              <w:rPr>
                <w:rFonts w:cs="Calibri"/>
                <w:color w:val="000000"/>
              </w:rPr>
              <w:t>Communication channels between agencies which support at risk young people were created or strengthened.</w:t>
            </w:r>
          </w:p>
        </w:tc>
        <w:tc>
          <w:tcPr>
            <w:tcW w:w="1683" w:type="dxa"/>
            <w:vAlign w:val="bottom"/>
          </w:tcPr>
          <w:p w:rsidR="001657CD" w:rsidRDefault="001657CD" w:rsidP="001B1DFA">
            <w:pPr>
              <w:jc w:val="right"/>
              <w:rPr>
                <w:rFonts w:cs="Calibri"/>
                <w:color w:val="000000"/>
              </w:rPr>
            </w:pPr>
            <w:r>
              <w:rPr>
                <w:rFonts w:cs="Calibri"/>
                <w:color w:val="000000"/>
              </w:rPr>
              <w:t>1056</w:t>
            </w:r>
          </w:p>
        </w:tc>
        <w:tc>
          <w:tcPr>
            <w:tcW w:w="1683" w:type="dxa"/>
            <w:vAlign w:val="bottom"/>
          </w:tcPr>
          <w:p w:rsidR="001657CD" w:rsidRDefault="001657CD" w:rsidP="001B1DFA">
            <w:pPr>
              <w:jc w:val="right"/>
              <w:rPr>
                <w:rFonts w:cs="Calibri"/>
                <w:color w:val="000000"/>
              </w:rPr>
            </w:pPr>
            <w:r>
              <w:rPr>
                <w:rFonts w:cs="Calibri"/>
                <w:color w:val="000000"/>
              </w:rPr>
              <w:t>3.77</w:t>
            </w:r>
          </w:p>
        </w:tc>
      </w:tr>
      <w:tr w:rsidR="001657CD" w:rsidTr="001B1DFA">
        <w:tc>
          <w:tcPr>
            <w:tcW w:w="6912" w:type="dxa"/>
            <w:vAlign w:val="bottom"/>
          </w:tcPr>
          <w:p w:rsidR="001657CD" w:rsidRDefault="001657CD" w:rsidP="001B1DFA">
            <w:pPr>
              <w:rPr>
                <w:rFonts w:cs="Calibri"/>
                <w:color w:val="000000"/>
              </w:rPr>
            </w:pPr>
            <w:r>
              <w:rPr>
                <w:rFonts w:cs="Calibri"/>
                <w:color w:val="000000"/>
              </w:rPr>
              <w:t>Families and communities are more positively involved in the lives of at risk young people.</w:t>
            </w:r>
          </w:p>
        </w:tc>
        <w:tc>
          <w:tcPr>
            <w:tcW w:w="1683" w:type="dxa"/>
            <w:vAlign w:val="bottom"/>
          </w:tcPr>
          <w:p w:rsidR="001657CD" w:rsidRDefault="001657CD" w:rsidP="001B1DFA">
            <w:pPr>
              <w:jc w:val="right"/>
              <w:rPr>
                <w:rFonts w:cs="Calibri"/>
                <w:color w:val="000000"/>
              </w:rPr>
            </w:pPr>
            <w:r>
              <w:rPr>
                <w:rFonts w:cs="Calibri"/>
                <w:color w:val="000000"/>
              </w:rPr>
              <w:t>326</w:t>
            </w:r>
          </w:p>
        </w:tc>
        <w:tc>
          <w:tcPr>
            <w:tcW w:w="1683" w:type="dxa"/>
            <w:vAlign w:val="bottom"/>
          </w:tcPr>
          <w:p w:rsidR="001657CD" w:rsidRDefault="001657CD" w:rsidP="001B1DFA">
            <w:pPr>
              <w:jc w:val="right"/>
              <w:rPr>
                <w:rFonts w:cs="Calibri"/>
                <w:color w:val="000000"/>
              </w:rPr>
            </w:pPr>
            <w:r>
              <w:rPr>
                <w:rFonts w:cs="Calibri"/>
                <w:color w:val="000000"/>
              </w:rPr>
              <w:t>3.43</w:t>
            </w:r>
          </w:p>
        </w:tc>
      </w:tr>
      <w:tr w:rsidR="001657CD" w:rsidTr="001B1DFA">
        <w:tc>
          <w:tcPr>
            <w:tcW w:w="6912" w:type="dxa"/>
            <w:vAlign w:val="bottom"/>
          </w:tcPr>
          <w:p w:rsidR="001657CD" w:rsidRDefault="001657CD" w:rsidP="001B1DFA">
            <w:pPr>
              <w:rPr>
                <w:rFonts w:cs="Calibri"/>
                <w:color w:val="000000"/>
              </w:rPr>
            </w:pPr>
            <w:r>
              <w:rPr>
                <w:rFonts w:cs="Calibri"/>
                <w:color w:val="000000"/>
              </w:rPr>
              <w:t>Families of at risk young people are more involved in their community.</w:t>
            </w:r>
          </w:p>
        </w:tc>
        <w:tc>
          <w:tcPr>
            <w:tcW w:w="1683" w:type="dxa"/>
            <w:vAlign w:val="bottom"/>
          </w:tcPr>
          <w:p w:rsidR="001657CD" w:rsidRDefault="001657CD" w:rsidP="001B1DFA">
            <w:pPr>
              <w:jc w:val="right"/>
              <w:rPr>
                <w:rFonts w:cs="Calibri"/>
                <w:color w:val="000000"/>
              </w:rPr>
            </w:pPr>
            <w:r>
              <w:rPr>
                <w:rFonts w:cs="Calibri"/>
                <w:color w:val="000000"/>
              </w:rPr>
              <w:t>215</w:t>
            </w:r>
          </w:p>
        </w:tc>
        <w:tc>
          <w:tcPr>
            <w:tcW w:w="1683" w:type="dxa"/>
            <w:vAlign w:val="bottom"/>
          </w:tcPr>
          <w:p w:rsidR="001657CD" w:rsidRDefault="001657CD" w:rsidP="001B1DFA">
            <w:pPr>
              <w:jc w:val="right"/>
              <w:rPr>
                <w:rFonts w:cs="Calibri"/>
                <w:color w:val="000000"/>
              </w:rPr>
            </w:pPr>
            <w:r>
              <w:rPr>
                <w:rFonts w:cs="Calibri"/>
                <w:color w:val="000000"/>
              </w:rPr>
              <w:t>3.22</w:t>
            </w:r>
          </w:p>
        </w:tc>
      </w:tr>
      <w:tr w:rsidR="001657CD" w:rsidTr="001B1DFA">
        <w:tc>
          <w:tcPr>
            <w:tcW w:w="6912" w:type="dxa"/>
            <w:vAlign w:val="bottom"/>
          </w:tcPr>
          <w:p w:rsidR="001657CD" w:rsidRDefault="001657CD" w:rsidP="001B1DFA">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683" w:type="dxa"/>
            <w:vAlign w:val="bottom"/>
          </w:tcPr>
          <w:p w:rsidR="001657CD" w:rsidRDefault="001657CD" w:rsidP="001B1DFA">
            <w:pPr>
              <w:jc w:val="right"/>
              <w:rPr>
                <w:rFonts w:cs="Calibri"/>
                <w:color w:val="000000"/>
              </w:rPr>
            </w:pPr>
            <w:r>
              <w:rPr>
                <w:rFonts w:cs="Calibri"/>
                <w:color w:val="000000"/>
              </w:rPr>
              <w:t>173</w:t>
            </w:r>
          </w:p>
        </w:tc>
        <w:tc>
          <w:tcPr>
            <w:tcW w:w="1683" w:type="dxa"/>
            <w:vAlign w:val="bottom"/>
          </w:tcPr>
          <w:p w:rsidR="001657CD" w:rsidRDefault="001657CD" w:rsidP="001B1DFA">
            <w:pPr>
              <w:jc w:val="right"/>
              <w:rPr>
                <w:rFonts w:cs="Calibri"/>
                <w:color w:val="000000"/>
              </w:rPr>
            </w:pPr>
            <w:r>
              <w:rPr>
                <w:rFonts w:cs="Calibri"/>
                <w:color w:val="000000"/>
              </w:rPr>
              <w:t>3.49</w:t>
            </w:r>
          </w:p>
        </w:tc>
      </w:tr>
      <w:tr w:rsidR="001657CD" w:rsidTr="001B1DFA">
        <w:tc>
          <w:tcPr>
            <w:tcW w:w="6912" w:type="dxa"/>
            <w:vAlign w:val="bottom"/>
          </w:tcPr>
          <w:p w:rsidR="001657CD" w:rsidRDefault="001657CD" w:rsidP="001B1DFA">
            <w:pPr>
              <w:rPr>
                <w:rFonts w:cs="Calibri"/>
                <w:color w:val="000000"/>
              </w:rPr>
            </w:pPr>
            <w:r>
              <w:rPr>
                <w:rFonts w:cs="Calibri"/>
                <w:color w:val="000000"/>
              </w:rPr>
              <w:t>Regional solutions were implemented to improve careers and transitions services in the region with a focus on supporting at risk young people.</w:t>
            </w:r>
          </w:p>
        </w:tc>
        <w:tc>
          <w:tcPr>
            <w:tcW w:w="1683" w:type="dxa"/>
            <w:vAlign w:val="bottom"/>
          </w:tcPr>
          <w:p w:rsidR="001657CD" w:rsidRDefault="001657CD" w:rsidP="001B1DFA">
            <w:pPr>
              <w:jc w:val="right"/>
              <w:rPr>
                <w:rFonts w:cs="Calibri"/>
                <w:color w:val="000000"/>
              </w:rPr>
            </w:pPr>
            <w:r>
              <w:rPr>
                <w:rFonts w:cs="Calibri"/>
                <w:color w:val="000000"/>
              </w:rPr>
              <w:t>173</w:t>
            </w:r>
          </w:p>
        </w:tc>
        <w:tc>
          <w:tcPr>
            <w:tcW w:w="1683" w:type="dxa"/>
            <w:vAlign w:val="bottom"/>
          </w:tcPr>
          <w:p w:rsidR="001657CD" w:rsidRDefault="001657CD" w:rsidP="001B1DFA">
            <w:pPr>
              <w:jc w:val="right"/>
              <w:rPr>
                <w:rFonts w:cs="Calibri"/>
                <w:color w:val="000000"/>
              </w:rPr>
            </w:pPr>
            <w:r>
              <w:rPr>
                <w:rFonts w:cs="Calibri"/>
                <w:color w:val="000000"/>
              </w:rPr>
              <w:t>3.49</w:t>
            </w:r>
          </w:p>
        </w:tc>
      </w:tr>
      <w:tr w:rsidR="001657CD" w:rsidTr="001B1DFA">
        <w:tc>
          <w:tcPr>
            <w:tcW w:w="6912" w:type="dxa"/>
            <w:vAlign w:val="bottom"/>
          </w:tcPr>
          <w:p w:rsidR="001657CD" w:rsidRDefault="001657CD" w:rsidP="001B1DFA">
            <w:pPr>
              <w:rPr>
                <w:rFonts w:cs="Calibri"/>
                <w:color w:val="000000"/>
              </w:rPr>
            </w:pPr>
            <w:r>
              <w:rPr>
                <w:rFonts w:cs="Calibri"/>
                <w:color w:val="000000"/>
              </w:rPr>
              <w:t>Schools and education providers established procedures with other agencies to identify at risk young people earlier.</w:t>
            </w:r>
          </w:p>
        </w:tc>
        <w:tc>
          <w:tcPr>
            <w:tcW w:w="1683" w:type="dxa"/>
            <w:vAlign w:val="bottom"/>
          </w:tcPr>
          <w:p w:rsidR="001657CD" w:rsidRDefault="001657CD" w:rsidP="001B1DFA">
            <w:pPr>
              <w:jc w:val="right"/>
              <w:rPr>
                <w:rFonts w:cs="Calibri"/>
                <w:color w:val="000000"/>
              </w:rPr>
            </w:pPr>
            <w:r>
              <w:rPr>
                <w:rFonts w:cs="Calibri"/>
                <w:color w:val="000000"/>
              </w:rPr>
              <w:t>257</w:t>
            </w:r>
          </w:p>
        </w:tc>
        <w:tc>
          <w:tcPr>
            <w:tcW w:w="1683" w:type="dxa"/>
            <w:vAlign w:val="bottom"/>
          </w:tcPr>
          <w:p w:rsidR="001657CD" w:rsidRDefault="001657CD" w:rsidP="001B1DFA">
            <w:pPr>
              <w:jc w:val="right"/>
              <w:rPr>
                <w:rFonts w:cs="Calibri"/>
                <w:color w:val="000000"/>
              </w:rPr>
            </w:pPr>
            <w:r>
              <w:rPr>
                <w:rFonts w:cs="Calibri"/>
                <w:color w:val="000000"/>
              </w:rPr>
              <w:t>3.53</w:t>
            </w:r>
          </w:p>
        </w:tc>
      </w:tr>
      <w:tr w:rsidR="001657CD" w:rsidTr="001B1DFA">
        <w:tc>
          <w:tcPr>
            <w:tcW w:w="6912" w:type="dxa"/>
            <w:vAlign w:val="bottom"/>
          </w:tcPr>
          <w:p w:rsidR="001657CD" w:rsidRDefault="001657CD" w:rsidP="001B1DFA">
            <w:pPr>
              <w:rPr>
                <w:rFonts w:cs="Calibri"/>
                <w:color w:val="000000"/>
              </w:rPr>
            </w:pPr>
            <w:r>
              <w:rPr>
                <w:rFonts w:cs="Calibri"/>
                <w:color w:val="000000"/>
              </w:rPr>
              <w:t>Schools and education providers increased their referrals to support at risk young people.</w:t>
            </w:r>
          </w:p>
        </w:tc>
        <w:tc>
          <w:tcPr>
            <w:tcW w:w="1683" w:type="dxa"/>
            <w:vAlign w:val="bottom"/>
          </w:tcPr>
          <w:p w:rsidR="001657CD" w:rsidRDefault="001657CD" w:rsidP="001B1DFA">
            <w:pPr>
              <w:jc w:val="right"/>
              <w:rPr>
                <w:rFonts w:cs="Calibri"/>
                <w:color w:val="000000"/>
              </w:rPr>
            </w:pPr>
            <w:r>
              <w:rPr>
                <w:rFonts w:cs="Calibri"/>
                <w:color w:val="000000"/>
              </w:rPr>
              <w:t>326</w:t>
            </w:r>
          </w:p>
        </w:tc>
        <w:tc>
          <w:tcPr>
            <w:tcW w:w="1683" w:type="dxa"/>
            <w:vAlign w:val="bottom"/>
          </w:tcPr>
          <w:p w:rsidR="001657CD" w:rsidRDefault="001657CD" w:rsidP="001B1DFA">
            <w:pPr>
              <w:jc w:val="right"/>
              <w:rPr>
                <w:rFonts w:cs="Calibri"/>
                <w:color w:val="000000"/>
              </w:rPr>
            </w:pPr>
            <w:r>
              <w:rPr>
                <w:rFonts w:cs="Calibri"/>
                <w:color w:val="000000"/>
              </w:rPr>
              <w:t>3.63</w:t>
            </w:r>
          </w:p>
        </w:tc>
      </w:tr>
      <w:tr w:rsidR="001657CD" w:rsidTr="001B1DFA">
        <w:tc>
          <w:tcPr>
            <w:tcW w:w="6912" w:type="dxa"/>
            <w:vAlign w:val="bottom"/>
          </w:tcPr>
          <w:p w:rsidR="001657CD" w:rsidRDefault="001657CD" w:rsidP="001B1DFA">
            <w:pPr>
              <w:rPr>
                <w:rFonts w:cs="Calibri"/>
                <w:color w:val="000000"/>
              </w:rPr>
            </w:pPr>
            <w:r>
              <w:rPr>
                <w:rFonts w:cs="Calibri"/>
                <w:color w:val="000000"/>
              </w:rPr>
              <w:t>Schools and education providers make referrals earlier to support at risk young people.</w:t>
            </w:r>
          </w:p>
        </w:tc>
        <w:tc>
          <w:tcPr>
            <w:tcW w:w="1683" w:type="dxa"/>
            <w:vAlign w:val="bottom"/>
          </w:tcPr>
          <w:p w:rsidR="001657CD" w:rsidRDefault="001657CD" w:rsidP="001B1DFA">
            <w:pPr>
              <w:jc w:val="right"/>
              <w:rPr>
                <w:rFonts w:cs="Calibri"/>
                <w:color w:val="000000"/>
              </w:rPr>
            </w:pPr>
            <w:r>
              <w:rPr>
                <w:rFonts w:cs="Calibri"/>
                <w:color w:val="000000"/>
              </w:rPr>
              <w:t>267</w:t>
            </w:r>
          </w:p>
        </w:tc>
        <w:tc>
          <w:tcPr>
            <w:tcW w:w="1683" w:type="dxa"/>
            <w:vAlign w:val="bottom"/>
          </w:tcPr>
          <w:p w:rsidR="001657CD" w:rsidRDefault="001657CD" w:rsidP="001B1DFA">
            <w:pPr>
              <w:jc w:val="right"/>
              <w:rPr>
                <w:rFonts w:cs="Calibri"/>
                <w:color w:val="000000"/>
              </w:rPr>
            </w:pPr>
            <w:r>
              <w:rPr>
                <w:rFonts w:cs="Calibri"/>
                <w:color w:val="000000"/>
              </w:rPr>
              <w:t>3.62</w:t>
            </w:r>
          </w:p>
        </w:tc>
      </w:tr>
      <w:tr w:rsidR="001657CD" w:rsidTr="001B1DFA">
        <w:tc>
          <w:tcPr>
            <w:tcW w:w="6912" w:type="dxa"/>
            <w:vAlign w:val="bottom"/>
          </w:tcPr>
          <w:p w:rsidR="001657CD" w:rsidRDefault="001657CD" w:rsidP="001B1DFA">
            <w:pPr>
              <w:rPr>
                <w:rFonts w:cs="Calibri"/>
                <w:color w:val="000000"/>
              </w:rPr>
            </w:pPr>
            <w:r>
              <w:rPr>
                <w:rFonts w:cs="Calibri"/>
                <w:color w:val="000000"/>
              </w:rPr>
              <w:t>Schools and other education providers were assisted to establish or share their best practice models for working with at risk young people.</w:t>
            </w:r>
          </w:p>
        </w:tc>
        <w:tc>
          <w:tcPr>
            <w:tcW w:w="1683" w:type="dxa"/>
            <w:vAlign w:val="bottom"/>
          </w:tcPr>
          <w:p w:rsidR="001657CD" w:rsidRDefault="001657CD" w:rsidP="001B1DFA">
            <w:pPr>
              <w:jc w:val="right"/>
              <w:rPr>
                <w:rFonts w:cs="Calibri"/>
                <w:color w:val="000000"/>
              </w:rPr>
            </w:pPr>
            <w:r>
              <w:rPr>
                <w:rFonts w:cs="Calibri"/>
                <w:color w:val="000000"/>
              </w:rPr>
              <w:t>97</w:t>
            </w:r>
          </w:p>
        </w:tc>
        <w:tc>
          <w:tcPr>
            <w:tcW w:w="1683" w:type="dxa"/>
            <w:vAlign w:val="bottom"/>
          </w:tcPr>
          <w:p w:rsidR="001657CD" w:rsidRDefault="001657CD" w:rsidP="001B1DFA">
            <w:pPr>
              <w:jc w:val="right"/>
              <w:rPr>
                <w:rFonts w:cs="Calibri"/>
                <w:color w:val="000000"/>
              </w:rPr>
            </w:pPr>
            <w:r>
              <w:rPr>
                <w:rFonts w:cs="Calibri"/>
                <w:color w:val="000000"/>
              </w:rPr>
              <w:t>3.18</w:t>
            </w:r>
          </w:p>
        </w:tc>
      </w:tr>
      <w:tr w:rsidR="001657CD" w:rsidTr="001B1DFA">
        <w:tc>
          <w:tcPr>
            <w:tcW w:w="6912" w:type="dxa"/>
            <w:vAlign w:val="bottom"/>
          </w:tcPr>
          <w:p w:rsidR="001657CD" w:rsidRDefault="001657CD" w:rsidP="001B1DFA">
            <w:pPr>
              <w:rPr>
                <w:rFonts w:cs="Calibri"/>
                <w:color w:val="000000"/>
              </w:rPr>
            </w:pPr>
            <w:r>
              <w:rPr>
                <w:rFonts w:cs="Calibri"/>
                <w:color w:val="000000"/>
              </w:rPr>
              <w:t>The use of infrastructure in the region to support at risk young people is better coordinated.</w:t>
            </w:r>
          </w:p>
        </w:tc>
        <w:tc>
          <w:tcPr>
            <w:tcW w:w="1683" w:type="dxa"/>
            <w:vAlign w:val="bottom"/>
          </w:tcPr>
          <w:p w:rsidR="001657CD" w:rsidRDefault="001657CD" w:rsidP="001B1DFA">
            <w:pPr>
              <w:jc w:val="right"/>
              <w:rPr>
                <w:rFonts w:cs="Calibri"/>
                <w:color w:val="000000"/>
              </w:rPr>
            </w:pPr>
            <w:r>
              <w:rPr>
                <w:rFonts w:cs="Calibri"/>
                <w:color w:val="000000"/>
              </w:rPr>
              <w:t>714</w:t>
            </w:r>
          </w:p>
        </w:tc>
        <w:tc>
          <w:tcPr>
            <w:tcW w:w="1683" w:type="dxa"/>
            <w:vAlign w:val="bottom"/>
          </w:tcPr>
          <w:p w:rsidR="001657CD" w:rsidRDefault="001657CD" w:rsidP="001B1DFA">
            <w:pPr>
              <w:jc w:val="right"/>
              <w:rPr>
                <w:rFonts w:cs="Calibri"/>
                <w:color w:val="000000"/>
              </w:rPr>
            </w:pPr>
            <w:r>
              <w:rPr>
                <w:rFonts w:cs="Calibri"/>
                <w:color w:val="000000"/>
              </w:rPr>
              <w:t>3.47</w:t>
            </w:r>
          </w:p>
        </w:tc>
      </w:tr>
      <w:tr w:rsidR="001657CD" w:rsidTr="001B1DFA">
        <w:tc>
          <w:tcPr>
            <w:tcW w:w="6912" w:type="dxa"/>
            <w:vAlign w:val="bottom"/>
          </w:tcPr>
          <w:p w:rsidR="001657CD" w:rsidRDefault="001657CD" w:rsidP="001B1DFA">
            <w:pPr>
              <w:rPr>
                <w:rFonts w:cs="Calibri"/>
                <w:color w:val="000000"/>
              </w:rPr>
            </w:pPr>
            <w:r>
              <w:rPr>
                <w:rFonts w:cs="Calibri"/>
                <w:color w:val="000000"/>
              </w:rPr>
              <w:t>There are improved referral channels for community resources which support at risk young people.</w:t>
            </w:r>
          </w:p>
        </w:tc>
        <w:tc>
          <w:tcPr>
            <w:tcW w:w="1683" w:type="dxa"/>
            <w:vAlign w:val="bottom"/>
          </w:tcPr>
          <w:p w:rsidR="001657CD" w:rsidRDefault="001657CD" w:rsidP="001B1DFA">
            <w:pPr>
              <w:jc w:val="right"/>
              <w:rPr>
                <w:rFonts w:cs="Calibri"/>
                <w:color w:val="000000"/>
              </w:rPr>
            </w:pPr>
            <w:r>
              <w:rPr>
                <w:rFonts w:cs="Calibri"/>
                <w:color w:val="000000"/>
              </w:rPr>
              <w:t>837</w:t>
            </w:r>
          </w:p>
        </w:tc>
        <w:tc>
          <w:tcPr>
            <w:tcW w:w="1683" w:type="dxa"/>
            <w:vAlign w:val="bottom"/>
          </w:tcPr>
          <w:p w:rsidR="001657CD" w:rsidRDefault="001657CD" w:rsidP="001B1DFA">
            <w:pPr>
              <w:jc w:val="right"/>
              <w:rPr>
                <w:rFonts w:cs="Calibri"/>
                <w:color w:val="000000"/>
              </w:rPr>
            </w:pPr>
            <w:r>
              <w:rPr>
                <w:rFonts w:cs="Calibri"/>
                <w:color w:val="000000"/>
              </w:rPr>
              <w:t>3.64</w:t>
            </w:r>
          </w:p>
        </w:tc>
      </w:tr>
      <w:tr w:rsidR="001657CD" w:rsidTr="001B1DFA">
        <w:tc>
          <w:tcPr>
            <w:tcW w:w="6912" w:type="dxa"/>
            <w:vAlign w:val="bottom"/>
          </w:tcPr>
          <w:p w:rsidR="001657CD" w:rsidRDefault="001657CD" w:rsidP="001B1DFA">
            <w:pPr>
              <w:rPr>
                <w:rFonts w:cs="Calibri"/>
                <w:color w:val="000000"/>
              </w:rPr>
            </w:pPr>
            <w:r>
              <w:rPr>
                <w:rFonts w:cs="Calibri"/>
                <w:color w:val="000000"/>
              </w:rPr>
              <w:t>There was a reduction in the duplication of community resources which support at risk young people.</w:t>
            </w:r>
          </w:p>
        </w:tc>
        <w:tc>
          <w:tcPr>
            <w:tcW w:w="1683" w:type="dxa"/>
            <w:vAlign w:val="bottom"/>
          </w:tcPr>
          <w:p w:rsidR="001657CD" w:rsidRDefault="001657CD" w:rsidP="001B1DFA">
            <w:pPr>
              <w:jc w:val="right"/>
              <w:rPr>
                <w:rFonts w:cs="Calibri"/>
                <w:color w:val="000000"/>
              </w:rPr>
            </w:pPr>
            <w:r>
              <w:rPr>
                <w:rFonts w:cs="Calibri"/>
                <w:color w:val="000000"/>
              </w:rPr>
              <w:t>402</w:t>
            </w:r>
          </w:p>
        </w:tc>
        <w:tc>
          <w:tcPr>
            <w:tcW w:w="1683" w:type="dxa"/>
            <w:vAlign w:val="bottom"/>
          </w:tcPr>
          <w:p w:rsidR="001657CD" w:rsidRDefault="001657CD" w:rsidP="001B1DFA">
            <w:pPr>
              <w:jc w:val="right"/>
              <w:rPr>
                <w:rFonts w:cs="Calibri"/>
                <w:color w:val="000000"/>
              </w:rPr>
            </w:pPr>
            <w:r>
              <w:rPr>
                <w:rFonts w:cs="Calibri"/>
                <w:color w:val="000000"/>
              </w:rPr>
              <w:t>3.56</w:t>
            </w:r>
          </w:p>
        </w:tc>
      </w:tr>
      <w:tr w:rsidR="001657CD" w:rsidTr="001B1DFA">
        <w:tc>
          <w:tcPr>
            <w:tcW w:w="6912" w:type="dxa"/>
            <w:vAlign w:val="bottom"/>
          </w:tcPr>
          <w:p w:rsidR="001657CD" w:rsidRDefault="001657CD" w:rsidP="001B1DFA">
            <w:pPr>
              <w:rPr>
                <w:rFonts w:cs="Calibri"/>
                <w:color w:val="000000"/>
              </w:rPr>
            </w:pPr>
            <w:r>
              <w:rPr>
                <w:rFonts w:cs="Calibri"/>
                <w:color w:val="000000"/>
              </w:rPr>
              <w:t>There was an increase in the number of schools that strengthened their procedures to support young people at risk of disengaging.</w:t>
            </w:r>
          </w:p>
        </w:tc>
        <w:tc>
          <w:tcPr>
            <w:tcW w:w="1683" w:type="dxa"/>
            <w:vAlign w:val="bottom"/>
          </w:tcPr>
          <w:p w:rsidR="001657CD" w:rsidRDefault="001657CD" w:rsidP="001B1DFA">
            <w:pPr>
              <w:jc w:val="right"/>
              <w:rPr>
                <w:rFonts w:cs="Calibri"/>
                <w:color w:val="000000"/>
              </w:rPr>
            </w:pPr>
            <w:r>
              <w:rPr>
                <w:rFonts w:cs="Calibri"/>
                <w:color w:val="000000"/>
              </w:rPr>
              <w:t>159</w:t>
            </w:r>
          </w:p>
        </w:tc>
        <w:tc>
          <w:tcPr>
            <w:tcW w:w="1683" w:type="dxa"/>
            <w:vAlign w:val="bottom"/>
          </w:tcPr>
          <w:p w:rsidR="001657CD" w:rsidRDefault="001657CD" w:rsidP="001B1DFA">
            <w:pPr>
              <w:jc w:val="right"/>
              <w:rPr>
                <w:rFonts w:cs="Calibri"/>
                <w:color w:val="000000"/>
              </w:rPr>
            </w:pPr>
            <w:r>
              <w:rPr>
                <w:rFonts w:cs="Calibri"/>
                <w:color w:val="000000"/>
              </w:rPr>
              <w:t>3.66</w:t>
            </w:r>
          </w:p>
        </w:tc>
      </w:tr>
      <w:tr w:rsidR="001657CD" w:rsidTr="001B1DFA">
        <w:tc>
          <w:tcPr>
            <w:tcW w:w="6912" w:type="dxa"/>
            <w:vAlign w:val="bottom"/>
          </w:tcPr>
          <w:p w:rsidR="001657CD" w:rsidRDefault="001657CD" w:rsidP="001B1DFA">
            <w:pPr>
              <w:rPr>
                <w:rFonts w:cs="Calibri"/>
                <w:color w:val="000000"/>
              </w:rPr>
            </w:pPr>
            <w:r>
              <w:rPr>
                <w:rFonts w:cs="Calibri"/>
                <w:color w:val="000000"/>
              </w:rPr>
              <w:t>There was an increase or improvement in the available services for families of at risk young people.</w:t>
            </w:r>
          </w:p>
        </w:tc>
        <w:tc>
          <w:tcPr>
            <w:tcW w:w="1683" w:type="dxa"/>
            <w:vAlign w:val="bottom"/>
          </w:tcPr>
          <w:p w:rsidR="001657CD" w:rsidRDefault="001657CD" w:rsidP="001B1DFA">
            <w:pPr>
              <w:jc w:val="right"/>
              <w:rPr>
                <w:rFonts w:cs="Calibri"/>
                <w:color w:val="000000"/>
              </w:rPr>
            </w:pPr>
            <w:r>
              <w:rPr>
                <w:rFonts w:cs="Calibri"/>
                <w:color w:val="000000"/>
              </w:rPr>
              <w:t>390</w:t>
            </w:r>
          </w:p>
        </w:tc>
        <w:tc>
          <w:tcPr>
            <w:tcW w:w="1683" w:type="dxa"/>
            <w:vAlign w:val="bottom"/>
          </w:tcPr>
          <w:p w:rsidR="001657CD" w:rsidRDefault="001657CD" w:rsidP="001B1DFA">
            <w:pPr>
              <w:jc w:val="right"/>
              <w:rPr>
                <w:rFonts w:cs="Calibri"/>
                <w:color w:val="000000"/>
              </w:rPr>
            </w:pPr>
            <w:r>
              <w:rPr>
                <w:rFonts w:cs="Calibri"/>
                <w:color w:val="000000"/>
              </w:rPr>
              <w:t>3.30</w:t>
            </w:r>
          </w:p>
        </w:tc>
      </w:tr>
      <w:tr w:rsidR="001657CD" w:rsidTr="001B1DFA">
        <w:tc>
          <w:tcPr>
            <w:tcW w:w="6912" w:type="dxa"/>
            <w:vAlign w:val="bottom"/>
          </w:tcPr>
          <w:p w:rsidR="001657CD" w:rsidRDefault="001657CD" w:rsidP="001B1DFA">
            <w:pPr>
              <w:rPr>
                <w:rFonts w:cs="Calibri"/>
                <w:color w:val="000000"/>
              </w:rPr>
            </w:pPr>
            <w:r>
              <w:rPr>
                <w:rFonts w:cs="Calibri"/>
                <w:color w:val="000000"/>
              </w:rPr>
              <w:t>Young people disengage less frequently from school or education providers.</w:t>
            </w:r>
          </w:p>
        </w:tc>
        <w:tc>
          <w:tcPr>
            <w:tcW w:w="1683" w:type="dxa"/>
            <w:vAlign w:val="bottom"/>
          </w:tcPr>
          <w:p w:rsidR="001657CD" w:rsidRDefault="001657CD" w:rsidP="001B1DFA">
            <w:pPr>
              <w:jc w:val="right"/>
              <w:rPr>
                <w:rFonts w:cs="Calibri"/>
                <w:color w:val="000000"/>
              </w:rPr>
            </w:pPr>
            <w:r>
              <w:rPr>
                <w:rFonts w:cs="Calibri"/>
                <w:color w:val="000000"/>
              </w:rPr>
              <w:t>245</w:t>
            </w:r>
          </w:p>
        </w:tc>
        <w:tc>
          <w:tcPr>
            <w:tcW w:w="1683" w:type="dxa"/>
            <w:vAlign w:val="bottom"/>
          </w:tcPr>
          <w:p w:rsidR="001657CD" w:rsidRDefault="001657CD" w:rsidP="001B1DFA">
            <w:pPr>
              <w:jc w:val="right"/>
              <w:rPr>
                <w:rFonts w:cs="Calibri"/>
                <w:color w:val="000000"/>
              </w:rPr>
            </w:pPr>
            <w:r>
              <w:rPr>
                <w:rFonts w:cs="Calibri"/>
                <w:color w:val="000000"/>
              </w:rPr>
              <w:t>3.20</w:t>
            </w:r>
          </w:p>
        </w:tc>
      </w:tr>
    </w:tbl>
    <w:p w:rsidR="001657CD" w:rsidRPr="009A0717" w:rsidRDefault="001657CD" w:rsidP="009A0717">
      <w:pPr>
        <w:spacing w:line="240" w:lineRule="auto"/>
        <w:rPr>
          <w:rFonts w:eastAsia="Times New Roman"/>
          <w:sz w:val="24"/>
          <w:szCs w:val="24"/>
          <w:lang w:eastAsia="en-AU"/>
        </w:rPr>
      </w:pPr>
    </w:p>
    <w:p w:rsidR="009A0717" w:rsidRDefault="009A0717" w:rsidP="00DE75DF">
      <w:pPr>
        <w:pStyle w:val="BodyText2"/>
        <w:rPr>
          <w:rFonts w:eastAsia="SimSun"/>
          <w:lang w:eastAsia="zh-CN"/>
        </w:rPr>
        <w:sectPr w:rsidR="009A0717" w:rsidSect="00BF7F25">
          <w:pgSz w:w="11906" w:h="16838"/>
          <w:pgMar w:top="1134" w:right="993" w:bottom="1440" w:left="851" w:header="708" w:footer="708" w:gutter="0"/>
          <w:cols w:space="708"/>
          <w:docGrid w:linePitch="360"/>
        </w:sectPr>
      </w:pPr>
    </w:p>
    <w:p w:rsidR="00134652" w:rsidRPr="00134652" w:rsidRDefault="00134652" w:rsidP="00BF7F25">
      <w:pPr>
        <w:pStyle w:val="Heading1"/>
      </w:pPr>
      <w:bookmarkStart w:id="42" w:name="_Toc365385422"/>
      <w:bookmarkStart w:id="43" w:name="_Toc323901523"/>
      <w:r w:rsidRPr="00134652">
        <w:lastRenderedPageBreak/>
        <w:t>ANNEXURE 1 B – School Business Community Partnership Brokers – QLD</w:t>
      </w:r>
      <w:bookmarkEnd w:id="42"/>
    </w:p>
    <w:p w:rsidR="00134652" w:rsidRPr="00134652" w:rsidRDefault="00134652" w:rsidP="00BF7F25">
      <w:pPr>
        <w:pStyle w:val="Heading2"/>
        <w:rPr>
          <w:lang w:eastAsia="en-AU"/>
        </w:rPr>
      </w:pPr>
      <w:bookmarkStart w:id="44" w:name="_Toc365385423"/>
      <w:r w:rsidRPr="00134652">
        <w:rPr>
          <w:lang w:eastAsia="en-AU"/>
        </w:rPr>
        <w:t>N</w:t>
      </w:r>
      <w:bookmarkEnd w:id="43"/>
      <w:r w:rsidR="001B7A68">
        <w:rPr>
          <w:lang w:val="en-AU" w:eastAsia="en-AU"/>
        </w:rPr>
        <w:t>ational Summary</w:t>
      </w:r>
      <w:bookmarkEnd w:id="44"/>
      <w:r w:rsidRPr="00134652">
        <w:rPr>
          <w:lang w:eastAsia="en-AU"/>
        </w:rPr>
        <w:t xml:space="preserve"> </w:t>
      </w:r>
    </w:p>
    <w:p w:rsidR="00134652" w:rsidRPr="00134652" w:rsidRDefault="00134652" w:rsidP="00BF7F25">
      <w:pPr>
        <w:pStyle w:val="Heading3"/>
      </w:pPr>
      <w:bookmarkStart w:id="45" w:name="_Toc292697118"/>
      <w:r w:rsidRPr="00134652">
        <w:t>Introduction</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The </w:t>
      </w:r>
      <w:r w:rsidRPr="00134652">
        <w:rPr>
          <w:rFonts w:eastAsia="Times New Roman" w:cs="Calibri"/>
          <w:i/>
        </w:rPr>
        <w:t>2008</w:t>
      </w:r>
      <w:r w:rsidRPr="00134652">
        <w:rPr>
          <w:rFonts w:eastAsia="Times New Roman" w:cs="Calibri"/>
        </w:rPr>
        <w:t xml:space="preserve"> </w:t>
      </w:r>
      <w:r w:rsidRPr="00134652">
        <w:rPr>
          <w:rFonts w:eastAsia="Times New Roman" w:cs="Calibri"/>
          <w:i/>
        </w:rPr>
        <w:t xml:space="preserve">Melbourne Declaration on Educational Goals for Young Australians, </w:t>
      </w:r>
      <w:r w:rsidRPr="00134652">
        <w:rPr>
          <w:rFonts w:eastAsia="Times New Roman" w:cs="Calibri"/>
        </w:rPr>
        <w:t xml:space="preserve">agreed to by all Australian governments, recognises that educating our young people is the responsibility of the entire community, not just schools. In many cases, realising this collective responsibility requires a cultural shift and innovative approaches in order to bring about the systemic change that is needed. </w:t>
      </w:r>
      <w:r w:rsidRPr="00134652">
        <w:rPr>
          <w:rFonts w:eastAsia="Times New Roman" w:cs="Calibri"/>
          <w:lang w:val="en-US"/>
        </w:rPr>
        <w:t xml:space="preserve">Change at this level often requires the sort of cross-sector collaboration that is best achieved through a partnership approach. </w:t>
      </w:r>
      <w:r w:rsidRPr="00134652">
        <w:rPr>
          <w:rFonts w:eastAsia="Times New Roman" w:cs="Calibri"/>
        </w:rPr>
        <w:t>This has led to an increasing focus on schools developing partnerships with business and the broader community. Therefore, it is not surprising that the Declaration lists ‘</w:t>
      </w:r>
      <w:r w:rsidRPr="00134652">
        <w:rPr>
          <w:rFonts w:eastAsia="Times New Roman" w:cs="Calibri"/>
          <w:i/>
        </w:rPr>
        <w:t>developing</w:t>
      </w:r>
      <w:r w:rsidRPr="00134652">
        <w:rPr>
          <w:rFonts w:eastAsia="Times New Roman" w:cs="Calibri"/>
        </w:rPr>
        <w:t xml:space="preserve"> </w:t>
      </w:r>
      <w:r w:rsidRPr="00134652">
        <w:rPr>
          <w:rFonts w:eastAsia="Times New Roman" w:cs="Calibri"/>
          <w:i/>
        </w:rPr>
        <w:t>stronger partnerships’</w:t>
      </w:r>
      <w:r w:rsidRPr="00134652">
        <w:rPr>
          <w:rFonts w:eastAsia="Times New Roman" w:cs="Calibri"/>
        </w:rPr>
        <w:t xml:space="preserve"> among its eight areas of commitment to action.</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It is within this context that the School Business Community Partnership Brokers program was put in place to build partnerships that support young people to reach their full educational and social potential. While some schools are already engaging in partnerships, we know that many schools, businesses and communities need support to make connections, build networks and develop partnering skills. Partnership Brokers offer this support and assist people and organisations to enter into partnership arrangements, provide tailored support as partners move through the various stages of partnership development and support partnerships to achieve their goals.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The support provided by Partnership Brokers is particularly important for disadvantaged communities, including Indigenous and low SES communities, which lack the networks, connections and/or infrastructure needed to support their young people. Program data shows that approximately 39 per cent of the schools involved in partnerships supported by Partnership </w:t>
      </w:r>
      <w:proofErr w:type="gramStart"/>
      <w:r w:rsidRPr="00134652">
        <w:rPr>
          <w:rFonts w:eastAsia="Times New Roman" w:cs="Calibri"/>
        </w:rPr>
        <w:t>Brokers,</w:t>
      </w:r>
      <w:proofErr w:type="gramEnd"/>
      <w:r w:rsidRPr="00134652">
        <w:rPr>
          <w:rFonts w:eastAsia="Times New Roman" w:cs="Calibri"/>
        </w:rPr>
        <w:t xml:space="preserve"> are from the most disadvantaged quartile based on their Index of Community Socio-Educational Advantage (</w:t>
      </w:r>
      <w:proofErr w:type="spellStart"/>
      <w:r w:rsidRPr="00134652">
        <w:rPr>
          <w:rFonts w:eastAsia="Times New Roman" w:cs="Calibri"/>
        </w:rPr>
        <w:t>ICSEA</w:t>
      </w:r>
      <w:proofErr w:type="spellEnd"/>
      <w:r w:rsidRPr="00134652">
        <w:rPr>
          <w:rFonts w:eastAsia="Times New Roman" w:cs="Calibri"/>
          <w:vertAlign w:val="superscript"/>
        </w:rPr>
        <w:footnoteReference w:id="14"/>
      </w:r>
      <w:r w:rsidRPr="00134652">
        <w:rPr>
          <w:rFonts w:eastAsia="Times New Roman" w:cs="Calibri"/>
        </w:rPr>
        <w:t xml:space="preserve">) value. </w:t>
      </w:r>
    </w:p>
    <w:p w:rsidR="00134652" w:rsidRPr="00134652" w:rsidRDefault="00134652" w:rsidP="00134652">
      <w:pPr>
        <w:spacing w:before="120" w:after="120" w:line="240" w:lineRule="auto"/>
        <w:rPr>
          <w:rFonts w:eastAsia="Times New Roman" w:cs="Calibri"/>
        </w:rPr>
      </w:pPr>
      <w:r w:rsidRPr="00134652">
        <w:rPr>
          <w:rFonts w:eastAsia="Times New Roman" w:cs="Calibri"/>
        </w:rPr>
        <w:t>The Partnership Brokers program is underpinned by the simple premise that by working together we can achieve outcomes that would not have been possible if each of us acted alone. Previous Commonwealth programs in the youth and transitions area focused on direct service delivery and ‘doing things’ for schools, business and community, rather than supporting the cultural shift and lasting reforms that are required to bring about a whole-of-community approach to supporting young people. Partnership Brokers build the capacity of communities to work together to drive change and take responsibility for the learning and development of their young people.</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One of the great strengths of the Partnership Brokers program is the flexibility to tailor partnerships to meet the needs of communities and their young people. The partnerships being supported by the program are as diverse as the communities they </w:t>
      </w:r>
      <w:proofErr w:type="gramStart"/>
      <w:r w:rsidRPr="00134652">
        <w:rPr>
          <w:rFonts w:eastAsia="Times New Roman" w:cs="Calibri"/>
        </w:rPr>
        <w:t>serve,</w:t>
      </w:r>
      <w:proofErr w:type="gramEnd"/>
      <w:r w:rsidRPr="00134652">
        <w:rPr>
          <w:rFonts w:eastAsia="Times New Roman" w:cs="Calibri"/>
        </w:rPr>
        <w:t xml:space="preserve"> however, they are bound by the common thread of improving outcomes for young people. There are examples of partnerships adding value to local, state and Commonwealth programs and initiatives, as well as examples of innovative new partnership models being established to meet a community’s needs. </w:t>
      </w:r>
    </w:p>
    <w:p w:rsidR="00134652" w:rsidRPr="00134652" w:rsidRDefault="00134652" w:rsidP="00BF7F25">
      <w:pPr>
        <w:pStyle w:val="Heading3"/>
      </w:pPr>
      <w:r w:rsidRPr="00134652">
        <w:t>Program Status</w:t>
      </w:r>
    </w:p>
    <w:p w:rsidR="00134652" w:rsidRPr="00134652" w:rsidRDefault="00134652" w:rsidP="00134652">
      <w:pPr>
        <w:spacing w:before="120" w:after="120" w:line="240" w:lineRule="auto"/>
        <w:rPr>
          <w:rFonts w:eastAsia="Times New Roman" w:cs="Calibri"/>
        </w:rPr>
      </w:pPr>
      <w:r w:rsidRPr="00134652">
        <w:rPr>
          <w:rFonts w:eastAsia="Times New Roman" w:cs="Calibri"/>
        </w:rPr>
        <w:t>As at April 2012, there were approximately 1200 active and self-sustaining partnerships associated with Partnership Brokers nationally (excludes Victorian data</w:t>
      </w:r>
      <w:r w:rsidRPr="00134652">
        <w:rPr>
          <w:rFonts w:eastAsia="Times New Roman" w:cs="Calibri"/>
          <w:vertAlign w:val="superscript"/>
        </w:rPr>
        <w:footnoteReference w:id="15"/>
      </w:r>
      <w:r w:rsidRPr="00134652">
        <w:rPr>
          <w:rFonts w:eastAsia="Times New Roman" w:cs="Calibri"/>
        </w:rPr>
        <w:t xml:space="preserve">) involving over 4100 partner organisations. These </w:t>
      </w:r>
      <w:r w:rsidRPr="00134652">
        <w:rPr>
          <w:rFonts w:eastAsia="Times New Roman" w:cs="Calibri"/>
        </w:rPr>
        <w:lastRenderedPageBreak/>
        <w:t>partnerships are undertaking a range of activity to support the learning and development of young people in their community. Approximately 21 per cent of these partnerships have an Indigenous focus. There have been approximately 10 000 Outcomes Framework Key Performance Measure (</w:t>
      </w:r>
      <w:proofErr w:type="spellStart"/>
      <w:r w:rsidRPr="00134652">
        <w:rPr>
          <w:rFonts w:eastAsia="Times New Roman" w:cs="Calibri"/>
        </w:rPr>
        <w:t>KPM</w:t>
      </w:r>
      <w:proofErr w:type="spellEnd"/>
      <w:r w:rsidRPr="00134652">
        <w:rPr>
          <w:rFonts w:eastAsia="Times New Roman" w:cs="Calibri"/>
        </w:rPr>
        <w:t>) evaluations with approximately 3500 (35%) of those evaluations rating the partnership’s progress as ‘Considerable’ or ‘Achieved’</w:t>
      </w:r>
      <w:r w:rsidRPr="00134652">
        <w:rPr>
          <w:rFonts w:eastAsia="Times New Roman" w:cs="Calibri"/>
          <w:vertAlign w:val="superscript"/>
        </w:rPr>
        <w:footnoteReference w:id="16"/>
      </w:r>
      <w:r w:rsidRPr="00134652">
        <w:rPr>
          <w:rFonts w:eastAsia="Times New Roman" w:cs="Calibri"/>
        </w:rPr>
        <w:t>. Approximately 85 per cent of the partnerships being supported by Partnership Brokers are newly created. The remaining 15 per cent are pre-existing partnerships that are being enhanced with support from the Partnership Brokers.</w:t>
      </w:r>
    </w:p>
    <w:p w:rsidR="00134652" w:rsidRPr="00134652" w:rsidRDefault="00134652" w:rsidP="00134652">
      <w:pPr>
        <w:spacing w:before="120" w:after="120" w:line="240" w:lineRule="auto"/>
        <w:rPr>
          <w:rFonts w:eastAsia="Times New Roman" w:cs="Calibri"/>
        </w:rPr>
      </w:pPr>
      <w:r w:rsidRPr="00134652">
        <w:rPr>
          <w:rFonts w:eastAsia="Times New Roman" w:cs="Calibri"/>
        </w:rPr>
        <w:t>A number of one page partnership ‘snapshots’ have been developed based on original provider case study submissions. These snapshots are designed to share good practice across the network, promote the benefits of partnering and highlight the support available through the Partnership Brokers program. Case studies and snapshots have provided some excellent examples of partnership initiatives across a broad range of focus areas involving a variety of stakeholders. They include examples of providers leveraging off and adding value to local, state and Commonwealth programs/initiatives, as well as examples of innovative partnership models being established to meet the needs of young people. Snapshots and case studies have also highlighted the complex, multifaceted nature of the Partnership Broker role. A selection of snapshots is attached at the end of this report and can also be located under the ‘Success Stories’ section of</w:t>
      </w:r>
      <w:r w:rsidR="00720F54">
        <w:rPr>
          <w:rFonts w:eastAsia="Times New Roman" w:cs="Calibri"/>
        </w:rPr>
        <w:t xml:space="preserve"> the</w:t>
      </w:r>
      <w:r w:rsidRPr="00134652">
        <w:rPr>
          <w:rFonts w:eastAsia="Times New Roman" w:cs="Calibri"/>
        </w:rPr>
        <w:t xml:space="preserve"> </w:t>
      </w:r>
      <w:hyperlink r:id="rId40" w:history="1">
        <w:r w:rsidR="003C4491" w:rsidRPr="003C4491">
          <w:rPr>
            <w:rStyle w:val="Hyperlink"/>
          </w:rPr>
          <w:t>Youth Attainment and Transitions website</w:t>
        </w:r>
      </w:hyperlink>
      <w:r w:rsidR="0041713A" w:rsidRPr="00C25316">
        <w:rPr>
          <w:rFonts w:asciiTheme="minorHAnsi" w:hAnsiTheme="minorHAnsi" w:cstheme="minorHAnsi"/>
        </w:rPr>
        <w:t>.</w:t>
      </w:r>
    </w:p>
    <w:p w:rsidR="00134652" w:rsidRPr="00134652" w:rsidRDefault="00134652" w:rsidP="00134652">
      <w:pPr>
        <w:spacing w:before="120" w:after="120" w:line="240" w:lineRule="auto"/>
        <w:rPr>
          <w:rFonts w:eastAsia="Times New Roman" w:cs="Calibri"/>
        </w:rPr>
      </w:pPr>
      <w:r w:rsidRPr="00134652">
        <w:rPr>
          <w:rFonts w:eastAsia="Times New Roman" w:cs="Calibri"/>
        </w:rPr>
        <w:t>Building on the success of the 2011 Partner Survey, Partnership Brokers across the country (excluding Victoria</w:t>
      </w:r>
      <w:r w:rsidRPr="00134652">
        <w:rPr>
          <w:rFonts w:eastAsia="Times New Roman" w:cs="Calibri"/>
          <w:vertAlign w:val="superscript"/>
        </w:rPr>
        <w:footnoteReference w:id="17"/>
      </w:r>
      <w:r w:rsidRPr="00134652">
        <w:rPr>
          <w:rFonts w:eastAsia="Times New Roman" w:cs="Calibri"/>
        </w:rPr>
        <w:t xml:space="preserve">) administered a similar survey in early 2012 to capture partner organisations’ views on the quality of the partnership they are involved in and the effectiveness of the Partnership Broker role. In 2012, the survey was administered to a much larger and random sample of over 4000 schools, businesses, community groups and parent and family stakeholders across the country. The survey was designed to complement other program evaluation activities and to validate aspects of provider reporting. Consistent with 2011 survey findings, the 2012 survey results were overwhelmingly positive and showed that the vast majority of partner organisations feel that their partnership possesses the key characteristics for effective partnering and is achieving outcomes that support their community and its young people. The results also indicated that partner organisations are strong believers in the benefits of a partnership approach and highly value the support provided by Partnership Brokers. Approximately 80 per cent of the schools surveyed agreed or strongly agreed that their Partnership Broker had helped them become more engaged with their community. Further information and analysis of survey results are available in the 2012 Partner Survey Report. </w:t>
      </w:r>
    </w:p>
    <w:p w:rsidR="00134652" w:rsidRPr="00134652" w:rsidRDefault="00134652" w:rsidP="00134652">
      <w:pPr>
        <w:spacing w:before="120" w:after="120" w:line="240" w:lineRule="auto"/>
        <w:rPr>
          <w:rFonts w:eastAsia="Times New Roman" w:cs="Calibri"/>
          <w:lang w:val="en-US"/>
        </w:rPr>
      </w:pPr>
      <w:r w:rsidRPr="00134652">
        <w:rPr>
          <w:rFonts w:eastAsia="Times New Roman" w:cs="Calibri"/>
          <w:lang w:val="en-US"/>
        </w:rPr>
        <w:t xml:space="preserve">In April 2012, </w:t>
      </w:r>
      <w:proofErr w:type="spellStart"/>
      <w:r w:rsidRPr="00134652">
        <w:rPr>
          <w:rFonts w:eastAsia="Times New Roman" w:cs="Calibri"/>
          <w:lang w:val="en-US"/>
        </w:rPr>
        <w:t>dandolopartners</w:t>
      </w:r>
      <w:proofErr w:type="spellEnd"/>
      <w:r w:rsidRPr="00134652">
        <w:rPr>
          <w:rFonts w:eastAsia="Times New Roman" w:cs="Calibri"/>
          <w:lang w:val="en-US"/>
        </w:rPr>
        <w:t xml:space="preserve"> released their Interim Evaluation Report (</w:t>
      </w:r>
      <w:proofErr w:type="spellStart"/>
      <w:r w:rsidRPr="00134652">
        <w:rPr>
          <w:rFonts w:eastAsia="Times New Roman" w:cs="Calibri"/>
          <w:lang w:val="en-US"/>
        </w:rPr>
        <w:t>Dandolo’s</w:t>
      </w:r>
      <w:proofErr w:type="spellEnd"/>
      <w:r w:rsidRPr="00134652">
        <w:rPr>
          <w:rFonts w:eastAsia="Times New Roman" w:cs="Calibri"/>
          <w:lang w:val="en-US"/>
        </w:rPr>
        <w:t xml:space="preserve"> Report) as part of a three-year independent evaluation of the National Partnership (NP) on Youth Attainment and Transitions (YAT). While </w:t>
      </w:r>
      <w:proofErr w:type="spellStart"/>
      <w:r w:rsidRPr="00134652">
        <w:rPr>
          <w:rFonts w:eastAsia="Times New Roman" w:cs="Calibri"/>
          <w:lang w:val="en-US"/>
        </w:rPr>
        <w:t>Dandolo’s</w:t>
      </w:r>
      <w:proofErr w:type="spellEnd"/>
      <w:r w:rsidRPr="00134652">
        <w:rPr>
          <w:rFonts w:eastAsia="Times New Roman" w:cs="Calibri"/>
          <w:lang w:val="en-US"/>
        </w:rPr>
        <w:t xml:space="preserve"> Report does not reflect a detailed evaluation of the Partnership Brokers program, it does provide a high level assessment of the status and progress of each element of the NP, including the Partnership Brokers program.  </w:t>
      </w:r>
    </w:p>
    <w:p w:rsidR="00134652" w:rsidRPr="00134652" w:rsidRDefault="00134652" w:rsidP="00CE7AF6">
      <w:pPr>
        <w:pStyle w:val="Heading3"/>
      </w:pPr>
      <w:r w:rsidRPr="00134652">
        <w:t>Challenges</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While national program data, case studies and survey results indicate significant progress, individual providers and the program have also faced some significant challenges that have impacted on the achievement of program outcomes. Many of these challenges have been identified in </w:t>
      </w:r>
      <w:proofErr w:type="spellStart"/>
      <w:r w:rsidRPr="00134652">
        <w:rPr>
          <w:rFonts w:eastAsia="Times New Roman" w:cs="Calibri"/>
        </w:rPr>
        <w:t>Dandolo’s</w:t>
      </w:r>
      <w:proofErr w:type="spellEnd"/>
      <w:r w:rsidRPr="00134652">
        <w:rPr>
          <w:rFonts w:eastAsia="Times New Roman" w:cs="Calibri"/>
        </w:rPr>
        <w:t xml:space="preserve"> Report.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One of these challenges has been connecting with education authorities in a way that enables Partnership Brokers to align their priorities for partnership development with the priorities for schooling at a systemic level. A key factor in the success of the Partnership Brokers program is schools and school systems understanding the benefits of a partnership approach and actively exploring partnership opportunities that can help them achieve their goals. Achieving this understanding universally relies on clear communication from system leaders, at all levels of their organisations, about their expectations that schools should be connecting with business and the broader community. It should be made clear that the Partnership Brokers program is in place to help schools and communities that need assistance to enter into partnership arrangements, and to build their capacity to work together to support their young people. </w:t>
      </w:r>
    </w:p>
    <w:p w:rsidR="00134652" w:rsidRPr="00134652" w:rsidRDefault="00134652" w:rsidP="00134652">
      <w:pPr>
        <w:spacing w:before="120" w:after="120" w:line="240" w:lineRule="auto"/>
        <w:rPr>
          <w:rFonts w:eastAsia="Times New Roman" w:cs="Calibri"/>
        </w:rPr>
      </w:pPr>
      <w:proofErr w:type="spellStart"/>
      <w:r w:rsidRPr="00134652">
        <w:rPr>
          <w:rFonts w:eastAsia="Times New Roman" w:cs="Calibri"/>
        </w:rPr>
        <w:lastRenderedPageBreak/>
        <w:t>Dandolo’s</w:t>
      </w:r>
      <w:proofErr w:type="spellEnd"/>
      <w:r w:rsidRPr="00134652">
        <w:rPr>
          <w:rFonts w:eastAsia="Times New Roman" w:cs="Calibri"/>
        </w:rPr>
        <w:t xml:space="preserve"> Report suggests that jurisdictional support is critical to the success of the program, but lacking. However, there are emerging examples of senior managers within the education sector embracing cross-sector collaboration as the way to succeed, and enlisting the support of Partnership Brokers to make it happen. These examples show how the Partnership Brokers network can work alongside education authorities to support a strategic, systemic and coordinated approach to building partnerships that meet identified school needs, with young people at the centre.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Managing expectations and educating stakeholders about the intent of the Partnership Brokers program remains an ongoing challenge for providers. Providers have reported that some school leaders don’t understand the role of the Partnership Broker as a facilitator, rather than service delivery provider. This is consistent with </w:t>
      </w:r>
      <w:proofErr w:type="spellStart"/>
      <w:r w:rsidRPr="00134652">
        <w:rPr>
          <w:rFonts w:eastAsia="Times New Roman" w:cs="Calibri"/>
        </w:rPr>
        <w:t>Dandolo’s</w:t>
      </w:r>
      <w:proofErr w:type="spellEnd"/>
      <w:r w:rsidRPr="00134652">
        <w:rPr>
          <w:rFonts w:eastAsia="Times New Roman" w:cs="Calibri"/>
        </w:rPr>
        <w:t xml:space="preserve"> finding that ‘</w:t>
      </w:r>
      <w:r w:rsidRPr="00134652">
        <w:rPr>
          <w:rFonts w:eastAsia="Times New Roman" w:cs="Calibri"/>
          <w:i/>
        </w:rPr>
        <w:t>The role and value of Partnership Brokers is not well understood or appreciated</w:t>
      </w:r>
      <w:r w:rsidRPr="00134652">
        <w:rPr>
          <w:rFonts w:eastAsia="Times New Roman" w:cs="Calibri"/>
        </w:rPr>
        <w:t xml:space="preserve">’. For historical reasons, confusion about the Partnership Brokers role is often centred </w:t>
      </w:r>
      <w:proofErr w:type="gramStart"/>
      <w:r w:rsidRPr="00134652">
        <w:rPr>
          <w:rFonts w:eastAsia="Times New Roman" w:cs="Calibri"/>
        </w:rPr>
        <w:t>around</w:t>
      </w:r>
      <w:proofErr w:type="gramEnd"/>
      <w:r w:rsidRPr="00134652">
        <w:rPr>
          <w:rFonts w:eastAsia="Times New Roman" w:cs="Calibri"/>
        </w:rPr>
        <w:t xml:space="preserve"> expectations that Partnership Brokers should be involved in coordinating Structured Workplace Learning (</w:t>
      </w:r>
      <w:proofErr w:type="spellStart"/>
      <w:r w:rsidRPr="00134652">
        <w:rPr>
          <w:rFonts w:eastAsia="Times New Roman" w:cs="Calibri"/>
        </w:rPr>
        <w:t>SWL</w:t>
      </w:r>
      <w:proofErr w:type="spellEnd"/>
      <w:r w:rsidRPr="00134652">
        <w:rPr>
          <w:rFonts w:eastAsia="Times New Roman" w:cs="Calibri"/>
        </w:rPr>
        <w:t xml:space="preserve">) placements. This misunderstanding has resulted in tensions and impacted on some schools’ willingness to consider how a partnership approach, supported by a Partnership Broker, can assist them to achieve the outcomes required under the Government’s broad education reform agenda. However, results from the 2011 Provider Survey suggest that there is increasing recognition among stakeholders of the benefits of a partnership approach and growing interest in accessing the support offered by a Partnership Broker. </w:t>
      </w:r>
    </w:p>
    <w:p w:rsidR="00134652" w:rsidRPr="00134652" w:rsidRDefault="00134652" w:rsidP="00134652">
      <w:pPr>
        <w:spacing w:before="120" w:after="120" w:line="240" w:lineRule="auto"/>
        <w:rPr>
          <w:rFonts w:eastAsia="Times New Roman" w:cs="Calibri"/>
        </w:rPr>
      </w:pPr>
      <w:proofErr w:type="spellStart"/>
      <w:r w:rsidRPr="00134652">
        <w:rPr>
          <w:rFonts w:eastAsia="Times New Roman" w:cs="Calibri"/>
        </w:rPr>
        <w:t>Dandolo’s</w:t>
      </w:r>
      <w:proofErr w:type="spellEnd"/>
      <w:r w:rsidRPr="00134652">
        <w:rPr>
          <w:rFonts w:eastAsia="Times New Roman" w:cs="Calibri"/>
        </w:rPr>
        <w:t xml:space="preserve"> Report recommends that ‘</w:t>
      </w:r>
      <w:r w:rsidRPr="00134652">
        <w:rPr>
          <w:rFonts w:eastAsia="Times New Roman" w:cs="Calibri"/>
          <w:i/>
        </w:rPr>
        <w:t>Efforts should be made to improve communication of the value and achievements of partnerships and Partnership Brokers</w:t>
      </w:r>
      <w:r w:rsidRPr="00134652">
        <w:rPr>
          <w:rFonts w:eastAsia="Times New Roman" w:cs="Calibri"/>
        </w:rPr>
        <w:t xml:space="preserve">’. This is a key area of focus for DEEWR and the Partnership Broker network for 2012, and will require effective collaboration with education authorities in the different jurisdictions.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Provider reporting has shown that the Parents and Families stakeholder group represents just three per cent of the total number of organisations involved in partnerships. This data is reinforced by results from the 2011 provider survey which found that 87 per cent of Partnership Brokers felt that parents and families were the most challenging stakeholder to work with. Despite the relatively low representation of parents and families as partners, program data indicates that approximately one third of all partnerships are seeking to address parent and family outcomes in some way. </w:t>
      </w:r>
    </w:p>
    <w:p w:rsidR="00134652" w:rsidRPr="00134652" w:rsidRDefault="00134652" w:rsidP="00134652">
      <w:pPr>
        <w:spacing w:before="120" w:after="120" w:line="240" w:lineRule="auto"/>
        <w:rPr>
          <w:rFonts w:eastAsia="Times New Roman" w:cs="Calibri"/>
        </w:rPr>
      </w:pPr>
      <w:r w:rsidRPr="00134652">
        <w:rPr>
          <w:rFonts w:eastAsia="Times New Roman" w:cs="Calibri"/>
        </w:rPr>
        <w:t>There are a number of partnerships that involve parent bodies such as parent and citizen associations and state parent councils. DEEWR and the Partnership Brokers National Network are actively engaging with Australian Parent Council (</w:t>
      </w:r>
      <w:proofErr w:type="spellStart"/>
      <w:r w:rsidRPr="00134652">
        <w:rPr>
          <w:rFonts w:eastAsia="Times New Roman" w:cs="Calibri"/>
        </w:rPr>
        <w:t>APC</w:t>
      </w:r>
      <w:proofErr w:type="spellEnd"/>
      <w:r w:rsidRPr="00134652">
        <w:rPr>
          <w:rFonts w:eastAsia="Times New Roman" w:cs="Calibri"/>
        </w:rPr>
        <w:t>) and Australian Council of State School Organisations (</w:t>
      </w:r>
      <w:proofErr w:type="spellStart"/>
      <w:r w:rsidRPr="00134652">
        <w:rPr>
          <w:rFonts w:eastAsia="Times New Roman" w:cs="Calibri"/>
        </w:rPr>
        <w:t>ACSSO</w:t>
      </w:r>
      <w:proofErr w:type="spellEnd"/>
      <w:r w:rsidRPr="00134652">
        <w:rPr>
          <w:rFonts w:eastAsia="Times New Roman" w:cs="Calibri"/>
        </w:rPr>
        <w:t>) to</w:t>
      </w:r>
      <w:r w:rsidRPr="00134652">
        <w:rPr>
          <w:rFonts w:eastAsia="Times New Roman" w:cs="Calibri"/>
          <w:bCs/>
        </w:rPr>
        <w:t xml:space="preserve"> explore ways that DEEWR, </w:t>
      </w:r>
      <w:proofErr w:type="spellStart"/>
      <w:r w:rsidRPr="00134652">
        <w:rPr>
          <w:rFonts w:eastAsia="Times New Roman" w:cs="Calibri"/>
          <w:bCs/>
        </w:rPr>
        <w:t>APC</w:t>
      </w:r>
      <w:proofErr w:type="spellEnd"/>
      <w:r w:rsidRPr="00134652">
        <w:rPr>
          <w:rFonts w:eastAsia="Times New Roman" w:cs="Calibri"/>
          <w:bCs/>
        </w:rPr>
        <w:t xml:space="preserve">, </w:t>
      </w:r>
      <w:proofErr w:type="spellStart"/>
      <w:r w:rsidRPr="00134652">
        <w:rPr>
          <w:rFonts w:eastAsia="Times New Roman" w:cs="Calibri"/>
          <w:bCs/>
        </w:rPr>
        <w:t>ACSSO</w:t>
      </w:r>
      <w:proofErr w:type="spellEnd"/>
      <w:r w:rsidRPr="00134652">
        <w:rPr>
          <w:rFonts w:eastAsia="Times New Roman" w:cs="Calibri"/>
          <w:bCs/>
        </w:rPr>
        <w:t xml:space="preserve"> and the Partnership Brokers network can work together to support </w:t>
      </w:r>
      <w:proofErr w:type="gramStart"/>
      <w:r w:rsidRPr="00134652">
        <w:rPr>
          <w:rFonts w:eastAsia="Times New Roman" w:cs="Calibri"/>
        </w:rPr>
        <w:t>more,</w:t>
      </w:r>
      <w:proofErr w:type="gramEnd"/>
      <w:r w:rsidRPr="00134652">
        <w:rPr>
          <w:rFonts w:eastAsia="Times New Roman" w:cs="Calibri"/>
        </w:rPr>
        <w:t xml:space="preserve"> and deeper levels, of parental engagement through a partnership approach.</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Another challenge for providers is building cross-sectoral partnerships involving stakeholders that may not have worked together before. Within this context, an important part of the Partnership Brokers’ work is building partners’ understanding of each other’s needs, developing trust between partners and securing commitment to a shared goal. To do this effectively, Partnership Brokers need to engage with organisations at a decision-making level where there is authority to enter into partnership arrangements and commit resources. Providers report that this is particularly challenging when working with schools and school systems. </w:t>
      </w:r>
    </w:p>
    <w:p w:rsidR="00134652" w:rsidRPr="00134652" w:rsidRDefault="00134652" w:rsidP="00CE7AF6">
      <w:pPr>
        <w:pStyle w:val="Heading3"/>
      </w:pPr>
      <w:r w:rsidRPr="00134652">
        <w:t>Variation in performance</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It is clear that there are varying degrees of success amongst providers and some providers appear to be struggling to deliver the program in line with program expectations. There are a number of reasons for this, including: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Some Partnership Broker organisations were contracted under previous programs in a ‘hands-on’ service delivery role. Some of these organisations have struggled to make the transition to a strategic, facilitation role. </w:t>
      </w:r>
    </w:p>
    <w:p w:rsidR="00134652" w:rsidRPr="00134652" w:rsidRDefault="00134652" w:rsidP="00134652">
      <w:pPr>
        <w:spacing w:line="240" w:lineRule="auto"/>
        <w:ind w:left="720" w:hanging="360"/>
        <w:rPr>
          <w:rFonts w:eastAsia="Times New Roman" w:cs="Calibri"/>
        </w:rPr>
      </w:pPr>
      <w:proofErr w:type="gramStart"/>
      <w:r w:rsidRPr="00134652">
        <w:rPr>
          <w:rFonts w:eastAsia="Times New Roman" w:cs="Calibri"/>
        </w:rPr>
        <w:t>The varying nature of infrastructure, culture and capacity across Service Regions.</w:t>
      </w:r>
      <w:proofErr w:type="gramEnd"/>
      <w:r w:rsidRPr="00134652">
        <w:rPr>
          <w:rFonts w:eastAsia="Times New Roman" w:cs="Calibri"/>
        </w:rPr>
        <w:t xml:space="preserve"> There are different challenges for providers operating in metropolitan, rural and remote areas. Some Service Regions, and some communities within Service Regions, are more conducive to partnership development than others. </w:t>
      </w:r>
    </w:p>
    <w:p w:rsidR="00134652" w:rsidRPr="00134652" w:rsidRDefault="00134652" w:rsidP="00134652">
      <w:pPr>
        <w:spacing w:line="240" w:lineRule="auto"/>
        <w:ind w:left="720" w:hanging="360"/>
        <w:rPr>
          <w:rFonts w:eastAsia="Times New Roman" w:cs="Calibri"/>
        </w:rPr>
      </w:pPr>
      <w:r w:rsidRPr="00134652">
        <w:rPr>
          <w:rFonts w:eastAsia="Times New Roman" w:cs="Calibri"/>
        </w:rPr>
        <w:lastRenderedPageBreak/>
        <w:t xml:space="preserve">The capacity of personnel undertaking the Partnership Broker role also varies across, and within regions. Some providers, particularly those in remote regions, have had difficulty finding and retaining people with the necessary skill set to deliver program outcomes.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Partnership brokering is an emerging discipline requiring a sophisticated skill set. The ability and expertise of individual Partnership Brokers is a key factor in the success of the program. </w:t>
      </w:r>
      <w:proofErr w:type="spellStart"/>
      <w:r w:rsidRPr="00134652">
        <w:rPr>
          <w:rFonts w:eastAsia="Times New Roman" w:cs="Calibri"/>
        </w:rPr>
        <w:t>Dandolo’s</w:t>
      </w:r>
      <w:proofErr w:type="spellEnd"/>
      <w:r w:rsidRPr="00134652">
        <w:rPr>
          <w:rFonts w:eastAsia="Times New Roman" w:cs="Calibri"/>
        </w:rPr>
        <w:t xml:space="preserve"> Report has also identified provider capacity as a key issue for the program. Therefore, building the capacity of organisations and their personnel is a focus for DEEWR and the provider networks at state and national level.</w:t>
      </w:r>
    </w:p>
    <w:p w:rsidR="00134652" w:rsidRPr="00134652" w:rsidRDefault="00134652" w:rsidP="00CE7AF6">
      <w:pPr>
        <w:pStyle w:val="Heading3"/>
      </w:pPr>
      <w:r w:rsidRPr="00134652">
        <w:t>Support from DEEWR</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DEEWR has supported the achievement of program outcomes through the provision of induction forums, regional forums, training on the information management system, professional development, support tools, a Youth Attainment and Transitions website, sharing of program evaluation data and the funding of state and national provider networks. The contract management approach is focused on developing provider capacity and assisting providers to leverage off and add value to existing national and/or state programs and initiatives. </w:t>
      </w:r>
    </w:p>
    <w:p w:rsidR="00134652" w:rsidRPr="00134652" w:rsidRDefault="00134652" w:rsidP="00CE7AF6">
      <w:pPr>
        <w:pStyle w:val="Heading3"/>
        <w:rPr>
          <w:lang w:eastAsia="en-AU"/>
        </w:rPr>
      </w:pPr>
      <w:bookmarkStart w:id="46" w:name="_Toc323899458"/>
      <w:bookmarkStart w:id="47" w:name="_Toc292695921"/>
      <w:bookmarkStart w:id="48" w:name="_Toc322615453"/>
      <w:r w:rsidRPr="00134652">
        <w:rPr>
          <w:lang w:eastAsia="en-AU"/>
        </w:rPr>
        <w:t>State and National Provider Networks</w:t>
      </w:r>
      <w:bookmarkEnd w:id="46"/>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Provider networks at both a jurisdiction and national level are developing and implementing strategies to support improved outcomes for the program. However, performance of the networks has been variable with coordination of effort presenting a challenge, particularly in the early stages of network operations. The establishment of an Executive Officer position to act exclusively on behalf of the Partnership Broker networks has assisted in moving them from an operational focus to a more strategic orientation. There are emerging signs that the networks are engaging with organisations and peak bodies at a state and national level in ways that drive educational reform. </w:t>
      </w:r>
    </w:p>
    <w:p w:rsidR="00134652" w:rsidRPr="00134652" w:rsidRDefault="00134652" w:rsidP="00134652">
      <w:pPr>
        <w:spacing w:before="120" w:after="120" w:line="240" w:lineRule="auto"/>
        <w:rPr>
          <w:rFonts w:eastAsia="Times New Roman" w:cs="Calibri"/>
        </w:rPr>
      </w:pPr>
      <w:r w:rsidRPr="00134652">
        <w:rPr>
          <w:rFonts w:eastAsia="Times New Roman" w:cs="Calibri"/>
        </w:rPr>
        <w:t>For example, in November and December 2011, the Partnership Brokers National Network funded and supported a series of two-day workshops about School, Family, and Community Partnerships facilitated by Dr Darcy Hutchins from the National Network of Partnership Schools (</w:t>
      </w:r>
      <w:proofErr w:type="spellStart"/>
      <w:r w:rsidRPr="00134652">
        <w:rPr>
          <w:rFonts w:eastAsia="Times New Roman" w:cs="Calibri"/>
        </w:rPr>
        <w:t>NNPS</w:t>
      </w:r>
      <w:proofErr w:type="spellEnd"/>
      <w:r w:rsidRPr="00134652">
        <w:rPr>
          <w:rFonts w:eastAsia="Times New Roman" w:cs="Calibri"/>
        </w:rPr>
        <w:t xml:space="preserve">) at John Hopkins University in Baltimore, Maryland, USA. The workshops were held in Brisbane, Sydney and Melbourne and were attended by education system leaders, principals, parent peak representatives, as well as Partnership Brokers. As a result, a number of schools in a variety of jurisdictions are trialling this internationally recognised model of family and community engagement. The National Network has used the workshops to drive a broader national discussion about how schools in Australia can better connect with their communities, and work in partnership with them to improve young people’s education and transition outcomes. </w:t>
      </w:r>
    </w:p>
    <w:p w:rsidR="00134652" w:rsidRPr="00134652" w:rsidRDefault="00134652" w:rsidP="00CE7AF6">
      <w:pPr>
        <w:pStyle w:val="Heading3"/>
        <w:rPr>
          <w:lang w:eastAsia="en-AU"/>
        </w:rPr>
      </w:pPr>
      <w:bookmarkStart w:id="49" w:name="_Toc323899459"/>
      <w:r w:rsidRPr="00134652">
        <w:rPr>
          <w:lang w:eastAsia="en-AU"/>
        </w:rPr>
        <w:t>Priorities</w:t>
      </w:r>
      <w:bookmarkEnd w:id="47"/>
      <w:bookmarkEnd w:id="48"/>
      <w:r w:rsidRPr="00134652">
        <w:rPr>
          <w:lang w:eastAsia="en-AU"/>
        </w:rPr>
        <w:t xml:space="preserve"> for Partnership Development</w:t>
      </w:r>
      <w:bookmarkEnd w:id="49"/>
    </w:p>
    <w:p w:rsidR="00134652" w:rsidRPr="00134652" w:rsidRDefault="00134652" w:rsidP="00134652">
      <w:pPr>
        <w:spacing w:before="120" w:after="120" w:line="240" w:lineRule="auto"/>
        <w:rPr>
          <w:rFonts w:eastAsia="Times New Roman" w:cs="Calibri"/>
        </w:rPr>
      </w:pPr>
      <w:r w:rsidRPr="00134652">
        <w:rPr>
          <w:rFonts w:eastAsia="Times New Roman" w:cs="Calibri"/>
        </w:rPr>
        <w:t>In February 2012, 55 per cent of Partnership Brokers reported they were ‘very effective’ or ‘extremely effective’ in addressing their regional priorities for 2011; an increase from 48 per cent in 2010</w:t>
      </w:r>
      <w:r w:rsidRPr="00134652">
        <w:rPr>
          <w:rFonts w:eastAsia="Times New Roman" w:cs="Calibri"/>
          <w:vertAlign w:val="superscript"/>
        </w:rPr>
        <w:footnoteReference w:id="18"/>
      </w:r>
      <w:r w:rsidRPr="00134652">
        <w:rPr>
          <w:rFonts w:eastAsia="Times New Roman" w:cs="Calibri"/>
        </w:rPr>
        <w:t>. Among the most commonly reported priorities for partnership development were:</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Addressing the needs of at-risk young people (including risk factors such as mental health, disability, low SES, learning difficulties, </w:t>
      </w:r>
      <w:proofErr w:type="spellStart"/>
      <w:r w:rsidRPr="00134652">
        <w:rPr>
          <w:rFonts w:eastAsia="Times New Roman" w:cs="Calibri"/>
        </w:rPr>
        <w:t>etc</w:t>
      </w:r>
      <w:proofErr w:type="spellEnd"/>
      <w:r w:rsidRPr="00134652">
        <w:rPr>
          <w:rFonts w:eastAsia="Times New Roman" w:cs="Calibri"/>
        </w:rPr>
        <w:t>);</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Increasing Indigenous engagement and attainment; and </w:t>
      </w:r>
    </w:p>
    <w:p w:rsidR="00134652" w:rsidRPr="00134652" w:rsidRDefault="00134652" w:rsidP="00134652">
      <w:pPr>
        <w:spacing w:line="240" w:lineRule="auto"/>
        <w:ind w:left="720" w:hanging="360"/>
        <w:rPr>
          <w:rFonts w:eastAsia="Times New Roman" w:cs="Calibri"/>
        </w:rPr>
      </w:pPr>
      <w:proofErr w:type="gramStart"/>
      <w:r w:rsidRPr="00134652">
        <w:rPr>
          <w:rFonts w:eastAsia="Times New Roman" w:cs="Calibri"/>
        </w:rPr>
        <w:t>Supporting the transition of young people from secondary schooling to further education, training or employment.</w:t>
      </w:r>
      <w:proofErr w:type="gramEnd"/>
    </w:p>
    <w:p w:rsidR="00134652" w:rsidRPr="00134652" w:rsidRDefault="00134652" w:rsidP="00CE7AF6">
      <w:pPr>
        <w:pStyle w:val="Heading3"/>
      </w:pPr>
      <w:bookmarkStart w:id="50" w:name="_Toc322615454"/>
      <w:bookmarkStart w:id="51" w:name="_Toc323899460"/>
      <w:r w:rsidRPr="00134652">
        <w:t>Collaboration between Partnership Brokers and Youth Connections providers</w:t>
      </w:r>
      <w:bookmarkEnd w:id="50"/>
      <w:bookmarkEnd w:id="51"/>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An important feature of the Partnership Brokers and Youth Connections programs is the requirement for providers to work together to identify and address the needs of their region. In 2011, 55 per cent of Partnership Brokers indicated they were working closely with Youth Connections providers and supporting </w:t>
      </w:r>
      <w:r w:rsidRPr="00134652">
        <w:rPr>
          <w:rFonts w:eastAsia="Times New Roman" w:cs="Calibri"/>
        </w:rPr>
        <w:lastRenderedPageBreak/>
        <w:t>new or enhanced partnership arrangements to meet identified needs in their region</w:t>
      </w:r>
      <w:r w:rsidRPr="00134652">
        <w:rPr>
          <w:rFonts w:eastAsia="Times New Roman" w:cs="Calibri"/>
          <w:vertAlign w:val="superscript"/>
        </w:rPr>
        <w:footnoteReference w:id="19"/>
      </w:r>
      <w:r w:rsidRPr="00134652">
        <w:rPr>
          <w:rFonts w:eastAsia="Times New Roman" w:cs="Calibri"/>
        </w:rPr>
        <w:t xml:space="preserve"> (up from 47 per cent in 2010). However, in some regions, the level of collaboration is variable. In regions where collaboration has been limited, Youth Connections providers appear to have concentrated on delivery of case management services and Partnership Brokers have focused on stakeholder engagement and partnership development independently.</w:t>
      </w:r>
    </w:p>
    <w:p w:rsidR="00134652" w:rsidRPr="00134652" w:rsidRDefault="00134652" w:rsidP="00134652">
      <w:pPr>
        <w:spacing w:before="120" w:after="120" w:line="240" w:lineRule="auto"/>
        <w:rPr>
          <w:rFonts w:eastAsia="Times New Roman" w:cs="Calibri"/>
        </w:rPr>
      </w:pPr>
      <w:bookmarkStart w:id="52" w:name="_Toc322512739"/>
      <w:bookmarkStart w:id="53" w:name="_Toc323899457"/>
      <w:r w:rsidRPr="00134652">
        <w:rPr>
          <w:rFonts w:eastAsia="Times New Roman" w:cs="Calibri"/>
          <w:b/>
        </w:rPr>
        <w:t>Note:</w:t>
      </w:r>
      <w:r w:rsidRPr="00134652">
        <w:rPr>
          <w:rFonts w:eastAsia="Times New Roman" w:cs="Calibri"/>
        </w:rPr>
        <w:t xml:space="preserve"> The September 2011 National Outcomes report cited 1350 active and self-sustaining partnerships and 8200 partner organisations. The number of partnerships as at April 2012 has gone down slightly as a result of a concerted effort by providers, supported by DEEWR Contract Managers, to review YATMIS data and ensure that partnership status is accurately represented in the system. </w:t>
      </w:r>
    </w:p>
    <w:p w:rsidR="00134652" w:rsidRPr="00134652" w:rsidRDefault="00134652" w:rsidP="00134652">
      <w:pPr>
        <w:spacing w:before="120" w:after="120" w:line="240" w:lineRule="auto"/>
        <w:rPr>
          <w:rFonts w:eastAsia="Times New Roman" w:cs="Calibri"/>
        </w:rPr>
      </w:pPr>
      <w:r w:rsidRPr="00134652">
        <w:rPr>
          <w:rFonts w:eastAsia="Times New Roman" w:cs="Calibri"/>
        </w:rPr>
        <w:t>In addition, the number of partner organisations has gone down from 8200 to 4100 because of a different approach to the way the number of ‘partner organisations’ is expressed in this year’s reports. For example, previous reports counted a school involved in two partnerships as ‘two partner organisations’. This year, organisations in multiple partnerships are being counted once.</w:t>
      </w:r>
      <w:bookmarkEnd w:id="52"/>
      <w:bookmarkEnd w:id="53"/>
      <w:r w:rsidRPr="00134652">
        <w:rPr>
          <w:rFonts w:eastAsia="Times New Roman" w:cs="Calibri"/>
        </w:rPr>
        <w:t xml:space="preserve"> This change in approach also applies to state level data.</w:t>
      </w:r>
    </w:p>
    <w:p w:rsidR="00134652" w:rsidRPr="00134652" w:rsidRDefault="00134652" w:rsidP="00CE7AF6">
      <w:pPr>
        <w:pStyle w:val="Heading2"/>
        <w:rPr>
          <w:lang w:eastAsia="en-AU"/>
        </w:rPr>
      </w:pPr>
      <w:bookmarkStart w:id="54" w:name="_Toc323901527"/>
      <w:bookmarkStart w:id="55" w:name="_Toc365385424"/>
      <w:r w:rsidRPr="00134652">
        <w:rPr>
          <w:lang w:eastAsia="en-AU"/>
        </w:rPr>
        <w:t>Q</w:t>
      </w:r>
      <w:bookmarkEnd w:id="45"/>
      <w:bookmarkEnd w:id="54"/>
      <w:r w:rsidR="001B7A68">
        <w:rPr>
          <w:lang w:val="en-AU" w:eastAsia="en-AU"/>
        </w:rPr>
        <w:t>ueensland Summary</w:t>
      </w:r>
      <w:bookmarkEnd w:id="55"/>
      <w:r w:rsidRPr="00134652">
        <w:rPr>
          <w:lang w:eastAsia="en-AU"/>
        </w:rPr>
        <w:t xml:space="preserve"> </w:t>
      </w:r>
    </w:p>
    <w:p w:rsidR="00134652" w:rsidRPr="00134652" w:rsidRDefault="00134652" w:rsidP="00CE7AF6">
      <w:pPr>
        <w:pStyle w:val="Heading3"/>
      </w:pPr>
      <w:r w:rsidRPr="00134652">
        <w:t>Context</w:t>
      </w:r>
    </w:p>
    <w:p w:rsidR="00134652" w:rsidRPr="00134652" w:rsidRDefault="00134652" w:rsidP="00134652">
      <w:pPr>
        <w:spacing w:before="120" w:after="120" w:line="240" w:lineRule="auto"/>
        <w:rPr>
          <w:rFonts w:eastAsia="Times New Roman" w:cs="Calibri"/>
        </w:rPr>
      </w:pPr>
      <w:r w:rsidRPr="00134652">
        <w:rPr>
          <w:rFonts w:eastAsia="Times New Roman" w:cs="Calibri"/>
        </w:rPr>
        <w:t>Queensland has a diverse and multi-speed economy comprised of metropolitan areas, rural and very remote regions of Australia. The global financial crisis and recovery from natural disasters over recent years had a lasting impact on the buoyancy and structure of the employment market across all areas of the state. Changing long-term job prospects for young people have influenced career and education choices and highlighted the need for quality career advice for young people cognisant of a changing economic landscape.</w:t>
      </w:r>
    </w:p>
    <w:p w:rsidR="00134652" w:rsidRPr="00134652" w:rsidRDefault="00134652" w:rsidP="00134652">
      <w:pPr>
        <w:spacing w:before="120" w:after="120" w:line="240" w:lineRule="auto"/>
        <w:rPr>
          <w:rFonts w:eastAsia="Times New Roman" w:cs="Calibri"/>
        </w:rPr>
      </w:pPr>
      <w:r w:rsidRPr="00134652">
        <w:rPr>
          <w:rFonts w:eastAsia="Times New Roman" w:cs="Calibri"/>
        </w:rPr>
        <w:t>Within the context of limited resources and weak economic growth in some parts of Queensland, providers have increasingly looked to creative and innovative solutions to tackle seemingly intractable issues. Sharing knowledge of labour market opportunities and developments in the education sector are helpful in this regard.</w:t>
      </w:r>
    </w:p>
    <w:p w:rsidR="00134652" w:rsidRPr="00134652" w:rsidRDefault="00134652" w:rsidP="00CE7AF6">
      <w:pPr>
        <w:pStyle w:val="Heading3"/>
      </w:pPr>
      <w:r w:rsidRPr="00134652">
        <w:t xml:space="preserve">Program Status </w:t>
      </w:r>
    </w:p>
    <w:p w:rsidR="00134652" w:rsidRPr="00134652" w:rsidRDefault="00134652" w:rsidP="00134652">
      <w:pPr>
        <w:spacing w:before="120" w:after="120" w:line="240" w:lineRule="auto"/>
        <w:rPr>
          <w:rFonts w:eastAsia="Times New Roman" w:cs="Calibri"/>
        </w:rPr>
      </w:pPr>
      <w:r w:rsidRPr="00134652">
        <w:rPr>
          <w:rFonts w:eastAsia="Times New Roman" w:cs="Calibri"/>
        </w:rPr>
        <w:t>As at April 2012, there were approximately 300 active and self-sustaining partnerships associated with Partnership Brokers in Queensland involving over 1000 partner organisations. These partnerships are undertaking a range of activity to support the learning and development of young people in their community. Approximately 15 per cent of these partnerships have an Indigenous focus. There have been approximately 2200 Outcomes Framework Key Performance Measure (</w:t>
      </w:r>
      <w:proofErr w:type="spellStart"/>
      <w:r w:rsidRPr="00134652">
        <w:rPr>
          <w:rFonts w:eastAsia="Times New Roman" w:cs="Calibri"/>
        </w:rPr>
        <w:t>KPM</w:t>
      </w:r>
      <w:proofErr w:type="spellEnd"/>
      <w:r w:rsidRPr="00134652">
        <w:rPr>
          <w:rFonts w:eastAsia="Times New Roman" w:cs="Calibri"/>
        </w:rPr>
        <w:t xml:space="preserve">) evaluations with around 800 (36%) of those evaluations rating the partnership’s progress as ‘Considerable’ or ‘Achieved’. </w:t>
      </w:r>
    </w:p>
    <w:p w:rsidR="00134652" w:rsidRPr="00134652" w:rsidRDefault="00134652" w:rsidP="00134652">
      <w:pPr>
        <w:spacing w:before="120" w:after="120" w:line="240" w:lineRule="auto"/>
        <w:rPr>
          <w:rFonts w:eastAsia="Times New Roman" w:cs="Calibri"/>
        </w:rPr>
      </w:pPr>
      <w:r w:rsidRPr="00134652">
        <w:rPr>
          <w:rFonts w:eastAsia="Times New Roman" w:cs="Calibri"/>
        </w:rPr>
        <w:t>Many providers are working collaboratively across Service Regions to develop strategic partnerships. Collaboration within and across regions is a particular strength of the program in Queensland, further supported by four Partnership Broker organisations that hold multiple contracts and account for 14 of the 16 Service Regions. Relationships with Regional Development Australia are emerging in some priority locations within the state and have already proven to be a valuable connection. In some cases, Partnership Brokers have been involved in regional planning processes with Education Queensland.</w:t>
      </w:r>
    </w:p>
    <w:p w:rsidR="00134652" w:rsidRPr="00134652" w:rsidRDefault="00134652" w:rsidP="00CE7AF6">
      <w:pPr>
        <w:pStyle w:val="Heading3"/>
      </w:pPr>
      <w:r w:rsidRPr="00134652">
        <w:t xml:space="preserve">Challenges </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While the information above indicates significant progress, individual providers and the program have also faced many of the challenges outlined in the National Summary. In particular, it is an ongoing challenge for providers to better understand the strategic direction and planning for school systems in order to create partnerships that align and value add to the goals and objectives for schooling in each region. Queensland providers have been encouraged to look beyond regional boundaries and geographic barriers to develop innovative approaches that support the achievement of regional education priorities. Collaboration among </w:t>
      </w:r>
      <w:r w:rsidRPr="00134652">
        <w:rPr>
          <w:rFonts w:eastAsia="Times New Roman" w:cs="Calibri"/>
        </w:rPr>
        <w:lastRenderedPageBreak/>
        <w:t>stakeholders has shown to be most effective in areas where there is a broad understanding of youth programs and services in the region and the value of a partnership approach. There are also challenges for providers who operate in Service Regions that are geographically large but have relatively small populations concentrated in remote communities. The level of collaboration between Partnership Brokers and Youth Connections providers in Queensland is consistent with the national picture and continues to improve as the National Partnership matures. In some regions, providers are working well together and progressing partnership arrangements to improve support services, however, the level of collaboration in other regions is variable and is a continuing focus for DEEWR. Some innovative partnerships have been developed in a range of areas, as highlighted by snapshots and case studies.</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A key challenge for the Partnership Brokers program is achieving a high level of engagement and commitment with all levels of government and non-government school systems. </w:t>
      </w:r>
      <w:proofErr w:type="gramStart"/>
      <w:r w:rsidRPr="00134652">
        <w:rPr>
          <w:rFonts w:eastAsia="Times New Roman" w:cs="Calibri"/>
        </w:rPr>
        <w:t>Promoting the Partnership Brokers program, and raising awareness of the support that a Partnership Broker can provide, is labour intensive and requires a large amount of direct interaction with many different stakeholders.</w:t>
      </w:r>
      <w:proofErr w:type="gramEnd"/>
      <w:r w:rsidRPr="00134652">
        <w:rPr>
          <w:rFonts w:eastAsia="Times New Roman" w:cs="Calibri"/>
        </w:rPr>
        <w:t xml:space="preserve"> The benefit of engaging with a Partnership Broker is not always immediately apparent. The large number of stakeholders in the schooling sector has made efficiently and effectively engaging with this cohort of stakeholders difficult. Effectively addressing this challenge may be aided by further regionally-based collaborative action. </w:t>
      </w:r>
    </w:p>
    <w:p w:rsidR="00134652" w:rsidRPr="00134652" w:rsidRDefault="00134652" w:rsidP="00134652">
      <w:pPr>
        <w:spacing w:before="120" w:after="120" w:line="240" w:lineRule="auto"/>
        <w:rPr>
          <w:rFonts w:eastAsia="Times New Roman" w:cs="Calibri"/>
        </w:rPr>
      </w:pPr>
      <w:r w:rsidRPr="00134652">
        <w:rPr>
          <w:rFonts w:eastAsia="Times New Roman" w:cs="Calibri"/>
        </w:rPr>
        <w:t>For example; DEEWR facilitated workshops and subsequent DET workshops in the North Coast Region, which has led to degrees of transformational shift toward positive and strategic engagement between Partnership Brokers and the state education sector. Strengthening collaboration is noticeable in all regions, albeit at varying rates.</w:t>
      </w:r>
    </w:p>
    <w:p w:rsidR="00134652" w:rsidRPr="00134652" w:rsidRDefault="00134652" w:rsidP="00134652">
      <w:pPr>
        <w:spacing w:before="120" w:after="120" w:line="240" w:lineRule="auto"/>
        <w:rPr>
          <w:rFonts w:eastAsia="Times New Roman" w:cs="Calibri"/>
        </w:rPr>
      </w:pPr>
      <w:r w:rsidRPr="00134652">
        <w:rPr>
          <w:rFonts w:eastAsia="Times New Roman" w:cs="Calibri"/>
        </w:rPr>
        <w:t>During August and October 2011, seven regional engagement workshops were convened in Queensland, in alignment with each of the State’s education regions</w:t>
      </w:r>
      <w:r w:rsidRPr="00134652">
        <w:rPr>
          <w:rFonts w:eastAsia="Times New Roman" w:cs="Calibri"/>
          <w:vertAlign w:val="superscript"/>
        </w:rPr>
        <w:footnoteReference w:id="20"/>
      </w:r>
      <w:r w:rsidRPr="00134652">
        <w:rPr>
          <w:rFonts w:eastAsia="Times New Roman" w:cs="Calibri"/>
        </w:rPr>
        <w:t>. A total of 206 delegates attended the workshops across all seven regions including key representatives of government, Catholic and independent schooling sectors. This approach was based on the understanding that connectivity across programs and services is a critical element for the effective implementation of the National Partnership. The aim of each workshop was to improve the level of collaboration between stakeholders working towards: lifting the year 12 or equivalent attainment rate, re-engagement in education and training, and successful transitions for young people.</w:t>
      </w:r>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Each workshop presented unique challenges and opportunities within the context of different regions. A number of key themes emerged across most workshops, including: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A need for early intervention in the primary years of schooling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Servicing limitations for very remote areas of the state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The benefits of connectivity and alignment of effort among youth services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Improved awareness and understanding of the partnership broker role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The importance of effective collaboration, communication and strong working relationships among stakeholders </w:t>
      </w:r>
    </w:p>
    <w:p w:rsidR="00134652" w:rsidRPr="00134652" w:rsidRDefault="00134652" w:rsidP="00134652">
      <w:pPr>
        <w:spacing w:line="240" w:lineRule="auto"/>
        <w:ind w:left="720" w:hanging="360"/>
        <w:rPr>
          <w:rFonts w:eastAsia="Times New Roman" w:cs="Calibri"/>
        </w:rPr>
      </w:pPr>
      <w:r w:rsidRPr="00134652">
        <w:rPr>
          <w:rFonts w:eastAsia="Times New Roman" w:cs="Calibri"/>
        </w:rPr>
        <w:t xml:space="preserve">Finding creative and innovative strategies to support young people </w:t>
      </w:r>
    </w:p>
    <w:p w:rsidR="00134652" w:rsidRPr="00134652" w:rsidRDefault="00134652" w:rsidP="00134652">
      <w:pPr>
        <w:spacing w:line="240" w:lineRule="auto"/>
        <w:ind w:left="720" w:hanging="360"/>
        <w:rPr>
          <w:rFonts w:eastAsia="Times New Roman" w:cs="Calibri"/>
        </w:rPr>
      </w:pPr>
      <w:proofErr w:type="gramStart"/>
      <w:r w:rsidRPr="00134652">
        <w:rPr>
          <w:rFonts w:eastAsia="Times New Roman" w:cs="Calibri"/>
        </w:rPr>
        <w:t>Supporting successful transitions for youth people.</w:t>
      </w:r>
      <w:proofErr w:type="gramEnd"/>
    </w:p>
    <w:p w:rsidR="00134652" w:rsidRPr="00134652" w:rsidRDefault="00134652" w:rsidP="00134652">
      <w:pPr>
        <w:spacing w:before="120" w:after="120" w:line="240" w:lineRule="auto"/>
        <w:rPr>
          <w:rFonts w:eastAsia="Times New Roman" w:cs="Calibri"/>
        </w:rPr>
      </w:pPr>
      <w:r w:rsidRPr="00134652">
        <w:rPr>
          <w:rFonts w:eastAsia="Times New Roman" w:cs="Calibri"/>
        </w:rPr>
        <w:t xml:space="preserve">It was universally agreed at all workshops that working together and aligning effort among providers working toward similar objectives delivers significant and mutual benefit. In a number of workshops, participants suggested the establishment (or refinement) of Regional Youth Attainment and Transitions  Reference Groups to bring stakeholders together, discuss opportunities to align / strengthen services, share information and develop solutions to key challenges specific to the area. These groups are being convened in all regions. </w:t>
      </w:r>
    </w:p>
    <w:p w:rsidR="00134652" w:rsidRPr="00134652" w:rsidRDefault="00134652" w:rsidP="00134652">
      <w:pPr>
        <w:spacing w:before="120" w:after="120" w:line="240" w:lineRule="auto"/>
        <w:rPr>
          <w:rFonts w:eastAsia="Times New Roman" w:cs="Calibri"/>
        </w:rPr>
      </w:pPr>
      <w:r w:rsidRPr="00134652">
        <w:rPr>
          <w:rFonts w:eastAsia="Times New Roman" w:cs="Calibri"/>
        </w:rPr>
        <w:t>Importantly, stakeholders at workshops have also argued that DEEWR and DET should use their communication channels to build awareness and understanding of the range of youth programs and services.</w:t>
      </w:r>
    </w:p>
    <w:p w:rsidR="00134652" w:rsidRPr="00134652" w:rsidRDefault="00134652" w:rsidP="00134652">
      <w:pPr>
        <w:keepNext/>
        <w:keepLines/>
        <w:spacing w:before="480" w:line="240" w:lineRule="auto"/>
        <w:outlineLvl w:val="0"/>
        <w:rPr>
          <w:rFonts w:ascii="Cambria" w:eastAsia="Times New Roman" w:hAnsi="Cambria"/>
          <w:b/>
          <w:bCs/>
          <w:color w:val="365F91"/>
          <w:sz w:val="28"/>
          <w:szCs w:val="28"/>
        </w:rPr>
        <w:sectPr w:rsidR="00134652" w:rsidRPr="00134652" w:rsidSect="00BF7F25">
          <w:footerReference w:type="default" r:id="rId41"/>
          <w:pgSz w:w="11906" w:h="16838"/>
          <w:pgMar w:top="822" w:right="849" w:bottom="851" w:left="1134" w:header="709" w:footer="0" w:gutter="0"/>
          <w:cols w:space="708"/>
          <w:docGrid w:linePitch="360"/>
        </w:sectPr>
      </w:pPr>
      <w:bookmarkStart w:id="56" w:name="_Toc292697119"/>
    </w:p>
    <w:p w:rsidR="00134652" w:rsidRPr="001B7A68" w:rsidRDefault="00134652" w:rsidP="00CE7AF6">
      <w:pPr>
        <w:pStyle w:val="Heading2"/>
        <w:rPr>
          <w:lang w:val="en-AU"/>
        </w:rPr>
      </w:pPr>
      <w:bookmarkStart w:id="57" w:name="_Toc323901528"/>
      <w:bookmarkStart w:id="58" w:name="_Toc365385425"/>
      <w:r w:rsidRPr="00134652">
        <w:lastRenderedPageBreak/>
        <w:t>O</w:t>
      </w:r>
      <w:bookmarkEnd w:id="56"/>
      <w:bookmarkEnd w:id="57"/>
      <w:r w:rsidR="001B7A68">
        <w:rPr>
          <w:lang w:val="en-AU"/>
        </w:rPr>
        <w:t>rganisations</w:t>
      </w:r>
      <w:bookmarkEnd w:id="58"/>
    </w:p>
    <w:p w:rsidR="00134652" w:rsidRPr="00134652" w:rsidRDefault="00134652" w:rsidP="00CE7AF6">
      <w:pPr>
        <w:pStyle w:val="Heading3"/>
        <w:rPr>
          <w:lang w:eastAsia="en-AU"/>
        </w:rPr>
      </w:pPr>
      <w:bookmarkStart w:id="59" w:name="_Toc292697120"/>
      <w:bookmarkStart w:id="60" w:name="_Toc323901529"/>
      <w:r w:rsidRPr="00134652">
        <w:rPr>
          <w:lang w:eastAsia="en-AU"/>
        </w:rPr>
        <w:t xml:space="preserve">Table A – </w:t>
      </w:r>
      <w:r w:rsidRPr="00134652">
        <w:t>Number</w:t>
      </w:r>
      <w:r w:rsidRPr="00134652">
        <w:rPr>
          <w:lang w:eastAsia="en-AU"/>
        </w:rPr>
        <w:t xml:space="preserve"> of Organisations in Partnerships by Stakeholder Group</w:t>
      </w:r>
      <w:bookmarkEnd w:id="59"/>
      <w:bookmarkEnd w:id="60"/>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table shows the stakeholder groups represented in partnerships.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includes organisations in partnerships with status active and self-sustaining. National figures do not include Victoria. Organisations involved in multiple partnerships have only been counted once.</w:t>
      </w:r>
    </w:p>
    <w:p w:rsidR="00134652" w:rsidRPr="00134652" w:rsidRDefault="00134652" w:rsidP="00134652">
      <w:pPr>
        <w:spacing w:line="240" w:lineRule="auto"/>
        <w:rPr>
          <w:rFonts w:eastAsia="Times New Roman" w:cs="Calibri"/>
          <w:lang w:eastAsia="en-AU"/>
        </w:rPr>
      </w:pPr>
    </w:p>
    <w:tbl>
      <w:tblPr>
        <w:tblW w:w="9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229"/>
        <w:gridCol w:w="1763"/>
        <w:gridCol w:w="1701"/>
        <w:gridCol w:w="1781"/>
        <w:gridCol w:w="1843"/>
      </w:tblGrid>
      <w:tr w:rsidR="00134652" w:rsidRPr="00134652" w:rsidTr="009F7813">
        <w:trPr>
          <w:trHeight w:val="255"/>
        </w:trPr>
        <w:tc>
          <w:tcPr>
            <w:tcW w:w="2229" w:type="dxa"/>
            <w:shd w:val="clear" w:color="auto" w:fill="92CDDC" w:themeFill="accent5" w:themeFillTint="99"/>
            <w:noWrap/>
            <w:vAlign w:val="center"/>
          </w:tcPr>
          <w:p w:rsidR="00134652" w:rsidRPr="00134652" w:rsidRDefault="00CD36E9" w:rsidP="00CD36E9">
            <w:pPr>
              <w:pStyle w:val="TableColumnHeadingCentred"/>
              <w:rPr>
                <w:b w:val="0"/>
              </w:rPr>
            </w:pPr>
            <w:r w:rsidRPr="00134652">
              <w:rPr>
                <w:b w:val="0"/>
              </w:rPr>
              <w:t>Stakeholder Group</w:t>
            </w:r>
          </w:p>
        </w:tc>
        <w:tc>
          <w:tcPr>
            <w:tcW w:w="1763" w:type="dxa"/>
            <w:shd w:val="clear" w:color="auto" w:fill="92CDDC" w:themeFill="accent5" w:themeFillTint="99"/>
            <w:vAlign w:val="center"/>
          </w:tcPr>
          <w:p w:rsidR="00134652" w:rsidRPr="00134652" w:rsidRDefault="00134652" w:rsidP="00CD36E9">
            <w:pPr>
              <w:pStyle w:val="TableColumnHeadingCentred"/>
              <w:rPr>
                <w:b w:val="0"/>
              </w:rPr>
            </w:pPr>
            <w:r w:rsidRPr="00134652">
              <w:rPr>
                <w:b w:val="0"/>
              </w:rPr>
              <w:t>Total</w:t>
            </w:r>
            <w:r w:rsidR="00CD36E9">
              <w:rPr>
                <w:b w:val="0"/>
              </w:rPr>
              <w:t xml:space="preserve"> Number of Organisations in Partnerships (QLD) </w:t>
            </w:r>
          </w:p>
        </w:tc>
        <w:tc>
          <w:tcPr>
            <w:tcW w:w="1701" w:type="dxa"/>
            <w:shd w:val="clear" w:color="auto" w:fill="92CDDC" w:themeFill="accent5" w:themeFillTint="99"/>
            <w:vAlign w:val="center"/>
          </w:tcPr>
          <w:p w:rsidR="00134652" w:rsidRPr="00134652" w:rsidRDefault="00CD36E9" w:rsidP="00CD36E9">
            <w:pPr>
              <w:pStyle w:val="TableColumnHeadingCentred"/>
              <w:rPr>
                <w:b w:val="0"/>
              </w:rPr>
            </w:pPr>
            <w:r>
              <w:rPr>
                <w:b w:val="0"/>
              </w:rPr>
              <w:t>Percentage of Organisations in Partnerships (QLD)</w:t>
            </w:r>
          </w:p>
        </w:tc>
        <w:tc>
          <w:tcPr>
            <w:tcW w:w="1781" w:type="dxa"/>
            <w:shd w:val="clear" w:color="auto" w:fill="92CDDC" w:themeFill="accent5" w:themeFillTint="99"/>
            <w:vAlign w:val="center"/>
          </w:tcPr>
          <w:p w:rsidR="00134652" w:rsidRPr="00134652" w:rsidRDefault="00134652" w:rsidP="00CD36E9">
            <w:pPr>
              <w:pStyle w:val="TableColumnHeadingCentred"/>
              <w:rPr>
                <w:b w:val="0"/>
              </w:rPr>
            </w:pPr>
            <w:r w:rsidRPr="00134652">
              <w:rPr>
                <w:b w:val="0"/>
              </w:rPr>
              <w:t>Total</w:t>
            </w:r>
            <w:r w:rsidR="00CD36E9">
              <w:rPr>
                <w:b w:val="0"/>
              </w:rPr>
              <w:t xml:space="preserve"> Number of Organisations in Partnerships Nationally</w:t>
            </w:r>
          </w:p>
        </w:tc>
        <w:tc>
          <w:tcPr>
            <w:tcW w:w="1843" w:type="dxa"/>
            <w:shd w:val="clear" w:color="auto" w:fill="92CDDC" w:themeFill="accent5" w:themeFillTint="99"/>
            <w:vAlign w:val="center"/>
          </w:tcPr>
          <w:p w:rsidR="00134652" w:rsidRPr="00134652" w:rsidRDefault="00CD36E9" w:rsidP="00CD36E9">
            <w:pPr>
              <w:pStyle w:val="TableColumnHeadingCentred"/>
              <w:rPr>
                <w:b w:val="0"/>
              </w:rPr>
            </w:pPr>
            <w:r>
              <w:rPr>
                <w:b w:val="0"/>
              </w:rPr>
              <w:t>Percentage of Organisations in Partnerships Nationally</w:t>
            </w:r>
          </w:p>
        </w:tc>
      </w:tr>
      <w:tr w:rsidR="00134652" w:rsidRPr="00134652" w:rsidTr="009F7813">
        <w:trPr>
          <w:trHeight w:val="264"/>
        </w:trPr>
        <w:tc>
          <w:tcPr>
            <w:tcW w:w="2229" w:type="dxa"/>
            <w:shd w:val="clear" w:color="auto" w:fill="auto"/>
            <w:noWrap/>
            <w:vAlign w:val="center"/>
          </w:tcPr>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Business &amp; Industry</w:t>
            </w:r>
          </w:p>
        </w:tc>
        <w:tc>
          <w:tcPr>
            <w:tcW w:w="1763"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332</w:t>
            </w:r>
          </w:p>
        </w:tc>
        <w:tc>
          <w:tcPr>
            <w:tcW w:w="1701"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32%</w:t>
            </w:r>
          </w:p>
        </w:tc>
        <w:tc>
          <w:tcPr>
            <w:tcW w:w="1781"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1171</w:t>
            </w:r>
          </w:p>
        </w:tc>
        <w:tc>
          <w:tcPr>
            <w:tcW w:w="1843"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28%</w:t>
            </w:r>
          </w:p>
        </w:tc>
      </w:tr>
      <w:tr w:rsidR="00134652" w:rsidRPr="00134652" w:rsidTr="009F7813">
        <w:trPr>
          <w:trHeight w:val="264"/>
        </w:trPr>
        <w:tc>
          <w:tcPr>
            <w:tcW w:w="2229" w:type="dxa"/>
            <w:shd w:val="clear" w:color="auto" w:fill="auto"/>
            <w:noWrap/>
            <w:vAlign w:val="center"/>
          </w:tcPr>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Community</w:t>
            </w:r>
          </w:p>
        </w:tc>
        <w:tc>
          <w:tcPr>
            <w:tcW w:w="1763"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297</w:t>
            </w:r>
          </w:p>
        </w:tc>
        <w:tc>
          <w:tcPr>
            <w:tcW w:w="1701"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29%</w:t>
            </w:r>
          </w:p>
        </w:tc>
        <w:tc>
          <w:tcPr>
            <w:tcW w:w="1781"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1220</w:t>
            </w:r>
          </w:p>
        </w:tc>
        <w:tc>
          <w:tcPr>
            <w:tcW w:w="1843"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29%</w:t>
            </w:r>
          </w:p>
        </w:tc>
      </w:tr>
      <w:tr w:rsidR="00134652" w:rsidRPr="00134652" w:rsidTr="009F7813">
        <w:trPr>
          <w:trHeight w:val="264"/>
        </w:trPr>
        <w:tc>
          <w:tcPr>
            <w:tcW w:w="2229" w:type="dxa"/>
            <w:shd w:val="clear" w:color="auto" w:fill="auto"/>
            <w:noWrap/>
            <w:vAlign w:val="center"/>
          </w:tcPr>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Education</w:t>
            </w:r>
          </w:p>
        </w:tc>
        <w:tc>
          <w:tcPr>
            <w:tcW w:w="1763"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396</w:t>
            </w:r>
          </w:p>
        </w:tc>
        <w:tc>
          <w:tcPr>
            <w:tcW w:w="1701"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38%</w:t>
            </w:r>
          </w:p>
        </w:tc>
        <w:tc>
          <w:tcPr>
            <w:tcW w:w="1781"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1656</w:t>
            </w:r>
          </w:p>
        </w:tc>
        <w:tc>
          <w:tcPr>
            <w:tcW w:w="1843"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40%</w:t>
            </w:r>
          </w:p>
        </w:tc>
      </w:tr>
      <w:tr w:rsidR="00134652" w:rsidRPr="00134652" w:rsidTr="009F7813">
        <w:trPr>
          <w:trHeight w:val="264"/>
        </w:trPr>
        <w:tc>
          <w:tcPr>
            <w:tcW w:w="2229" w:type="dxa"/>
            <w:shd w:val="clear" w:color="auto" w:fill="auto"/>
            <w:noWrap/>
            <w:vAlign w:val="center"/>
          </w:tcPr>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Parents and Families</w:t>
            </w:r>
          </w:p>
        </w:tc>
        <w:tc>
          <w:tcPr>
            <w:tcW w:w="1763"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14</w:t>
            </w:r>
          </w:p>
        </w:tc>
        <w:tc>
          <w:tcPr>
            <w:tcW w:w="1701" w:type="dxa"/>
            <w:shd w:val="clear" w:color="auto" w:fill="auto"/>
            <w:noWrap/>
            <w:vAlign w:val="center"/>
          </w:tcPr>
          <w:p w:rsidR="00134652" w:rsidRPr="00134652" w:rsidRDefault="00134652" w:rsidP="00134652">
            <w:pPr>
              <w:spacing w:line="240" w:lineRule="auto"/>
              <w:jc w:val="center"/>
              <w:rPr>
                <w:rFonts w:eastAsia="Times New Roman" w:cs="Calibri"/>
                <w:sz w:val="20"/>
                <w:szCs w:val="20"/>
              </w:rPr>
            </w:pPr>
            <w:r w:rsidRPr="00134652">
              <w:rPr>
                <w:rFonts w:eastAsia="Times New Roman" w:cs="Calibri"/>
                <w:sz w:val="20"/>
                <w:szCs w:val="20"/>
              </w:rPr>
              <w:t>1%</w:t>
            </w:r>
          </w:p>
        </w:tc>
        <w:tc>
          <w:tcPr>
            <w:tcW w:w="1781"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108</w:t>
            </w:r>
          </w:p>
        </w:tc>
        <w:tc>
          <w:tcPr>
            <w:tcW w:w="1843" w:type="dxa"/>
            <w:shd w:val="clear" w:color="auto" w:fill="auto"/>
            <w:vAlign w:val="center"/>
          </w:tcPr>
          <w:p w:rsidR="00134652" w:rsidRPr="00134652" w:rsidRDefault="00134652" w:rsidP="00134652">
            <w:pPr>
              <w:spacing w:line="240" w:lineRule="auto"/>
              <w:jc w:val="center"/>
              <w:rPr>
                <w:rFonts w:eastAsia="Times New Roman" w:cs="Calibri"/>
                <w:b/>
                <w:color w:val="000000"/>
                <w:sz w:val="20"/>
                <w:szCs w:val="20"/>
              </w:rPr>
            </w:pPr>
            <w:r w:rsidRPr="00134652">
              <w:rPr>
                <w:rFonts w:eastAsia="Times New Roman" w:cs="Calibri"/>
                <w:b/>
                <w:color w:val="000000"/>
                <w:sz w:val="20"/>
                <w:szCs w:val="20"/>
              </w:rPr>
              <w:t>3%</w:t>
            </w:r>
          </w:p>
        </w:tc>
      </w:tr>
      <w:tr w:rsidR="00134652" w:rsidRPr="00134652" w:rsidTr="009F7813">
        <w:trPr>
          <w:trHeight w:val="264"/>
        </w:trPr>
        <w:tc>
          <w:tcPr>
            <w:tcW w:w="2229" w:type="dxa"/>
            <w:shd w:val="clear" w:color="auto" w:fill="DAEEF3" w:themeFill="accent5" w:themeFillTint="33"/>
            <w:noWrap/>
            <w:vAlign w:val="center"/>
          </w:tcPr>
          <w:p w:rsidR="00134652" w:rsidRPr="00134652" w:rsidRDefault="00CD36E9" w:rsidP="00134652">
            <w:pPr>
              <w:spacing w:line="240" w:lineRule="auto"/>
              <w:rPr>
                <w:rFonts w:eastAsia="Times New Roman" w:cs="Calibri"/>
                <w:b/>
                <w:bCs/>
                <w:lang w:eastAsia="en-AU"/>
              </w:rPr>
            </w:pPr>
            <w:r>
              <w:rPr>
                <w:rFonts w:eastAsia="Times New Roman" w:cs="Calibri"/>
                <w:b/>
                <w:bCs/>
                <w:lang w:eastAsia="en-AU"/>
              </w:rPr>
              <w:t>TOTAL</w:t>
            </w:r>
          </w:p>
        </w:tc>
        <w:tc>
          <w:tcPr>
            <w:tcW w:w="1763" w:type="dxa"/>
            <w:shd w:val="clear" w:color="auto" w:fill="DAEEF3" w:themeFill="accent5" w:themeFillTint="33"/>
            <w:noWrap/>
            <w:vAlign w:val="center"/>
          </w:tcPr>
          <w:p w:rsidR="00134652" w:rsidRPr="00134652" w:rsidRDefault="00134652" w:rsidP="00134652">
            <w:pPr>
              <w:spacing w:line="240" w:lineRule="auto"/>
              <w:jc w:val="center"/>
              <w:rPr>
                <w:rFonts w:eastAsia="Times New Roman" w:cs="Calibri"/>
                <w:b/>
                <w:bCs/>
                <w:sz w:val="20"/>
                <w:szCs w:val="20"/>
              </w:rPr>
            </w:pPr>
            <w:r w:rsidRPr="00134652">
              <w:rPr>
                <w:rFonts w:eastAsia="Times New Roman" w:cs="Calibri"/>
                <w:b/>
                <w:bCs/>
                <w:sz w:val="20"/>
                <w:szCs w:val="20"/>
              </w:rPr>
              <w:t>1039</w:t>
            </w:r>
          </w:p>
        </w:tc>
        <w:tc>
          <w:tcPr>
            <w:tcW w:w="1701" w:type="dxa"/>
            <w:shd w:val="clear" w:color="auto" w:fill="DAEEF3" w:themeFill="accent5" w:themeFillTint="33"/>
            <w:noWrap/>
            <w:vAlign w:val="center"/>
          </w:tcPr>
          <w:p w:rsidR="00134652" w:rsidRPr="00134652" w:rsidRDefault="00134652" w:rsidP="00134652">
            <w:pPr>
              <w:spacing w:line="240" w:lineRule="auto"/>
              <w:jc w:val="center"/>
              <w:rPr>
                <w:rFonts w:eastAsia="Times New Roman" w:cs="Calibri"/>
                <w:b/>
                <w:bCs/>
                <w:sz w:val="20"/>
                <w:szCs w:val="20"/>
              </w:rPr>
            </w:pPr>
            <w:r w:rsidRPr="00134652">
              <w:rPr>
                <w:rFonts w:eastAsia="Times New Roman" w:cs="Calibri"/>
                <w:b/>
                <w:bCs/>
                <w:sz w:val="20"/>
                <w:szCs w:val="20"/>
              </w:rPr>
              <w:t>100%</w:t>
            </w:r>
          </w:p>
        </w:tc>
        <w:tc>
          <w:tcPr>
            <w:tcW w:w="1781" w:type="dxa"/>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sz w:val="20"/>
                <w:szCs w:val="20"/>
              </w:rPr>
            </w:pPr>
            <w:r w:rsidRPr="00134652">
              <w:rPr>
                <w:rFonts w:eastAsia="Times New Roman" w:cs="Calibri"/>
                <w:b/>
                <w:bCs/>
                <w:color w:val="000000"/>
                <w:sz w:val="20"/>
                <w:szCs w:val="20"/>
              </w:rPr>
              <w:t>4155</w:t>
            </w:r>
          </w:p>
        </w:tc>
        <w:tc>
          <w:tcPr>
            <w:tcW w:w="1843" w:type="dxa"/>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sz w:val="20"/>
                <w:szCs w:val="20"/>
              </w:rPr>
            </w:pPr>
            <w:r w:rsidRPr="00134652">
              <w:rPr>
                <w:rFonts w:eastAsia="Times New Roman" w:cs="Calibri"/>
                <w:b/>
                <w:bCs/>
                <w:color w:val="000000"/>
                <w:sz w:val="20"/>
                <w:szCs w:val="20"/>
              </w:rPr>
              <w:t>100%</w:t>
            </w:r>
          </w:p>
        </w:tc>
      </w:tr>
    </w:tbl>
    <w:p w:rsidR="00134652" w:rsidRPr="00134652" w:rsidRDefault="00134652" w:rsidP="00CE7AF6">
      <w:pPr>
        <w:pStyle w:val="Heading3"/>
        <w:rPr>
          <w:lang w:eastAsia="en-AU"/>
        </w:rPr>
      </w:pPr>
      <w:bookmarkStart w:id="61" w:name="_Toc323901530"/>
      <w:r w:rsidRPr="00134652">
        <w:rPr>
          <w:lang w:eastAsia="en-AU"/>
        </w:rPr>
        <w:t>Table B – Number of Schools in Partnerships by Education Level</w:t>
      </w:r>
      <w:bookmarkEnd w:id="61"/>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table shows the number of schools by education level, represented in active and self-sustaining partnerships.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only includes schools in partnerships with status active and self-sustaining. National figures do not include Victoria. Schools involved in multiple partnerships have only been counted once.</w:t>
      </w:r>
    </w:p>
    <w:p w:rsidR="00134652" w:rsidRPr="00134652" w:rsidRDefault="00134652" w:rsidP="00134652">
      <w:pPr>
        <w:spacing w:line="240" w:lineRule="auto"/>
        <w:rPr>
          <w:rFonts w:eastAsia="Times New Roman" w:cs="Calibri"/>
          <w:lang w:eastAsia="en-AU"/>
        </w:rPr>
      </w:pPr>
    </w:p>
    <w:tbl>
      <w:tblPr>
        <w:tblStyle w:val="TableGrid2"/>
        <w:tblW w:w="9569" w:type="dxa"/>
        <w:tblLook w:val="00A0" w:firstRow="1" w:lastRow="0" w:firstColumn="1" w:lastColumn="0" w:noHBand="0" w:noVBand="0"/>
        <w:tblCaption w:val="Table B – Number of Schools in Partnerships by Education Level"/>
        <w:tblDescription w:val="Number of Schools in Partnerships by Education Level"/>
      </w:tblPr>
      <w:tblGrid>
        <w:gridCol w:w="1980"/>
        <w:gridCol w:w="1414"/>
        <w:gridCol w:w="1250"/>
        <w:gridCol w:w="1245"/>
        <w:gridCol w:w="1250"/>
        <w:gridCol w:w="2430"/>
      </w:tblGrid>
      <w:tr w:rsidR="009F7813" w:rsidRPr="00134652" w:rsidTr="00D35240">
        <w:trPr>
          <w:trHeight w:val="568"/>
          <w:tblHeader/>
        </w:trPr>
        <w:tc>
          <w:tcPr>
            <w:tcW w:w="1982" w:type="dxa"/>
            <w:shd w:val="clear" w:color="auto" w:fill="92CDDC" w:themeFill="accent5" w:themeFillTint="99"/>
            <w:vAlign w:val="center"/>
          </w:tcPr>
          <w:p w:rsidR="00613F5F" w:rsidRPr="009F7813" w:rsidRDefault="00613F5F" w:rsidP="00613F5F">
            <w:pPr>
              <w:pStyle w:val="TableColumnHeadingCentred"/>
              <w:rPr>
                <w:rFonts w:ascii="Calibri" w:hAnsi="Calibri" w:cs="Calibri"/>
                <w:b w:val="0"/>
              </w:rPr>
            </w:pPr>
            <w:r w:rsidRPr="009F7813">
              <w:rPr>
                <w:rFonts w:ascii="Calibri" w:hAnsi="Calibri" w:cs="Calibri"/>
                <w:b w:val="0"/>
              </w:rPr>
              <w:t>Education Level</w:t>
            </w:r>
          </w:p>
        </w:tc>
        <w:tc>
          <w:tcPr>
            <w:tcW w:w="1414" w:type="dxa"/>
            <w:shd w:val="clear" w:color="auto" w:fill="92CDDC" w:themeFill="accent5" w:themeFillTint="99"/>
            <w:vAlign w:val="center"/>
          </w:tcPr>
          <w:p w:rsidR="00613F5F" w:rsidRPr="009F7813" w:rsidRDefault="009F7813" w:rsidP="00613F5F">
            <w:pPr>
              <w:pStyle w:val="TableColumnHeadingCentred"/>
              <w:rPr>
                <w:rFonts w:ascii="Calibri" w:hAnsi="Calibri" w:cs="Calibri"/>
                <w:b w:val="0"/>
              </w:rPr>
            </w:pPr>
            <w:r w:rsidRPr="009F7813">
              <w:rPr>
                <w:rFonts w:ascii="Calibri" w:hAnsi="Calibri" w:cs="Calibri"/>
                <w:b w:val="0"/>
              </w:rPr>
              <w:t>Number of Schools in P</w:t>
            </w:r>
            <w:r w:rsidR="00613F5F" w:rsidRPr="009F7813">
              <w:rPr>
                <w:rFonts w:ascii="Calibri" w:hAnsi="Calibri" w:cs="Calibri"/>
                <w:b w:val="0"/>
              </w:rPr>
              <w:t>artnerships</w:t>
            </w:r>
            <w:r w:rsidRPr="009F7813">
              <w:rPr>
                <w:rFonts w:ascii="Calibri" w:hAnsi="Calibri" w:cs="Calibri"/>
                <w:b w:val="0"/>
              </w:rPr>
              <w:t xml:space="preserve"> (</w:t>
            </w:r>
            <w:r w:rsidR="00613F5F" w:rsidRPr="009F7813">
              <w:rPr>
                <w:rFonts w:ascii="Calibri" w:hAnsi="Calibri" w:cs="Calibri"/>
                <w:b w:val="0"/>
              </w:rPr>
              <w:t>QLD</w:t>
            </w:r>
            <w:r w:rsidRPr="009F7813">
              <w:rPr>
                <w:rFonts w:ascii="Calibri" w:hAnsi="Calibri" w:cs="Calibri"/>
                <w:b w:val="0"/>
              </w:rPr>
              <w:t>)</w:t>
            </w:r>
          </w:p>
        </w:tc>
        <w:tc>
          <w:tcPr>
            <w:tcW w:w="1250" w:type="dxa"/>
            <w:shd w:val="clear" w:color="auto" w:fill="92CDDC" w:themeFill="accent5" w:themeFillTint="99"/>
            <w:vAlign w:val="center"/>
          </w:tcPr>
          <w:p w:rsidR="00613F5F" w:rsidRPr="009F7813" w:rsidRDefault="009F7813" w:rsidP="00613F5F">
            <w:pPr>
              <w:pStyle w:val="TableColumnHeadingCentred"/>
              <w:rPr>
                <w:rFonts w:ascii="Calibri" w:hAnsi="Calibri" w:cs="Calibri"/>
                <w:b w:val="0"/>
              </w:rPr>
            </w:pPr>
            <w:r w:rsidRPr="009F7813">
              <w:rPr>
                <w:rFonts w:ascii="Calibri" w:hAnsi="Calibri" w:cs="Calibri"/>
                <w:b w:val="0"/>
              </w:rPr>
              <w:t>Percentage of Schools in Partnerships (QLD)</w:t>
            </w:r>
          </w:p>
        </w:tc>
        <w:tc>
          <w:tcPr>
            <w:tcW w:w="1245" w:type="dxa"/>
            <w:shd w:val="clear" w:color="auto" w:fill="92CDDC" w:themeFill="accent5" w:themeFillTint="99"/>
            <w:vAlign w:val="center"/>
          </w:tcPr>
          <w:p w:rsidR="00613F5F" w:rsidRPr="009F7813" w:rsidRDefault="009F7813" w:rsidP="00613F5F">
            <w:pPr>
              <w:pStyle w:val="TableColumnHeadingCentred"/>
              <w:rPr>
                <w:rFonts w:ascii="Calibri" w:hAnsi="Calibri" w:cs="Calibri"/>
                <w:b w:val="0"/>
              </w:rPr>
            </w:pPr>
            <w:r w:rsidRPr="009F7813">
              <w:rPr>
                <w:rFonts w:ascii="Calibri" w:hAnsi="Calibri" w:cs="Calibri"/>
                <w:b w:val="0"/>
              </w:rPr>
              <w:t xml:space="preserve">Number of Schools in Partnerships </w:t>
            </w:r>
            <w:r w:rsidR="00613F5F" w:rsidRPr="009F7813">
              <w:rPr>
                <w:rFonts w:ascii="Calibri" w:hAnsi="Calibri" w:cs="Calibri"/>
                <w:b w:val="0"/>
              </w:rPr>
              <w:t>Nationally</w:t>
            </w:r>
          </w:p>
        </w:tc>
        <w:tc>
          <w:tcPr>
            <w:tcW w:w="1246" w:type="dxa"/>
            <w:shd w:val="clear" w:color="auto" w:fill="92CDDC" w:themeFill="accent5" w:themeFillTint="99"/>
            <w:vAlign w:val="center"/>
          </w:tcPr>
          <w:p w:rsidR="00613F5F" w:rsidRPr="009F7813" w:rsidRDefault="009F7813" w:rsidP="00613F5F">
            <w:pPr>
              <w:pStyle w:val="TableColumnHeadingCentred"/>
              <w:rPr>
                <w:rFonts w:ascii="Calibri" w:hAnsi="Calibri" w:cs="Calibri"/>
                <w:b w:val="0"/>
              </w:rPr>
            </w:pPr>
            <w:r w:rsidRPr="009F7813">
              <w:rPr>
                <w:rFonts w:ascii="Calibri" w:hAnsi="Calibri" w:cs="Calibri"/>
                <w:b w:val="0"/>
              </w:rPr>
              <w:t>Percentage of Schools in Partnerships Nationally</w:t>
            </w:r>
          </w:p>
        </w:tc>
        <w:tc>
          <w:tcPr>
            <w:tcW w:w="2432" w:type="dxa"/>
            <w:shd w:val="clear" w:color="auto" w:fill="92CDDC" w:themeFill="accent5" w:themeFillTint="99"/>
            <w:vAlign w:val="center"/>
          </w:tcPr>
          <w:p w:rsidR="00613F5F" w:rsidRPr="009F7813" w:rsidRDefault="009F7813" w:rsidP="00613F5F">
            <w:pPr>
              <w:pStyle w:val="TableColumnHeadingCentred"/>
              <w:rPr>
                <w:rFonts w:ascii="Calibri" w:hAnsi="Calibri" w:cs="Calibri"/>
                <w:b w:val="0"/>
              </w:rPr>
            </w:pPr>
            <w:r w:rsidRPr="009F7813">
              <w:rPr>
                <w:rFonts w:ascii="Calibri" w:hAnsi="Calibri" w:cs="Calibri"/>
                <w:b w:val="0"/>
              </w:rPr>
              <w:t>Number</w:t>
            </w:r>
            <w:r w:rsidR="00613F5F" w:rsidRPr="009F7813">
              <w:rPr>
                <w:rFonts w:ascii="Calibri" w:hAnsi="Calibri" w:cs="Calibri"/>
                <w:b w:val="0"/>
              </w:rPr>
              <w:t xml:space="preserve"> of schools in QLD</w:t>
            </w:r>
          </w:p>
        </w:tc>
      </w:tr>
      <w:tr w:rsidR="001564A5" w:rsidRPr="00134652" w:rsidTr="009F7813">
        <w:trPr>
          <w:trHeight w:val="342"/>
        </w:trPr>
        <w:tc>
          <w:tcPr>
            <w:tcW w:w="1982" w:type="dxa"/>
            <w:shd w:val="clear" w:color="auto" w:fill="auto"/>
            <w:vAlign w:val="center"/>
          </w:tcPr>
          <w:p w:rsidR="00134652" w:rsidRPr="00613F5F" w:rsidRDefault="00134652" w:rsidP="00613F5F">
            <w:pPr>
              <w:rPr>
                <w:rFonts w:ascii="Calibri" w:hAnsi="Calibri" w:cs="Calibri"/>
                <w:lang w:eastAsia="en-AU"/>
              </w:rPr>
            </w:pPr>
            <w:r w:rsidRPr="00613F5F">
              <w:rPr>
                <w:rFonts w:ascii="Calibri" w:hAnsi="Calibri" w:cs="Calibri"/>
                <w:lang w:eastAsia="en-AU"/>
              </w:rPr>
              <w:t>Primary</w:t>
            </w:r>
          </w:p>
        </w:tc>
        <w:tc>
          <w:tcPr>
            <w:tcW w:w="1414"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18</w:t>
            </w:r>
          </w:p>
        </w:tc>
        <w:tc>
          <w:tcPr>
            <w:tcW w:w="1250"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9%</w:t>
            </w:r>
          </w:p>
        </w:tc>
        <w:tc>
          <w:tcPr>
            <w:tcW w:w="1241"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149</w:t>
            </w:r>
          </w:p>
        </w:tc>
        <w:tc>
          <w:tcPr>
            <w:tcW w:w="1250"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16%</w:t>
            </w:r>
          </w:p>
        </w:tc>
        <w:tc>
          <w:tcPr>
            <w:tcW w:w="2432" w:type="dxa"/>
            <w:shd w:val="clear" w:color="auto" w:fill="DAEEF3" w:themeFill="accent5" w:themeFillTint="33"/>
            <w:vAlign w:val="center"/>
          </w:tcPr>
          <w:p w:rsidR="00134652" w:rsidRPr="00613F5F" w:rsidRDefault="00134652" w:rsidP="00613F5F">
            <w:pPr>
              <w:jc w:val="center"/>
              <w:rPr>
                <w:rFonts w:ascii="Calibri" w:hAnsi="Calibri" w:cs="Calibri"/>
              </w:rPr>
            </w:pPr>
            <w:r w:rsidRPr="00613F5F">
              <w:rPr>
                <w:rFonts w:ascii="Calibri" w:hAnsi="Calibri" w:cs="Calibri"/>
              </w:rPr>
              <w:t>66%</w:t>
            </w:r>
          </w:p>
        </w:tc>
      </w:tr>
      <w:tr w:rsidR="001564A5" w:rsidRPr="00134652" w:rsidTr="009F7813">
        <w:trPr>
          <w:trHeight w:val="362"/>
        </w:trPr>
        <w:tc>
          <w:tcPr>
            <w:tcW w:w="1982" w:type="dxa"/>
            <w:shd w:val="clear" w:color="auto" w:fill="auto"/>
            <w:vAlign w:val="center"/>
          </w:tcPr>
          <w:p w:rsidR="00134652" w:rsidRPr="00613F5F" w:rsidRDefault="00134652" w:rsidP="00613F5F">
            <w:pPr>
              <w:rPr>
                <w:rFonts w:ascii="Calibri" w:hAnsi="Calibri" w:cs="Calibri"/>
                <w:lang w:eastAsia="en-AU"/>
              </w:rPr>
            </w:pPr>
            <w:r w:rsidRPr="00613F5F">
              <w:rPr>
                <w:rFonts w:ascii="Calibri" w:hAnsi="Calibri" w:cs="Calibri"/>
                <w:lang w:eastAsia="en-AU"/>
              </w:rPr>
              <w:t>Secondary</w:t>
            </w:r>
          </w:p>
        </w:tc>
        <w:tc>
          <w:tcPr>
            <w:tcW w:w="1414"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112</w:t>
            </w:r>
          </w:p>
        </w:tc>
        <w:tc>
          <w:tcPr>
            <w:tcW w:w="1250"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55%</w:t>
            </w:r>
          </w:p>
        </w:tc>
        <w:tc>
          <w:tcPr>
            <w:tcW w:w="1241"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509</w:t>
            </w:r>
          </w:p>
        </w:tc>
        <w:tc>
          <w:tcPr>
            <w:tcW w:w="1250"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55%</w:t>
            </w:r>
          </w:p>
        </w:tc>
        <w:tc>
          <w:tcPr>
            <w:tcW w:w="2432" w:type="dxa"/>
            <w:shd w:val="clear" w:color="auto" w:fill="DAEEF3" w:themeFill="accent5" w:themeFillTint="33"/>
            <w:vAlign w:val="center"/>
          </w:tcPr>
          <w:p w:rsidR="00134652" w:rsidRPr="00613F5F" w:rsidRDefault="00134652" w:rsidP="00613F5F">
            <w:pPr>
              <w:jc w:val="center"/>
              <w:rPr>
                <w:rFonts w:ascii="Calibri" w:hAnsi="Calibri" w:cs="Calibri"/>
              </w:rPr>
            </w:pPr>
            <w:r w:rsidRPr="00613F5F">
              <w:rPr>
                <w:rFonts w:ascii="Calibri" w:hAnsi="Calibri" w:cs="Calibri"/>
              </w:rPr>
              <w:t>16%</w:t>
            </w:r>
          </w:p>
        </w:tc>
      </w:tr>
      <w:tr w:rsidR="001564A5" w:rsidRPr="00134652" w:rsidTr="009F7813">
        <w:trPr>
          <w:trHeight w:val="362"/>
        </w:trPr>
        <w:tc>
          <w:tcPr>
            <w:tcW w:w="1982" w:type="dxa"/>
            <w:shd w:val="clear" w:color="auto" w:fill="auto"/>
            <w:vAlign w:val="center"/>
          </w:tcPr>
          <w:p w:rsidR="00134652" w:rsidRPr="00613F5F" w:rsidRDefault="00134652" w:rsidP="00613F5F">
            <w:pPr>
              <w:rPr>
                <w:rFonts w:ascii="Calibri" w:hAnsi="Calibri" w:cs="Calibri"/>
                <w:lang w:eastAsia="en-AU"/>
              </w:rPr>
            </w:pPr>
            <w:r w:rsidRPr="00613F5F">
              <w:rPr>
                <w:rFonts w:ascii="Calibri" w:hAnsi="Calibri" w:cs="Calibri"/>
                <w:lang w:eastAsia="en-AU"/>
              </w:rPr>
              <w:t>Combined</w:t>
            </w:r>
          </w:p>
        </w:tc>
        <w:tc>
          <w:tcPr>
            <w:tcW w:w="1414"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75</w:t>
            </w:r>
          </w:p>
        </w:tc>
        <w:tc>
          <w:tcPr>
            <w:tcW w:w="1250" w:type="dxa"/>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37%</w:t>
            </w:r>
          </w:p>
        </w:tc>
        <w:tc>
          <w:tcPr>
            <w:tcW w:w="1241"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262</w:t>
            </w:r>
          </w:p>
        </w:tc>
        <w:tc>
          <w:tcPr>
            <w:tcW w:w="1250" w:type="dxa"/>
            <w:shd w:val="clear" w:color="auto" w:fill="FFFFFF" w:themeFill="background1"/>
            <w:vAlign w:val="center"/>
          </w:tcPr>
          <w:p w:rsidR="00134652" w:rsidRPr="00613F5F" w:rsidRDefault="00134652" w:rsidP="00613F5F">
            <w:pPr>
              <w:jc w:val="center"/>
              <w:rPr>
                <w:rFonts w:ascii="Calibri" w:hAnsi="Calibri" w:cs="Calibri"/>
                <w:lang w:eastAsia="en-AU"/>
              </w:rPr>
            </w:pPr>
            <w:r w:rsidRPr="00613F5F">
              <w:rPr>
                <w:rFonts w:ascii="Calibri" w:hAnsi="Calibri" w:cs="Calibri"/>
                <w:lang w:eastAsia="en-AU"/>
              </w:rPr>
              <w:t>28%</w:t>
            </w:r>
          </w:p>
        </w:tc>
        <w:tc>
          <w:tcPr>
            <w:tcW w:w="2432" w:type="dxa"/>
            <w:shd w:val="clear" w:color="auto" w:fill="DAEEF3" w:themeFill="accent5" w:themeFillTint="33"/>
            <w:vAlign w:val="center"/>
          </w:tcPr>
          <w:p w:rsidR="00134652" w:rsidRPr="00613F5F" w:rsidRDefault="00134652" w:rsidP="00613F5F">
            <w:pPr>
              <w:jc w:val="center"/>
              <w:rPr>
                <w:rFonts w:ascii="Calibri" w:hAnsi="Calibri" w:cs="Calibri"/>
              </w:rPr>
            </w:pPr>
            <w:r w:rsidRPr="00613F5F">
              <w:rPr>
                <w:rFonts w:ascii="Calibri" w:hAnsi="Calibri" w:cs="Calibri"/>
              </w:rPr>
              <w:t>18%</w:t>
            </w:r>
          </w:p>
        </w:tc>
      </w:tr>
      <w:tr w:rsidR="001564A5" w:rsidRPr="00134652" w:rsidTr="009F7813">
        <w:trPr>
          <w:trHeight w:val="362"/>
        </w:trPr>
        <w:tc>
          <w:tcPr>
            <w:tcW w:w="1982" w:type="dxa"/>
            <w:shd w:val="clear" w:color="auto" w:fill="DAEEF3" w:themeFill="accent5" w:themeFillTint="33"/>
            <w:vAlign w:val="center"/>
          </w:tcPr>
          <w:p w:rsidR="00134652" w:rsidRPr="00613F5F" w:rsidRDefault="00134652" w:rsidP="00613F5F">
            <w:pPr>
              <w:rPr>
                <w:rFonts w:ascii="Calibri" w:hAnsi="Calibri" w:cs="Calibri"/>
                <w:b/>
                <w:lang w:eastAsia="en-AU"/>
              </w:rPr>
            </w:pPr>
            <w:r w:rsidRPr="00613F5F">
              <w:rPr>
                <w:rFonts w:ascii="Calibri" w:hAnsi="Calibri" w:cs="Calibri"/>
                <w:b/>
                <w:lang w:eastAsia="en-AU"/>
              </w:rPr>
              <w:t>TOTAL</w:t>
            </w:r>
          </w:p>
        </w:tc>
        <w:tc>
          <w:tcPr>
            <w:tcW w:w="1414" w:type="dxa"/>
            <w:shd w:val="clear" w:color="auto" w:fill="DAEEF3" w:themeFill="accent5" w:themeFillTint="33"/>
            <w:vAlign w:val="center"/>
          </w:tcPr>
          <w:p w:rsidR="00134652" w:rsidRPr="00613F5F" w:rsidRDefault="00134652" w:rsidP="00613F5F">
            <w:pPr>
              <w:jc w:val="center"/>
              <w:rPr>
                <w:rFonts w:ascii="Calibri" w:hAnsi="Calibri" w:cs="Calibri"/>
                <w:b/>
                <w:lang w:eastAsia="en-AU"/>
              </w:rPr>
            </w:pPr>
            <w:r w:rsidRPr="00613F5F">
              <w:rPr>
                <w:rFonts w:ascii="Calibri" w:hAnsi="Calibri" w:cs="Calibri"/>
                <w:b/>
                <w:lang w:eastAsia="en-AU"/>
              </w:rPr>
              <w:t>205</w:t>
            </w:r>
          </w:p>
        </w:tc>
        <w:tc>
          <w:tcPr>
            <w:tcW w:w="1250" w:type="dxa"/>
            <w:shd w:val="clear" w:color="auto" w:fill="DAEEF3" w:themeFill="accent5" w:themeFillTint="33"/>
            <w:vAlign w:val="center"/>
          </w:tcPr>
          <w:p w:rsidR="00134652" w:rsidRPr="00613F5F" w:rsidRDefault="00134652" w:rsidP="00613F5F">
            <w:pPr>
              <w:jc w:val="center"/>
              <w:rPr>
                <w:rFonts w:ascii="Calibri" w:hAnsi="Calibri" w:cs="Calibri"/>
                <w:b/>
                <w:lang w:eastAsia="en-AU"/>
              </w:rPr>
            </w:pPr>
            <w:r w:rsidRPr="00613F5F">
              <w:rPr>
                <w:rFonts w:ascii="Calibri" w:hAnsi="Calibri" w:cs="Calibri"/>
                <w:b/>
                <w:lang w:eastAsia="en-AU"/>
              </w:rPr>
              <w:t>100%</w:t>
            </w:r>
          </w:p>
        </w:tc>
        <w:tc>
          <w:tcPr>
            <w:tcW w:w="1241" w:type="dxa"/>
            <w:shd w:val="clear" w:color="auto" w:fill="DAEEF3" w:themeFill="accent5" w:themeFillTint="33"/>
            <w:vAlign w:val="center"/>
          </w:tcPr>
          <w:p w:rsidR="00134652" w:rsidRPr="00613F5F" w:rsidRDefault="00134652" w:rsidP="00613F5F">
            <w:pPr>
              <w:jc w:val="center"/>
              <w:rPr>
                <w:rFonts w:ascii="Calibri" w:hAnsi="Calibri" w:cs="Calibri"/>
                <w:b/>
                <w:lang w:eastAsia="en-AU"/>
              </w:rPr>
            </w:pPr>
            <w:r w:rsidRPr="00613F5F">
              <w:rPr>
                <w:rFonts w:ascii="Calibri" w:hAnsi="Calibri" w:cs="Calibri"/>
                <w:b/>
                <w:lang w:eastAsia="en-AU"/>
              </w:rPr>
              <w:t>920</w:t>
            </w:r>
          </w:p>
        </w:tc>
        <w:tc>
          <w:tcPr>
            <w:tcW w:w="1250" w:type="dxa"/>
            <w:shd w:val="clear" w:color="auto" w:fill="DAEEF3" w:themeFill="accent5" w:themeFillTint="33"/>
            <w:vAlign w:val="center"/>
          </w:tcPr>
          <w:p w:rsidR="00134652" w:rsidRPr="00613F5F" w:rsidRDefault="00134652" w:rsidP="00613F5F">
            <w:pPr>
              <w:jc w:val="center"/>
              <w:rPr>
                <w:rFonts w:ascii="Calibri" w:hAnsi="Calibri" w:cs="Calibri"/>
                <w:b/>
                <w:lang w:eastAsia="en-AU"/>
              </w:rPr>
            </w:pPr>
            <w:r w:rsidRPr="00613F5F">
              <w:rPr>
                <w:rFonts w:ascii="Calibri" w:hAnsi="Calibri" w:cs="Calibri"/>
                <w:b/>
                <w:lang w:eastAsia="en-AU"/>
              </w:rPr>
              <w:t>100%</w:t>
            </w:r>
          </w:p>
        </w:tc>
        <w:tc>
          <w:tcPr>
            <w:tcW w:w="2432" w:type="dxa"/>
            <w:shd w:val="clear" w:color="auto" w:fill="DAEEF3" w:themeFill="accent5" w:themeFillTint="33"/>
            <w:vAlign w:val="center"/>
          </w:tcPr>
          <w:p w:rsidR="00134652" w:rsidRPr="00613F5F" w:rsidRDefault="00134652" w:rsidP="00613F5F">
            <w:pPr>
              <w:jc w:val="center"/>
              <w:rPr>
                <w:rFonts w:ascii="Calibri" w:hAnsi="Calibri" w:cs="Calibri"/>
                <w:b/>
                <w:lang w:eastAsia="en-AU"/>
              </w:rPr>
            </w:pPr>
            <w:r w:rsidRPr="00613F5F">
              <w:rPr>
                <w:rFonts w:ascii="Calibri" w:hAnsi="Calibri" w:cs="Calibri"/>
                <w:b/>
                <w:lang w:eastAsia="en-AU"/>
              </w:rPr>
              <w:t>100%</w:t>
            </w:r>
          </w:p>
        </w:tc>
      </w:tr>
    </w:tbl>
    <w:p w:rsidR="00134652" w:rsidRPr="00134652" w:rsidRDefault="00134652" w:rsidP="00CE7AF6">
      <w:pPr>
        <w:pStyle w:val="Heading3"/>
        <w:rPr>
          <w:lang w:eastAsia="en-AU"/>
        </w:rPr>
      </w:pPr>
      <w:bookmarkStart w:id="62" w:name="_Toc323901531"/>
      <w:r w:rsidRPr="00134652">
        <w:rPr>
          <w:lang w:eastAsia="en-AU"/>
        </w:rPr>
        <w:t>Table C – Number of Schools in Partnerships by Sector</w:t>
      </w:r>
      <w:bookmarkEnd w:id="62"/>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table shows the breakdown of schools by education sector, represented in active and self-sustaining partnerships.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only includes schools in partnerships with status active and self-sustaining. National figures do not include Victoria. Schools involved in multiple partnerships have only been counted once.</w:t>
      </w:r>
    </w:p>
    <w:p w:rsidR="00134652" w:rsidRPr="00134652" w:rsidRDefault="00134652" w:rsidP="00134652">
      <w:pPr>
        <w:spacing w:line="240" w:lineRule="auto"/>
        <w:rPr>
          <w:rFonts w:eastAsia="Times New Roman" w:cs="Calibri"/>
          <w:lang w:eastAsia="en-AU"/>
        </w:rPr>
      </w:pPr>
    </w:p>
    <w:tbl>
      <w:tblPr>
        <w:tblStyle w:val="TableGrid2"/>
        <w:tblW w:w="9596" w:type="dxa"/>
        <w:tblLook w:val="00A0" w:firstRow="1" w:lastRow="0" w:firstColumn="1" w:lastColumn="0" w:noHBand="0" w:noVBand="0"/>
        <w:tblCaption w:val="Table C – Number of Schools in Partnerships by Sector"/>
        <w:tblDescription w:val="Number of Schools in Partnerships by Sector"/>
      </w:tblPr>
      <w:tblGrid>
        <w:gridCol w:w="2068"/>
        <w:gridCol w:w="1370"/>
        <w:gridCol w:w="1252"/>
        <w:gridCol w:w="1247"/>
        <w:gridCol w:w="1251"/>
        <w:gridCol w:w="2408"/>
      </w:tblGrid>
      <w:tr w:rsidR="009F7813" w:rsidRPr="00134652" w:rsidTr="00D35240">
        <w:trPr>
          <w:trHeight w:val="558"/>
          <w:tblHeader/>
        </w:trPr>
        <w:tc>
          <w:tcPr>
            <w:tcW w:w="2069" w:type="dxa"/>
            <w:shd w:val="clear" w:color="auto" w:fill="92CDDC" w:themeFill="accent5" w:themeFillTint="99"/>
            <w:vAlign w:val="center"/>
          </w:tcPr>
          <w:p w:rsidR="00613F5F" w:rsidRPr="009F7813" w:rsidRDefault="00613F5F" w:rsidP="009F7813">
            <w:pPr>
              <w:pStyle w:val="TableColumnHeadingCentred"/>
              <w:rPr>
                <w:rFonts w:asciiTheme="minorHAnsi" w:hAnsiTheme="minorHAnsi" w:cstheme="minorHAnsi"/>
                <w:b w:val="0"/>
              </w:rPr>
            </w:pPr>
            <w:r w:rsidRPr="009F7813">
              <w:rPr>
                <w:rFonts w:asciiTheme="minorHAnsi" w:hAnsiTheme="minorHAnsi" w:cstheme="minorHAnsi"/>
                <w:b w:val="0"/>
              </w:rPr>
              <w:t>Education Sector</w:t>
            </w:r>
          </w:p>
        </w:tc>
        <w:tc>
          <w:tcPr>
            <w:tcW w:w="1370" w:type="dxa"/>
            <w:shd w:val="clear" w:color="auto" w:fill="92CDDC" w:themeFill="accent5" w:themeFillTint="99"/>
            <w:vAlign w:val="center"/>
          </w:tcPr>
          <w:p w:rsidR="00613F5F"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Number of Schools in Partnerships (</w:t>
            </w:r>
            <w:r w:rsidR="00613F5F" w:rsidRPr="009F7813">
              <w:rPr>
                <w:rFonts w:asciiTheme="minorHAnsi" w:hAnsiTheme="minorHAnsi" w:cstheme="minorHAnsi"/>
                <w:b w:val="0"/>
              </w:rPr>
              <w:t>QLD</w:t>
            </w:r>
            <w:r w:rsidRPr="009F7813">
              <w:rPr>
                <w:rFonts w:asciiTheme="minorHAnsi" w:hAnsiTheme="minorHAnsi" w:cstheme="minorHAnsi"/>
                <w:b w:val="0"/>
              </w:rPr>
              <w:t>)</w:t>
            </w:r>
          </w:p>
        </w:tc>
        <w:tc>
          <w:tcPr>
            <w:tcW w:w="1252" w:type="dxa"/>
            <w:shd w:val="clear" w:color="auto" w:fill="92CDDC" w:themeFill="accent5" w:themeFillTint="99"/>
            <w:vAlign w:val="center"/>
          </w:tcPr>
          <w:p w:rsidR="00613F5F"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Percentage of Schools in Partnerships (QLD)</w:t>
            </w:r>
          </w:p>
        </w:tc>
        <w:tc>
          <w:tcPr>
            <w:tcW w:w="1247" w:type="dxa"/>
            <w:shd w:val="clear" w:color="auto" w:fill="92CDDC" w:themeFill="accent5" w:themeFillTint="99"/>
            <w:vAlign w:val="center"/>
          </w:tcPr>
          <w:p w:rsidR="00613F5F"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 xml:space="preserve">Number of </w:t>
            </w:r>
            <w:r w:rsidR="00613F5F" w:rsidRPr="009F7813">
              <w:rPr>
                <w:rFonts w:asciiTheme="minorHAnsi" w:hAnsiTheme="minorHAnsi" w:cstheme="minorHAnsi"/>
                <w:b w:val="0"/>
              </w:rPr>
              <w:t>School</w:t>
            </w:r>
            <w:r w:rsidRPr="009F7813">
              <w:rPr>
                <w:rFonts w:asciiTheme="minorHAnsi" w:hAnsiTheme="minorHAnsi" w:cstheme="minorHAnsi"/>
                <w:b w:val="0"/>
              </w:rPr>
              <w:t xml:space="preserve">s in Partnerships </w:t>
            </w:r>
            <w:r w:rsidR="00613F5F" w:rsidRPr="009F7813">
              <w:rPr>
                <w:rFonts w:asciiTheme="minorHAnsi" w:hAnsiTheme="minorHAnsi" w:cstheme="minorHAnsi"/>
                <w:b w:val="0"/>
              </w:rPr>
              <w:t>Nationally</w:t>
            </w:r>
          </w:p>
        </w:tc>
        <w:tc>
          <w:tcPr>
            <w:tcW w:w="1248" w:type="dxa"/>
            <w:shd w:val="clear" w:color="auto" w:fill="92CDDC" w:themeFill="accent5" w:themeFillTint="99"/>
            <w:vAlign w:val="center"/>
          </w:tcPr>
          <w:p w:rsidR="00613F5F"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Percentage of Schools in Partnerships Nationally</w:t>
            </w:r>
          </w:p>
        </w:tc>
        <w:tc>
          <w:tcPr>
            <w:tcW w:w="2410" w:type="dxa"/>
            <w:shd w:val="clear" w:color="auto" w:fill="92CDDC" w:themeFill="accent5" w:themeFillTint="99"/>
            <w:vAlign w:val="center"/>
          </w:tcPr>
          <w:p w:rsidR="00613F5F"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Number</w:t>
            </w:r>
            <w:r w:rsidR="00613F5F" w:rsidRPr="009F7813">
              <w:rPr>
                <w:rFonts w:asciiTheme="minorHAnsi" w:hAnsiTheme="minorHAnsi" w:cstheme="minorHAnsi"/>
                <w:b w:val="0"/>
              </w:rPr>
              <w:t xml:space="preserve"> of schools in QLD</w:t>
            </w:r>
          </w:p>
        </w:tc>
      </w:tr>
      <w:tr w:rsidR="009F7813" w:rsidRPr="00134652" w:rsidTr="009F7813">
        <w:trPr>
          <w:trHeight w:val="368"/>
        </w:trPr>
        <w:tc>
          <w:tcPr>
            <w:tcW w:w="2069" w:type="dxa"/>
            <w:shd w:val="clear" w:color="auto" w:fill="auto"/>
            <w:vAlign w:val="center"/>
          </w:tcPr>
          <w:p w:rsidR="00134652" w:rsidRPr="00613F5F" w:rsidRDefault="00134652" w:rsidP="00134652">
            <w:pPr>
              <w:spacing w:line="240" w:lineRule="auto"/>
              <w:rPr>
                <w:rFonts w:ascii="Calibri" w:hAnsi="Calibri" w:cs="Calibri"/>
                <w:lang w:eastAsia="en-AU"/>
              </w:rPr>
            </w:pPr>
            <w:r w:rsidRPr="00613F5F">
              <w:rPr>
                <w:rFonts w:ascii="Calibri" w:hAnsi="Calibri" w:cs="Calibri"/>
                <w:lang w:eastAsia="en-AU"/>
              </w:rPr>
              <w:t>Government</w:t>
            </w:r>
          </w:p>
        </w:tc>
        <w:tc>
          <w:tcPr>
            <w:tcW w:w="1370"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148</w:t>
            </w:r>
          </w:p>
        </w:tc>
        <w:tc>
          <w:tcPr>
            <w:tcW w:w="1252"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72%</w:t>
            </w:r>
          </w:p>
        </w:tc>
        <w:tc>
          <w:tcPr>
            <w:tcW w:w="1244"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714</w:t>
            </w:r>
          </w:p>
        </w:tc>
        <w:tc>
          <w:tcPr>
            <w:tcW w:w="1251"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78%</w:t>
            </w:r>
          </w:p>
        </w:tc>
        <w:tc>
          <w:tcPr>
            <w:tcW w:w="2410"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72%</w:t>
            </w:r>
          </w:p>
        </w:tc>
      </w:tr>
      <w:tr w:rsidR="009F7813" w:rsidRPr="00134652" w:rsidTr="009F7813">
        <w:trPr>
          <w:trHeight w:val="368"/>
        </w:trPr>
        <w:tc>
          <w:tcPr>
            <w:tcW w:w="2069" w:type="dxa"/>
            <w:shd w:val="clear" w:color="auto" w:fill="auto"/>
            <w:vAlign w:val="center"/>
          </w:tcPr>
          <w:p w:rsidR="00134652" w:rsidRPr="00613F5F" w:rsidRDefault="00134652" w:rsidP="00134652">
            <w:pPr>
              <w:spacing w:line="240" w:lineRule="auto"/>
              <w:rPr>
                <w:rFonts w:ascii="Calibri" w:hAnsi="Calibri" w:cs="Calibri"/>
                <w:lang w:eastAsia="en-AU"/>
              </w:rPr>
            </w:pPr>
            <w:r w:rsidRPr="00613F5F">
              <w:rPr>
                <w:rFonts w:ascii="Calibri" w:hAnsi="Calibri" w:cs="Calibri"/>
                <w:lang w:eastAsia="en-AU"/>
              </w:rPr>
              <w:t>Independent</w:t>
            </w:r>
          </w:p>
        </w:tc>
        <w:tc>
          <w:tcPr>
            <w:tcW w:w="1370" w:type="dxa"/>
            <w:vAlign w:val="center"/>
          </w:tcPr>
          <w:p w:rsidR="00134652" w:rsidRPr="00613F5F" w:rsidRDefault="00134652" w:rsidP="00134652">
            <w:pPr>
              <w:spacing w:line="240" w:lineRule="auto"/>
              <w:jc w:val="center"/>
              <w:rPr>
                <w:rFonts w:ascii="Calibri" w:hAnsi="Calibri" w:cs="Calibri"/>
              </w:rPr>
            </w:pPr>
            <w:r w:rsidRPr="00613F5F">
              <w:rPr>
                <w:rFonts w:ascii="Calibri" w:hAnsi="Calibri" w:cs="Calibri"/>
              </w:rPr>
              <w:t>35</w:t>
            </w:r>
          </w:p>
        </w:tc>
        <w:tc>
          <w:tcPr>
            <w:tcW w:w="1252" w:type="dxa"/>
            <w:vAlign w:val="center"/>
          </w:tcPr>
          <w:p w:rsidR="00134652" w:rsidRPr="00613F5F" w:rsidRDefault="00134652" w:rsidP="00134652">
            <w:pPr>
              <w:spacing w:line="240" w:lineRule="auto"/>
              <w:jc w:val="center"/>
              <w:rPr>
                <w:rFonts w:ascii="Calibri" w:hAnsi="Calibri" w:cs="Calibri"/>
              </w:rPr>
            </w:pPr>
            <w:r w:rsidRPr="00613F5F">
              <w:rPr>
                <w:rFonts w:ascii="Calibri" w:hAnsi="Calibri" w:cs="Calibri"/>
              </w:rPr>
              <w:t>17%</w:t>
            </w:r>
          </w:p>
        </w:tc>
        <w:tc>
          <w:tcPr>
            <w:tcW w:w="1244"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107</w:t>
            </w:r>
          </w:p>
        </w:tc>
        <w:tc>
          <w:tcPr>
            <w:tcW w:w="1251"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12%</w:t>
            </w:r>
          </w:p>
        </w:tc>
        <w:tc>
          <w:tcPr>
            <w:tcW w:w="2410"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12%</w:t>
            </w:r>
          </w:p>
        </w:tc>
      </w:tr>
      <w:tr w:rsidR="009F7813" w:rsidRPr="00134652" w:rsidTr="009F7813">
        <w:trPr>
          <w:trHeight w:val="368"/>
        </w:trPr>
        <w:tc>
          <w:tcPr>
            <w:tcW w:w="2069" w:type="dxa"/>
            <w:shd w:val="clear" w:color="auto" w:fill="auto"/>
            <w:vAlign w:val="center"/>
          </w:tcPr>
          <w:p w:rsidR="00134652" w:rsidRPr="00613F5F" w:rsidRDefault="00134652" w:rsidP="00134652">
            <w:pPr>
              <w:spacing w:line="240" w:lineRule="auto"/>
              <w:rPr>
                <w:rFonts w:ascii="Calibri" w:hAnsi="Calibri" w:cs="Calibri"/>
                <w:lang w:eastAsia="en-AU"/>
              </w:rPr>
            </w:pPr>
            <w:r w:rsidRPr="00613F5F">
              <w:rPr>
                <w:rFonts w:ascii="Calibri" w:hAnsi="Calibri" w:cs="Calibri"/>
                <w:lang w:eastAsia="en-AU"/>
              </w:rPr>
              <w:t>Catholic</w:t>
            </w:r>
          </w:p>
        </w:tc>
        <w:tc>
          <w:tcPr>
            <w:tcW w:w="1370" w:type="dxa"/>
            <w:vAlign w:val="center"/>
          </w:tcPr>
          <w:p w:rsidR="00134652" w:rsidRPr="00613F5F" w:rsidRDefault="00134652" w:rsidP="00134652">
            <w:pPr>
              <w:spacing w:line="240" w:lineRule="auto"/>
              <w:jc w:val="center"/>
              <w:rPr>
                <w:rFonts w:ascii="Calibri" w:hAnsi="Calibri" w:cs="Calibri"/>
              </w:rPr>
            </w:pPr>
            <w:r w:rsidRPr="00613F5F">
              <w:rPr>
                <w:rFonts w:ascii="Calibri" w:hAnsi="Calibri" w:cs="Calibri"/>
              </w:rPr>
              <w:t>22</w:t>
            </w:r>
          </w:p>
        </w:tc>
        <w:tc>
          <w:tcPr>
            <w:tcW w:w="1252" w:type="dxa"/>
            <w:vAlign w:val="center"/>
          </w:tcPr>
          <w:p w:rsidR="00134652" w:rsidRPr="00613F5F" w:rsidRDefault="00134652" w:rsidP="00134652">
            <w:pPr>
              <w:spacing w:line="240" w:lineRule="auto"/>
              <w:jc w:val="center"/>
              <w:rPr>
                <w:rFonts w:ascii="Calibri" w:hAnsi="Calibri" w:cs="Calibri"/>
              </w:rPr>
            </w:pPr>
            <w:r w:rsidRPr="00613F5F">
              <w:rPr>
                <w:rFonts w:ascii="Calibri" w:hAnsi="Calibri" w:cs="Calibri"/>
              </w:rPr>
              <w:t>11%</w:t>
            </w:r>
          </w:p>
        </w:tc>
        <w:tc>
          <w:tcPr>
            <w:tcW w:w="1244"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99</w:t>
            </w:r>
          </w:p>
        </w:tc>
        <w:tc>
          <w:tcPr>
            <w:tcW w:w="1251" w:type="dxa"/>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11%</w:t>
            </w:r>
          </w:p>
        </w:tc>
        <w:tc>
          <w:tcPr>
            <w:tcW w:w="2410"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lang w:eastAsia="en-AU"/>
              </w:rPr>
            </w:pPr>
            <w:r w:rsidRPr="00613F5F">
              <w:rPr>
                <w:rFonts w:ascii="Calibri" w:hAnsi="Calibri" w:cs="Calibri"/>
                <w:lang w:eastAsia="en-AU"/>
              </w:rPr>
              <w:t>17%</w:t>
            </w:r>
          </w:p>
        </w:tc>
      </w:tr>
      <w:tr w:rsidR="009F7813" w:rsidRPr="00134652" w:rsidTr="009F7813">
        <w:trPr>
          <w:trHeight w:val="368"/>
        </w:trPr>
        <w:tc>
          <w:tcPr>
            <w:tcW w:w="2069" w:type="dxa"/>
            <w:shd w:val="clear" w:color="auto" w:fill="DAEEF3" w:themeFill="accent5" w:themeFillTint="33"/>
            <w:vAlign w:val="center"/>
          </w:tcPr>
          <w:p w:rsidR="00134652" w:rsidRPr="00613F5F" w:rsidRDefault="00134652" w:rsidP="00134652">
            <w:pPr>
              <w:spacing w:line="240" w:lineRule="auto"/>
              <w:rPr>
                <w:rFonts w:ascii="Calibri" w:hAnsi="Calibri" w:cs="Calibri"/>
                <w:b/>
                <w:lang w:eastAsia="en-AU"/>
              </w:rPr>
            </w:pPr>
            <w:r w:rsidRPr="00613F5F">
              <w:rPr>
                <w:rFonts w:ascii="Calibri" w:hAnsi="Calibri" w:cs="Calibri"/>
                <w:b/>
                <w:lang w:eastAsia="en-AU"/>
              </w:rPr>
              <w:t>TOTAL</w:t>
            </w:r>
          </w:p>
        </w:tc>
        <w:tc>
          <w:tcPr>
            <w:tcW w:w="1370"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b/>
                <w:lang w:eastAsia="en-AU"/>
              </w:rPr>
            </w:pPr>
            <w:r w:rsidRPr="00613F5F">
              <w:rPr>
                <w:rFonts w:ascii="Calibri" w:hAnsi="Calibri" w:cs="Calibri"/>
                <w:b/>
                <w:lang w:eastAsia="en-AU"/>
              </w:rPr>
              <w:t>205</w:t>
            </w:r>
          </w:p>
        </w:tc>
        <w:tc>
          <w:tcPr>
            <w:tcW w:w="1252"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b/>
                <w:lang w:eastAsia="en-AU"/>
              </w:rPr>
            </w:pPr>
            <w:r w:rsidRPr="00613F5F">
              <w:rPr>
                <w:rFonts w:ascii="Calibri" w:hAnsi="Calibri" w:cs="Calibri"/>
                <w:b/>
                <w:lang w:eastAsia="en-AU"/>
              </w:rPr>
              <w:t>100%</w:t>
            </w:r>
          </w:p>
        </w:tc>
        <w:tc>
          <w:tcPr>
            <w:tcW w:w="1244"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b/>
                <w:lang w:eastAsia="en-AU"/>
              </w:rPr>
            </w:pPr>
            <w:r w:rsidRPr="00613F5F">
              <w:rPr>
                <w:rFonts w:ascii="Calibri" w:hAnsi="Calibri" w:cs="Calibri"/>
                <w:b/>
                <w:lang w:eastAsia="en-AU"/>
              </w:rPr>
              <w:t>920</w:t>
            </w:r>
          </w:p>
        </w:tc>
        <w:tc>
          <w:tcPr>
            <w:tcW w:w="1251" w:type="dxa"/>
            <w:shd w:val="clear" w:color="auto" w:fill="DAEEF3" w:themeFill="accent5" w:themeFillTint="33"/>
            <w:vAlign w:val="center"/>
          </w:tcPr>
          <w:p w:rsidR="00134652" w:rsidRPr="00613F5F" w:rsidRDefault="00134652" w:rsidP="00134652">
            <w:pPr>
              <w:spacing w:line="240" w:lineRule="auto"/>
              <w:jc w:val="center"/>
              <w:rPr>
                <w:rFonts w:ascii="Calibri" w:hAnsi="Calibri" w:cs="Calibri"/>
                <w:b/>
                <w:lang w:eastAsia="en-AU"/>
              </w:rPr>
            </w:pPr>
            <w:r w:rsidRPr="00613F5F">
              <w:rPr>
                <w:rFonts w:ascii="Calibri" w:hAnsi="Calibri" w:cs="Calibri"/>
                <w:b/>
                <w:lang w:eastAsia="en-AU"/>
              </w:rPr>
              <w:t>100%</w:t>
            </w:r>
          </w:p>
        </w:tc>
        <w:tc>
          <w:tcPr>
            <w:tcW w:w="2410" w:type="dxa"/>
            <w:shd w:val="clear" w:color="auto" w:fill="DAEEF3" w:themeFill="accent5" w:themeFillTint="33"/>
            <w:vAlign w:val="center"/>
          </w:tcPr>
          <w:p w:rsidR="00134652" w:rsidRPr="00613F5F" w:rsidRDefault="00134652" w:rsidP="00134652">
            <w:pPr>
              <w:tabs>
                <w:tab w:val="left" w:pos="570"/>
                <w:tab w:val="center" w:pos="879"/>
              </w:tabs>
              <w:spacing w:line="240" w:lineRule="auto"/>
              <w:jc w:val="center"/>
              <w:rPr>
                <w:rFonts w:ascii="Calibri" w:hAnsi="Calibri" w:cs="Calibri"/>
                <w:b/>
                <w:highlight w:val="yellow"/>
                <w:lang w:eastAsia="en-AU"/>
              </w:rPr>
            </w:pPr>
            <w:r w:rsidRPr="00613F5F">
              <w:rPr>
                <w:rFonts w:ascii="Calibri" w:hAnsi="Calibri" w:cs="Calibri"/>
                <w:b/>
                <w:lang w:eastAsia="en-AU"/>
              </w:rPr>
              <w:t>100%</w:t>
            </w:r>
          </w:p>
        </w:tc>
      </w:tr>
    </w:tbl>
    <w:p w:rsidR="00134652" w:rsidRPr="00134652" w:rsidRDefault="00134652" w:rsidP="00134652">
      <w:pPr>
        <w:spacing w:line="240" w:lineRule="auto"/>
        <w:rPr>
          <w:rFonts w:eastAsia="Times New Roman" w:cs="Calibri"/>
          <w:lang w:eastAsia="en-AU"/>
        </w:rPr>
        <w:sectPr w:rsidR="00134652" w:rsidRPr="00134652" w:rsidSect="00BF7F25">
          <w:pgSz w:w="11906" w:h="16838"/>
          <w:pgMar w:top="822" w:right="849" w:bottom="851" w:left="1134" w:header="709" w:footer="0" w:gutter="0"/>
          <w:cols w:space="708"/>
          <w:docGrid w:linePitch="360"/>
        </w:sectPr>
      </w:pPr>
    </w:p>
    <w:p w:rsidR="00134652" w:rsidRPr="00134652" w:rsidRDefault="00134652" w:rsidP="00CE7AF6">
      <w:pPr>
        <w:pStyle w:val="Heading3"/>
        <w:rPr>
          <w:rFonts w:cs="Calibri"/>
          <w:lang w:eastAsia="en-AU"/>
        </w:rPr>
      </w:pPr>
      <w:bookmarkStart w:id="63" w:name="_Toc323899466"/>
      <w:bookmarkStart w:id="64" w:name="_Toc323901532"/>
      <w:r w:rsidRPr="00134652">
        <w:rPr>
          <w:lang w:eastAsia="en-AU"/>
        </w:rPr>
        <w:lastRenderedPageBreak/>
        <w:t xml:space="preserve">Graph A – Number of Schools in Partnerships by </w:t>
      </w:r>
      <w:proofErr w:type="spellStart"/>
      <w:r w:rsidRPr="00134652">
        <w:rPr>
          <w:lang w:eastAsia="en-AU"/>
        </w:rPr>
        <w:t>ICSEA</w:t>
      </w:r>
      <w:bookmarkEnd w:id="63"/>
      <w:bookmarkEnd w:id="64"/>
      <w:proofErr w:type="spellEnd"/>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graph shows the distribution of schools in partnerships by their Index of Community Socio-Educational Advantage (</w:t>
      </w:r>
      <w:proofErr w:type="spellStart"/>
      <w:r w:rsidRPr="00134652">
        <w:rPr>
          <w:rFonts w:eastAsia="Times New Roman" w:cs="Calibri"/>
          <w:lang w:eastAsia="en-AU"/>
        </w:rPr>
        <w:t>ICSEA</w:t>
      </w:r>
      <w:proofErr w:type="spellEnd"/>
      <w:r w:rsidRPr="00134652">
        <w:rPr>
          <w:rFonts w:eastAsia="Times New Roman" w:cs="Calibri"/>
          <w:lang w:eastAsia="en-AU"/>
        </w:rPr>
        <w:t xml:space="preserve">) value. </w:t>
      </w:r>
      <w:proofErr w:type="spellStart"/>
      <w:r w:rsidRPr="00134652">
        <w:rPr>
          <w:rFonts w:eastAsia="Times New Roman" w:cs="Calibri"/>
          <w:lang w:eastAsia="en-AU"/>
        </w:rPr>
        <w:t>ICSEA</w:t>
      </w:r>
      <w:proofErr w:type="spellEnd"/>
      <w:r w:rsidRPr="00134652">
        <w:rPr>
          <w:rFonts w:eastAsia="Times New Roman" w:cs="Calibri"/>
          <w:lang w:eastAsia="en-AU"/>
        </w:rPr>
        <w:t xml:space="preserve"> is used to gain an understanding of the levels of educational advantage or disadvantage that students bring to their academic studies. The variables that make up an </w:t>
      </w:r>
      <w:proofErr w:type="spellStart"/>
      <w:r w:rsidRPr="00134652">
        <w:rPr>
          <w:rFonts w:eastAsia="Times New Roman" w:cs="Calibri"/>
          <w:lang w:eastAsia="en-AU"/>
        </w:rPr>
        <w:t>ICSEA</w:t>
      </w:r>
      <w:proofErr w:type="spellEnd"/>
      <w:r w:rsidRPr="00134652">
        <w:rPr>
          <w:rFonts w:eastAsia="Times New Roman" w:cs="Calibri"/>
          <w:lang w:eastAsia="en-AU"/>
        </w:rPr>
        <w:t xml:space="preserve"> value are family background information (including parental occupation, and the school and non-school education levels they achieved) and school characteristics (including whether a school is in a metropolitan, regional or remote area; the proportion of Indigenous students;  and the proportion of students with language backgrounds other than English).</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only includes schools in partnerships with status active and self-sustaining. Schools involved in multiple partnerships have only been counted once. </w:t>
      </w:r>
    </w:p>
    <w:p w:rsidR="00134652" w:rsidRPr="00134652" w:rsidRDefault="00134652" w:rsidP="00134652">
      <w:pPr>
        <w:spacing w:line="240" w:lineRule="auto"/>
        <w:rPr>
          <w:rFonts w:eastAsia="Times New Roman" w:cs="Calibri"/>
          <w:lang w:eastAsia="en-AU"/>
        </w:rPr>
      </w:pPr>
    </w:p>
    <w:p w:rsidR="00134652" w:rsidRPr="00134652" w:rsidRDefault="00134652" w:rsidP="00CE7AF6">
      <w:pPr>
        <w:pStyle w:val="Heading3"/>
        <w:rPr>
          <w:rFonts w:cs="Calibri"/>
          <w:lang w:eastAsia="en-AU"/>
        </w:rPr>
      </w:pPr>
      <w:bookmarkStart w:id="65" w:name="_GoBack"/>
      <w:r w:rsidRPr="00134652">
        <w:rPr>
          <w:rFonts w:cs="Calibri"/>
          <w:noProof/>
          <w:szCs w:val="4"/>
          <w:lang w:val="en-AU" w:eastAsia="en-AU"/>
        </w:rPr>
        <w:drawing>
          <wp:anchor distT="0" distB="0" distL="114300" distR="114300" simplePos="0" relativeHeight="251669504" behindDoc="0" locked="0" layoutInCell="1" allowOverlap="1" wp14:anchorId="11F7DDB3" wp14:editId="6D00C5D6">
            <wp:simplePos x="0" y="0"/>
            <wp:positionH relativeFrom="column">
              <wp:posOffset>556260</wp:posOffset>
            </wp:positionH>
            <wp:positionV relativeFrom="paragraph">
              <wp:posOffset>89535</wp:posOffset>
            </wp:positionV>
            <wp:extent cx="5248275" cy="2590800"/>
            <wp:effectExtent l="0" t="0" r="9525" b="19050"/>
            <wp:wrapTopAndBottom/>
            <wp:docPr id="29" name="Chart 1" descr="Graph A - Distribution QLD Schools by ICSEA Value&#10;This is a bar graph as described above. This graph shows the distribution of QLD schools in partnerships by their Index of Community Socio-Educational Advantage (ICSEA) value. The graph shows the  percentage of schools in partnership compared to the total number of Schools. &#10;Quarter 1 (Disadvantaged) 36% in in partnership 34% total schools&#10;Quarter 2 30% in partnership 30% total schools&#10;Quarter 3 22% in partnership 18% total schools&#10;Quarter 4 (Advantaged) 12% in partnership 18% total schools&#10;" title="Graph A - Distribution QLD Schools by ICSEA Value"/>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anchor>
        </w:drawing>
      </w:r>
      <w:bookmarkStart w:id="66" w:name="_Toc323901533"/>
      <w:bookmarkEnd w:id="65"/>
      <w:r w:rsidRPr="00134652">
        <w:rPr>
          <w:lang w:eastAsia="en-AU"/>
        </w:rPr>
        <w:t>Table D – Number of Schools in Partnerships by ARIA Code</w:t>
      </w:r>
      <w:bookmarkEnd w:id="66"/>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table shows the number of schools by ARIA Code, represented in active and self-sustaining partnerships.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includes schools in partnerships with status active and self-sustaining. National figures do not include Victoria. Schools involved in multiple partnerships have only been counted once. Regions are defined by the Accessibility/Remoteness Index of Australia (ARIA) code developed by the Commonwealth Department of Health and Aged Care (</w:t>
      </w:r>
      <w:proofErr w:type="spellStart"/>
      <w:r w:rsidRPr="00134652">
        <w:rPr>
          <w:rFonts w:eastAsia="Times New Roman" w:cs="Calibri"/>
          <w:lang w:eastAsia="en-AU"/>
        </w:rPr>
        <w:t>DHAC</w:t>
      </w:r>
      <w:proofErr w:type="spellEnd"/>
      <w:r w:rsidRPr="00134652">
        <w:rPr>
          <w:rFonts w:eastAsia="Times New Roman" w:cs="Calibri"/>
          <w:lang w:eastAsia="en-AU"/>
        </w:rPr>
        <w:t>) and the National Key Centre for Social Applications of GIS (</w:t>
      </w:r>
      <w:proofErr w:type="spellStart"/>
      <w:r w:rsidRPr="00134652">
        <w:rPr>
          <w:rFonts w:eastAsia="Times New Roman" w:cs="Calibri"/>
          <w:lang w:eastAsia="en-AU"/>
        </w:rPr>
        <w:t>GISCA</w:t>
      </w:r>
      <w:proofErr w:type="spellEnd"/>
      <w:r w:rsidRPr="00134652">
        <w:rPr>
          <w:rFonts w:eastAsia="Times New Roman" w:cs="Calibri"/>
          <w:lang w:eastAsia="en-AU"/>
        </w:rPr>
        <w:t>).</w:t>
      </w:r>
    </w:p>
    <w:p w:rsidR="00134652" w:rsidRPr="00134652" w:rsidRDefault="00134652" w:rsidP="00134652">
      <w:pPr>
        <w:spacing w:line="240" w:lineRule="auto"/>
        <w:rPr>
          <w:rFonts w:eastAsia="Times New Roman" w:cs="Calibri"/>
          <w:lang w:eastAsia="en-AU"/>
        </w:rPr>
      </w:pPr>
    </w:p>
    <w:tbl>
      <w:tblPr>
        <w:tblStyle w:val="TableGrid2"/>
        <w:tblW w:w="9997" w:type="dxa"/>
        <w:tblLayout w:type="fixed"/>
        <w:tblLook w:val="00A0" w:firstRow="1" w:lastRow="0" w:firstColumn="1" w:lastColumn="0" w:noHBand="0" w:noVBand="0"/>
        <w:tblCaption w:val="Table D – Number of Schools in Partnerships by ARIA Code"/>
        <w:tblDescription w:val="Number of Schools in Partnerships by ARIA Code"/>
      </w:tblPr>
      <w:tblGrid>
        <w:gridCol w:w="2390"/>
        <w:gridCol w:w="1405"/>
        <w:gridCol w:w="1418"/>
        <w:gridCol w:w="1417"/>
        <w:gridCol w:w="1418"/>
        <w:gridCol w:w="1949"/>
      </w:tblGrid>
      <w:tr w:rsidR="009F7813" w:rsidRPr="00134652" w:rsidTr="00D35240">
        <w:trPr>
          <w:trHeight w:val="338"/>
          <w:tblHeader/>
        </w:trPr>
        <w:tc>
          <w:tcPr>
            <w:tcW w:w="2390"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bookmarkStart w:id="67" w:name="_Toc323901534"/>
            <w:r w:rsidRPr="009F7813">
              <w:rPr>
                <w:rFonts w:asciiTheme="minorHAnsi" w:hAnsiTheme="minorHAnsi" w:cstheme="minorHAnsi"/>
                <w:b w:val="0"/>
              </w:rPr>
              <w:t>Regions</w:t>
            </w:r>
            <w:bookmarkEnd w:id="67"/>
          </w:p>
        </w:tc>
        <w:tc>
          <w:tcPr>
            <w:tcW w:w="1405"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Number of Schools in partnerships (QLD)</w:t>
            </w:r>
          </w:p>
        </w:tc>
        <w:tc>
          <w:tcPr>
            <w:tcW w:w="1418"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Percentage of Schools in Partnerships (QLD)</w:t>
            </w:r>
          </w:p>
        </w:tc>
        <w:tc>
          <w:tcPr>
            <w:tcW w:w="1417"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Number of Schools in partnerships Nationally</w:t>
            </w:r>
          </w:p>
        </w:tc>
        <w:tc>
          <w:tcPr>
            <w:tcW w:w="1418"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Percentage of Schools in Partnerships Nationally</w:t>
            </w:r>
          </w:p>
        </w:tc>
        <w:tc>
          <w:tcPr>
            <w:tcW w:w="1949" w:type="dxa"/>
            <w:shd w:val="clear" w:color="auto" w:fill="92CDDC" w:themeFill="accent5" w:themeFillTint="99"/>
            <w:vAlign w:val="center"/>
          </w:tcPr>
          <w:p w:rsidR="009F7813" w:rsidRPr="009F7813" w:rsidRDefault="009F7813" w:rsidP="009F7813">
            <w:pPr>
              <w:pStyle w:val="TableColumnHeadingCentred"/>
              <w:rPr>
                <w:rFonts w:asciiTheme="minorHAnsi" w:hAnsiTheme="minorHAnsi" w:cstheme="minorHAnsi"/>
                <w:b w:val="0"/>
              </w:rPr>
            </w:pPr>
            <w:r w:rsidRPr="009F7813">
              <w:rPr>
                <w:rFonts w:asciiTheme="minorHAnsi" w:hAnsiTheme="minorHAnsi" w:cstheme="minorHAnsi"/>
                <w:b w:val="0"/>
              </w:rPr>
              <w:t>Number of schools in QLD</w:t>
            </w:r>
          </w:p>
        </w:tc>
      </w:tr>
      <w:tr w:rsidR="00134652" w:rsidRPr="00134652" w:rsidTr="009F7813">
        <w:trPr>
          <w:trHeight w:val="338"/>
        </w:trPr>
        <w:tc>
          <w:tcPr>
            <w:tcW w:w="2390" w:type="dxa"/>
            <w:shd w:val="clear" w:color="auto" w:fill="auto"/>
            <w:vAlign w:val="center"/>
          </w:tcPr>
          <w:p w:rsidR="00134652" w:rsidRPr="009F7813" w:rsidRDefault="00134652" w:rsidP="00134652">
            <w:pPr>
              <w:spacing w:line="240" w:lineRule="auto"/>
              <w:rPr>
                <w:rFonts w:ascii="Calibri" w:hAnsi="Calibri" w:cs="Calibri"/>
              </w:rPr>
            </w:pPr>
            <w:r w:rsidRPr="009F7813">
              <w:rPr>
                <w:rFonts w:ascii="Calibri" w:hAnsi="Calibri" w:cs="Calibri"/>
              </w:rPr>
              <w:t>Major Cities of Australia</w:t>
            </w:r>
          </w:p>
        </w:tc>
        <w:tc>
          <w:tcPr>
            <w:tcW w:w="1405"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114</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56%</w:t>
            </w:r>
          </w:p>
        </w:tc>
        <w:tc>
          <w:tcPr>
            <w:tcW w:w="1417" w:type="dxa"/>
            <w:vAlign w:val="center"/>
          </w:tcPr>
          <w:p w:rsidR="00134652" w:rsidRPr="009F7813" w:rsidRDefault="00134652" w:rsidP="00134652">
            <w:pPr>
              <w:spacing w:line="240" w:lineRule="auto"/>
              <w:jc w:val="center"/>
              <w:rPr>
                <w:rFonts w:ascii="Calibri" w:hAnsi="Calibri" w:cs="Calibri"/>
                <w:sz w:val="24"/>
                <w:szCs w:val="20"/>
              </w:rPr>
            </w:pPr>
            <w:r w:rsidRPr="009F7813">
              <w:rPr>
                <w:rFonts w:ascii="Calibri" w:hAnsi="Calibri" w:cs="Calibri"/>
                <w:lang w:eastAsia="en-AU"/>
              </w:rPr>
              <w:t>463</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50%</w:t>
            </w:r>
          </w:p>
        </w:tc>
        <w:tc>
          <w:tcPr>
            <w:tcW w:w="1949"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39%</w:t>
            </w:r>
          </w:p>
        </w:tc>
      </w:tr>
      <w:tr w:rsidR="00134652" w:rsidRPr="00134652" w:rsidTr="009F7813">
        <w:trPr>
          <w:trHeight w:val="338"/>
        </w:trPr>
        <w:tc>
          <w:tcPr>
            <w:tcW w:w="2390" w:type="dxa"/>
            <w:shd w:val="clear" w:color="auto" w:fill="auto"/>
            <w:vAlign w:val="center"/>
          </w:tcPr>
          <w:p w:rsidR="00134652" w:rsidRPr="009F7813" w:rsidRDefault="00134652" w:rsidP="00134652">
            <w:pPr>
              <w:spacing w:line="240" w:lineRule="auto"/>
              <w:rPr>
                <w:rFonts w:ascii="Calibri" w:hAnsi="Calibri" w:cs="Calibri"/>
              </w:rPr>
            </w:pPr>
            <w:r w:rsidRPr="009F7813">
              <w:rPr>
                <w:rFonts w:ascii="Calibri" w:hAnsi="Calibri" w:cs="Calibri"/>
              </w:rPr>
              <w:t>Inner Regional Australia</w:t>
            </w:r>
          </w:p>
        </w:tc>
        <w:tc>
          <w:tcPr>
            <w:tcW w:w="1405"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47</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23%</w:t>
            </w:r>
          </w:p>
        </w:tc>
        <w:tc>
          <w:tcPr>
            <w:tcW w:w="1417" w:type="dxa"/>
            <w:vAlign w:val="center"/>
          </w:tcPr>
          <w:p w:rsidR="00134652" w:rsidRPr="009F7813" w:rsidRDefault="00134652" w:rsidP="00134652">
            <w:pPr>
              <w:spacing w:line="240" w:lineRule="auto"/>
              <w:jc w:val="center"/>
              <w:rPr>
                <w:rFonts w:ascii="Calibri" w:hAnsi="Calibri" w:cs="Calibri"/>
                <w:sz w:val="24"/>
                <w:szCs w:val="20"/>
              </w:rPr>
            </w:pPr>
            <w:r w:rsidRPr="009F7813">
              <w:rPr>
                <w:rFonts w:ascii="Calibri" w:hAnsi="Calibri" w:cs="Calibri"/>
                <w:lang w:eastAsia="en-AU"/>
              </w:rPr>
              <w:t>228</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25%</w:t>
            </w:r>
          </w:p>
        </w:tc>
        <w:tc>
          <w:tcPr>
            <w:tcW w:w="1949"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27%</w:t>
            </w:r>
          </w:p>
        </w:tc>
      </w:tr>
      <w:tr w:rsidR="00134652" w:rsidRPr="00134652" w:rsidTr="009F7813">
        <w:trPr>
          <w:trHeight w:val="321"/>
        </w:trPr>
        <w:tc>
          <w:tcPr>
            <w:tcW w:w="2390" w:type="dxa"/>
            <w:shd w:val="clear" w:color="auto" w:fill="auto"/>
            <w:vAlign w:val="center"/>
          </w:tcPr>
          <w:p w:rsidR="00134652" w:rsidRPr="009F7813" w:rsidRDefault="00134652" w:rsidP="00134652">
            <w:pPr>
              <w:spacing w:line="240" w:lineRule="auto"/>
              <w:rPr>
                <w:rFonts w:ascii="Calibri" w:hAnsi="Calibri" w:cs="Calibri"/>
              </w:rPr>
            </w:pPr>
            <w:r w:rsidRPr="009F7813">
              <w:rPr>
                <w:rFonts w:ascii="Calibri" w:hAnsi="Calibri" w:cs="Calibri"/>
              </w:rPr>
              <w:t>Outer Regional Australia</w:t>
            </w:r>
          </w:p>
        </w:tc>
        <w:tc>
          <w:tcPr>
            <w:tcW w:w="1405"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24</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12%</w:t>
            </w:r>
          </w:p>
        </w:tc>
        <w:tc>
          <w:tcPr>
            <w:tcW w:w="1417" w:type="dxa"/>
            <w:vAlign w:val="center"/>
          </w:tcPr>
          <w:p w:rsidR="00134652" w:rsidRPr="009F7813" w:rsidRDefault="00134652" w:rsidP="00134652">
            <w:pPr>
              <w:spacing w:line="240" w:lineRule="auto"/>
              <w:jc w:val="center"/>
              <w:rPr>
                <w:rFonts w:ascii="Calibri" w:hAnsi="Calibri" w:cs="Calibri"/>
                <w:sz w:val="24"/>
                <w:szCs w:val="20"/>
              </w:rPr>
            </w:pPr>
            <w:r w:rsidRPr="009F7813">
              <w:rPr>
                <w:rFonts w:ascii="Calibri" w:hAnsi="Calibri" w:cs="Calibri"/>
                <w:lang w:eastAsia="en-AU"/>
              </w:rPr>
              <w:t>145</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16%</w:t>
            </w:r>
          </w:p>
        </w:tc>
        <w:tc>
          <w:tcPr>
            <w:tcW w:w="1949"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23%</w:t>
            </w:r>
          </w:p>
        </w:tc>
      </w:tr>
      <w:tr w:rsidR="00134652" w:rsidRPr="00134652" w:rsidTr="009F7813">
        <w:trPr>
          <w:trHeight w:val="321"/>
        </w:trPr>
        <w:tc>
          <w:tcPr>
            <w:tcW w:w="2390" w:type="dxa"/>
            <w:shd w:val="clear" w:color="auto" w:fill="auto"/>
            <w:vAlign w:val="center"/>
          </w:tcPr>
          <w:p w:rsidR="00134652" w:rsidRPr="009F7813" w:rsidRDefault="00134652" w:rsidP="00134652">
            <w:pPr>
              <w:spacing w:line="240" w:lineRule="auto"/>
              <w:rPr>
                <w:rFonts w:ascii="Calibri" w:hAnsi="Calibri" w:cs="Calibri"/>
              </w:rPr>
            </w:pPr>
            <w:r w:rsidRPr="009F7813">
              <w:rPr>
                <w:rFonts w:ascii="Calibri" w:hAnsi="Calibri" w:cs="Calibri"/>
              </w:rPr>
              <w:t>Remote Australia</w:t>
            </w:r>
          </w:p>
        </w:tc>
        <w:tc>
          <w:tcPr>
            <w:tcW w:w="1405"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10</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w:t>
            </w:r>
          </w:p>
        </w:tc>
        <w:tc>
          <w:tcPr>
            <w:tcW w:w="1417" w:type="dxa"/>
            <w:vAlign w:val="center"/>
          </w:tcPr>
          <w:p w:rsidR="00134652" w:rsidRPr="009F7813" w:rsidRDefault="00134652" w:rsidP="00134652">
            <w:pPr>
              <w:spacing w:line="240" w:lineRule="auto"/>
              <w:jc w:val="center"/>
              <w:rPr>
                <w:rFonts w:ascii="Calibri" w:hAnsi="Calibri" w:cs="Calibri"/>
                <w:sz w:val="24"/>
                <w:szCs w:val="20"/>
              </w:rPr>
            </w:pPr>
            <w:r w:rsidRPr="009F7813">
              <w:rPr>
                <w:rFonts w:ascii="Calibri" w:hAnsi="Calibri" w:cs="Calibri"/>
                <w:lang w:eastAsia="en-AU"/>
              </w:rPr>
              <w:t>36</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4%</w:t>
            </w:r>
          </w:p>
        </w:tc>
        <w:tc>
          <w:tcPr>
            <w:tcW w:w="1949"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6%</w:t>
            </w:r>
          </w:p>
        </w:tc>
      </w:tr>
      <w:tr w:rsidR="00134652" w:rsidRPr="00134652" w:rsidTr="009F7813">
        <w:trPr>
          <w:trHeight w:val="338"/>
        </w:trPr>
        <w:tc>
          <w:tcPr>
            <w:tcW w:w="2390" w:type="dxa"/>
            <w:shd w:val="clear" w:color="auto" w:fill="auto"/>
            <w:vAlign w:val="center"/>
          </w:tcPr>
          <w:p w:rsidR="00134652" w:rsidRPr="009F7813" w:rsidRDefault="00134652" w:rsidP="00134652">
            <w:pPr>
              <w:spacing w:line="240" w:lineRule="auto"/>
              <w:rPr>
                <w:rFonts w:ascii="Calibri" w:hAnsi="Calibri" w:cs="Calibri"/>
              </w:rPr>
            </w:pPr>
            <w:r w:rsidRPr="009F7813">
              <w:rPr>
                <w:rFonts w:ascii="Calibri" w:hAnsi="Calibri" w:cs="Calibri"/>
              </w:rPr>
              <w:t>Very Remote Australia</w:t>
            </w:r>
          </w:p>
        </w:tc>
        <w:tc>
          <w:tcPr>
            <w:tcW w:w="1405"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10</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w:t>
            </w:r>
          </w:p>
        </w:tc>
        <w:tc>
          <w:tcPr>
            <w:tcW w:w="1417" w:type="dxa"/>
            <w:vAlign w:val="center"/>
          </w:tcPr>
          <w:p w:rsidR="00134652" w:rsidRPr="009F7813" w:rsidRDefault="00134652" w:rsidP="00134652">
            <w:pPr>
              <w:spacing w:line="240" w:lineRule="auto"/>
              <w:jc w:val="center"/>
              <w:rPr>
                <w:rFonts w:ascii="Calibri" w:hAnsi="Calibri" w:cs="Calibri"/>
                <w:sz w:val="24"/>
                <w:szCs w:val="20"/>
              </w:rPr>
            </w:pPr>
            <w:r w:rsidRPr="009F7813">
              <w:rPr>
                <w:rFonts w:ascii="Calibri" w:hAnsi="Calibri" w:cs="Calibri"/>
                <w:lang w:eastAsia="en-AU"/>
              </w:rPr>
              <w:t>48</w:t>
            </w:r>
          </w:p>
        </w:tc>
        <w:tc>
          <w:tcPr>
            <w:tcW w:w="1418"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w:t>
            </w:r>
          </w:p>
        </w:tc>
        <w:tc>
          <w:tcPr>
            <w:tcW w:w="1949" w:type="dxa"/>
            <w:vAlign w:val="center"/>
          </w:tcPr>
          <w:p w:rsidR="00134652" w:rsidRPr="009F7813" w:rsidRDefault="00134652" w:rsidP="00134652">
            <w:pPr>
              <w:spacing w:line="240" w:lineRule="auto"/>
              <w:jc w:val="center"/>
              <w:rPr>
                <w:rFonts w:ascii="Calibri" w:hAnsi="Calibri" w:cs="Calibri"/>
              </w:rPr>
            </w:pPr>
            <w:r w:rsidRPr="009F7813">
              <w:rPr>
                <w:rFonts w:ascii="Calibri" w:hAnsi="Calibri" w:cs="Calibri"/>
              </w:rPr>
              <w:t>5%</w:t>
            </w:r>
          </w:p>
        </w:tc>
      </w:tr>
      <w:tr w:rsidR="001564A5" w:rsidRPr="00134652" w:rsidTr="009F7813">
        <w:trPr>
          <w:trHeight w:val="338"/>
        </w:trPr>
        <w:tc>
          <w:tcPr>
            <w:tcW w:w="2390" w:type="dxa"/>
            <w:shd w:val="clear" w:color="auto" w:fill="DAEEF3" w:themeFill="accent5" w:themeFillTint="33"/>
            <w:vAlign w:val="center"/>
          </w:tcPr>
          <w:p w:rsidR="00134652" w:rsidRPr="009F7813" w:rsidRDefault="00134652" w:rsidP="00134652">
            <w:pPr>
              <w:spacing w:line="240" w:lineRule="auto"/>
              <w:rPr>
                <w:rFonts w:ascii="Calibri" w:hAnsi="Calibri" w:cs="Calibri"/>
                <w:b/>
                <w:sz w:val="24"/>
                <w:szCs w:val="20"/>
              </w:rPr>
            </w:pPr>
            <w:r w:rsidRPr="009F7813">
              <w:rPr>
                <w:rFonts w:ascii="Calibri" w:hAnsi="Calibri" w:cs="Calibri"/>
                <w:b/>
                <w:lang w:eastAsia="en-AU"/>
              </w:rPr>
              <w:t>TOTAL</w:t>
            </w:r>
          </w:p>
        </w:tc>
        <w:tc>
          <w:tcPr>
            <w:tcW w:w="1405" w:type="dxa"/>
            <w:shd w:val="clear" w:color="auto" w:fill="DAEEF3" w:themeFill="accent5" w:themeFillTint="33"/>
            <w:vAlign w:val="center"/>
          </w:tcPr>
          <w:p w:rsidR="00134652" w:rsidRPr="009F7813" w:rsidRDefault="00134652" w:rsidP="00134652">
            <w:pPr>
              <w:spacing w:line="240" w:lineRule="auto"/>
              <w:jc w:val="center"/>
              <w:rPr>
                <w:rFonts w:ascii="Calibri" w:hAnsi="Calibri" w:cs="Calibri"/>
                <w:b/>
                <w:bCs/>
              </w:rPr>
            </w:pPr>
            <w:r w:rsidRPr="009F7813">
              <w:rPr>
                <w:rFonts w:ascii="Calibri" w:hAnsi="Calibri" w:cs="Calibri"/>
                <w:b/>
                <w:bCs/>
              </w:rPr>
              <w:t>205</w:t>
            </w:r>
          </w:p>
        </w:tc>
        <w:tc>
          <w:tcPr>
            <w:tcW w:w="1418" w:type="dxa"/>
            <w:shd w:val="clear" w:color="auto" w:fill="DAEEF3" w:themeFill="accent5" w:themeFillTint="33"/>
            <w:vAlign w:val="center"/>
          </w:tcPr>
          <w:p w:rsidR="00134652" w:rsidRPr="009F7813" w:rsidRDefault="00134652" w:rsidP="00134652">
            <w:pPr>
              <w:spacing w:line="240" w:lineRule="auto"/>
              <w:jc w:val="center"/>
              <w:rPr>
                <w:rFonts w:ascii="Calibri" w:hAnsi="Calibri" w:cs="Calibri"/>
                <w:b/>
                <w:bCs/>
              </w:rPr>
            </w:pPr>
            <w:r w:rsidRPr="009F7813">
              <w:rPr>
                <w:rFonts w:ascii="Calibri" w:hAnsi="Calibri" w:cs="Calibri"/>
                <w:b/>
                <w:bCs/>
              </w:rPr>
              <w:t>100%</w:t>
            </w:r>
          </w:p>
        </w:tc>
        <w:tc>
          <w:tcPr>
            <w:tcW w:w="1417" w:type="dxa"/>
            <w:shd w:val="clear" w:color="auto" w:fill="DAEEF3" w:themeFill="accent5" w:themeFillTint="33"/>
            <w:vAlign w:val="center"/>
          </w:tcPr>
          <w:p w:rsidR="00134652" w:rsidRPr="009F7813" w:rsidRDefault="00134652" w:rsidP="00134652">
            <w:pPr>
              <w:spacing w:line="240" w:lineRule="auto"/>
              <w:jc w:val="center"/>
              <w:rPr>
                <w:rFonts w:ascii="Calibri" w:hAnsi="Calibri" w:cs="Calibri"/>
                <w:b/>
                <w:sz w:val="24"/>
                <w:szCs w:val="20"/>
              </w:rPr>
            </w:pPr>
            <w:r w:rsidRPr="009F7813">
              <w:rPr>
                <w:rFonts w:ascii="Calibri" w:hAnsi="Calibri" w:cs="Calibri"/>
                <w:b/>
                <w:lang w:eastAsia="en-AU"/>
              </w:rPr>
              <w:t>920</w:t>
            </w:r>
          </w:p>
        </w:tc>
        <w:tc>
          <w:tcPr>
            <w:tcW w:w="1418" w:type="dxa"/>
            <w:shd w:val="clear" w:color="auto" w:fill="DAEEF3" w:themeFill="accent5" w:themeFillTint="33"/>
            <w:vAlign w:val="center"/>
          </w:tcPr>
          <w:p w:rsidR="00134652" w:rsidRPr="009F7813" w:rsidRDefault="00134652" w:rsidP="00134652">
            <w:pPr>
              <w:spacing w:line="240" w:lineRule="auto"/>
              <w:jc w:val="center"/>
              <w:rPr>
                <w:rFonts w:ascii="Calibri" w:hAnsi="Calibri" w:cs="Calibri"/>
                <w:b/>
                <w:sz w:val="24"/>
                <w:szCs w:val="20"/>
              </w:rPr>
            </w:pPr>
            <w:r w:rsidRPr="009F7813">
              <w:rPr>
                <w:rFonts w:ascii="Calibri" w:hAnsi="Calibri" w:cs="Calibri"/>
                <w:b/>
              </w:rPr>
              <w:t>100%</w:t>
            </w:r>
          </w:p>
        </w:tc>
        <w:tc>
          <w:tcPr>
            <w:tcW w:w="1949" w:type="dxa"/>
            <w:shd w:val="clear" w:color="auto" w:fill="DAEEF3" w:themeFill="accent5" w:themeFillTint="33"/>
            <w:vAlign w:val="center"/>
          </w:tcPr>
          <w:p w:rsidR="00134652" w:rsidRPr="009F7813" w:rsidRDefault="00134652" w:rsidP="00134652">
            <w:pPr>
              <w:spacing w:line="240" w:lineRule="auto"/>
              <w:jc w:val="center"/>
              <w:rPr>
                <w:rFonts w:ascii="Calibri" w:hAnsi="Calibri" w:cs="Calibri"/>
                <w:b/>
                <w:highlight w:val="yellow"/>
              </w:rPr>
            </w:pPr>
            <w:r w:rsidRPr="009F7813">
              <w:rPr>
                <w:rFonts w:ascii="Calibri" w:hAnsi="Calibri" w:cs="Calibri"/>
                <w:b/>
              </w:rPr>
              <w:t>100%</w:t>
            </w:r>
          </w:p>
        </w:tc>
      </w:tr>
    </w:tbl>
    <w:p w:rsidR="00134652" w:rsidRPr="00134652" w:rsidRDefault="00134652" w:rsidP="00134652">
      <w:pPr>
        <w:spacing w:line="240" w:lineRule="auto"/>
        <w:rPr>
          <w:rFonts w:eastAsia="Times New Roman" w:cs="Calibri"/>
          <w:lang w:eastAsia="en-AU"/>
        </w:rPr>
        <w:sectPr w:rsidR="00134652" w:rsidRPr="00134652" w:rsidSect="00BF7F25">
          <w:pgSz w:w="11906" w:h="16838"/>
          <w:pgMar w:top="822" w:right="849" w:bottom="851" w:left="1134" w:header="709" w:footer="0" w:gutter="0"/>
          <w:cols w:space="708"/>
          <w:docGrid w:linePitch="360"/>
        </w:sectPr>
      </w:pPr>
    </w:p>
    <w:p w:rsidR="00134652" w:rsidRPr="00134652" w:rsidRDefault="00134652" w:rsidP="00CE7AF6">
      <w:pPr>
        <w:pStyle w:val="Heading2"/>
      </w:pPr>
      <w:bookmarkStart w:id="68" w:name="_Toc292697122"/>
      <w:bookmarkStart w:id="69" w:name="_Toc323901535"/>
      <w:bookmarkStart w:id="70" w:name="_Toc365385426"/>
      <w:r w:rsidRPr="00134652">
        <w:lastRenderedPageBreak/>
        <w:t>P</w:t>
      </w:r>
      <w:bookmarkEnd w:id="68"/>
      <w:bookmarkEnd w:id="69"/>
      <w:r w:rsidR="001B7A68">
        <w:rPr>
          <w:lang w:val="en-AU"/>
        </w:rPr>
        <w:t>artnerships</w:t>
      </w:r>
      <w:bookmarkEnd w:id="70"/>
      <w:r w:rsidRPr="00134652">
        <w:t xml:space="preserve"> </w:t>
      </w:r>
    </w:p>
    <w:p w:rsidR="00134652" w:rsidRPr="00134652" w:rsidRDefault="00134652" w:rsidP="00CE7AF6">
      <w:pPr>
        <w:pStyle w:val="Heading3"/>
      </w:pPr>
      <w:bookmarkStart w:id="71" w:name="_Toc292697123"/>
      <w:bookmarkStart w:id="72" w:name="_Toc323901536"/>
      <w:r w:rsidRPr="00134652">
        <w:t xml:space="preserve">Table </w:t>
      </w:r>
      <w:proofErr w:type="spellStart"/>
      <w:r w:rsidRPr="00134652">
        <w:t>E1</w:t>
      </w:r>
      <w:proofErr w:type="spellEnd"/>
      <w:r w:rsidRPr="00134652">
        <w:t xml:space="preserve"> and </w:t>
      </w:r>
      <w:proofErr w:type="spellStart"/>
      <w:r w:rsidRPr="00134652">
        <w:t>E2</w:t>
      </w:r>
      <w:proofErr w:type="spellEnd"/>
      <w:r w:rsidRPr="00134652">
        <w:t xml:space="preserve"> – Number of Partnerships Created by Status</w:t>
      </w:r>
      <w:bookmarkEnd w:id="71"/>
      <w:bookmarkEnd w:id="72"/>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 xml:space="preserve">These tables show the status of partnerships including the number of partnerships with an Indigenous focus. </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Please see below for descriptions of the different partnership status options: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color w:val="333333"/>
          <w:lang w:eastAsia="en-AU"/>
        </w:rPr>
      </w:pPr>
      <w:r w:rsidRPr="00134652">
        <w:rPr>
          <w:rFonts w:eastAsia="Times New Roman" w:cs="Calibri"/>
          <w:b/>
          <w:lang w:eastAsia="en-AU"/>
        </w:rPr>
        <w:t xml:space="preserve">Active: </w:t>
      </w:r>
      <w:r w:rsidRPr="00134652">
        <w:rPr>
          <w:rFonts w:eastAsia="Times New Roman" w:cs="Calibri"/>
          <w:lang w:eastAsia="en-AU"/>
        </w:rPr>
        <w:t xml:space="preserve">The partnership consists of two or more members (Organisations) and the Partnership Broker is playing an active role in assisting partners to achieve improved education and transition outcomes for young people. This includes building strong partnership foundations based on key partnering principles, such as transparency, equity and mutual benefit. </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color w:val="333333"/>
          <w:lang w:eastAsia="en-AU"/>
        </w:rPr>
      </w:pPr>
      <w:r w:rsidRPr="00134652">
        <w:rPr>
          <w:rFonts w:eastAsia="Times New Roman" w:cs="Calibri"/>
          <w:b/>
          <w:lang w:eastAsia="en-AU"/>
        </w:rPr>
        <w:t xml:space="preserve">Self-sustaining: </w:t>
      </w:r>
      <w:r w:rsidRPr="00134652">
        <w:rPr>
          <w:rFonts w:eastAsia="Times New Roman" w:cs="Calibri"/>
          <w:lang w:eastAsia="en-AU"/>
        </w:rPr>
        <w:t>The partnership has reached a point in its development where it no longer requires direct support from the Partnership Broker.</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color w:val="333333"/>
          <w:lang w:eastAsia="en-AU"/>
        </w:rPr>
      </w:pPr>
      <w:r w:rsidRPr="00134652">
        <w:rPr>
          <w:rFonts w:eastAsia="Times New Roman" w:cs="Calibri"/>
          <w:b/>
          <w:lang w:eastAsia="en-AU"/>
        </w:rPr>
        <w:t>Draft:</w:t>
      </w:r>
      <w:r w:rsidRPr="00134652">
        <w:rPr>
          <w:rFonts w:eastAsia="Times New Roman" w:cs="Calibri"/>
          <w:color w:val="333333"/>
          <w:lang w:eastAsia="en-AU"/>
        </w:rPr>
        <w:t xml:space="preserve"> </w:t>
      </w:r>
      <w:r w:rsidRPr="00134652">
        <w:rPr>
          <w:rFonts w:eastAsia="Times New Roman" w:cs="Calibri"/>
          <w:lang w:eastAsia="en-AU"/>
        </w:rPr>
        <w:t>The Partnership has been entered in the system (YATMIS) but further information or progress is required before it can be activated.</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 xml:space="preserve">Inactive: </w:t>
      </w:r>
      <w:r w:rsidRPr="00134652">
        <w:rPr>
          <w:rFonts w:eastAsia="Times New Roman" w:cs="Calibri"/>
          <w:lang w:eastAsia="en-AU"/>
        </w:rPr>
        <w:t xml:space="preserve">These are partnerships that may be periodic or seasonal in nature. For example, the status of a particular partnership can be turned to ‘inactive’ when the partnership has achieved its purpose for the year and is likely to become active again in the following year. </w:t>
      </w:r>
    </w:p>
    <w:p w:rsidR="00134652" w:rsidRPr="00134652" w:rsidRDefault="00134652" w:rsidP="00134652">
      <w:pPr>
        <w:spacing w:line="240" w:lineRule="auto"/>
        <w:rPr>
          <w:rFonts w:eastAsia="Times New Roman" w:cs="Calibri"/>
          <w:lang w:eastAsia="en-AU"/>
        </w:rPr>
      </w:pPr>
    </w:p>
    <w:p w:rsidR="00134652" w:rsidRPr="007A39B3" w:rsidRDefault="00134652" w:rsidP="00134652">
      <w:pPr>
        <w:spacing w:line="240" w:lineRule="auto"/>
        <w:rPr>
          <w:rFonts w:eastAsia="Times New Roman" w:cs="Calibri"/>
          <w:color w:val="333333"/>
          <w:lang w:eastAsia="en-AU"/>
        </w:rPr>
      </w:pPr>
      <w:r w:rsidRPr="00134652">
        <w:rPr>
          <w:rFonts w:eastAsia="Times New Roman" w:cs="Calibri"/>
          <w:b/>
          <w:lang w:eastAsia="en-AU"/>
        </w:rPr>
        <w:t xml:space="preserve">Terminated: </w:t>
      </w:r>
      <w:r w:rsidRPr="00134652">
        <w:rPr>
          <w:rFonts w:eastAsia="Times New Roman" w:cs="Calibri"/>
          <w:lang w:eastAsia="en-AU"/>
        </w:rPr>
        <w:t xml:space="preserve">The partnership has achieved its purpose and been discontinued, or become unviable. </w:t>
      </w:r>
    </w:p>
    <w:p w:rsidR="00134652" w:rsidRPr="007D72B1" w:rsidRDefault="00134652" w:rsidP="00CE7AF6">
      <w:pPr>
        <w:pStyle w:val="Heading3"/>
        <w:rPr>
          <w:lang w:val="en-AU" w:eastAsia="en-AU"/>
        </w:rPr>
      </w:pPr>
      <w:r w:rsidRPr="00134652">
        <w:rPr>
          <w:lang w:eastAsia="en-AU"/>
        </w:rPr>
        <w:t xml:space="preserve">Table </w:t>
      </w:r>
      <w:proofErr w:type="spellStart"/>
      <w:r w:rsidRPr="00134652">
        <w:rPr>
          <w:lang w:eastAsia="en-AU"/>
        </w:rPr>
        <w:t>E1</w:t>
      </w:r>
      <w:proofErr w:type="spellEnd"/>
      <w:r w:rsidRPr="00134652">
        <w:rPr>
          <w:lang w:eastAsia="en-AU"/>
        </w:rPr>
        <w:t xml:space="preserve"> – Number of State Partnerships Created by Status</w:t>
      </w:r>
      <w:r w:rsidR="007D72B1">
        <w:rPr>
          <w:lang w:val="en-AU" w:eastAsia="en-AU"/>
        </w:rPr>
        <w:t xml:space="preserve"> for QLD</w:t>
      </w:r>
    </w:p>
    <w:tbl>
      <w:tblPr>
        <w:tblW w:w="9924" w:type="dxa"/>
        <w:tblLayout w:type="fixed"/>
        <w:tblCellMar>
          <w:left w:w="113" w:type="dxa"/>
          <w:right w:w="57" w:type="dxa"/>
        </w:tblCellMar>
        <w:tblLook w:val="0020" w:firstRow="1" w:lastRow="0" w:firstColumn="0" w:lastColumn="0" w:noHBand="0" w:noVBand="0"/>
      </w:tblPr>
      <w:tblGrid>
        <w:gridCol w:w="1699"/>
        <w:gridCol w:w="1842"/>
        <w:gridCol w:w="1989"/>
        <w:gridCol w:w="2268"/>
        <w:gridCol w:w="2126"/>
      </w:tblGrid>
      <w:tr w:rsidR="007A39B3" w:rsidRPr="007A39B3" w:rsidTr="001B1DFA">
        <w:trPr>
          <w:trHeight w:val="460"/>
        </w:trPr>
        <w:tc>
          <w:tcPr>
            <w:tcW w:w="1699" w:type="dxa"/>
            <w:tcBorders>
              <w:top w:val="single" w:sz="12" w:space="0" w:color="auto"/>
              <w:left w:val="single" w:sz="12" w:space="0" w:color="auto"/>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 partnerships (%)</w:t>
            </w:r>
          </w:p>
        </w:tc>
        <w:tc>
          <w:tcPr>
            <w:tcW w:w="1842"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Self Sustaining partnerships (%)</w:t>
            </w:r>
          </w:p>
        </w:tc>
        <w:tc>
          <w:tcPr>
            <w:tcW w:w="1989"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w:t>
            </w:r>
          </w:p>
          <w:p w:rsidR="007A39B3" w:rsidRPr="007A39B3" w:rsidRDefault="007A39B3" w:rsidP="007A39B3">
            <w:pPr>
              <w:pStyle w:val="TableColumnHeadingCentred"/>
            </w:pPr>
            <w:r w:rsidRPr="007A39B3">
              <w:t>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Draft/Inactive/</w:t>
            </w:r>
          </w:p>
          <w:p w:rsidR="007A39B3" w:rsidRPr="007A39B3" w:rsidRDefault="007A39B3" w:rsidP="007A39B3">
            <w:pPr>
              <w:pStyle w:val="TableColumnHeadingCentred"/>
            </w:pPr>
            <w:r w:rsidRPr="007A39B3">
              <w:t>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state partnerships (%)</w:t>
            </w:r>
          </w:p>
        </w:tc>
      </w:tr>
      <w:tr w:rsidR="007A39B3" w:rsidRPr="007A39B3" w:rsidTr="001B1DFA">
        <w:trPr>
          <w:trHeight w:val="340"/>
        </w:trPr>
        <w:tc>
          <w:tcPr>
            <w:tcW w:w="1699" w:type="dxa"/>
            <w:tcBorders>
              <w:top w:val="nil"/>
              <w:left w:val="single" w:sz="12" w:space="0" w:color="auto"/>
              <w:bottom w:val="single" w:sz="12" w:space="0" w:color="auto"/>
              <w:right w:val="single" w:sz="4" w:space="0" w:color="auto"/>
            </w:tcBorders>
            <w:shd w:val="clear" w:color="auto" w:fill="FFFFFF"/>
            <w:noWrap/>
            <w:vAlign w:val="center"/>
          </w:tcPr>
          <w:p w:rsidR="007A39B3" w:rsidRPr="007A39B3" w:rsidRDefault="007A39B3" w:rsidP="007A39B3">
            <w:pPr>
              <w:spacing w:line="240" w:lineRule="auto"/>
              <w:jc w:val="center"/>
              <w:rPr>
                <w:rFonts w:eastAsia="Times New Roman" w:cs="Calibri"/>
                <w:sz w:val="20"/>
                <w:szCs w:val="20"/>
              </w:rPr>
            </w:pPr>
            <w:r w:rsidRPr="00134652">
              <w:rPr>
                <w:rFonts w:eastAsia="Times New Roman" w:cs="Calibri"/>
                <w:sz w:val="20"/>
                <w:szCs w:val="20"/>
              </w:rPr>
              <w:t>177</w:t>
            </w:r>
            <w:r>
              <w:rPr>
                <w:rFonts w:eastAsia="Times New Roman" w:cs="Calibri"/>
                <w:sz w:val="20"/>
                <w:szCs w:val="20"/>
              </w:rPr>
              <w:t xml:space="preserve"> </w:t>
            </w:r>
            <w:r w:rsidRPr="00134652">
              <w:rPr>
                <w:rFonts w:eastAsia="Times New Roman" w:cs="Calibri"/>
                <w:sz w:val="20"/>
                <w:szCs w:val="20"/>
              </w:rPr>
              <w:t>(29%)</w:t>
            </w:r>
          </w:p>
        </w:tc>
        <w:tc>
          <w:tcPr>
            <w:tcW w:w="1842"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134652">
              <w:rPr>
                <w:rFonts w:eastAsia="Times New Roman" w:cs="Calibri"/>
                <w:sz w:val="20"/>
                <w:szCs w:val="20"/>
              </w:rPr>
              <w:t>122</w:t>
            </w:r>
            <w:r>
              <w:rPr>
                <w:rFonts w:eastAsia="Times New Roman" w:cs="Calibri"/>
                <w:sz w:val="20"/>
                <w:szCs w:val="20"/>
              </w:rPr>
              <w:t xml:space="preserve"> </w:t>
            </w:r>
            <w:r w:rsidRPr="00134652">
              <w:rPr>
                <w:rFonts w:eastAsia="Times New Roman" w:cs="Calibri"/>
                <w:sz w:val="20"/>
                <w:szCs w:val="20"/>
              </w:rPr>
              <w:t>(20%)</w:t>
            </w:r>
          </w:p>
        </w:tc>
        <w:tc>
          <w:tcPr>
            <w:tcW w:w="1989"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Pr>
                <w:rFonts w:eastAsia="Times New Roman" w:cs="Calibri"/>
                <w:sz w:val="20"/>
                <w:szCs w:val="20"/>
              </w:rPr>
              <w:t>299 (50%)</w:t>
            </w:r>
          </w:p>
        </w:tc>
        <w:tc>
          <w:tcPr>
            <w:tcW w:w="2268" w:type="dxa"/>
            <w:tcBorders>
              <w:top w:val="single" w:sz="4" w:space="0" w:color="auto"/>
              <w:left w:val="single" w:sz="4"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134652">
              <w:rPr>
                <w:rFonts w:eastAsia="Times New Roman" w:cs="Calibri"/>
                <w:sz w:val="20"/>
                <w:szCs w:val="20"/>
              </w:rPr>
              <w:t>304</w:t>
            </w:r>
            <w:r>
              <w:rPr>
                <w:rFonts w:eastAsia="Times New Roman" w:cs="Calibri"/>
                <w:sz w:val="20"/>
                <w:szCs w:val="20"/>
              </w:rPr>
              <w:t xml:space="preserve"> </w:t>
            </w:r>
            <w:r w:rsidRPr="00134652">
              <w:rPr>
                <w:rFonts w:eastAsia="Times New Roman" w:cs="Calibri"/>
                <w:sz w:val="20"/>
                <w:szCs w:val="20"/>
              </w:rPr>
              <w:t>(50%)</w:t>
            </w:r>
          </w:p>
        </w:tc>
        <w:tc>
          <w:tcPr>
            <w:tcW w:w="2126" w:type="dxa"/>
            <w:tcBorders>
              <w:top w:val="single" w:sz="4" w:space="0" w:color="auto"/>
              <w:left w:val="single" w:sz="12"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134652">
              <w:rPr>
                <w:rFonts w:eastAsia="Times New Roman" w:cs="Calibri"/>
                <w:sz w:val="20"/>
                <w:szCs w:val="20"/>
              </w:rPr>
              <w:t>603</w:t>
            </w:r>
            <w:r>
              <w:rPr>
                <w:rFonts w:eastAsia="Times New Roman" w:cs="Calibri"/>
                <w:sz w:val="20"/>
                <w:szCs w:val="20"/>
              </w:rPr>
              <w:t xml:space="preserve"> </w:t>
            </w:r>
            <w:r w:rsidRPr="00134652">
              <w:rPr>
                <w:rFonts w:eastAsia="Times New Roman" w:cs="Calibri"/>
                <w:sz w:val="20"/>
                <w:szCs w:val="20"/>
              </w:rPr>
              <w:t>(100%)</w:t>
            </w:r>
          </w:p>
        </w:tc>
      </w:tr>
    </w:tbl>
    <w:p w:rsidR="007A39B3" w:rsidRPr="007D72B1" w:rsidRDefault="007A39B3" w:rsidP="007A39B3">
      <w:pPr>
        <w:pStyle w:val="Heading3"/>
        <w:rPr>
          <w:lang w:val="en-AU" w:eastAsia="en-AU"/>
        </w:rPr>
      </w:pPr>
      <w:r w:rsidRPr="00134652">
        <w:rPr>
          <w:lang w:eastAsia="en-AU"/>
        </w:rPr>
        <w:t xml:space="preserve">Table </w:t>
      </w:r>
      <w:proofErr w:type="spellStart"/>
      <w:r w:rsidRPr="00134652">
        <w:rPr>
          <w:lang w:eastAsia="en-AU"/>
        </w:rPr>
        <w:t>E1</w:t>
      </w:r>
      <w:proofErr w:type="spellEnd"/>
      <w:r w:rsidRPr="00134652">
        <w:rPr>
          <w:lang w:eastAsia="en-AU"/>
        </w:rPr>
        <w:t xml:space="preserve"> – Number of State Partnerships Created by Status</w:t>
      </w:r>
      <w:r w:rsidR="007D72B1">
        <w:rPr>
          <w:lang w:val="en-AU" w:eastAsia="en-AU"/>
        </w:rPr>
        <w:t xml:space="preserve"> with Indigenous focus for QLD</w:t>
      </w:r>
    </w:p>
    <w:tbl>
      <w:tblPr>
        <w:tblW w:w="9924" w:type="dxa"/>
        <w:tblLayout w:type="fixed"/>
        <w:tblCellMar>
          <w:left w:w="113" w:type="dxa"/>
          <w:right w:w="57" w:type="dxa"/>
        </w:tblCellMar>
        <w:tblLook w:val="0020" w:firstRow="1" w:lastRow="0" w:firstColumn="0" w:lastColumn="0" w:noHBand="0" w:noVBand="0"/>
      </w:tblPr>
      <w:tblGrid>
        <w:gridCol w:w="1699"/>
        <w:gridCol w:w="1842"/>
        <w:gridCol w:w="1989"/>
        <w:gridCol w:w="2268"/>
        <w:gridCol w:w="2126"/>
      </w:tblGrid>
      <w:tr w:rsidR="007A39B3" w:rsidRPr="007A39B3" w:rsidTr="001B1DFA">
        <w:trPr>
          <w:trHeight w:val="460"/>
        </w:trPr>
        <w:tc>
          <w:tcPr>
            <w:tcW w:w="1699" w:type="dxa"/>
            <w:tcBorders>
              <w:top w:val="single" w:sz="12" w:space="0" w:color="auto"/>
              <w:left w:val="single" w:sz="12" w:space="0" w:color="auto"/>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 partnerships (%)</w:t>
            </w:r>
          </w:p>
        </w:tc>
        <w:tc>
          <w:tcPr>
            <w:tcW w:w="1842"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Self Sustaining partnerships (%)</w:t>
            </w:r>
          </w:p>
        </w:tc>
        <w:tc>
          <w:tcPr>
            <w:tcW w:w="1989"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w:t>
            </w:r>
          </w:p>
          <w:p w:rsidR="007A39B3" w:rsidRPr="007A39B3" w:rsidRDefault="007A39B3" w:rsidP="007A39B3">
            <w:pPr>
              <w:pStyle w:val="TableColumnHeadingCentred"/>
            </w:pPr>
            <w:r w:rsidRPr="007A39B3">
              <w:t>Self-Sustaining partnerships (%)</w:t>
            </w:r>
          </w:p>
        </w:tc>
        <w:tc>
          <w:tcPr>
            <w:tcW w:w="2268" w:type="dxa"/>
            <w:tcBorders>
              <w:top w:val="single" w:sz="12" w:space="0" w:color="auto"/>
              <w:left w:val="single" w:sz="4"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Draft/Inactive/</w:t>
            </w:r>
          </w:p>
          <w:p w:rsidR="007A39B3" w:rsidRPr="007A39B3" w:rsidRDefault="007A39B3" w:rsidP="007A39B3">
            <w:pPr>
              <w:pStyle w:val="TableColumnHeadingCentred"/>
            </w:pPr>
            <w:r w:rsidRPr="007A39B3">
              <w:t>Terminated partnerships (%)</w:t>
            </w:r>
          </w:p>
        </w:tc>
        <w:tc>
          <w:tcPr>
            <w:tcW w:w="2126" w:type="dxa"/>
            <w:tcBorders>
              <w:top w:val="single" w:sz="12" w:space="0" w:color="auto"/>
              <w:left w:val="single" w:sz="12"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state partnerships (%)</w:t>
            </w:r>
          </w:p>
        </w:tc>
      </w:tr>
      <w:tr w:rsidR="007A39B3" w:rsidRPr="007A39B3" w:rsidTr="001B1DFA">
        <w:trPr>
          <w:trHeight w:val="340"/>
        </w:trPr>
        <w:tc>
          <w:tcPr>
            <w:tcW w:w="1699" w:type="dxa"/>
            <w:tcBorders>
              <w:top w:val="nil"/>
              <w:left w:val="single" w:sz="12" w:space="0" w:color="auto"/>
              <w:bottom w:val="single" w:sz="12" w:space="0" w:color="auto"/>
              <w:right w:val="single" w:sz="4" w:space="0" w:color="auto"/>
            </w:tcBorders>
            <w:shd w:val="clear" w:color="auto" w:fill="FFFFFF"/>
            <w:noWrap/>
            <w:vAlign w:val="center"/>
          </w:tcPr>
          <w:p w:rsidR="007A39B3" w:rsidRPr="007A39B3" w:rsidRDefault="007A39B3" w:rsidP="001B1DFA">
            <w:pPr>
              <w:spacing w:line="240" w:lineRule="auto"/>
              <w:jc w:val="center"/>
              <w:rPr>
                <w:rFonts w:eastAsia="Times New Roman" w:cs="Calibri"/>
                <w:sz w:val="20"/>
                <w:szCs w:val="20"/>
              </w:rPr>
            </w:pPr>
            <w:r w:rsidRPr="00134652">
              <w:rPr>
                <w:rFonts w:eastAsia="Times New Roman" w:cs="Calibri"/>
                <w:sz w:val="20"/>
                <w:szCs w:val="20"/>
              </w:rPr>
              <w:t>30</w:t>
            </w:r>
            <w:r>
              <w:rPr>
                <w:rFonts w:eastAsia="Times New Roman" w:cs="Calibri"/>
                <w:sz w:val="20"/>
                <w:szCs w:val="20"/>
              </w:rPr>
              <w:t xml:space="preserve"> </w:t>
            </w:r>
            <w:r w:rsidRPr="00134652">
              <w:rPr>
                <w:rFonts w:eastAsia="Times New Roman" w:cs="Calibri"/>
                <w:sz w:val="20"/>
                <w:szCs w:val="20"/>
              </w:rPr>
              <w:t>(17%)</w:t>
            </w:r>
          </w:p>
        </w:tc>
        <w:tc>
          <w:tcPr>
            <w:tcW w:w="1842"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1B1DFA">
            <w:pPr>
              <w:spacing w:line="240" w:lineRule="auto"/>
              <w:jc w:val="center"/>
              <w:rPr>
                <w:rFonts w:eastAsia="Times New Roman" w:cs="Calibri"/>
                <w:sz w:val="20"/>
                <w:szCs w:val="20"/>
              </w:rPr>
            </w:pPr>
            <w:r w:rsidRPr="00134652">
              <w:rPr>
                <w:rFonts w:eastAsia="Times New Roman" w:cs="Calibri"/>
                <w:sz w:val="20"/>
                <w:szCs w:val="20"/>
              </w:rPr>
              <w:t>15</w:t>
            </w:r>
            <w:r>
              <w:rPr>
                <w:rFonts w:eastAsia="Times New Roman" w:cs="Calibri"/>
                <w:sz w:val="20"/>
                <w:szCs w:val="20"/>
              </w:rPr>
              <w:t xml:space="preserve"> </w:t>
            </w:r>
            <w:r w:rsidRPr="00134652">
              <w:rPr>
                <w:rFonts w:eastAsia="Times New Roman" w:cs="Calibri"/>
                <w:sz w:val="20"/>
                <w:szCs w:val="20"/>
              </w:rPr>
              <w:t>(12%)</w:t>
            </w:r>
          </w:p>
        </w:tc>
        <w:tc>
          <w:tcPr>
            <w:tcW w:w="1989"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1B1DFA">
            <w:pPr>
              <w:spacing w:line="240" w:lineRule="auto"/>
              <w:jc w:val="center"/>
              <w:rPr>
                <w:rFonts w:eastAsia="Times New Roman" w:cs="Calibri"/>
                <w:sz w:val="20"/>
                <w:szCs w:val="20"/>
              </w:rPr>
            </w:pPr>
            <w:r w:rsidRPr="00134652">
              <w:rPr>
                <w:rFonts w:eastAsia="Times New Roman" w:cs="Calibri"/>
                <w:sz w:val="20"/>
                <w:szCs w:val="20"/>
              </w:rPr>
              <w:t>45</w:t>
            </w:r>
            <w:r>
              <w:rPr>
                <w:rFonts w:eastAsia="Times New Roman" w:cs="Calibri"/>
                <w:sz w:val="20"/>
                <w:szCs w:val="20"/>
              </w:rPr>
              <w:t xml:space="preserve"> </w:t>
            </w:r>
            <w:r w:rsidRPr="00134652">
              <w:rPr>
                <w:rFonts w:eastAsia="Times New Roman" w:cs="Calibri"/>
                <w:sz w:val="20"/>
                <w:szCs w:val="20"/>
              </w:rPr>
              <w:t>(15%)</w:t>
            </w:r>
          </w:p>
        </w:tc>
        <w:tc>
          <w:tcPr>
            <w:tcW w:w="2268" w:type="dxa"/>
            <w:tcBorders>
              <w:top w:val="single" w:sz="4" w:space="0" w:color="auto"/>
              <w:left w:val="single" w:sz="4" w:space="0" w:color="auto"/>
              <w:bottom w:val="single" w:sz="12" w:space="0" w:color="auto"/>
              <w:right w:val="single" w:sz="12" w:space="0" w:color="auto"/>
            </w:tcBorders>
            <w:shd w:val="clear" w:color="auto" w:fill="FFFFFF"/>
            <w:vAlign w:val="center"/>
          </w:tcPr>
          <w:p w:rsidR="007A39B3" w:rsidRPr="007A39B3" w:rsidRDefault="007A39B3" w:rsidP="001B1DFA">
            <w:pPr>
              <w:spacing w:line="240" w:lineRule="auto"/>
              <w:jc w:val="center"/>
              <w:rPr>
                <w:rFonts w:eastAsia="Times New Roman" w:cs="Calibri"/>
                <w:sz w:val="20"/>
                <w:szCs w:val="20"/>
              </w:rPr>
            </w:pPr>
            <w:r w:rsidRPr="00134652">
              <w:rPr>
                <w:rFonts w:eastAsia="Times New Roman" w:cs="Calibri"/>
                <w:sz w:val="20"/>
                <w:szCs w:val="20"/>
              </w:rPr>
              <w:t>54</w:t>
            </w:r>
            <w:r>
              <w:rPr>
                <w:rFonts w:eastAsia="Times New Roman" w:cs="Calibri"/>
                <w:sz w:val="20"/>
                <w:szCs w:val="20"/>
              </w:rPr>
              <w:t xml:space="preserve"> </w:t>
            </w:r>
            <w:r w:rsidRPr="00134652">
              <w:rPr>
                <w:rFonts w:eastAsia="Times New Roman" w:cs="Calibri"/>
                <w:sz w:val="20"/>
                <w:szCs w:val="20"/>
              </w:rPr>
              <w:t>(18%)</w:t>
            </w:r>
          </w:p>
        </w:tc>
        <w:tc>
          <w:tcPr>
            <w:tcW w:w="2126" w:type="dxa"/>
            <w:tcBorders>
              <w:top w:val="single" w:sz="4" w:space="0" w:color="auto"/>
              <w:left w:val="single" w:sz="12" w:space="0" w:color="auto"/>
              <w:bottom w:val="single" w:sz="12" w:space="0" w:color="auto"/>
              <w:right w:val="single" w:sz="12" w:space="0" w:color="auto"/>
            </w:tcBorders>
            <w:shd w:val="clear" w:color="auto" w:fill="FFFFFF"/>
            <w:vAlign w:val="center"/>
          </w:tcPr>
          <w:p w:rsidR="007A39B3" w:rsidRPr="007A39B3" w:rsidRDefault="007A39B3" w:rsidP="001B1DFA">
            <w:pPr>
              <w:spacing w:line="240" w:lineRule="auto"/>
              <w:jc w:val="center"/>
              <w:rPr>
                <w:rFonts w:eastAsia="Times New Roman" w:cs="Calibri"/>
                <w:sz w:val="20"/>
                <w:szCs w:val="20"/>
              </w:rPr>
            </w:pPr>
            <w:r w:rsidRPr="00134652">
              <w:rPr>
                <w:rFonts w:eastAsia="Times New Roman" w:cs="Calibri"/>
                <w:sz w:val="20"/>
                <w:szCs w:val="20"/>
              </w:rPr>
              <w:t>99</w:t>
            </w:r>
            <w:r>
              <w:rPr>
                <w:rFonts w:eastAsia="Times New Roman" w:cs="Calibri"/>
                <w:sz w:val="20"/>
                <w:szCs w:val="20"/>
              </w:rPr>
              <w:t xml:space="preserve"> </w:t>
            </w:r>
            <w:r w:rsidRPr="00134652">
              <w:rPr>
                <w:rFonts w:eastAsia="Times New Roman" w:cs="Calibri"/>
                <w:sz w:val="20"/>
                <w:szCs w:val="20"/>
              </w:rPr>
              <w:t>(16%)</w:t>
            </w:r>
          </w:p>
        </w:tc>
      </w:tr>
    </w:tbl>
    <w:p w:rsidR="00134652" w:rsidRPr="00134652" w:rsidRDefault="00134652" w:rsidP="00134652">
      <w:pPr>
        <w:spacing w:before="120" w:after="120" w:line="240" w:lineRule="auto"/>
        <w:rPr>
          <w:rFonts w:eastAsia="Times New Roman" w:cs="Calibri"/>
        </w:rPr>
      </w:pPr>
      <w:r w:rsidRPr="00134652">
        <w:rPr>
          <w:rFonts w:eastAsia="Times New Roman" w:cs="Calibri"/>
        </w:rPr>
        <w:t>Indigenous partnership percentages in the bottom row were calculated using the total partnerships by status in the row directly above. For example, 17% of the total active partnerships in QLD are Indigenous.</w:t>
      </w:r>
    </w:p>
    <w:p w:rsidR="007A39B3" w:rsidRPr="007A39B3" w:rsidRDefault="007A39B3" w:rsidP="007A39B3">
      <w:pPr>
        <w:pStyle w:val="Heading3"/>
        <w:rPr>
          <w:lang w:eastAsia="en-AU"/>
        </w:rPr>
      </w:pPr>
      <w:r w:rsidRPr="007A39B3">
        <w:rPr>
          <w:lang w:eastAsia="en-AU"/>
        </w:rPr>
        <w:t xml:space="preserve">Table </w:t>
      </w:r>
      <w:proofErr w:type="spellStart"/>
      <w:r w:rsidRPr="007A39B3">
        <w:rPr>
          <w:lang w:eastAsia="en-AU"/>
        </w:rPr>
        <w:t>E2</w:t>
      </w:r>
      <w:proofErr w:type="spellEnd"/>
      <w:r w:rsidRPr="007A39B3">
        <w:rPr>
          <w:lang w:eastAsia="en-AU"/>
        </w:rPr>
        <w:t xml:space="preserve"> - Number of National Partnerships Created by Status</w:t>
      </w:r>
    </w:p>
    <w:p w:rsidR="007A39B3" w:rsidRPr="007A39B3" w:rsidRDefault="007A39B3" w:rsidP="007A39B3">
      <w:pPr>
        <w:tabs>
          <w:tab w:val="right" w:leader="dot" w:pos="9639"/>
        </w:tabs>
        <w:spacing w:before="120" w:after="200" w:line="240" w:lineRule="auto"/>
        <w:rPr>
          <w:rFonts w:eastAsia="Times New Roman" w:cs="Calibri"/>
          <w:noProof/>
          <w:lang w:val="en-US" w:eastAsia="en-AU"/>
        </w:rPr>
      </w:pPr>
      <w:r w:rsidRPr="007A39B3">
        <w:rPr>
          <w:rFonts w:eastAsia="Times New Roman" w:cs="Calibri"/>
          <w:b/>
          <w:noProof/>
          <w:lang w:val="en-US"/>
        </w:rPr>
        <w:t>Note:</w:t>
      </w:r>
      <w:r w:rsidRPr="007A39B3">
        <w:rPr>
          <w:rFonts w:eastAsia="Times New Roman" w:cs="Calibri"/>
          <w:noProof/>
          <w:lang w:val="en-US"/>
        </w:rPr>
        <w:t xml:space="preserve"> National figures do not include Victoria.</w:t>
      </w:r>
    </w:p>
    <w:tbl>
      <w:tblPr>
        <w:tblW w:w="9998" w:type="dxa"/>
        <w:tblInd w:w="-34" w:type="dxa"/>
        <w:tblLayout w:type="fixed"/>
        <w:tblCellMar>
          <w:left w:w="57" w:type="dxa"/>
          <w:right w:w="57" w:type="dxa"/>
        </w:tblCellMar>
        <w:tblLook w:val="0020" w:firstRow="1" w:lastRow="0" w:firstColumn="0" w:lastColumn="0" w:noHBand="0" w:noVBand="0"/>
      </w:tblPr>
      <w:tblGrid>
        <w:gridCol w:w="1715"/>
        <w:gridCol w:w="1856"/>
        <w:gridCol w:w="2000"/>
        <w:gridCol w:w="2285"/>
        <w:gridCol w:w="2142"/>
      </w:tblGrid>
      <w:tr w:rsidR="007A39B3" w:rsidRPr="007A39B3" w:rsidTr="001B1DFA">
        <w:trPr>
          <w:trHeight w:val="363"/>
        </w:trPr>
        <w:tc>
          <w:tcPr>
            <w:tcW w:w="1715" w:type="dxa"/>
            <w:tcBorders>
              <w:top w:val="single" w:sz="12" w:space="0" w:color="auto"/>
              <w:left w:val="single" w:sz="12" w:space="0" w:color="auto"/>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 partnerships (%)</w:t>
            </w:r>
          </w:p>
        </w:tc>
        <w:tc>
          <w:tcPr>
            <w:tcW w:w="1856"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Self Sustaining partnerships (%)</w:t>
            </w:r>
          </w:p>
        </w:tc>
        <w:tc>
          <w:tcPr>
            <w:tcW w:w="2000" w:type="dxa"/>
            <w:tcBorders>
              <w:top w:val="single" w:sz="12" w:space="0" w:color="auto"/>
              <w:left w:val="nil"/>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w:t>
            </w:r>
          </w:p>
          <w:p w:rsidR="007A39B3" w:rsidRPr="007A39B3" w:rsidRDefault="007A39B3" w:rsidP="007A39B3">
            <w:pPr>
              <w:pStyle w:val="TableColumnHeadingCentred"/>
            </w:pPr>
            <w:r w:rsidRPr="007A39B3">
              <w:t>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Draft/Inactive/</w:t>
            </w:r>
          </w:p>
          <w:p w:rsidR="007A39B3" w:rsidRPr="007A39B3" w:rsidRDefault="007A39B3" w:rsidP="007A39B3">
            <w:pPr>
              <w:pStyle w:val="TableColumnHeadingCentred"/>
            </w:pPr>
            <w:r w:rsidRPr="007A39B3">
              <w:t>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National partnerships (%)</w:t>
            </w:r>
          </w:p>
        </w:tc>
      </w:tr>
      <w:tr w:rsidR="007A39B3" w:rsidRPr="007A39B3" w:rsidTr="001B1DFA">
        <w:trPr>
          <w:trHeight w:val="363"/>
        </w:trPr>
        <w:tc>
          <w:tcPr>
            <w:tcW w:w="1715" w:type="dxa"/>
            <w:tcBorders>
              <w:top w:val="nil"/>
              <w:left w:val="single" w:sz="12" w:space="0" w:color="auto"/>
              <w:bottom w:val="single" w:sz="12" w:space="0" w:color="auto"/>
              <w:right w:val="single" w:sz="4" w:space="0" w:color="auto"/>
            </w:tcBorders>
            <w:shd w:val="clear" w:color="auto" w:fill="auto"/>
            <w:noWrap/>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870 (36%)</w:t>
            </w:r>
          </w:p>
        </w:tc>
        <w:tc>
          <w:tcPr>
            <w:tcW w:w="1856"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345 (14%)</w:t>
            </w:r>
          </w:p>
        </w:tc>
        <w:tc>
          <w:tcPr>
            <w:tcW w:w="2000" w:type="dxa"/>
            <w:tcBorders>
              <w:top w:val="single" w:sz="4" w:space="0" w:color="auto"/>
              <w:left w:val="nil"/>
              <w:bottom w:val="single" w:sz="12" w:space="0" w:color="auto"/>
              <w:right w:val="single" w:sz="4"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1215 (50%)</w:t>
            </w:r>
          </w:p>
        </w:tc>
        <w:tc>
          <w:tcPr>
            <w:tcW w:w="2285" w:type="dxa"/>
            <w:tcBorders>
              <w:top w:val="single" w:sz="4" w:space="0" w:color="auto"/>
              <w:left w:val="single" w:sz="4"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1224 (50%)</w:t>
            </w:r>
          </w:p>
        </w:tc>
        <w:tc>
          <w:tcPr>
            <w:tcW w:w="2142" w:type="dxa"/>
            <w:tcBorders>
              <w:top w:val="single" w:sz="4" w:space="0" w:color="auto"/>
              <w:left w:val="single" w:sz="12"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2439 (100%)</w:t>
            </w:r>
          </w:p>
        </w:tc>
      </w:tr>
    </w:tbl>
    <w:p w:rsidR="007A39B3" w:rsidRPr="007A39B3" w:rsidRDefault="007A39B3" w:rsidP="007A39B3">
      <w:pPr>
        <w:pStyle w:val="Heading3"/>
        <w:rPr>
          <w:lang w:eastAsia="en-AU"/>
        </w:rPr>
      </w:pPr>
      <w:r w:rsidRPr="007A39B3">
        <w:rPr>
          <w:lang w:eastAsia="en-AU"/>
        </w:rPr>
        <w:lastRenderedPageBreak/>
        <w:t xml:space="preserve">Table </w:t>
      </w:r>
      <w:proofErr w:type="spellStart"/>
      <w:r w:rsidRPr="007A39B3">
        <w:rPr>
          <w:lang w:eastAsia="en-AU"/>
        </w:rPr>
        <w:t>E2</w:t>
      </w:r>
      <w:proofErr w:type="spellEnd"/>
      <w:r w:rsidRPr="007A39B3">
        <w:rPr>
          <w:lang w:eastAsia="en-AU"/>
        </w:rPr>
        <w:t xml:space="preserve"> - Number of National Partnerships Created by Status with Indigenous focus</w:t>
      </w:r>
    </w:p>
    <w:tbl>
      <w:tblPr>
        <w:tblW w:w="9998" w:type="dxa"/>
        <w:tblInd w:w="-34" w:type="dxa"/>
        <w:tblLayout w:type="fixed"/>
        <w:tblCellMar>
          <w:left w:w="57" w:type="dxa"/>
          <w:right w:w="57" w:type="dxa"/>
        </w:tblCellMar>
        <w:tblLook w:val="0020" w:firstRow="1" w:lastRow="0" w:firstColumn="0" w:lastColumn="0" w:noHBand="0" w:noVBand="0"/>
      </w:tblPr>
      <w:tblGrid>
        <w:gridCol w:w="1715"/>
        <w:gridCol w:w="1856"/>
        <w:gridCol w:w="2000"/>
        <w:gridCol w:w="2285"/>
        <w:gridCol w:w="2142"/>
      </w:tblGrid>
      <w:tr w:rsidR="007A39B3" w:rsidRPr="007A39B3" w:rsidTr="001B1DFA">
        <w:trPr>
          <w:trHeight w:val="426"/>
        </w:trPr>
        <w:tc>
          <w:tcPr>
            <w:tcW w:w="1715" w:type="dxa"/>
            <w:tcBorders>
              <w:top w:val="single" w:sz="12" w:space="0" w:color="auto"/>
              <w:left w:val="single" w:sz="12" w:space="0" w:color="auto"/>
              <w:bottom w:val="single" w:sz="4" w:space="0" w:color="auto"/>
              <w:right w:val="single" w:sz="4" w:space="0" w:color="auto"/>
            </w:tcBorders>
            <w:shd w:val="clear" w:color="auto" w:fill="92CDDC"/>
            <w:noWrap/>
            <w:vAlign w:val="center"/>
          </w:tcPr>
          <w:p w:rsidR="007A39B3" w:rsidRPr="007A39B3" w:rsidRDefault="007A39B3" w:rsidP="007A39B3">
            <w:pPr>
              <w:pStyle w:val="TableColumnHeadingCentred"/>
            </w:pPr>
            <w:r w:rsidRPr="007A39B3">
              <w:t>Total number of Active partnerships (%)</w:t>
            </w:r>
          </w:p>
        </w:tc>
        <w:tc>
          <w:tcPr>
            <w:tcW w:w="1856" w:type="dxa"/>
            <w:tcBorders>
              <w:top w:val="single" w:sz="12" w:space="0" w:color="auto"/>
              <w:left w:val="single" w:sz="4" w:space="0" w:color="auto"/>
              <w:bottom w:val="single" w:sz="4" w:space="0" w:color="auto"/>
              <w:right w:val="nil"/>
            </w:tcBorders>
            <w:shd w:val="clear" w:color="auto" w:fill="92CDDC"/>
            <w:vAlign w:val="center"/>
          </w:tcPr>
          <w:p w:rsidR="007A39B3" w:rsidRPr="007A39B3" w:rsidRDefault="007A39B3" w:rsidP="007A39B3">
            <w:pPr>
              <w:pStyle w:val="TableColumnHeadingCentred"/>
            </w:pPr>
            <w:r w:rsidRPr="007A39B3">
              <w:t>Total number of Self Sustaining partnerships (%)</w:t>
            </w:r>
          </w:p>
        </w:tc>
        <w:tc>
          <w:tcPr>
            <w:tcW w:w="2000" w:type="dxa"/>
            <w:tcBorders>
              <w:top w:val="single" w:sz="12" w:space="0" w:color="auto"/>
              <w:left w:val="single" w:sz="4" w:space="0" w:color="auto"/>
              <w:bottom w:val="single" w:sz="4" w:space="0" w:color="auto"/>
              <w:right w:val="single" w:sz="4" w:space="0" w:color="auto"/>
            </w:tcBorders>
            <w:shd w:val="clear" w:color="auto" w:fill="92CDDC"/>
            <w:vAlign w:val="center"/>
          </w:tcPr>
          <w:p w:rsidR="007A39B3" w:rsidRPr="007A39B3" w:rsidRDefault="007A39B3" w:rsidP="007A39B3">
            <w:pPr>
              <w:pStyle w:val="TableColumnHeadingCentred"/>
            </w:pPr>
            <w:r w:rsidRPr="007A39B3">
              <w:t>Total number of Active/</w:t>
            </w:r>
          </w:p>
          <w:p w:rsidR="007A39B3" w:rsidRPr="007A39B3" w:rsidRDefault="007A39B3" w:rsidP="007A39B3">
            <w:pPr>
              <w:pStyle w:val="TableColumnHeadingCentred"/>
            </w:pPr>
            <w:r w:rsidRPr="007A39B3">
              <w:t>Self-Sustaining partnerships (%)</w:t>
            </w:r>
          </w:p>
        </w:tc>
        <w:tc>
          <w:tcPr>
            <w:tcW w:w="2285" w:type="dxa"/>
            <w:tcBorders>
              <w:top w:val="single" w:sz="12" w:space="0" w:color="auto"/>
              <w:left w:val="single" w:sz="4"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Draft/Inactive/</w:t>
            </w:r>
          </w:p>
          <w:p w:rsidR="007A39B3" w:rsidRPr="007A39B3" w:rsidRDefault="007A39B3" w:rsidP="007A39B3">
            <w:pPr>
              <w:pStyle w:val="TableColumnHeadingCentred"/>
            </w:pPr>
            <w:r w:rsidRPr="007A39B3">
              <w:t>Terminated partnerships (%)</w:t>
            </w:r>
          </w:p>
        </w:tc>
        <w:tc>
          <w:tcPr>
            <w:tcW w:w="2142" w:type="dxa"/>
            <w:tcBorders>
              <w:top w:val="single" w:sz="12" w:space="0" w:color="auto"/>
              <w:left w:val="single" w:sz="12" w:space="0" w:color="auto"/>
              <w:bottom w:val="single" w:sz="4" w:space="0" w:color="auto"/>
              <w:right w:val="single" w:sz="12" w:space="0" w:color="auto"/>
            </w:tcBorders>
            <w:shd w:val="clear" w:color="auto" w:fill="92CDDC"/>
            <w:vAlign w:val="center"/>
          </w:tcPr>
          <w:p w:rsidR="007A39B3" w:rsidRPr="007A39B3" w:rsidRDefault="007A39B3" w:rsidP="007A39B3">
            <w:pPr>
              <w:pStyle w:val="TableColumnHeadingCentred"/>
            </w:pPr>
            <w:r w:rsidRPr="007A39B3">
              <w:t>Total number of National partnerships (%)</w:t>
            </w:r>
          </w:p>
        </w:tc>
      </w:tr>
      <w:tr w:rsidR="007A39B3" w:rsidRPr="007A39B3" w:rsidTr="001B1DFA">
        <w:trPr>
          <w:trHeight w:val="368"/>
        </w:trPr>
        <w:tc>
          <w:tcPr>
            <w:tcW w:w="171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204 (23%)</w:t>
            </w:r>
          </w:p>
        </w:tc>
        <w:tc>
          <w:tcPr>
            <w:tcW w:w="1856" w:type="dxa"/>
            <w:tcBorders>
              <w:top w:val="single" w:sz="4" w:space="0" w:color="auto"/>
              <w:left w:val="single" w:sz="4" w:space="0" w:color="auto"/>
              <w:bottom w:val="single" w:sz="12" w:space="0" w:color="auto"/>
              <w:right w:val="nil"/>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47 (14%)</w:t>
            </w:r>
          </w:p>
        </w:tc>
        <w:tc>
          <w:tcPr>
            <w:tcW w:w="2000" w:type="dxa"/>
            <w:tcBorders>
              <w:top w:val="single" w:sz="4" w:space="0" w:color="auto"/>
              <w:left w:val="single" w:sz="4" w:space="0" w:color="auto"/>
              <w:bottom w:val="single" w:sz="12" w:space="0" w:color="auto"/>
              <w:right w:val="single" w:sz="4"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251 (21%)</w:t>
            </w:r>
          </w:p>
        </w:tc>
        <w:tc>
          <w:tcPr>
            <w:tcW w:w="2285" w:type="dxa"/>
            <w:tcBorders>
              <w:top w:val="single" w:sz="4" w:space="0" w:color="auto"/>
              <w:left w:val="single" w:sz="4"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243 (20%)</w:t>
            </w:r>
          </w:p>
        </w:tc>
        <w:tc>
          <w:tcPr>
            <w:tcW w:w="2142" w:type="dxa"/>
            <w:tcBorders>
              <w:top w:val="single" w:sz="4" w:space="0" w:color="auto"/>
              <w:left w:val="single" w:sz="12" w:space="0" w:color="auto"/>
              <w:bottom w:val="single" w:sz="12" w:space="0" w:color="auto"/>
              <w:right w:val="single" w:sz="12" w:space="0" w:color="auto"/>
            </w:tcBorders>
            <w:shd w:val="clear" w:color="auto" w:fill="FFFFFF"/>
            <w:vAlign w:val="center"/>
          </w:tcPr>
          <w:p w:rsidR="007A39B3" w:rsidRPr="007A39B3" w:rsidRDefault="007A39B3" w:rsidP="007A39B3">
            <w:pPr>
              <w:spacing w:line="240" w:lineRule="auto"/>
              <w:jc w:val="center"/>
              <w:rPr>
                <w:rFonts w:eastAsia="Times New Roman" w:cs="Calibri"/>
                <w:sz w:val="20"/>
                <w:szCs w:val="20"/>
              </w:rPr>
            </w:pPr>
            <w:r w:rsidRPr="007A39B3">
              <w:rPr>
                <w:rFonts w:eastAsia="Times New Roman" w:cs="Calibri"/>
                <w:sz w:val="20"/>
                <w:szCs w:val="20"/>
              </w:rPr>
              <w:t>494 (20%)</w:t>
            </w:r>
          </w:p>
        </w:tc>
      </w:tr>
    </w:tbl>
    <w:p w:rsidR="007A39B3" w:rsidRDefault="007A39B3" w:rsidP="007A39B3">
      <w:pPr>
        <w:tabs>
          <w:tab w:val="right" w:leader="dot" w:pos="9639"/>
        </w:tabs>
        <w:spacing w:before="120" w:after="200" w:line="240" w:lineRule="auto"/>
        <w:rPr>
          <w:rFonts w:eastAsia="Times New Roman" w:cs="Calibri"/>
          <w:noProof/>
          <w:lang w:val="en-US" w:eastAsia="en-AU"/>
        </w:rPr>
      </w:pPr>
      <w:r w:rsidRPr="007A39B3">
        <w:rPr>
          <w:rFonts w:eastAsia="Times New Roman" w:cs="Calibri"/>
          <w:noProof/>
          <w:lang w:val="en-US" w:eastAsia="en-AU"/>
        </w:rPr>
        <w:t>Indigenous partnership percentages in the bottom row were calculated using the total partnerships by status in the row directly above. For example, 23% of the total active partnerships are Indigenous.</w:t>
      </w:r>
      <w:bookmarkStart w:id="73" w:name="_Toc323901537"/>
    </w:p>
    <w:p w:rsidR="00134652" w:rsidRPr="00134652" w:rsidRDefault="00134652" w:rsidP="00CE7AF6">
      <w:pPr>
        <w:pStyle w:val="Heading3"/>
        <w:rPr>
          <w:lang w:eastAsia="en-AU"/>
        </w:rPr>
      </w:pPr>
      <w:r w:rsidRPr="00134652">
        <w:rPr>
          <w:lang w:eastAsia="en-AU"/>
        </w:rPr>
        <w:t>Table F – Active vs. Self-Sustaining Partnerships (QLD)</w:t>
      </w:r>
      <w:bookmarkEnd w:id="73"/>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This table shows change in the proportion of partnerships with sta</w:t>
      </w:r>
      <w:r w:rsidR="007A39B3">
        <w:rPr>
          <w:rFonts w:eastAsia="Times New Roman" w:cs="Calibri"/>
          <w:lang w:eastAsia="en-AU"/>
        </w:rPr>
        <w:t>tus active and self-sustaining.</w:t>
      </w:r>
    </w:p>
    <w:p w:rsidR="00134652" w:rsidRPr="00134652" w:rsidRDefault="00134652" w:rsidP="00134652">
      <w:pPr>
        <w:spacing w:line="240" w:lineRule="auto"/>
        <w:rPr>
          <w:rFonts w:eastAsia="Times New Roman" w:cs="Calibri"/>
          <w:lang w:eastAsia="en-AU"/>
        </w:rPr>
      </w:pPr>
      <w:r w:rsidRPr="00134652">
        <w:rPr>
          <w:rFonts w:eastAsia="Times New Roman" w:cs="Calibri"/>
          <w:noProof/>
          <w:lang w:eastAsia="en-AU"/>
        </w:rPr>
        <w:drawing>
          <wp:anchor distT="0" distB="0" distL="114300" distR="114300" simplePos="0" relativeHeight="251663360" behindDoc="0" locked="0" layoutInCell="1" allowOverlap="1" wp14:anchorId="51B28A38" wp14:editId="496D5A57">
            <wp:simplePos x="0" y="0"/>
            <wp:positionH relativeFrom="column">
              <wp:posOffset>2870835</wp:posOffset>
            </wp:positionH>
            <wp:positionV relativeFrom="paragraph">
              <wp:posOffset>91440</wp:posOffset>
            </wp:positionV>
            <wp:extent cx="3612515" cy="1733550"/>
            <wp:effectExtent l="19050" t="0" r="26035" b="0"/>
            <wp:wrapSquare wrapText="bothSides"/>
            <wp:docPr id="30" name="Chart 2" descr="Graphs B - Active vs Self-Sustaining Partnerships (QLD)"/>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tbl>
      <w:tblPr>
        <w:tblStyle w:val="TableGrid2"/>
        <w:tblW w:w="4250" w:type="dxa"/>
        <w:tblLook w:val="00A0" w:firstRow="1" w:lastRow="0" w:firstColumn="1" w:lastColumn="0" w:noHBand="0" w:noVBand="0"/>
        <w:tblCaption w:val="Table F – Active vs. Self-Sustaining Partnerships (QLD)"/>
        <w:tblDescription w:val="Active vs. Self-Sustaining Partnerships (QLD)"/>
      </w:tblPr>
      <w:tblGrid>
        <w:gridCol w:w="1953"/>
        <w:gridCol w:w="1134"/>
        <w:gridCol w:w="1163"/>
      </w:tblGrid>
      <w:tr w:rsidR="00134652" w:rsidRPr="00134652" w:rsidTr="00D35240">
        <w:trPr>
          <w:trHeight w:val="741"/>
          <w:tblHeader/>
        </w:trPr>
        <w:tc>
          <w:tcPr>
            <w:tcW w:w="1953" w:type="dxa"/>
            <w:tcBorders>
              <w:top w:val="single" w:sz="12" w:space="0" w:color="auto"/>
              <w:left w:val="single" w:sz="12" w:space="0" w:color="auto"/>
              <w:right w:val="single" w:sz="12" w:space="0" w:color="auto"/>
            </w:tcBorders>
            <w:shd w:val="clear" w:color="auto" w:fill="92CDDC" w:themeFill="accent5" w:themeFillTint="99"/>
            <w:vAlign w:val="center"/>
          </w:tcPr>
          <w:p w:rsidR="00134652" w:rsidRPr="007A39B3" w:rsidRDefault="007A39B3" w:rsidP="007A39B3">
            <w:pPr>
              <w:pStyle w:val="TableColumnHeadingCentred"/>
              <w:rPr>
                <w:rFonts w:asciiTheme="minorHAnsi" w:hAnsiTheme="minorHAnsi" w:cstheme="minorHAnsi"/>
              </w:rPr>
            </w:pPr>
            <w:r w:rsidRPr="007A39B3">
              <w:rPr>
                <w:rFonts w:asciiTheme="minorHAnsi" w:hAnsiTheme="minorHAnsi" w:cstheme="minorHAnsi"/>
              </w:rPr>
              <w:t>Year (Month)</w:t>
            </w:r>
          </w:p>
        </w:tc>
        <w:tc>
          <w:tcPr>
            <w:tcW w:w="1134" w:type="dxa"/>
            <w:tcBorders>
              <w:top w:val="single" w:sz="12" w:space="0" w:color="auto"/>
              <w:left w:val="single" w:sz="12" w:space="0" w:color="auto"/>
              <w:right w:val="single" w:sz="6" w:space="0" w:color="auto"/>
            </w:tcBorders>
            <w:shd w:val="clear" w:color="auto" w:fill="92CDDC" w:themeFill="accent5" w:themeFillTint="99"/>
            <w:vAlign w:val="center"/>
          </w:tcPr>
          <w:p w:rsidR="00134652" w:rsidRPr="007A39B3" w:rsidRDefault="00134652" w:rsidP="007A39B3">
            <w:pPr>
              <w:pStyle w:val="TableColumnHeadingCentred"/>
              <w:rPr>
                <w:rFonts w:asciiTheme="minorHAnsi" w:hAnsiTheme="minorHAnsi" w:cstheme="minorHAnsi"/>
              </w:rPr>
            </w:pPr>
            <w:r w:rsidRPr="007A39B3">
              <w:rPr>
                <w:rFonts w:asciiTheme="minorHAnsi" w:hAnsiTheme="minorHAnsi" w:cstheme="minorHAnsi"/>
              </w:rPr>
              <w:t>Active</w:t>
            </w:r>
          </w:p>
        </w:tc>
        <w:tc>
          <w:tcPr>
            <w:tcW w:w="1163" w:type="dxa"/>
            <w:tcBorders>
              <w:top w:val="single" w:sz="12" w:space="0" w:color="auto"/>
              <w:left w:val="single" w:sz="6" w:space="0" w:color="auto"/>
              <w:right w:val="single" w:sz="12" w:space="0" w:color="auto"/>
            </w:tcBorders>
            <w:shd w:val="clear" w:color="auto" w:fill="92CDDC" w:themeFill="accent5" w:themeFillTint="99"/>
            <w:vAlign w:val="center"/>
          </w:tcPr>
          <w:p w:rsidR="00134652" w:rsidRPr="007A39B3" w:rsidRDefault="00134652" w:rsidP="007A39B3">
            <w:pPr>
              <w:pStyle w:val="TableColumnHeadingCentred"/>
              <w:rPr>
                <w:rFonts w:asciiTheme="minorHAnsi" w:hAnsiTheme="minorHAnsi" w:cstheme="minorHAnsi"/>
              </w:rPr>
            </w:pPr>
            <w:r w:rsidRPr="007A39B3">
              <w:rPr>
                <w:rFonts w:asciiTheme="minorHAnsi" w:hAnsiTheme="minorHAnsi" w:cstheme="minorHAnsi"/>
              </w:rPr>
              <w:t>Self-sustaining</w:t>
            </w:r>
          </w:p>
        </w:tc>
      </w:tr>
      <w:tr w:rsidR="00134652" w:rsidRPr="00134652" w:rsidTr="007D72B1">
        <w:trPr>
          <w:trHeight w:val="508"/>
        </w:trPr>
        <w:tc>
          <w:tcPr>
            <w:tcW w:w="1953" w:type="dxa"/>
            <w:tcBorders>
              <w:top w:val="single" w:sz="12" w:space="0" w:color="auto"/>
              <w:left w:val="single" w:sz="12" w:space="0" w:color="auto"/>
              <w:right w:val="single" w:sz="12" w:space="0" w:color="auto"/>
            </w:tcBorders>
            <w:shd w:val="clear" w:color="auto" w:fill="DAEEF3" w:themeFill="accent5" w:themeFillTint="33"/>
            <w:vAlign w:val="center"/>
          </w:tcPr>
          <w:p w:rsidR="00134652" w:rsidRPr="007A39B3" w:rsidRDefault="00134652" w:rsidP="00134652">
            <w:pPr>
              <w:spacing w:line="240" w:lineRule="auto"/>
              <w:rPr>
                <w:rFonts w:asciiTheme="minorHAnsi" w:hAnsiTheme="minorHAnsi" w:cstheme="minorHAnsi"/>
                <w:lang w:eastAsia="en-AU"/>
              </w:rPr>
            </w:pPr>
            <w:r w:rsidRPr="007A39B3">
              <w:rPr>
                <w:rFonts w:asciiTheme="minorHAnsi" w:hAnsiTheme="minorHAnsi" w:cstheme="minorHAnsi"/>
                <w:lang w:eastAsia="en-AU"/>
              </w:rPr>
              <w:t>2011 (Apr</w:t>
            </w:r>
            <w:r w:rsidR="007A39B3">
              <w:rPr>
                <w:rFonts w:asciiTheme="minorHAnsi" w:hAnsiTheme="minorHAnsi" w:cstheme="minorHAnsi"/>
                <w:lang w:eastAsia="en-AU"/>
              </w:rPr>
              <w:t>il</w:t>
            </w:r>
            <w:r w:rsidRPr="007A39B3">
              <w:rPr>
                <w:rFonts w:asciiTheme="minorHAnsi" w:hAnsiTheme="minorHAnsi" w:cstheme="minorHAnsi"/>
                <w:lang w:eastAsia="en-AU"/>
              </w:rPr>
              <w:t>)</w:t>
            </w:r>
          </w:p>
        </w:tc>
        <w:tc>
          <w:tcPr>
            <w:tcW w:w="1134" w:type="dxa"/>
            <w:tcBorders>
              <w:top w:val="single" w:sz="12" w:space="0" w:color="auto"/>
              <w:left w:val="single" w:sz="12" w:space="0" w:color="auto"/>
              <w:right w:val="single" w:sz="6" w:space="0" w:color="auto"/>
            </w:tcBorders>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74%</w:t>
            </w:r>
          </w:p>
        </w:tc>
        <w:tc>
          <w:tcPr>
            <w:tcW w:w="1163" w:type="dxa"/>
            <w:tcBorders>
              <w:top w:val="single" w:sz="12" w:space="0" w:color="auto"/>
              <w:left w:val="single" w:sz="6" w:space="0" w:color="auto"/>
              <w:right w:val="single" w:sz="12" w:space="0" w:color="auto"/>
            </w:tcBorders>
            <w:shd w:val="clear" w:color="auto" w:fill="FFFFFF" w:themeFill="background1"/>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26%</w:t>
            </w:r>
          </w:p>
        </w:tc>
      </w:tr>
      <w:tr w:rsidR="00134652" w:rsidRPr="00134652" w:rsidTr="007D72B1">
        <w:trPr>
          <w:trHeight w:val="538"/>
        </w:trPr>
        <w:tc>
          <w:tcPr>
            <w:tcW w:w="1953" w:type="dxa"/>
            <w:tcBorders>
              <w:left w:val="single" w:sz="12" w:space="0" w:color="auto"/>
              <w:right w:val="single" w:sz="12" w:space="0" w:color="auto"/>
            </w:tcBorders>
            <w:shd w:val="clear" w:color="auto" w:fill="DAEEF3" w:themeFill="accent5" w:themeFillTint="33"/>
            <w:vAlign w:val="center"/>
          </w:tcPr>
          <w:p w:rsidR="00134652" w:rsidRPr="007A39B3" w:rsidRDefault="00134652" w:rsidP="00134652">
            <w:pPr>
              <w:spacing w:line="240" w:lineRule="auto"/>
              <w:rPr>
                <w:rFonts w:asciiTheme="minorHAnsi" w:hAnsiTheme="minorHAnsi" w:cstheme="minorHAnsi"/>
                <w:lang w:eastAsia="en-AU"/>
              </w:rPr>
            </w:pPr>
            <w:r w:rsidRPr="007A39B3">
              <w:rPr>
                <w:rFonts w:asciiTheme="minorHAnsi" w:hAnsiTheme="minorHAnsi" w:cstheme="minorHAnsi"/>
                <w:lang w:eastAsia="en-AU"/>
              </w:rPr>
              <w:t>2011 (Sept</w:t>
            </w:r>
            <w:r w:rsidR="007A39B3">
              <w:rPr>
                <w:rFonts w:asciiTheme="minorHAnsi" w:hAnsiTheme="minorHAnsi" w:cstheme="minorHAnsi"/>
                <w:lang w:eastAsia="en-AU"/>
              </w:rPr>
              <w:t>ember</w:t>
            </w:r>
            <w:r w:rsidRPr="007A39B3">
              <w:rPr>
                <w:rFonts w:asciiTheme="minorHAnsi" w:hAnsiTheme="minorHAnsi" w:cstheme="minorHAnsi"/>
                <w:lang w:eastAsia="en-AU"/>
              </w:rPr>
              <w:t>)</w:t>
            </w:r>
          </w:p>
        </w:tc>
        <w:tc>
          <w:tcPr>
            <w:tcW w:w="1134" w:type="dxa"/>
            <w:tcBorders>
              <w:left w:val="single" w:sz="12" w:space="0" w:color="auto"/>
            </w:tcBorders>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72%</w:t>
            </w:r>
          </w:p>
        </w:tc>
        <w:tc>
          <w:tcPr>
            <w:tcW w:w="1163" w:type="dxa"/>
            <w:tcBorders>
              <w:right w:val="single" w:sz="12" w:space="0" w:color="auto"/>
            </w:tcBorders>
            <w:shd w:val="clear" w:color="auto" w:fill="FFFFFF" w:themeFill="background1"/>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28%</w:t>
            </w:r>
          </w:p>
        </w:tc>
      </w:tr>
      <w:tr w:rsidR="00134652" w:rsidRPr="00134652" w:rsidTr="007D72B1">
        <w:trPr>
          <w:trHeight w:val="538"/>
        </w:trPr>
        <w:tc>
          <w:tcPr>
            <w:tcW w:w="1953" w:type="dxa"/>
            <w:tcBorders>
              <w:left w:val="single" w:sz="12" w:space="0" w:color="auto"/>
              <w:bottom w:val="single" w:sz="12" w:space="0" w:color="auto"/>
              <w:right w:val="single" w:sz="12" w:space="0" w:color="auto"/>
            </w:tcBorders>
            <w:shd w:val="clear" w:color="auto" w:fill="DAEEF3" w:themeFill="accent5" w:themeFillTint="33"/>
            <w:vAlign w:val="center"/>
          </w:tcPr>
          <w:p w:rsidR="00134652" w:rsidRPr="007A39B3" w:rsidRDefault="00134652" w:rsidP="00134652">
            <w:pPr>
              <w:spacing w:line="240" w:lineRule="auto"/>
              <w:rPr>
                <w:rFonts w:asciiTheme="minorHAnsi" w:hAnsiTheme="minorHAnsi" w:cstheme="minorHAnsi"/>
                <w:lang w:eastAsia="en-AU"/>
              </w:rPr>
            </w:pPr>
            <w:r w:rsidRPr="007A39B3">
              <w:rPr>
                <w:rFonts w:asciiTheme="minorHAnsi" w:hAnsiTheme="minorHAnsi" w:cstheme="minorHAnsi"/>
                <w:lang w:eastAsia="en-AU"/>
              </w:rPr>
              <w:t>2012 (Apr</w:t>
            </w:r>
            <w:r w:rsidR="007A39B3">
              <w:rPr>
                <w:rFonts w:asciiTheme="minorHAnsi" w:hAnsiTheme="minorHAnsi" w:cstheme="minorHAnsi"/>
                <w:lang w:eastAsia="en-AU"/>
              </w:rPr>
              <w:t>il</w:t>
            </w:r>
            <w:r w:rsidRPr="007A39B3">
              <w:rPr>
                <w:rFonts w:asciiTheme="minorHAnsi" w:hAnsiTheme="minorHAnsi" w:cstheme="minorHAnsi"/>
                <w:lang w:eastAsia="en-AU"/>
              </w:rPr>
              <w:t>)</w:t>
            </w:r>
          </w:p>
        </w:tc>
        <w:tc>
          <w:tcPr>
            <w:tcW w:w="1134" w:type="dxa"/>
            <w:tcBorders>
              <w:left w:val="single" w:sz="12" w:space="0" w:color="auto"/>
              <w:bottom w:val="single" w:sz="12" w:space="0" w:color="auto"/>
            </w:tcBorders>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59%</w:t>
            </w:r>
          </w:p>
        </w:tc>
        <w:tc>
          <w:tcPr>
            <w:tcW w:w="1163" w:type="dxa"/>
            <w:tcBorders>
              <w:bottom w:val="single" w:sz="12" w:space="0" w:color="auto"/>
              <w:right w:val="single" w:sz="12" w:space="0" w:color="auto"/>
            </w:tcBorders>
            <w:shd w:val="clear" w:color="auto" w:fill="FFFFFF" w:themeFill="background1"/>
            <w:vAlign w:val="center"/>
          </w:tcPr>
          <w:p w:rsidR="00134652" w:rsidRPr="007A39B3" w:rsidRDefault="00134652" w:rsidP="00134652">
            <w:pPr>
              <w:spacing w:line="240" w:lineRule="auto"/>
              <w:jc w:val="center"/>
              <w:rPr>
                <w:rFonts w:asciiTheme="minorHAnsi" w:hAnsiTheme="minorHAnsi" w:cstheme="minorHAnsi"/>
              </w:rPr>
            </w:pPr>
            <w:r w:rsidRPr="007A39B3">
              <w:rPr>
                <w:rFonts w:asciiTheme="minorHAnsi" w:hAnsiTheme="minorHAnsi" w:cstheme="minorHAnsi"/>
              </w:rPr>
              <w:t>41%</w:t>
            </w:r>
          </w:p>
        </w:tc>
      </w:tr>
    </w:tbl>
    <w:p w:rsidR="00134652" w:rsidRPr="00134652" w:rsidRDefault="00134652" w:rsidP="007A39B3">
      <w:pPr>
        <w:pStyle w:val="Heading3"/>
        <w:spacing w:before="120"/>
        <w:rPr>
          <w:lang w:eastAsia="en-AU"/>
        </w:rPr>
      </w:pPr>
      <w:bookmarkStart w:id="74" w:name="_Toc323901538"/>
      <w:r w:rsidRPr="00134652">
        <w:t>Table G – Number of Partnerships by Partnership Category</w:t>
      </w:r>
      <w:bookmarkEnd w:id="74"/>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 xml:space="preserve">This table shows the category of partnerships. </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Please see below for descriptions of the different partnership category options:</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Brokered Partnership:</w:t>
      </w:r>
      <w:r w:rsidRPr="00134652">
        <w:rPr>
          <w:rFonts w:eastAsia="Times New Roman" w:cs="Calibri"/>
          <w:lang w:eastAsia="en-AU"/>
        </w:rPr>
        <w:t xml:space="preserve"> A brokered partnership is any ‘new’ partnership that is established or created with support from the Partnership Broker.</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Pre-existing Partnership:</w:t>
      </w:r>
      <w:r w:rsidRPr="00134652">
        <w:rPr>
          <w:rFonts w:eastAsia="Times New Roman" w:cs="Calibri"/>
          <w:lang w:eastAsia="en-AU"/>
        </w:rPr>
        <w:t xml:space="preserve"> A pre-existing partnership is a previously established partnership that is being enhanced with the supp</w:t>
      </w:r>
      <w:r w:rsidR="00A568A2">
        <w:rPr>
          <w:rFonts w:eastAsia="Times New Roman" w:cs="Calibri"/>
          <w:lang w:eastAsia="en-AU"/>
        </w:rPr>
        <w:t xml:space="preserve">ort of the Partnership Broker. </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this data includes partnerships with status active, self-sustaining, draft, inactive and terminated. National figures do not include Victoria.</w:t>
      </w:r>
    </w:p>
    <w:p w:rsidR="007D72B1" w:rsidRPr="007D72B1" w:rsidRDefault="007D72B1" w:rsidP="007D72B1">
      <w:pPr>
        <w:pStyle w:val="Heading3"/>
        <w:rPr>
          <w:rFonts w:cs="Calibri"/>
          <w:lang w:eastAsia="en-AU"/>
        </w:rPr>
      </w:pPr>
      <w:r w:rsidRPr="007D72B1">
        <w:rPr>
          <w:lang w:eastAsia="en-AU"/>
        </w:rPr>
        <w:t>Number of Partnerships by Partnership Category (</w:t>
      </w:r>
      <w:r>
        <w:rPr>
          <w:lang w:eastAsia="en-AU"/>
        </w:rPr>
        <w:t>QLD)</w:t>
      </w:r>
    </w:p>
    <w:tbl>
      <w:tblPr>
        <w:tblW w:w="9923" w:type="dxa"/>
        <w:jc w:val="center"/>
        <w:tblLayout w:type="fixed"/>
        <w:tblCellMar>
          <w:left w:w="57" w:type="dxa"/>
          <w:right w:w="57" w:type="dxa"/>
        </w:tblCellMar>
        <w:tblLook w:val="0020" w:firstRow="1" w:lastRow="0" w:firstColumn="0" w:lastColumn="0" w:noHBand="0" w:noVBand="0"/>
      </w:tblPr>
      <w:tblGrid>
        <w:gridCol w:w="1555"/>
        <w:gridCol w:w="1564"/>
        <w:gridCol w:w="1831"/>
        <w:gridCol w:w="1713"/>
        <w:gridCol w:w="1559"/>
        <w:gridCol w:w="1701"/>
      </w:tblGrid>
      <w:tr w:rsidR="007D72B1" w:rsidRPr="007D72B1" w:rsidTr="007D72B1">
        <w:trPr>
          <w:trHeight w:val="460"/>
          <w:jc w:val="center"/>
        </w:trPr>
        <w:tc>
          <w:tcPr>
            <w:tcW w:w="1555"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Number of Pre-Existing</w:t>
            </w:r>
            <w:r>
              <w:t xml:space="preserve"> Partnerships (QLD</w:t>
            </w:r>
            <w:r w:rsidRPr="007D72B1">
              <w:t>)</w:t>
            </w:r>
          </w:p>
        </w:tc>
        <w:tc>
          <w:tcPr>
            <w:tcW w:w="1564"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 xml:space="preserve">Percentage </w:t>
            </w:r>
            <w:r>
              <w:t>of Pre-Existing Partnerships (QLD</w:t>
            </w:r>
            <w:r w:rsidRPr="007D72B1">
              <w:t>)</w:t>
            </w:r>
          </w:p>
        </w:tc>
        <w:tc>
          <w:tcPr>
            <w:tcW w:w="1831"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Num</w:t>
            </w:r>
            <w:r>
              <w:t>ber of Brokered Partnerships (QLD</w:t>
            </w:r>
            <w:r w:rsidRPr="007D72B1">
              <w:t>)</w:t>
            </w:r>
          </w:p>
        </w:tc>
        <w:tc>
          <w:tcPr>
            <w:tcW w:w="1713"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Percent</w:t>
            </w:r>
            <w:r>
              <w:t>age of Brokered Partnerships (QLD</w:t>
            </w:r>
            <w:r w:rsidRPr="007D72B1">
              <w:t>)</w:t>
            </w:r>
          </w:p>
        </w:tc>
        <w:tc>
          <w:tcPr>
            <w:tcW w:w="1559"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t>Total Number of Partnerships (QLD</w:t>
            </w:r>
            <w:r w:rsidRPr="007D72B1">
              <w:t>)</w:t>
            </w:r>
          </w:p>
        </w:tc>
        <w:tc>
          <w:tcPr>
            <w:tcW w:w="1701"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Tota</w:t>
            </w:r>
            <w:r>
              <w:t>l Percentage of Partnerships (QLD</w:t>
            </w:r>
            <w:r w:rsidRPr="007D72B1">
              <w:t>)</w:t>
            </w:r>
          </w:p>
        </w:tc>
      </w:tr>
      <w:tr w:rsidR="007D72B1" w:rsidRPr="007D72B1" w:rsidTr="007D72B1">
        <w:trPr>
          <w:trHeight w:val="46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134652">
              <w:rPr>
                <w:rFonts w:eastAsia="Times New Roman" w:cs="Calibri"/>
                <w:sz w:val="20"/>
                <w:szCs w:val="20"/>
              </w:rPr>
              <w:t>92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134652">
              <w:rPr>
                <w:rFonts w:eastAsia="Times New Roman" w:cs="Calibri"/>
                <w:sz w:val="20"/>
                <w:szCs w:val="20"/>
              </w:rPr>
              <w:t>(15%)</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b/>
                <w:sz w:val="20"/>
                <w:szCs w:val="20"/>
                <w:lang w:eastAsia="en-AU"/>
              </w:rPr>
            </w:pPr>
            <w:r w:rsidRPr="00134652">
              <w:rPr>
                <w:rFonts w:eastAsia="Times New Roman" w:cs="Calibri"/>
                <w:sz w:val="20"/>
                <w:szCs w:val="20"/>
              </w:rPr>
              <w:t>511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134652">
              <w:rPr>
                <w:rFonts w:eastAsia="Times New Roman" w:cs="Calibri"/>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134652">
              <w:rPr>
                <w:rFonts w:eastAsia="Times New Roman" w:cs="Calibri"/>
                <w:sz w:val="20"/>
                <w:szCs w:val="20"/>
              </w:rPr>
              <w:t>603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b/>
                <w:sz w:val="20"/>
                <w:szCs w:val="20"/>
                <w:lang w:eastAsia="en-AU"/>
              </w:rPr>
            </w:pPr>
            <w:r w:rsidRPr="007D72B1">
              <w:rPr>
                <w:rFonts w:eastAsia="Times New Roman" w:cs="Calibri"/>
                <w:sz w:val="20"/>
                <w:szCs w:val="20"/>
              </w:rPr>
              <w:t>100%</w:t>
            </w:r>
          </w:p>
        </w:tc>
      </w:tr>
    </w:tbl>
    <w:p w:rsidR="007D72B1" w:rsidRPr="007D72B1" w:rsidRDefault="007D72B1" w:rsidP="007D72B1">
      <w:pPr>
        <w:pStyle w:val="Heading3"/>
        <w:rPr>
          <w:rFonts w:cs="Calibri"/>
          <w:lang w:eastAsia="en-AU"/>
        </w:rPr>
      </w:pPr>
      <w:r w:rsidRPr="007D72B1">
        <w:rPr>
          <w:lang w:eastAsia="en-AU"/>
        </w:rPr>
        <w:t>Number of Partnerships by Partnership Category Nationally</w:t>
      </w:r>
    </w:p>
    <w:tbl>
      <w:tblPr>
        <w:tblW w:w="9923" w:type="dxa"/>
        <w:jc w:val="center"/>
        <w:tblLayout w:type="fixed"/>
        <w:tblCellMar>
          <w:left w:w="57" w:type="dxa"/>
          <w:right w:w="57" w:type="dxa"/>
        </w:tblCellMar>
        <w:tblLook w:val="0020" w:firstRow="1" w:lastRow="0" w:firstColumn="0" w:lastColumn="0" w:noHBand="0" w:noVBand="0"/>
      </w:tblPr>
      <w:tblGrid>
        <w:gridCol w:w="1555"/>
        <w:gridCol w:w="1564"/>
        <w:gridCol w:w="1831"/>
        <w:gridCol w:w="1713"/>
        <w:gridCol w:w="1559"/>
        <w:gridCol w:w="1701"/>
      </w:tblGrid>
      <w:tr w:rsidR="007D72B1" w:rsidRPr="007D72B1" w:rsidTr="007D72B1">
        <w:trPr>
          <w:trHeight w:val="460"/>
          <w:jc w:val="center"/>
        </w:trPr>
        <w:tc>
          <w:tcPr>
            <w:tcW w:w="1555"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Number of Pre-Existing Partnerships Nationally</w:t>
            </w:r>
          </w:p>
        </w:tc>
        <w:tc>
          <w:tcPr>
            <w:tcW w:w="1564"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Percentage of Pre-Existing Partnerships Nationally</w:t>
            </w:r>
          </w:p>
        </w:tc>
        <w:tc>
          <w:tcPr>
            <w:tcW w:w="1831"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Number of Brokered Partnerships Nationally</w:t>
            </w:r>
          </w:p>
        </w:tc>
        <w:tc>
          <w:tcPr>
            <w:tcW w:w="1713"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Percentage of Brokered Partnerships Nationally</w:t>
            </w:r>
          </w:p>
        </w:tc>
        <w:tc>
          <w:tcPr>
            <w:tcW w:w="1559"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Total Number of Partnerships Nationally</w:t>
            </w:r>
          </w:p>
        </w:tc>
        <w:tc>
          <w:tcPr>
            <w:tcW w:w="1701" w:type="dxa"/>
            <w:tcBorders>
              <w:top w:val="single" w:sz="4" w:space="0" w:color="auto"/>
              <w:left w:val="single" w:sz="4" w:space="0" w:color="auto"/>
              <w:bottom w:val="single" w:sz="4" w:space="0" w:color="auto"/>
              <w:right w:val="single" w:sz="4" w:space="0" w:color="auto"/>
            </w:tcBorders>
            <w:shd w:val="clear" w:color="auto" w:fill="92CDDC"/>
            <w:vAlign w:val="center"/>
          </w:tcPr>
          <w:p w:rsidR="007D72B1" w:rsidRPr="007D72B1" w:rsidRDefault="007D72B1" w:rsidP="007D72B1">
            <w:pPr>
              <w:pStyle w:val="TableColumnHeadingCentred"/>
            </w:pPr>
            <w:r w:rsidRPr="007D72B1">
              <w:t>Total Percentage of Partnerships Nationally</w:t>
            </w:r>
          </w:p>
        </w:tc>
      </w:tr>
      <w:tr w:rsidR="007D72B1" w:rsidRPr="007D72B1" w:rsidTr="007D72B1">
        <w:trPr>
          <w:trHeight w:val="460"/>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7D72B1">
              <w:rPr>
                <w:rFonts w:eastAsia="Times New Roman" w:cs="Calibri"/>
                <w:sz w:val="20"/>
                <w:szCs w:val="20"/>
              </w:rPr>
              <w:t>372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7D72B1">
              <w:rPr>
                <w:rFonts w:eastAsia="Times New Roman" w:cs="Calibri"/>
                <w:sz w:val="20"/>
                <w:szCs w:val="20"/>
              </w:rPr>
              <w:t>15%</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b/>
                <w:sz w:val="20"/>
                <w:szCs w:val="20"/>
                <w:lang w:eastAsia="en-AU"/>
              </w:rPr>
            </w:pPr>
            <w:r w:rsidRPr="007D72B1">
              <w:rPr>
                <w:rFonts w:eastAsia="Times New Roman" w:cs="Calibri"/>
                <w:sz w:val="20"/>
                <w:szCs w:val="20"/>
              </w:rPr>
              <w:t>2067</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7D72B1">
              <w:rPr>
                <w:rFonts w:eastAsia="Times New Roman" w:cs="Calibri"/>
                <w:sz w:val="20"/>
                <w:szCs w:val="20"/>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sz w:val="20"/>
                <w:szCs w:val="20"/>
                <w:lang w:eastAsia="en-AU"/>
              </w:rPr>
            </w:pPr>
            <w:r w:rsidRPr="007D72B1">
              <w:rPr>
                <w:rFonts w:eastAsia="Times New Roman" w:cs="Calibri"/>
                <w:sz w:val="20"/>
                <w:szCs w:val="20"/>
              </w:rPr>
              <w:t>2439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72B1" w:rsidRPr="007D72B1" w:rsidRDefault="007D72B1" w:rsidP="007D72B1">
            <w:pPr>
              <w:spacing w:line="240" w:lineRule="auto"/>
              <w:jc w:val="center"/>
              <w:rPr>
                <w:rFonts w:ascii="Arial" w:eastAsia="Times New Roman" w:hAnsi="Arial" w:cs="Arial"/>
                <w:b/>
                <w:sz w:val="20"/>
                <w:szCs w:val="20"/>
                <w:lang w:eastAsia="en-AU"/>
              </w:rPr>
            </w:pPr>
            <w:r w:rsidRPr="007D72B1">
              <w:rPr>
                <w:rFonts w:eastAsia="Times New Roman" w:cs="Calibri"/>
                <w:sz w:val="20"/>
                <w:szCs w:val="20"/>
              </w:rPr>
              <w:t>100%</w:t>
            </w:r>
          </w:p>
        </w:tc>
      </w:tr>
    </w:tbl>
    <w:p w:rsidR="007D72B1" w:rsidRPr="00134652" w:rsidRDefault="007D72B1" w:rsidP="00134652">
      <w:pPr>
        <w:spacing w:line="240" w:lineRule="auto"/>
        <w:rPr>
          <w:rFonts w:ascii="Cambria" w:eastAsia="Times New Roman" w:hAnsi="Cambria"/>
          <w:color w:val="365F91"/>
          <w:sz w:val="28"/>
          <w:szCs w:val="28"/>
        </w:rPr>
        <w:sectPr w:rsidR="007D72B1" w:rsidRPr="00134652" w:rsidSect="00BF7F25">
          <w:pgSz w:w="11906" w:h="16838"/>
          <w:pgMar w:top="822" w:right="849" w:bottom="851" w:left="1134" w:header="709" w:footer="0" w:gutter="0"/>
          <w:cols w:space="708"/>
          <w:docGrid w:linePitch="360"/>
        </w:sectPr>
      </w:pPr>
    </w:p>
    <w:p w:rsidR="00134652" w:rsidRPr="00134652" w:rsidRDefault="00134652" w:rsidP="00CE7AF6">
      <w:pPr>
        <w:pStyle w:val="Heading3"/>
        <w:rPr>
          <w:rFonts w:cs="Calibri"/>
          <w:lang w:eastAsia="en-AU"/>
        </w:rPr>
      </w:pPr>
      <w:bookmarkStart w:id="75" w:name="_Toc292697125"/>
      <w:bookmarkStart w:id="76" w:name="_Toc323901539"/>
      <w:r w:rsidRPr="00134652">
        <w:lastRenderedPageBreak/>
        <w:t>Table H – Key Performance Measure (</w:t>
      </w:r>
      <w:proofErr w:type="spellStart"/>
      <w:r w:rsidRPr="00134652">
        <w:t>KPM</w:t>
      </w:r>
      <w:proofErr w:type="spellEnd"/>
      <w:r w:rsidRPr="00134652">
        <w:t>) Evaluation Ratings</w:t>
      </w:r>
      <w:r w:rsidRPr="00134652">
        <w:rPr>
          <w:rFonts w:cs="Calibri"/>
          <w:lang w:eastAsia="en-AU"/>
        </w:rPr>
        <w:t xml:space="preserve"> (data as at 2 April)</w:t>
      </w:r>
      <w:bookmarkEnd w:id="75"/>
      <w:bookmarkEnd w:id="76"/>
    </w:p>
    <w:p w:rsidR="00134652" w:rsidRPr="00134652" w:rsidRDefault="00134652" w:rsidP="00134652">
      <w:pPr>
        <w:spacing w:line="240" w:lineRule="auto"/>
        <w:rPr>
          <w:rFonts w:eastAsia="Times New Roman" w:cs="Calibri"/>
          <w:lang w:eastAsia="en-AU"/>
        </w:rPr>
      </w:pPr>
      <w:r w:rsidRPr="00134652">
        <w:rPr>
          <w:rFonts w:eastAsia="Times New Roman" w:cs="Calibri"/>
          <w:lang w:eastAsia="en-AU"/>
        </w:rPr>
        <w:t xml:space="preserve">These tables show the number of times each </w:t>
      </w:r>
      <w:proofErr w:type="spellStart"/>
      <w:r w:rsidRPr="00134652">
        <w:rPr>
          <w:rFonts w:eastAsia="Times New Roman" w:cs="Calibri"/>
          <w:lang w:eastAsia="en-AU"/>
        </w:rPr>
        <w:t>KPM</w:t>
      </w:r>
      <w:proofErr w:type="spellEnd"/>
      <w:r w:rsidRPr="00134652">
        <w:rPr>
          <w:rFonts w:eastAsia="Times New Roman" w:cs="Calibri"/>
          <w:lang w:eastAsia="en-AU"/>
        </w:rPr>
        <w:t xml:space="preserve"> evaluation value (e.g. 1, 2, 3, 4, 5) have been selected, based on the latest evaluation rating recorded in the system (YATMIS). Each evaluation value maps to a descriptor of the progress a partnership has made against a particular </w:t>
      </w:r>
      <w:proofErr w:type="spellStart"/>
      <w:r w:rsidRPr="00134652">
        <w:rPr>
          <w:rFonts w:eastAsia="Times New Roman" w:cs="Calibri"/>
          <w:lang w:eastAsia="en-AU"/>
        </w:rPr>
        <w:t>KPM</w:t>
      </w:r>
      <w:proofErr w:type="spellEnd"/>
      <w:r w:rsidRPr="00134652">
        <w:rPr>
          <w:rFonts w:eastAsia="Times New Roman" w:cs="Calibri"/>
          <w:lang w:eastAsia="en-AU"/>
        </w:rPr>
        <w:t>. The values and their corresponding descriptors are outlined below:</w:t>
      </w:r>
    </w:p>
    <w:p w:rsidR="00134652" w:rsidRPr="00134652" w:rsidRDefault="00134652" w:rsidP="00134652">
      <w:pPr>
        <w:spacing w:line="240" w:lineRule="auto"/>
        <w:rPr>
          <w:rFonts w:eastAsia="Times New Roman" w:cs="Calibri"/>
          <w:lang w:eastAsia="en-AU"/>
        </w:rPr>
      </w:pPr>
    </w:p>
    <w:p w:rsidR="00134652" w:rsidRPr="00134652" w:rsidRDefault="00134652" w:rsidP="00134652">
      <w:pPr>
        <w:spacing w:line="360" w:lineRule="auto"/>
        <w:ind w:left="142"/>
        <w:rPr>
          <w:rFonts w:eastAsia="Times New Roman" w:cs="Calibri"/>
          <w:b/>
        </w:rPr>
      </w:pPr>
      <w:r w:rsidRPr="00134652">
        <w:rPr>
          <w:rFonts w:eastAsia="Times New Roman" w:cs="Calibri"/>
          <w:b/>
        </w:rPr>
        <w:t xml:space="preserve">1 = </w:t>
      </w:r>
      <w:r w:rsidRPr="00134652">
        <w:rPr>
          <w:rFonts w:eastAsia="Times New Roman" w:cs="Calibri"/>
        </w:rPr>
        <w:t>Limited</w:t>
      </w:r>
      <w:r w:rsidRPr="00134652">
        <w:rPr>
          <w:rFonts w:eastAsia="Times New Roman" w:cs="Calibri"/>
          <w:b/>
        </w:rPr>
        <w:tab/>
        <w:t xml:space="preserve">2 = </w:t>
      </w:r>
      <w:r w:rsidRPr="00134652">
        <w:rPr>
          <w:rFonts w:eastAsia="Times New Roman" w:cs="Calibri"/>
        </w:rPr>
        <w:t>Some Progress</w:t>
      </w:r>
      <w:r w:rsidRPr="00134652">
        <w:rPr>
          <w:rFonts w:eastAsia="Times New Roman" w:cs="Calibri"/>
          <w:b/>
        </w:rPr>
        <w:t xml:space="preserve"> </w:t>
      </w:r>
      <w:r w:rsidRPr="00134652">
        <w:rPr>
          <w:rFonts w:eastAsia="Times New Roman" w:cs="Calibri"/>
          <w:b/>
        </w:rPr>
        <w:tab/>
        <w:t xml:space="preserve">3 = </w:t>
      </w:r>
      <w:r w:rsidRPr="00134652">
        <w:rPr>
          <w:rFonts w:eastAsia="Times New Roman" w:cs="Calibri"/>
        </w:rPr>
        <w:t>Satisfactory</w:t>
      </w:r>
      <w:r w:rsidRPr="00134652">
        <w:rPr>
          <w:rFonts w:eastAsia="Times New Roman" w:cs="Calibri"/>
        </w:rPr>
        <w:tab/>
      </w:r>
      <w:r w:rsidRPr="00134652">
        <w:rPr>
          <w:rFonts w:eastAsia="Times New Roman" w:cs="Calibri"/>
          <w:b/>
        </w:rPr>
        <w:tab/>
        <w:t xml:space="preserve">4 = </w:t>
      </w:r>
      <w:r w:rsidRPr="00134652">
        <w:rPr>
          <w:rFonts w:eastAsia="Times New Roman" w:cs="Calibri"/>
        </w:rPr>
        <w:t>Considerable Progress</w:t>
      </w:r>
      <w:r w:rsidRPr="00134652">
        <w:rPr>
          <w:rFonts w:eastAsia="Times New Roman" w:cs="Calibri"/>
        </w:rPr>
        <w:tab/>
      </w:r>
      <w:r w:rsidRPr="00134652">
        <w:rPr>
          <w:rFonts w:eastAsia="Times New Roman" w:cs="Calibri"/>
          <w:b/>
        </w:rPr>
        <w:t xml:space="preserve">5 = </w:t>
      </w:r>
      <w:r w:rsidRPr="00134652">
        <w:rPr>
          <w:rFonts w:eastAsia="Times New Roman" w:cs="Calibri"/>
        </w:rPr>
        <w:t>Achieved</w:t>
      </w:r>
    </w:p>
    <w:p w:rsidR="00134652" w:rsidRPr="00134652" w:rsidRDefault="00134652" w:rsidP="00134652">
      <w:pPr>
        <w:spacing w:line="240" w:lineRule="auto"/>
        <w:rPr>
          <w:rFonts w:eastAsia="Times New Roman" w:cs="Calibri"/>
          <w:lang w:eastAsia="en-AU"/>
        </w:rPr>
      </w:pPr>
      <w:r w:rsidRPr="00134652">
        <w:rPr>
          <w:rFonts w:eastAsia="Times New Roman" w:cs="Calibri"/>
          <w:b/>
          <w:lang w:eastAsia="en-AU"/>
        </w:rPr>
        <w:t>*Note:</w:t>
      </w:r>
      <w:r w:rsidRPr="00134652">
        <w:rPr>
          <w:rFonts w:eastAsia="Times New Roman" w:cs="Calibri"/>
          <w:lang w:eastAsia="en-AU"/>
        </w:rPr>
        <w:t xml:space="preserve"> Regional Solution </w:t>
      </w:r>
      <w:proofErr w:type="spellStart"/>
      <w:r w:rsidRPr="00134652">
        <w:rPr>
          <w:rFonts w:eastAsia="Times New Roman" w:cs="Calibri"/>
          <w:lang w:eastAsia="en-AU"/>
        </w:rPr>
        <w:t>KPMs</w:t>
      </w:r>
      <w:proofErr w:type="spellEnd"/>
      <w:r w:rsidRPr="00134652">
        <w:rPr>
          <w:rFonts w:eastAsia="Times New Roman" w:cs="Calibri"/>
          <w:lang w:eastAsia="en-AU"/>
        </w:rPr>
        <w:t xml:space="preserve"> and </w:t>
      </w:r>
      <w:proofErr w:type="spellStart"/>
      <w:r w:rsidRPr="00134652">
        <w:rPr>
          <w:rFonts w:eastAsia="Times New Roman" w:cs="Calibri"/>
          <w:lang w:eastAsia="en-AU"/>
        </w:rPr>
        <w:t>KPM</w:t>
      </w:r>
      <w:proofErr w:type="spellEnd"/>
      <w:r w:rsidRPr="00134652">
        <w:rPr>
          <w:rFonts w:eastAsia="Times New Roman" w:cs="Calibri"/>
          <w:lang w:eastAsia="en-AU"/>
        </w:rPr>
        <w:t xml:space="preserve"> category ‘Other’ are not reflected. In many cases, progress against Parent and Family </w:t>
      </w:r>
      <w:proofErr w:type="spellStart"/>
      <w:r w:rsidRPr="00134652">
        <w:rPr>
          <w:rFonts w:eastAsia="Times New Roman" w:cs="Calibri"/>
          <w:lang w:eastAsia="en-AU"/>
        </w:rPr>
        <w:t>KPMs</w:t>
      </w:r>
      <w:proofErr w:type="spellEnd"/>
      <w:r w:rsidRPr="00134652">
        <w:rPr>
          <w:rFonts w:eastAsia="Times New Roman" w:cs="Calibri"/>
          <w:lang w:eastAsia="en-AU"/>
        </w:rPr>
        <w:t xml:space="preserve"> has been achieved through partnerships that do not include parent or family groups as members. While there are some partnerships that do involve parent and family groups, these groups represent only three per cent of the total number of organisations in partnerships.</w:t>
      </w:r>
    </w:p>
    <w:p w:rsidR="000C4339" w:rsidRPr="00134652" w:rsidRDefault="000C4339" w:rsidP="00134652">
      <w:pPr>
        <w:spacing w:line="240" w:lineRule="auto"/>
        <w:rPr>
          <w:rFonts w:eastAsia="Times New Roman" w:cs="Calibri"/>
        </w:rPr>
        <w:sectPr w:rsidR="000C4339" w:rsidRPr="00134652" w:rsidSect="00BF7F25">
          <w:pgSz w:w="11907" w:h="16839" w:code="9"/>
          <w:pgMar w:top="426" w:right="708" w:bottom="567" w:left="709" w:header="1" w:footer="0" w:gutter="0"/>
          <w:cols w:space="708"/>
          <w:docGrid w:linePitch="360"/>
        </w:sectPr>
      </w:pPr>
    </w:p>
    <w:p w:rsidR="00134652" w:rsidRPr="00134652" w:rsidRDefault="00134652" w:rsidP="000C4339">
      <w:pPr>
        <w:spacing w:before="120" w:line="240" w:lineRule="auto"/>
        <w:rPr>
          <w:rFonts w:eastAsia="Times New Roman" w:cs="Calibri"/>
        </w:rPr>
      </w:pPr>
    </w:p>
    <w:tbl>
      <w:tblPr>
        <w:tblpPr w:leftFromText="180" w:rightFromText="180" w:vertAnchor="text" w:horzAnchor="margin" w:tblpXSpec="center" w:tblpY="14"/>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64"/>
        <w:gridCol w:w="1187"/>
        <w:gridCol w:w="737"/>
        <w:gridCol w:w="826"/>
        <w:gridCol w:w="1094"/>
        <w:gridCol w:w="1199"/>
        <w:gridCol w:w="879"/>
      </w:tblGrid>
      <w:tr w:rsidR="007D72B1" w:rsidRPr="00134652" w:rsidTr="00F610B6">
        <w:trPr>
          <w:trHeight w:val="419"/>
        </w:trPr>
        <w:tc>
          <w:tcPr>
            <w:tcW w:w="4864" w:type="dxa"/>
            <w:tcBorders>
              <w:top w:val="single" w:sz="12" w:space="0" w:color="auto"/>
              <w:left w:val="single" w:sz="12" w:space="0" w:color="auto"/>
              <w:right w:val="single" w:sz="12" w:space="0" w:color="auto"/>
            </w:tcBorders>
            <w:shd w:val="clear" w:color="auto" w:fill="92CDDC" w:themeFill="accent5" w:themeFillTint="99"/>
            <w:vAlign w:val="center"/>
            <w:hideMark/>
          </w:tcPr>
          <w:p w:rsidR="007D72B1" w:rsidRPr="007D72B1" w:rsidRDefault="007D72B1" w:rsidP="007D72B1">
            <w:pPr>
              <w:pStyle w:val="TableColumnHeadingCentred"/>
            </w:pPr>
            <w:r w:rsidRPr="007D72B1">
              <w:t xml:space="preserve">Table </w:t>
            </w:r>
            <w:proofErr w:type="spellStart"/>
            <w:r w:rsidRPr="007D72B1">
              <w:t>H1</w:t>
            </w:r>
            <w:proofErr w:type="spellEnd"/>
            <w:r w:rsidRPr="007D72B1">
              <w:t xml:space="preserve"> – Outcome – Partnership Characteristics</w:t>
            </w:r>
          </w:p>
        </w:tc>
        <w:tc>
          <w:tcPr>
            <w:tcW w:w="1187" w:type="dxa"/>
            <w:tcBorders>
              <w:top w:val="single" w:sz="12" w:space="0" w:color="auto"/>
              <w:left w:val="single" w:sz="12" w:space="0" w:color="auto"/>
              <w:right w:val="single" w:sz="12" w:space="0" w:color="auto"/>
            </w:tcBorders>
            <w:shd w:val="clear" w:color="auto" w:fill="92CDDC" w:themeFill="accent5" w:themeFillTint="99"/>
            <w:vAlign w:val="center"/>
            <w:hideMark/>
          </w:tcPr>
          <w:p w:rsidR="007D72B1" w:rsidRPr="007D72B1" w:rsidRDefault="007D72B1" w:rsidP="007D72B1">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7D72B1" w:rsidRPr="007D72B1" w:rsidRDefault="007D72B1" w:rsidP="007D72B1">
            <w:pPr>
              <w:pStyle w:val="TableColumnHeadingCentred"/>
            </w:pPr>
            <w:r w:rsidRPr="007D72B1">
              <w:t>1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7D72B1" w:rsidRPr="007D72B1" w:rsidRDefault="007D72B1" w:rsidP="007D72B1">
            <w:pPr>
              <w:pStyle w:val="TableColumnHeadingCentred"/>
            </w:pPr>
            <w:r w:rsidRPr="007D72B1">
              <w:t xml:space="preserve">2 </w:t>
            </w:r>
          </w:p>
          <w:p w:rsidR="007D72B1" w:rsidRPr="007D72B1" w:rsidRDefault="007D72B1" w:rsidP="007D72B1">
            <w:pPr>
              <w:pStyle w:val="TableColumnHeadingCentred"/>
            </w:pPr>
            <w:r w:rsidRPr="007D72B1">
              <w:t>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7D72B1" w:rsidRPr="007D72B1" w:rsidRDefault="007D72B1" w:rsidP="007D72B1">
            <w:pPr>
              <w:pStyle w:val="TableColumnHeadingCentred"/>
            </w:pPr>
            <w:r w:rsidRPr="007D72B1">
              <w:t xml:space="preserve">3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7D72B1" w:rsidRPr="007D72B1" w:rsidRDefault="007D72B1" w:rsidP="007D72B1">
            <w:pPr>
              <w:pStyle w:val="TableColumnHeadingCentred"/>
            </w:pPr>
            <w:r w:rsidRPr="007D72B1">
              <w:t>4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7D72B1" w:rsidRPr="007D72B1" w:rsidRDefault="007D72B1" w:rsidP="007D72B1">
            <w:pPr>
              <w:pStyle w:val="TableColumnHeadingCentred"/>
            </w:pPr>
            <w:r w:rsidRPr="007D72B1">
              <w:t>5 Achieved</w:t>
            </w:r>
          </w:p>
        </w:tc>
      </w:tr>
      <w:tr w:rsidR="00134652" w:rsidRPr="00134652" w:rsidTr="00F610B6">
        <w:trPr>
          <w:trHeight w:val="868"/>
        </w:trPr>
        <w:tc>
          <w:tcPr>
            <w:tcW w:w="4864"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20"/>
                <w:szCs w:val="20"/>
                <w:lang w:eastAsia="en-AU"/>
              </w:rPr>
            </w:pPr>
            <w:r w:rsidRPr="00134652">
              <w:rPr>
                <w:rFonts w:eastAsia="Times New Roman" w:cs="Calibri"/>
                <w:b/>
                <w:bCs/>
                <w:color w:val="000000"/>
                <w:sz w:val="20"/>
                <w:szCs w:val="20"/>
                <w:lang w:eastAsia="en-AU"/>
              </w:rPr>
              <w:t xml:space="preserve">High quality partnerships are established that link key stakeholders together with shared commitment, goals and outcomes to improve young people’s education and transition outcomes. </w:t>
            </w:r>
          </w:p>
        </w:tc>
        <w:tc>
          <w:tcPr>
            <w:tcW w:w="1187"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highlight w:val="yellow"/>
              </w:rPr>
            </w:pPr>
            <w:r w:rsidRPr="00134652">
              <w:rPr>
                <w:rFonts w:eastAsia="Times New Roman" w:cs="Calibri"/>
                <w:b/>
                <w:color w:val="000000"/>
              </w:rPr>
              <w:t>2036</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357 (18%)</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361 (18%)</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435 (21%)</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404 (20%)</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479 (24%)</w:t>
            </w:r>
          </w:p>
        </w:tc>
      </w:tr>
      <w:tr w:rsidR="00134652" w:rsidRPr="00134652" w:rsidTr="00BF7F25">
        <w:trPr>
          <w:trHeight w:val="315"/>
        </w:trPr>
        <w:tc>
          <w:tcPr>
            <w:tcW w:w="10786" w:type="dxa"/>
            <w:gridSpan w:val="7"/>
            <w:tcBorders>
              <w:top w:val="single" w:sz="12" w:space="0" w:color="auto"/>
              <w:left w:val="nil"/>
              <w:right w:val="nil"/>
            </w:tcBorders>
            <w:shd w:val="clear" w:color="000000" w:fill="FFFFFF"/>
            <w:vAlign w:val="center"/>
            <w:hideMark/>
          </w:tcPr>
          <w:p w:rsidR="00134652" w:rsidRPr="00134652" w:rsidRDefault="00134652" w:rsidP="00F610B6">
            <w:pPr>
              <w:spacing w:line="240" w:lineRule="auto"/>
              <w:rPr>
                <w:rFonts w:eastAsia="Times New Roman" w:cs="Calibri"/>
                <w:color w:val="000000"/>
              </w:rPr>
            </w:pPr>
          </w:p>
        </w:tc>
      </w:tr>
      <w:tr w:rsidR="00F610B6" w:rsidRPr="00134652" w:rsidTr="00F610B6">
        <w:trPr>
          <w:trHeight w:val="439"/>
        </w:trPr>
        <w:tc>
          <w:tcPr>
            <w:tcW w:w="4864" w:type="dxa"/>
            <w:tcBorders>
              <w:left w:val="single" w:sz="12" w:space="0" w:color="auto"/>
              <w:right w:val="single" w:sz="12" w:space="0" w:color="auto"/>
            </w:tcBorders>
            <w:shd w:val="clear" w:color="auto" w:fill="FFFFFF" w:themeFill="background1"/>
            <w:vAlign w:val="center"/>
          </w:tcPr>
          <w:p w:rsidR="00F610B6" w:rsidRPr="00134652" w:rsidRDefault="00F610B6" w:rsidP="00F610B6">
            <w:pPr>
              <w:pStyle w:val="TableColumnHeadingCentred"/>
              <w:rPr>
                <w:rFonts w:cs="Calibri"/>
                <w:color w:val="000000"/>
                <w:sz w:val="18"/>
                <w:szCs w:val="18"/>
              </w:rPr>
            </w:pPr>
            <w:r w:rsidRPr="00F610B6">
              <w:t xml:space="preserve">Table </w:t>
            </w:r>
            <w:proofErr w:type="spellStart"/>
            <w:r w:rsidRPr="00F610B6">
              <w:t>H1</w:t>
            </w:r>
            <w:proofErr w:type="spellEnd"/>
            <w:r w:rsidRPr="00F610B6">
              <w:t xml:space="preserve"> continued –  Outcome  –  Partnership Characteristics (Breakdown of the  </w:t>
            </w:r>
            <w:proofErr w:type="spellStart"/>
            <w:r w:rsidRPr="00F610B6">
              <w:t>KPMs</w:t>
            </w:r>
            <w:proofErr w:type="spellEnd"/>
            <w:r w:rsidRPr="00F610B6">
              <w:t xml:space="preserve"> which contribute to the outcome above)</w:t>
            </w:r>
          </w:p>
        </w:tc>
        <w:tc>
          <w:tcPr>
            <w:tcW w:w="1187" w:type="dxa"/>
            <w:tcBorders>
              <w:left w:val="single" w:sz="12" w:space="0" w:color="auto"/>
              <w:right w:val="single" w:sz="12" w:space="0" w:color="auto"/>
            </w:tcBorders>
            <w:shd w:val="clear" w:color="auto" w:fill="DAEEF3" w:themeFill="accent5" w:themeFillTint="33"/>
            <w:vAlign w:val="center"/>
          </w:tcPr>
          <w:p w:rsidR="00F610B6" w:rsidRPr="007D72B1" w:rsidRDefault="00F610B6" w:rsidP="00F610B6">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left w:val="single" w:sz="12" w:space="0" w:color="auto"/>
              <w:right w:val="single" w:sz="4" w:space="0" w:color="auto"/>
            </w:tcBorders>
            <w:shd w:val="clear" w:color="auto" w:fill="FFFFFF" w:themeFill="background1"/>
            <w:vAlign w:val="center"/>
          </w:tcPr>
          <w:p w:rsidR="00F610B6" w:rsidRPr="007D72B1" w:rsidRDefault="00F610B6" w:rsidP="00F610B6">
            <w:pPr>
              <w:pStyle w:val="TableColumnHeadingCentred"/>
            </w:pPr>
            <w:r w:rsidRPr="007D72B1">
              <w:t>1 Limited</w:t>
            </w:r>
          </w:p>
        </w:tc>
        <w:tc>
          <w:tcPr>
            <w:tcW w:w="826" w:type="dxa"/>
            <w:tcBorders>
              <w:left w:val="single" w:sz="4" w:space="0" w:color="auto"/>
              <w:right w:val="single" w:sz="4" w:space="0" w:color="auto"/>
            </w:tcBorders>
            <w:shd w:val="clear" w:color="auto" w:fill="FFFFFF" w:themeFill="background1"/>
            <w:vAlign w:val="center"/>
          </w:tcPr>
          <w:p w:rsidR="00F610B6" w:rsidRPr="007D72B1" w:rsidRDefault="00F610B6" w:rsidP="00F610B6">
            <w:pPr>
              <w:pStyle w:val="TableColumnHeadingCentred"/>
            </w:pPr>
            <w:r w:rsidRPr="007D72B1">
              <w:t xml:space="preserve">2 </w:t>
            </w:r>
          </w:p>
          <w:p w:rsidR="00F610B6" w:rsidRPr="007D72B1" w:rsidRDefault="00F610B6" w:rsidP="00F610B6">
            <w:pPr>
              <w:pStyle w:val="TableColumnHeadingCentred"/>
            </w:pPr>
            <w:r w:rsidRPr="007D72B1">
              <w:t>Some Progress</w:t>
            </w:r>
          </w:p>
        </w:tc>
        <w:tc>
          <w:tcPr>
            <w:tcW w:w="1094" w:type="dxa"/>
            <w:tcBorders>
              <w:left w:val="single" w:sz="4" w:space="0" w:color="auto"/>
              <w:right w:val="single" w:sz="4" w:space="0" w:color="auto"/>
            </w:tcBorders>
            <w:shd w:val="clear" w:color="auto" w:fill="FFFFFF" w:themeFill="background1"/>
            <w:vAlign w:val="center"/>
          </w:tcPr>
          <w:p w:rsidR="00F610B6" w:rsidRPr="007D72B1" w:rsidRDefault="00F610B6" w:rsidP="00F610B6">
            <w:pPr>
              <w:pStyle w:val="TableColumnHeadingCentred"/>
            </w:pPr>
            <w:r w:rsidRPr="007D72B1">
              <w:t xml:space="preserve">3 Satisfactory </w:t>
            </w:r>
          </w:p>
        </w:tc>
        <w:tc>
          <w:tcPr>
            <w:tcW w:w="1199" w:type="dxa"/>
            <w:tcBorders>
              <w:left w:val="single" w:sz="4" w:space="0" w:color="auto"/>
              <w:right w:val="single" w:sz="4" w:space="0" w:color="auto"/>
            </w:tcBorders>
            <w:shd w:val="clear" w:color="auto" w:fill="FFFFFF" w:themeFill="background1"/>
            <w:vAlign w:val="center"/>
          </w:tcPr>
          <w:p w:rsidR="00F610B6" w:rsidRPr="007D72B1" w:rsidRDefault="00F610B6" w:rsidP="00F610B6">
            <w:pPr>
              <w:pStyle w:val="TableColumnHeadingCentred"/>
            </w:pPr>
            <w:r w:rsidRPr="007D72B1">
              <w:t>4 Considerable Progress</w:t>
            </w:r>
          </w:p>
        </w:tc>
        <w:tc>
          <w:tcPr>
            <w:tcW w:w="879" w:type="dxa"/>
            <w:tcBorders>
              <w:left w:val="single" w:sz="4" w:space="0" w:color="auto"/>
              <w:right w:val="single" w:sz="12" w:space="0" w:color="auto"/>
            </w:tcBorders>
            <w:shd w:val="clear" w:color="auto" w:fill="FFFFFF" w:themeFill="background1"/>
            <w:vAlign w:val="center"/>
          </w:tcPr>
          <w:p w:rsidR="00F610B6" w:rsidRPr="007D72B1" w:rsidRDefault="00F610B6" w:rsidP="00F610B6">
            <w:pPr>
              <w:pStyle w:val="TableColumnHeadingCentred"/>
            </w:pPr>
            <w:r w:rsidRPr="007D72B1">
              <w:t>5 Achieved</w:t>
            </w:r>
          </w:p>
        </w:tc>
      </w:tr>
      <w:tr w:rsidR="00134652" w:rsidRPr="00134652" w:rsidTr="00F610B6">
        <w:trPr>
          <w:trHeight w:val="439"/>
        </w:trPr>
        <w:tc>
          <w:tcPr>
            <w:tcW w:w="4864"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18"/>
                <w:szCs w:val="18"/>
                <w:lang w:eastAsia="en-AU"/>
              </w:rPr>
            </w:pPr>
            <w:r w:rsidRPr="00134652">
              <w:rPr>
                <w:rFonts w:eastAsia="Times New Roman" w:cs="Calibri"/>
                <w:b/>
                <w:bCs/>
                <w:color w:val="000000"/>
                <w:sz w:val="18"/>
                <w:szCs w:val="18"/>
                <w:lang w:eastAsia="en-AU"/>
              </w:rPr>
              <w:t xml:space="preserve">Shared Goal </w:t>
            </w:r>
            <w:r w:rsidRPr="00134652">
              <w:rPr>
                <w:rFonts w:eastAsia="Times New Roman" w:cs="Calibri"/>
                <w:color w:val="000000"/>
                <w:sz w:val="18"/>
                <w:szCs w:val="18"/>
                <w:lang w:eastAsia="en-AU"/>
              </w:rPr>
              <w:t>‐ Partners have a clear, shared, realistic goal.</w:t>
            </w:r>
          </w:p>
        </w:tc>
        <w:tc>
          <w:tcPr>
            <w:tcW w:w="1187" w:type="dxa"/>
            <w:tcBorders>
              <w:left w:val="single" w:sz="12" w:space="0" w:color="auto"/>
              <w:right w:val="single" w:sz="12" w:space="0" w:color="auto"/>
            </w:tcBorders>
            <w:shd w:val="clear" w:color="auto" w:fill="B6DDE8" w:themeFill="accent5" w:themeFillTint="66"/>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425</w:t>
            </w:r>
          </w:p>
        </w:tc>
        <w:tc>
          <w:tcPr>
            <w:tcW w:w="737" w:type="dxa"/>
            <w:tcBorders>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26" w:type="dxa"/>
            <w:tcBorders>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1094" w:type="dxa"/>
            <w:tcBorders>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1199" w:type="dxa"/>
            <w:tcBorders>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c>
          <w:tcPr>
            <w:tcW w:w="879" w:type="dxa"/>
            <w:tcBorders>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27%</w:t>
            </w:r>
          </w:p>
        </w:tc>
      </w:tr>
      <w:tr w:rsidR="00134652" w:rsidRPr="00134652" w:rsidTr="00F610B6">
        <w:trPr>
          <w:trHeight w:val="439"/>
        </w:trPr>
        <w:tc>
          <w:tcPr>
            <w:tcW w:w="4864" w:type="dxa"/>
            <w:tcBorders>
              <w:left w:val="single" w:sz="12" w:space="0" w:color="auto"/>
              <w:right w:val="single" w:sz="12" w:space="0" w:color="auto"/>
            </w:tcBorders>
            <w:shd w:val="clear" w:color="000000" w:fill="FFFFFF"/>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18"/>
                <w:szCs w:val="18"/>
                <w:lang w:eastAsia="en-AU"/>
              </w:rPr>
            </w:pPr>
            <w:r w:rsidRPr="00134652">
              <w:rPr>
                <w:rFonts w:eastAsia="Times New Roman" w:cs="Calibri"/>
                <w:b/>
                <w:bCs/>
                <w:color w:val="000000"/>
                <w:sz w:val="18"/>
                <w:szCs w:val="18"/>
                <w:lang w:eastAsia="en-AU"/>
              </w:rPr>
              <w:t xml:space="preserve">Shared Decision Making </w:t>
            </w:r>
            <w:r w:rsidRPr="00134652">
              <w:rPr>
                <w:rFonts w:eastAsia="Times New Roman" w:cs="Calibri"/>
                <w:color w:val="000000"/>
                <w:sz w:val="18"/>
                <w:szCs w:val="18"/>
                <w:lang w:eastAsia="en-AU"/>
              </w:rPr>
              <w:t>‐Each partner contributes meaningfully to the planning and implementation of the program, and is involved in the decisions that are made.</w:t>
            </w:r>
          </w:p>
        </w:tc>
        <w:tc>
          <w:tcPr>
            <w:tcW w:w="118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415</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25%</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r>
      <w:tr w:rsidR="00134652" w:rsidRPr="00134652" w:rsidTr="00F610B6">
        <w:trPr>
          <w:trHeight w:val="439"/>
        </w:trPr>
        <w:tc>
          <w:tcPr>
            <w:tcW w:w="4864" w:type="dxa"/>
            <w:tcBorders>
              <w:left w:val="single" w:sz="12" w:space="0" w:color="auto"/>
              <w:right w:val="single" w:sz="12" w:space="0" w:color="auto"/>
            </w:tcBorders>
            <w:shd w:val="clear" w:color="auto" w:fill="auto"/>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18"/>
                <w:szCs w:val="18"/>
                <w:lang w:eastAsia="en-AU"/>
              </w:rPr>
            </w:pPr>
            <w:r w:rsidRPr="00134652">
              <w:rPr>
                <w:rFonts w:eastAsia="Times New Roman" w:cs="Calibri"/>
                <w:b/>
                <w:bCs/>
                <w:color w:val="000000"/>
                <w:sz w:val="18"/>
                <w:szCs w:val="18"/>
                <w:lang w:eastAsia="en-AU"/>
              </w:rPr>
              <w:t xml:space="preserve">Communication </w:t>
            </w:r>
            <w:r w:rsidRPr="00134652">
              <w:rPr>
                <w:rFonts w:eastAsia="Times New Roman" w:cs="Calibri"/>
                <w:color w:val="000000"/>
                <w:sz w:val="18"/>
                <w:szCs w:val="18"/>
                <w:lang w:eastAsia="en-AU"/>
              </w:rPr>
              <w:t>‐ There is effective communication between partners.</w:t>
            </w:r>
          </w:p>
        </w:tc>
        <w:tc>
          <w:tcPr>
            <w:tcW w:w="118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417</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r>
      <w:tr w:rsidR="00134652" w:rsidRPr="00134652" w:rsidTr="00F610B6">
        <w:trPr>
          <w:trHeight w:val="439"/>
        </w:trPr>
        <w:tc>
          <w:tcPr>
            <w:tcW w:w="4864" w:type="dxa"/>
            <w:tcBorders>
              <w:left w:val="single" w:sz="12" w:space="0" w:color="auto"/>
              <w:bottom w:val="single" w:sz="4" w:space="0" w:color="auto"/>
              <w:right w:val="single" w:sz="12" w:space="0" w:color="auto"/>
            </w:tcBorders>
            <w:shd w:val="clear" w:color="000000" w:fill="FFFFFF"/>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18"/>
                <w:szCs w:val="18"/>
                <w:lang w:eastAsia="en-AU"/>
              </w:rPr>
            </w:pPr>
            <w:r w:rsidRPr="00134652">
              <w:rPr>
                <w:rFonts w:eastAsia="Times New Roman" w:cs="Calibri"/>
                <w:b/>
                <w:bCs/>
                <w:color w:val="000000"/>
                <w:sz w:val="18"/>
                <w:szCs w:val="18"/>
                <w:lang w:eastAsia="en-AU"/>
              </w:rPr>
              <w:t xml:space="preserve">Commitment and Investment </w:t>
            </w:r>
            <w:r w:rsidRPr="00134652">
              <w:rPr>
                <w:rFonts w:eastAsia="Times New Roman" w:cs="Calibri"/>
                <w:color w:val="000000"/>
                <w:sz w:val="18"/>
                <w:szCs w:val="18"/>
                <w:lang w:eastAsia="en-AU"/>
              </w:rPr>
              <w:t>‐ All organisations are committed to the partnership and make a considerable investment to it.</w:t>
            </w:r>
          </w:p>
        </w:tc>
        <w:tc>
          <w:tcPr>
            <w:tcW w:w="118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415</w:t>
            </w:r>
          </w:p>
        </w:tc>
        <w:tc>
          <w:tcPr>
            <w:tcW w:w="737" w:type="dxa"/>
            <w:tcBorders>
              <w:left w:val="single" w:sz="12" w:space="0" w:color="auto"/>
              <w:bottom w:val="single" w:sz="4"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26"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199"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c>
          <w:tcPr>
            <w:tcW w:w="879" w:type="dxa"/>
            <w:tcBorders>
              <w:left w:val="single" w:sz="4" w:space="0" w:color="auto"/>
              <w:bottom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25%</w:t>
            </w:r>
          </w:p>
        </w:tc>
      </w:tr>
      <w:tr w:rsidR="00134652" w:rsidRPr="00134652" w:rsidTr="00F610B6">
        <w:trPr>
          <w:trHeight w:val="440"/>
        </w:trPr>
        <w:tc>
          <w:tcPr>
            <w:tcW w:w="4864" w:type="dxa"/>
            <w:tcBorders>
              <w:left w:val="single" w:sz="12" w:space="0" w:color="auto"/>
              <w:bottom w:val="single" w:sz="4" w:space="0" w:color="auto"/>
              <w:right w:val="single" w:sz="12" w:space="0" w:color="auto"/>
            </w:tcBorders>
            <w:shd w:val="clear" w:color="000000" w:fill="FFFFFF"/>
            <w:vAlign w:val="center"/>
            <w:hideMark/>
          </w:tcPr>
          <w:p w:rsidR="00134652" w:rsidRPr="00134652" w:rsidRDefault="00134652" w:rsidP="00134652">
            <w:pPr>
              <w:autoSpaceDE w:val="0"/>
              <w:autoSpaceDN w:val="0"/>
              <w:adjustRightInd w:val="0"/>
              <w:spacing w:line="240" w:lineRule="auto"/>
              <w:rPr>
                <w:rFonts w:eastAsia="Times New Roman" w:cs="Calibri"/>
                <w:color w:val="000000"/>
                <w:sz w:val="18"/>
                <w:szCs w:val="18"/>
                <w:lang w:eastAsia="en-AU"/>
              </w:rPr>
            </w:pPr>
            <w:r w:rsidRPr="00134652">
              <w:rPr>
                <w:rFonts w:eastAsia="Times New Roman" w:cs="Calibri"/>
                <w:b/>
                <w:bCs/>
                <w:color w:val="000000"/>
                <w:sz w:val="18"/>
                <w:szCs w:val="18"/>
                <w:lang w:eastAsia="en-AU"/>
              </w:rPr>
              <w:t xml:space="preserve">Review </w:t>
            </w:r>
            <w:r w:rsidRPr="00134652">
              <w:rPr>
                <w:rFonts w:eastAsia="Times New Roman" w:cs="Calibri"/>
                <w:color w:val="000000"/>
                <w:sz w:val="18"/>
                <w:szCs w:val="18"/>
                <w:lang w:eastAsia="en-AU"/>
              </w:rPr>
              <w:t>‐ Partners monitor and review their partnership and progress towards goals.</w:t>
            </w:r>
          </w:p>
        </w:tc>
        <w:tc>
          <w:tcPr>
            <w:tcW w:w="118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364</w:t>
            </w:r>
          </w:p>
        </w:tc>
        <w:tc>
          <w:tcPr>
            <w:tcW w:w="737" w:type="dxa"/>
            <w:tcBorders>
              <w:left w:val="single" w:sz="12" w:space="0" w:color="auto"/>
              <w:bottom w:val="single" w:sz="4"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26%</w:t>
            </w:r>
          </w:p>
        </w:tc>
        <w:tc>
          <w:tcPr>
            <w:tcW w:w="826"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1094"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c>
          <w:tcPr>
            <w:tcW w:w="1199"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79" w:type="dxa"/>
            <w:tcBorders>
              <w:left w:val="single" w:sz="4" w:space="0" w:color="auto"/>
              <w:bottom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r>
      <w:tr w:rsidR="00134652" w:rsidRPr="00134652" w:rsidTr="00BF7F25">
        <w:trPr>
          <w:trHeight w:val="265"/>
        </w:trPr>
        <w:tc>
          <w:tcPr>
            <w:tcW w:w="10786" w:type="dxa"/>
            <w:gridSpan w:val="7"/>
            <w:tcBorders>
              <w:top w:val="single" w:sz="12" w:space="0" w:color="auto"/>
              <w:left w:val="nil"/>
              <w:bottom w:val="nil"/>
              <w:right w:val="nil"/>
            </w:tcBorders>
            <w:shd w:val="clear" w:color="auto" w:fill="auto"/>
            <w:vAlign w:val="center"/>
            <w:hideMark/>
          </w:tcPr>
          <w:p w:rsidR="00134652" w:rsidRPr="000C4339" w:rsidRDefault="00134652" w:rsidP="000C4339">
            <w:pPr>
              <w:spacing w:before="240" w:line="240" w:lineRule="auto"/>
              <w:rPr>
                <w:rFonts w:eastAsia="Times New Roman" w:cs="Calibri"/>
              </w:rPr>
            </w:pPr>
            <w:r w:rsidRPr="000C4339">
              <w:rPr>
                <w:rFonts w:eastAsia="Times New Roman" w:cs="Calibri"/>
              </w:rPr>
              <w:t>The data above shows that:</w:t>
            </w:r>
          </w:p>
          <w:p w:rsidR="00134652" w:rsidRPr="00134652" w:rsidRDefault="00134652" w:rsidP="00F610B6">
            <w:pPr>
              <w:pStyle w:val="ListParagraph"/>
              <w:numPr>
                <w:ilvl w:val="0"/>
                <w:numId w:val="28"/>
              </w:numPr>
              <w:ind w:left="567" w:hanging="567"/>
            </w:pPr>
            <w:r w:rsidRPr="00134652">
              <w:t xml:space="preserve">Providers reported 44% of partnerships that have been evaluated have </w:t>
            </w:r>
            <w:r w:rsidRPr="00134652">
              <w:rPr>
                <w:i/>
              </w:rPr>
              <w:t>achieved</w:t>
            </w:r>
            <w:r w:rsidRPr="00134652">
              <w:t xml:space="preserve"> or made </w:t>
            </w:r>
            <w:r w:rsidRPr="00134652">
              <w:rPr>
                <w:i/>
              </w:rPr>
              <w:t>considerable progress</w:t>
            </w:r>
            <w:r w:rsidRPr="00134652">
              <w:t xml:space="preserve"> against this outcome.</w:t>
            </w:r>
          </w:p>
          <w:p w:rsidR="00134652" w:rsidRPr="00134652" w:rsidRDefault="00134652" w:rsidP="00F610B6">
            <w:pPr>
              <w:pStyle w:val="ListParagraph"/>
              <w:numPr>
                <w:ilvl w:val="0"/>
                <w:numId w:val="28"/>
              </w:numPr>
              <w:ind w:left="567" w:hanging="567"/>
            </w:pPr>
            <w:r w:rsidRPr="00134652">
              <w:t xml:space="preserve">Providers reported 36% of partnerships that have been evaluated have made </w:t>
            </w:r>
            <w:r w:rsidRPr="00134652">
              <w:rPr>
                <w:i/>
              </w:rPr>
              <w:t>limited</w:t>
            </w:r>
            <w:r w:rsidRPr="00134652">
              <w:t xml:space="preserve"> or </w:t>
            </w:r>
            <w:r w:rsidRPr="00134652">
              <w:rPr>
                <w:i/>
              </w:rPr>
              <w:t xml:space="preserve">some progress </w:t>
            </w:r>
            <w:r w:rsidRPr="00134652">
              <w:t>against this outcome.</w:t>
            </w:r>
          </w:p>
          <w:p w:rsidR="00134652" w:rsidRPr="00134652" w:rsidRDefault="00134652" w:rsidP="00F610B6">
            <w:pPr>
              <w:pStyle w:val="ListParagraph"/>
              <w:numPr>
                <w:ilvl w:val="0"/>
                <w:numId w:val="28"/>
              </w:numPr>
              <w:ind w:left="567" w:hanging="567"/>
            </w:pPr>
            <w:r w:rsidRPr="00134652">
              <w:t>There are 425 partnerships (70% of the total number of partnerships in QLD) that have demonstrated to some extent that</w:t>
            </w:r>
            <w:r w:rsidRPr="00134652">
              <w:rPr>
                <w:lang w:eastAsia="en-AU"/>
              </w:rPr>
              <w:t xml:space="preserve"> </w:t>
            </w:r>
            <w:r w:rsidRPr="00134652">
              <w:rPr>
                <w:i/>
                <w:lang w:eastAsia="en-AU"/>
              </w:rPr>
              <w:t>‘partners have a clear, shared, realistic goal’.</w:t>
            </w:r>
            <w:r w:rsidRPr="00134652">
              <w:rPr>
                <w:lang w:eastAsia="en-AU"/>
              </w:rPr>
              <w:t xml:space="preserve"> Providers reported that 49% of these partnerships have </w:t>
            </w:r>
            <w:r w:rsidRPr="00134652">
              <w:rPr>
                <w:i/>
                <w:lang w:eastAsia="en-AU"/>
              </w:rPr>
              <w:t>achieved</w:t>
            </w:r>
            <w:r w:rsidRPr="00134652">
              <w:rPr>
                <w:lang w:eastAsia="en-AU"/>
              </w:rPr>
              <w:t xml:space="preserve"> or made </w:t>
            </w:r>
            <w:r w:rsidRPr="00134652">
              <w:rPr>
                <w:i/>
                <w:lang w:eastAsia="en-AU"/>
              </w:rPr>
              <w:t xml:space="preserve">considerable progress </w:t>
            </w:r>
            <w:r w:rsidRPr="00134652">
              <w:rPr>
                <w:lang w:eastAsia="en-AU"/>
              </w:rPr>
              <w:t>against this partnership characteristic.</w:t>
            </w:r>
          </w:p>
        </w:tc>
      </w:tr>
    </w:tbl>
    <w:p w:rsidR="00134652" w:rsidRPr="00134652" w:rsidRDefault="00134652" w:rsidP="00134652">
      <w:pPr>
        <w:spacing w:line="240" w:lineRule="auto"/>
        <w:rPr>
          <w:rFonts w:ascii="Times New Roman" w:eastAsia="Times New Roman" w:hAnsi="Times New Roman"/>
          <w:sz w:val="24"/>
          <w:szCs w:val="20"/>
        </w:rPr>
        <w:sectPr w:rsidR="00134652" w:rsidRPr="00134652" w:rsidSect="00BF7F25">
          <w:type w:val="continuous"/>
          <w:pgSz w:w="11907" w:h="16839" w:code="9"/>
          <w:pgMar w:top="426" w:right="426" w:bottom="567" w:left="709" w:header="1" w:footer="0" w:gutter="0"/>
          <w:cols w:space="708"/>
          <w:docGrid w:linePitch="360"/>
        </w:sectPr>
      </w:pPr>
    </w:p>
    <w:p w:rsidR="00134652" w:rsidRPr="00134652" w:rsidRDefault="00134652" w:rsidP="000C4339">
      <w:pPr>
        <w:spacing w:line="240" w:lineRule="auto"/>
        <w:rPr>
          <w:rFonts w:eastAsia="Times New Roman" w:cs="Calibri"/>
          <w:b/>
        </w:rPr>
      </w:pPr>
    </w:p>
    <w:tbl>
      <w:tblPr>
        <w:tblpPr w:leftFromText="180" w:rightFromText="180" w:vertAnchor="text" w:horzAnchor="margin" w:tblpXSpec="center" w:tblpY="14"/>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4"/>
        <w:gridCol w:w="1203"/>
        <w:gridCol w:w="737"/>
        <w:gridCol w:w="826"/>
        <w:gridCol w:w="1094"/>
        <w:gridCol w:w="1199"/>
        <w:gridCol w:w="879"/>
      </w:tblGrid>
      <w:tr w:rsidR="00F610B6" w:rsidRPr="00134652" w:rsidTr="00F610B6">
        <w:trPr>
          <w:trHeight w:val="426"/>
        </w:trPr>
        <w:tc>
          <w:tcPr>
            <w:tcW w:w="4874"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F610B6" w:rsidRPr="00134652" w:rsidRDefault="00F610B6" w:rsidP="00F610B6">
            <w:pPr>
              <w:pStyle w:val="TableColumnHeadingCentred"/>
            </w:pPr>
            <w:r w:rsidRPr="00134652">
              <w:t xml:space="preserve">Table </w:t>
            </w:r>
            <w:proofErr w:type="spellStart"/>
            <w:r w:rsidRPr="00134652">
              <w:t>H2</w:t>
            </w:r>
            <w:proofErr w:type="spellEnd"/>
            <w:r w:rsidRPr="00134652">
              <w:t xml:space="preserve"> – Outcome – Education &amp; Training</w:t>
            </w:r>
          </w:p>
        </w:tc>
        <w:tc>
          <w:tcPr>
            <w:tcW w:w="1203" w:type="dxa"/>
            <w:tcBorders>
              <w:top w:val="single" w:sz="12" w:space="0" w:color="auto"/>
              <w:left w:val="single" w:sz="12" w:space="0" w:color="auto"/>
              <w:bottom w:val="single" w:sz="12" w:space="0" w:color="auto"/>
              <w:right w:val="single" w:sz="12" w:space="0" w:color="auto"/>
            </w:tcBorders>
            <w:shd w:val="clear" w:color="auto" w:fill="92CDDC" w:themeFill="accent5" w:themeFillTint="99"/>
            <w:vAlign w:val="center"/>
            <w:hideMark/>
          </w:tcPr>
          <w:p w:rsidR="00F610B6" w:rsidRPr="007D72B1" w:rsidRDefault="00F610B6" w:rsidP="00F610B6">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top w:val="single" w:sz="12" w:space="0" w:color="auto"/>
              <w:left w:val="single" w:sz="12" w:space="0" w:color="auto"/>
              <w:bottom w:val="single" w:sz="12" w:space="0" w:color="auto"/>
              <w:right w:val="single" w:sz="4" w:space="0" w:color="auto"/>
            </w:tcBorders>
            <w:shd w:val="clear" w:color="auto" w:fill="92CDDC" w:themeFill="accent5" w:themeFillTint="99"/>
            <w:vAlign w:val="center"/>
            <w:hideMark/>
          </w:tcPr>
          <w:p w:rsidR="00F610B6" w:rsidRPr="007D72B1" w:rsidRDefault="00F610B6" w:rsidP="00F610B6">
            <w:pPr>
              <w:pStyle w:val="TableColumnHeadingCentred"/>
            </w:pPr>
            <w:r w:rsidRPr="007D72B1">
              <w:t>1 Limited</w:t>
            </w:r>
          </w:p>
        </w:tc>
        <w:tc>
          <w:tcPr>
            <w:tcW w:w="826"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 xml:space="preserve">2 </w:t>
            </w:r>
          </w:p>
          <w:p w:rsidR="00F610B6" w:rsidRPr="007D72B1" w:rsidRDefault="00F610B6" w:rsidP="00F610B6">
            <w:pPr>
              <w:pStyle w:val="TableColumnHeadingCentred"/>
            </w:pPr>
            <w:r w:rsidRPr="007D72B1">
              <w:t>Some Progress</w:t>
            </w:r>
          </w:p>
        </w:tc>
        <w:tc>
          <w:tcPr>
            <w:tcW w:w="1094"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 xml:space="preserve">3 Satisfactory </w:t>
            </w:r>
          </w:p>
        </w:tc>
        <w:tc>
          <w:tcPr>
            <w:tcW w:w="1199" w:type="dxa"/>
            <w:tcBorders>
              <w:top w:val="single" w:sz="12" w:space="0" w:color="auto"/>
              <w:left w:val="single" w:sz="4" w:space="0" w:color="auto"/>
              <w:bottom w:val="single" w:sz="12"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4 Considerable Progress</w:t>
            </w:r>
          </w:p>
        </w:tc>
        <w:tc>
          <w:tcPr>
            <w:tcW w:w="879" w:type="dxa"/>
            <w:tcBorders>
              <w:top w:val="single" w:sz="12" w:space="0" w:color="auto"/>
              <w:left w:val="single" w:sz="4" w:space="0" w:color="auto"/>
              <w:bottom w:val="single" w:sz="12" w:space="0" w:color="auto"/>
              <w:right w:val="single" w:sz="12" w:space="0" w:color="auto"/>
            </w:tcBorders>
            <w:shd w:val="clear" w:color="auto" w:fill="92CDDC" w:themeFill="accent5" w:themeFillTint="99"/>
            <w:vAlign w:val="center"/>
          </w:tcPr>
          <w:p w:rsidR="00F610B6" w:rsidRPr="007D72B1" w:rsidRDefault="00F610B6" w:rsidP="00F610B6">
            <w:pPr>
              <w:pStyle w:val="TableColumnHeadingCentred"/>
            </w:pPr>
            <w:r w:rsidRPr="007D72B1">
              <w:t>5 Achieved</w:t>
            </w:r>
          </w:p>
        </w:tc>
      </w:tr>
      <w:tr w:rsidR="00134652" w:rsidRPr="00134652" w:rsidTr="00F610B6">
        <w:trPr>
          <w:trHeight w:val="899"/>
        </w:trPr>
        <w:tc>
          <w:tcPr>
            <w:tcW w:w="4874"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20"/>
                <w:szCs w:val="20"/>
                <w:lang w:eastAsia="en-AU"/>
              </w:rPr>
            </w:pPr>
            <w:r w:rsidRPr="00134652">
              <w:rPr>
                <w:rFonts w:eastAsia="Times New Roman"/>
                <w:b/>
                <w:sz w:val="20"/>
                <w:szCs w:val="20"/>
              </w:rPr>
              <w:t>Education and training providers partnering with stakeholders in their community to ensure all young people participate in challenging, relevant and engaging learning that broadens personal aspirations and improves education and transition outcomes.</w:t>
            </w:r>
          </w:p>
        </w:tc>
        <w:tc>
          <w:tcPr>
            <w:tcW w:w="1203"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536</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96</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(18%)</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101</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(19%)</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119</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(22%)</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99</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(18%)</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121</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(23%)</w:t>
            </w:r>
          </w:p>
        </w:tc>
      </w:tr>
      <w:tr w:rsidR="00134652" w:rsidRPr="00134652" w:rsidTr="00BF7F25">
        <w:trPr>
          <w:trHeight w:val="345"/>
        </w:trPr>
        <w:tc>
          <w:tcPr>
            <w:tcW w:w="10812" w:type="dxa"/>
            <w:gridSpan w:val="7"/>
            <w:tcBorders>
              <w:top w:val="single" w:sz="12" w:space="0" w:color="auto"/>
              <w:left w:val="nil"/>
              <w:right w:val="nil"/>
            </w:tcBorders>
            <w:shd w:val="clear" w:color="000000" w:fill="FFFFFF"/>
            <w:vAlign w:val="center"/>
            <w:hideMark/>
          </w:tcPr>
          <w:p w:rsidR="000C4339" w:rsidRPr="00134652" w:rsidRDefault="000C4339" w:rsidP="00134652">
            <w:pPr>
              <w:spacing w:line="240" w:lineRule="auto"/>
              <w:rPr>
                <w:rFonts w:eastAsia="Times New Roman" w:cs="Calibri"/>
                <w:color w:val="000000"/>
                <w:sz w:val="20"/>
                <w:szCs w:val="20"/>
              </w:rPr>
            </w:pPr>
          </w:p>
        </w:tc>
      </w:tr>
      <w:tr w:rsidR="00F610B6" w:rsidRPr="00134652" w:rsidTr="00F610B6">
        <w:trPr>
          <w:trHeight w:val="460"/>
        </w:trPr>
        <w:tc>
          <w:tcPr>
            <w:tcW w:w="4874" w:type="dxa"/>
            <w:tcBorders>
              <w:left w:val="single" w:sz="12" w:space="0" w:color="auto"/>
              <w:right w:val="single" w:sz="12" w:space="0" w:color="auto"/>
            </w:tcBorders>
            <w:shd w:val="clear" w:color="000000" w:fill="FFFFFF"/>
            <w:vAlign w:val="center"/>
          </w:tcPr>
          <w:p w:rsidR="00F610B6" w:rsidRPr="00134652" w:rsidRDefault="00F610B6" w:rsidP="00F610B6">
            <w:pPr>
              <w:pStyle w:val="TableColumnHeadingCentred"/>
              <w:rPr>
                <w:rFonts w:cs="Calibri"/>
                <w:color w:val="000000"/>
                <w:sz w:val="18"/>
                <w:szCs w:val="18"/>
              </w:rPr>
            </w:pPr>
            <w:r>
              <w:t xml:space="preserve">Table </w:t>
            </w:r>
            <w:proofErr w:type="spellStart"/>
            <w:r>
              <w:t>H2</w:t>
            </w:r>
            <w:proofErr w:type="spellEnd"/>
            <w:r w:rsidRPr="00F610B6">
              <w:t xml:space="preserve"> continued –  Outcome  –  </w:t>
            </w:r>
            <w:r>
              <w:t>Education &amp; Training</w:t>
            </w:r>
            <w:r w:rsidRPr="00F610B6">
              <w:t xml:space="preserve"> (Breakdown of the  </w:t>
            </w:r>
            <w:proofErr w:type="spellStart"/>
            <w:r w:rsidRPr="00F610B6">
              <w:t>KPMs</w:t>
            </w:r>
            <w:proofErr w:type="spellEnd"/>
            <w:r w:rsidRPr="00F610B6">
              <w:t xml:space="preserve"> which contribute to the outcome above)</w:t>
            </w:r>
          </w:p>
        </w:tc>
        <w:tc>
          <w:tcPr>
            <w:tcW w:w="1203" w:type="dxa"/>
            <w:tcBorders>
              <w:left w:val="single" w:sz="12" w:space="0" w:color="auto"/>
              <w:right w:val="single" w:sz="12" w:space="0" w:color="auto"/>
            </w:tcBorders>
            <w:shd w:val="clear" w:color="auto" w:fill="DAEEF3" w:themeFill="accent5" w:themeFillTint="33"/>
            <w:vAlign w:val="center"/>
          </w:tcPr>
          <w:p w:rsidR="00F610B6" w:rsidRPr="007D72B1" w:rsidRDefault="00F610B6" w:rsidP="00F610B6">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left w:val="single" w:sz="12"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1 Limited</w:t>
            </w:r>
          </w:p>
        </w:tc>
        <w:tc>
          <w:tcPr>
            <w:tcW w:w="826" w:type="dxa"/>
            <w:tcBorders>
              <w:left w:val="single" w:sz="4" w:space="0" w:color="auto"/>
              <w:right w:val="single" w:sz="4" w:space="0" w:color="auto"/>
            </w:tcBorders>
            <w:shd w:val="clear" w:color="000000" w:fill="FFFFFF"/>
            <w:vAlign w:val="center"/>
          </w:tcPr>
          <w:p w:rsidR="00F610B6" w:rsidRPr="007D72B1" w:rsidRDefault="00F610B6" w:rsidP="000C4339">
            <w:pPr>
              <w:pStyle w:val="TableColumnHeadingCentred"/>
              <w:spacing w:before="0" w:after="0"/>
            </w:pPr>
            <w:r w:rsidRPr="007D72B1">
              <w:t xml:space="preserve">2 </w:t>
            </w:r>
          </w:p>
          <w:p w:rsidR="00F610B6" w:rsidRPr="007D72B1" w:rsidRDefault="00F610B6" w:rsidP="00F610B6">
            <w:pPr>
              <w:pStyle w:val="TableColumnHeadingCentred"/>
            </w:pPr>
            <w:r w:rsidRPr="007D72B1">
              <w:t>Some Progress</w:t>
            </w:r>
          </w:p>
        </w:tc>
        <w:tc>
          <w:tcPr>
            <w:tcW w:w="1094" w:type="dxa"/>
            <w:tcBorders>
              <w:left w:val="single" w:sz="4"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 xml:space="preserve">3 Satisfactory </w:t>
            </w:r>
          </w:p>
        </w:tc>
        <w:tc>
          <w:tcPr>
            <w:tcW w:w="1199" w:type="dxa"/>
            <w:tcBorders>
              <w:left w:val="single" w:sz="4"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4 Considerable Progress</w:t>
            </w:r>
          </w:p>
        </w:tc>
        <w:tc>
          <w:tcPr>
            <w:tcW w:w="879" w:type="dxa"/>
            <w:tcBorders>
              <w:left w:val="single" w:sz="4" w:space="0" w:color="auto"/>
              <w:right w:val="single" w:sz="12" w:space="0" w:color="auto"/>
            </w:tcBorders>
            <w:shd w:val="clear" w:color="000000" w:fill="FFFFFF"/>
            <w:vAlign w:val="center"/>
          </w:tcPr>
          <w:p w:rsidR="00F610B6" w:rsidRPr="007D72B1" w:rsidRDefault="00F610B6" w:rsidP="00F610B6">
            <w:pPr>
              <w:pStyle w:val="TableColumnHeadingCentred"/>
            </w:pPr>
            <w:r w:rsidRPr="007D72B1">
              <w:t>5 Achieved</w:t>
            </w:r>
          </w:p>
        </w:tc>
      </w:tr>
      <w:tr w:rsidR="00134652" w:rsidRPr="00134652" w:rsidTr="00F610B6">
        <w:trPr>
          <w:trHeight w:val="460"/>
        </w:trPr>
        <w:tc>
          <w:tcPr>
            <w:tcW w:w="4874"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lastRenderedPageBreak/>
              <w:t>An increase in the number of education and training providers who accredit community-based learning</w:t>
            </w:r>
          </w:p>
        </w:tc>
        <w:tc>
          <w:tcPr>
            <w:tcW w:w="1203"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47</w:t>
            </w:r>
          </w:p>
        </w:tc>
        <w:tc>
          <w:tcPr>
            <w:tcW w:w="737" w:type="dxa"/>
            <w:tcBorders>
              <w:left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26%</w:t>
            </w:r>
          </w:p>
        </w:tc>
        <w:tc>
          <w:tcPr>
            <w:tcW w:w="826"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1094"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30%</w:t>
            </w:r>
          </w:p>
        </w:tc>
        <w:tc>
          <w:tcPr>
            <w:tcW w:w="1199"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11%</w:t>
            </w:r>
          </w:p>
        </w:tc>
        <w:tc>
          <w:tcPr>
            <w:tcW w:w="879" w:type="dxa"/>
            <w:tcBorders>
              <w:left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r>
      <w:tr w:rsidR="00134652" w:rsidRPr="00134652" w:rsidTr="00F610B6">
        <w:trPr>
          <w:trHeight w:val="460"/>
        </w:trPr>
        <w:tc>
          <w:tcPr>
            <w:tcW w:w="4874"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education and training providers who have increased opportunities for young people to access trained mentors</w:t>
            </w:r>
          </w:p>
        </w:tc>
        <w:tc>
          <w:tcPr>
            <w:tcW w:w="1203"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92</w:t>
            </w:r>
          </w:p>
        </w:tc>
        <w:tc>
          <w:tcPr>
            <w:tcW w:w="737" w:type="dxa"/>
            <w:tcBorders>
              <w:left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826"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c>
          <w:tcPr>
            <w:tcW w:w="1094"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c>
          <w:tcPr>
            <w:tcW w:w="1199"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c>
          <w:tcPr>
            <w:tcW w:w="879" w:type="dxa"/>
            <w:tcBorders>
              <w:left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r>
      <w:tr w:rsidR="00134652" w:rsidRPr="00134652" w:rsidTr="00F610B6">
        <w:trPr>
          <w:trHeight w:val="460"/>
        </w:trPr>
        <w:tc>
          <w:tcPr>
            <w:tcW w:w="4874" w:type="dxa"/>
            <w:tcBorders>
              <w:left w:val="single" w:sz="12" w:space="0" w:color="auto"/>
              <w:bottom w:val="single" w:sz="4"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education and training providers who have increased their career practitioner capacity</w:t>
            </w:r>
          </w:p>
        </w:tc>
        <w:tc>
          <w:tcPr>
            <w:tcW w:w="1203" w:type="dxa"/>
            <w:tcBorders>
              <w:left w:val="single" w:sz="12" w:space="0" w:color="auto"/>
              <w:bottom w:val="single" w:sz="4"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87</w:t>
            </w:r>
          </w:p>
        </w:tc>
        <w:tc>
          <w:tcPr>
            <w:tcW w:w="737" w:type="dxa"/>
            <w:tcBorders>
              <w:left w:val="single" w:sz="12" w:space="0" w:color="auto"/>
              <w:bottom w:val="single" w:sz="4"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26" w:type="dxa"/>
            <w:tcBorders>
              <w:left w:val="single" w:sz="4" w:space="0" w:color="auto"/>
              <w:bottom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1094" w:type="dxa"/>
            <w:tcBorders>
              <w:left w:val="single" w:sz="4" w:space="0" w:color="auto"/>
              <w:bottom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26%</w:t>
            </w:r>
          </w:p>
        </w:tc>
        <w:tc>
          <w:tcPr>
            <w:tcW w:w="1199" w:type="dxa"/>
            <w:tcBorders>
              <w:left w:val="single" w:sz="4" w:space="0" w:color="auto"/>
              <w:bottom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c>
          <w:tcPr>
            <w:tcW w:w="879" w:type="dxa"/>
            <w:tcBorders>
              <w:left w:val="single" w:sz="4" w:space="0" w:color="auto"/>
              <w:bottom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28%</w:t>
            </w:r>
          </w:p>
        </w:tc>
      </w:tr>
      <w:tr w:rsidR="00134652" w:rsidRPr="00134652" w:rsidTr="00F610B6">
        <w:trPr>
          <w:trHeight w:val="460"/>
        </w:trPr>
        <w:tc>
          <w:tcPr>
            <w:tcW w:w="4874"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Opportunities for meaningful learning as a result of education and training providers partnering with other stakeholders</w:t>
            </w:r>
          </w:p>
        </w:tc>
        <w:tc>
          <w:tcPr>
            <w:tcW w:w="1203" w:type="dxa"/>
            <w:tcBorders>
              <w:left w:val="single" w:sz="12" w:space="0" w:color="auto"/>
              <w:bottom w:val="single" w:sz="12" w:space="0" w:color="auto"/>
              <w:right w:val="single" w:sz="12" w:space="0" w:color="auto"/>
            </w:tcBorders>
            <w:shd w:val="clear" w:color="auto" w:fill="B6DDE8" w:themeFill="accent5" w:themeFillTint="66"/>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310</w:t>
            </w:r>
          </w:p>
        </w:tc>
        <w:tc>
          <w:tcPr>
            <w:tcW w:w="737" w:type="dxa"/>
            <w:tcBorders>
              <w:left w:val="single" w:sz="12" w:space="0" w:color="auto"/>
              <w:bottom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26" w:type="dxa"/>
            <w:tcBorders>
              <w:left w:val="single" w:sz="4" w:space="0" w:color="auto"/>
              <w:bottom w:val="single" w:sz="12"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bottom w:val="single" w:sz="12"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1199" w:type="dxa"/>
            <w:tcBorders>
              <w:left w:val="single" w:sz="4" w:space="0" w:color="auto"/>
              <w:bottom w:val="single" w:sz="12"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c>
          <w:tcPr>
            <w:tcW w:w="879" w:type="dxa"/>
            <w:tcBorders>
              <w:left w:val="single" w:sz="4" w:space="0" w:color="auto"/>
              <w:bottom w:val="single" w:sz="12"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r>
      <w:tr w:rsidR="00134652" w:rsidRPr="00134652" w:rsidTr="00BF7F25">
        <w:trPr>
          <w:trHeight w:val="460"/>
        </w:trPr>
        <w:tc>
          <w:tcPr>
            <w:tcW w:w="10812" w:type="dxa"/>
            <w:gridSpan w:val="7"/>
            <w:tcBorders>
              <w:left w:val="nil"/>
              <w:bottom w:val="single" w:sz="12" w:space="0" w:color="auto"/>
              <w:right w:val="nil"/>
            </w:tcBorders>
            <w:shd w:val="clear" w:color="000000" w:fill="FFFFFF"/>
            <w:vAlign w:val="center"/>
            <w:hideMark/>
          </w:tcPr>
          <w:p w:rsidR="00134652" w:rsidRPr="00F610B6" w:rsidRDefault="00134652" w:rsidP="000C4339">
            <w:pPr>
              <w:spacing w:before="240" w:line="240" w:lineRule="auto"/>
              <w:rPr>
                <w:rFonts w:eastAsia="Times New Roman" w:cs="Calibri"/>
              </w:rPr>
            </w:pPr>
            <w:r w:rsidRPr="00F610B6">
              <w:rPr>
                <w:rFonts w:eastAsia="Times New Roman" w:cs="Calibri"/>
              </w:rPr>
              <w:t>The data above shows that:</w:t>
            </w:r>
          </w:p>
          <w:p w:rsidR="00134652" w:rsidRPr="00F610B6" w:rsidRDefault="00134652" w:rsidP="00F610B6">
            <w:pPr>
              <w:pStyle w:val="ListParagraph"/>
              <w:numPr>
                <w:ilvl w:val="0"/>
                <w:numId w:val="28"/>
              </w:numPr>
              <w:ind w:left="567" w:hanging="567"/>
            </w:pPr>
            <w:r w:rsidRPr="00F610B6">
              <w:t xml:space="preserve">Providers reported 41% of partnerships that have been evaluated have </w:t>
            </w:r>
            <w:r w:rsidRPr="00F610B6">
              <w:rPr>
                <w:i/>
              </w:rPr>
              <w:t>achieved</w:t>
            </w:r>
            <w:r w:rsidRPr="00F610B6">
              <w:t xml:space="preserve"> or made </w:t>
            </w:r>
            <w:r w:rsidRPr="00F610B6">
              <w:rPr>
                <w:i/>
              </w:rPr>
              <w:t>considerable</w:t>
            </w:r>
            <w:r w:rsidRPr="00F610B6">
              <w:t xml:space="preserve"> </w:t>
            </w:r>
            <w:r w:rsidRPr="00F610B6">
              <w:rPr>
                <w:i/>
              </w:rPr>
              <w:t>progress</w:t>
            </w:r>
            <w:r w:rsidRPr="00F610B6">
              <w:t xml:space="preserve"> against this outcome.</w:t>
            </w:r>
          </w:p>
          <w:p w:rsidR="00134652" w:rsidRPr="00F610B6" w:rsidRDefault="00134652" w:rsidP="00F610B6">
            <w:pPr>
              <w:pStyle w:val="ListParagraph"/>
              <w:numPr>
                <w:ilvl w:val="0"/>
                <w:numId w:val="28"/>
              </w:numPr>
              <w:ind w:left="567" w:hanging="567"/>
            </w:pPr>
            <w:r w:rsidRPr="00F610B6">
              <w:t xml:space="preserve">Providers reported 37% of partnerships that have been evaluated have made </w:t>
            </w:r>
            <w:r w:rsidRPr="00F610B6">
              <w:rPr>
                <w:i/>
              </w:rPr>
              <w:t>limited</w:t>
            </w:r>
            <w:r w:rsidRPr="00F610B6">
              <w:t xml:space="preserve"> or </w:t>
            </w:r>
            <w:r w:rsidRPr="00F610B6">
              <w:rPr>
                <w:i/>
              </w:rPr>
              <w:t>some</w:t>
            </w:r>
            <w:r w:rsidRPr="00F610B6">
              <w:t xml:space="preserve"> </w:t>
            </w:r>
            <w:r w:rsidRPr="00F610B6">
              <w:rPr>
                <w:i/>
              </w:rPr>
              <w:t>progress</w:t>
            </w:r>
            <w:r w:rsidRPr="00F610B6">
              <w:t xml:space="preserve"> against this outcome.</w:t>
            </w:r>
          </w:p>
          <w:p w:rsidR="00134652" w:rsidRPr="00F610B6" w:rsidRDefault="00134652" w:rsidP="00F610B6">
            <w:pPr>
              <w:pStyle w:val="ListParagraph"/>
              <w:numPr>
                <w:ilvl w:val="0"/>
                <w:numId w:val="28"/>
              </w:numPr>
              <w:ind w:left="567" w:hanging="567"/>
            </w:pPr>
            <w:r w:rsidRPr="00F610B6">
              <w:t>There are 310 partnerships (51% of the total number of partnerships in QLD) that have made progress towards providing ‘</w:t>
            </w:r>
            <w:r w:rsidRPr="00F610B6">
              <w:rPr>
                <w:i/>
              </w:rPr>
              <w:t>opportunities for meaningful learning as a result of education and training providers partnering with other stakeholders</w:t>
            </w:r>
            <w:r w:rsidRPr="00F610B6">
              <w:t xml:space="preserve">’. Providers reported that 45% of these partnerships have </w:t>
            </w:r>
            <w:r w:rsidRPr="00F610B6">
              <w:rPr>
                <w:i/>
              </w:rPr>
              <w:t>achieved</w:t>
            </w:r>
            <w:r w:rsidRPr="00F610B6">
              <w:t xml:space="preserve"> or made </w:t>
            </w:r>
            <w:r w:rsidRPr="00F610B6">
              <w:rPr>
                <w:i/>
              </w:rPr>
              <w:t>considerable</w:t>
            </w:r>
            <w:r w:rsidRPr="00F610B6">
              <w:t xml:space="preserve"> </w:t>
            </w:r>
            <w:r w:rsidRPr="00F610B6">
              <w:rPr>
                <w:i/>
              </w:rPr>
              <w:t>progress</w:t>
            </w:r>
            <w:r w:rsidRPr="00F610B6">
              <w:t xml:space="preserve"> against this </w:t>
            </w:r>
            <w:proofErr w:type="spellStart"/>
            <w:r w:rsidRPr="00F610B6">
              <w:t>KPM</w:t>
            </w:r>
            <w:proofErr w:type="spellEnd"/>
            <w:r w:rsidRPr="00F610B6">
              <w:t>.</w:t>
            </w:r>
          </w:p>
          <w:p w:rsidR="00134652" w:rsidRPr="000C4339" w:rsidRDefault="00134652" w:rsidP="00134652">
            <w:pPr>
              <w:spacing w:line="240" w:lineRule="auto"/>
              <w:rPr>
                <w:rFonts w:eastAsia="Times New Roman" w:cs="Calibri"/>
                <w:color w:val="000000"/>
              </w:rPr>
            </w:pPr>
          </w:p>
        </w:tc>
      </w:tr>
      <w:tr w:rsidR="00F610B6" w:rsidRPr="00134652" w:rsidTr="00F610B6">
        <w:trPr>
          <w:trHeight w:val="294"/>
        </w:trPr>
        <w:tc>
          <w:tcPr>
            <w:tcW w:w="4874" w:type="dxa"/>
            <w:tcBorders>
              <w:top w:val="single" w:sz="12" w:space="0" w:color="auto"/>
              <w:left w:val="single" w:sz="12" w:space="0" w:color="auto"/>
              <w:right w:val="single" w:sz="12" w:space="0" w:color="auto"/>
            </w:tcBorders>
            <w:shd w:val="clear" w:color="auto" w:fill="92CDDC" w:themeFill="accent5" w:themeFillTint="99"/>
            <w:vAlign w:val="center"/>
            <w:hideMark/>
          </w:tcPr>
          <w:p w:rsidR="00F610B6" w:rsidRPr="00134652" w:rsidRDefault="00F610B6" w:rsidP="00F610B6">
            <w:pPr>
              <w:pStyle w:val="TableColumnHeadingCentred"/>
            </w:pPr>
            <w:r w:rsidRPr="00134652">
              <w:t xml:space="preserve">Table </w:t>
            </w:r>
            <w:proofErr w:type="spellStart"/>
            <w:r w:rsidRPr="00134652">
              <w:t>H3</w:t>
            </w:r>
            <w:proofErr w:type="spellEnd"/>
            <w:r w:rsidRPr="00134652">
              <w:t xml:space="preserve"> – Outcome – Business &amp; Industry</w:t>
            </w:r>
          </w:p>
        </w:tc>
        <w:tc>
          <w:tcPr>
            <w:tcW w:w="1203" w:type="dxa"/>
            <w:tcBorders>
              <w:top w:val="single" w:sz="12" w:space="0" w:color="auto"/>
              <w:left w:val="single" w:sz="12" w:space="0" w:color="auto"/>
              <w:right w:val="single" w:sz="12" w:space="0" w:color="auto"/>
            </w:tcBorders>
            <w:shd w:val="clear" w:color="auto" w:fill="92CDDC" w:themeFill="accent5" w:themeFillTint="99"/>
            <w:vAlign w:val="center"/>
          </w:tcPr>
          <w:p w:rsidR="00F610B6" w:rsidRPr="007D72B1" w:rsidRDefault="00F610B6" w:rsidP="00F610B6">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1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 xml:space="preserve">2 </w:t>
            </w:r>
          </w:p>
          <w:p w:rsidR="00F610B6" w:rsidRPr="007D72B1" w:rsidRDefault="00F610B6" w:rsidP="00F610B6">
            <w:pPr>
              <w:pStyle w:val="TableColumnHeadingCentred"/>
            </w:pPr>
            <w:r w:rsidRPr="007D72B1">
              <w:t>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 xml:space="preserve">3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F610B6" w:rsidRPr="007D72B1" w:rsidRDefault="00F610B6" w:rsidP="00F610B6">
            <w:pPr>
              <w:pStyle w:val="TableColumnHeadingCentred"/>
            </w:pPr>
            <w:r w:rsidRPr="007D72B1">
              <w:t>4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F610B6" w:rsidRPr="007D72B1" w:rsidRDefault="00F610B6" w:rsidP="00F610B6">
            <w:pPr>
              <w:pStyle w:val="TableColumnHeadingCentred"/>
            </w:pPr>
            <w:r w:rsidRPr="007D72B1">
              <w:t>5 Achieved</w:t>
            </w:r>
          </w:p>
        </w:tc>
      </w:tr>
      <w:tr w:rsidR="00134652" w:rsidRPr="00134652" w:rsidTr="00F610B6">
        <w:trPr>
          <w:trHeight w:val="662"/>
        </w:trPr>
        <w:tc>
          <w:tcPr>
            <w:tcW w:w="4874"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20"/>
                <w:szCs w:val="20"/>
                <w:lang w:eastAsia="en-AU"/>
              </w:rPr>
            </w:pPr>
            <w:r w:rsidRPr="00134652">
              <w:rPr>
                <w:rFonts w:eastAsia="Times New Roman"/>
                <w:b/>
                <w:bCs/>
                <w:sz w:val="20"/>
                <w:szCs w:val="20"/>
              </w:rPr>
              <w:t>Business and industry</w:t>
            </w:r>
            <w:r w:rsidRPr="00134652">
              <w:rPr>
                <w:rFonts w:eastAsia="Times New Roman"/>
                <w:b/>
                <w:sz w:val="20"/>
                <w:szCs w:val="20"/>
              </w:rPr>
              <w:t xml:space="preserve"> actively engaged in sustainable partnerships that support the development of young people, contribute to the skills and knowledge of the future workforce and improve young people’s education and transition outcomes</w:t>
            </w:r>
            <w:r w:rsidRPr="00134652">
              <w:rPr>
                <w:rFonts w:eastAsia="Times New Roman"/>
                <w:b/>
                <w:iCs/>
                <w:sz w:val="20"/>
                <w:szCs w:val="20"/>
              </w:rPr>
              <w:t>.</w:t>
            </w:r>
          </w:p>
        </w:tc>
        <w:tc>
          <w:tcPr>
            <w:tcW w:w="1203"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404</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103</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(25%)</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75</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(19%)</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75</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(19%)</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73</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(18%)</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78</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(19%)</w:t>
            </w:r>
          </w:p>
        </w:tc>
      </w:tr>
      <w:tr w:rsidR="00134652" w:rsidRPr="00134652" w:rsidTr="00BF7F25">
        <w:trPr>
          <w:trHeight w:val="345"/>
        </w:trPr>
        <w:tc>
          <w:tcPr>
            <w:tcW w:w="10812" w:type="dxa"/>
            <w:gridSpan w:val="7"/>
            <w:tcBorders>
              <w:top w:val="single" w:sz="12" w:space="0" w:color="auto"/>
              <w:left w:val="nil"/>
              <w:right w:val="nil"/>
            </w:tcBorders>
            <w:shd w:val="clear" w:color="000000" w:fill="FFFFFF"/>
            <w:vAlign w:val="center"/>
            <w:hideMark/>
          </w:tcPr>
          <w:p w:rsidR="00134652" w:rsidRPr="00134652" w:rsidRDefault="00134652" w:rsidP="000C4339">
            <w:pPr>
              <w:spacing w:line="240" w:lineRule="auto"/>
              <w:rPr>
                <w:rFonts w:eastAsia="Times New Roman" w:cs="Calibri"/>
                <w:color w:val="333333"/>
                <w:sz w:val="18"/>
                <w:szCs w:val="18"/>
                <w:lang w:eastAsia="en-AU"/>
              </w:rPr>
            </w:pPr>
          </w:p>
        </w:tc>
      </w:tr>
      <w:tr w:rsidR="00F610B6" w:rsidRPr="00134652" w:rsidTr="00F610B6">
        <w:trPr>
          <w:trHeight w:val="460"/>
        </w:trPr>
        <w:tc>
          <w:tcPr>
            <w:tcW w:w="4874" w:type="dxa"/>
            <w:tcBorders>
              <w:left w:val="single" w:sz="12" w:space="0" w:color="auto"/>
              <w:right w:val="single" w:sz="12" w:space="0" w:color="auto"/>
            </w:tcBorders>
            <w:shd w:val="clear" w:color="000000" w:fill="FFFFFF"/>
            <w:vAlign w:val="center"/>
          </w:tcPr>
          <w:p w:rsidR="00F610B6" w:rsidRPr="00134652" w:rsidRDefault="00F610B6" w:rsidP="00F610B6">
            <w:pPr>
              <w:pStyle w:val="TableColumnHeadingCentred"/>
              <w:rPr>
                <w:rFonts w:cs="Calibri"/>
                <w:color w:val="000000"/>
                <w:sz w:val="18"/>
                <w:szCs w:val="18"/>
              </w:rPr>
            </w:pPr>
            <w:r>
              <w:t xml:space="preserve">Table </w:t>
            </w:r>
            <w:proofErr w:type="spellStart"/>
            <w:r>
              <w:t>H</w:t>
            </w:r>
            <w:r w:rsidR="000C4339">
              <w:t>3</w:t>
            </w:r>
            <w:proofErr w:type="spellEnd"/>
            <w:r w:rsidRPr="00F610B6">
              <w:t xml:space="preserve"> continued –  Outcome  –  </w:t>
            </w:r>
            <w:r w:rsidR="000C4339">
              <w:t>Business &amp; Industry</w:t>
            </w:r>
            <w:r w:rsidRPr="00F610B6">
              <w:t xml:space="preserve"> (Breakdown of the  </w:t>
            </w:r>
            <w:proofErr w:type="spellStart"/>
            <w:r w:rsidRPr="00F610B6">
              <w:t>KPMs</w:t>
            </w:r>
            <w:proofErr w:type="spellEnd"/>
            <w:r w:rsidRPr="00F610B6">
              <w:t xml:space="preserve"> which contribute to the outcome above)</w:t>
            </w:r>
          </w:p>
        </w:tc>
        <w:tc>
          <w:tcPr>
            <w:tcW w:w="1203" w:type="dxa"/>
            <w:tcBorders>
              <w:left w:val="single" w:sz="12" w:space="0" w:color="auto"/>
              <w:right w:val="single" w:sz="12" w:space="0" w:color="auto"/>
            </w:tcBorders>
            <w:shd w:val="clear" w:color="auto" w:fill="DAEEF3" w:themeFill="accent5" w:themeFillTint="33"/>
            <w:vAlign w:val="center"/>
          </w:tcPr>
          <w:p w:rsidR="00F610B6" w:rsidRPr="007D72B1" w:rsidRDefault="00F610B6" w:rsidP="00F610B6">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left w:val="single" w:sz="12"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1 Limited</w:t>
            </w:r>
          </w:p>
        </w:tc>
        <w:tc>
          <w:tcPr>
            <w:tcW w:w="826" w:type="dxa"/>
            <w:tcBorders>
              <w:left w:val="single" w:sz="4"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 xml:space="preserve">2 </w:t>
            </w:r>
          </w:p>
          <w:p w:rsidR="00F610B6" w:rsidRPr="007D72B1" w:rsidRDefault="00F610B6" w:rsidP="00F610B6">
            <w:pPr>
              <w:pStyle w:val="TableColumnHeadingCentred"/>
            </w:pPr>
            <w:r w:rsidRPr="007D72B1">
              <w:t>Some Progress</w:t>
            </w:r>
          </w:p>
        </w:tc>
        <w:tc>
          <w:tcPr>
            <w:tcW w:w="1094" w:type="dxa"/>
            <w:tcBorders>
              <w:left w:val="single" w:sz="4"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 xml:space="preserve">3 Satisfactory </w:t>
            </w:r>
          </w:p>
        </w:tc>
        <w:tc>
          <w:tcPr>
            <w:tcW w:w="1199" w:type="dxa"/>
            <w:tcBorders>
              <w:left w:val="single" w:sz="4" w:space="0" w:color="auto"/>
              <w:right w:val="single" w:sz="4" w:space="0" w:color="auto"/>
            </w:tcBorders>
            <w:shd w:val="clear" w:color="000000" w:fill="FFFFFF"/>
            <w:vAlign w:val="center"/>
          </w:tcPr>
          <w:p w:rsidR="00F610B6" w:rsidRPr="007D72B1" w:rsidRDefault="00F610B6" w:rsidP="00F610B6">
            <w:pPr>
              <w:pStyle w:val="TableColumnHeadingCentred"/>
            </w:pPr>
            <w:r w:rsidRPr="007D72B1">
              <w:t>4 Considerable Progress</w:t>
            </w:r>
          </w:p>
        </w:tc>
        <w:tc>
          <w:tcPr>
            <w:tcW w:w="879" w:type="dxa"/>
            <w:tcBorders>
              <w:left w:val="single" w:sz="4" w:space="0" w:color="auto"/>
              <w:right w:val="single" w:sz="12" w:space="0" w:color="auto"/>
            </w:tcBorders>
            <w:shd w:val="clear" w:color="000000" w:fill="FFFFFF"/>
            <w:vAlign w:val="center"/>
          </w:tcPr>
          <w:p w:rsidR="00F610B6" w:rsidRPr="007D72B1" w:rsidRDefault="00F610B6" w:rsidP="00F610B6">
            <w:pPr>
              <w:pStyle w:val="TableColumnHeadingCentred"/>
            </w:pPr>
            <w:r w:rsidRPr="007D72B1">
              <w:t>5 Achieved</w:t>
            </w:r>
          </w:p>
        </w:tc>
      </w:tr>
      <w:tr w:rsidR="00134652" w:rsidRPr="00134652" w:rsidTr="00F610B6">
        <w:trPr>
          <w:trHeight w:val="460"/>
        </w:trPr>
        <w:tc>
          <w:tcPr>
            <w:tcW w:w="4874"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businesses providing mentoring/coaching opportunities for young people</w:t>
            </w:r>
          </w:p>
        </w:tc>
        <w:tc>
          <w:tcPr>
            <w:tcW w:w="1203"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124</w:t>
            </w:r>
          </w:p>
        </w:tc>
        <w:tc>
          <w:tcPr>
            <w:tcW w:w="737" w:type="dxa"/>
            <w:tcBorders>
              <w:left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32%</w:t>
            </w:r>
          </w:p>
        </w:tc>
        <w:tc>
          <w:tcPr>
            <w:tcW w:w="826"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c>
          <w:tcPr>
            <w:tcW w:w="1199"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79" w:type="dxa"/>
            <w:tcBorders>
              <w:left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r>
      <w:tr w:rsidR="00134652" w:rsidRPr="00134652" w:rsidTr="00F610B6">
        <w:trPr>
          <w:trHeight w:val="460"/>
        </w:trPr>
        <w:tc>
          <w:tcPr>
            <w:tcW w:w="4874"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businesses providing professional development opportunities for teachers and career practitioners</w:t>
            </w:r>
          </w:p>
        </w:tc>
        <w:tc>
          <w:tcPr>
            <w:tcW w:w="1203"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85</w:t>
            </w:r>
          </w:p>
        </w:tc>
        <w:tc>
          <w:tcPr>
            <w:tcW w:w="737" w:type="dxa"/>
            <w:tcBorders>
              <w:left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c>
          <w:tcPr>
            <w:tcW w:w="826"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1094"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25%</w:t>
            </w:r>
          </w:p>
        </w:tc>
        <w:tc>
          <w:tcPr>
            <w:tcW w:w="1199"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879" w:type="dxa"/>
            <w:tcBorders>
              <w:left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r>
      <w:tr w:rsidR="00134652" w:rsidRPr="00134652" w:rsidTr="00F610B6">
        <w:trPr>
          <w:trHeight w:val="460"/>
        </w:trPr>
        <w:tc>
          <w:tcPr>
            <w:tcW w:w="4874"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businesses providing quality workplace and community learning opportunities for young people</w:t>
            </w:r>
          </w:p>
        </w:tc>
        <w:tc>
          <w:tcPr>
            <w:tcW w:w="1203" w:type="dxa"/>
            <w:tcBorders>
              <w:left w:val="single" w:sz="12" w:space="0" w:color="auto"/>
              <w:right w:val="single" w:sz="12" w:space="0" w:color="auto"/>
            </w:tcBorders>
            <w:shd w:val="clear" w:color="auto" w:fill="B6DDE8" w:themeFill="accent5" w:themeFillTint="66"/>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195</w:t>
            </w:r>
          </w:p>
        </w:tc>
        <w:tc>
          <w:tcPr>
            <w:tcW w:w="737" w:type="dxa"/>
            <w:tcBorders>
              <w:left w:val="single" w:sz="12" w:space="0" w:color="auto"/>
              <w:right w:val="single" w:sz="4" w:space="0" w:color="auto"/>
            </w:tcBorders>
            <w:shd w:val="clear" w:color="000000" w:fill="FFFFFF"/>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c>
          <w:tcPr>
            <w:tcW w:w="826"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199" w:type="dxa"/>
            <w:tcBorders>
              <w:left w:val="single" w:sz="4" w:space="0" w:color="auto"/>
              <w:right w:val="single" w:sz="4"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879" w:type="dxa"/>
            <w:tcBorders>
              <w:left w:val="single" w:sz="4" w:space="0" w:color="auto"/>
              <w:right w:val="single" w:sz="12" w:space="0" w:color="auto"/>
            </w:tcBorders>
            <w:shd w:val="clear" w:color="000000" w:fill="FFFFFF"/>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r>
    </w:tbl>
    <w:p w:rsidR="00134652" w:rsidRPr="00F610B6" w:rsidRDefault="00134652" w:rsidP="000C4339">
      <w:pPr>
        <w:tabs>
          <w:tab w:val="left" w:pos="284"/>
        </w:tabs>
        <w:spacing w:before="240" w:line="240" w:lineRule="auto"/>
        <w:ind w:hanging="567"/>
        <w:rPr>
          <w:rFonts w:eastAsia="Times New Roman" w:cs="Calibri"/>
        </w:rPr>
      </w:pPr>
      <w:r w:rsidRPr="00F610B6">
        <w:rPr>
          <w:rFonts w:eastAsia="Times New Roman" w:cs="Calibri"/>
        </w:rPr>
        <w:t>The data above shows that:</w:t>
      </w:r>
    </w:p>
    <w:p w:rsidR="00134652" w:rsidRPr="00F610B6" w:rsidRDefault="00134652" w:rsidP="00F610B6">
      <w:pPr>
        <w:pStyle w:val="ListParagraph"/>
        <w:numPr>
          <w:ilvl w:val="0"/>
          <w:numId w:val="28"/>
        </w:numPr>
        <w:ind w:left="0" w:hanging="567"/>
      </w:pPr>
      <w:r w:rsidRPr="00F610B6">
        <w:t xml:space="preserve">Providers reported 37% of partnerships that have been evaluated have </w:t>
      </w:r>
      <w:r w:rsidRPr="00F610B6">
        <w:rPr>
          <w:i/>
        </w:rPr>
        <w:t>achieved</w:t>
      </w:r>
      <w:r w:rsidRPr="00F610B6">
        <w:t xml:space="preserve"> or made </w:t>
      </w:r>
      <w:r w:rsidRPr="00F610B6">
        <w:rPr>
          <w:i/>
        </w:rPr>
        <w:t>considerable</w:t>
      </w:r>
      <w:r w:rsidRPr="00F610B6">
        <w:t xml:space="preserve"> </w:t>
      </w:r>
      <w:r w:rsidRPr="00F610B6">
        <w:rPr>
          <w:i/>
        </w:rPr>
        <w:t>progress</w:t>
      </w:r>
      <w:r w:rsidRPr="00F610B6">
        <w:t xml:space="preserve"> against this outcome.</w:t>
      </w:r>
    </w:p>
    <w:p w:rsidR="00134652" w:rsidRPr="00F610B6" w:rsidRDefault="00134652" w:rsidP="00F610B6">
      <w:pPr>
        <w:pStyle w:val="ListParagraph"/>
        <w:numPr>
          <w:ilvl w:val="0"/>
          <w:numId w:val="28"/>
        </w:numPr>
        <w:ind w:left="0" w:hanging="567"/>
      </w:pPr>
      <w:r w:rsidRPr="00F610B6">
        <w:t xml:space="preserve">Providers reported 44% of partnerships that have been evaluated have made </w:t>
      </w:r>
      <w:r w:rsidRPr="00F610B6">
        <w:rPr>
          <w:i/>
        </w:rPr>
        <w:t>limited</w:t>
      </w:r>
      <w:r w:rsidRPr="00F610B6">
        <w:t xml:space="preserve"> or </w:t>
      </w:r>
      <w:r w:rsidRPr="00F610B6">
        <w:rPr>
          <w:i/>
        </w:rPr>
        <w:t>some</w:t>
      </w:r>
      <w:r w:rsidRPr="00F610B6">
        <w:t xml:space="preserve"> </w:t>
      </w:r>
      <w:r w:rsidRPr="00F610B6">
        <w:rPr>
          <w:i/>
        </w:rPr>
        <w:t>progress</w:t>
      </w:r>
      <w:r w:rsidRPr="00F610B6">
        <w:t xml:space="preserve"> against this outcome.</w:t>
      </w:r>
    </w:p>
    <w:p w:rsidR="00134652" w:rsidRPr="00F610B6" w:rsidRDefault="00134652" w:rsidP="00F610B6">
      <w:pPr>
        <w:pStyle w:val="ListParagraph"/>
        <w:numPr>
          <w:ilvl w:val="0"/>
          <w:numId w:val="28"/>
        </w:numPr>
        <w:ind w:left="0" w:hanging="567"/>
        <w:sectPr w:rsidR="00134652" w:rsidRPr="00F610B6" w:rsidSect="00F610B6">
          <w:type w:val="continuous"/>
          <w:pgSz w:w="11907" w:h="16839" w:code="9"/>
          <w:pgMar w:top="709" w:right="1134" w:bottom="680" w:left="1134" w:header="709" w:footer="0" w:gutter="0"/>
          <w:cols w:space="708"/>
          <w:docGrid w:linePitch="360"/>
        </w:sectPr>
      </w:pPr>
      <w:r w:rsidRPr="00F610B6">
        <w:t>There are 195 partnerships (32% of the total number of partnerships in QLD) that have made progress towards increasing ‘</w:t>
      </w:r>
      <w:r w:rsidRPr="00F610B6">
        <w:rPr>
          <w:i/>
        </w:rPr>
        <w:t>the number of businesses providing quality workplace and community learning opportunities for young people’</w:t>
      </w:r>
      <w:r w:rsidRPr="00F610B6">
        <w:t xml:space="preserve">. Providers reported that 38% of these partnerships have </w:t>
      </w:r>
      <w:r w:rsidRPr="00F610B6">
        <w:rPr>
          <w:i/>
        </w:rPr>
        <w:t>achieved</w:t>
      </w:r>
      <w:r w:rsidRPr="00F610B6">
        <w:t xml:space="preserve"> or made </w:t>
      </w:r>
      <w:r w:rsidRPr="00F610B6">
        <w:rPr>
          <w:i/>
        </w:rPr>
        <w:t>considerable</w:t>
      </w:r>
      <w:r w:rsidRPr="00F610B6">
        <w:t xml:space="preserve"> </w:t>
      </w:r>
      <w:r w:rsidRPr="00F610B6">
        <w:rPr>
          <w:i/>
        </w:rPr>
        <w:t>progress</w:t>
      </w:r>
      <w:r w:rsidRPr="00F610B6">
        <w:t xml:space="preserve"> against this </w:t>
      </w:r>
      <w:proofErr w:type="spellStart"/>
      <w:r w:rsidRPr="00F610B6">
        <w:t>KPM</w:t>
      </w:r>
      <w:proofErr w:type="spellEnd"/>
      <w:r w:rsidR="00F610B6">
        <w:t>.</w:t>
      </w:r>
    </w:p>
    <w:tbl>
      <w:tblPr>
        <w:tblpPr w:leftFromText="180" w:rightFromText="180" w:vertAnchor="text" w:horzAnchor="margin" w:tblpXSpec="center" w:tblpY="14"/>
        <w:tblW w:w="10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97"/>
        <w:gridCol w:w="1207"/>
        <w:gridCol w:w="737"/>
        <w:gridCol w:w="826"/>
        <w:gridCol w:w="1094"/>
        <w:gridCol w:w="1199"/>
        <w:gridCol w:w="879"/>
      </w:tblGrid>
      <w:tr w:rsidR="000C4339" w:rsidRPr="00134652" w:rsidTr="000C4339">
        <w:trPr>
          <w:trHeight w:val="433"/>
        </w:trPr>
        <w:tc>
          <w:tcPr>
            <w:tcW w:w="4897" w:type="dxa"/>
            <w:tcBorders>
              <w:top w:val="single" w:sz="12" w:space="0" w:color="auto"/>
              <w:left w:val="single" w:sz="12" w:space="0" w:color="auto"/>
              <w:right w:val="single" w:sz="12" w:space="0" w:color="auto"/>
            </w:tcBorders>
            <w:shd w:val="clear" w:color="auto" w:fill="92CDDC" w:themeFill="accent5" w:themeFillTint="99"/>
            <w:vAlign w:val="center"/>
            <w:hideMark/>
          </w:tcPr>
          <w:p w:rsidR="000C4339" w:rsidRPr="00134652" w:rsidRDefault="000C4339" w:rsidP="000C4339">
            <w:pPr>
              <w:pStyle w:val="TableColumnHeadingCentred"/>
            </w:pPr>
            <w:r w:rsidRPr="00134652">
              <w:lastRenderedPageBreak/>
              <w:t xml:space="preserve">Table </w:t>
            </w:r>
            <w:proofErr w:type="spellStart"/>
            <w:r w:rsidRPr="00134652">
              <w:t>H4</w:t>
            </w:r>
            <w:proofErr w:type="spellEnd"/>
            <w:r w:rsidRPr="00134652">
              <w:t xml:space="preserve"> – Outcome – Parents &amp; Families</w:t>
            </w:r>
          </w:p>
        </w:tc>
        <w:tc>
          <w:tcPr>
            <w:tcW w:w="1207" w:type="dxa"/>
            <w:tcBorders>
              <w:top w:val="single" w:sz="12" w:space="0" w:color="auto"/>
              <w:left w:val="single" w:sz="12" w:space="0" w:color="auto"/>
              <w:right w:val="single" w:sz="12" w:space="0" w:color="auto"/>
            </w:tcBorders>
            <w:shd w:val="clear" w:color="auto" w:fill="92CDDC" w:themeFill="accent5" w:themeFillTint="99"/>
            <w:vAlign w:val="center"/>
            <w:hideMark/>
          </w:tcPr>
          <w:p w:rsidR="000C4339" w:rsidRPr="007D72B1" w:rsidRDefault="000C4339" w:rsidP="000C4339">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0C4339" w:rsidRPr="007D72B1" w:rsidRDefault="000C4339" w:rsidP="000C4339">
            <w:pPr>
              <w:pStyle w:val="TableColumnHeadingCentred"/>
            </w:pPr>
            <w:r w:rsidRPr="007D72B1">
              <w:t>1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 xml:space="preserve">2 </w:t>
            </w:r>
          </w:p>
          <w:p w:rsidR="000C4339" w:rsidRPr="007D72B1" w:rsidRDefault="000C4339" w:rsidP="000C4339">
            <w:pPr>
              <w:pStyle w:val="TableColumnHeadingCentred"/>
            </w:pPr>
            <w:r w:rsidRPr="007D72B1">
              <w:t>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 xml:space="preserve">3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4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0C4339" w:rsidRPr="007D72B1" w:rsidRDefault="000C4339" w:rsidP="000C4339">
            <w:pPr>
              <w:pStyle w:val="TableColumnHeadingCentred"/>
            </w:pPr>
            <w:r w:rsidRPr="007D72B1">
              <w:t>5 Achieved</w:t>
            </w:r>
          </w:p>
        </w:tc>
      </w:tr>
      <w:tr w:rsidR="00134652" w:rsidRPr="00134652" w:rsidTr="000C4339">
        <w:trPr>
          <w:trHeight w:val="642"/>
        </w:trPr>
        <w:tc>
          <w:tcPr>
            <w:tcW w:w="4897"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0C4339" w:rsidRDefault="00134652" w:rsidP="00134652">
            <w:pPr>
              <w:spacing w:line="240" w:lineRule="auto"/>
              <w:rPr>
                <w:rFonts w:eastAsia="Times New Roman" w:cs="Calibri"/>
                <w:color w:val="333333"/>
                <w:sz w:val="20"/>
                <w:szCs w:val="20"/>
                <w:lang w:eastAsia="en-AU"/>
              </w:rPr>
            </w:pPr>
            <w:r w:rsidRPr="000C4339">
              <w:rPr>
                <w:rFonts w:eastAsia="Times New Roman"/>
                <w:b/>
                <w:bCs/>
                <w:sz w:val="20"/>
                <w:szCs w:val="20"/>
              </w:rPr>
              <w:t>Partnerships that support parents and families to provide an informed and supportive environment for all young people to enable lifelong learning and career and pathway planning, and improve their education and transition outcomes.*</w:t>
            </w:r>
          </w:p>
        </w:tc>
        <w:tc>
          <w:tcPr>
            <w:tcW w:w="1207"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435</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116</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(27%)</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99</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(23%)</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87</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(20%)</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71</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(16%)</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62</w:t>
            </w:r>
          </w:p>
          <w:p w:rsidR="00134652" w:rsidRPr="00134652" w:rsidRDefault="00134652" w:rsidP="00134652">
            <w:pPr>
              <w:spacing w:line="240" w:lineRule="auto"/>
              <w:jc w:val="center"/>
              <w:rPr>
                <w:rFonts w:eastAsia="Times New Roman" w:cs="Calibri"/>
                <w:b/>
                <w:bCs/>
                <w:color w:val="000000"/>
              </w:rPr>
            </w:pPr>
            <w:r w:rsidRPr="00134652">
              <w:rPr>
                <w:rFonts w:eastAsia="Times New Roman" w:cs="Calibri"/>
                <w:b/>
                <w:bCs/>
                <w:color w:val="000000"/>
              </w:rPr>
              <w:t>(14%)</w:t>
            </w:r>
          </w:p>
        </w:tc>
      </w:tr>
      <w:tr w:rsidR="00134652" w:rsidRPr="00134652" w:rsidTr="00BF7F25">
        <w:trPr>
          <w:trHeight w:val="325"/>
        </w:trPr>
        <w:tc>
          <w:tcPr>
            <w:tcW w:w="10839" w:type="dxa"/>
            <w:gridSpan w:val="7"/>
            <w:tcBorders>
              <w:top w:val="single" w:sz="12" w:space="0" w:color="auto"/>
              <w:left w:val="nil"/>
              <w:right w:val="nil"/>
            </w:tcBorders>
            <w:shd w:val="clear" w:color="000000" w:fill="FFFFFF"/>
            <w:vAlign w:val="center"/>
            <w:hideMark/>
          </w:tcPr>
          <w:p w:rsidR="00134652" w:rsidRPr="00134652" w:rsidRDefault="00134652" w:rsidP="00134652">
            <w:pPr>
              <w:spacing w:line="240" w:lineRule="auto"/>
              <w:rPr>
                <w:rFonts w:eastAsia="Times New Roman" w:cs="Calibri"/>
                <w:color w:val="000000"/>
              </w:rPr>
            </w:pPr>
          </w:p>
        </w:tc>
      </w:tr>
      <w:tr w:rsidR="000C4339" w:rsidRPr="00134652" w:rsidTr="000C4339">
        <w:trPr>
          <w:trHeight w:val="433"/>
        </w:trPr>
        <w:tc>
          <w:tcPr>
            <w:tcW w:w="4897" w:type="dxa"/>
            <w:tcBorders>
              <w:left w:val="single" w:sz="12" w:space="0" w:color="auto"/>
              <w:right w:val="single" w:sz="12" w:space="0" w:color="auto"/>
            </w:tcBorders>
            <w:shd w:val="clear" w:color="auto" w:fill="FFFFFF" w:themeFill="background1"/>
            <w:vAlign w:val="center"/>
          </w:tcPr>
          <w:p w:rsidR="000C4339" w:rsidRPr="00134652" w:rsidRDefault="000C4339" w:rsidP="000C4339">
            <w:pPr>
              <w:pStyle w:val="TableColumnHeadingCentred"/>
              <w:rPr>
                <w:rFonts w:cs="Calibri"/>
                <w:color w:val="000000"/>
                <w:sz w:val="18"/>
                <w:szCs w:val="18"/>
              </w:rPr>
            </w:pPr>
            <w:r>
              <w:t xml:space="preserve">Table </w:t>
            </w:r>
            <w:proofErr w:type="spellStart"/>
            <w:r>
              <w:t>H4</w:t>
            </w:r>
            <w:proofErr w:type="spellEnd"/>
            <w:r w:rsidRPr="00F610B6">
              <w:t xml:space="preserve"> continued –  Outcome  –  </w:t>
            </w:r>
            <w:r>
              <w:t>Parents &amp; Families</w:t>
            </w:r>
            <w:r w:rsidRPr="00F610B6">
              <w:t xml:space="preserve"> (Breakdown of the  </w:t>
            </w:r>
            <w:proofErr w:type="spellStart"/>
            <w:r w:rsidRPr="00F610B6">
              <w:t>KPMs</w:t>
            </w:r>
            <w:proofErr w:type="spellEnd"/>
            <w:r w:rsidRPr="00F610B6">
              <w:t xml:space="preserve"> which contribute to the outcome above)</w:t>
            </w:r>
          </w:p>
        </w:tc>
        <w:tc>
          <w:tcPr>
            <w:tcW w:w="1207" w:type="dxa"/>
            <w:tcBorders>
              <w:left w:val="single" w:sz="12" w:space="0" w:color="auto"/>
              <w:right w:val="single" w:sz="12" w:space="0" w:color="auto"/>
            </w:tcBorders>
            <w:shd w:val="clear" w:color="auto" w:fill="DAEEF3" w:themeFill="accent5" w:themeFillTint="33"/>
            <w:vAlign w:val="center"/>
          </w:tcPr>
          <w:p w:rsidR="000C4339" w:rsidRPr="007D72B1" w:rsidRDefault="000C4339" w:rsidP="000C4339">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left w:val="single" w:sz="12" w:space="0" w:color="auto"/>
              <w:right w:val="single" w:sz="4" w:space="0" w:color="auto"/>
            </w:tcBorders>
            <w:shd w:val="clear" w:color="auto" w:fill="FFFFFF" w:themeFill="background1"/>
            <w:vAlign w:val="center"/>
          </w:tcPr>
          <w:p w:rsidR="000C4339" w:rsidRPr="007D72B1" w:rsidRDefault="000C4339" w:rsidP="000C4339">
            <w:pPr>
              <w:pStyle w:val="TableColumnHeadingCentred"/>
            </w:pPr>
            <w:r w:rsidRPr="007D72B1">
              <w:t>1 Limited</w:t>
            </w:r>
          </w:p>
        </w:tc>
        <w:tc>
          <w:tcPr>
            <w:tcW w:w="826" w:type="dxa"/>
            <w:tcBorders>
              <w:left w:val="single" w:sz="4" w:space="0" w:color="auto"/>
              <w:right w:val="single" w:sz="4" w:space="0" w:color="auto"/>
            </w:tcBorders>
            <w:shd w:val="clear" w:color="auto" w:fill="FFFFFF" w:themeFill="background1"/>
            <w:vAlign w:val="center"/>
          </w:tcPr>
          <w:p w:rsidR="000C4339" w:rsidRPr="007D72B1" w:rsidRDefault="000C4339" w:rsidP="000C4339">
            <w:pPr>
              <w:pStyle w:val="TableColumnHeadingCentred"/>
            </w:pPr>
            <w:r w:rsidRPr="007D72B1">
              <w:t xml:space="preserve">2 </w:t>
            </w:r>
          </w:p>
          <w:p w:rsidR="000C4339" w:rsidRPr="007D72B1" w:rsidRDefault="000C4339" w:rsidP="000C4339">
            <w:pPr>
              <w:pStyle w:val="TableColumnHeadingCentred"/>
            </w:pPr>
            <w:r w:rsidRPr="007D72B1">
              <w:t>Some Progress</w:t>
            </w:r>
          </w:p>
        </w:tc>
        <w:tc>
          <w:tcPr>
            <w:tcW w:w="1094" w:type="dxa"/>
            <w:tcBorders>
              <w:left w:val="single" w:sz="4" w:space="0" w:color="auto"/>
              <w:right w:val="single" w:sz="4" w:space="0" w:color="auto"/>
            </w:tcBorders>
            <w:shd w:val="clear" w:color="auto" w:fill="FFFFFF" w:themeFill="background1"/>
            <w:vAlign w:val="center"/>
          </w:tcPr>
          <w:p w:rsidR="000C4339" w:rsidRPr="007D72B1" w:rsidRDefault="000C4339" w:rsidP="000C4339">
            <w:pPr>
              <w:pStyle w:val="TableColumnHeadingCentred"/>
            </w:pPr>
            <w:r w:rsidRPr="007D72B1">
              <w:t xml:space="preserve">3 Satisfactory </w:t>
            </w:r>
          </w:p>
        </w:tc>
        <w:tc>
          <w:tcPr>
            <w:tcW w:w="1199" w:type="dxa"/>
            <w:tcBorders>
              <w:left w:val="single" w:sz="4" w:space="0" w:color="auto"/>
              <w:right w:val="single" w:sz="4" w:space="0" w:color="auto"/>
            </w:tcBorders>
            <w:shd w:val="clear" w:color="auto" w:fill="FFFFFF" w:themeFill="background1"/>
            <w:vAlign w:val="center"/>
          </w:tcPr>
          <w:p w:rsidR="000C4339" w:rsidRPr="007D72B1" w:rsidRDefault="000C4339" w:rsidP="000C4339">
            <w:pPr>
              <w:pStyle w:val="TableColumnHeadingCentred"/>
            </w:pPr>
            <w:r w:rsidRPr="007D72B1">
              <w:t>4 Considerable Progress</w:t>
            </w:r>
          </w:p>
        </w:tc>
        <w:tc>
          <w:tcPr>
            <w:tcW w:w="879" w:type="dxa"/>
            <w:tcBorders>
              <w:left w:val="single" w:sz="4" w:space="0" w:color="auto"/>
              <w:right w:val="single" w:sz="12" w:space="0" w:color="auto"/>
            </w:tcBorders>
            <w:shd w:val="clear" w:color="auto" w:fill="FFFFFF" w:themeFill="background1"/>
            <w:vAlign w:val="center"/>
          </w:tcPr>
          <w:p w:rsidR="000C4339" w:rsidRPr="007D72B1" w:rsidRDefault="000C4339" w:rsidP="000C4339">
            <w:pPr>
              <w:pStyle w:val="TableColumnHeadingCentred"/>
            </w:pPr>
            <w:r w:rsidRPr="007D72B1">
              <w:t>5 Achieved</w:t>
            </w:r>
          </w:p>
        </w:tc>
      </w:tr>
      <w:tr w:rsidR="00134652" w:rsidRPr="00134652" w:rsidTr="000C4339">
        <w:trPr>
          <w:trHeight w:val="433"/>
        </w:trPr>
        <w:tc>
          <w:tcPr>
            <w:tcW w:w="489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parents and families that are actively engaged in supporting learning inside and outside the classroom</w:t>
            </w:r>
          </w:p>
        </w:tc>
        <w:tc>
          <w:tcPr>
            <w:tcW w:w="1207" w:type="dxa"/>
            <w:tcBorders>
              <w:left w:val="single" w:sz="12" w:space="0" w:color="auto"/>
              <w:right w:val="single" w:sz="12" w:space="0" w:color="auto"/>
            </w:tcBorders>
            <w:shd w:val="clear" w:color="auto" w:fill="B6DDE8" w:themeFill="accent5" w:themeFillTint="66"/>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97</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27%</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12%</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parents and families that are actively involved in career transition planning for their children</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67</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28%</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27%</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12%</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parents and families that are better informed about learning and career options</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91</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29%</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25%</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13%</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r>
      <w:tr w:rsidR="00134652" w:rsidRPr="00134652" w:rsidTr="000C4339">
        <w:trPr>
          <w:trHeight w:val="433"/>
        </w:trPr>
        <w:tc>
          <w:tcPr>
            <w:tcW w:w="4897" w:type="dxa"/>
            <w:tcBorders>
              <w:left w:val="single" w:sz="12" w:space="0" w:color="auto"/>
              <w:bottom w:val="single" w:sz="4"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parents and families that are confident to interact with education and training providers, employers and community groups to support participation and engagement of their children</w:t>
            </w:r>
          </w:p>
        </w:tc>
        <w:tc>
          <w:tcPr>
            <w:tcW w:w="120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90</w:t>
            </w:r>
          </w:p>
        </w:tc>
        <w:tc>
          <w:tcPr>
            <w:tcW w:w="737" w:type="dxa"/>
            <w:tcBorders>
              <w:left w:val="single" w:sz="12" w:space="0" w:color="auto"/>
              <w:bottom w:val="single" w:sz="4"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27%</w:t>
            </w:r>
          </w:p>
        </w:tc>
        <w:tc>
          <w:tcPr>
            <w:tcW w:w="826"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1094"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c>
          <w:tcPr>
            <w:tcW w:w="1199"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79" w:type="dxa"/>
            <w:tcBorders>
              <w:left w:val="single" w:sz="4" w:space="0" w:color="auto"/>
              <w:bottom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r>
      <w:tr w:rsidR="00134652" w:rsidRPr="00134652" w:rsidTr="000C4339">
        <w:trPr>
          <w:trHeight w:val="433"/>
        </w:trPr>
        <w:tc>
          <w:tcPr>
            <w:tcW w:w="4897" w:type="dxa"/>
            <w:tcBorders>
              <w:left w:val="single" w:sz="12" w:space="0" w:color="auto"/>
              <w:bottom w:val="single" w:sz="4" w:space="0" w:color="auto"/>
              <w:right w:val="single" w:sz="12" w:space="0" w:color="auto"/>
            </w:tcBorders>
            <w:shd w:val="clear" w:color="auto" w:fill="auto"/>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parents and families that have improved understanding of the link between learning and career aspirations</w:t>
            </w:r>
          </w:p>
        </w:tc>
        <w:tc>
          <w:tcPr>
            <w:tcW w:w="1207" w:type="dxa"/>
            <w:tcBorders>
              <w:left w:val="single" w:sz="12" w:space="0" w:color="auto"/>
              <w:bottom w:val="single" w:sz="4"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90</w:t>
            </w:r>
          </w:p>
        </w:tc>
        <w:tc>
          <w:tcPr>
            <w:tcW w:w="737" w:type="dxa"/>
            <w:tcBorders>
              <w:left w:val="single" w:sz="12" w:space="0" w:color="auto"/>
              <w:bottom w:val="single" w:sz="4"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c>
          <w:tcPr>
            <w:tcW w:w="826"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094"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26%</w:t>
            </w:r>
          </w:p>
        </w:tc>
        <w:tc>
          <w:tcPr>
            <w:tcW w:w="1199" w:type="dxa"/>
            <w:tcBorders>
              <w:left w:val="single" w:sz="4" w:space="0" w:color="auto"/>
              <w:bottom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17%</w:t>
            </w:r>
          </w:p>
        </w:tc>
        <w:tc>
          <w:tcPr>
            <w:tcW w:w="879" w:type="dxa"/>
            <w:tcBorders>
              <w:left w:val="single" w:sz="4" w:space="0" w:color="auto"/>
              <w:bottom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r>
      <w:tr w:rsidR="00134652" w:rsidRPr="00134652" w:rsidTr="00BF7F25">
        <w:trPr>
          <w:trHeight w:val="275"/>
        </w:trPr>
        <w:tc>
          <w:tcPr>
            <w:tcW w:w="10839" w:type="dxa"/>
            <w:gridSpan w:val="7"/>
            <w:tcBorders>
              <w:top w:val="single" w:sz="12" w:space="0" w:color="auto"/>
              <w:left w:val="nil"/>
              <w:right w:val="nil"/>
            </w:tcBorders>
            <w:shd w:val="clear" w:color="auto" w:fill="auto"/>
            <w:vAlign w:val="center"/>
            <w:hideMark/>
          </w:tcPr>
          <w:p w:rsidR="00134652" w:rsidRPr="000C4339" w:rsidRDefault="00134652" w:rsidP="000C4339">
            <w:pPr>
              <w:spacing w:before="240" w:line="240" w:lineRule="auto"/>
              <w:rPr>
                <w:rFonts w:eastAsia="Times New Roman" w:cs="Calibri"/>
              </w:rPr>
            </w:pPr>
            <w:r w:rsidRPr="000C4339">
              <w:rPr>
                <w:rFonts w:eastAsia="Times New Roman" w:cs="Calibri"/>
              </w:rPr>
              <w:t>The data above shows that:</w:t>
            </w:r>
          </w:p>
          <w:p w:rsidR="00134652" w:rsidRPr="000C4339" w:rsidRDefault="00134652" w:rsidP="000C4339">
            <w:pPr>
              <w:pStyle w:val="ListParagraph"/>
              <w:numPr>
                <w:ilvl w:val="0"/>
                <w:numId w:val="28"/>
              </w:numPr>
              <w:ind w:left="567" w:hanging="567"/>
            </w:pPr>
            <w:r w:rsidRPr="000C4339">
              <w:t xml:space="preserve">Providers reported 30% of partnerships that have been evaluated have </w:t>
            </w:r>
            <w:r w:rsidRPr="000C4339">
              <w:rPr>
                <w:i/>
              </w:rPr>
              <w:t>achieved</w:t>
            </w:r>
            <w:r w:rsidRPr="000C4339">
              <w:t xml:space="preserve"> or made </w:t>
            </w:r>
            <w:r w:rsidRPr="000C4339">
              <w:rPr>
                <w:i/>
              </w:rPr>
              <w:t>considerable</w:t>
            </w:r>
            <w:r w:rsidRPr="000C4339">
              <w:t xml:space="preserve"> </w:t>
            </w:r>
            <w:r w:rsidRPr="000C4339">
              <w:rPr>
                <w:i/>
              </w:rPr>
              <w:t>progress</w:t>
            </w:r>
            <w:r w:rsidRPr="000C4339">
              <w:t xml:space="preserve"> against this outcome.</w:t>
            </w:r>
          </w:p>
          <w:p w:rsidR="00134652" w:rsidRPr="000C4339" w:rsidRDefault="00134652" w:rsidP="000C4339">
            <w:pPr>
              <w:pStyle w:val="ListParagraph"/>
              <w:numPr>
                <w:ilvl w:val="0"/>
                <w:numId w:val="28"/>
              </w:numPr>
              <w:ind w:left="567" w:hanging="567"/>
            </w:pPr>
            <w:r w:rsidRPr="000C4339">
              <w:t xml:space="preserve">Providers reported 50% of partnerships that have been evaluated have made </w:t>
            </w:r>
            <w:r w:rsidRPr="000C4339">
              <w:rPr>
                <w:i/>
              </w:rPr>
              <w:t>limited</w:t>
            </w:r>
            <w:r w:rsidRPr="000C4339">
              <w:t xml:space="preserve"> or </w:t>
            </w:r>
            <w:r w:rsidRPr="000C4339">
              <w:rPr>
                <w:i/>
              </w:rPr>
              <w:t>some</w:t>
            </w:r>
            <w:r w:rsidRPr="000C4339">
              <w:t xml:space="preserve"> </w:t>
            </w:r>
            <w:r w:rsidRPr="000C4339">
              <w:rPr>
                <w:i/>
              </w:rPr>
              <w:t>progress</w:t>
            </w:r>
            <w:r w:rsidRPr="000C4339">
              <w:t xml:space="preserve"> against this outcome.</w:t>
            </w:r>
          </w:p>
          <w:p w:rsidR="00134652" w:rsidRPr="000C4339" w:rsidRDefault="00134652" w:rsidP="000C4339">
            <w:pPr>
              <w:pStyle w:val="ListParagraph"/>
              <w:numPr>
                <w:ilvl w:val="0"/>
                <w:numId w:val="28"/>
              </w:numPr>
              <w:ind w:left="567" w:hanging="567"/>
            </w:pPr>
            <w:r w:rsidRPr="000C4339">
              <w:t>There are 97 partnerships (16% of the total number of partnerships in QLD) that have made progress towards providing ‘</w:t>
            </w:r>
            <w:r w:rsidRPr="000C4339">
              <w:rPr>
                <w:i/>
              </w:rPr>
              <w:t>an increase in the number of parents and families that are actively engaged in supporting learning inside and outside the classroom’</w:t>
            </w:r>
            <w:r w:rsidRPr="000C4339">
              <w:t xml:space="preserve">. Providers reported that 28% of these partnerships have </w:t>
            </w:r>
            <w:r w:rsidRPr="000C4339">
              <w:rPr>
                <w:i/>
              </w:rPr>
              <w:t>achieved</w:t>
            </w:r>
            <w:r w:rsidRPr="000C4339">
              <w:t xml:space="preserve"> or made </w:t>
            </w:r>
            <w:r w:rsidRPr="000C4339">
              <w:rPr>
                <w:i/>
              </w:rPr>
              <w:t>considerable</w:t>
            </w:r>
            <w:r w:rsidRPr="000C4339">
              <w:t xml:space="preserve"> </w:t>
            </w:r>
            <w:r w:rsidRPr="000C4339">
              <w:rPr>
                <w:i/>
              </w:rPr>
              <w:t>progress</w:t>
            </w:r>
            <w:r w:rsidRPr="000C4339">
              <w:t xml:space="preserve"> against this </w:t>
            </w:r>
            <w:proofErr w:type="spellStart"/>
            <w:r w:rsidRPr="000C4339">
              <w:t>KPM</w:t>
            </w:r>
            <w:proofErr w:type="spellEnd"/>
            <w:r w:rsidRPr="000C4339">
              <w:t>.</w:t>
            </w:r>
          </w:p>
          <w:p w:rsidR="00134652" w:rsidRPr="00134652" w:rsidRDefault="00134652" w:rsidP="00134652">
            <w:pPr>
              <w:spacing w:line="240" w:lineRule="auto"/>
              <w:ind w:right="-217"/>
              <w:rPr>
                <w:rFonts w:eastAsia="Times New Roman" w:cs="Calibri"/>
                <w:sz w:val="20"/>
                <w:szCs w:val="20"/>
              </w:rPr>
            </w:pPr>
          </w:p>
          <w:p w:rsidR="00134652" w:rsidRPr="00134652" w:rsidRDefault="00134652" w:rsidP="00134652">
            <w:pPr>
              <w:spacing w:line="240" w:lineRule="auto"/>
              <w:ind w:right="-217"/>
              <w:rPr>
                <w:rFonts w:eastAsia="Times New Roman" w:cs="Calibri"/>
                <w:sz w:val="8"/>
                <w:szCs w:val="8"/>
              </w:rPr>
            </w:pPr>
          </w:p>
        </w:tc>
      </w:tr>
      <w:tr w:rsidR="000C4339" w:rsidRPr="00134652" w:rsidTr="000C4339">
        <w:trPr>
          <w:trHeight w:val="433"/>
        </w:trPr>
        <w:tc>
          <w:tcPr>
            <w:tcW w:w="4897" w:type="dxa"/>
            <w:tcBorders>
              <w:top w:val="single" w:sz="12" w:space="0" w:color="auto"/>
              <w:left w:val="single" w:sz="12" w:space="0" w:color="auto"/>
              <w:right w:val="single" w:sz="12" w:space="0" w:color="auto"/>
            </w:tcBorders>
            <w:shd w:val="clear" w:color="auto" w:fill="92CDDC" w:themeFill="accent5" w:themeFillTint="99"/>
            <w:vAlign w:val="center"/>
            <w:hideMark/>
          </w:tcPr>
          <w:p w:rsidR="000C4339" w:rsidRPr="00134652" w:rsidRDefault="000C4339" w:rsidP="000C4339">
            <w:pPr>
              <w:pStyle w:val="TableColumnHeadingCentred"/>
            </w:pPr>
            <w:r w:rsidRPr="00134652">
              <w:t xml:space="preserve">Table </w:t>
            </w:r>
            <w:proofErr w:type="spellStart"/>
            <w:r w:rsidRPr="00134652">
              <w:t>H5</w:t>
            </w:r>
            <w:proofErr w:type="spellEnd"/>
            <w:r w:rsidRPr="00134652">
              <w:t xml:space="preserve"> – Outcome – Community Groups</w:t>
            </w:r>
          </w:p>
        </w:tc>
        <w:tc>
          <w:tcPr>
            <w:tcW w:w="1207" w:type="dxa"/>
            <w:tcBorders>
              <w:top w:val="single" w:sz="12" w:space="0" w:color="auto"/>
              <w:left w:val="single" w:sz="12" w:space="0" w:color="auto"/>
              <w:right w:val="single" w:sz="12" w:space="0" w:color="auto"/>
            </w:tcBorders>
            <w:shd w:val="clear" w:color="auto" w:fill="92CDDC" w:themeFill="accent5" w:themeFillTint="99"/>
            <w:vAlign w:val="center"/>
            <w:hideMark/>
          </w:tcPr>
          <w:p w:rsidR="000C4339" w:rsidRPr="007D72B1" w:rsidRDefault="000C4339" w:rsidP="000C4339">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top w:val="single" w:sz="12" w:space="0" w:color="auto"/>
              <w:left w:val="single" w:sz="12" w:space="0" w:color="auto"/>
              <w:right w:val="single" w:sz="4" w:space="0" w:color="auto"/>
            </w:tcBorders>
            <w:shd w:val="clear" w:color="auto" w:fill="92CDDC" w:themeFill="accent5" w:themeFillTint="99"/>
            <w:vAlign w:val="center"/>
            <w:hideMark/>
          </w:tcPr>
          <w:p w:rsidR="000C4339" w:rsidRPr="007D72B1" w:rsidRDefault="000C4339" w:rsidP="000C4339">
            <w:pPr>
              <w:pStyle w:val="TableColumnHeadingCentred"/>
            </w:pPr>
            <w:r w:rsidRPr="007D72B1">
              <w:t>1 Limited</w:t>
            </w:r>
          </w:p>
        </w:tc>
        <w:tc>
          <w:tcPr>
            <w:tcW w:w="826"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 xml:space="preserve">2 </w:t>
            </w:r>
          </w:p>
          <w:p w:rsidR="000C4339" w:rsidRPr="007D72B1" w:rsidRDefault="000C4339" w:rsidP="000C4339">
            <w:pPr>
              <w:pStyle w:val="TableColumnHeadingCentred"/>
            </w:pPr>
            <w:r w:rsidRPr="007D72B1">
              <w:t>Some Progress</w:t>
            </w:r>
          </w:p>
        </w:tc>
        <w:tc>
          <w:tcPr>
            <w:tcW w:w="1094"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 xml:space="preserve">3 Satisfactory </w:t>
            </w:r>
          </w:p>
        </w:tc>
        <w:tc>
          <w:tcPr>
            <w:tcW w:w="1199" w:type="dxa"/>
            <w:tcBorders>
              <w:top w:val="single" w:sz="12" w:space="0" w:color="auto"/>
              <w:left w:val="single" w:sz="4" w:space="0" w:color="auto"/>
              <w:right w:val="single" w:sz="4" w:space="0" w:color="auto"/>
            </w:tcBorders>
            <w:shd w:val="clear" w:color="auto" w:fill="92CDDC" w:themeFill="accent5" w:themeFillTint="99"/>
            <w:vAlign w:val="center"/>
          </w:tcPr>
          <w:p w:rsidR="000C4339" w:rsidRPr="007D72B1" w:rsidRDefault="000C4339" w:rsidP="000C4339">
            <w:pPr>
              <w:pStyle w:val="TableColumnHeadingCentred"/>
            </w:pPr>
            <w:r w:rsidRPr="007D72B1">
              <w:t>4 Considerable Progress</w:t>
            </w:r>
          </w:p>
        </w:tc>
        <w:tc>
          <w:tcPr>
            <w:tcW w:w="879" w:type="dxa"/>
            <w:tcBorders>
              <w:top w:val="single" w:sz="12" w:space="0" w:color="auto"/>
              <w:left w:val="single" w:sz="4" w:space="0" w:color="auto"/>
              <w:right w:val="single" w:sz="12" w:space="0" w:color="auto"/>
            </w:tcBorders>
            <w:shd w:val="clear" w:color="auto" w:fill="92CDDC" w:themeFill="accent5" w:themeFillTint="99"/>
            <w:vAlign w:val="center"/>
          </w:tcPr>
          <w:p w:rsidR="000C4339" w:rsidRPr="007D72B1" w:rsidRDefault="000C4339" w:rsidP="000C4339">
            <w:pPr>
              <w:pStyle w:val="TableColumnHeadingCentred"/>
            </w:pPr>
            <w:r w:rsidRPr="007D72B1">
              <w:t>5 Achieved</w:t>
            </w:r>
          </w:p>
        </w:tc>
      </w:tr>
      <w:tr w:rsidR="00134652" w:rsidRPr="00134652" w:rsidTr="000C4339">
        <w:trPr>
          <w:trHeight w:val="701"/>
        </w:trPr>
        <w:tc>
          <w:tcPr>
            <w:tcW w:w="4897"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20"/>
                <w:szCs w:val="20"/>
                <w:lang w:eastAsia="en-AU"/>
              </w:rPr>
            </w:pPr>
            <w:r w:rsidRPr="00134652">
              <w:rPr>
                <w:rFonts w:eastAsia="Times New Roman"/>
                <w:b/>
                <w:bCs/>
                <w:sz w:val="20"/>
                <w:szCs w:val="20"/>
              </w:rPr>
              <w:t>Community groups participating in partnerships that harness resources and build social capital to support young people to identify and achieve their goals and improve their education and transition outcomes.</w:t>
            </w:r>
          </w:p>
        </w:tc>
        <w:tc>
          <w:tcPr>
            <w:tcW w:w="1207" w:type="dxa"/>
            <w:tcBorders>
              <w:top w:val="single" w:sz="12" w:space="0" w:color="auto"/>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860</w:t>
            </w:r>
          </w:p>
        </w:tc>
        <w:tc>
          <w:tcPr>
            <w:tcW w:w="737" w:type="dxa"/>
            <w:tcBorders>
              <w:top w:val="single" w:sz="12" w:space="0" w:color="auto"/>
              <w:left w:val="single" w:sz="12" w:space="0" w:color="auto"/>
              <w:right w:val="single" w:sz="4"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134</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(16%)</w:t>
            </w:r>
          </w:p>
        </w:tc>
        <w:tc>
          <w:tcPr>
            <w:tcW w:w="826"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219</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(25%)</w:t>
            </w:r>
          </w:p>
        </w:tc>
        <w:tc>
          <w:tcPr>
            <w:tcW w:w="1094"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207</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(24%)</w:t>
            </w:r>
          </w:p>
        </w:tc>
        <w:tc>
          <w:tcPr>
            <w:tcW w:w="1199" w:type="dxa"/>
            <w:tcBorders>
              <w:top w:val="single" w:sz="12" w:space="0" w:color="auto"/>
              <w:left w:val="single" w:sz="4" w:space="0" w:color="auto"/>
              <w:right w:val="single" w:sz="4"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133</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(15%)</w:t>
            </w:r>
          </w:p>
        </w:tc>
        <w:tc>
          <w:tcPr>
            <w:tcW w:w="879" w:type="dxa"/>
            <w:tcBorders>
              <w:top w:val="single" w:sz="12" w:space="0" w:color="auto"/>
              <w:left w:val="single" w:sz="4" w:space="0" w:color="auto"/>
              <w:right w:val="single" w:sz="12" w:space="0" w:color="auto"/>
            </w:tcBorders>
            <w:shd w:val="clear" w:color="auto" w:fill="DAEEF3" w:themeFill="accent5" w:themeFillTint="33"/>
            <w:vAlign w:val="center"/>
          </w:tcPr>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167</w:t>
            </w:r>
          </w:p>
          <w:p w:rsidR="00134652" w:rsidRPr="00134652" w:rsidRDefault="00134652" w:rsidP="00134652">
            <w:pPr>
              <w:spacing w:line="240" w:lineRule="auto"/>
              <w:jc w:val="center"/>
              <w:rPr>
                <w:rFonts w:eastAsia="Times New Roman" w:cs="Calibri"/>
                <w:b/>
                <w:color w:val="000000"/>
              </w:rPr>
            </w:pPr>
            <w:r w:rsidRPr="00134652">
              <w:rPr>
                <w:rFonts w:eastAsia="Times New Roman" w:cs="Calibri"/>
                <w:b/>
                <w:color w:val="000000"/>
              </w:rPr>
              <w:t>(19%)</w:t>
            </w:r>
          </w:p>
        </w:tc>
      </w:tr>
      <w:tr w:rsidR="00134652" w:rsidRPr="00134652" w:rsidTr="00BF7F25">
        <w:trPr>
          <w:trHeight w:val="216"/>
        </w:trPr>
        <w:tc>
          <w:tcPr>
            <w:tcW w:w="10839" w:type="dxa"/>
            <w:gridSpan w:val="7"/>
            <w:tcBorders>
              <w:top w:val="single" w:sz="12" w:space="0" w:color="auto"/>
              <w:left w:val="nil"/>
              <w:right w:val="nil"/>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p>
        </w:tc>
      </w:tr>
      <w:tr w:rsidR="000C4339" w:rsidRPr="00134652" w:rsidTr="000C4339">
        <w:trPr>
          <w:trHeight w:val="433"/>
        </w:trPr>
        <w:tc>
          <w:tcPr>
            <w:tcW w:w="4897" w:type="dxa"/>
            <w:tcBorders>
              <w:left w:val="single" w:sz="12" w:space="0" w:color="auto"/>
              <w:right w:val="single" w:sz="12" w:space="0" w:color="auto"/>
            </w:tcBorders>
            <w:shd w:val="clear" w:color="000000" w:fill="FFFFFF"/>
            <w:vAlign w:val="center"/>
          </w:tcPr>
          <w:p w:rsidR="000C4339" w:rsidRPr="00134652" w:rsidRDefault="000C4339" w:rsidP="000C4339">
            <w:pPr>
              <w:pStyle w:val="TableColumnHeadingCentred"/>
              <w:rPr>
                <w:rFonts w:cs="Calibri"/>
                <w:color w:val="000000"/>
                <w:sz w:val="18"/>
                <w:szCs w:val="18"/>
              </w:rPr>
            </w:pPr>
            <w:r>
              <w:t xml:space="preserve">Table </w:t>
            </w:r>
            <w:proofErr w:type="spellStart"/>
            <w:r>
              <w:t>H5</w:t>
            </w:r>
            <w:proofErr w:type="spellEnd"/>
            <w:r w:rsidRPr="00F610B6">
              <w:t xml:space="preserve"> continued –  Outcome  –  </w:t>
            </w:r>
            <w:r>
              <w:t>Community Groups</w:t>
            </w:r>
            <w:r w:rsidRPr="00F610B6">
              <w:t xml:space="preserve"> (Breakdown of the  </w:t>
            </w:r>
            <w:proofErr w:type="spellStart"/>
            <w:r w:rsidRPr="00F610B6">
              <w:t>KPMs</w:t>
            </w:r>
            <w:proofErr w:type="spellEnd"/>
            <w:r w:rsidRPr="00F610B6">
              <w:t xml:space="preserve"> which contribute to the outcome above)</w:t>
            </w:r>
          </w:p>
        </w:tc>
        <w:tc>
          <w:tcPr>
            <w:tcW w:w="1207" w:type="dxa"/>
            <w:tcBorders>
              <w:left w:val="single" w:sz="12" w:space="0" w:color="auto"/>
              <w:right w:val="single" w:sz="12" w:space="0" w:color="auto"/>
            </w:tcBorders>
            <w:shd w:val="clear" w:color="auto" w:fill="DAEEF3" w:themeFill="accent5" w:themeFillTint="33"/>
            <w:vAlign w:val="center"/>
          </w:tcPr>
          <w:p w:rsidR="000C4339" w:rsidRPr="007D72B1" w:rsidRDefault="000C4339" w:rsidP="000C4339">
            <w:pPr>
              <w:pStyle w:val="TableColumnHeadingCentred"/>
            </w:pPr>
            <w:r w:rsidRPr="007D72B1">
              <w:t xml:space="preserve">Total </w:t>
            </w:r>
            <w:proofErr w:type="spellStart"/>
            <w:r w:rsidRPr="007D72B1">
              <w:t>KPM</w:t>
            </w:r>
            <w:proofErr w:type="spellEnd"/>
            <w:r w:rsidRPr="007D72B1">
              <w:t xml:space="preserve"> Evaluations</w:t>
            </w:r>
          </w:p>
        </w:tc>
        <w:tc>
          <w:tcPr>
            <w:tcW w:w="737" w:type="dxa"/>
            <w:tcBorders>
              <w:left w:val="single" w:sz="12" w:space="0" w:color="auto"/>
              <w:right w:val="single" w:sz="4" w:space="0" w:color="auto"/>
            </w:tcBorders>
            <w:shd w:val="clear" w:color="auto" w:fill="auto"/>
            <w:vAlign w:val="center"/>
          </w:tcPr>
          <w:p w:rsidR="000C4339" w:rsidRPr="007D72B1" w:rsidRDefault="000C4339" w:rsidP="000C4339">
            <w:pPr>
              <w:pStyle w:val="TableColumnHeadingCentred"/>
            </w:pPr>
            <w:r w:rsidRPr="007D72B1">
              <w:t>1 Limited</w:t>
            </w:r>
          </w:p>
        </w:tc>
        <w:tc>
          <w:tcPr>
            <w:tcW w:w="826" w:type="dxa"/>
            <w:tcBorders>
              <w:left w:val="single" w:sz="4" w:space="0" w:color="auto"/>
              <w:right w:val="single" w:sz="4" w:space="0" w:color="auto"/>
            </w:tcBorders>
            <w:shd w:val="clear" w:color="auto" w:fill="auto"/>
            <w:vAlign w:val="center"/>
          </w:tcPr>
          <w:p w:rsidR="000C4339" w:rsidRPr="007D72B1" w:rsidRDefault="000C4339" w:rsidP="000C4339">
            <w:pPr>
              <w:pStyle w:val="TableColumnHeadingCentred"/>
            </w:pPr>
            <w:r w:rsidRPr="007D72B1">
              <w:t xml:space="preserve">2 </w:t>
            </w:r>
          </w:p>
          <w:p w:rsidR="000C4339" w:rsidRPr="007D72B1" w:rsidRDefault="000C4339" w:rsidP="000C4339">
            <w:pPr>
              <w:pStyle w:val="TableColumnHeadingCentred"/>
            </w:pPr>
            <w:r w:rsidRPr="007D72B1">
              <w:t>Some Progress</w:t>
            </w:r>
          </w:p>
        </w:tc>
        <w:tc>
          <w:tcPr>
            <w:tcW w:w="1094" w:type="dxa"/>
            <w:tcBorders>
              <w:left w:val="single" w:sz="4" w:space="0" w:color="auto"/>
              <w:right w:val="single" w:sz="4" w:space="0" w:color="auto"/>
            </w:tcBorders>
            <w:shd w:val="clear" w:color="auto" w:fill="auto"/>
            <w:vAlign w:val="center"/>
          </w:tcPr>
          <w:p w:rsidR="000C4339" w:rsidRPr="007D72B1" w:rsidRDefault="000C4339" w:rsidP="000C4339">
            <w:pPr>
              <w:pStyle w:val="TableColumnHeadingCentred"/>
            </w:pPr>
            <w:r w:rsidRPr="007D72B1">
              <w:t xml:space="preserve">3 Satisfactory </w:t>
            </w:r>
          </w:p>
        </w:tc>
        <w:tc>
          <w:tcPr>
            <w:tcW w:w="1199" w:type="dxa"/>
            <w:tcBorders>
              <w:left w:val="single" w:sz="4" w:space="0" w:color="auto"/>
              <w:right w:val="single" w:sz="4" w:space="0" w:color="auto"/>
            </w:tcBorders>
            <w:shd w:val="clear" w:color="auto" w:fill="auto"/>
            <w:vAlign w:val="center"/>
          </w:tcPr>
          <w:p w:rsidR="000C4339" w:rsidRPr="007D72B1" w:rsidRDefault="000C4339" w:rsidP="000C4339">
            <w:pPr>
              <w:pStyle w:val="TableColumnHeadingCentred"/>
            </w:pPr>
            <w:r w:rsidRPr="007D72B1">
              <w:t>4 Considerable Progress</w:t>
            </w:r>
          </w:p>
        </w:tc>
        <w:tc>
          <w:tcPr>
            <w:tcW w:w="879" w:type="dxa"/>
            <w:tcBorders>
              <w:left w:val="single" w:sz="4" w:space="0" w:color="auto"/>
              <w:right w:val="single" w:sz="12" w:space="0" w:color="auto"/>
            </w:tcBorders>
            <w:shd w:val="clear" w:color="auto" w:fill="auto"/>
            <w:vAlign w:val="center"/>
          </w:tcPr>
          <w:p w:rsidR="000C4339" w:rsidRPr="007D72B1" w:rsidRDefault="000C4339" w:rsidP="000C4339">
            <w:pPr>
              <w:pStyle w:val="TableColumnHeadingCentred"/>
            </w:pPr>
            <w:r w:rsidRPr="007D72B1">
              <w:t>5 Achieved</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align services for young people and reduce service duplication and resource wastage</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79</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33%</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r>
      <w:tr w:rsidR="00134652" w:rsidRPr="00134652" w:rsidTr="000C4339">
        <w:trPr>
          <w:trHeight w:val="433"/>
        </w:trPr>
        <w:tc>
          <w:tcPr>
            <w:tcW w:w="489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build networks and linkages among agencies to support young people</w:t>
            </w:r>
          </w:p>
        </w:tc>
        <w:tc>
          <w:tcPr>
            <w:tcW w:w="1207" w:type="dxa"/>
            <w:tcBorders>
              <w:left w:val="single" w:sz="12" w:space="0" w:color="auto"/>
              <w:right w:val="single" w:sz="12" w:space="0" w:color="auto"/>
            </w:tcBorders>
            <w:shd w:val="clear" w:color="auto" w:fill="B6DDE8" w:themeFill="accent5" w:themeFillTint="66"/>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180</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20%</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21%</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harness and grow community resources for young people</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132</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29%</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26%</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lastRenderedPageBreak/>
              <w:t>An increase in the number of community groups that partner with stakeholders to identify and respond to emerging trends and skill needs with reference to young people</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106</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improve young people's employability and life skills</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139</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22%</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24%</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19%</w:t>
            </w:r>
          </w:p>
        </w:tc>
      </w:tr>
      <w:tr w:rsidR="00134652" w:rsidRPr="00134652" w:rsidTr="000C4339">
        <w:trPr>
          <w:trHeight w:val="433"/>
        </w:trPr>
        <w:tc>
          <w:tcPr>
            <w:tcW w:w="4897" w:type="dxa"/>
            <w:tcBorders>
              <w:left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provide mentoring and coaching opportunities for young people</w:t>
            </w:r>
          </w:p>
        </w:tc>
        <w:tc>
          <w:tcPr>
            <w:tcW w:w="1207" w:type="dxa"/>
            <w:tcBorders>
              <w:left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87</w:t>
            </w:r>
          </w:p>
        </w:tc>
        <w:tc>
          <w:tcPr>
            <w:tcW w:w="737" w:type="dxa"/>
            <w:tcBorders>
              <w:left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14%</w:t>
            </w:r>
          </w:p>
        </w:tc>
        <w:tc>
          <w:tcPr>
            <w:tcW w:w="826"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29%</w:t>
            </w:r>
          </w:p>
        </w:tc>
        <w:tc>
          <w:tcPr>
            <w:tcW w:w="1094"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30%</w:t>
            </w:r>
          </w:p>
        </w:tc>
        <w:tc>
          <w:tcPr>
            <w:tcW w:w="1199" w:type="dxa"/>
            <w:tcBorders>
              <w:left w:val="single" w:sz="4"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9%</w:t>
            </w:r>
          </w:p>
        </w:tc>
        <w:tc>
          <w:tcPr>
            <w:tcW w:w="879" w:type="dxa"/>
            <w:tcBorders>
              <w:left w:val="single" w:sz="4"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r>
      <w:tr w:rsidR="00134652" w:rsidRPr="00134652" w:rsidTr="000C4339">
        <w:trPr>
          <w:trHeight w:val="433"/>
        </w:trPr>
        <w:tc>
          <w:tcPr>
            <w:tcW w:w="4897" w:type="dxa"/>
            <w:tcBorders>
              <w:left w:val="single" w:sz="12" w:space="0" w:color="auto"/>
              <w:bottom w:val="single" w:sz="12" w:space="0" w:color="auto"/>
              <w:right w:val="single" w:sz="12" w:space="0" w:color="auto"/>
            </w:tcBorders>
            <w:shd w:val="clear" w:color="000000" w:fill="FFFFFF"/>
            <w:vAlign w:val="center"/>
            <w:hideMark/>
          </w:tcPr>
          <w:p w:rsidR="00134652" w:rsidRPr="00134652" w:rsidRDefault="00134652" w:rsidP="00134652">
            <w:pPr>
              <w:spacing w:line="240" w:lineRule="auto"/>
              <w:rPr>
                <w:rFonts w:eastAsia="Times New Roman" w:cs="Calibri"/>
                <w:color w:val="333333"/>
                <w:sz w:val="18"/>
                <w:szCs w:val="18"/>
                <w:lang w:eastAsia="en-AU"/>
              </w:rPr>
            </w:pPr>
            <w:r w:rsidRPr="00134652">
              <w:rPr>
                <w:rFonts w:eastAsia="Times New Roman" w:cs="Calibri"/>
                <w:color w:val="333333"/>
                <w:sz w:val="18"/>
                <w:szCs w:val="18"/>
                <w:lang w:eastAsia="en-AU"/>
              </w:rPr>
              <w:t>An increase in the number of community groups that partner with stakeholders to provide young people with opportunities to connect with the community</w:t>
            </w:r>
          </w:p>
        </w:tc>
        <w:tc>
          <w:tcPr>
            <w:tcW w:w="1207" w:type="dxa"/>
            <w:tcBorders>
              <w:left w:val="single" w:sz="12" w:space="0" w:color="auto"/>
              <w:bottom w:val="single" w:sz="12" w:space="0" w:color="auto"/>
              <w:right w:val="single" w:sz="12" w:space="0" w:color="auto"/>
            </w:tcBorders>
            <w:shd w:val="clear" w:color="auto" w:fill="DAEEF3" w:themeFill="accent5" w:themeFillTint="33"/>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137</w:t>
            </w:r>
          </w:p>
        </w:tc>
        <w:tc>
          <w:tcPr>
            <w:tcW w:w="737" w:type="dxa"/>
            <w:tcBorders>
              <w:left w:val="single" w:sz="12" w:space="0" w:color="auto"/>
              <w:bottom w:val="single" w:sz="12" w:space="0" w:color="auto"/>
              <w:right w:val="single" w:sz="4" w:space="0" w:color="auto"/>
            </w:tcBorders>
            <w:shd w:val="clear" w:color="auto" w:fill="auto"/>
            <w:vAlign w:val="center"/>
            <w:hideMark/>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15%</w:t>
            </w:r>
          </w:p>
        </w:tc>
        <w:tc>
          <w:tcPr>
            <w:tcW w:w="826" w:type="dxa"/>
            <w:tcBorders>
              <w:left w:val="single" w:sz="4" w:space="0" w:color="auto"/>
              <w:bottom w:val="single" w:sz="12"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23%</w:t>
            </w:r>
          </w:p>
        </w:tc>
        <w:tc>
          <w:tcPr>
            <w:tcW w:w="1094" w:type="dxa"/>
            <w:tcBorders>
              <w:left w:val="single" w:sz="4" w:space="0" w:color="auto"/>
              <w:bottom w:val="single" w:sz="12"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28%</w:t>
            </w:r>
          </w:p>
        </w:tc>
        <w:tc>
          <w:tcPr>
            <w:tcW w:w="1199" w:type="dxa"/>
            <w:tcBorders>
              <w:left w:val="single" w:sz="4" w:space="0" w:color="auto"/>
              <w:bottom w:val="single" w:sz="12" w:space="0" w:color="auto"/>
              <w:right w:val="single" w:sz="4"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16%</w:t>
            </w:r>
          </w:p>
        </w:tc>
        <w:tc>
          <w:tcPr>
            <w:tcW w:w="879" w:type="dxa"/>
            <w:tcBorders>
              <w:left w:val="single" w:sz="4" w:space="0" w:color="auto"/>
              <w:bottom w:val="single" w:sz="12" w:space="0" w:color="auto"/>
              <w:right w:val="single" w:sz="12" w:space="0" w:color="auto"/>
            </w:tcBorders>
            <w:shd w:val="clear" w:color="auto" w:fill="auto"/>
            <w:vAlign w:val="center"/>
          </w:tcPr>
          <w:p w:rsidR="00134652" w:rsidRPr="00134652" w:rsidRDefault="00134652" w:rsidP="00134652">
            <w:pPr>
              <w:spacing w:line="240" w:lineRule="auto"/>
              <w:jc w:val="center"/>
              <w:rPr>
                <w:rFonts w:eastAsia="Times New Roman" w:cs="Calibri"/>
                <w:color w:val="000000"/>
              </w:rPr>
            </w:pPr>
            <w:r w:rsidRPr="00134652">
              <w:rPr>
                <w:rFonts w:eastAsia="Times New Roman" w:cs="Calibri"/>
                <w:color w:val="000000"/>
              </w:rPr>
              <w:t>18%</w:t>
            </w:r>
          </w:p>
        </w:tc>
      </w:tr>
    </w:tbl>
    <w:p w:rsidR="00134652" w:rsidRPr="000C4339" w:rsidRDefault="00134652" w:rsidP="000C4339">
      <w:pPr>
        <w:keepNext/>
        <w:keepLines/>
        <w:tabs>
          <w:tab w:val="left" w:pos="284"/>
        </w:tabs>
        <w:spacing w:before="240" w:line="240" w:lineRule="auto"/>
        <w:ind w:left="-567"/>
        <w:outlineLvl w:val="0"/>
        <w:rPr>
          <w:rFonts w:eastAsia="Times New Roman" w:cs="Calibri"/>
          <w:bCs/>
        </w:rPr>
      </w:pPr>
      <w:bookmarkStart w:id="77" w:name="_Toc323901540"/>
      <w:bookmarkStart w:id="78" w:name="_Toc365385427"/>
      <w:bookmarkStart w:id="79" w:name="_Toc292697126"/>
      <w:r w:rsidRPr="000C4339">
        <w:rPr>
          <w:rFonts w:eastAsia="Times New Roman" w:cs="Calibri"/>
          <w:bCs/>
        </w:rPr>
        <w:t>The data above shows that:</w:t>
      </w:r>
      <w:bookmarkEnd w:id="77"/>
      <w:bookmarkEnd w:id="78"/>
    </w:p>
    <w:p w:rsidR="00134652" w:rsidRPr="000C4339" w:rsidRDefault="00134652" w:rsidP="000C4339">
      <w:pPr>
        <w:pStyle w:val="ListParagraph"/>
        <w:numPr>
          <w:ilvl w:val="0"/>
          <w:numId w:val="28"/>
        </w:numPr>
        <w:ind w:left="0" w:hanging="567"/>
      </w:pPr>
      <w:r w:rsidRPr="000C4339">
        <w:t xml:space="preserve">Providers reported 34% of partnerships that have been evaluated have </w:t>
      </w:r>
      <w:r w:rsidRPr="000C4339">
        <w:rPr>
          <w:i/>
        </w:rPr>
        <w:t>achieved</w:t>
      </w:r>
      <w:r w:rsidRPr="000C4339">
        <w:t xml:space="preserve"> or made </w:t>
      </w:r>
      <w:r w:rsidRPr="000C4339">
        <w:rPr>
          <w:i/>
        </w:rPr>
        <w:t>considerable</w:t>
      </w:r>
      <w:r w:rsidRPr="000C4339">
        <w:t xml:space="preserve"> </w:t>
      </w:r>
      <w:r w:rsidRPr="000C4339">
        <w:rPr>
          <w:i/>
        </w:rPr>
        <w:t>progress</w:t>
      </w:r>
      <w:r w:rsidRPr="000C4339">
        <w:t xml:space="preserve"> against this outcome.</w:t>
      </w:r>
    </w:p>
    <w:p w:rsidR="00134652" w:rsidRPr="000C4339" w:rsidRDefault="00134652" w:rsidP="000C4339">
      <w:pPr>
        <w:pStyle w:val="ListParagraph"/>
        <w:numPr>
          <w:ilvl w:val="0"/>
          <w:numId w:val="28"/>
        </w:numPr>
        <w:ind w:left="0" w:hanging="567"/>
      </w:pPr>
      <w:r w:rsidRPr="000C4339">
        <w:t xml:space="preserve">Providers reported 41% of partnerships have made </w:t>
      </w:r>
      <w:r w:rsidRPr="000C4339">
        <w:rPr>
          <w:i/>
        </w:rPr>
        <w:t>limited</w:t>
      </w:r>
      <w:r w:rsidRPr="000C4339">
        <w:t xml:space="preserve"> or </w:t>
      </w:r>
      <w:r w:rsidRPr="000C4339">
        <w:rPr>
          <w:i/>
        </w:rPr>
        <w:t>some</w:t>
      </w:r>
      <w:r w:rsidRPr="000C4339">
        <w:t xml:space="preserve"> </w:t>
      </w:r>
      <w:r w:rsidRPr="000C4339">
        <w:rPr>
          <w:i/>
        </w:rPr>
        <w:t>progress</w:t>
      </w:r>
      <w:r w:rsidRPr="000C4339">
        <w:t xml:space="preserve"> against this outcome.</w:t>
      </w:r>
    </w:p>
    <w:p w:rsidR="00134652" w:rsidRPr="000C4339" w:rsidRDefault="00134652" w:rsidP="000C4339">
      <w:pPr>
        <w:pStyle w:val="ListParagraph"/>
        <w:numPr>
          <w:ilvl w:val="0"/>
          <w:numId w:val="28"/>
        </w:numPr>
        <w:ind w:left="0" w:hanging="567"/>
      </w:pPr>
      <w:r w:rsidRPr="000C4339">
        <w:t>There are 180 partnerships (30% of the total number of partnerships in QLD) that have made progress towards providing ‘</w:t>
      </w:r>
      <w:r w:rsidRPr="000C4339">
        <w:rPr>
          <w:i/>
        </w:rPr>
        <w:t>an increase in the number of community groups that partner with stakeholders to build networks and linkages among agencies to support young people’</w:t>
      </w:r>
      <w:r w:rsidRPr="000C4339">
        <w:t xml:space="preserve">. Providers reported that 42% of these partnerships have </w:t>
      </w:r>
      <w:r w:rsidRPr="000C4339">
        <w:rPr>
          <w:i/>
        </w:rPr>
        <w:t>achieved</w:t>
      </w:r>
      <w:r w:rsidRPr="000C4339">
        <w:t xml:space="preserve"> or made </w:t>
      </w:r>
      <w:r w:rsidRPr="000C4339">
        <w:rPr>
          <w:i/>
        </w:rPr>
        <w:t>considerable</w:t>
      </w:r>
      <w:r w:rsidRPr="000C4339">
        <w:t xml:space="preserve"> </w:t>
      </w:r>
      <w:r w:rsidRPr="000C4339">
        <w:rPr>
          <w:i/>
        </w:rPr>
        <w:t>progress</w:t>
      </w:r>
      <w:r w:rsidRPr="000C4339">
        <w:t xml:space="preserve"> against this </w:t>
      </w:r>
      <w:proofErr w:type="spellStart"/>
      <w:r w:rsidRPr="000C4339">
        <w:t>KPM</w:t>
      </w:r>
      <w:proofErr w:type="spellEnd"/>
      <w:r w:rsidRPr="000C4339">
        <w:t>.</w:t>
      </w:r>
    </w:p>
    <w:p w:rsidR="00134652" w:rsidRPr="00134652" w:rsidRDefault="00134652" w:rsidP="00134652">
      <w:pPr>
        <w:spacing w:line="240" w:lineRule="auto"/>
        <w:rPr>
          <w:rFonts w:eastAsia="Times New Roman" w:cs="Calibri"/>
          <w:sz w:val="24"/>
          <w:szCs w:val="20"/>
        </w:rPr>
        <w:sectPr w:rsidR="00134652" w:rsidRPr="00134652" w:rsidSect="00BF7F25">
          <w:pgSz w:w="11906" w:h="16838"/>
          <w:pgMar w:top="426" w:right="1133" w:bottom="709" w:left="1134" w:header="708" w:footer="0" w:gutter="0"/>
          <w:cols w:space="708"/>
          <w:docGrid w:linePitch="360"/>
        </w:sectPr>
      </w:pPr>
    </w:p>
    <w:p w:rsidR="00C7346B" w:rsidRPr="00BC4F59" w:rsidRDefault="00C7346B" w:rsidP="00C7346B">
      <w:pPr>
        <w:tabs>
          <w:tab w:val="left" w:pos="5425"/>
        </w:tabs>
        <w:spacing w:line="240" w:lineRule="auto"/>
        <w:rPr>
          <w:b/>
        </w:rPr>
      </w:pPr>
      <w:r>
        <w:lastRenderedPageBreak/>
        <w:tab/>
      </w:r>
    </w:p>
    <w:p w:rsidR="00C7346B" w:rsidRDefault="00C7346B" w:rsidP="00C7346B">
      <w:pPr>
        <w:tabs>
          <w:tab w:val="left" w:pos="6075"/>
        </w:tabs>
      </w:pPr>
      <w:r w:rsidRPr="001017CF">
        <w:rPr>
          <w:noProof/>
          <w:lang w:eastAsia="en-AU"/>
        </w:rPr>
        <w:drawing>
          <wp:inline distT="0" distB="0" distL="0" distR="0" wp14:anchorId="70793519" wp14:editId="74F70500">
            <wp:extent cx="2798578" cy="594397"/>
            <wp:effectExtent l="0" t="0" r="1905" b="0"/>
            <wp:docPr id="39" name="Picture 1" descr="Logo. Partnership Brokers. School plus Business plu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2798578" cy="594397"/>
                    </a:xfrm>
                    <a:prstGeom prst="rect">
                      <a:avLst/>
                    </a:prstGeom>
                    <a:noFill/>
                    <a:ln w="9525">
                      <a:noFill/>
                      <a:miter lim="800000"/>
                      <a:headEnd/>
                      <a:tailEnd/>
                    </a:ln>
                  </pic:spPr>
                </pic:pic>
              </a:graphicData>
            </a:graphic>
          </wp:inline>
        </w:drawing>
      </w:r>
    </w:p>
    <w:p w:rsidR="00C7346B" w:rsidRDefault="00C7346B" w:rsidP="00C7346B">
      <w:pPr>
        <w:tabs>
          <w:tab w:val="left" w:pos="6075"/>
        </w:tabs>
      </w:pPr>
    </w:p>
    <w:p w:rsidR="004E4BB3" w:rsidRDefault="004E4BB3" w:rsidP="004E4BB3">
      <w:pPr>
        <w:pStyle w:val="Heading"/>
        <w:spacing w:before="0"/>
      </w:pPr>
      <w:r w:rsidRPr="004E4BB3">
        <w:t>PRIMARY STUDENTS ARE INSPIRED TO READ</w:t>
      </w:r>
    </w:p>
    <w:p w:rsidR="004E4BB3" w:rsidRPr="004E4BB3" w:rsidRDefault="004E4BB3" w:rsidP="004E4BB3">
      <w:pPr>
        <w:pStyle w:val="Heading"/>
        <w:spacing w:before="0"/>
        <w:rPr>
          <w:sz w:val="24"/>
          <w:szCs w:val="24"/>
        </w:rPr>
      </w:pPr>
    </w:p>
    <w:p w:rsidR="004E4BB3" w:rsidRPr="004E4BB3" w:rsidRDefault="004E4BB3" w:rsidP="004E4BB3">
      <w:pPr>
        <w:pStyle w:val="Heading"/>
        <w:spacing w:before="0"/>
      </w:pPr>
      <w:r>
        <w:t>Purpose</w:t>
      </w:r>
    </w:p>
    <w:p w:rsidR="004E4BB3" w:rsidRPr="004E4BB3" w:rsidRDefault="004E4BB3" w:rsidP="004E4BB3">
      <w:r w:rsidRPr="004E4BB3">
        <w:t xml:space="preserve">To involve fathers and other men in the community as role models to improve literacy. </w:t>
      </w:r>
    </w:p>
    <w:p w:rsidR="004E4BB3" w:rsidRPr="004E4BB3" w:rsidRDefault="004E4BB3" w:rsidP="004E4BB3">
      <w:pPr>
        <w:pStyle w:val="Heading"/>
        <w:spacing w:before="240"/>
      </w:pPr>
      <w:r w:rsidRPr="004E4BB3">
        <w:t>Partnership Member</w:t>
      </w:r>
      <w:r>
        <w:t>s</w:t>
      </w:r>
    </w:p>
    <w:p w:rsidR="004E4BB3" w:rsidRPr="004E4BB3" w:rsidRDefault="004E4BB3" w:rsidP="004E4BB3">
      <w:pPr>
        <w:pStyle w:val="ListBullet"/>
      </w:pPr>
      <w:r w:rsidRPr="004E4BB3">
        <w:t xml:space="preserve">St </w:t>
      </w:r>
      <w:proofErr w:type="spellStart"/>
      <w:r w:rsidRPr="004E4BB3">
        <w:t>Keiran’s</w:t>
      </w:r>
      <w:proofErr w:type="spellEnd"/>
      <w:r w:rsidRPr="004E4BB3">
        <w:t xml:space="preserve"> Catholic Primary School</w:t>
      </w:r>
    </w:p>
    <w:p w:rsidR="004E4BB3" w:rsidRPr="004E4BB3" w:rsidRDefault="004E4BB3" w:rsidP="004E4BB3">
      <w:pPr>
        <w:pStyle w:val="ListBullet"/>
      </w:pPr>
      <w:r w:rsidRPr="004E4BB3">
        <w:t xml:space="preserve">St </w:t>
      </w:r>
      <w:proofErr w:type="spellStart"/>
      <w:r w:rsidRPr="004E4BB3">
        <w:t>Keiran’s</w:t>
      </w:r>
      <w:proofErr w:type="spellEnd"/>
      <w:r w:rsidRPr="004E4BB3">
        <w:t xml:space="preserve"> Catholic Primary School </w:t>
      </w:r>
      <w:proofErr w:type="spellStart"/>
      <w:r w:rsidRPr="004E4BB3">
        <w:t>P&amp;C</w:t>
      </w:r>
      <w:proofErr w:type="spellEnd"/>
      <w:r w:rsidRPr="004E4BB3">
        <w:t xml:space="preserve"> Committee</w:t>
      </w:r>
    </w:p>
    <w:p w:rsidR="004E4BB3" w:rsidRPr="004E4BB3" w:rsidRDefault="004E4BB3" w:rsidP="004E4BB3">
      <w:pPr>
        <w:pStyle w:val="ListBullet"/>
      </w:pPr>
      <w:r w:rsidRPr="004E4BB3">
        <w:t>North Queensland Helicopter Rescue Service</w:t>
      </w:r>
    </w:p>
    <w:p w:rsidR="004E4BB3" w:rsidRDefault="004E4BB3" w:rsidP="00C7346B">
      <w:pPr>
        <w:pStyle w:val="ListBullet"/>
      </w:pPr>
      <w:r w:rsidRPr="004E4BB3">
        <w:t>Mount Isa City Council</w:t>
      </w:r>
    </w:p>
    <w:p w:rsidR="00C7346B" w:rsidRDefault="00C7346B" w:rsidP="004E4BB3">
      <w:pPr>
        <w:pStyle w:val="Heading"/>
        <w:spacing w:before="240"/>
      </w:pPr>
      <w:r>
        <w:t>Context and Goals</w:t>
      </w:r>
    </w:p>
    <w:p w:rsidR="00C7346B" w:rsidRPr="00A70D80" w:rsidRDefault="00C7346B" w:rsidP="004E4BB3">
      <w:pPr>
        <w:rPr>
          <w:lang w:eastAsia="en-AU"/>
        </w:rPr>
      </w:pPr>
      <w:r w:rsidRPr="00A70D80">
        <w:rPr>
          <w:lang w:eastAsia="en-AU"/>
        </w:rPr>
        <w:t xml:space="preserve">In a remote area of North West Queensland, a local parent approached the Partnership Broker to assist in developing a partnership to support young readers and instil a love of reading in the early years of their education. </w:t>
      </w:r>
    </w:p>
    <w:p w:rsidR="00C7346B" w:rsidRPr="00A70D80" w:rsidRDefault="00C7346B" w:rsidP="004E4BB3">
      <w:pPr>
        <w:spacing w:before="120"/>
        <w:rPr>
          <w:lang w:eastAsia="en-AU"/>
        </w:rPr>
      </w:pPr>
      <w:r w:rsidRPr="00A70D80">
        <w:rPr>
          <w:lang w:eastAsia="en-AU"/>
        </w:rPr>
        <w:t xml:space="preserve">Following a consultation process, members of a local primary school community identified the need to engage dads and men from the local business community as role models to inspire young people to improve their literacy skills. </w:t>
      </w:r>
    </w:p>
    <w:p w:rsidR="00C7346B" w:rsidRDefault="00C7346B" w:rsidP="004E4BB3">
      <w:pPr>
        <w:pStyle w:val="Heading"/>
        <w:spacing w:before="240"/>
      </w:pPr>
      <w:r>
        <w:t>The Partnership’s Approach</w:t>
      </w:r>
    </w:p>
    <w:p w:rsidR="00C7346B" w:rsidRPr="00A70D80" w:rsidRDefault="00C7346B" w:rsidP="004E4BB3">
      <w:pPr>
        <w:rPr>
          <w:lang w:eastAsia="en-AU"/>
        </w:rPr>
      </w:pPr>
      <w:r w:rsidRPr="00A70D80">
        <w:rPr>
          <w:lang w:eastAsia="en-AU"/>
        </w:rPr>
        <w:t xml:space="preserve">A partnership was established involving a local primary school, its </w:t>
      </w:r>
      <w:proofErr w:type="spellStart"/>
      <w:r w:rsidRPr="00A70D80">
        <w:rPr>
          <w:lang w:eastAsia="en-AU"/>
        </w:rPr>
        <w:t>P&amp;C</w:t>
      </w:r>
      <w:proofErr w:type="spellEnd"/>
      <w:r w:rsidRPr="00A70D80">
        <w:rPr>
          <w:lang w:eastAsia="en-AU"/>
        </w:rPr>
        <w:t xml:space="preserve"> committee as well as local community and business organisations. Their objective was to engage men from the community to complement exi</w:t>
      </w:r>
      <w:r>
        <w:rPr>
          <w:lang w:eastAsia="en-AU"/>
        </w:rPr>
        <w:t>sting reading programs such as ‘</w:t>
      </w:r>
      <w:r w:rsidRPr="00A70D80">
        <w:rPr>
          <w:lang w:eastAsia="en-AU"/>
        </w:rPr>
        <w:t>Mums help with reading in the classroom</w:t>
      </w:r>
      <w:r>
        <w:rPr>
          <w:lang w:eastAsia="en-AU"/>
        </w:rPr>
        <w:t>’</w:t>
      </w:r>
      <w:r w:rsidRPr="00A70D80">
        <w:rPr>
          <w:lang w:eastAsia="en-AU"/>
        </w:rPr>
        <w:t>.</w:t>
      </w:r>
    </w:p>
    <w:p w:rsidR="00C7346B" w:rsidRPr="00A70D80" w:rsidRDefault="00C7346B" w:rsidP="004E4BB3">
      <w:pPr>
        <w:spacing w:before="120"/>
        <w:rPr>
          <w:lang w:eastAsia="en-AU"/>
        </w:rPr>
      </w:pPr>
      <w:r w:rsidRPr="00A70D80">
        <w:rPr>
          <w:lang w:eastAsia="en-AU"/>
        </w:rPr>
        <w:t xml:space="preserve">The partnership established the ‘Reading Rocks’ program which provides a framework for increasing business and parent engagement in the learning and development of young people. </w:t>
      </w:r>
    </w:p>
    <w:p w:rsidR="00C7346B" w:rsidRDefault="00C7346B" w:rsidP="004E4BB3">
      <w:pPr>
        <w:spacing w:before="120"/>
        <w:rPr>
          <w:lang w:eastAsia="en-AU"/>
        </w:rPr>
      </w:pPr>
      <w:r w:rsidRPr="00A70D80">
        <w:rPr>
          <w:lang w:eastAsia="en-AU"/>
        </w:rPr>
        <w:t>Reading Rocks involves the school implementing a weekly reading schedule and engaging dads and men from the local business and industry community to act as role models by reading their f</w:t>
      </w:r>
      <w:r w:rsidR="004E4BB3">
        <w:rPr>
          <w:lang w:eastAsia="en-AU"/>
        </w:rPr>
        <w:t>avourite books to the students.</w:t>
      </w:r>
    </w:p>
    <w:p w:rsidR="004E4BB3" w:rsidRDefault="004E4BB3" w:rsidP="004E4BB3">
      <w:pPr>
        <w:rPr>
          <w:lang w:eastAsia="en-AU"/>
        </w:rPr>
      </w:pPr>
    </w:p>
    <w:p w:rsidR="00C7346B" w:rsidRDefault="00C7346B" w:rsidP="00C7346B">
      <w:pPr>
        <w:tabs>
          <w:tab w:val="left" w:pos="6075"/>
        </w:tabs>
        <w:spacing w:after="120"/>
        <w:rPr>
          <w:rFonts w:asciiTheme="minorHAnsi" w:eastAsia="Times New Roman" w:hAnsiTheme="minorHAnsi" w:cstheme="minorHAnsi"/>
          <w:b/>
          <w:color w:val="1F497D" w:themeColor="text2"/>
          <w:sz w:val="28"/>
          <w:szCs w:val="28"/>
          <w:lang w:eastAsia="en-AU"/>
        </w:rPr>
      </w:pPr>
      <w:r>
        <w:rPr>
          <w:rFonts w:asciiTheme="minorHAnsi" w:eastAsia="Times New Roman" w:hAnsiTheme="minorHAnsi" w:cstheme="minorHAnsi"/>
          <w:b/>
          <w:noProof/>
          <w:color w:val="1F497D" w:themeColor="text2"/>
          <w:sz w:val="28"/>
          <w:szCs w:val="28"/>
          <w:lang w:eastAsia="en-AU"/>
        </w:rPr>
        <mc:AlternateContent>
          <mc:Choice Requires="wps">
            <w:drawing>
              <wp:inline distT="0" distB="0" distL="0" distR="0" wp14:anchorId="0F2EE1AD" wp14:editId="14945370">
                <wp:extent cx="3073400" cy="1160145"/>
                <wp:effectExtent l="0" t="0" r="0" b="1905"/>
                <wp:docPr id="42" name="Rounded Rectangle 42" descr="Textbox quote - &quot;The students have really enjoyed the readings from fathers and other men from the business community. The boys in particular have responded well to the male presence&quot; Teacher, St Keiran’s Catholic Primary School&#10;&#10;&#10;&#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6014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B1DFA" w:rsidRDefault="001B1DFA" w:rsidP="004E4BB3">
                            <w:pPr>
                              <w:pStyle w:val="Quote"/>
                            </w:pPr>
                            <w:r w:rsidRPr="009F3F26">
                              <w:sym w:font="Wingdings" w:char="F07D"/>
                            </w:r>
                            <w:r>
                              <w:t xml:space="preserve"> The students have really enjoyed the readings from fathers and other men from the business community. The boys in particular have responded well to the male presence</w:t>
                            </w:r>
                            <w:r w:rsidRPr="009F3F26">
                              <w:sym w:font="Wingdings" w:char="F07E"/>
                            </w:r>
                            <w:r>
                              <w:t xml:space="preserve"> </w:t>
                            </w:r>
                          </w:p>
                          <w:p w:rsidR="001B1DFA" w:rsidRPr="00F778F0" w:rsidRDefault="001B1DFA" w:rsidP="00C7346B">
                            <w:pPr>
                              <w:spacing w:line="240" w:lineRule="auto"/>
                              <w:rPr>
                                <w:color w:val="FFFFFF" w:themeColor="background1"/>
                              </w:rPr>
                            </w:pPr>
                            <w:r w:rsidRPr="00F778F0">
                              <w:rPr>
                                <w:rFonts w:asciiTheme="minorHAnsi" w:hAnsiTheme="minorHAnsi" w:cstheme="minorHAnsi"/>
                                <w:i/>
                                <w:color w:val="365F91" w:themeColor="accent1" w:themeShade="BF"/>
                                <w:sz w:val="23"/>
                                <w:szCs w:val="23"/>
                                <w:lang w:eastAsia="en-AU"/>
                              </w:rPr>
                              <w:t>Teacher</w:t>
                            </w:r>
                            <w:r>
                              <w:rPr>
                                <w:rFonts w:asciiTheme="minorHAnsi" w:hAnsiTheme="minorHAnsi" w:cstheme="minorHAnsi"/>
                                <w:i/>
                                <w:color w:val="365F91" w:themeColor="accent1" w:themeShade="BF"/>
                                <w:sz w:val="23"/>
                                <w:szCs w:val="23"/>
                                <w:lang w:eastAsia="en-AU"/>
                              </w:rPr>
                              <w:t>,</w:t>
                            </w:r>
                            <w:r w:rsidRPr="00F778F0">
                              <w:rPr>
                                <w:rFonts w:asciiTheme="minorHAnsi" w:hAnsiTheme="minorHAnsi" w:cstheme="minorHAnsi"/>
                                <w:i/>
                                <w:color w:val="365F91" w:themeColor="accent1" w:themeShade="BF"/>
                                <w:sz w:val="23"/>
                                <w:szCs w:val="23"/>
                                <w:lang w:eastAsia="en-AU"/>
                              </w:rPr>
                              <w:t xml:space="preserve"> </w:t>
                            </w:r>
                            <w:r w:rsidRPr="00F778F0">
                              <w:rPr>
                                <w:i/>
                                <w:color w:val="1F497D" w:themeColor="text2"/>
                              </w:rPr>
                              <w:t xml:space="preserve">St </w:t>
                            </w:r>
                            <w:proofErr w:type="spellStart"/>
                            <w:r w:rsidRPr="00F778F0">
                              <w:rPr>
                                <w:i/>
                                <w:color w:val="1F497D" w:themeColor="text2"/>
                              </w:rPr>
                              <w:t>Keiran’s</w:t>
                            </w:r>
                            <w:proofErr w:type="spellEnd"/>
                            <w:r w:rsidRPr="00F778F0">
                              <w:rPr>
                                <w:i/>
                                <w:color w:val="1F497D" w:themeColor="text2"/>
                              </w:rPr>
                              <w:t xml:space="preserve"> Catholic Primary School</w:t>
                            </w:r>
                          </w:p>
                          <w:p w:rsidR="001B1DFA" w:rsidRPr="009F3F26" w:rsidRDefault="001B1DFA" w:rsidP="00C7346B">
                            <w:pPr>
                              <w:tabs>
                                <w:tab w:val="left" w:pos="6075"/>
                              </w:tabs>
                              <w:spacing w:after="120" w:line="240" w:lineRule="auto"/>
                              <w:rPr>
                                <w:i/>
                                <w:color w:val="365F91" w:themeColor="accent1" w:themeShade="BF"/>
                                <w:sz w:val="23"/>
                                <w:szCs w:val="23"/>
                              </w:rPr>
                            </w:pPr>
                          </w:p>
                          <w:p w:rsidR="001B1DFA" w:rsidRPr="00BA633B" w:rsidRDefault="001B1DFA" w:rsidP="00C7346B">
                            <w:pPr>
                              <w:rPr>
                                <w:i/>
                              </w:rPr>
                            </w:pPr>
                          </w:p>
                          <w:p w:rsidR="001B1DFA" w:rsidRPr="00E24C1E" w:rsidRDefault="001B1DFA" w:rsidP="00C7346B">
                            <w:pPr>
                              <w:tabs>
                                <w:tab w:val="left" w:pos="6075"/>
                              </w:tabs>
                              <w:spacing w:after="120" w:line="240" w:lineRule="auto"/>
                              <w:rPr>
                                <w:i/>
                                <w:color w:val="1F497D" w:themeColor="text2"/>
                                <w:sz w:val="23"/>
                                <w:szCs w:val="23"/>
                              </w:rPr>
                            </w:pP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wps:txbx>
                      <wps:bodyPr rot="0" vert="horz" wrap="square" lIns="91440" tIns="45720" rIns="91440" bIns="45720" anchor="t" anchorCtr="0" upright="1">
                        <a:noAutofit/>
                      </wps:bodyPr>
                    </wps:wsp>
                  </a:graphicData>
                </a:graphic>
              </wp:inline>
            </w:drawing>
          </mc:Choice>
          <mc:Fallback>
            <w:pict>
              <v:roundrect id="Rounded Rectangle 42" o:spid="_x0000_s1028" alt="Textbox quote - &quot;The students have really enjoyed the readings from fathers and other men from the business community. The boys in particular have responded well to the male presence&quot; Teacher, St Keiran’s Catholic Primary School&#10;&#10;&#10;&#10;&#10;&#10;&#10;" style="width:242pt;height:91.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" fillcolor="#dbe5f1 [660]" stroked="f">
                <v:textbox>
                  <w:txbxContent>
                    <w:p w:rsidR="001B1DFA" w:rsidRDefault="001B1DFA" w:rsidP="004E4BB3">
                      <w:pPr>
                        <w:pStyle w:val="Quote"/>
                      </w:pPr>
                      <w:r w:rsidRPr="009F3F26">
                        <w:sym w:font="Wingdings" w:char="F07D"/>
                      </w:r>
                      <w:r>
                        <w:t xml:space="preserve"> The students have really enjoyed the readings from fathers and other men from the business community. The boys in particular have responded well to the male presence</w:t>
                      </w:r>
                      <w:r w:rsidRPr="009F3F26">
                        <w:sym w:font="Wingdings" w:char="F07E"/>
                      </w:r>
                      <w:r>
                        <w:t xml:space="preserve"> </w:t>
                      </w:r>
                    </w:p>
                    <w:p w:rsidR="001B1DFA" w:rsidRPr="00F778F0" w:rsidRDefault="001B1DFA" w:rsidP="00C7346B">
                      <w:pPr>
                        <w:spacing w:line="240" w:lineRule="auto"/>
                        <w:rPr>
                          <w:color w:val="FFFFFF" w:themeColor="background1"/>
                        </w:rPr>
                      </w:pPr>
                      <w:r w:rsidRPr="00F778F0">
                        <w:rPr>
                          <w:rFonts w:asciiTheme="minorHAnsi" w:hAnsiTheme="minorHAnsi" w:cstheme="minorHAnsi"/>
                          <w:i/>
                          <w:color w:val="365F91" w:themeColor="accent1" w:themeShade="BF"/>
                          <w:sz w:val="23"/>
                          <w:szCs w:val="23"/>
                          <w:lang w:eastAsia="en-AU"/>
                        </w:rPr>
                        <w:t>Teacher</w:t>
                      </w:r>
                      <w:r>
                        <w:rPr>
                          <w:rFonts w:asciiTheme="minorHAnsi" w:hAnsiTheme="minorHAnsi" w:cstheme="minorHAnsi"/>
                          <w:i/>
                          <w:color w:val="365F91" w:themeColor="accent1" w:themeShade="BF"/>
                          <w:sz w:val="23"/>
                          <w:szCs w:val="23"/>
                          <w:lang w:eastAsia="en-AU"/>
                        </w:rPr>
                        <w:t>,</w:t>
                      </w:r>
                      <w:r w:rsidRPr="00F778F0">
                        <w:rPr>
                          <w:rFonts w:asciiTheme="minorHAnsi" w:hAnsiTheme="minorHAnsi" w:cstheme="minorHAnsi"/>
                          <w:i/>
                          <w:color w:val="365F91" w:themeColor="accent1" w:themeShade="BF"/>
                          <w:sz w:val="23"/>
                          <w:szCs w:val="23"/>
                          <w:lang w:eastAsia="en-AU"/>
                        </w:rPr>
                        <w:t xml:space="preserve"> </w:t>
                      </w:r>
                      <w:r w:rsidRPr="00F778F0">
                        <w:rPr>
                          <w:i/>
                          <w:color w:val="1F497D" w:themeColor="text2"/>
                        </w:rPr>
                        <w:t xml:space="preserve">St </w:t>
                      </w:r>
                      <w:proofErr w:type="spellStart"/>
                      <w:r w:rsidRPr="00F778F0">
                        <w:rPr>
                          <w:i/>
                          <w:color w:val="1F497D" w:themeColor="text2"/>
                        </w:rPr>
                        <w:t>Keiran’s</w:t>
                      </w:r>
                      <w:proofErr w:type="spellEnd"/>
                      <w:r w:rsidRPr="00F778F0">
                        <w:rPr>
                          <w:i/>
                          <w:color w:val="1F497D" w:themeColor="text2"/>
                        </w:rPr>
                        <w:t xml:space="preserve"> Catholic Primary School</w:t>
                      </w:r>
                    </w:p>
                    <w:p w:rsidR="001B1DFA" w:rsidRPr="009F3F26" w:rsidRDefault="001B1DFA" w:rsidP="00C7346B">
                      <w:pPr>
                        <w:tabs>
                          <w:tab w:val="left" w:pos="6075"/>
                        </w:tabs>
                        <w:spacing w:after="120" w:line="240" w:lineRule="auto"/>
                        <w:rPr>
                          <w:i/>
                          <w:color w:val="365F91" w:themeColor="accent1" w:themeShade="BF"/>
                          <w:sz w:val="23"/>
                          <w:szCs w:val="23"/>
                        </w:rPr>
                      </w:pPr>
                    </w:p>
                    <w:p w:rsidR="001B1DFA" w:rsidRPr="00BA633B" w:rsidRDefault="001B1DFA" w:rsidP="00C7346B">
                      <w:pPr>
                        <w:rPr>
                          <w:i/>
                        </w:rPr>
                      </w:pPr>
                    </w:p>
                    <w:p w:rsidR="001B1DFA" w:rsidRPr="00E24C1E" w:rsidRDefault="001B1DFA" w:rsidP="00C7346B">
                      <w:pPr>
                        <w:tabs>
                          <w:tab w:val="left" w:pos="6075"/>
                        </w:tabs>
                        <w:spacing w:after="120" w:line="240" w:lineRule="auto"/>
                        <w:rPr>
                          <w:i/>
                          <w:color w:val="1F497D" w:themeColor="text2"/>
                          <w:sz w:val="23"/>
                          <w:szCs w:val="23"/>
                        </w:rPr>
                      </w:pP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v:textbox>
                <w10:anchorlock/>
              </v:roundrect>
            </w:pict>
          </mc:Fallback>
        </mc:AlternateContent>
      </w:r>
    </w:p>
    <w:p w:rsidR="00C7346B" w:rsidRDefault="00C7346B" w:rsidP="00C7346B">
      <w:pPr>
        <w:pStyle w:val="Heading"/>
        <w:rPr>
          <w:lang w:eastAsia="en-AU"/>
        </w:rPr>
      </w:pPr>
      <w:r>
        <w:rPr>
          <w:lang w:eastAsia="en-AU"/>
        </w:rPr>
        <w:t>Benefits</w:t>
      </w:r>
    </w:p>
    <w:p w:rsidR="00C7346B" w:rsidRPr="0046309B" w:rsidRDefault="00C7346B" w:rsidP="004E4BB3">
      <w:pPr>
        <w:pStyle w:val="ListParagraph"/>
        <w:numPr>
          <w:ilvl w:val="0"/>
          <w:numId w:val="29"/>
        </w:numPr>
        <w:ind w:left="709" w:hanging="283"/>
      </w:pPr>
      <w:r w:rsidRPr="0046309B">
        <w:t>Teachers have reported improved reading habits in students, particularly among boys who have shown little interest in reading previously.</w:t>
      </w:r>
    </w:p>
    <w:p w:rsidR="00C7346B" w:rsidRPr="0046309B" w:rsidRDefault="00C7346B" w:rsidP="004E4BB3">
      <w:pPr>
        <w:pStyle w:val="ListParagraph"/>
        <w:numPr>
          <w:ilvl w:val="0"/>
          <w:numId w:val="29"/>
        </w:numPr>
        <w:ind w:left="709" w:hanging="283"/>
      </w:pPr>
      <w:r w:rsidRPr="0046309B">
        <w:lastRenderedPageBreak/>
        <w:t xml:space="preserve">Increased parent and community engagement in the school, in addition to their involvement in Reading Rocks. </w:t>
      </w:r>
    </w:p>
    <w:p w:rsidR="00C7346B" w:rsidRDefault="00C7346B" w:rsidP="004E4BB3">
      <w:pPr>
        <w:pStyle w:val="ListParagraph"/>
        <w:numPr>
          <w:ilvl w:val="0"/>
          <w:numId w:val="29"/>
        </w:numPr>
        <w:ind w:left="709" w:hanging="283"/>
      </w:pPr>
      <w:r w:rsidRPr="0046309B">
        <w:t>Businesses involved in the program report improved m</w:t>
      </w:r>
      <w:r w:rsidR="004E4BB3">
        <w:t xml:space="preserve">orale among volunteer readers. </w:t>
      </w:r>
    </w:p>
    <w:p w:rsidR="004E4BB3" w:rsidRPr="0046309B" w:rsidRDefault="004E4BB3" w:rsidP="004E4BB3">
      <w:pPr>
        <w:pStyle w:val="ListBullet"/>
        <w:numPr>
          <w:ilvl w:val="0"/>
          <w:numId w:val="0"/>
        </w:numPr>
        <w:spacing w:line="276" w:lineRule="auto"/>
      </w:pPr>
    </w:p>
    <w:p w:rsidR="00C7346B" w:rsidRPr="00AA7178" w:rsidRDefault="00C7346B" w:rsidP="00C7346B">
      <w:pPr>
        <w:pStyle w:val="NoSpacing"/>
        <w:spacing w:before="60" w:after="60" w:line="276" w:lineRule="auto"/>
        <w:ind w:left="357"/>
        <w:rPr>
          <w:rFonts w:asciiTheme="minorHAnsi" w:eastAsia="Times New Roman" w:hAnsiTheme="minorHAnsi" w:cstheme="minorHAnsi"/>
          <w:b/>
          <w:color w:val="1F497D" w:themeColor="text2"/>
          <w:sz w:val="28"/>
          <w:szCs w:val="28"/>
          <w:lang w:eastAsia="en-AU"/>
        </w:rPr>
      </w:pPr>
      <w:r>
        <w:rPr>
          <w:rFonts w:asciiTheme="minorHAnsi" w:eastAsia="Times New Roman" w:hAnsiTheme="minorHAnsi" w:cstheme="minorHAnsi"/>
          <w:b/>
          <w:noProof/>
          <w:color w:val="1F497D" w:themeColor="text2"/>
          <w:sz w:val="28"/>
          <w:szCs w:val="28"/>
          <w:lang w:eastAsia="en-AU"/>
        </w:rPr>
        <mc:AlternateContent>
          <mc:Choice Requires="wps">
            <w:drawing>
              <wp:inline distT="0" distB="0" distL="0" distR="0" wp14:anchorId="19519BE6" wp14:editId="6AD68079">
                <wp:extent cx="3073400" cy="1130300"/>
                <wp:effectExtent l="0" t="0" r="0" b="0"/>
                <wp:docPr id="41" name="Rounded Rectangle 41" descr="Textbox quote - &quot;The experience was completely new for me. I was a little bit nervous at first but now I really look forward to it. Reading to these guys is a highlight in my weekly schedule&quot; Volunteer reader, business&#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113030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B1DFA" w:rsidRDefault="001B1DFA" w:rsidP="004E4BB3">
                            <w:pPr>
                              <w:pStyle w:val="Quote"/>
                            </w:pPr>
                            <w:r w:rsidRPr="00E24C1E">
                              <w:sym w:font="Wingdings" w:char="F07D"/>
                            </w:r>
                            <w:r w:rsidRPr="00E24C1E">
                              <w:t xml:space="preserve"> </w:t>
                            </w:r>
                            <w:r>
                              <w:t>The experience was completely new for me. I was a little bit nervous at first but now I really look forward to it. Reading to these guys is a highlight in my weekly schedule</w:t>
                            </w:r>
                            <w:r w:rsidRPr="00E24C1E">
                              <w:sym w:font="Wingdings" w:char="F07E"/>
                            </w:r>
                          </w:p>
                          <w:p w:rsidR="001B1DFA" w:rsidRPr="00E24C1E" w:rsidRDefault="001B1DFA" w:rsidP="00C7346B">
                            <w:pPr>
                              <w:tabs>
                                <w:tab w:val="left" w:pos="6075"/>
                              </w:tabs>
                              <w:spacing w:after="120"/>
                              <w:rPr>
                                <w:i/>
                                <w:color w:val="1F497D" w:themeColor="text2"/>
                                <w:sz w:val="23"/>
                                <w:szCs w:val="23"/>
                              </w:rPr>
                            </w:pPr>
                            <w:r>
                              <w:rPr>
                                <w:i/>
                                <w:color w:val="1F497D" w:themeColor="text2"/>
                                <w:sz w:val="23"/>
                                <w:szCs w:val="23"/>
                              </w:rPr>
                              <w:t>Volunteer reader, business</w:t>
                            </w: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wps:txbx>
                      <wps:bodyPr rot="0" vert="horz" wrap="square" lIns="91440" tIns="45720" rIns="91440" bIns="45720" anchor="t" anchorCtr="0" upright="1">
                        <a:noAutofit/>
                      </wps:bodyPr>
                    </wps:wsp>
                  </a:graphicData>
                </a:graphic>
              </wp:inline>
            </w:drawing>
          </mc:Choice>
          <mc:Fallback>
            <w:pict>
              <v:roundrect id="Rounded Rectangle 41" o:spid="_x0000_s1029" alt="Textbox quote - &quot;The experience was completely new for me. I was a little bit nervous at first but now I really look forward to it. Reading to these guys is a highlight in my weekly schedule&quot; Volunteer reader, business&#10;&#10;&#10;&#10;" style="width:242pt;height:8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" fillcolor="#dbe5f1 [660]" stroked="f">
                <v:textbox>
                  <w:txbxContent>
                    <w:p w:rsidR="001B1DFA" w:rsidRDefault="001B1DFA" w:rsidP="004E4BB3">
                      <w:pPr>
                        <w:pStyle w:val="Quote"/>
                      </w:pPr>
                      <w:r w:rsidRPr="00E24C1E">
                        <w:sym w:font="Wingdings" w:char="F07D"/>
                      </w:r>
                      <w:r w:rsidRPr="00E24C1E">
                        <w:t xml:space="preserve"> </w:t>
                      </w:r>
                      <w:r>
                        <w:t>The experience was completely new for me. I was a little bit nervous at first but now I really look forward to it. Reading to these guys is a highlight in my weekly schedule</w:t>
                      </w:r>
                      <w:r w:rsidRPr="00E24C1E">
                        <w:sym w:font="Wingdings" w:char="F07E"/>
                      </w:r>
                    </w:p>
                    <w:p w:rsidR="001B1DFA" w:rsidRPr="00E24C1E" w:rsidRDefault="001B1DFA" w:rsidP="00C7346B">
                      <w:pPr>
                        <w:tabs>
                          <w:tab w:val="left" w:pos="6075"/>
                        </w:tabs>
                        <w:spacing w:after="120"/>
                        <w:rPr>
                          <w:i/>
                          <w:color w:val="1F497D" w:themeColor="text2"/>
                          <w:sz w:val="23"/>
                          <w:szCs w:val="23"/>
                        </w:rPr>
                      </w:pPr>
                      <w:r>
                        <w:rPr>
                          <w:i/>
                          <w:color w:val="1F497D" w:themeColor="text2"/>
                          <w:sz w:val="23"/>
                          <w:szCs w:val="23"/>
                        </w:rPr>
                        <w:t>Volunteer reader, business</w:t>
                      </w: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v:textbox>
                <w10:anchorlock/>
              </v:roundrect>
            </w:pict>
          </mc:Fallback>
        </mc:AlternateContent>
      </w:r>
    </w:p>
    <w:p w:rsidR="00C7346B" w:rsidRDefault="00C7346B" w:rsidP="004E4BB3">
      <w:pPr>
        <w:pStyle w:val="Heading"/>
        <w:spacing w:before="240"/>
        <w:rPr>
          <w:lang w:eastAsia="en-AU"/>
        </w:rPr>
      </w:pPr>
      <w:r>
        <w:rPr>
          <w:lang w:eastAsia="en-AU"/>
        </w:rPr>
        <w:t>Next Steps</w:t>
      </w:r>
    </w:p>
    <w:p w:rsidR="00C7346B" w:rsidRPr="00A70D80" w:rsidRDefault="00C7346B" w:rsidP="004E4BB3">
      <w:pPr>
        <w:rPr>
          <w:lang w:eastAsia="en-AU"/>
        </w:rPr>
      </w:pPr>
      <w:r w:rsidRPr="00A70D80">
        <w:rPr>
          <w:lang w:eastAsia="en-AU"/>
        </w:rPr>
        <w:t>The pilot program has proven highly successful and partners and volunteers are keen to continue</w:t>
      </w:r>
      <w:r>
        <w:rPr>
          <w:lang w:eastAsia="en-AU"/>
        </w:rPr>
        <w:t>.</w:t>
      </w:r>
      <w:r w:rsidRPr="00A70D80">
        <w:rPr>
          <w:lang w:eastAsia="en-AU"/>
        </w:rPr>
        <w:t xml:space="preserve"> Partners are currently exploring how the program can be adapted and expanded to other schools in the region. </w:t>
      </w:r>
    </w:p>
    <w:p w:rsidR="00C7346B" w:rsidRDefault="00C7346B" w:rsidP="004E4BB3">
      <w:pPr>
        <w:pStyle w:val="Heading"/>
        <w:spacing w:before="240"/>
      </w:pPr>
      <w:r>
        <w:t xml:space="preserve">Support from the </w:t>
      </w:r>
      <w:r w:rsidRPr="00F122F5">
        <w:t xml:space="preserve">Partnership </w:t>
      </w:r>
      <w:r>
        <w:t>Broker</w:t>
      </w:r>
    </w:p>
    <w:p w:rsidR="00C7346B" w:rsidRDefault="00C7346B" w:rsidP="004E4BB3">
      <w:pPr>
        <w:rPr>
          <w:lang w:eastAsia="en-AU"/>
        </w:rPr>
      </w:pPr>
      <w:r w:rsidRPr="00A70D80">
        <w:rPr>
          <w:lang w:eastAsia="en-AU"/>
        </w:rPr>
        <w:t>Following a community forum where the idea for a partnership initiative began to take shape, the Partnership Broker played a key role in identifying and bringing potential partners together. They assisted the partners to develop common goals and guidelines for how they would work together. They provided advice on program design and supported the partnership to establish review mechanisms to measure the extent to which Reading</w:t>
      </w:r>
      <w:r w:rsidR="004E4BB3">
        <w:rPr>
          <w:lang w:eastAsia="en-AU"/>
        </w:rPr>
        <w:t xml:space="preserve"> Rocks was achieving its goals.</w:t>
      </w:r>
    </w:p>
    <w:p w:rsidR="004E4BB3" w:rsidRPr="00A70D80" w:rsidRDefault="004E4BB3" w:rsidP="004E4BB3">
      <w:pPr>
        <w:tabs>
          <w:tab w:val="left" w:pos="6075"/>
        </w:tabs>
        <w:rPr>
          <w:rFonts w:asciiTheme="minorHAnsi" w:hAnsiTheme="minorHAnsi" w:cstheme="minorHAnsi"/>
          <w:sz w:val="20"/>
          <w:szCs w:val="20"/>
          <w:lang w:eastAsia="en-AU"/>
        </w:rPr>
      </w:pPr>
    </w:p>
    <w:p w:rsidR="00C7346B" w:rsidRPr="00F53950" w:rsidRDefault="00C7346B" w:rsidP="00C7346B">
      <w:pPr>
        <w:tabs>
          <w:tab w:val="left" w:pos="6075"/>
        </w:tabs>
        <w:spacing w:after="120"/>
        <w:rPr>
          <w:rFonts w:asciiTheme="minorHAnsi" w:hAnsiTheme="minorHAnsi" w:cstheme="minorHAnsi"/>
          <w:lang w:eastAsia="en-AU"/>
        </w:rPr>
      </w:pPr>
      <w:r>
        <w:rPr>
          <w:rFonts w:asciiTheme="minorHAnsi" w:hAnsiTheme="minorHAnsi" w:cstheme="minorHAnsi"/>
          <w:noProof/>
          <w:lang w:eastAsia="en-AU"/>
        </w:rPr>
        <mc:AlternateContent>
          <mc:Choice Requires="wps">
            <w:drawing>
              <wp:inline distT="0" distB="0" distL="0" distR="0" wp14:anchorId="420B8B75" wp14:editId="4FF1D7C0">
                <wp:extent cx="3112135" cy="899795"/>
                <wp:effectExtent l="0" t="0" r="12065" b="14605"/>
                <wp:docPr id="40" name="Rounded Rectangle 40" descr="Concluding textbox: TOP TIP - Sometimes, one person with an idea can be the catalyst for a partnership that benefits many. &#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2135" cy="899795"/>
                        </a:xfrm>
                        <a:prstGeom prst="roundRect">
                          <a:avLst>
                            <a:gd name="adj" fmla="val 16667"/>
                          </a:avLst>
                        </a:prstGeom>
                        <a:solidFill>
                          <a:schemeClr val="tx2">
                            <a:lumMod val="100000"/>
                            <a:lumOff val="0"/>
                          </a:schemeClr>
                        </a:solidFill>
                        <a:ln w="9525">
                          <a:solidFill>
                            <a:srgbClr val="000000"/>
                          </a:solidFill>
                          <a:round/>
                          <a:headEnd/>
                          <a:tailEnd/>
                        </a:ln>
                      </wps:spPr>
                      <wps:txbx>
                        <w:txbxContent>
                          <w:p w:rsidR="001B1DFA" w:rsidRDefault="001B1DFA" w:rsidP="004E4BB3">
                            <w:pPr>
                              <w:spacing w:after="120" w:line="240" w:lineRule="auto"/>
                              <w:rPr>
                                <w:b/>
                                <w:color w:val="FFFFFF" w:themeColor="background1"/>
                                <w:sz w:val="24"/>
                                <w:szCs w:val="24"/>
                              </w:rPr>
                            </w:pPr>
                            <w:r w:rsidRPr="004644B9">
                              <w:rPr>
                                <w:b/>
                                <w:color w:val="FFFFFF" w:themeColor="background1"/>
                                <w:sz w:val="24"/>
                                <w:szCs w:val="24"/>
                              </w:rPr>
                              <w:t>TOP TIP</w:t>
                            </w:r>
                          </w:p>
                          <w:p w:rsidR="001B1DFA" w:rsidRPr="00976730" w:rsidRDefault="001B1DFA" w:rsidP="00C7346B">
                            <w:pPr>
                              <w:rPr>
                                <w:rFonts w:asciiTheme="minorHAnsi" w:eastAsia="Times New Roman" w:hAnsiTheme="minorHAnsi" w:cstheme="minorHAnsi"/>
                                <w:color w:val="FFFFFF" w:themeColor="background1"/>
                                <w:sz w:val="24"/>
                                <w:szCs w:val="24"/>
                                <w:lang w:eastAsia="en-AU"/>
                              </w:rPr>
                            </w:pPr>
                            <w:r>
                              <w:rPr>
                                <w:rFonts w:asciiTheme="minorHAnsi" w:hAnsiTheme="minorHAnsi" w:cstheme="minorHAnsi"/>
                                <w:color w:val="FFFFFF" w:themeColor="background1"/>
                                <w:lang w:eastAsia="en-AU"/>
                              </w:rPr>
                              <w:t>Sometimes, one person with an idea can be the catalyst for a partnership that benefits many</w:t>
                            </w:r>
                            <w:r w:rsidRPr="00976730">
                              <w:rPr>
                                <w:rFonts w:asciiTheme="minorHAnsi" w:hAnsiTheme="minorHAnsi" w:cstheme="minorHAnsi"/>
                                <w:color w:val="FFFFFF" w:themeColor="background1"/>
                                <w:lang w:eastAsia="en-AU"/>
                              </w:rPr>
                              <w:t xml:space="preserve">. </w:t>
                            </w:r>
                          </w:p>
                          <w:p w:rsidR="001B1DFA" w:rsidRDefault="001B1DFA" w:rsidP="00C7346B">
                            <w:pPr>
                              <w:rPr>
                                <w:color w:val="FFFFFF" w:themeColor="background1"/>
                                <w:sz w:val="21"/>
                                <w:szCs w:val="21"/>
                              </w:rPr>
                            </w:pPr>
                          </w:p>
                          <w:p w:rsidR="001B1DFA" w:rsidRPr="00FF4DBB" w:rsidRDefault="001B1DFA" w:rsidP="00C7346B">
                            <w:pPr>
                              <w:rPr>
                                <w:color w:val="FFFFFF" w:themeColor="background1"/>
                                <w:sz w:val="21"/>
                                <w:szCs w:val="21"/>
                              </w:rPr>
                            </w:pPr>
                          </w:p>
                        </w:txbxContent>
                      </wps:txbx>
                      <wps:bodyPr rot="0" vert="horz" wrap="square" lIns="91440" tIns="45720" rIns="91440" bIns="45720" anchor="t" anchorCtr="0" upright="1">
                        <a:noAutofit/>
                      </wps:bodyPr>
                    </wps:wsp>
                  </a:graphicData>
                </a:graphic>
              </wp:inline>
            </w:drawing>
          </mc:Choice>
          <mc:Fallback>
            <w:pict>
              <v:roundrect id="Rounded Rectangle 40" o:spid="_x0000_s1030" alt="Concluding textbox: TOP TIP - Sometimes, one person with an idea can be the catalyst for a partnership that benefits many. &#10;&#10;&#10;" style="width:245.05pt;height:70.8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" fillcolor="#1f497d [3215]">
                <v:textbox>
                  <w:txbxContent>
                    <w:p w:rsidR="001B1DFA" w:rsidRDefault="001B1DFA" w:rsidP="004E4BB3">
                      <w:pPr>
                        <w:spacing w:after="120" w:line="240" w:lineRule="auto"/>
                        <w:rPr>
                          <w:b/>
                          <w:color w:val="FFFFFF" w:themeColor="background1"/>
                          <w:sz w:val="24"/>
                          <w:szCs w:val="24"/>
                        </w:rPr>
                      </w:pPr>
                      <w:r w:rsidRPr="004644B9">
                        <w:rPr>
                          <w:b/>
                          <w:color w:val="FFFFFF" w:themeColor="background1"/>
                          <w:sz w:val="24"/>
                          <w:szCs w:val="24"/>
                        </w:rPr>
                        <w:t>TOP TIP</w:t>
                      </w:r>
                    </w:p>
                    <w:p w:rsidR="001B1DFA" w:rsidRPr="00976730" w:rsidRDefault="001B1DFA" w:rsidP="00C7346B">
                      <w:pPr>
                        <w:rPr>
                          <w:rFonts w:asciiTheme="minorHAnsi" w:eastAsia="Times New Roman" w:hAnsiTheme="minorHAnsi" w:cstheme="minorHAnsi"/>
                          <w:color w:val="FFFFFF" w:themeColor="background1"/>
                          <w:sz w:val="24"/>
                          <w:szCs w:val="24"/>
                          <w:lang w:eastAsia="en-AU"/>
                        </w:rPr>
                      </w:pPr>
                      <w:r>
                        <w:rPr>
                          <w:rFonts w:asciiTheme="minorHAnsi" w:hAnsiTheme="minorHAnsi" w:cstheme="minorHAnsi"/>
                          <w:color w:val="FFFFFF" w:themeColor="background1"/>
                          <w:lang w:eastAsia="en-AU"/>
                        </w:rPr>
                        <w:t>Sometimes, one person with an idea can be the catalyst for a partnership that benefits many</w:t>
                      </w:r>
                      <w:r w:rsidRPr="00976730">
                        <w:rPr>
                          <w:rFonts w:asciiTheme="minorHAnsi" w:hAnsiTheme="minorHAnsi" w:cstheme="minorHAnsi"/>
                          <w:color w:val="FFFFFF" w:themeColor="background1"/>
                          <w:lang w:eastAsia="en-AU"/>
                        </w:rPr>
                        <w:t xml:space="preserve">. </w:t>
                      </w:r>
                    </w:p>
                    <w:p w:rsidR="001B1DFA" w:rsidRDefault="001B1DFA" w:rsidP="00C7346B">
                      <w:pPr>
                        <w:rPr>
                          <w:color w:val="FFFFFF" w:themeColor="background1"/>
                          <w:sz w:val="21"/>
                          <w:szCs w:val="21"/>
                        </w:rPr>
                      </w:pPr>
                    </w:p>
                    <w:p w:rsidR="001B1DFA" w:rsidRPr="00FF4DBB" w:rsidRDefault="001B1DFA" w:rsidP="00C7346B">
                      <w:pPr>
                        <w:rPr>
                          <w:color w:val="FFFFFF" w:themeColor="background1"/>
                          <w:sz w:val="21"/>
                          <w:szCs w:val="21"/>
                        </w:rPr>
                      </w:pPr>
                    </w:p>
                  </w:txbxContent>
                </v:textbox>
                <w10:anchorlock/>
              </v:roundrect>
            </w:pict>
          </mc:Fallback>
        </mc:AlternateContent>
      </w:r>
    </w:p>
    <w:p w:rsidR="00C7346B" w:rsidRDefault="00C7346B">
      <w:pPr>
        <w:spacing w:line="240" w:lineRule="auto"/>
        <w:rPr>
          <w:i/>
        </w:rPr>
      </w:pPr>
      <w:r>
        <w:rPr>
          <w:i/>
        </w:rPr>
        <w:br w:type="page"/>
      </w:r>
    </w:p>
    <w:p w:rsidR="00C7346B" w:rsidRPr="00BC4F59" w:rsidRDefault="00C7346B" w:rsidP="00C7346B">
      <w:pPr>
        <w:tabs>
          <w:tab w:val="left" w:pos="5425"/>
        </w:tabs>
        <w:spacing w:line="240" w:lineRule="auto"/>
        <w:jc w:val="both"/>
        <w:rPr>
          <w:b/>
        </w:rPr>
      </w:pPr>
      <w:r>
        <w:lastRenderedPageBreak/>
        <w:tab/>
      </w:r>
    </w:p>
    <w:p w:rsidR="00C7346B" w:rsidRDefault="00C7346B" w:rsidP="00C7346B">
      <w:pPr>
        <w:tabs>
          <w:tab w:val="left" w:pos="6075"/>
        </w:tabs>
      </w:pPr>
      <w:r w:rsidRPr="001017CF">
        <w:rPr>
          <w:noProof/>
          <w:lang w:eastAsia="en-AU"/>
        </w:rPr>
        <w:drawing>
          <wp:inline distT="0" distB="0" distL="0" distR="0" wp14:anchorId="0BEECF33" wp14:editId="638F80F6">
            <wp:extent cx="2679405" cy="570327"/>
            <wp:effectExtent l="0" t="0" r="6985" b="1270"/>
            <wp:docPr id="44" name="Picture 1" descr="Logo. Partnership Brokers. School plus Business plu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2679405" cy="570327"/>
                    </a:xfrm>
                    <a:prstGeom prst="rect">
                      <a:avLst/>
                    </a:prstGeom>
                    <a:noFill/>
                    <a:ln w="9525">
                      <a:noFill/>
                      <a:miter lim="800000"/>
                      <a:headEnd/>
                      <a:tailEnd/>
                    </a:ln>
                  </pic:spPr>
                </pic:pic>
              </a:graphicData>
            </a:graphic>
          </wp:inline>
        </w:drawing>
      </w:r>
    </w:p>
    <w:p w:rsidR="00C7346B" w:rsidRDefault="00C7346B" w:rsidP="00C7346B">
      <w:pPr>
        <w:spacing w:after="60" w:line="240" w:lineRule="auto"/>
        <w:rPr>
          <w:b/>
          <w:color w:val="1F497D" w:themeColor="text2"/>
          <w:sz w:val="24"/>
          <w:szCs w:val="24"/>
        </w:rPr>
      </w:pPr>
    </w:p>
    <w:p w:rsidR="00FB13E5" w:rsidRPr="00FB13E5" w:rsidRDefault="00FB13E5" w:rsidP="00FB13E5">
      <w:pPr>
        <w:pStyle w:val="Heading"/>
        <w:spacing w:before="0"/>
      </w:pPr>
      <w:proofErr w:type="spellStart"/>
      <w:r w:rsidRPr="00FB13E5">
        <w:t>WOTABAT</w:t>
      </w:r>
      <w:proofErr w:type="spellEnd"/>
      <w:r w:rsidRPr="00FB13E5">
        <w:t xml:space="preserve"> YU PARTNERSHIP</w:t>
      </w:r>
    </w:p>
    <w:p w:rsidR="00FB13E5" w:rsidRDefault="00FB13E5" w:rsidP="00FB13E5"/>
    <w:p w:rsidR="00FB13E5" w:rsidRPr="00FB13E5" w:rsidRDefault="00FB13E5" w:rsidP="00FB13E5">
      <w:pPr>
        <w:pStyle w:val="Heading"/>
        <w:spacing w:before="0"/>
      </w:pPr>
      <w:r>
        <w:t>Purpose</w:t>
      </w:r>
    </w:p>
    <w:p w:rsidR="00FB13E5" w:rsidRPr="00FB13E5" w:rsidRDefault="00FB13E5" w:rsidP="00FB13E5">
      <w:r w:rsidRPr="00FB13E5">
        <w:t>To support Aboriginal and Torres Strait Islander parents and students in the middle years of schooling to understand the importance of senior education and post school options.</w:t>
      </w:r>
    </w:p>
    <w:p w:rsidR="00FB13E5" w:rsidRPr="00FB13E5" w:rsidRDefault="00FB13E5" w:rsidP="00FB13E5">
      <w:pPr>
        <w:pStyle w:val="Heading"/>
        <w:spacing w:before="240"/>
      </w:pPr>
      <w:r>
        <w:t>Partnership Members</w:t>
      </w:r>
    </w:p>
    <w:p w:rsidR="00FB13E5" w:rsidRPr="00FB13E5" w:rsidRDefault="00FB13E5" w:rsidP="00FB13E5">
      <w:pPr>
        <w:pStyle w:val="ListBullet"/>
      </w:pPr>
      <w:r w:rsidRPr="00FB13E5">
        <w:t>Catholic Education</w:t>
      </w:r>
    </w:p>
    <w:p w:rsidR="00FB13E5" w:rsidRPr="00FB13E5" w:rsidRDefault="00FB13E5" w:rsidP="00FB13E5">
      <w:pPr>
        <w:pStyle w:val="ListBullet"/>
      </w:pPr>
      <w:r w:rsidRPr="00FB13E5">
        <w:t>Department of Education and Training (DET)</w:t>
      </w:r>
    </w:p>
    <w:p w:rsidR="00FB13E5" w:rsidRPr="00FB13E5" w:rsidRDefault="00FB13E5" w:rsidP="00FB13E5">
      <w:pPr>
        <w:pStyle w:val="ListBullet"/>
      </w:pPr>
      <w:r w:rsidRPr="00FB13E5">
        <w:t>Indigenous Schooling Support Unit</w:t>
      </w:r>
    </w:p>
    <w:p w:rsidR="00FB13E5" w:rsidRPr="00FB13E5" w:rsidRDefault="00FB13E5" w:rsidP="00FB13E5">
      <w:pPr>
        <w:pStyle w:val="ListBullet"/>
      </w:pPr>
      <w:r w:rsidRPr="00FB13E5">
        <w:t>Department of Employment, Economic Development and Innovation (</w:t>
      </w:r>
      <w:proofErr w:type="spellStart"/>
      <w:r w:rsidRPr="00FB13E5">
        <w:t>DEEDI</w:t>
      </w:r>
      <w:proofErr w:type="spellEnd"/>
      <w:r w:rsidRPr="00FB13E5">
        <w:t>)</w:t>
      </w:r>
    </w:p>
    <w:p w:rsidR="00FB13E5" w:rsidRDefault="00FB13E5" w:rsidP="00C7346B">
      <w:pPr>
        <w:pStyle w:val="ListBullet"/>
      </w:pPr>
      <w:r>
        <w:t>Surat Basin Corporation</w:t>
      </w:r>
    </w:p>
    <w:p w:rsidR="00C7346B" w:rsidRPr="00AA65F5" w:rsidRDefault="00C7346B" w:rsidP="00FB13E5">
      <w:pPr>
        <w:pStyle w:val="Heading"/>
        <w:spacing w:before="240"/>
      </w:pPr>
      <w:r w:rsidRPr="00AA65F5">
        <w:t>Context and Goals</w:t>
      </w:r>
    </w:p>
    <w:p w:rsidR="00C7346B" w:rsidRPr="00310D38" w:rsidRDefault="00C7346B" w:rsidP="00FB13E5">
      <w:pPr>
        <w:rPr>
          <w:lang w:eastAsia="en-AU"/>
        </w:rPr>
      </w:pPr>
      <w:r w:rsidRPr="00310D38">
        <w:rPr>
          <w:lang w:eastAsia="en-AU"/>
        </w:rPr>
        <w:t xml:space="preserve">Students in the middle </w:t>
      </w:r>
      <w:r>
        <w:rPr>
          <w:lang w:eastAsia="en-AU"/>
        </w:rPr>
        <w:t>years of schooling</w:t>
      </w:r>
      <w:r w:rsidRPr="00310D38">
        <w:rPr>
          <w:lang w:eastAsia="en-AU"/>
        </w:rPr>
        <w:t xml:space="preserve"> </w:t>
      </w:r>
      <w:r>
        <w:rPr>
          <w:lang w:eastAsia="en-AU"/>
        </w:rPr>
        <w:t xml:space="preserve">must cope with significant </w:t>
      </w:r>
      <w:r w:rsidRPr="00310D38">
        <w:rPr>
          <w:lang w:eastAsia="en-AU"/>
        </w:rPr>
        <w:t>cognitive, physic</w:t>
      </w:r>
      <w:r>
        <w:rPr>
          <w:lang w:eastAsia="en-AU"/>
        </w:rPr>
        <w:t>al, social and emotional change.</w:t>
      </w:r>
      <w:r w:rsidRPr="00310D38">
        <w:rPr>
          <w:lang w:eastAsia="en-AU"/>
        </w:rPr>
        <w:t xml:space="preserve"> Data suggests</w:t>
      </w:r>
      <w:r>
        <w:rPr>
          <w:lang w:eastAsia="en-AU"/>
        </w:rPr>
        <w:t xml:space="preserve"> that </w:t>
      </w:r>
      <w:r w:rsidRPr="00310D38">
        <w:rPr>
          <w:lang w:eastAsia="en-AU"/>
        </w:rPr>
        <w:t xml:space="preserve">this </w:t>
      </w:r>
      <w:r>
        <w:rPr>
          <w:lang w:eastAsia="en-AU"/>
        </w:rPr>
        <w:t>phase</w:t>
      </w:r>
      <w:r w:rsidRPr="00310D38">
        <w:rPr>
          <w:lang w:eastAsia="en-AU"/>
        </w:rPr>
        <w:t xml:space="preserve"> is a key disengagement point</w:t>
      </w:r>
      <w:r>
        <w:rPr>
          <w:lang w:eastAsia="en-AU"/>
        </w:rPr>
        <w:t xml:space="preserve"> and Aboriginal and Torres Strait Islander students are particularly at risk.  To address this issue,</w:t>
      </w:r>
      <w:r w:rsidRPr="00310D38">
        <w:rPr>
          <w:lang w:eastAsia="en-AU"/>
        </w:rPr>
        <w:t xml:space="preserve"> </w:t>
      </w:r>
      <w:r>
        <w:rPr>
          <w:lang w:eastAsia="en-AU"/>
        </w:rPr>
        <w:t xml:space="preserve">as part of the </w:t>
      </w:r>
      <w:r w:rsidRPr="00310D38">
        <w:rPr>
          <w:lang w:eastAsia="en-AU"/>
        </w:rPr>
        <w:t>C</w:t>
      </w:r>
      <w:r>
        <w:rPr>
          <w:lang w:eastAsia="en-AU"/>
        </w:rPr>
        <w:t>losing the Gap</w:t>
      </w:r>
      <w:r w:rsidRPr="00310D38">
        <w:rPr>
          <w:lang w:eastAsia="en-AU"/>
        </w:rPr>
        <w:t xml:space="preserve"> agenda</w:t>
      </w:r>
      <w:r>
        <w:rPr>
          <w:lang w:eastAsia="en-AU"/>
        </w:rPr>
        <w:t xml:space="preserve">, partners developed an early intervention strategy </w:t>
      </w:r>
      <w:r w:rsidRPr="00310D38">
        <w:rPr>
          <w:lang w:eastAsia="en-AU"/>
        </w:rPr>
        <w:t xml:space="preserve">aimed at raising </w:t>
      </w:r>
      <w:r>
        <w:rPr>
          <w:lang w:eastAsia="en-AU"/>
        </w:rPr>
        <w:t xml:space="preserve">students’ </w:t>
      </w:r>
      <w:r w:rsidRPr="00310D38">
        <w:rPr>
          <w:lang w:eastAsia="en-AU"/>
        </w:rPr>
        <w:t>aspirations for their future.</w:t>
      </w:r>
    </w:p>
    <w:p w:rsidR="00C7346B" w:rsidRDefault="00C7346B" w:rsidP="00FB13E5">
      <w:pPr>
        <w:pStyle w:val="Heading"/>
        <w:spacing w:before="240"/>
      </w:pPr>
      <w:r>
        <w:t>The Partnership’s Approach</w:t>
      </w:r>
    </w:p>
    <w:p w:rsidR="00C7346B" w:rsidRDefault="00C7346B" w:rsidP="00FB13E5">
      <w:pPr>
        <w:rPr>
          <w:lang w:eastAsia="en-AU"/>
        </w:rPr>
      </w:pPr>
      <w:r w:rsidRPr="00310D38">
        <w:rPr>
          <w:lang w:eastAsia="en-AU"/>
        </w:rPr>
        <w:t xml:space="preserve">Partners recognised a need for young people to </w:t>
      </w:r>
      <w:r>
        <w:rPr>
          <w:lang w:eastAsia="en-AU"/>
        </w:rPr>
        <w:t xml:space="preserve">connect school education with the world beyond school to help them </w:t>
      </w:r>
      <w:r w:rsidRPr="00310D38">
        <w:rPr>
          <w:lang w:eastAsia="en-AU"/>
        </w:rPr>
        <w:t>remain</w:t>
      </w:r>
      <w:r>
        <w:rPr>
          <w:lang w:eastAsia="en-AU"/>
        </w:rPr>
        <w:t xml:space="preserve"> motivated and</w:t>
      </w:r>
      <w:r w:rsidRPr="00310D38">
        <w:rPr>
          <w:lang w:eastAsia="en-AU"/>
        </w:rPr>
        <w:t xml:space="preserve"> engaged </w:t>
      </w:r>
      <w:r>
        <w:rPr>
          <w:lang w:eastAsia="en-AU"/>
        </w:rPr>
        <w:t>in their learning</w:t>
      </w:r>
      <w:r w:rsidRPr="00310D38">
        <w:rPr>
          <w:lang w:eastAsia="en-AU"/>
        </w:rPr>
        <w:t xml:space="preserve">. </w:t>
      </w:r>
      <w:r>
        <w:rPr>
          <w:lang w:eastAsia="en-AU"/>
        </w:rPr>
        <w:t>The partnership</w:t>
      </w:r>
      <w:r w:rsidRPr="00310D38">
        <w:rPr>
          <w:lang w:eastAsia="en-AU"/>
        </w:rPr>
        <w:t xml:space="preserve"> also saw the importance of parental engagement in </w:t>
      </w:r>
      <w:r>
        <w:rPr>
          <w:lang w:eastAsia="en-AU"/>
        </w:rPr>
        <w:t>supporting young people to achieve</w:t>
      </w:r>
      <w:r w:rsidRPr="00310D38">
        <w:rPr>
          <w:lang w:eastAsia="en-AU"/>
        </w:rPr>
        <w:t xml:space="preserve"> success.</w:t>
      </w:r>
    </w:p>
    <w:p w:rsidR="00C7346B" w:rsidRDefault="00C7346B" w:rsidP="00FB13E5">
      <w:pPr>
        <w:spacing w:before="120"/>
        <w:rPr>
          <w:lang w:eastAsia="en-AU"/>
        </w:rPr>
      </w:pPr>
      <w:r>
        <w:rPr>
          <w:lang w:eastAsia="en-AU"/>
        </w:rPr>
        <w:t>The partnership’s approach was to provide opportunities for parents and</w:t>
      </w:r>
      <w:r w:rsidRPr="00310D38">
        <w:rPr>
          <w:lang w:eastAsia="en-AU"/>
        </w:rPr>
        <w:t xml:space="preserve"> students </w:t>
      </w:r>
      <w:r>
        <w:rPr>
          <w:lang w:eastAsia="en-AU"/>
        </w:rPr>
        <w:t xml:space="preserve">to engage in </w:t>
      </w:r>
      <w:r w:rsidRPr="00310D38">
        <w:rPr>
          <w:lang w:eastAsia="en-AU"/>
        </w:rPr>
        <w:t xml:space="preserve">interactive workshops with industry. </w:t>
      </w:r>
      <w:r>
        <w:rPr>
          <w:lang w:eastAsia="en-AU"/>
        </w:rPr>
        <w:t>This includes employers talking to students about a day in their life which is a catalyst for s</w:t>
      </w:r>
      <w:r w:rsidRPr="00310D38">
        <w:rPr>
          <w:lang w:eastAsia="en-AU"/>
        </w:rPr>
        <w:t xml:space="preserve">tudents </w:t>
      </w:r>
      <w:r>
        <w:rPr>
          <w:lang w:eastAsia="en-AU"/>
        </w:rPr>
        <w:t xml:space="preserve">to </w:t>
      </w:r>
      <w:r w:rsidRPr="00310D38">
        <w:rPr>
          <w:lang w:eastAsia="en-AU"/>
        </w:rPr>
        <w:t xml:space="preserve">explore </w:t>
      </w:r>
      <w:r>
        <w:rPr>
          <w:lang w:eastAsia="en-AU"/>
        </w:rPr>
        <w:t xml:space="preserve">career </w:t>
      </w:r>
      <w:r w:rsidRPr="00310D38">
        <w:rPr>
          <w:lang w:eastAsia="en-AU"/>
        </w:rPr>
        <w:t>opportunities in a range of indu</w:t>
      </w:r>
      <w:r>
        <w:rPr>
          <w:lang w:eastAsia="en-AU"/>
        </w:rPr>
        <w:t xml:space="preserve">stries.  </w:t>
      </w:r>
      <w:r w:rsidRPr="00310D38">
        <w:rPr>
          <w:lang w:eastAsia="en-AU"/>
        </w:rPr>
        <w:t xml:space="preserve">The aim is to inspire students to </w:t>
      </w:r>
      <w:r>
        <w:rPr>
          <w:lang w:eastAsia="en-AU"/>
        </w:rPr>
        <w:t>think about</w:t>
      </w:r>
      <w:r w:rsidRPr="00310D38">
        <w:rPr>
          <w:lang w:eastAsia="en-AU"/>
        </w:rPr>
        <w:t xml:space="preserve"> a career pathway and to hear from </w:t>
      </w:r>
      <w:r>
        <w:rPr>
          <w:lang w:eastAsia="en-AU"/>
        </w:rPr>
        <w:t xml:space="preserve">employers </w:t>
      </w:r>
      <w:r w:rsidRPr="00310D38">
        <w:rPr>
          <w:lang w:eastAsia="en-AU"/>
        </w:rPr>
        <w:t>about the importance of education to achieve their goals.</w:t>
      </w:r>
    </w:p>
    <w:p w:rsidR="00FB13E5" w:rsidRDefault="00C7346B" w:rsidP="00A313CE">
      <w:pPr>
        <w:spacing w:before="120" w:after="120"/>
        <w:rPr>
          <w:lang w:eastAsia="en-AU"/>
        </w:rPr>
      </w:pPr>
      <w:r w:rsidRPr="006A7CC2">
        <w:rPr>
          <w:lang w:eastAsia="en-AU"/>
        </w:rPr>
        <w:t>A</w:t>
      </w:r>
      <w:r>
        <w:rPr>
          <w:lang w:eastAsia="en-AU"/>
        </w:rPr>
        <w:t>nother workshop focused on</w:t>
      </w:r>
      <w:r w:rsidRPr="006A7CC2">
        <w:rPr>
          <w:lang w:eastAsia="en-AU"/>
        </w:rPr>
        <w:t xml:space="preserve"> </w:t>
      </w:r>
      <w:r>
        <w:rPr>
          <w:lang w:eastAsia="en-AU"/>
        </w:rPr>
        <w:t xml:space="preserve">building the capacity of </w:t>
      </w:r>
      <w:r w:rsidRPr="006A7CC2">
        <w:rPr>
          <w:lang w:eastAsia="en-AU"/>
        </w:rPr>
        <w:t>parents to support their young people through school and on</w:t>
      </w:r>
      <w:r>
        <w:rPr>
          <w:lang w:eastAsia="en-AU"/>
        </w:rPr>
        <w:t xml:space="preserve"> </w:t>
      </w:r>
      <w:r w:rsidRPr="006A7CC2">
        <w:rPr>
          <w:lang w:eastAsia="en-AU"/>
        </w:rPr>
        <w:t>to further study, training or employment</w:t>
      </w:r>
      <w:r>
        <w:rPr>
          <w:lang w:eastAsia="en-AU"/>
        </w:rPr>
        <w:t>.</w:t>
      </w:r>
    </w:p>
    <w:p w:rsidR="00C7346B" w:rsidRDefault="00C7346B" w:rsidP="00C7346B">
      <w:pPr>
        <w:tabs>
          <w:tab w:val="left" w:pos="6075"/>
        </w:tabs>
        <w:spacing w:after="120"/>
        <w:rPr>
          <w:rFonts w:cs="Calibri"/>
          <w:sz w:val="20"/>
          <w:szCs w:val="20"/>
          <w:lang w:eastAsia="en-AU"/>
        </w:rPr>
      </w:pPr>
      <w:r>
        <w:rPr>
          <w:rFonts w:cs="Calibri"/>
          <w:noProof/>
          <w:sz w:val="20"/>
          <w:szCs w:val="20"/>
          <w:lang w:eastAsia="en-AU"/>
        </w:rPr>
        <mc:AlternateContent>
          <mc:Choice Requires="wps">
            <w:drawing>
              <wp:inline distT="0" distB="0" distL="0" distR="0" wp14:anchorId="5074BF73" wp14:editId="29E17612">
                <wp:extent cx="3786996" cy="1147313"/>
                <wp:effectExtent l="0" t="0" r="4445" b="0"/>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996" cy="1147313"/>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B1DFA" w:rsidRPr="00FB13E5" w:rsidRDefault="001B1DFA" w:rsidP="00FB13E5">
                            <w:pPr>
                              <w:pStyle w:val="Quote"/>
                            </w:pPr>
                            <w:r w:rsidRPr="00FB13E5">
                              <w:sym w:font="Wingdings" w:char="F07D"/>
                            </w:r>
                            <w:r w:rsidRPr="00FB13E5">
                              <w:t xml:space="preserve"> This is a great way to help young people to see the connection between education and their future careers. It is also a great way for industry to be able to support the development of their future workforce.</w:t>
                            </w:r>
                            <w:r w:rsidRPr="00FB13E5">
                              <w:sym w:font="Wingdings" w:char="F07E"/>
                            </w:r>
                          </w:p>
                          <w:p w:rsidR="001B1DFA" w:rsidRPr="00FB13E5" w:rsidRDefault="001B1DFA" w:rsidP="00FB13E5">
                            <w:pPr>
                              <w:rPr>
                                <w:i/>
                                <w:color w:val="1F497D" w:themeColor="text2"/>
                              </w:rPr>
                            </w:pPr>
                            <w:r w:rsidRPr="00FB13E5">
                              <w:rPr>
                                <w:i/>
                                <w:color w:val="1F497D" w:themeColor="text2"/>
                              </w:rPr>
                              <w:t xml:space="preserve">CEO Surat Basin Corporation </w:t>
                            </w:r>
                          </w:p>
                        </w:txbxContent>
                      </wps:txbx>
                      <wps:bodyPr rot="0" vert="horz" wrap="square" lIns="91440" tIns="45720" rIns="91440" bIns="45720" anchor="t" anchorCtr="0" upright="1">
                        <a:noAutofit/>
                      </wps:bodyPr>
                    </wps:wsp>
                  </a:graphicData>
                </a:graphic>
              </wp:inline>
            </w:drawing>
          </mc:Choice>
          <mc:Fallback>
            <w:pict>
              <v:roundrect id="Rounded Rectangle 49" o:spid="_x0000_s1031" style="width:298.2pt;height:90.3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" fillcolor="#dce6f2" stroked="f">
                <v:textbox>
                  <w:txbxContent>
                    <w:p w:rsidR="001B1DFA" w:rsidRPr="00FB13E5" w:rsidRDefault="001B1DFA" w:rsidP="00FB13E5">
                      <w:pPr>
                        <w:pStyle w:val="Quote"/>
                      </w:pPr>
                      <w:r w:rsidRPr="00FB13E5">
                        <w:sym w:font="Wingdings" w:char="F07D"/>
                      </w:r>
                      <w:r w:rsidRPr="00FB13E5">
                        <w:t xml:space="preserve"> This is a great way to help young people to see the connection between education and their future careers. It is also a great way for industry to be able to support the development of their future workforce.</w:t>
                      </w:r>
                      <w:r w:rsidRPr="00FB13E5">
                        <w:sym w:font="Wingdings" w:char="F07E"/>
                      </w:r>
                    </w:p>
                    <w:p w:rsidR="001B1DFA" w:rsidRPr="00FB13E5" w:rsidRDefault="001B1DFA" w:rsidP="00FB13E5">
                      <w:pPr>
                        <w:rPr>
                          <w:i/>
                          <w:color w:val="1F497D" w:themeColor="text2"/>
                        </w:rPr>
                      </w:pPr>
                      <w:proofErr w:type="spellStart"/>
                      <w:r w:rsidRPr="00FB13E5">
                        <w:rPr>
                          <w:i/>
                          <w:color w:val="1F497D" w:themeColor="text2"/>
                        </w:rPr>
                        <w:t>CEO</w:t>
                      </w:r>
                      <w:proofErr w:type="spellEnd"/>
                      <w:r w:rsidRPr="00FB13E5">
                        <w:rPr>
                          <w:i/>
                          <w:color w:val="1F497D" w:themeColor="text2"/>
                        </w:rPr>
                        <w:t xml:space="preserve"> Surat Basin Corporation </w:t>
                      </w:r>
                    </w:p>
                  </w:txbxContent>
                </v:textbox>
                <w10:anchorlock/>
              </v:roundrect>
            </w:pict>
          </mc:Fallback>
        </mc:AlternateContent>
      </w:r>
    </w:p>
    <w:p w:rsidR="00C7346B" w:rsidRPr="00D83003" w:rsidRDefault="00C7346B" w:rsidP="00C7346B">
      <w:pPr>
        <w:pStyle w:val="Heading"/>
      </w:pPr>
      <w:r w:rsidRPr="00D83003">
        <w:t>Benefits</w:t>
      </w:r>
    </w:p>
    <w:p w:rsidR="00C7346B" w:rsidRPr="00310D38" w:rsidRDefault="00C7346B" w:rsidP="00C7346B">
      <w:pPr>
        <w:pStyle w:val="ListParagraph"/>
        <w:numPr>
          <w:ilvl w:val="0"/>
          <w:numId w:val="20"/>
        </w:numPr>
        <w:adjustRightInd w:val="0"/>
        <w:spacing w:before="60" w:after="200"/>
        <w:ind w:left="357" w:hanging="357"/>
        <w:rPr>
          <w:rFonts w:cs="Calibri"/>
          <w:sz w:val="20"/>
          <w:szCs w:val="20"/>
          <w:lang w:eastAsia="en-AU"/>
        </w:rPr>
      </w:pPr>
      <w:r w:rsidRPr="00310D38">
        <w:rPr>
          <w:rFonts w:cs="Calibri"/>
          <w:sz w:val="20"/>
          <w:szCs w:val="20"/>
          <w:lang w:eastAsia="en-AU"/>
        </w:rPr>
        <w:t xml:space="preserve">Student’s aspirations are raised helping them </w:t>
      </w:r>
      <w:r>
        <w:rPr>
          <w:rFonts w:cs="Calibri"/>
          <w:sz w:val="20"/>
          <w:szCs w:val="20"/>
          <w:lang w:eastAsia="en-AU"/>
        </w:rPr>
        <w:t xml:space="preserve">to </w:t>
      </w:r>
      <w:r w:rsidRPr="00310D38">
        <w:rPr>
          <w:rFonts w:cs="Calibri"/>
          <w:sz w:val="20"/>
          <w:szCs w:val="20"/>
          <w:lang w:eastAsia="en-AU"/>
        </w:rPr>
        <w:t>remain more engaged in education.</w:t>
      </w:r>
    </w:p>
    <w:p w:rsidR="00C7346B" w:rsidRPr="00310D38" w:rsidRDefault="00C7346B" w:rsidP="00C7346B">
      <w:pPr>
        <w:pStyle w:val="ListParagraph"/>
        <w:numPr>
          <w:ilvl w:val="0"/>
          <w:numId w:val="20"/>
        </w:numPr>
        <w:adjustRightInd w:val="0"/>
        <w:spacing w:before="60" w:after="200"/>
        <w:ind w:left="357" w:hanging="357"/>
        <w:rPr>
          <w:rFonts w:cs="Calibri"/>
          <w:sz w:val="20"/>
          <w:szCs w:val="20"/>
          <w:lang w:eastAsia="en-AU"/>
        </w:rPr>
      </w:pPr>
      <w:r w:rsidRPr="00310D38">
        <w:rPr>
          <w:rFonts w:cs="Calibri"/>
          <w:sz w:val="20"/>
          <w:szCs w:val="20"/>
          <w:lang w:eastAsia="en-AU"/>
        </w:rPr>
        <w:t>Parents feel empowered to support their children to make a successful transition through school and from school to further education</w:t>
      </w:r>
      <w:r>
        <w:rPr>
          <w:rFonts w:cs="Calibri"/>
          <w:sz w:val="20"/>
          <w:szCs w:val="20"/>
          <w:lang w:eastAsia="en-AU"/>
        </w:rPr>
        <w:t xml:space="preserve">, training and </w:t>
      </w:r>
      <w:r w:rsidRPr="00310D38">
        <w:rPr>
          <w:rFonts w:cs="Calibri"/>
          <w:sz w:val="20"/>
          <w:szCs w:val="20"/>
          <w:lang w:eastAsia="en-AU"/>
        </w:rPr>
        <w:t>employment.</w:t>
      </w:r>
    </w:p>
    <w:p w:rsidR="00C7346B" w:rsidRPr="00310D38" w:rsidRDefault="00C7346B" w:rsidP="00C7346B">
      <w:pPr>
        <w:pStyle w:val="ListParagraph"/>
        <w:numPr>
          <w:ilvl w:val="0"/>
          <w:numId w:val="20"/>
        </w:numPr>
        <w:adjustRightInd w:val="0"/>
        <w:spacing w:before="60" w:after="200"/>
        <w:ind w:left="357" w:hanging="357"/>
        <w:rPr>
          <w:rFonts w:cs="Calibri"/>
          <w:sz w:val="20"/>
          <w:szCs w:val="20"/>
          <w:lang w:eastAsia="en-AU"/>
        </w:rPr>
      </w:pPr>
      <w:r w:rsidRPr="00310D38">
        <w:rPr>
          <w:rFonts w:cs="Calibri"/>
          <w:sz w:val="20"/>
          <w:szCs w:val="20"/>
          <w:lang w:eastAsia="en-AU"/>
        </w:rPr>
        <w:lastRenderedPageBreak/>
        <w:t xml:space="preserve">Industry </w:t>
      </w:r>
      <w:r>
        <w:rPr>
          <w:rFonts w:cs="Calibri"/>
          <w:sz w:val="20"/>
          <w:szCs w:val="20"/>
          <w:lang w:eastAsia="en-AU"/>
        </w:rPr>
        <w:t>benefits from the development of its future workforce</w:t>
      </w:r>
      <w:r w:rsidRPr="00310D38">
        <w:rPr>
          <w:rFonts w:cs="Calibri"/>
          <w:sz w:val="20"/>
          <w:szCs w:val="20"/>
          <w:lang w:eastAsia="en-AU"/>
        </w:rPr>
        <w:t>.</w:t>
      </w:r>
    </w:p>
    <w:p w:rsidR="00C7346B" w:rsidRPr="00D83003" w:rsidRDefault="00C7346B" w:rsidP="00A313CE">
      <w:pPr>
        <w:pStyle w:val="Heading"/>
        <w:spacing w:before="240"/>
      </w:pPr>
      <w:r w:rsidRPr="00D83003">
        <w:t>Next Steps</w:t>
      </w:r>
    </w:p>
    <w:p w:rsidR="00C7346B" w:rsidRPr="00310D38" w:rsidRDefault="00C7346B" w:rsidP="00A313CE">
      <w:pPr>
        <w:spacing w:after="240"/>
        <w:rPr>
          <w:lang w:eastAsia="en-AU"/>
        </w:rPr>
      </w:pPr>
      <w:r w:rsidRPr="00310D38">
        <w:rPr>
          <w:lang w:eastAsia="en-AU"/>
        </w:rPr>
        <w:t>There is strong commitment to the partnership</w:t>
      </w:r>
      <w:r>
        <w:rPr>
          <w:lang w:eastAsia="en-AU"/>
        </w:rPr>
        <w:t xml:space="preserve"> with partners developing a sense of ownership and responsibility for driving workshops in the future</w:t>
      </w:r>
      <w:r w:rsidRPr="00310D38">
        <w:rPr>
          <w:lang w:eastAsia="en-AU"/>
        </w:rPr>
        <w:t xml:space="preserve">. </w:t>
      </w:r>
      <w:r>
        <w:rPr>
          <w:lang w:eastAsia="en-AU"/>
        </w:rPr>
        <w:t>It is hoped that partners will reflect this commitment by signing</w:t>
      </w:r>
      <w:r w:rsidRPr="00310D38">
        <w:rPr>
          <w:lang w:eastAsia="en-AU"/>
        </w:rPr>
        <w:t xml:space="preserve"> a Memorandum of Understanding (</w:t>
      </w:r>
      <w:proofErr w:type="spellStart"/>
      <w:r w:rsidRPr="00310D38">
        <w:rPr>
          <w:lang w:eastAsia="en-AU"/>
        </w:rPr>
        <w:t>MOU</w:t>
      </w:r>
      <w:proofErr w:type="spellEnd"/>
      <w:r>
        <w:rPr>
          <w:lang w:eastAsia="en-AU"/>
        </w:rPr>
        <w:t>)</w:t>
      </w:r>
      <w:r w:rsidRPr="00310D38">
        <w:rPr>
          <w:lang w:eastAsia="en-AU"/>
        </w:rPr>
        <w:t>.</w:t>
      </w:r>
      <w:r>
        <w:rPr>
          <w:lang w:eastAsia="en-AU"/>
        </w:rPr>
        <w:t xml:space="preserve"> </w:t>
      </w:r>
    </w:p>
    <w:p w:rsidR="00C7346B" w:rsidRPr="00D83003" w:rsidRDefault="00C7346B" w:rsidP="00C7346B">
      <w:pPr>
        <w:tabs>
          <w:tab w:val="left" w:pos="6075"/>
        </w:tabs>
        <w:spacing w:after="120"/>
        <w:rPr>
          <w:b/>
          <w:color w:val="1F497D" w:themeColor="text2"/>
          <w:sz w:val="4"/>
          <w:szCs w:val="4"/>
        </w:rPr>
      </w:pPr>
      <w:r>
        <w:rPr>
          <w:rFonts w:cs="Calibri"/>
          <w:noProof/>
          <w:sz w:val="20"/>
          <w:szCs w:val="20"/>
          <w:lang w:eastAsia="en-AU"/>
        </w:rPr>
        <mc:AlternateContent>
          <mc:Choice Requires="wps">
            <w:drawing>
              <wp:inline distT="0" distB="0" distL="0" distR="0" wp14:anchorId="497B5B78" wp14:editId="1C70D6A6">
                <wp:extent cx="3455035" cy="940279"/>
                <wp:effectExtent l="0" t="0" r="0" b="0"/>
                <wp:docPr id="47" name="Rounded Rectangle 47" descr="Textbox Quote: This initiative supports the Charter signed between Education sectors in our region who have committed to Closing the Gap for Indigenous Students.- Catholic Education&#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035" cy="940279"/>
                        </a:xfrm>
                        <a:prstGeom prst="roundRect">
                          <a:avLst>
                            <a:gd name="adj" fmla="val 16667"/>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B1DFA" w:rsidRPr="002E1A29" w:rsidRDefault="001B1DFA" w:rsidP="00C7346B">
                            <w:pPr>
                              <w:pStyle w:val="Quote"/>
                            </w:pPr>
                            <w:r w:rsidRPr="002E1A29">
                              <w:sym w:font="Wingdings" w:char="F07D"/>
                            </w:r>
                            <w:r w:rsidRPr="002E1A29">
                              <w:rPr>
                                <w:color w:val="FF0000"/>
                              </w:rPr>
                              <w:t xml:space="preserve"> </w:t>
                            </w:r>
                            <w:r w:rsidRPr="002E1A29">
                              <w:t>This initiative supports the Charter signed between Education sectors in our region who have committed to Closing the Gap for Indigenous Students.</w:t>
                            </w:r>
                            <w:r w:rsidRPr="002E1A29">
                              <w:sym w:font="Wingdings" w:char="F07E"/>
                            </w:r>
                          </w:p>
                          <w:p w:rsidR="001B1DFA" w:rsidRPr="00AA65F5" w:rsidRDefault="001B1DFA" w:rsidP="00C7346B">
                            <w:pPr>
                              <w:tabs>
                                <w:tab w:val="left" w:pos="6075"/>
                              </w:tabs>
                              <w:spacing w:after="120" w:line="240" w:lineRule="auto"/>
                              <w:rPr>
                                <w:rFonts w:cs="Calibri"/>
                                <w:i/>
                                <w:color w:val="1F497D" w:themeColor="text2"/>
                              </w:rPr>
                            </w:pPr>
                            <w:r w:rsidRPr="00AA65F5">
                              <w:rPr>
                                <w:rFonts w:cs="Calibri"/>
                                <w:i/>
                                <w:color w:val="1F497D" w:themeColor="text2"/>
                                <w:sz w:val="20"/>
                                <w:szCs w:val="20"/>
                              </w:rPr>
                              <w:t>Catholic Education</w:t>
                            </w:r>
                          </w:p>
                          <w:p w:rsidR="001B1DFA" w:rsidRPr="004644B9" w:rsidRDefault="001B1DFA" w:rsidP="00C7346B">
                            <w:pPr>
                              <w:tabs>
                                <w:tab w:val="left" w:pos="6075"/>
                              </w:tabs>
                              <w:spacing w:after="120" w:line="240" w:lineRule="auto"/>
                              <w:rPr>
                                <w:i/>
                                <w:color w:val="1F497D" w:themeColor="text2"/>
                                <w:sz w:val="28"/>
                                <w:szCs w:val="28"/>
                              </w:rPr>
                            </w:pP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wps:txbx>
                      <wps:bodyPr rot="0" vert="horz" wrap="square" lIns="91440" tIns="45720" rIns="91440" bIns="45720" anchor="t" anchorCtr="0" upright="1">
                        <a:noAutofit/>
                      </wps:bodyPr>
                    </wps:wsp>
                  </a:graphicData>
                </a:graphic>
              </wp:inline>
            </w:drawing>
          </mc:Choice>
          <mc:Fallback>
            <w:pict>
              <v:roundrect id="Rounded Rectangle 47" o:spid="_x0000_s1032" alt="Textbox Quote: This initiative supports the Charter signed between Education sectors in our region who have committed to Closing the Gap for Indigenous Students.- Catholic Education&#10;" style="width:272.05pt;height:74.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" fillcolor="#dce6f2" stroked="f">
                <v:textbox>
                  <w:txbxContent>
                    <w:p w:rsidR="001B1DFA" w:rsidRPr="002E1A29" w:rsidRDefault="001B1DFA" w:rsidP="00C7346B">
                      <w:pPr>
                        <w:pStyle w:val="Quote"/>
                      </w:pPr>
                      <w:r w:rsidRPr="002E1A29">
                        <w:sym w:font="Wingdings" w:char="F07D"/>
                      </w:r>
                      <w:r w:rsidRPr="002E1A29">
                        <w:rPr>
                          <w:color w:val="FF0000"/>
                        </w:rPr>
                        <w:t xml:space="preserve"> </w:t>
                      </w:r>
                      <w:r w:rsidRPr="002E1A29">
                        <w:t>This initiative supports the Charter signed between Education sectors in our region who have committed to Closing the Gap for Indigenous Students.</w:t>
                      </w:r>
                      <w:r w:rsidRPr="002E1A29">
                        <w:sym w:font="Wingdings" w:char="F07E"/>
                      </w:r>
                    </w:p>
                    <w:p w:rsidR="001B1DFA" w:rsidRPr="00AA65F5" w:rsidRDefault="001B1DFA" w:rsidP="00C7346B">
                      <w:pPr>
                        <w:tabs>
                          <w:tab w:val="left" w:pos="6075"/>
                        </w:tabs>
                        <w:spacing w:after="120" w:line="240" w:lineRule="auto"/>
                        <w:rPr>
                          <w:rFonts w:cs="Calibri"/>
                          <w:i/>
                          <w:color w:val="1F497D" w:themeColor="text2"/>
                        </w:rPr>
                      </w:pPr>
                      <w:r w:rsidRPr="00AA65F5">
                        <w:rPr>
                          <w:rFonts w:cs="Calibri"/>
                          <w:i/>
                          <w:color w:val="1F497D" w:themeColor="text2"/>
                          <w:sz w:val="20"/>
                          <w:szCs w:val="20"/>
                        </w:rPr>
                        <w:t>Catholic Education</w:t>
                      </w:r>
                    </w:p>
                    <w:p w:rsidR="001B1DFA" w:rsidRPr="004644B9" w:rsidRDefault="001B1DFA" w:rsidP="00C7346B">
                      <w:pPr>
                        <w:tabs>
                          <w:tab w:val="left" w:pos="6075"/>
                        </w:tabs>
                        <w:spacing w:after="120" w:line="240" w:lineRule="auto"/>
                        <w:rPr>
                          <w:i/>
                          <w:color w:val="1F497D" w:themeColor="text2"/>
                          <w:sz w:val="28"/>
                          <w:szCs w:val="28"/>
                        </w:rPr>
                      </w:pPr>
                    </w:p>
                    <w:p w:rsidR="001B1DFA" w:rsidRPr="00FF3294" w:rsidRDefault="001B1DFA" w:rsidP="00C7346B">
                      <w:pPr>
                        <w:tabs>
                          <w:tab w:val="left" w:pos="6075"/>
                        </w:tabs>
                        <w:spacing w:after="120"/>
                        <w:rPr>
                          <w:i/>
                          <w:color w:val="FFFFFF" w:themeColor="background1"/>
                          <w:sz w:val="36"/>
                          <w:szCs w:val="36"/>
                        </w:rPr>
                      </w:pPr>
                    </w:p>
                    <w:p w:rsidR="001B1DFA" w:rsidRDefault="001B1DFA" w:rsidP="00C7346B"/>
                    <w:p w:rsidR="001B1DFA" w:rsidRDefault="001B1DFA" w:rsidP="00C7346B"/>
                  </w:txbxContent>
                </v:textbox>
                <w10:anchorlock/>
              </v:roundrect>
            </w:pict>
          </mc:Fallback>
        </mc:AlternateContent>
      </w:r>
    </w:p>
    <w:p w:rsidR="00C7346B" w:rsidRPr="00D83003" w:rsidRDefault="00C7346B" w:rsidP="00A313CE">
      <w:pPr>
        <w:pStyle w:val="Heading"/>
        <w:spacing w:before="240"/>
      </w:pPr>
      <w:r w:rsidRPr="00D83003">
        <w:t>Support from the Partnership Broker</w:t>
      </w:r>
    </w:p>
    <w:p w:rsidR="00C7346B" w:rsidRPr="00C57746" w:rsidRDefault="00C7346B" w:rsidP="00A313CE">
      <w:pPr>
        <w:rPr>
          <w:lang w:eastAsia="en-AU"/>
        </w:rPr>
      </w:pPr>
      <w:r>
        <w:rPr>
          <w:lang w:eastAsia="en-AU"/>
        </w:rPr>
        <w:t>The Partnership Broker f</w:t>
      </w:r>
      <w:r w:rsidRPr="00FE0671">
        <w:rPr>
          <w:lang w:eastAsia="en-AU"/>
        </w:rPr>
        <w:t>acilitated stakeholder discussion to identify a model for addressing</w:t>
      </w:r>
      <w:r>
        <w:rPr>
          <w:lang w:eastAsia="en-AU"/>
        </w:rPr>
        <w:t xml:space="preserve"> </w:t>
      </w:r>
      <w:r w:rsidRPr="00FE0671">
        <w:rPr>
          <w:lang w:eastAsia="en-AU"/>
        </w:rPr>
        <w:t>disengagement</w:t>
      </w:r>
      <w:r>
        <w:rPr>
          <w:lang w:eastAsia="en-AU"/>
        </w:rPr>
        <w:t xml:space="preserve"> and c</w:t>
      </w:r>
      <w:r w:rsidRPr="00FE0671">
        <w:rPr>
          <w:lang w:eastAsia="en-AU"/>
        </w:rPr>
        <w:t>oordinated meetings to progress the model.</w:t>
      </w:r>
    </w:p>
    <w:p w:rsidR="00C7346B" w:rsidRPr="00C57746" w:rsidRDefault="00C7346B" w:rsidP="00A313CE">
      <w:pPr>
        <w:spacing w:before="120" w:after="240"/>
        <w:rPr>
          <w:lang w:eastAsia="en-AU"/>
        </w:rPr>
      </w:pPr>
      <w:r>
        <w:rPr>
          <w:lang w:eastAsia="en-AU"/>
        </w:rPr>
        <w:t>They also f</w:t>
      </w:r>
      <w:r w:rsidRPr="00FE0671">
        <w:rPr>
          <w:lang w:eastAsia="en-AU"/>
        </w:rPr>
        <w:t>acilitated meetings on behalf of the partnership to engage industry representatives</w:t>
      </w:r>
      <w:r>
        <w:rPr>
          <w:lang w:eastAsia="en-AU"/>
        </w:rPr>
        <w:t xml:space="preserve"> and assisted the partners to determine roles and responsibilities to implement the agreed program. </w:t>
      </w:r>
    </w:p>
    <w:p w:rsidR="00C7346B" w:rsidRDefault="00C7346B" w:rsidP="00C7346B">
      <w:pPr>
        <w:tabs>
          <w:tab w:val="left" w:pos="6075"/>
        </w:tabs>
        <w:spacing w:after="120"/>
        <w:rPr>
          <w:i/>
        </w:rPr>
      </w:pPr>
      <w:r>
        <w:rPr>
          <w:noProof/>
          <w:lang w:eastAsia="en-AU"/>
        </w:rPr>
        <mc:AlternateContent>
          <mc:Choice Requires="wps">
            <w:drawing>
              <wp:inline distT="0" distB="0" distL="0" distR="0" wp14:anchorId="2FE75FCB" wp14:editId="5A52BF25">
                <wp:extent cx="3455035" cy="759124"/>
                <wp:effectExtent l="0" t="0" r="12065" b="22225"/>
                <wp:docPr id="46" name="Rounded Rectangle 46" descr="Concluding Comment:&#10;TOP TIP&#10;By working together you can achieve outcomes that would not have been possible if each had acted alo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035" cy="759124"/>
                        </a:xfrm>
                        <a:prstGeom prst="roundRect">
                          <a:avLst>
                            <a:gd name="adj" fmla="val 16667"/>
                          </a:avLst>
                        </a:prstGeom>
                        <a:solidFill>
                          <a:srgbClr val="1F497D">
                            <a:lumMod val="100000"/>
                            <a:lumOff val="0"/>
                          </a:srgbClr>
                        </a:solidFill>
                        <a:ln w="9525">
                          <a:solidFill>
                            <a:srgbClr val="000000"/>
                          </a:solidFill>
                          <a:round/>
                          <a:headEnd/>
                          <a:tailEnd/>
                        </a:ln>
                      </wps:spPr>
                      <wps:txbx>
                        <w:txbxContent>
                          <w:p w:rsidR="001B1DFA" w:rsidRPr="00310D38" w:rsidRDefault="001B1DFA" w:rsidP="00C7346B">
                            <w:pPr>
                              <w:spacing w:after="120" w:line="240" w:lineRule="auto"/>
                              <w:rPr>
                                <w:rFonts w:cs="Calibri"/>
                                <w:b/>
                                <w:color w:val="FFFFFF" w:themeColor="background1"/>
                                <w:sz w:val="20"/>
                                <w:szCs w:val="20"/>
                              </w:rPr>
                            </w:pPr>
                            <w:r w:rsidRPr="00310D38">
                              <w:rPr>
                                <w:rFonts w:cs="Calibri"/>
                                <w:b/>
                                <w:color w:val="FFFFFF" w:themeColor="background1"/>
                                <w:sz w:val="20"/>
                                <w:szCs w:val="20"/>
                              </w:rPr>
                              <w:t>TOP TIP</w:t>
                            </w:r>
                          </w:p>
                          <w:p w:rsidR="001B1DFA" w:rsidRPr="00310D38" w:rsidRDefault="001B1DFA" w:rsidP="00C7346B">
                            <w:pPr>
                              <w:spacing w:after="120" w:line="240" w:lineRule="auto"/>
                              <w:rPr>
                                <w:rFonts w:cs="Calibri"/>
                                <w:color w:val="FFFFFF" w:themeColor="background1"/>
                                <w:sz w:val="20"/>
                                <w:szCs w:val="20"/>
                              </w:rPr>
                            </w:pPr>
                            <w:r>
                              <w:rPr>
                                <w:rFonts w:cs="Calibri"/>
                                <w:color w:val="FFFFFF" w:themeColor="background1"/>
                                <w:sz w:val="20"/>
                                <w:szCs w:val="20"/>
                              </w:rPr>
                              <w:t>By working together you can achieve outcomes that would not have been possible if each had acted alone</w:t>
                            </w:r>
                            <w:r w:rsidRPr="00310D38">
                              <w:rPr>
                                <w:rFonts w:cs="Calibri"/>
                                <w:color w:val="FFFFFF" w:themeColor="background1"/>
                                <w:sz w:val="20"/>
                                <w:szCs w:val="20"/>
                              </w:rPr>
                              <w:t>.</w:t>
                            </w:r>
                          </w:p>
                        </w:txbxContent>
                      </wps:txbx>
                      <wps:bodyPr rot="0" vert="horz" wrap="square" lIns="91440" tIns="45720" rIns="91440" bIns="45720" anchor="t" anchorCtr="0" upright="1">
                        <a:noAutofit/>
                      </wps:bodyPr>
                    </wps:wsp>
                  </a:graphicData>
                </a:graphic>
              </wp:inline>
            </w:drawing>
          </mc:Choice>
          <mc:Fallback>
            <w:pict>
              <v:roundrect id="Rounded Rectangle 46" o:spid="_x0000_s1033" alt="Concluding Comment:&#10;TOP TIP&#10;By working together you can achieve outcomes that would not have been possible if each had acted alone." style="width:272.05pt;height:59.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" fillcolor="#1f497d">
                <v:textbox>
                  <w:txbxContent>
                    <w:p w:rsidR="001B1DFA" w:rsidRPr="00310D38" w:rsidRDefault="001B1DFA" w:rsidP="00C7346B">
                      <w:pPr>
                        <w:spacing w:after="120" w:line="240" w:lineRule="auto"/>
                        <w:rPr>
                          <w:rFonts w:cs="Calibri"/>
                          <w:b/>
                          <w:color w:val="FFFFFF" w:themeColor="background1"/>
                          <w:sz w:val="20"/>
                          <w:szCs w:val="20"/>
                        </w:rPr>
                      </w:pPr>
                      <w:r w:rsidRPr="00310D38">
                        <w:rPr>
                          <w:rFonts w:cs="Calibri"/>
                          <w:b/>
                          <w:color w:val="FFFFFF" w:themeColor="background1"/>
                          <w:sz w:val="20"/>
                          <w:szCs w:val="20"/>
                        </w:rPr>
                        <w:t>TOP TIP</w:t>
                      </w:r>
                    </w:p>
                    <w:p w:rsidR="001B1DFA" w:rsidRPr="00310D38" w:rsidRDefault="001B1DFA" w:rsidP="00C7346B">
                      <w:pPr>
                        <w:spacing w:after="120" w:line="240" w:lineRule="auto"/>
                        <w:rPr>
                          <w:rFonts w:cs="Calibri"/>
                          <w:color w:val="FFFFFF" w:themeColor="background1"/>
                          <w:sz w:val="20"/>
                          <w:szCs w:val="20"/>
                        </w:rPr>
                      </w:pPr>
                      <w:r>
                        <w:rPr>
                          <w:rFonts w:cs="Calibri"/>
                          <w:color w:val="FFFFFF" w:themeColor="background1"/>
                          <w:sz w:val="20"/>
                          <w:szCs w:val="20"/>
                        </w:rPr>
                        <w:t>By working together you can achieve outcomes that would not have been possible if each had acted alone</w:t>
                      </w:r>
                      <w:r w:rsidRPr="00310D38">
                        <w:rPr>
                          <w:rFonts w:cs="Calibri"/>
                          <w:color w:val="FFFFFF" w:themeColor="background1"/>
                          <w:sz w:val="20"/>
                          <w:szCs w:val="20"/>
                        </w:rPr>
                        <w:t>.</w:t>
                      </w:r>
                    </w:p>
                  </w:txbxContent>
                </v:textbox>
                <w10:anchorlock/>
              </v:roundrect>
            </w:pict>
          </mc:Fallback>
        </mc:AlternateContent>
      </w:r>
    </w:p>
    <w:p w:rsidR="004E4BB3" w:rsidRDefault="004E4BB3" w:rsidP="00C7346B">
      <w:pPr>
        <w:tabs>
          <w:tab w:val="left" w:pos="6075"/>
        </w:tabs>
        <w:spacing w:after="120"/>
        <w:sectPr w:rsidR="004E4BB3" w:rsidSect="00BF7F25">
          <w:pgSz w:w="11906" w:h="16838"/>
          <w:pgMar w:top="1134" w:right="993" w:bottom="1440" w:left="851" w:header="708" w:footer="708" w:gutter="0"/>
          <w:cols w:space="708"/>
          <w:docGrid w:linePitch="360"/>
        </w:sectPr>
      </w:pPr>
    </w:p>
    <w:p w:rsidR="00873A9C" w:rsidRPr="00873A9C" w:rsidRDefault="00873A9C" w:rsidP="00CE7AF6">
      <w:pPr>
        <w:pStyle w:val="Heading1"/>
        <w:rPr>
          <w:rFonts w:ascii="Cambria" w:hAnsi="Cambria"/>
          <w:lang w:val="en-AU" w:eastAsia="en-US"/>
        </w:rPr>
      </w:pPr>
      <w:bookmarkStart w:id="80" w:name="_Toc365385428"/>
      <w:bookmarkEnd w:id="79"/>
      <w:r w:rsidRPr="00873A9C">
        <w:rPr>
          <w:rFonts w:ascii="Cambria" w:hAnsi="Cambria"/>
          <w:lang w:val="en-AU" w:eastAsia="en-US"/>
        </w:rPr>
        <w:lastRenderedPageBreak/>
        <w:t>ANNEXURE 1 C – National Career Development</w:t>
      </w:r>
      <w:bookmarkEnd w:id="80"/>
      <w:r w:rsidRPr="00873A9C">
        <w:rPr>
          <w:rFonts w:ascii="Cambria" w:hAnsi="Cambria"/>
          <w:lang w:val="en-AU" w:eastAsia="en-US"/>
        </w:rPr>
        <w:t xml:space="preserve"> </w:t>
      </w:r>
    </w:p>
    <w:p w:rsidR="00873A9C" w:rsidRPr="00873A9C" w:rsidRDefault="00873A9C" w:rsidP="00AD2C38">
      <w:pPr>
        <w:pStyle w:val="Heading2"/>
        <w:spacing w:before="120" w:after="120"/>
      </w:pPr>
      <w:bookmarkStart w:id="81" w:name="_Toc365385429"/>
      <w:r w:rsidRPr="00873A9C">
        <w:t>National Summary: Activity during the 2011 calendar year</w:t>
      </w:r>
      <w:bookmarkEnd w:id="81"/>
      <w:r w:rsidRPr="00873A9C">
        <w:t xml:space="preserve">  </w:t>
      </w:r>
    </w:p>
    <w:p w:rsidR="00873A9C" w:rsidRPr="00873A9C" w:rsidRDefault="00873A9C" w:rsidP="00AD2C38">
      <w:pPr>
        <w:pStyle w:val="Heading3"/>
        <w:spacing w:before="120"/>
      </w:pPr>
      <w:r w:rsidRPr="00873A9C">
        <w:t>Background</w:t>
      </w:r>
    </w:p>
    <w:p w:rsidR="00873A9C" w:rsidRPr="00873A9C" w:rsidRDefault="00873A9C" w:rsidP="00873A9C">
      <w:r w:rsidRPr="00873A9C">
        <w:t xml:space="preserve">Under the National Career Development element of the National Partnership Agreement on Youth Attainment and Transitions, $47 million was committed through COAG over four years from January 2010 to December 2013 to fund a range of career development initiatives.   The funding agreements entered into with the organisations listed below are all financial year agreements. This should be noted when reviewing funding amounts and key deliverables for the calendar year 2011.  </w:t>
      </w:r>
    </w:p>
    <w:p w:rsidR="00873A9C" w:rsidRPr="00873A9C" w:rsidRDefault="00873A9C" w:rsidP="00AD2C38">
      <w:pPr>
        <w:pStyle w:val="Heading3"/>
        <w:spacing w:before="120"/>
      </w:pPr>
      <w:r w:rsidRPr="00873A9C">
        <w:t>Career Industry Council of Australia (</w:t>
      </w:r>
      <w:proofErr w:type="spellStart"/>
      <w:r w:rsidRPr="00873A9C">
        <w:t>CICA</w:t>
      </w:r>
      <w:proofErr w:type="spellEnd"/>
      <w:r w:rsidRPr="00873A9C">
        <w:t xml:space="preserve">) </w:t>
      </w:r>
    </w:p>
    <w:p w:rsidR="003C4491" w:rsidRPr="006B0234" w:rsidRDefault="00873A9C" w:rsidP="003C4491">
      <w:r w:rsidRPr="00873A9C">
        <w:rPr>
          <w:rFonts w:cs="Arial"/>
        </w:rPr>
        <w:t xml:space="preserve">Operational funding of $225,262.40 (GST inclusive) was provided to </w:t>
      </w:r>
      <w:proofErr w:type="spellStart"/>
      <w:r w:rsidRPr="00873A9C">
        <w:rPr>
          <w:rFonts w:cs="Arial"/>
        </w:rPr>
        <w:t>CICA</w:t>
      </w:r>
      <w:proofErr w:type="spellEnd"/>
      <w:r w:rsidRPr="00873A9C">
        <w:rPr>
          <w:rFonts w:cs="Arial"/>
        </w:rPr>
        <w:t xml:space="preserve"> during the 2011 calendar year. </w:t>
      </w:r>
      <w:r w:rsidRPr="00873A9C">
        <w:t xml:space="preserve">Highlights for the period included an update to the Professional Standards for Australian Career Development Practitioners and the publication of a research paper: Identification of issues that impact upon the provision of effective career development services for VET learners. </w:t>
      </w:r>
      <w:hyperlink r:id="rId45" w:history="1">
        <w:r w:rsidR="00ED314C" w:rsidRPr="00080E44">
          <w:rPr>
            <w:rStyle w:val="Hyperlink"/>
          </w:rPr>
          <w:t xml:space="preserve">For information on the </w:t>
        </w:r>
        <w:proofErr w:type="spellStart"/>
        <w:r w:rsidR="00ED314C" w:rsidRPr="00080E44">
          <w:rPr>
            <w:rStyle w:val="Hyperlink"/>
          </w:rPr>
          <w:t>CICA</w:t>
        </w:r>
        <w:proofErr w:type="spellEnd"/>
        <w:r w:rsidR="00ED314C" w:rsidRPr="00080E44">
          <w:rPr>
            <w:rStyle w:val="Hyperlink"/>
          </w:rPr>
          <w:t xml:space="preserve"> paper click here</w:t>
        </w:r>
      </w:hyperlink>
      <w:r w:rsidR="00ED314C" w:rsidRPr="00C25316">
        <w:t>.</w:t>
      </w:r>
    </w:p>
    <w:p w:rsidR="00873A9C" w:rsidRPr="00873A9C" w:rsidRDefault="00873A9C" w:rsidP="00AD2C38">
      <w:pPr>
        <w:pStyle w:val="Heading3"/>
        <w:spacing w:before="120"/>
      </w:pPr>
      <w:r w:rsidRPr="00873A9C">
        <w:t>National Career Development Week (</w:t>
      </w:r>
      <w:proofErr w:type="spellStart"/>
      <w:r w:rsidRPr="00873A9C">
        <w:t>NCDW</w:t>
      </w:r>
      <w:proofErr w:type="spellEnd"/>
      <w:r w:rsidRPr="00873A9C">
        <w:t>)</w:t>
      </w:r>
    </w:p>
    <w:p w:rsidR="00873A9C" w:rsidRPr="00873A9C" w:rsidRDefault="00873A9C" w:rsidP="00873A9C">
      <w:r w:rsidRPr="00873A9C">
        <w:rPr>
          <w:rFonts w:cs="Arial"/>
        </w:rPr>
        <w:t xml:space="preserve">In 2011, the Australian Government spent approximately $1,121,762 on </w:t>
      </w:r>
      <w:proofErr w:type="spellStart"/>
      <w:r w:rsidRPr="00873A9C">
        <w:rPr>
          <w:rFonts w:cs="Arial"/>
        </w:rPr>
        <w:t>NCDW</w:t>
      </w:r>
      <w:proofErr w:type="spellEnd"/>
      <w:r w:rsidRPr="00873A9C">
        <w:rPr>
          <w:rFonts w:cs="Arial"/>
        </w:rPr>
        <w:t>. O</w:t>
      </w:r>
      <w:r w:rsidRPr="00873A9C">
        <w:t xml:space="preserve">ver 1.75 million Australians attended events and activities registered on the </w:t>
      </w:r>
      <w:proofErr w:type="spellStart"/>
      <w:r w:rsidRPr="00873A9C">
        <w:t>NCDW</w:t>
      </w:r>
      <w:proofErr w:type="spellEnd"/>
      <w:r w:rsidRPr="00873A9C">
        <w:t xml:space="preserve"> website. These events were hosted by 423 individual organisations in communities, schools, TAFE, university, industry, small business, government departments and a wide range of other organisations. Many of these organisations hosted a whole week of different activities and some hosted a different event each month during April and May 2011.</w:t>
      </w:r>
    </w:p>
    <w:p w:rsidR="00873A9C" w:rsidRPr="00873A9C" w:rsidRDefault="00873A9C" w:rsidP="00AD2C38">
      <w:pPr>
        <w:pStyle w:val="Heading3"/>
        <w:spacing w:before="120"/>
      </w:pPr>
      <w:r w:rsidRPr="00873A9C">
        <w:t xml:space="preserve">Job Guide </w:t>
      </w:r>
    </w:p>
    <w:p w:rsidR="00873A9C" w:rsidRPr="00873A9C" w:rsidRDefault="00873A9C" w:rsidP="00873A9C">
      <w:r w:rsidRPr="00873A9C">
        <w:t xml:space="preserve">Job Guide assists young people to explore career, education and training options and make subject choices. It includes information on over 500 occupations. In 2011, the department contracted </w:t>
      </w:r>
      <w:proofErr w:type="spellStart"/>
      <w:r w:rsidRPr="00873A9C">
        <w:t>Hobsons</w:t>
      </w:r>
      <w:proofErr w:type="spellEnd"/>
      <w:r w:rsidRPr="00873A9C">
        <w:t xml:space="preserve"> Australia to produce and distribute Job Guide at a cost of approximately $1.9 million. Approximately 390,000 copies were issued including a copy for every year 10 student. Limited quantities were also provided to universities, </w:t>
      </w:r>
      <w:proofErr w:type="spellStart"/>
      <w:r w:rsidRPr="00873A9C">
        <w:t>TAFEs</w:t>
      </w:r>
      <w:proofErr w:type="spellEnd"/>
      <w:r w:rsidRPr="00873A9C">
        <w:t xml:space="preserve"> and Australian Government funded youth programs. </w:t>
      </w:r>
    </w:p>
    <w:p w:rsidR="00873A9C" w:rsidRPr="00873A9C" w:rsidRDefault="00873A9C" w:rsidP="00AD2C38">
      <w:pPr>
        <w:pStyle w:val="Heading3"/>
        <w:spacing w:before="120"/>
      </w:pPr>
      <w:r w:rsidRPr="00873A9C">
        <w:t>Career Information Products (</w:t>
      </w:r>
      <w:proofErr w:type="spellStart"/>
      <w:r w:rsidRPr="00873A9C">
        <w:t>CIPs</w:t>
      </w:r>
      <w:proofErr w:type="spellEnd"/>
      <w:r w:rsidRPr="00873A9C">
        <w:t>)</w:t>
      </w:r>
    </w:p>
    <w:p w:rsidR="00873A9C" w:rsidRPr="00873A9C" w:rsidRDefault="00873A9C" w:rsidP="00873A9C">
      <w:r w:rsidRPr="00873A9C">
        <w:t xml:space="preserve">The department creates and distributes a number of </w:t>
      </w:r>
      <w:proofErr w:type="spellStart"/>
      <w:r w:rsidRPr="00873A9C">
        <w:t>CIPs</w:t>
      </w:r>
      <w:proofErr w:type="spellEnd"/>
      <w:r w:rsidRPr="00873A9C">
        <w:t xml:space="preserve"> which are used by teachers, career advisers, parents and students to help inform students’ career choices. The </w:t>
      </w:r>
      <w:proofErr w:type="spellStart"/>
      <w:r w:rsidRPr="00873A9C">
        <w:t>CIPs</w:t>
      </w:r>
      <w:proofErr w:type="spellEnd"/>
      <w:r w:rsidRPr="00873A9C">
        <w:t xml:space="preserve"> include Year 12 What Next, Parents Talking Career Choices, Recap, ‘Bullseye’ posters, and Career Information Flyers. In 2011, the department spent $354,068.50 on the printing and distribution of </w:t>
      </w:r>
      <w:proofErr w:type="spellStart"/>
      <w:r w:rsidRPr="00873A9C">
        <w:t>CIPs</w:t>
      </w:r>
      <w:proofErr w:type="spellEnd"/>
      <w:r w:rsidRPr="00873A9C">
        <w:t xml:space="preserve">. </w:t>
      </w:r>
    </w:p>
    <w:p w:rsidR="00873A9C" w:rsidRPr="00873A9C" w:rsidRDefault="00873A9C" w:rsidP="00AD2C38">
      <w:pPr>
        <w:pStyle w:val="Heading3"/>
        <w:spacing w:before="120"/>
      </w:pPr>
      <w:r w:rsidRPr="00873A9C">
        <w:t>myfuture website</w:t>
      </w:r>
    </w:p>
    <w:p w:rsidR="00873A9C" w:rsidRPr="00873A9C" w:rsidRDefault="00873A9C" w:rsidP="00873A9C">
      <w:proofErr w:type="gramStart"/>
      <w:r w:rsidRPr="00873A9C">
        <w:t>myfuture</w:t>
      </w:r>
      <w:proofErr w:type="gramEnd"/>
      <w:r w:rsidRPr="00873A9C">
        <w:t xml:space="preserve">, Australia’s national career information and exploration service, is an interactive, user-driven website that contains a personalised career exploration and decision making tool, comprehensive career information, and help for those assisting other making career decisions. The myfuture website is managed by the Department on behalf of all governments. The Australian Government contributes 50 </w:t>
      </w:r>
      <w:proofErr w:type="spellStart"/>
      <w:r w:rsidRPr="00873A9C">
        <w:t>percent</w:t>
      </w:r>
      <w:proofErr w:type="spellEnd"/>
      <w:r w:rsidRPr="00873A9C">
        <w:t xml:space="preserve"> of total funding for core services, with the remainder paid by states and territories under the Standing Council on School Education and Early Childhood (SCSEEC), using the former </w:t>
      </w:r>
      <w:proofErr w:type="spellStart"/>
      <w:r w:rsidRPr="00873A9C">
        <w:t>MCEECDYA</w:t>
      </w:r>
      <w:proofErr w:type="spellEnd"/>
      <w:r w:rsidRPr="00873A9C">
        <w:t xml:space="preserve"> National Projects Fund funding formula. In 2011, the department contracted Education Services Australia for the management and maintenance of the </w:t>
      </w:r>
      <w:r w:rsidRPr="00873A9C">
        <w:rPr>
          <w:i/>
        </w:rPr>
        <w:t>myfuture</w:t>
      </w:r>
      <w:r w:rsidRPr="00873A9C">
        <w:t xml:space="preserve"> website at a cost to the Australian Government of $1,851,722.60 (GST inclusive). </w:t>
      </w:r>
    </w:p>
    <w:p w:rsidR="00873A9C" w:rsidRPr="00873A9C" w:rsidRDefault="00873A9C" w:rsidP="00AD2C38">
      <w:pPr>
        <w:pStyle w:val="Heading3"/>
        <w:spacing w:before="120"/>
      </w:pPr>
      <w:r w:rsidRPr="00873A9C">
        <w:lastRenderedPageBreak/>
        <w:t xml:space="preserve">myfuture video competition </w:t>
      </w:r>
    </w:p>
    <w:p w:rsidR="00873A9C" w:rsidRPr="00873A9C" w:rsidRDefault="00873A9C" w:rsidP="00873A9C">
      <w:r w:rsidRPr="00873A9C">
        <w:t xml:space="preserve">The department engaged Education Services Australia to conduct the 2011 myfuture video competition at a cost of $216,260 (GST inclusive). This competition generates high quality occupation videos suitable for publication on the myfuture website. Competition entrants submit video clips of up to three minutes in length that profile one occupation exploring duties, tasks and working conditions and qualifications. Over 90 videos were entered into the myfuture 2011 Video Competition. Winners received cash prizes and national media exposure. </w:t>
      </w:r>
    </w:p>
    <w:p w:rsidR="00873A9C" w:rsidRPr="00873A9C" w:rsidRDefault="00873A9C" w:rsidP="00AD2C38">
      <w:pPr>
        <w:pStyle w:val="Heading3"/>
        <w:spacing w:before="120"/>
      </w:pPr>
      <w:r w:rsidRPr="00873A9C">
        <w:t xml:space="preserve">Scholarships for Career Advisers program </w:t>
      </w:r>
    </w:p>
    <w:p w:rsidR="00873A9C" w:rsidRPr="00873A9C" w:rsidRDefault="00873A9C" w:rsidP="00873A9C">
      <w:r w:rsidRPr="00873A9C">
        <w:t xml:space="preserve">The Australian Government’s Scholarships for Career Advisers initiative provides an opportunity for practitioners to enhance their skills. There are two Scholarship categories: a Study Scholarship or an Industry Placement and both are available to advisers in schools, </w:t>
      </w:r>
      <w:proofErr w:type="spellStart"/>
      <w:r w:rsidRPr="00873A9C">
        <w:t>TAFEs</w:t>
      </w:r>
      <w:proofErr w:type="spellEnd"/>
      <w:r w:rsidRPr="00873A9C">
        <w:t xml:space="preserve"> and universities. There were 87 Study Scholarship winners and 11 Industry Placement winners in 2011. The total cost of the program for 2011 was $659,376.  </w:t>
      </w:r>
    </w:p>
    <w:p w:rsidR="00873A9C" w:rsidRPr="00873A9C" w:rsidRDefault="00873A9C" w:rsidP="00AD2C38">
      <w:pPr>
        <w:pStyle w:val="Heading3"/>
        <w:spacing w:before="120"/>
      </w:pPr>
      <w:r w:rsidRPr="00873A9C">
        <w:t xml:space="preserve">Australian Career Service (ACS) Judith </w:t>
      </w:r>
      <w:proofErr w:type="spellStart"/>
      <w:r w:rsidRPr="00873A9C">
        <w:t>Leeson</w:t>
      </w:r>
      <w:proofErr w:type="spellEnd"/>
      <w:r w:rsidRPr="00873A9C">
        <w:t xml:space="preserve"> Award </w:t>
      </w:r>
    </w:p>
    <w:p w:rsidR="00873A9C" w:rsidRPr="00873A9C" w:rsidRDefault="00873A9C" w:rsidP="00873A9C">
      <w:r w:rsidRPr="00873A9C">
        <w:t xml:space="preserve">This award is open to all primary and secondary school teachers in Australia that offer a career or life skills program. In 2011, the two winners each received $5,000 in prize money and the finalist's received $3,000 as well as a prize pack of career resources for their school. The department contracted Education Services Australia to manage the awards on its behalf at a cost of $93,633.  </w:t>
      </w:r>
    </w:p>
    <w:p w:rsidR="00873A9C" w:rsidRPr="00873A9C" w:rsidRDefault="00873A9C" w:rsidP="00AD2C38">
      <w:pPr>
        <w:pStyle w:val="Heading3"/>
        <w:spacing w:before="120"/>
      </w:pPr>
      <w:r w:rsidRPr="00873A9C">
        <w:t>Australian Vocational Student Prize</w:t>
      </w:r>
    </w:p>
    <w:p w:rsidR="00873A9C" w:rsidRPr="00873A9C" w:rsidRDefault="00873A9C" w:rsidP="00873A9C">
      <w:r w:rsidRPr="00873A9C">
        <w:t xml:space="preserve">In 2011, 410 students were awarded an Australian Vocational Student Prize after being nominated by their schools for their participation in a Vocational Education and Training (VET) in Schools program, as part of their senior secondary studies during 2010. Winners received $2000 and a certificate. Of these winners, 17 went on to receive a Prime Minister’s Award for Skills Excellence in School and a further $2000 and certificate of recognition. The total cost of running the prize in 2011 was $856,000. </w:t>
      </w:r>
    </w:p>
    <w:p w:rsidR="00873A9C" w:rsidRPr="00873A9C" w:rsidRDefault="00873A9C" w:rsidP="00AD2C38">
      <w:pPr>
        <w:pStyle w:val="Heading3"/>
        <w:spacing w:before="120"/>
      </w:pPr>
      <w:r w:rsidRPr="00873A9C">
        <w:t xml:space="preserve">National Career Development Strategy research project </w:t>
      </w:r>
    </w:p>
    <w:p w:rsidR="009D0A96" w:rsidRPr="006B0234" w:rsidRDefault="00873A9C" w:rsidP="009D0A96">
      <w:r w:rsidRPr="00873A9C">
        <w:t>To inform development of the National Career Development Strategy, the department commissioned a multi-stage research project. The research project comprised five discrete but interrelated elements including a literature review, a market research study with stakeholders including young people, parents, employers and career practitioners, options for implementation, a cost-benefit analysis and an exploration of cognitive neuroscience and its effect on career decisions. The outcomes of the research project were presented at the Career Development Association of Australia national conference on 30 March 2012. The department engaged external consultants to conduct the research at a combined total cost of $1,245,110.</w:t>
      </w:r>
      <w:r w:rsidR="0078032D">
        <w:t xml:space="preserve"> </w:t>
      </w:r>
      <w:r w:rsidRPr="00873A9C">
        <w:t xml:space="preserve"> </w:t>
      </w:r>
      <w:hyperlink r:id="rId46" w:history="1">
        <w:r w:rsidR="00047A4F">
          <w:rPr>
            <w:rStyle w:val="Hyperlink"/>
          </w:rPr>
          <w:t>To see reports from the research project click here</w:t>
        </w:r>
      </w:hyperlink>
      <w:r w:rsidR="0078032D">
        <w:rPr>
          <w:rStyle w:val="Hyperlink"/>
        </w:rPr>
        <w:t>.</w:t>
      </w:r>
    </w:p>
    <w:p w:rsidR="00873A9C" w:rsidRPr="00873A9C" w:rsidRDefault="00873A9C" w:rsidP="00873A9C"/>
    <w:p w:rsidR="00873A9C" w:rsidRPr="00873A9C" w:rsidRDefault="00873A9C" w:rsidP="00AD2C38">
      <w:pPr>
        <w:pStyle w:val="Heading3"/>
        <w:spacing w:before="120"/>
      </w:pPr>
      <w:r w:rsidRPr="00873A9C">
        <w:t>National Career Development Working Group (</w:t>
      </w:r>
      <w:proofErr w:type="spellStart"/>
      <w:r w:rsidRPr="00873A9C">
        <w:t>NCDWG</w:t>
      </w:r>
      <w:proofErr w:type="spellEnd"/>
      <w:r w:rsidRPr="00873A9C">
        <w:t xml:space="preserve">)  </w:t>
      </w:r>
    </w:p>
    <w:p w:rsidR="00224C17" w:rsidRPr="00AD2C38" w:rsidRDefault="00873A9C" w:rsidP="00AD2C38">
      <w:r w:rsidRPr="00873A9C">
        <w:t xml:space="preserve">The </w:t>
      </w:r>
      <w:proofErr w:type="spellStart"/>
      <w:r w:rsidRPr="00873A9C">
        <w:t>NCDWG</w:t>
      </w:r>
      <w:proofErr w:type="spellEnd"/>
      <w:r w:rsidRPr="00873A9C">
        <w:t xml:space="preserve">, chaired by the Australian Government, includes representatives from all state and territory governments and the catholic and Independent school sectors. The Working Group was established to provide information and advice on issues relating to career development activity under the National Partnership Agreement. As consultation with the </w:t>
      </w:r>
      <w:proofErr w:type="spellStart"/>
      <w:r w:rsidRPr="00873A9C">
        <w:t>NCDWG</w:t>
      </w:r>
      <w:proofErr w:type="spellEnd"/>
      <w:r w:rsidRPr="00873A9C">
        <w:t xml:space="preserve"> was done via email, video and teleconferencing, there was no cost associated with this activity. </w:t>
      </w:r>
    </w:p>
    <w:sectPr w:rsidR="00224C17" w:rsidRPr="00AD2C38" w:rsidSect="00BF7F25">
      <w:pgSz w:w="11906" w:h="16838"/>
      <w:pgMar w:top="1134" w:right="99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FA" w:rsidRDefault="001B1DFA" w:rsidP="008F1C21">
      <w:pPr>
        <w:spacing w:line="240" w:lineRule="auto"/>
      </w:pPr>
      <w:r>
        <w:separator/>
      </w:r>
    </w:p>
    <w:p w:rsidR="001B1DFA" w:rsidRDefault="001B1DFA"/>
  </w:endnote>
  <w:endnote w:type="continuationSeparator" w:id="0">
    <w:p w:rsidR="001B1DFA" w:rsidRDefault="001B1DFA" w:rsidP="008F1C21">
      <w:pPr>
        <w:spacing w:line="240" w:lineRule="auto"/>
      </w:pPr>
      <w:r>
        <w:continuationSeparator/>
      </w:r>
    </w:p>
    <w:p w:rsidR="001B1DFA" w:rsidRDefault="001B1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A" w:rsidRPr="000B0A51" w:rsidRDefault="001B1DFA" w:rsidP="009D48D6">
    <w:pPr>
      <w:pStyle w:val="Footer"/>
    </w:pPr>
    <w:r w:rsidRPr="009D48D6">
      <w:t>Page</w:t>
    </w:r>
    <w:r w:rsidRPr="00C23487">
      <w:t xml:space="preserve"> </w:t>
    </w:r>
    <w:r>
      <w:fldChar w:fldCharType="begin"/>
    </w:r>
    <w:r>
      <w:instrText xml:space="preserve"> PAGE   \* MERGEFORMAT </w:instrText>
    </w:r>
    <w:r>
      <w:fldChar w:fldCharType="separate"/>
    </w:r>
    <w:r w:rsidR="00C040B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A" w:rsidRDefault="001B1DFA" w:rsidP="008F1C21">
    <w:pPr>
      <w:pStyle w:val="MLWGHeader"/>
      <w:shd w:val="clear" w:color="auto" w:fill="0042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A" w:rsidRDefault="001B1DFA">
    <w:pPr>
      <w:pStyle w:val="Footer"/>
    </w:pPr>
    <w:r>
      <w:t xml:space="preserve">Page </w:t>
    </w:r>
    <w:r>
      <w:fldChar w:fldCharType="begin"/>
    </w:r>
    <w:r>
      <w:instrText xml:space="preserve"> PAGE  \* Arabic  \* MERGEFORMAT </w:instrText>
    </w:r>
    <w:r>
      <w:fldChar w:fldCharType="separate"/>
    </w:r>
    <w:r w:rsidR="00C040B9">
      <w:rPr>
        <w:noProof/>
      </w:rPr>
      <w:t>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90423"/>
      <w:docPartObj>
        <w:docPartGallery w:val="Page Numbers (Bottom of Page)"/>
        <w:docPartUnique/>
      </w:docPartObj>
    </w:sdtPr>
    <w:sdtEndPr/>
    <w:sdtContent>
      <w:p w:rsidR="001B1DFA" w:rsidRDefault="001B1DFA">
        <w:pPr>
          <w:pStyle w:val="Footer"/>
          <w:jc w:val="right"/>
        </w:pPr>
        <w:r>
          <w:fldChar w:fldCharType="begin"/>
        </w:r>
        <w:r>
          <w:instrText xml:space="preserve"> PAGE   \* MERGEFORMAT </w:instrText>
        </w:r>
        <w:r>
          <w:fldChar w:fldCharType="separate"/>
        </w:r>
        <w:r w:rsidR="00C040B9">
          <w:rPr>
            <w:noProof/>
          </w:rPr>
          <w:t>45</w:t>
        </w:r>
        <w:r>
          <w:rPr>
            <w:noProof/>
          </w:rPr>
          <w:fldChar w:fldCharType="end"/>
        </w:r>
      </w:p>
    </w:sdtContent>
  </w:sdt>
  <w:p w:rsidR="001B1DFA" w:rsidRDefault="001B1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FA" w:rsidRDefault="001B1DFA" w:rsidP="008F1C21">
      <w:pPr>
        <w:spacing w:line="240" w:lineRule="auto"/>
      </w:pPr>
      <w:r>
        <w:separator/>
      </w:r>
    </w:p>
    <w:p w:rsidR="001B1DFA" w:rsidRDefault="001B1DFA"/>
  </w:footnote>
  <w:footnote w:type="continuationSeparator" w:id="0">
    <w:p w:rsidR="001B1DFA" w:rsidRDefault="001B1DFA" w:rsidP="008F1C21">
      <w:pPr>
        <w:spacing w:line="240" w:lineRule="auto"/>
      </w:pPr>
      <w:r>
        <w:continuationSeparator/>
      </w:r>
    </w:p>
    <w:p w:rsidR="001B1DFA" w:rsidRDefault="001B1DFA"/>
  </w:footnote>
  <w:footnote w:id="1">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2010 Participation target measure</w:t>
      </w:r>
    </w:p>
  </w:footnote>
  <w:footnote w:id="2">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3">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4">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5">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2010 Participation target measure</w:t>
      </w:r>
    </w:p>
  </w:footnote>
  <w:footnote w:id="6">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7">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Pr>
          <w:sz w:val="18"/>
          <w:szCs w:val="18"/>
        </w:rPr>
        <w:t xml:space="preserve"> Significant lags in reporting of VET completions means data relate to the year before the reported VET enrolment data (</w:t>
      </w:r>
      <w:proofErr w:type="spellStart"/>
      <w:r>
        <w:rPr>
          <w:sz w:val="18"/>
          <w:szCs w:val="18"/>
        </w:rPr>
        <w:t>ie</w:t>
      </w:r>
      <w:proofErr w:type="spellEnd"/>
      <w:r>
        <w:rPr>
          <w:sz w:val="18"/>
          <w:szCs w:val="18"/>
        </w:rPr>
        <w:t xml:space="preserve"> August 2011 addendum relates to 2009 completions).</w:t>
      </w:r>
    </w:p>
  </w:footnote>
  <w:footnote w:id="8">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w:t>
      </w:r>
      <w:r>
        <w:rPr>
          <w:sz w:val="18"/>
          <w:szCs w:val="18"/>
        </w:rPr>
        <w:t>B. Significant lags in reporting of VET completions means data relate to the year before the reported VET enrolment data.</w:t>
      </w:r>
    </w:p>
  </w:footnote>
  <w:footnote w:id="9">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NP YAT Table 3 (</w:t>
      </w:r>
      <w:proofErr w:type="spellStart"/>
      <w:r w:rsidRPr="0020066C">
        <w:rPr>
          <w:sz w:val="18"/>
          <w:szCs w:val="18"/>
        </w:rPr>
        <w:t>p14</w:t>
      </w:r>
      <w:proofErr w:type="spellEnd"/>
      <w:r w:rsidRPr="0020066C">
        <w:rPr>
          <w:sz w:val="18"/>
          <w:szCs w:val="18"/>
        </w:rPr>
        <w:t>)</w:t>
      </w:r>
      <w:r>
        <w:rPr>
          <w:sz w:val="18"/>
          <w:szCs w:val="18"/>
        </w:rPr>
        <w:t>. This is taken from ABS unpublished SEW data.</w:t>
      </w:r>
    </w:p>
  </w:footnote>
  <w:footnote w:id="10">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11">
    <w:p w:rsidR="001B1DFA" w:rsidRPr="0020066C" w:rsidRDefault="001B1DFA" w:rsidP="009F4BFC">
      <w:pPr>
        <w:pStyle w:val="FootnoteText"/>
        <w:rPr>
          <w:sz w:val="18"/>
          <w:szCs w:val="18"/>
        </w:rPr>
      </w:pPr>
      <w:r w:rsidRPr="0020066C">
        <w:rPr>
          <w:rStyle w:val="FootnoteReference"/>
          <w:rFonts w:eastAsiaTheme="majorEastAsia"/>
          <w:sz w:val="18"/>
          <w:szCs w:val="18"/>
        </w:rPr>
        <w:footnoteRef/>
      </w:r>
      <w:r w:rsidRPr="0020066C">
        <w:rPr>
          <w:sz w:val="18"/>
          <w:szCs w:val="18"/>
        </w:rPr>
        <w:t xml:space="preserve"> As per Schedule B</w:t>
      </w:r>
    </w:p>
  </w:footnote>
  <w:footnote w:id="12">
    <w:p w:rsidR="001B1DFA" w:rsidRDefault="001B1DFA" w:rsidP="009F4BFC">
      <w:pPr>
        <w:pStyle w:val="FootnoteText"/>
      </w:pPr>
      <w:r w:rsidRPr="0020066C">
        <w:rPr>
          <w:rStyle w:val="FootnoteReference"/>
          <w:rFonts w:eastAsiaTheme="majorEastAsia"/>
          <w:sz w:val="18"/>
          <w:szCs w:val="18"/>
        </w:rPr>
        <w:footnoteRef/>
      </w:r>
      <w:r w:rsidRPr="0020066C">
        <w:rPr>
          <w:sz w:val="18"/>
          <w:szCs w:val="18"/>
        </w:rPr>
        <w:t xml:space="preserve"> As per Schedule B</w:t>
      </w:r>
      <w:r>
        <w:rPr>
          <w:sz w:val="18"/>
          <w:szCs w:val="18"/>
        </w:rPr>
        <w:t xml:space="preserve">- This information is to be provided under Part B – Indigenous Reporting </w:t>
      </w:r>
    </w:p>
  </w:footnote>
  <w:footnote w:id="13">
    <w:p w:rsidR="001B1DFA" w:rsidRDefault="001B1DFA" w:rsidP="009A0717">
      <w:pPr>
        <w:pStyle w:val="FootnoteText"/>
      </w:pPr>
      <w:r>
        <w:rPr>
          <w:rStyle w:val="FootnoteReference"/>
        </w:rPr>
        <w:footnoteRef/>
      </w:r>
      <w:r>
        <w:t xml:space="preserve"> </w:t>
      </w:r>
      <w:r w:rsidRPr="00E5135E">
        <w:t xml:space="preserve">Survey results are analysed by </w:t>
      </w:r>
      <w:proofErr w:type="spellStart"/>
      <w:r w:rsidRPr="00E5135E">
        <w:t>RMIT</w:t>
      </w:r>
      <w:proofErr w:type="spellEnd"/>
      <w:r w:rsidRPr="00E5135E">
        <w:t xml:space="preserve"> University.</w:t>
      </w:r>
    </w:p>
  </w:footnote>
  <w:footnote w:id="14">
    <w:p w:rsidR="001B1DFA" w:rsidRDefault="001B1DFA" w:rsidP="00134652">
      <w:pPr>
        <w:pStyle w:val="FootnoteText"/>
      </w:pPr>
      <w:r>
        <w:rPr>
          <w:rStyle w:val="FootnoteReference"/>
        </w:rPr>
        <w:footnoteRef/>
      </w:r>
      <w:r>
        <w:t xml:space="preserve"> </w:t>
      </w:r>
      <w:proofErr w:type="spellStart"/>
      <w:r>
        <w:t>ICSEA</w:t>
      </w:r>
      <w:proofErr w:type="spellEnd"/>
      <w:r>
        <w:t xml:space="preserve"> was created by the Australian Curriculum, Assessment and Reporting Authority (</w:t>
      </w:r>
      <w:proofErr w:type="spellStart"/>
      <w:r>
        <w:t>ACARA</w:t>
      </w:r>
      <w:proofErr w:type="spellEnd"/>
      <w:r>
        <w:t>) specifically to gain an understanding of the levels of educational advantage or disadvantage that students bring to their academic studies.</w:t>
      </w:r>
    </w:p>
  </w:footnote>
  <w:footnote w:id="15">
    <w:p w:rsidR="001B1DFA" w:rsidRPr="00363409" w:rsidRDefault="001B1DFA" w:rsidP="00134652">
      <w:pPr>
        <w:pStyle w:val="FootnoteText"/>
      </w:pPr>
      <w:r>
        <w:rPr>
          <w:rStyle w:val="FootnoteReference"/>
        </w:rPr>
        <w:footnoteRef/>
      </w:r>
      <w:r>
        <w:t xml:space="preserve"> </w:t>
      </w:r>
      <w:r w:rsidRPr="00E12A7E">
        <w:t xml:space="preserve">In Victoria, the </w:t>
      </w:r>
      <w:r w:rsidRPr="00906FE2">
        <w:t>Partnership</w:t>
      </w:r>
      <w:r w:rsidRPr="00E12A7E">
        <w:t xml:space="preserve"> Brokers program is delivered through the Victorian Government’s Local Learning and Employment Network (LLEN) and is managed by the Victorian Department o</w:t>
      </w:r>
      <w:r>
        <w:t xml:space="preserve">f Education and Early Childhood </w:t>
      </w:r>
      <w:r w:rsidRPr="0000354D">
        <w:t>Development.</w:t>
      </w:r>
      <w:r w:rsidRPr="00B34977">
        <w:rPr>
          <w:color w:val="0070C0"/>
        </w:rPr>
        <w:t xml:space="preserve"> </w:t>
      </w:r>
    </w:p>
  </w:footnote>
  <w:footnote w:id="16">
    <w:p w:rsidR="001B1DFA" w:rsidRDefault="001B1DFA" w:rsidP="00134652">
      <w:pPr>
        <w:pStyle w:val="FootnoteText"/>
      </w:pPr>
      <w:r>
        <w:rPr>
          <w:rStyle w:val="FootnoteReference"/>
        </w:rPr>
        <w:footnoteRef/>
      </w:r>
      <w:r>
        <w:t xml:space="preserve"> Data cited is accurate as at 2 April 2012.</w:t>
      </w:r>
    </w:p>
  </w:footnote>
  <w:footnote w:id="17">
    <w:p w:rsidR="001B1DFA" w:rsidRDefault="001B1DFA" w:rsidP="00134652">
      <w:pPr>
        <w:pStyle w:val="FootnoteText"/>
      </w:pPr>
      <w:r>
        <w:rPr>
          <w:rStyle w:val="FootnoteReference"/>
        </w:rPr>
        <w:footnoteRef/>
      </w:r>
      <w:r>
        <w:t xml:space="preserve"> Victorian Partnership Brokers are administering a similar partner survey in September/October 2012. </w:t>
      </w:r>
    </w:p>
  </w:footnote>
  <w:footnote w:id="18">
    <w:p w:rsidR="001B1DFA" w:rsidRDefault="001B1DFA" w:rsidP="00134652">
      <w:pPr>
        <w:pStyle w:val="FootnoteText"/>
      </w:pPr>
      <w:r>
        <w:rPr>
          <w:rStyle w:val="FootnoteReference"/>
        </w:rPr>
        <w:footnoteRef/>
      </w:r>
      <w:r>
        <w:t xml:space="preserve"> Data sourced from the 2011 Annual Partnership Broker Provider Survey. The 2012 Provider Survey is due for completion in January 2013.</w:t>
      </w:r>
    </w:p>
  </w:footnote>
  <w:footnote w:id="19">
    <w:p w:rsidR="001B1DFA" w:rsidRDefault="001B1DFA" w:rsidP="00134652">
      <w:pPr>
        <w:pStyle w:val="FootnoteText"/>
      </w:pPr>
      <w:r>
        <w:rPr>
          <w:rStyle w:val="FootnoteReference"/>
        </w:rPr>
        <w:footnoteRef/>
      </w:r>
      <w:r>
        <w:t xml:space="preserve"> Data sourced from the 2011 Annual Partnership Broker Provider Survey. </w:t>
      </w:r>
    </w:p>
  </w:footnote>
  <w:footnote w:id="20">
    <w:p w:rsidR="001B1DFA" w:rsidRDefault="001B1DFA" w:rsidP="00134652">
      <w:pPr>
        <w:pStyle w:val="FootnoteText"/>
      </w:pPr>
      <w:r>
        <w:rPr>
          <w:rStyle w:val="FootnoteReference"/>
        </w:rPr>
        <w:footnoteRef/>
      </w:r>
      <w:r>
        <w:t xml:space="preserve"> </w:t>
      </w:r>
      <w:r w:rsidRPr="008643C4">
        <w:rPr>
          <w:i/>
        </w:rPr>
        <w:t>Regional Engagement Report 2011</w:t>
      </w:r>
      <w:r>
        <w:t>, Queensland State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A" w:rsidRDefault="001B1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FA" w:rsidRPr="00A75CB7" w:rsidRDefault="001B1DFA" w:rsidP="00A75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7EDD3E"/>
    <w:lvl w:ilvl="0">
      <w:start w:val="1"/>
      <w:numFmt w:val="decimal"/>
      <w:lvlText w:val="%1."/>
      <w:lvlJc w:val="left"/>
      <w:pPr>
        <w:tabs>
          <w:tab w:val="num" w:pos="1492"/>
        </w:tabs>
        <w:ind w:left="1492" w:hanging="360"/>
      </w:pPr>
    </w:lvl>
  </w:abstractNum>
  <w:abstractNum w:abstractNumId="1">
    <w:nsid w:val="FFFFFF7D"/>
    <w:multiLevelType w:val="singleLevel"/>
    <w:tmpl w:val="F3942C18"/>
    <w:lvl w:ilvl="0">
      <w:start w:val="1"/>
      <w:numFmt w:val="decimal"/>
      <w:lvlText w:val="%1."/>
      <w:lvlJc w:val="left"/>
      <w:pPr>
        <w:tabs>
          <w:tab w:val="num" w:pos="1209"/>
        </w:tabs>
        <w:ind w:left="1209" w:hanging="360"/>
      </w:pPr>
    </w:lvl>
  </w:abstractNum>
  <w:abstractNum w:abstractNumId="2">
    <w:nsid w:val="FFFFFF7E"/>
    <w:multiLevelType w:val="singleLevel"/>
    <w:tmpl w:val="6D9A2E92"/>
    <w:lvl w:ilvl="0">
      <w:start w:val="1"/>
      <w:numFmt w:val="decimal"/>
      <w:lvlText w:val="%1."/>
      <w:lvlJc w:val="left"/>
      <w:pPr>
        <w:tabs>
          <w:tab w:val="num" w:pos="926"/>
        </w:tabs>
        <w:ind w:left="926" w:hanging="360"/>
      </w:pPr>
    </w:lvl>
  </w:abstractNum>
  <w:abstractNum w:abstractNumId="3">
    <w:nsid w:val="FFFFFF7F"/>
    <w:multiLevelType w:val="singleLevel"/>
    <w:tmpl w:val="14FC7936"/>
    <w:lvl w:ilvl="0">
      <w:start w:val="1"/>
      <w:numFmt w:val="decimal"/>
      <w:lvlText w:val="%1."/>
      <w:lvlJc w:val="left"/>
      <w:pPr>
        <w:tabs>
          <w:tab w:val="num" w:pos="643"/>
        </w:tabs>
        <w:ind w:left="643" w:hanging="360"/>
      </w:pPr>
    </w:lvl>
  </w:abstractNum>
  <w:abstractNum w:abstractNumId="4">
    <w:nsid w:val="FFFFFF80"/>
    <w:multiLevelType w:val="singleLevel"/>
    <w:tmpl w:val="98FCA4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781C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60A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1222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0B15536C"/>
    <w:multiLevelType w:val="hybridMultilevel"/>
    <w:tmpl w:val="59D250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0BDE7706"/>
    <w:multiLevelType w:val="hybridMultilevel"/>
    <w:tmpl w:val="C0921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873AD6"/>
    <w:multiLevelType w:val="hybridMultilevel"/>
    <w:tmpl w:val="CAC816FA"/>
    <w:lvl w:ilvl="0" w:tplc="F684D3F0">
      <w:start w:val="1"/>
      <w:numFmt w:val="bullet"/>
      <w:lvlText w:val=""/>
      <w:lvlJc w:val="left"/>
      <w:pPr>
        <w:ind w:left="360" w:hanging="360"/>
      </w:pPr>
      <w:rPr>
        <w:rFonts w:ascii="Symbol" w:hAnsi="Symbol" w:hint="default"/>
        <w:color w:val="1F497D" w:themeColor="text2"/>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1E528B8"/>
    <w:multiLevelType w:val="hybridMultilevel"/>
    <w:tmpl w:val="C3DC50D4"/>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5D530F7"/>
    <w:multiLevelType w:val="hybridMultilevel"/>
    <w:tmpl w:val="32507168"/>
    <w:lvl w:ilvl="0" w:tplc="45BA7BDC">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74F6152"/>
    <w:multiLevelType w:val="hybridMultilevel"/>
    <w:tmpl w:val="46E2B4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8C749DA"/>
    <w:multiLevelType w:val="hybridMultilevel"/>
    <w:tmpl w:val="EE386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6B1ABD"/>
    <w:multiLevelType w:val="hybridMultilevel"/>
    <w:tmpl w:val="347AA76E"/>
    <w:lvl w:ilvl="0" w:tplc="B63A53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A805CB"/>
    <w:multiLevelType w:val="hybridMultilevel"/>
    <w:tmpl w:val="3DD0B494"/>
    <w:lvl w:ilvl="0" w:tplc="1C124E76">
      <w:start w:val="1"/>
      <w:numFmt w:val="bullet"/>
      <w:pStyle w:val="List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A676BF1"/>
    <w:multiLevelType w:val="hybridMultilevel"/>
    <w:tmpl w:val="9D3A4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773D58"/>
    <w:multiLevelType w:val="hybridMultilevel"/>
    <w:tmpl w:val="4440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282F4E"/>
    <w:multiLevelType w:val="hybridMultilevel"/>
    <w:tmpl w:val="E12A92B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34375B14"/>
    <w:multiLevelType w:val="hybridMultilevel"/>
    <w:tmpl w:val="CE4A8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291D54"/>
    <w:multiLevelType w:val="hybridMultilevel"/>
    <w:tmpl w:val="9F2E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6B07B5"/>
    <w:multiLevelType w:val="hybridMultilevel"/>
    <w:tmpl w:val="29DC5480"/>
    <w:lvl w:ilvl="0" w:tplc="0C20A09E">
      <w:start w:val="1"/>
      <w:numFmt w:val="decimal"/>
      <w:pStyle w:val="ListNumb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7542B57"/>
    <w:multiLevelType w:val="hybridMultilevel"/>
    <w:tmpl w:val="473C4C6A"/>
    <w:lvl w:ilvl="0" w:tplc="146263D6">
      <w:start w:val="1"/>
      <w:numFmt w:val="bullet"/>
      <w:pStyle w:val="Do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5AF56E0"/>
    <w:multiLevelType w:val="hybridMultilevel"/>
    <w:tmpl w:val="4FE2F8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5B2731C3"/>
    <w:multiLevelType w:val="hybridMultilevel"/>
    <w:tmpl w:val="8E921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BB7501A"/>
    <w:multiLevelType w:val="hybridMultilevel"/>
    <w:tmpl w:val="6E981980"/>
    <w:lvl w:ilvl="0" w:tplc="8904E72A">
      <w:start w:val="1"/>
      <w:numFmt w:val="bullet"/>
      <w:pStyle w:val="dpReclev2"/>
      <w:lvlText w:val=""/>
      <w:lvlJc w:val="left"/>
      <w:pPr>
        <w:tabs>
          <w:tab w:val="num" w:pos="1070"/>
        </w:tabs>
        <w:ind w:left="1070" w:hanging="360"/>
      </w:pPr>
      <w:rPr>
        <w:rFonts w:ascii="Wingdings" w:hAnsi="Wingdings" w:hint="default"/>
        <w:sz w:val="18"/>
        <w:szCs w:val="18"/>
      </w:rPr>
    </w:lvl>
    <w:lvl w:ilvl="1" w:tplc="2C5C4B50" w:tentative="1">
      <w:start w:val="1"/>
      <w:numFmt w:val="bullet"/>
      <w:lvlText w:val=""/>
      <w:lvlJc w:val="left"/>
      <w:pPr>
        <w:tabs>
          <w:tab w:val="num" w:pos="1790"/>
        </w:tabs>
        <w:ind w:left="1790" w:hanging="360"/>
      </w:pPr>
      <w:rPr>
        <w:rFonts w:ascii="Wingdings" w:hAnsi="Wingdings" w:hint="default"/>
      </w:rPr>
    </w:lvl>
    <w:lvl w:ilvl="2" w:tplc="C7C4513A" w:tentative="1">
      <w:start w:val="1"/>
      <w:numFmt w:val="bullet"/>
      <w:lvlText w:val=""/>
      <w:lvlJc w:val="left"/>
      <w:pPr>
        <w:tabs>
          <w:tab w:val="num" w:pos="2510"/>
        </w:tabs>
        <w:ind w:left="2510" w:hanging="360"/>
      </w:pPr>
      <w:rPr>
        <w:rFonts w:ascii="Wingdings" w:hAnsi="Wingdings" w:hint="default"/>
      </w:rPr>
    </w:lvl>
    <w:lvl w:ilvl="3" w:tplc="94C24602" w:tentative="1">
      <w:start w:val="1"/>
      <w:numFmt w:val="bullet"/>
      <w:lvlText w:val=""/>
      <w:lvlJc w:val="left"/>
      <w:pPr>
        <w:tabs>
          <w:tab w:val="num" w:pos="3230"/>
        </w:tabs>
        <w:ind w:left="3230" w:hanging="360"/>
      </w:pPr>
      <w:rPr>
        <w:rFonts w:ascii="Wingdings" w:hAnsi="Wingdings" w:hint="default"/>
      </w:rPr>
    </w:lvl>
    <w:lvl w:ilvl="4" w:tplc="2BB88470" w:tentative="1">
      <w:start w:val="1"/>
      <w:numFmt w:val="bullet"/>
      <w:lvlText w:val=""/>
      <w:lvlJc w:val="left"/>
      <w:pPr>
        <w:tabs>
          <w:tab w:val="num" w:pos="3950"/>
        </w:tabs>
        <w:ind w:left="3950" w:hanging="360"/>
      </w:pPr>
      <w:rPr>
        <w:rFonts w:ascii="Wingdings" w:hAnsi="Wingdings" w:hint="default"/>
      </w:rPr>
    </w:lvl>
    <w:lvl w:ilvl="5" w:tplc="5FA83948" w:tentative="1">
      <w:start w:val="1"/>
      <w:numFmt w:val="bullet"/>
      <w:lvlText w:val=""/>
      <w:lvlJc w:val="left"/>
      <w:pPr>
        <w:tabs>
          <w:tab w:val="num" w:pos="4670"/>
        </w:tabs>
        <w:ind w:left="4670" w:hanging="360"/>
      </w:pPr>
      <w:rPr>
        <w:rFonts w:ascii="Wingdings" w:hAnsi="Wingdings" w:hint="default"/>
      </w:rPr>
    </w:lvl>
    <w:lvl w:ilvl="6" w:tplc="EE9A5414" w:tentative="1">
      <w:start w:val="1"/>
      <w:numFmt w:val="bullet"/>
      <w:lvlText w:val=""/>
      <w:lvlJc w:val="left"/>
      <w:pPr>
        <w:tabs>
          <w:tab w:val="num" w:pos="5390"/>
        </w:tabs>
        <w:ind w:left="5390" w:hanging="360"/>
      </w:pPr>
      <w:rPr>
        <w:rFonts w:ascii="Wingdings" w:hAnsi="Wingdings" w:hint="default"/>
      </w:rPr>
    </w:lvl>
    <w:lvl w:ilvl="7" w:tplc="0454851C" w:tentative="1">
      <w:start w:val="1"/>
      <w:numFmt w:val="bullet"/>
      <w:lvlText w:val=""/>
      <w:lvlJc w:val="left"/>
      <w:pPr>
        <w:tabs>
          <w:tab w:val="num" w:pos="6110"/>
        </w:tabs>
        <w:ind w:left="6110" w:hanging="360"/>
      </w:pPr>
      <w:rPr>
        <w:rFonts w:ascii="Wingdings" w:hAnsi="Wingdings" w:hint="default"/>
      </w:rPr>
    </w:lvl>
    <w:lvl w:ilvl="8" w:tplc="1144B6E6" w:tentative="1">
      <w:start w:val="1"/>
      <w:numFmt w:val="bullet"/>
      <w:lvlText w:val=""/>
      <w:lvlJc w:val="left"/>
      <w:pPr>
        <w:tabs>
          <w:tab w:val="num" w:pos="6830"/>
        </w:tabs>
        <w:ind w:left="6830" w:hanging="360"/>
      </w:pPr>
      <w:rPr>
        <w:rFonts w:ascii="Wingdings" w:hAnsi="Wingdings" w:hint="default"/>
      </w:rPr>
    </w:lvl>
  </w:abstractNum>
  <w:abstractNum w:abstractNumId="27">
    <w:nsid w:val="5C434799"/>
    <w:multiLevelType w:val="multilevel"/>
    <w:tmpl w:val="05D2A3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383ACE"/>
    <w:multiLevelType w:val="hybridMultilevel"/>
    <w:tmpl w:val="8EB07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441D5F"/>
    <w:multiLevelType w:val="hybridMultilevel"/>
    <w:tmpl w:val="46E2B45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8854AAC"/>
    <w:multiLevelType w:val="hybridMultilevel"/>
    <w:tmpl w:val="B3CE7BCA"/>
    <w:lvl w:ilvl="0" w:tplc="8D28AA02">
      <w:start w:val="1"/>
      <w:numFmt w:val="decimal"/>
      <w:pStyle w:val="Normalnumbered"/>
      <w:lvlText w:val="%1."/>
      <w:lvlJc w:val="left"/>
      <w:pPr>
        <w:tabs>
          <w:tab w:val="num" w:pos="1277"/>
        </w:tabs>
        <w:ind w:left="1277" w:hanging="567"/>
      </w:pPr>
      <w:rPr>
        <w:rFonts w:cs="Times New Roman" w:hint="default"/>
      </w:rPr>
    </w:lvl>
    <w:lvl w:ilvl="1" w:tplc="0C090003">
      <w:start w:val="1"/>
      <w:numFmt w:val="lowerLetter"/>
      <w:lvlText w:val="%2."/>
      <w:lvlJc w:val="left"/>
      <w:pPr>
        <w:tabs>
          <w:tab w:val="num" w:pos="1440"/>
        </w:tabs>
        <w:ind w:left="1440" w:hanging="360"/>
      </w:pPr>
      <w:rPr>
        <w:rFonts w:cs="Times New Roman"/>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0"/>
  </w:num>
  <w:num w:numId="3">
    <w:abstractNumId w:val="27"/>
  </w:num>
  <w:num w:numId="4">
    <w:abstractNumId w:val="7"/>
  </w:num>
  <w:num w:numId="5">
    <w:abstractNumId w:val="16"/>
  </w:num>
  <w:num w:numId="6">
    <w:abstractNumId w:val="12"/>
  </w:num>
  <w:num w:numId="7">
    <w:abstractNumId w:val="13"/>
  </w:num>
  <w:num w:numId="8">
    <w:abstractNumId w:val="29"/>
  </w:num>
  <w:num w:numId="9">
    <w:abstractNumId w:val="22"/>
  </w:num>
  <w:num w:numId="10">
    <w:abstractNumId w:val="20"/>
  </w:num>
  <w:num w:numId="11">
    <w:abstractNumId w:val="17"/>
  </w:num>
  <w:num w:numId="12">
    <w:abstractNumId w:val="28"/>
  </w:num>
  <w:num w:numId="13">
    <w:abstractNumId w:val="11"/>
  </w:num>
  <w:num w:numId="14">
    <w:abstractNumId w:val="18"/>
  </w:num>
  <w:num w:numId="15">
    <w:abstractNumId w:val="21"/>
  </w:num>
  <w:num w:numId="16">
    <w:abstractNumId w:val="26"/>
  </w:num>
  <w:num w:numId="17">
    <w:abstractNumId w:val="15"/>
  </w:num>
  <w:num w:numId="18">
    <w:abstractNumId w:val="9"/>
  </w:num>
  <w:num w:numId="19">
    <w:abstractNumId w:val="25"/>
  </w:num>
  <w:num w:numId="20">
    <w:abstractNumId w:val="10"/>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4"/>
  </w:num>
  <w:num w:numId="29">
    <w:abstractNumId w:val="8"/>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E6"/>
    <w:rsid w:val="00000BB4"/>
    <w:rsid w:val="00001161"/>
    <w:rsid w:val="00010883"/>
    <w:rsid w:val="000240C4"/>
    <w:rsid w:val="0002588E"/>
    <w:rsid w:val="00032B47"/>
    <w:rsid w:val="000338EB"/>
    <w:rsid w:val="00041A2A"/>
    <w:rsid w:val="0004214D"/>
    <w:rsid w:val="00047A4F"/>
    <w:rsid w:val="000536E7"/>
    <w:rsid w:val="000541EE"/>
    <w:rsid w:val="00055DD7"/>
    <w:rsid w:val="000604A4"/>
    <w:rsid w:val="00085F93"/>
    <w:rsid w:val="0009585A"/>
    <w:rsid w:val="000A2567"/>
    <w:rsid w:val="000A27C0"/>
    <w:rsid w:val="000B0A51"/>
    <w:rsid w:val="000B620C"/>
    <w:rsid w:val="000B6578"/>
    <w:rsid w:val="000C4339"/>
    <w:rsid w:val="000C70CA"/>
    <w:rsid w:val="000E15D8"/>
    <w:rsid w:val="000E180A"/>
    <w:rsid w:val="000E706C"/>
    <w:rsid w:val="001235B4"/>
    <w:rsid w:val="00125724"/>
    <w:rsid w:val="00134652"/>
    <w:rsid w:val="00135133"/>
    <w:rsid w:val="001368B0"/>
    <w:rsid w:val="00137CA3"/>
    <w:rsid w:val="0014476D"/>
    <w:rsid w:val="00152D5F"/>
    <w:rsid w:val="00155236"/>
    <w:rsid w:val="001564A5"/>
    <w:rsid w:val="00162702"/>
    <w:rsid w:val="00165533"/>
    <w:rsid w:val="001657CD"/>
    <w:rsid w:val="00171FA8"/>
    <w:rsid w:val="00175A8D"/>
    <w:rsid w:val="00187C50"/>
    <w:rsid w:val="0019404B"/>
    <w:rsid w:val="001964EF"/>
    <w:rsid w:val="001B1DFA"/>
    <w:rsid w:val="001B7A68"/>
    <w:rsid w:val="001C0242"/>
    <w:rsid w:val="001D635F"/>
    <w:rsid w:val="001E7AF1"/>
    <w:rsid w:val="001F0E58"/>
    <w:rsid w:val="002043E1"/>
    <w:rsid w:val="00224061"/>
    <w:rsid w:val="00224C17"/>
    <w:rsid w:val="002378BE"/>
    <w:rsid w:val="00243242"/>
    <w:rsid w:val="00256F20"/>
    <w:rsid w:val="0026516D"/>
    <w:rsid w:val="00271280"/>
    <w:rsid w:val="00272B0B"/>
    <w:rsid w:val="0029015A"/>
    <w:rsid w:val="002B183A"/>
    <w:rsid w:val="002B7CAE"/>
    <w:rsid w:val="002C14BF"/>
    <w:rsid w:val="002C527C"/>
    <w:rsid w:val="002D2367"/>
    <w:rsid w:val="002D59D2"/>
    <w:rsid w:val="002D6AF1"/>
    <w:rsid w:val="002E02C4"/>
    <w:rsid w:val="002E1EDA"/>
    <w:rsid w:val="002E4CAD"/>
    <w:rsid w:val="002E6B94"/>
    <w:rsid w:val="002F2452"/>
    <w:rsid w:val="002F3B0F"/>
    <w:rsid w:val="0030351D"/>
    <w:rsid w:val="00307AE1"/>
    <w:rsid w:val="00314E6F"/>
    <w:rsid w:val="00341546"/>
    <w:rsid w:val="00351744"/>
    <w:rsid w:val="003611F6"/>
    <w:rsid w:val="00373A5E"/>
    <w:rsid w:val="00377278"/>
    <w:rsid w:val="00392191"/>
    <w:rsid w:val="003A191C"/>
    <w:rsid w:val="003A1F78"/>
    <w:rsid w:val="003A50D3"/>
    <w:rsid w:val="003A5434"/>
    <w:rsid w:val="003C4491"/>
    <w:rsid w:val="003C597F"/>
    <w:rsid w:val="003D1E6D"/>
    <w:rsid w:val="003E5036"/>
    <w:rsid w:val="0040135D"/>
    <w:rsid w:val="0040259B"/>
    <w:rsid w:val="0040278E"/>
    <w:rsid w:val="00413ADA"/>
    <w:rsid w:val="0041713A"/>
    <w:rsid w:val="00421714"/>
    <w:rsid w:val="004229A6"/>
    <w:rsid w:val="00443A84"/>
    <w:rsid w:val="004464F2"/>
    <w:rsid w:val="00451A90"/>
    <w:rsid w:val="0045514D"/>
    <w:rsid w:val="00475DD5"/>
    <w:rsid w:val="004767D5"/>
    <w:rsid w:val="00476ABB"/>
    <w:rsid w:val="004810C9"/>
    <w:rsid w:val="004875F2"/>
    <w:rsid w:val="00490960"/>
    <w:rsid w:val="004A2695"/>
    <w:rsid w:val="004A2A71"/>
    <w:rsid w:val="004A3B9B"/>
    <w:rsid w:val="004B0FFC"/>
    <w:rsid w:val="004B2F6D"/>
    <w:rsid w:val="004D5D53"/>
    <w:rsid w:val="004E4BB3"/>
    <w:rsid w:val="004F4B3E"/>
    <w:rsid w:val="005214BF"/>
    <w:rsid w:val="00556EC0"/>
    <w:rsid w:val="005606F5"/>
    <w:rsid w:val="005632C3"/>
    <w:rsid w:val="005641EE"/>
    <w:rsid w:val="005701E1"/>
    <w:rsid w:val="005745D9"/>
    <w:rsid w:val="00591DAB"/>
    <w:rsid w:val="005A727A"/>
    <w:rsid w:val="005B3768"/>
    <w:rsid w:val="005C4F59"/>
    <w:rsid w:val="005D15BD"/>
    <w:rsid w:val="005D2D7F"/>
    <w:rsid w:val="005D5479"/>
    <w:rsid w:val="005E1500"/>
    <w:rsid w:val="005E7420"/>
    <w:rsid w:val="005F2405"/>
    <w:rsid w:val="005F5567"/>
    <w:rsid w:val="0060000C"/>
    <w:rsid w:val="006026B8"/>
    <w:rsid w:val="00603ACA"/>
    <w:rsid w:val="00605698"/>
    <w:rsid w:val="00605C73"/>
    <w:rsid w:val="006100C1"/>
    <w:rsid w:val="00613F5F"/>
    <w:rsid w:val="006255E6"/>
    <w:rsid w:val="00626DC2"/>
    <w:rsid w:val="00646AA7"/>
    <w:rsid w:val="00647BBF"/>
    <w:rsid w:val="00655C7E"/>
    <w:rsid w:val="006564E6"/>
    <w:rsid w:val="00661B17"/>
    <w:rsid w:val="006808B3"/>
    <w:rsid w:val="006840E3"/>
    <w:rsid w:val="00690CA7"/>
    <w:rsid w:val="006935B9"/>
    <w:rsid w:val="006966BA"/>
    <w:rsid w:val="006A1E7E"/>
    <w:rsid w:val="006C1C6C"/>
    <w:rsid w:val="006D1929"/>
    <w:rsid w:val="006F0B9B"/>
    <w:rsid w:val="006F1362"/>
    <w:rsid w:val="006F5CA2"/>
    <w:rsid w:val="006F7FFB"/>
    <w:rsid w:val="00720F54"/>
    <w:rsid w:val="00723786"/>
    <w:rsid w:val="00741A41"/>
    <w:rsid w:val="00742598"/>
    <w:rsid w:val="00742D08"/>
    <w:rsid w:val="00745181"/>
    <w:rsid w:val="00752F49"/>
    <w:rsid w:val="007609BE"/>
    <w:rsid w:val="007646F6"/>
    <w:rsid w:val="0078032D"/>
    <w:rsid w:val="00782CAB"/>
    <w:rsid w:val="00792718"/>
    <w:rsid w:val="00796BC6"/>
    <w:rsid w:val="007A31AB"/>
    <w:rsid w:val="007A39B3"/>
    <w:rsid w:val="007A475D"/>
    <w:rsid w:val="007B55B3"/>
    <w:rsid w:val="007B7F02"/>
    <w:rsid w:val="007D0851"/>
    <w:rsid w:val="007D62DD"/>
    <w:rsid w:val="007D72B1"/>
    <w:rsid w:val="008163B4"/>
    <w:rsid w:val="00825A39"/>
    <w:rsid w:val="00830167"/>
    <w:rsid w:val="00831D4E"/>
    <w:rsid w:val="00833EFF"/>
    <w:rsid w:val="00866E2C"/>
    <w:rsid w:val="00873A9C"/>
    <w:rsid w:val="00890045"/>
    <w:rsid w:val="008B690B"/>
    <w:rsid w:val="008B6934"/>
    <w:rsid w:val="008C637F"/>
    <w:rsid w:val="008D2DC9"/>
    <w:rsid w:val="008D7470"/>
    <w:rsid w:val="008E6027"/>
    <w:rsid w:val="008F1C21"/>
    <w:rsid w:val="008F4B49"/>
    <w:rsid w:val="00902AC8"/>
    <w:rsid w:val="00912E7A"/>
    <w:rsid w:val="00926F42"/>
    <w:rsid w:val="00930E6E"/>
    <w:rsid w:val="0093128B"/>
    <w:rsid w:val="009319F7"/>
    <w:rsid w:val="009425DD"/>
    <w:rsid w:val="0094262B"/>
    <w:rsid w:val="00942C9D"/>
    <w:rsid w:val="00944C3F"/>
    <w:rsid w:val="0095198F"/>
    <w:rsid w:val="0095346D"/>
    <w:rsid w:val="0095505F"/>
    <w:rsid w:val="00962DD6"/>
    <w:rsid w:val="00963C55"/>
    <w:rsid w:val="009651B1"/>
    <w:rsid w:val="00990868"/>
    <w:rsid w:val="00990B48"/>
    <w:rsid w:val="009A0717"/>
    <w:rsid w:val="009A483B"/>
    <w:rsid w:val="009B71D2"/>
    <w:rsid w:val="009C3D2A"/>
    <w:rsid w:val="009D060E"/>
    <w:rsid w:val="009D0A96"/>
    <w:rsid w:val="009D48D6"/>
    <w:rsid w:val="009D7F6B"/>
    <w:rsid w:val="009E0A28"/>
    <w:rsid w:val="009E395A"/>
    <w:rsid w:val="009F3A08"/>
    <w:rsid w:val="009F4BFC"/>
    <w:rsid w:val="009F5D56"/>
    <w:rsid w:val="009F7813"/>
    <w:rsid w:val="00A03940"/>
    <w:rsid w:val="00A05899"/>
    <w:rsid w:val="00A313CE"/>
    <w:rsid w:val="00A34C60"/>
    <w:rsid w:val="00A405C9"/>
    <w:rsid w:val="00A45478"/>
    <w:rsid w:val="00A46B93"/>
    <w:rsid w:val="00A51E8A"/>
    <w:rsid w:val="00A568A2"/>
    <w:rsid w:val="00A63DFD"/>
    <w:rsid w:val="00A7330A"/>
    <w:rsid w:val="00A75CB7"/>
    <w:rsid w:val="00A816F9"/>
    <w:rsid w:val="00AA1245"/>
    <w:rsid w:val="00AC682F"/>
    <w:rsid w:val="00AD2C38"/>
    <w:rsid w:val="00AD3C22"/>
    <w:rsid w:val="00AD5A2C"/>
    <w:rsid w:val="00AE67DB"/>
    <w:rsid w:val="00AF174F"/>
    <w:rsid w:val="00AF1879"/>
    <w:rsid w:val="00AF68DB"/>
    <w:rsid w:val="00AF68FB"/>
    <w:rsid w:val="00AF78DE"/>
    <w:rsid w:val="00B02596"/>
    <w:rsid w:val="00B04937"/>
    <w:rsid w:val="00B116EC"/>
    <w:rsid w:val="00B1247D"/>
    <w:rsid w:val="00B12EA1"/>
    <w:rsid w:val="00B1578C"/>
    <w:rsid w:val="00B330C8"/>
    <w:rsid w:val="00B363CF"/>
    <w:rsid w:val="00B418C8"/>
    <w:rsid w:val="00B47ABF"/>
    <w:rsid w:val="00B553AC"/>
    <w:rsid w:val="00B5695E"/>
    <w:rsid w:val="00B604B4"/>
    <w:rsid w:val="00B91942"/>
    <w:rsid w:val="00B96744"/>
    <w:rsid w:val="00BB43CB"/>
    <w:rsid w:val="00BC0DA7"/>
    <w:rsid w:val="00BC1DDE"/>
    <w:rsid w:val="00BD7DD3"/>
    <w:rsid w:val="00BE3E27"/>
    <w:rsid w:val="00BE44BA"/>
    <w:rsid w:val="00BF048A"/>
    <w:rsid w:val="00BF2578"/>
    <w:rsid w:val="00BF50D2"/>
    <w:rsid w:val="00BF7F25"/>
    <w:rsid w:val="00C0025C"/>
    <w:rsid w:val="00C040B9"/>
    <w:rsid w:val="00C04631"/>
    <w:rsid w:val="00C15653"/>
    <w:rsid w:val="00C15F43"/>
    <w:rsid w:val="00C23487"/>
    <w:rsid w:val="00C23934"/>
    <w:rsid w:val="00C25AB9"/>
    <w:rsid w:val="00C33546"/>
    <w:rsid w:val="00C43010"/>
    <w:rsid w:val="00C44548"/>
    <w:rsid w:val="00C44E11"/>
    <w:rsid w:val="00C51E97"/>
    <w:rsid w:val="00C65E61"/>
    <w:rsid w:val="00C7346B"/>
    <w:rsid w:val="00C83E67"/>
    <w:rsid w:val="00C87393"/>
    <w:rsid w:val="00CA7BF5"/>
    <w:rsid w:val="00CC49FF"/>
    <w:rsid w:val="00CD36E9"/>
    <w:rsid w:val="00CD71F7"/>
    <w:rsid w:val="00CE7AF6"/>
    <w:rsid w:val="00CF13BC"/>
    <w:rsid w:val="00D21A4F"/>
    <w:rsid w:val="00D35240"/>
    <w:rsid w:val="00D35563"/>
    <w:rsid w:val="00D43B11"/>
    <w:rsid w:val="00D62450"/>
    <w:rsid w:val="00D70329"/>
    <w:rsid w:val="00D76B68"/>
    <w:rsid w:val="00D97AE9"/>
    <w:rsid w:val="00DA1F92"/>
    <w:rsid w:val="00DA567B"/>
    <w:rsid w:val="00DA68FC"/>
    <w:rsid w:val="00DB45EF"/>
    <w:rsid w:val="00DB470E"/>
    <w:rsid w:val="00DC7BE1"/>
    <w:rsid w:val="00DD13DA"/>
    <w:rsid w:val="00DE7092"/>
    <w:rsid w:val="00DE75DF"/>
    <w:rsid w:val="00E06C5D"/>
    <w:rsid w:val="00E43A5C"/>
    <w:rsid w:val="00E46E1D"/>
    <w:rsid w:val="00E67EE5"/>
    <w:rsid w:val="00E71BE7"/>
    <w:rsid w:val="00ED314C"/>
    <w:rsid w:val="00ED3CBC"/>
    <w:rsid w:val="00EE40B4"/>
    <w:rsid w:val="00EF1477"/>
    <w:rsid w:val="00EF52E0"/>
    <w:rsid w:val="00F0200B"/>
    <w:rsid w:val="00F03389"/>
    <w:rsid w:val="00F03718"/>
    <w:rsid w:val="00F07998"/>
    <w:rsid w:val="00F07B59"/>
    <w:rsid w:val="00F10BA6"/>
    <w:rsid w:val="00F11264"/>
    <w:rsid w:val="00F125C1"/>
    <w:rsid w:val="00F1303C"/>
    <w:rsid w:val="00F13C56"/>
    <w:rsid w:val="00F20F06"/>
    <w:rsid w:val="00F275DD"/>
    <w:rsid w:val="00F31222"/>
    <w:rsid w:val="00F33BD9"/>
    <w:rsid w:val="00F33E5D"/>
    <w:rsid w:val="00F36A95"/>
    <w:rsid w:val="00F57EF2"/>
    <w:rsid w:val="00F610B6"/>
    <w:rsid w:val="00F63F8F"/>
    <w:rsid w:val="00F73E31"/>
    <w:rsid w:val="00F91DFF"/>
    <w:rsid w:val="00F93673"/>
    <w:rsid w:val="00F93680"/>
    <w:rsid w:val="00FA4802"/>
    <w:rsid w:val="00FB13E5"/>
    <w:rsid w:val="00FC5F32"/>
    <w:rsid w:val="00FC6FC3"/>
    <w:rsid w:val="00FD03F9"/>
    <w:rsid w:val="00FD4E73"/>
    <w:rsid w:val="00FD5A5E"/>
    <w:rsid w:val="00FE1646"/>
    <w:rsid w:val="00FE60B1"/>
    <w:rsid w:val="00FF16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50"/>
    <w:pPr>
      <w:spacing w:line="276" w:lineRule="auto"/>
    </w:pPr>
    <w:rPr>
      <w:sz w:val="22"/>
      <w:szCs w:val="22"/>
      <w:lang w:eastAsia="en-US"/>
    </w:rPr>
  </w:style>
  <w:style w:type="paragraph" w:styleId="Heading1">
    <w:name w:val="heading 1"/>
    <w:basedOn w:val="Normal"/>
    <w:next w:val="Normal"/>
    <w:link w:val="Heading1Char"/>
    <w:qFormat/>
    <w:rsid w:val="00F275DD"/>
    <w:pPr>
      <w:keepNext/>
      <w:keepLines/>
      <w:spacing w:before="480"/>
      <w:outlineLvl w:val="0"/>
    </w:pPr>
    <w:rPr>
      <w:rFonts w:ascii="Arial" w:eastAsia="SimSun" w:hAnsi="Arial"/>
      <w:b/>
      <w:bCs/>
      <w:sz w:val="28"/>
      <w:szCs w:val="28"/>
      <w:lang w:val="x-none" w:eastAsia="x-none"/>
    </w:rPr>
  </w:style>
  <w:style w:type="paragraph" w:styleId="Heading2">
    <w:name w:val="heading 2"/>
    <w:basedOn w:val="Normal"/>
    <w:next w:val="Normal"/>
    <w:link w:val="Heading2Char"/>
    <w:unhideWhenUsed/>
    <w:qFormat/>
    <w:rsid w:val="00F275DD"/>
    <w:pPr>
      <w:keepNext/>
      <w:keepLines/>
      <w:spacing w:before="360" w:after="240"/>
      <w:outlineLvl w:val="1"/>
    </w:pPr>
    <w:rPr>
      <w:rFonts w:eastAsia="Times New Roman"/>
      <w:b/>
      <w:bCs/>
      <w:color w:val="000000"/>
      <w:sz w:val="28"/>
      <w:szCs w:val="26"/>
      <w:u w:val="single"/>
      <w:lang w:val="x-none"/>
    </w:rPr>
  </w:style>
  <w:style w:type="paragraph" w:styleId="Heading3">
    <w:name w:val="heading 3"/>
    <w:basedOn w:val="Normal"/>
    <w:next w:val="Normal"/>
    <w:link w:val="Heading3Char"/>
    <w:unhideWhenUsed/>
    <w:qFormat/>
    <w:rsid w:val="00F275DD"/>
    <w:pPr>
      <w:keepNext/>
      <w:keepLines/>
      <w:spacing w:before="240" w:after="120"/>
      <w:outlineLvl w:val="2"/>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uiPriority w:val="99"/>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sz w:val="16"/>
      <w:szCs w:val="16"/>
      <w:lang w:val="x-none" w:eastAsia="x-none"/>
    </w:rPr>
  </w:style>
  <w:style w:type="character" w:customStyle="1" w:styleId="BalloonTextChar">
    <w:name w:val="Balloon Text Char"/>
    <w:link w:val="BalloonText"/>
    <w:rsid w:val="006255E6"/>
    <w:rPr>
      <w:rFonts w:ascii="Tahoma" w:hAnsi="Tahoma" w:cs="Tahoma"/>
      <w:sz w:val="16"/>
      <w:szCs w:val="16"/>
    </w:rPr>
  </w:style>
  <w:style w:type="character" w:customStyle="1" w:styleId="Heading1Char">
    <w:name w:val="Heading 1 Char"/>
    <w:link w:val="Heading1"/>
    <w:rsid w:val="00F275DD"/>
    <w:rPr>
      <w:rFonts w:ascii="Arial" w:eastAsia="SimSun" w:hAnsi="Arial"/>
      <w:b/>
      <w:bCs/>
      <w:sz w:val="28"/>
      <w:szCs w:val="28"/>
      <w:lang w:val="x-none" w:eastAsia="x-none"/>
    </w:rPr>
  </w:style>
  <w:style w:type="character" w:customStyle="1" w:styleId="Heading2Char">
    <w:name w:val="Heading 2 Char"/>
    <w:link w:val="Heading2"/>
    <w:rsid w:val="00F275DD"/>
    <w:rPr>
      <w:rFonts w:eastAsia="Times New Roman"/>
      <w:b/>
      <w:bCs/>
      <w:color w:val="000000"/>
      <w:sz w:val="28"/>
      <w:szCs w:val="26"/>
      <w:u w:val="single"/>
      <w:lang w:val="x-none" w:eastAsia="en-US"/>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sz w:val="16"/>
      <w:szCs w:val="16"/>
      <w:lang w:val="x-none" w:eastAsia="x-none"/>
    </w:rPr>
  </w:style>
  <w:style w:type="character" w:customStyle="1" w:styleId="HeaderChar">
    <w:name w:val="Header Char"/>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sz w:val="16"/>
      <w:szCs w:val="16"/>
      <w:lang w:val="x-none" w:eastAsia="x-none"/>
    </w:rPr>
  </w:style>
  <w:style w:type="character" w:customStyle="1" w:styleId="FooterChar">
    <w:name w:val="Footer Char"/>
    <w:link w:val="Footer"/>
    <w:uiPriority w:val="99"/>
    <w:rsid w:val="009D48D6"/>
    <w:rPr>
      <w:rFonts w:ascii="Tahoma" w:hAnsi="Tahoma" w:cs="Tahoma"/>
      <w:sz w:val="16"/>
      <w:szCs w:val="16"/>
    </w:rPr>
  </w:style>
  <w:style w:type="paragraph" w:customStyle="1" w:styleId="Titlepage">
    <w:name w:val="Title page"/>
    <w:basedOn w:val="Normal"/>
    <w:link w:val="TitlepageChar"/>
    <w:uiPriority w:val="99"/>
    <w:qFormat/>
    <w:rsid w:val="009A483B"/>
    <w:pPr>
      <w:jc w:val="center"/>
    </w:pPr>
    <w:rPr>
      <w:rFonts w:ascii="Arial" w:hAnsi="Arial"/>
      <w:b/>
      <w:color w:val="004270"/>
      <w:sz w:val="56"/>
      <w:szCs w:val="56"/>
      <w:lang w:val="x-none" w:eastAsia="x-none"/>
    </w:rPr>
  </w:style>
  <w:style w:type="paragraph" w:customStyle="1" w:styleId="Default">
    <w:name w:val="Default"/>
    <w:link w:val="DefaultChar"/>
    <w:rsid w:val="009D7F6B"/>
    <w:pPr>
      <w:autoSpaceDE w:val="0"/>
      <w:autoSpaceDN w:val="0"/>
      <w:adjustRightInd w:val="0"/>
    </w:pPr>
    <w:rPr>
      <w:rFonts w:ascii="Corbel" w:hAnsi="Corbel"/>
      <w:color w:val="000000"/>
      <w:sz w:val="24"/>
      <w:szCs w:val="24"/>
    </w:rPr>
  </w:style>
  <w:style w:type="character" w:customStyle="1" w:styleId="TitlepageChar">
    <w:name w:val="Title page Char"/>
    <w:link w:val="Titlepage"/>
    <w:uiPriority w:val="99"/>
    <w:rsid w:val="009A483B"/>
    <w:rPr>
      <w:rFonts w:ascii="Arial" w:hAnsi="Arial" w:cs="Arial"/>
      <w:b/>
      <w:color w:val="004270"/>
      <w:sz w:val="56"/>
      <w:szCs w:val="56"/>
    </w:rPr>
  </w:style>
  <w:style w:type="paragraph" w:customStyle="1" w:styleId="FromNP">
    <w:name w:val="From NP"/>
    <w:basedOn w:val="Default"/>
    <w:link w:val="FromNPChar"/>
    <w:uiPriority w:val="99"/>
    <w:qFormat/>
    <w:rsid w:val="009D7F6B"/>
    <w:pPr>
      <w:spacing w:after="195"/>
    </w:pPr>
    <w:rPr>
      <w:lang w:val="x-none" w:eastAsia="x-none"/>
    </w:rPr>
  </w:style>
  <w:style w:type="paragraph" w:customStyle="1" w:styleId="TableColumnHeadingCentred">
    <w:name w:val="Table Column Heading Centred"/>
    <w:basedOn w:val="Normal"/>
    <w:rsid w:val="007D72B1"/>
    <w:pPr>
      <w:spacing w:before="40" w:after="40" w:line="240" w:lineRule="auto"/>
      <w:jc w:val="center"/>
    </w:pPr>
    <w:rPr>
      <w:rFonts w:eastAsia="Times New Roman"/>
      <w:b/>
      <w:sz w:val="20"/>
      <w:szCs w:val="20"/>
      <w:lang w:eastAsia="en-AU"/>
    </w:rPr>
  </w:style>
  <w:style w:type="character" w:customStyle="1" w:styleId="DefaultChar">
    <w:name w:val="Default Char"/>
    <w:link w:val="Default"/>
    <w:uiPriority w:val="99"/>
    <w:rsid w:val="009D7F6B"/>
    <w:rPr>
      <w:rFonts w:ascii="Corbel" w:hAnsi="Corbel"/>
      <w:color w:val="000000"/>
      <w:sz w:val="24"/>
      <w:szCs w:val="24"/>
      <w:lang w:bidi="ar-SA"/>
    </w:rPr>
  </w:style>
  <w:style w:type="character" w:customStyle="1" w:styleId="FromNPChar">
    <w:name w:val="From NP Char"/>
    <w:link w:val="FromNP"/>
    <w:uiPriority w:val="99"/>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val="x-none" w:eastAsia="en-AU"/>
    </w:rPr>
  </w:style>
  <w:style w:type="character" w:customStyle="1" w:styleId="NormalnumberedChar">
    <w:name w:val="Normal numbered Char"/>
    <w:link w:val="Normalnumbered"/>
    <w:uiPriority w:val="99"/>
    <w:locked/>
    <w:rsid w:val="000B6578"/>
    <w:rPr>
      <w:rFonts w:ascii="Corbel" w:eastAsia="Times New Roman" w:hAnsi="Corbel"/>
      <w:color w:val="000000"/>
      <w:sz w:val="23"/>
      <w:lang w:val="x-none"/>
    </w:rPr>
  </w:style>
  <w:style w:type="table" w:styleId="TableGrid">
    <w:name w:val="Table Grid"/>
    <w:basedOn w:val="TableNormal"/>
    <w:rsid w:val="00AC6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Normal"/>
    <w:next w:val="Normal"/>
    <w:uiPriority w:val="39"/>
    <w:unhideWhenUsed/>
    <w:qFormat/>
    <w:rsid w:val="007D62DD"/>
    <w:pPr>
      <w:keepNext/>
      <w:keepLines/>
      <w:spacing w:before="480"/>
    </w:pPr>
    <w:rPr>
      <w:rFonts w:eastAsia="Times New Roman" w:cs="Calibri"/>
      <w:b/>
      <w:bCs/>
      <w:sz w:val="32"/>
      <w:szCs w:val="28"/>
      <w:lang w:val="en-US"/>
    </w:rPr>
  </w:style>
  <w:style w:type="paragraph" w:styleId="TOC2">
    <w:name w:val="toc 2"/>
    <w:basedOn w:val="Normal"/>
    <w:next w:val="Normal"/>
    <w:autoRedefine/>
    <w:uiPriority w:val="39"/>
    <w:unhideWhenUsed/>
    <w:qFormat/>
    <w:rsid w:val="007B55B3"/>
    <w:pPr>
      <w:ind w:left="220"/>
    </w:pPr>
    <w:rPr>
      <w:rFonts w:asciiTheme="minorHAnsi" w:hAnsiTheme="minorHAnsi" w:cstheme="minorHAnsi"/>
      <w:smallCaps/>
      <w:sz w:val="20"/>
      <w:szCs w:val="20"/>
    </w:rPr>
  </w:style>
  <w:style w:type="character" w:styleId="Hyperlink">
    <w:name w:val="Hyperlink"/>
    <w:uiPriority w:val="99"/>
    <w:unhideWhenUsed/>
    <w:rsid w:val="00B553AC"/>
    <w:rPr>
      <w:color w:val="0000FF"/>
      <w:u w:val="single"/>
    </w:rPr>
  </w:style>
  <w:style w:type="paragraph" w:styleId="TOC1">
    <w:name w:val="toc 1"/>
    <w:basedOn w:val="Normal"/>
    <w:next w:val="Normal"/>
    <w:autoRedefine/>
    <w:uiPriority w:val="39"/>
    <w:unhideWhenUsed/>
    <w:qFormat/>
    <w:rsid w:val="003C597F"/>
    <w:pPr>
      <w:spacing w:before="120" w:after="120"/>
    </w:pPr>
    <w:rPr>
      <w:rFonts w:asciiTheme="minorHAnsi" w:hAnsiTheme="minorHAnsi" w:cstheme="minorHAnsi"/>
      <w:b/>
      <w:bCs/>
      <w:caps/>
      <w:sz w:val="20"/>
      <w:szCs w:val="20"/>
    </w:rPr>
  </w:style>
  <w:style w:type="paragraph" w:styleId="TOC3">
    <w:name w:val="toc 3"/>
    <w:basedOn w:val="Normal"/>
    <w:next w:val="Normal"/>
    <w:autoRedefine/>
    <w:unhideWhenUsed/>
    <w:qFormat/>
    <w:rsid w:val="00605C73"/>
    <w:pPr>
      <w:ind w:left="440"/>
    </w:pPr>
    <w:rPr>
      <w:rFonts w:asciiTheme="minorHAnsi" w:hAnsiTheme="minorHAnsi" w:cstheme="minorHAnsi"/>
      <w:i/>
      <w:iCs/>
      <w:sz w:val="20"/>
      <w:szCs w:val="20"/>
    </w:rPr>
  </w:style>
  <w:style w:type="paragraph" w:customStyle="1" w:styleId="Itemnumber">
    <w:name w:val="Item number"/>
    <w:basedOn w:val="Normal"/>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val="x-none" w:eastAsia="en-AU"/>
    </w:rPr>
  </w:style>
  <w:style w:type="character" w:customStyle="1" w:styleId="FootnoteTextChar">
    <w:name w:val="Footnote Text Char"/>
    <w:link w:val="FootnoteText"/>
    <w:rsid w:val="00AE67DB"/>
    <w:rPr>
      <w:rFonts w:ascii="Times New Roman" w:eastAsia="Times New Roman" w:hAnsi="Times New Roman" w:cs="Times New Roman"/>
      <w:sz w:val="20"/>
      <w:szCs w:val="20"/>
      <w:lang w:eastAsia="en-AU"/>
    </w:rPr>
  </w:style>
  <w:style w:type="character" w:styleId="FootnoteReference">
    <w:name w:val="footnote reference"/>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link w:val="Heading3"/>
    <w:rsid w:val="00F275DD"/>
    <w:rPr>
      <w:rFonts w:eastAsia="Times New Roman"/>
      <w:b/>
      <w:bCs/>
      <w:sz w:val="22"/>
      <w:szCs w:val="22"/>
      <w:lang w:val="x-none" w:eastAsia="en-US"/>
    </w:rPr>
  </w:style>
  <w:style w:type="character" w:styleId="Strong">
    <w:name w:val="Strong"/>
    <w:uiPriority w:val="22"/>
    <w:qFormat/>
    <w:rsid w:val="001368B0"/>
    <w:rPr>
      <w:b/>
      <w:bCs/>
    </w:rPr>
  </w:style>
  <w:style w:type="paragraph" w:customStyle="1" w:styleId="SubHeading">
    <w:name w:val="Sub Heading"/>
    <w:basedOn w:val="Heading3"/>
    <w:rsid w:val="005A727A"/>
    <w:pPr>
      <w:keepLines w:val="0"/>
      <w:spacing w:after="240" w:line="240" w:lineRule="auto"/>
    </w:pPr>
    <w:rPr>
      <w:b w:val="0"/>
      <w:bCs w:val="0"/>
      <w:szCs w:val="20"/>
      <w:lang w:eastAsia="en-AU"/>
    </w:rPr>
  </w:style>
  <w:style w:type="paragraph" w:styleId="BodyText">
    <w:name w:val="Body Text"/>
    <w:basedOn w:val="Normal"/>
    <w:link w:val="BodyTextChar"/>
    <w:rsid w:val="002E4CAD"/>
    <w:pPr>
      <w:pBdr>
        <w:top w:val="single" w:sz="4" w:space="1" w:color="auto"/>
        <w:left w:val="single" w:sz="4" w:space="4" w:color="auto"/>
        <w:bottom w:val="single" w:sz="4" w:space="1" w:color="auto"/>
        <w:right w:val="single" w:sz="4" w:space="4" w:color="auto"/>
      </w:pBdr>
      <w:spacing w:line="240" w:lineRule="auto"/>
      <w:jc w:val="center"/>
    </w:pPr>
    <w:rPr>
      <w:rFonts w:ascii="Times New Roman" w:eastAsia="Times New Roman" w:hAnsi="Times New Roman"/>
      <w:b/>
      <w:bCs/>
      <w:sz w:val="24"/>
      <w:szCs w:val="24"/>
      <w:lang w:val="x-none" w:eastAsia="x-none"/>
    </w:rPr>
  </w:style>
  <w:style w:type="character" w:customStyle="1" w:styleId="BodyTextChar">
    <w:name w:val="Body Text Char"/>
    <w:link w:val="BodyText"/>
    <w:rsid w:val="002E4CAD"/>
    <w:rPr>
      <w:rFonts w:ascii="Times New Roman" w:eastAsia="Times New Roman" w:hAnsi="Times New Roman" w:cs="Times New Roman"/>
      <w:b/>
      <w:bCs/>
      <w:sz w:val="24"/>
      <w:szCs w:val="24"/>
    </w:rPr>
  </w:style>
  <w:style w:type="character" w:styleId="CommentReference">
    <w:name w:val="annotation reference"/>
    <w:unhideWhenUsed/>
    <w:rsid w:val="00890045"/>
    <w:rPr>
      <w:sz w:val="16"/>
      <w:szCs w:val="16"/>
    </w:rPr>
  </w:style>
  <w:style w:type="paragraph" w:styleId="CommentText">
    <w:name w:val="annotation text"/>
    <w:basedOn w:val="Normal"/>
    <w:link w:val="CommentTextChar"/>
    <w:unhideWhenUsed/>
    <w:rsid w:val="00890045"/>
    <w:rPr>
      <w:sz w:val="20"/>
      <w:szCs w:val="20"/>
      <w:lang w:val="x-none"/>
    </w:rPr>
  </w:style>
  <w:style w:type="character" w:customStyle="1" w:styleId="CommentTextChar">
    <w:name w:val="Comment Text Char"/>
    <w:link w:val="CommentText"/>
    <w:rsid w:val="00890045"/>
    <w:rPr>
      <w:lang w:eastAsia="en-US"/>
    </w:rPr>
  </w:style>
  <w:style w:type="paragraph" w:styleId="CommentSubject">
    <w:name w:val="annotation subject"/>
    <w:basedOn w:val="CommentText"/>
    <w:next w:val="CommentText"/>
    <w:link w:val="CommentSubjectChar"/>
    <w:unhideWhenUsed/>
    <w:rsid w:val="00890045"/>
    <w:rPr>
      <w:b/>
      <w:bCs/>
    </w:rPr>
  </w:style>
  <w:style w:type="character" w:customStyle="1" w:styleId="CommentSubjectChar">
    <w:name w:val="Comment Subject Char"/>
    <w:link w:val="CommentSubject"/>
    <w:rsid w:val="00890045"/>
    <w:rPr>
      <w:b/>
      <w:bCs/>
      <w:lang w:eastAsia="en-US"/>
    </w:rPr>
  </w:style>
  <w:style w:type="paragraph" w:styleId="BodyText2">
    <w:name w:val="Body Text 2"/>
    <w:basedOn w:val="Normal"/>
    <w:link w:val="BodyText2Char"/>
    <w:unhideWhenUsed/>
    <w:rsid w:val="00D62450"/>
    <w:pPr>
      <w:autoSpaceDE w:val="0"/>
      <w:autoSpaceDN w:val="0"/>
      <w:adjustRightInd w:val="0"/>
    </w:pPr>
    <w:rPr>
      <w:rFonts w:cs="Calibri"/>
    </w:rPr>
  </w:style>
  <w:style w:type="character" w:customStyle="1" w:styleId="BodyText2Char">
    <w:name w:val="Body Text 2 Char"/>
    <w:basedOn w:val="DefaultParagraphFont"/>
    <w:link w:val="BodyText2"/>
    <w:rsid w:val="00D62450"/>
    <w:rPr>
      <w:rFonts w:cs="Calibri"/>
      <w:sz w:val="22"/>
      <w:szCs w:val="22"/>
      <w:lang w:eastAsia="en-US"/>
    </w:rPr>
  </w:style>
  <w:style w:type="paragraph" w:styleId="ListBullet">
    <w:name w:val="List Bullet"/>
    <w:basedOn w:val="Normal"/>
    <w:unhideWhenUsed/>
    <w:rsid w:val="00D62450"/>
    <w:pPr>
      <w:numPr>
        <w:numId w:val="5"/>
      </w:numPr>
      <w:spacing w:line="240" w:lineRule="auto"/>
    </w:pPr>
    <w:rPr>
      <w:rFonts w:cs="Calibri"/>
    </w:rPr>
  </w:style>
  <w:style w:type="paragraph" w:styleId="ListNumber">
    <w:name w:val="List Number"/>
    <w:basedOn w:val="BodyText"/>
    <w:uiPriority w:val="99"/>
    <w:unhideWhenUsed/>
    <w:rsid w:val="00152D5F"/>
    <w:pPr>
      <w:numPr>
        <w:numId w:val="9"/>
      </w:numPr>
      <w:pBdr>
        <w:top w:val="none" w:sz="0" w:space="0" w:color="auto"/>
        <w:left w:val="none" w:sz="0" w:space="0" w:color="auto"/>
        <w:bottom w:val="none" w:sz="0" w:space="0" w:color="auto"/>
        <w:right w:val="none" w:sz="0" w:space="0" w:color="auto"/>
      </w:pBdr>
      <w:jc w:val="left"/>
    </w:pPr>
    <w:rPr>
      <w:rFonts w:ascii="Calibri" w:hAnsi="Calibri" w:cs="Calibri"/>
      <w:b w:val="0"/>
      <w:bCs w:val="0"/>
      <w:sz w:val="22"/>
      <w:szCs w:val="22"/>
    </w:rPr>
  </w:style>
  <w:style w:type="paragraph" w:styleId="ListBullet2">
    <w:name w:val="List Bullet 2"/>
    <w:basedOn w:val="Normal"/>
    <w:unhideWhenUsed/>
    <w:rsid w:val="00A63DFD"/>
    <w:pPr>
      <w:numPr>
        <w:numId w:val="4"/>
      </w:numPr>
      <w:contextualSpacing/>
    </w:pPr>
  </w:style>
  <w:style w:type="numbering" w:customStyle="1" w:styleId="NoList1">
    <w:name w:val="No List1"/>
    <w:next w:val="NoList"/>
    <w:uiPriority w:val="99"/>
    <w:semiHidden/>
    <w:unhideWhenUsed/>
    <w:rsid w:val="009A0717"/>
  </w:style>
  <w:style w:type="table" w:customStyle="1" w:styleId="TableGrid1">
    <w:name w:val="Table Grid1"/>
    <w:basedOn w:val="TableNormal"/>
    <w:next w:val="TableGrid"/>
    <w:rsid w:val="009A07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A0717"/>
    <w:rPr>
      <w:i/>
      <w:iCs/>
      <w:sz w:val="22"/>
    </w:rPr>
  </w:style>
  <w:style w:type="numbering" w:customStyle="1" w:styleId="NoList2">
    <w:name w:val="No List2"/>
    <w:next w:val="NoList"/>
    <w:uiPriority w:val="99"/>
    <w:semiHidden/>
    <w:unhideWhenUsed/>
    <w:rsid w:val="00134652"/>
  </w:style>
  <w:style w:type="paragraph" w:customStyle="1" w:styleId="IntenseQuote1">
    <w:name w:val="Intense Quote1"/>
    <w:basedOn w:val="Normal"/>
    <w:next w:val="Normal"/>
    <w:uiPriority w:val="30"/>
    <w:qFormat/>
    <w:rsid w:val="00134652"/>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rPr>
  </w:style>
  <w:style w:type="character" w:customStyle="1" w:styleId="IntenseQuoteChar">
    <w:name w:val="Intense Quote Char"/>
    <w:basedOn w:val="DefaultParagraphFont"/>
    <w:link w:val="IntenseQuote"/>
    <w:uiPriority w:val="30"/>
    <w:rsid w:val="00134652"/>
    <w:rPr>
      <w:b/>
      <w:bCs/>
      <w:i/>
      <w:iCs/>
      <w:color w:val="4F81BD"/>
      <w:sz w:val="24"/>
      <w:lang w:eastAsia="en-US"/>
    </w:rPr>
  </w:style>
  <w:style w:type="paragraph" w:customStyle="1" w:styleId="Ahead">
    <w:name w:val="Ahead"/>
    <w:basedOn w:val="Normal"/>
    <w:qFormat/>
    <w:rsid w:val="00134652"/>
    <w:pPr>
      <w:spacing w:after="120" w:line="240" w:lineRule="auto"/>
    </w:pPr>
    <w:rPr>
      <w:rFonts w:ascii="Times New Roman" w:hAnsi="Times New Roman"/>
      <w:b/>
      <w:sz w:val="28"/>
      <w:szCs w:val="24"/>
      <w:lang w:val="en-US"/>
    </w:rPr>
  </w:style>
  <w:style w:type="paragraph" w:customStyle="1" w:styleId="text">
    <w:name w:val="text"/>
    <w:basedOn w:val="Normal"/>
    <w:qFormat/>
    <w:rsid w:val="00134652"/>
    <w:pPr>
      <w:spacing w:after="120" w:line="300" w:lineRule="atLeast"/>
    </w:pPr>
    <w:rPr>
      <w:rFonts w:ascii="Times New Roman" w:hAnsi="Times New Roman"/>
      <w:sz w:val="24"/>
      <w:szCs w:val="24"/>
      <w:lang w:val="en-US"/>
    </w:rPr>
  </w:style>
  <w:style w:type="paragraph" w:styleId="NoSpacing">
    <w:name w:val="No Spacing"/>
    <w:uiPriority w:val="1"/>
    <w:qFormat/>
    <w:rsid w:val="00134652"/>
    <w:rPr>
      <w:sz w:val="22"/>
      <w:szCs w:val="22"/>
      <w:lang w:eastAsia="en-US"/>
    </w:rPr>
  </w:style>
  <w:style w:type="paragraph" w:customStyle="1" w:styleId="dpReclev2">
    <w:name w:val="dp Rec lev2"/>
    <w:basedOn w:val="Normal"/>
    <w:qFormat/>
    <w:rsid w:val="00134652"/>
    <w:pPr>
      <w:numPr>
        <w:numId w:val="16"/>
      </w:numPr>
      <w:tabs>
        <w:tab w:val="clear" w:pos="1070"/>
        <w:tab w:val="num" w:pos="720"/>
        <w:tab w:val="right" w:leader="dot" w:pos="9639"/>
      </w:tabs>
      <w:spacing w:after="200" w:line="252" w:lineRule="auto"/>
      <w:ind w:left="720"/>
      <w:contextualSpacing/>
    </w:pPr>
    <w:rPr>
      <w:rFonts w:ascii="Cambria" w:eastAsia="Times New Roman" w:hAnsi="Cambria"/>
      <w:noProof/>
    </w:rPr>
  </w:style>
  <w:style w:type="paragraph" w:customStyle="1" w:styleId="TOC41">
    <w:name w:val="TOC 41"/>
    <w:basedOn w:val="Normal"/>
    <w:next w:val="Normal"/>
    <w:autoRedefine/>
    <w:rsid w:val="00134652"/>
    <w:pPr>
      <w:spacing w:line="240" w:lineRule="auto"/>
      <w:ind w:left="720"/>
    </w:pPr>
    <w:rPr>
      <w:rFonts w:eastAsia="Times New Roman" w:cs="Calibri"/>
      <w:sz w:val="18"/>
      <w:szCs w:val="18"/>
    </w:rPr>
  </w:style>
  <w:style w:type="paragraph" w:customStyle="1" w:styleId="TOC51">
    <w:name w:val="TOC 51"/>
    <w:basedOn w:val="Normal"/>
    <w:next w:val="Normal"/>
    <w:autoRedefine/>
    <w:rsid w:val="00134652"/>
    <w:pPr>
      <w:spacing w:line="240" w:lineRule="auto"/>
      <w:ind w:left="960"/>
    </w:pPr>
    <w:rPr>
      <w:rFonts w:eastAsia="Times New Roman" w:cs="Calibri"/>
      <w:sz w:val="18"/>
      <w:szCs w:val="18"/>
    </w:rPr>
  </w:style>
  <w:style w:type="paragraph" w:customStyle="1" w:styleId="TOC61">
    <w:name w:val="TOC 61"/>
    <w:basedOn w:val="Normal"/>
    <w:next w:val="Normal"/>
    <w:autoRedefine/>
    <w:rsid w:val="00134652"/>
    <w:pPr>
      <w:spacing w:line="240" w:lineRule="auto"/>
      <w:ind w:left="1200"/>
    </w:pPr>
    <w:rPr>
      <w:rFonts w:eastAsia="Times New Roman" w:cs="Calibri"/>
      <w:sz w:val="18"/>
      <w:szCs w:val="18"/>
    </w:rPr>
  </w:style>
  <w:style w:type="paragraph" w:customStyle="1" w:styleId="TOC71">
    <w:name w:val="TOC 71"/>
    <w:basedOn w:val="Normal"/>
    <w:next w:val="Normal"/>
    <w:autoRedefine/>
    <w:rsid w:val="00134652"/>
    <w:pPr>
      <w:spacing w:line="240" w:lineRule="auto"/>
      <w:ind w:left="1440"/>
    </w:pPr>
    <w:rPr>
      <w:rFonts w:eastAsia="Times New Roman" w:cs="Calibri"/>
      <w:sz w:val="18"/>
      <w:szCs w:val="18"/>
    </w:rPr>
  </w:style>
  <w:style w:type="paragraph" w:customStyle="1" w:styleId="TOC81">
    <w:name w:val="TOC 81"/>
    <w:basedOn w:val="Normal"/>
    <w:next w:val="Normal"/>
    <w:autoRedefine/>
    <w:rsid w:val="00134652"/>
    <w:pPr>
      <w:spacing w:line="240" w:lineRule="auto"/>
      <w:ind w:left="1680"/>
    </w:pPr>
    <w:rPr>
      <w:rFonts w:eastAsia="Times New Roman" w:cs="Calibri"/>
      <w:sz w:val="18"/>
      <w:szCs w:val="18"/>
    </w:rPr>
  </w:style>
  <w:style w:type="paragraph" w:customStyle="1" w:styleId="TOC91">
    <w:name w:val="TOC 91"/>
    <w:basedOn w:val="Normal"/>
    <w:next w:val="Normal"/>
    <w:autoRedefine/>
    <w:rsid w:val="00134652"/>
    <w:pPr>
      <w:spacing w:line="240" w:lineRule="auto"/>
      <w:ind w:left="1920"/>
    </w:pPr>
    <w:rPr>
      <w:rFonts w:eastAsia="Times New Roman" w:cs="Calibri"/>
      <w:sz w:val="18"/>
      <w:szCs w:val="18"/>
    </w:rPr>
  </w:style>
  <w:style w:type="table" w:customStyle="1" w:styleId="TableGrid2">
    <w:name w:val="Table Grid2"/>
    <w:basedOn w:val="TableNormal"/>
    <w:next w:val="TableGrid"/>
    <w:rsid w:val="001346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autoRedefine/>
    <w:rsid w:val="00134652"/>
    <w:pPr>
      <w:spacing w:before="120" w:after="120" w:line="240" w:lineRule="auto"/>
    </w:pPr>
    <w:rPr>
      <w:rFonts w:eastAsia="Times New Roman" w:cs="Calibri"/>
    </w:rPr>
  </w:style>
  <w:style w:type="paragraph" w:styleId="IntenseQuote">
    <w:name w:val="Intense Quote"/>
    <w:basedOn w:val="Normal"/>
    <w:next w:val="Normal"/>
    <w:link w:val="IntenseQuoteChar"/>
    <w:uiPriority w:val="30"/>
    <w:qFormat/>
    <w:rsid w:val="00134652"/>
    <w:pPr>
      <w:pBdr>
        <w:bottom w:val="single" w:sz="4" w:space="4" w:color="4F81BD" w:themeColor="accent1"/>
      </w:pBdr>
      <w:spacing w:before="200" w:after="280"/>
      <w:ind w:left="936" w:right="936"/>
    </w:pPr>
    <w:rPr>
      <w:b/>
      <w:bCs/>
      <w:i/>
      <w:iCs/>
      <w:color w:val="4F81BD"/>
      <w:sz w:val="24"/>
      <w:szCs w:val="20"/>
    </w:rPr>
  </w:style>
  <w:style w:type="character" w:customStyle="1" w:styleId="IntenseQuoteChar1">
    <w:name w:val="Intense Quote Char1"/>
    <w:basedOn w:val="DefaultParagraphFont"/>
    <w:uiPriority w:val="30"/>
    <w:rsid w:val="00134652"/>
    <w:rPr>
      <w:b/>
      <w:bCs/>
      <w:i/>
      <w:iCs/>
      <w:color w:val="4F81BD" w:themeColor="accent1"/>
      <w:sz w:val="22"/>
      <w:szCs w:val="22"/>
      <w:lang w:eastAsia="en-US"/>
    </w:rPr>
  </w:style>
  <w:style w:type="paragraph" w:customStyle="1" w:styleId="Heading">
    <w:name w:val="Heading"/>
    <w:basedOn w:val="Normal"/>
    <w:qFormat/>
    <w:rsid w:val="00C7346B"/>
    <w:pPr>
      <w:tabs>
        <w:tab w:val="left" w:pos="6075"/>
      </w:tabs>
      <w:spacing w:before="120"/>
      <w:contextualSpacing/>
    </w:pPr>
    <w:rPr>
      <w:b/>
      <w:color w:val="1F497D" w:themeColor="text2"/>
      <w:sz w:val="28"/>
      <w:szCs w:val="28"/>
    </w:rPr>
  </w:style>
  <w:style w:type="paragraph" w:styleId="Quote">
    <w:name w:val="Quote"/>
    <w:basedOn w:val="Normal"/>
    <w:next w:val="Normal"/>
    <w:link w:val="QuoteChar"/>
    <w:uiPriority w:val="29"/>
    <w:qFormat/>
    <w:rsid w:val="004E4BB3"/>
    <w:pPr>
      <w:tabs>
        <w:tab w:val="left" w:pos="6075"/>
      </w:tabs>
      <w:spacing w:after="120" w:line="240" w:lineRule="auto"/>
    </w:pPr>
    <w:rPr>
      <w:rFonts w:cs="Calibri"/>
      <w:i/>
      <w:color w:val="1F497D" w:themeColor="text2"/>
      <w:szCs w:val="20"/>
      <w:lang w:val="en-US"/>
    </w:rPr>
  </w:style>
  <w:style w:type="character" w:customStyle="1" w:styleId="QuoteChar">
    <w:name w:val="Quote Char"/>
    <w:basedOn w:val="DefaultParagraphFont"/>
    <w:link w:val="Quote"/>
    <w:uiPriority w:val="29"/>
    <w:rsid w:val="004E4BB3"/>
    <w:rPr>
      <w:rFonts w:cs="Calibri"/>
      <w:i/>
      <w:color w:val="1F497D" w:themeColor="text2"/>
      <w:sz w:val="22"/>
      <w:lang w:val="en-US" w:eastAsia="en-US"/>
    </w:rPr>
  </w:style>
  <w:style w:type="character" w:styleId="FollowedHyperlink">
    <w:name w:val="FollowedHyperlink"/>
    <w:basedOn w:val="DefaultParagraphFont"/>
    <w:uiPriority w:val="99"/>
    <w:semiHidden/>
    <w:unhideWhenUsed/>
    <w:rsid w:val="007609BE"/>
    <w:rPr>
      <w:color w:val="800080" w:themeColor="followedHyperlink"/>
      <w:u w:val="single"/>
    </w:rPr>
  </w:style>
  <w:style w:type="paragraph" w:styleId="Caption">
    <w:name w:val="caption"/>
    <w:basedOn w:val="Normal"/>
    <w:next w:val="Normal"/>
    <w:unhideWhenUsed/>
    <w:qFormat/>
    <w:rsid w:val="001657CD"/>
    <w:pPr>
      <w:spacing w:after="200" w:line="240" w:lineRule="auto"/>
    </w:pPr>
    <w:rPr>
      <w:rFonts w:eastAsia="Times New Roman"/>
      <w:b/>
      <w:bCs/>
      <w:color w:val="4F81BD" w:themeColor="accent1"/>
      <w:sz w:val="18"/>
      <w:szCs w:val="18"/>
      <w:lang w:eastAsia="en-AU"/>
    </w:rPr>
  </w:style>
  <w:style w:type="paragraph" w:styleId="TOC4">
    <w:name w:val="toc 4"/>
    <w:basedOn w:val="Normal"/>
    <w:next w:val="Normal"/>
    <w:autoRedefine/>
    <w:uiPriority w:val="39"/>
    <w:unhideWhenUsed/>
    <w:rsid w:val="001B7A6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B7A6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B7A6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B7A6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B7A6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B7A68"/>
    <w:pPr>
      <w:ind w:left="176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50"/>
    <w:pPr>
      <w:spacing w:line="276" w:lineRule="auto"/>
    </w:pPr>
    <w:rPr>
      <w:sz w:val="22"/>
      <w:szCs w:val="22"/>
      <w:lang w:eastAsia="en-US"/>
    </w:rPr>
  </w:style>
  <w:style w:type="paragraph" w:styleId="Heading1">
    <w:name w:val="heading 1"/>
    <w:basedOn w:val="Normal"/>
    <w:next w:val="Normal"/>
    <w:link w:val="Heading1Char"/>
    <w:qFormat/>
    <w:rsid w:val="00F275DD"/>
    <w:pPr>
      <w:keepNext/>
      <w:keepLines/>
      <w:spacing w:before="480"/>
      <w:outlineLvl w:val="0"/>
    </w:pPr>
    <w:rPr>
      <w:rFonts w:ascii="Arial" w:eastAsia="SimSun" w:hAnsi="Arial"/>
      <w:b/>
      <w:bCs/>
      <w:sz w:val="28"/>
      <w:szCs w:val="28"/>
      <w:lang w:val="x-none" w:eastAsia="x-none"/>
    </w:rPr>
  </w:style>
  <w:style w:type="paragraph" w:styleId="Heading2">
    <w:name w:val="heading 2"/>
    <w:basedOn w:val="Normal"/>
    <w:next w:val="Normal"/>
    <w:link w:val="Heading2Char"/>
    <w:unhideWhenUsed/>
    <w:qFormat/>
    <w:rsid w:val="00F275DD"/>
    <w:pPr>
      <w:keepNext/>
      <w:keepLines/>
      <w:spacing w:before="360" w:after="240"/>
      <w:outlineLvl w:val="1"/>
    </w:pPr>
    <w:rPr>
      <w:rFonts w:eastAsia="Times New Roman"/>
      <w:b/>
      <w:bCs/>
      <w:color w:val="000000"/>
      <w:sz w:val="28"/>
      <w:szCs w:val="26"/>
      <w:u w:val="single"/>
      <w:lang w:val="x-none"/>
    </w:rPr>
  </w:style>
  <w:style w:type="paragraph" w:styleId="Heading3">
    <w:name w:val="heading 3"/>
    <w:basedOn w:val="Normal"/>
    <w:next w:val="Normal"/>
    <w:link w:val="Heading3Char"/>
    <w:unhideWhenUsed/>
    <w:qFormat/>
    <w:rsid w:val="00F275DD"/>
    <w:pPr>
      <w:keepNext/>
      <w:keepLines/>
      <w:spacing w:before="240" w:after="120"/>
      <w:outlineLvl w:val="2"/>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LWGHeader">
    <w:name w:val="MLWG Header"/>
    <w:basedOn w:val="Normal"/>
    <w:uiPriority w:val="99"/>
    <w:rsid w:val="006255E6"/>
    <w:pPr>
      <w:pBdr>
        <w:bottom w:val="single" w:sz="8" w:space="1" w:color="FFFFFF"/>
      </w:pBdr>
      <w:shd w:val="clear" w:color="auto" w:fill="17365D"/>
      <w:spacing w:line="240" w:lineRule="auto"/>
      <w:jc w:val="right"/>
    </w:pPr>
    <w:rPr>
      <w:rFonts w:eastAsia="Times New Roman"/>
      <w:b/>
      <w:bCs/>
      <w:color w:val="FFFFFF"/>
      <w:szCs w:val="20"/>
      <w:lang w:eastAsia="en-AU"/>
    </w:rPr>
  </w:style>
  <w:style w:type="paragraph" w:customStyle="1" w:styleId="TopLine">
    <w:name w:val="Top Line"/>
    <w:basedOn w:val="Normal"/>
    <w:qFormat/>
    <w:rsid w:val="00BB43CB"/>
    <w:pPr>
      <w:pBdr>
        <w:bottom w:val="single" w:sz="4" w:space="1" w:color="auto"/>
      </w:pBdr>
      <w:spacing w:after="240"/>
    </w:pPr>
    <w:rPr>
      <w:b/>
      <w:sz w:val="24"/>
      <w:szCs w:val="24"/>
    </w:rPr>
  </w:style>
  <w:style w:type="paragraph" w:customStyle="1" w:styleId="Numberedpara">
    <w:name w:val="Numbered para"/>
    <w:basedOn w:val="Normal"/>
    <w:qFormat/>
    <w:rsid w:val="00BB43CB"/>
    <w:pPr>
      <w:ind w:left="567" w:hanging="567"/>
    </w:pPr>
  </w:style>
  <w:style w:type="paragraph" w:customStyle="1" w:styleId="Dots">
    <w:name w:val="Dots"/>
    <w:basedOn w:val="ListParagraph"/>
    <w:qFormat/>
    <w:rsid w:val="00BB43CB"/>
    <w:pPr>
      <w:numPr>
        <w:numId w:val="1"/>
      </w:numPr>
    </w:pPr>
  </w:style>
  <w:style w:type="paragraph" w:styleId="ListParagraph">
    <w:name w:val="List Paragraph"/>
    <w:basedOn w:val="Normal"/>
    <w:uiPriority w:val="34"/>
    <w:qFormat/>
    <w:rsid w:val="00BB43CB"/>
    <w:pPr>
      <w:ind w:left="720"/>
      <w:contextualSpacing/>
    </w:pPr>
  </w:style>
  <w:style w:type="paragraph" w:styleId="BalloonText">
    <w:name w:val="Balloon Text"/>
    <w:basedOn w:val="Normal"/>
    <w:link w:val="BalloonTextChar"/>
    <w:unhideWhenUsed/>
    <w:rsid w:val="006255E6"/>
    <w:pPr>
      <w:spacing w:line="240" w:lineRule="auto"/>
    </w:pPr>
    <w:rPr>
      <w:rFonts w:ascii="Tahoma" w:hAnsi="Tahoma"/>
      <w:sz w:val="16"/>
      <w:szCs w:val="16"/>
      <w:lang w:val="x-none" w:eastAsia="x-none"/>
    </w:rPr>
  </w:style>
  <w:style w:type="character" w:customStyle="1" w:styleId="BalloonTextChar">
    <w:name w:val="Balloon Text Char"/>
    <w:link w:val="BalloonText"/>
    <w:rsid w:val="006255E6"/>
    <w:rPr>
      <w:rFonts w:ascii="Tahoma" w:hAnsi="Tahoma" w:cs="Tahoma"/>
      <w:sz w:val="16"/>
      <w:szCs w:val="16"/>
    </w:rPr>
  </w:style>
  <w:style w:type="character" w:customStyle="1" w:styleId="Heading1Char">
    <w:name w:val="Heading 1 Char"/>
    <w:link w:val="Heading1"/>
    <w:rsid w:val="00F275DD"/>
    <w:rPr>
      <w:rFonts w:ascii="Arial" w:eastAsia="SimSun" w:hAnsi="Arial"/>
      <w:b/>
      <w:bCs/>
      <w:sz w:val="28"/>
      <w:szCs w:val="28"/>
      <w:lang w:val="x-none" w:eastAsia="x-none"/>
    </w:rPr>
  </w:style>
  <w:style w:type="character" w:customStyle="1" w:styleId="Heading2Char">
    <w:name w:val="Heading 2 Char"/>
    <w:link w:val="Heading2"/>
    <w:rsid w:val="00F275DD"/>
    <w:rPr>
      <w:rFonts w:eastAsia="Times New Roman"/>
      <w:b/>
      <w:bCs/>
      <w:color w:val="000000"/>
      <w:sz w:val="28"/>
      <w:szCs w:val="26"/>
      <w:u w:val="single"/>
      <w:lang w:val="x-none" w:eastAsia="en-US"/>
    </w:rPr>
  </w:style>
  <w:style w:type="paragraph" w:styleId="Header">
    <w:name w:val="header"/>
    <w:basedOn w:val="Normal"/>
    <w:link w:val="HeaderChar"/>
    <w:unhideWhenUsed/>
    <w:rsid w:val="009D48D6"/>
    <w:pPr>
      <w:pBdr>
        <w:bottom w:val="double" w:sz="6" w:space="0" w:color="004270"/>
      </w:pBdr>
      <w:tabs>
        <w:tab w:val="center" w:pos="4513"/>
        <w:tab w:val="right" w:pos="9026"/>
      </w:tabs>
      <w:spacing w:line="240" w:lineRule="auto"/>
      <w:jc w:val="right"/>
    </w:pPr>
    <w:rPr>
      <w:rFonts w:ascii="Tahoma" w:hAnsi="Tahoma"/>
      <w:sz w:val="16"/>
      <w:szCs w:val="16"/>
      <w:lang w:val="x-none" w:eastAsia="x-none"/>
    </w:rPr>
  </w:style>
  <w:style w:type="character" w:customStyle="1" w:styleId="HeaderChar">
    <w:name w:val="Header Char"/>
    <w:link w:val="Header"/>
    <w:rsid w:val="009D48D6"/>
    <w:rPr>
      <w:rFonts w:ascii="Tahoma" w:hAnsi="Tahoma" w:cs="Tahoma"/>
      <w:sz w:val="16"/>
      <w:szCs w:val="16"/>
    </w:rPr>
  </w:style>
  <w:style w:type="paragraph" w:styleId="Footer">
    <w:name w:val="footer"/>
    <w:basedOn w:val="Normal"/>
    <w:link w:val="FooterChar"/>
    <w:uiPriority w:val="99"/>
    <w:unhideWhenUsed/>
    <w:rsid w:val="009D48D6"/>
    <w:pPr>
      <w:pBdr>
        <w:top w:val="double" w:sz="6" w:space="0" w:color="004270"/>
      </w:pBdr>
      <w:tabs>
        <w:tab w:val="right" w:pos="1134"/>
      </w:tabs>
      <w:spacing w:line="240" w:lineRule="auto"/>
      <w:ind w:right="7892"/>
    </w:pPr>
    <w:rPr>
      <w:rFonts w:ascii="Tahoma" w:hAnsi="Tahoma"/>
      <w:sz w:val="16"/>
      <w:szCs w:val="16"/>
      <w:lang w:val="x-none" w:eastAsia="x-none"/>
    </w:rPr>
  </w:style>
  <w:style w:type="character" w:customStyle="1" w:styleId="FooterChar">
    <w:name w:val="Footer Char"/>
    <w:link w:val="Footer"/>
    <w:uiPriority w:val="99"/>
    <w:rsid w:val="009D48D6"/>
    <w:rPr>
      <w:rFonts w:ascii="Tahoma" w:hAnsi="Tahoma" w:cs="Tahoma"/>
      <w:sz w:val="16"/>
      <w:szCs w:val="16"/>
    </w:rPr>
  </w:style>
  <w:style w:type="paragraph" w:customStyle="1" w:styleId="Titlepage">
    <w:name w:val="Title page"/>
    <w:basedOn w:val="Normal"/>
    <w:link w:val="TitlepageChar"/>
    <w:uiPriority w:val="99"/>
    <w:qFormat/>
    <w:rsid w:val="009A483B"/>
    <w:pPr>
      <w:jc w:val="center"/>
    </w:pPr>
    <w:rPr>
      <w:rFonts w:ascii="Arial" w:hAnsi="Arial"/>
      <w:b/>
      <w:color w:val="004270"/>
      <w:sz w:val="56"/>
      <w:szCs w:val="56"/>
      <w:lang w:val="x-none" w:eastAsia="x-none"/>
    </w:rPr>
  </w:style>
  <w:style w:type="paragraph" w:customStyle="1" w:styleId="Default">
    <w:name w:val="Default"/>
    <w:link w:val="DefaultChar"/>
    <w:rsid w:val="009D7F6B"/>
    <w:pPr>
      <w:autoSpaceDE w:val="0"/>
      <w:autoSpaceDN w:val="0"/>
      <w:adjustRightInd w:val="0"/>
    </w:pPr>
    <w:rPr>
      <w:rFonts w:ascii="Corbel" w:hAnsi="Corbel"/>
      <w:color w:val="000000"/>
      <w:sz w:val="24"/>
      <w:szCs w:val="24"/>
    </w:rPr>
  </w:style>
  <w:style w:type="character" w:customStyle="1" w:styleId="TitlepageChar">
    <w:name w:val="Title page Char"/>
    <w:link w:val="Titlepage"/>
    <w:uiPriority w:val="99"/>
    <w:rsid w:val="009A483B"/>
    <w:rPr>
      <w:rFonts w:ascii="Arial" w:hAnsi="Arial" w:cs="Arial"/>
      <w:b/>
      <w:color w:val="004270"/>
      <w:sz w:val="56"/>
      <w:szCs w:val="56"/>
    </w:rPr>
  </w:style>
  <w:style w:type="paragraph" w:customStyle="1" w:styleId="FromNP">
    <w:name w:val="From NP"/>
    <w:basedOn w:val="Default"/>
    <w:link w:val="FromNPChar"/>
    <w:uiPriority w:val="99"/>
    <w:qFormat/>
    <w:rsid w:val="009D7F6B"/>
    <w:pPr>
      <w:spacing w:after="195"/>
    </w:pPr>
    <w:rPr>
      <w:lang w:val="x-none" w:eastAsia="x-none"/>
    </w:rPr>
  </w:style>
  <w:style w:type="paragraph" w:customStyle="1" w:styleId="TableColumnHeadingCentred">
    <w:name w:val="Table Column Heading Centred"/>
    <w:basedOn w:val="Normal"/>
    <w:rsid w:val="007D72B1"/>
    <w:pPr>
      <w:spacing w:before="40" w:after="40" w:line="240" w:lineRule="auto"/>
      <w:jc w:val="center"/>
    </w:pPr>
    <w:rPr>
      <w:rFonts w:eastAsia="Times New Roman"/>
      <w:b/>
      <w:sz w:val="20"/>
      <w:szCs w:val="20"/>
      <w:lang w:eastAsia="en-AU"/>
    </w:rPr>
  </w:style>
  <w:style w:type="character" w:customStyle="1" w:styleId="DefaultChar">
    <w:name w:val="Default Char"/>
    <w:link w:val="Default"/>
    <w:uiPriority w:val="99"/>
    <w:rsid w:val="009D7F6B"/>
    <w:rPr>
      <w:rFonts w:ascii="Corbel" w:hAnsi="Corbel"/>
      <w:color w:val="000000"/>
      <w:sz w:val="24"/>
      <w:szCs w:val="24"/>
      <w:lang w:bidi="ar-SA"/>
    </w:rPr>
  </w:style>
  <w:style w:type="character" w:customStyle="1" w:styleId="FromNPChar">
    <w:name w:val="From NP Char"/>
    <w:link w:val="FromNP"/>
    <w:uiPriority w:val="99"/>
    <w:rsid w:val="009D7F6B"/>
    <w:rPr>
      <w:rFonts w:ascii="Corbel" w:hAnsi="Corbel" w:cs="Corbel"/>
      <w:color w:val="000000"/>
      <w:sz w:val="24"/>
      <w:szCs w:val="24"/>
    </w:rPr>
  </w:style>
  <w:style w:type="paragraph" w:customStyle="1" w:styleId="TableTextLeft">
    <w:name w:val="Table Text Left"/>
    <w:basedOn w:val="Normal"/>
    <w:rsid w:val="000B6578"/>
    <w:pPr>
      <w:spacing w:before="40" w:after="40" w:line="240" w:lineRule="auto"/>
      <w:jc w:val="both"/>
    </w:pPr>
    <w:rPr>
      <w:rFonts w:ascii="Corbel" w:eastAsia="Times New Roman" w:hAnsi="Corbel"/>
      <w:color w:val="000000"/>
      <w:sz w:val="21"/>
      <w:szCs w:val="20"/>
      <w:lang w:eastAsia="en-AU"/>
    </w:rPr>
  </w:style>
  <w:style w:type="paragraph" w:customStyle="1" w:styleId="Normalnumbered">
    <w:name w:val="Normal numbered"/>
    <w:basedOn w:val="Normal"/>
    <w:link w:val="NormalnumberedChar"/>
    <w:uiPriority w:val="99"/>
    <w:rsid w:val="000B6578"/>
    <w:pPr>
      <w:numPr>
        <w:numId w:val="2"/>
      </w:numPr>
      <w:spacing w:after="240" w:line="260" w:lineRule="exact"/>
      <w:jc w:val="both"/>
    </w:pPr>
    <w:rPr>
      <w:rFonts w:ascii="Corbel" w:eastAsia="Times New Roman" w:hAnsi="Corbel"/>
      <w:color w:val="000000"/>
      <w:sz w:val="23"/>
      <w:szCs w:val="20"/>
      <w:lang w:val="x-none" w:eastAsia="en-AU"/>
    </w:rPr>
  </w:style>
  <w:style w:type="character" w:customStyle="1" w:styleId="NormalnumberedChar">
    <w:name w:val="Normal numbered Char"/>
    <w:link w:val="Normalnumbered"/>
    <w:uiPriority w:val="99"/>
    <w:locked/>
    <w:rsid w:val="000B6578"/>
    <w:rPr>
      <w:rFonts w:ascii="Corbel" w:eastAsia="Times New Roman" w:hAnsi="Corbel"/>
      <w:color w:val="000000"/>
      <w:sz w:val="23"/>
      <w:lang w:val="x-none"/>
    </w:rPr>
  </w:style>
  <w:style w:type="table" w:styleId="TableGrid">
    <w:name w:val="Table Grid"/>
    <w:basedOn w:val="TableNormal"/>
    <w:rsid w:val="00AC68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Normal"/>
    <w:next w:val="Normal"/>
    <w:uiPriority w:val="39"/>
    <w:unhideWhenUsed/>
    <w:qFormat/>
    <w:rsid w:val="007D62DD"/>
    <w:pPr>
      <w:keepNext/>
      <w:keepLines/>
      <w:spacing w:before="480"/>
    </w:pPr>
    <w:rPr>
      <w:rFonts w:eastAsia="Times New Roman" w:cs="Calibri"/>
      <w:b/>
      <w:bCs/>
      <w:sz w:val="32"/>
      <w:szCs w:val="28"/>
      <w:lang w:val="en-US"/>
    </w:rPr>
  </w:style>
  <w:style w:type="paragraph" w:styleId="TOC2">
    <w:name w:val="toc 2"/>
    <w:basedOn w:val="Normal"/>
    <w:next w:val="Normal"/>
    <w:autoRedefine/>
    <w:uiPriority w:val="39"/>
    <w:unhideWhenUsed/>
    <w:qFormat/>
    <w:rsid w:val="007B55B3"/>
    <w:pPr>
      <w:ind w:left="220"/>
    </w:pPr>
    <w:rPr>
      <w:rFonts w:asciiTheme="minorHAnsi" w:hAnsiTheme="minorHAnsi" w:cstheme="minorHAnsi"/>
      <w:smallCaps/>
      <w:sz w:val="20"/>
      <w:szCs w:val="20"/>
    </w:rPr>
  </w:style>
  <w:style w:type="character" w:styleId="Hyperlink">
    <w:name w:val="Hyperlink"/>
    <w:uiPriority w:val="99"/>
    <w:unhideWhenUsed/>
    <w:rsid w:val="00B553AC"/>
    <w:rPr>
      <w:color w:val="0000FF"/>
      <w:u w:val="single"/>
    </w:rPr>
  </w:style>
  <w:style w:type="paragraph" w:styleId="TOC1">
    <w:name w:val="toc 1"/>
    <w:basedOn w:val="Normal"/>
    <w:next w:val="Normal"/>
    <w:autoRedefine/>
    <w:uiPriority w:val="39"/>
    <w:unhideWhenUsed/>
    <w:qFormat/>
    <w:rsid w:val="003C597F"/>
    <w:pPr>
      <w:spacing w:before="120" w:after="120"/>
    </w:pPr>
    <w:rPr>
      <w:rFonts w:asciiTheme="minorHAnsi" w:hAnsiTheme="minorHAnsi" w:cstheme="minorHAnsi"/>
      <w:b/>
      <w:bCs/>
      <w:caps/>
      <w:sz w:val="20"/>
      <w:szCs w:val="20"/>
    </w:rPr>
  </w:style>
  <w:style w:type="paragraph" w:styleId="TOC3">
    <w:name w:val="toc 3"/>
    <w:basedOn w:val="Normal"/>
    <w:next w:val="Normal"/>
    <w:autoRedefine/>
    <w:unhideWhenUsed/>
    <w:qFormat/>
    <w:rsid w:val="00605C73"/>
    <w:pPr>
      <w:ind w:left="440"/>
    </w:pPr>
    <w:rPr>
      <w:rFonts w:asciiTheme="minorHAnsi" w:hAnsiTheme="minorHAnsi" w:cstheme="minorHAnsi"/>
      <w:i/>
      <w:iCs/>
      <w:sz w:val="20"/>
      <w:szCs w:val="20"/>
    </w:rPr>
  </w:style>
  <w:style w:type="paragraph" w:customStyle="1" w:styleId="Itemnumber">
    <w:name w:val="Item number"/>
    <w:basedOn w:val="Normal"/>
    <w:rsid w:val="0095198F"/>
    <w:pPr>
      <w:spacing w:before="120" w:after="120" w:line="240" w:lineRule="auto"/>
      <w:ind w:left="1440" w:hanging="1440"/>
    </w:pPr>
    <w:rPr>
      <w:rFonts w:eastAsia="Times New Roman"/>
      <w:b/>
      <w:bCs/>
      <w:szCs w:val="20"/>
      <w:lang w:eastAsia="en-AU"/>
    </w:rPr>
  </w:style>
  <w:style w:type="paragraph" w:styleId="FootnoteText">
    <w:name w:val="footnote text"/>
    <w:basedOn w:val="Normal"/>
    <w:link w:val="FootnoteTextChar"/>
    <w:rsid w:val="00AE67DB"/>
    <w:pPr>
      <w:spacing w:line="240" w:lineRule="auto"/>
    </w:pPr>
    <w:rPr>
      <w:rFonts w:ascii="Times New Roman" w:eastAsia="Times New Roman" w:hAnsi="Times New Roman"/>
      <w:sz w:val="20"/>
      <w:szCs w:val="20"/>
      <w:lang w:val="x-none" w:eastAsia="en-AU"/>
    </w:rPr>
  </w:style>
  <w:style w:type="character" w:customStyle="1" w:styleId="FootnoteTextChar">
    <w:name w:val="Footnote Text Char"/>
    <w:link w:val="FootnoteText"/>
    <w:rsid w:val="00AE67DB"/>
    <w:rPr>
      <w:rFonts w:ascii="Times New Roman" w:eastAsia="Times New Roman" w:hAnsi="Times New Roman" w:cs="Times New Roman"/>
      <w:sz w:val="20"/>
      <w:szCs w:val="20"/>
      <w:lang w:eastAsia="en-AU"/>
    </w:rPr>
  </w:style>
  <w:style w:type="character" w:styleId="FootnoteReference">
    <w:name w:val="footnote reference"/>
    <w:rsid w:val="00AE67DB"/>
    <w:rPr>
      <w:vertAlign w:val="superscript"/>
    </w:rPr>
  </w:style>
  <w:style w:type="paragraph" w:customStyle="1" w:styleId="othertitle">
    <w:name w:val="other title"/>
    <w:basedOn w:val="Heading2"/>
    <w:qFormat/>
    <w:rsid w:val="00C87393"/>
    <w:pPr>
      <w:spacing w:before="120" w:after="0"/>
    </w:pPr>
  </w:style>
  <w:style w:type="character" w:customStyle="1" w:styleId="Heading3Char">
    <w:name w:val="Heading 3 Char"/>
    <w:link w:val="Heading3"/>
    <w:rsid w:val="00F275DD"/>
    <w:rPr>
      <w:rFonts w:eastAsia="Times New Roman"/>
      <w:b/>
      <w:bCs/>
      <w:sz w:val="22"/>
      <w:szCs w:val="22"/>
      <w:lang w:val="x-none" w:eastAsia="en-US"/>
    </w:rPr>
  </w:style>
  <w:style w:type="character" w:styleId="Strong">
    <w:name w:val="Strong"/>
    <w:uiPriority w:val="22"/>
    <w:qFormat/>
    <w:rsid w:val="001368B0"/>
    <w:rPr>
      <w:b/>
      <w:bCs/>
    </w:rPr>
  </w:style>
  <w:style w:type="paragraph" w:customStyle="1" w:styleId="SubHeading">
    <w:name w:val="Sub Heading"/>
    <w:basedOn w:val="Heading3"/>
    <w:rsid w:val="005A727A"/>
    <w:pPr>
      <w:keepLines w:val="0"/>
      <w:spacing w:after="240" w:line="240" w:lineRule="auto"/>
    </w:pPr>
    <w:rPr>
      <w:b w:val="0"/>
      <w:bCs w:val="0"/>
      <w:szCs w:val="20"/>
      <w:lang w:eastAsia="en-AU"/>
    </w:rPr>
  </w:style>
  <w:style w:type="paragraph" w:styleId="BodyText">
    <w:name w:val="Body Text"/>
    <w:basedOn w:val="Normal"/>
    <w:link w:val="BodyTextChar"/>
    <w:rsid w:val="002E4CAD"/>
    <w:pPr>
      <w:pBdr>
        <w:top w:val="single" w:sz="4" w:space="1" w:color="auto"/>
        <w:left w:val="single" w:sz="4" w:space="4" w:color="auto"/>
        <w:bottom w:val="single" w:sz="4" w:space="1" w:color="auto"/>
        <w:right w:val="single" w:sz="4" w:space="4" w:color="auto"/>
      </w:pBdr>
      <w:spacing w:line="240" w:lineRule="auto"/>
      <w:jc w:val="center"/>
    </w:pPr>
    <w:rPr>
      <w:rFonts w:ascii="Times New Roman" w:eastAsia="Times New Roman" w:hAnsi="Times New Roman"/>
      <w:b/>
      <w:bCs/>
      <w:sz w:val="24"/>
      <w:szCs w:val="24"/>
      <w:lang w:val="x-none" w:eastAsia="x-none"/>
    </w:rPr>
  </w:style>
  <w:style w:type="character" w:customStyle="1" w:styleId="BodyTextChar">
    <w:name w:val="Body Text Char"/>
    <w:link w:val="BodyText"/>
    <w:rsid w:val="002E4CAD"/>
    <w:rPr>
      <w:rFonts w:ascii="Times New Roman" w:eastAsia="Times New Roman" w:hAnsi="Times New Roman" w:cs="Times New Roman"/>
      <w:b/>
      <w:bCs/>
      <w:sz w:val="24"/>
      <w:szCs w:val="24"/>
    </w:rPr>
  </w:style>
  <w:style w:type="character" w:styleId="CommentReference">
    <w:name w:val="annotation reference"/>
    <w:unhideWhenUsed/>
    <w:rsid w:val="00890045"/>
    <w:rPr>
      <w:sz w:val="16"/>
      <w:szCs w:val="16"/>
    </w:rPr>
  </w:style>
  <w:style w:type="paragraph" w:styleId="CommentText">
    <w:name w:val="annotation text"/>
    <w:basedOn w:val="Normal"/>
    <w:link w:val="CommentTextChar"/>
    <w:unhideWhenUsed/>
    <w:rsid w:val="00890045"/>
    <w:rPr>
      <w:sz w:val="20"/>
      <w:szCs w:val="20"/>
      <w:lang w:val="x-none"/>
    </w:rPr>
  </w:style>
  <w:style w:type="character" w:customStyle="1" w:styleId="CommentTextChar">
    <w:name w:val="Comment Text Char"/>
    <w:link w:val="CommentText"/>
    <w:rsid w:val="00890045"/>
    <w:rPr>
      <w:lang w:eastAsia="en-US"/>
    </w:rPr>
  </w:style>
  <w:style w:type="paragraph" w:styleId="CommentSubject">
    <w:name w:val="annotation subject"/>
    <w:basedOn w:val="CommentText"/>
    <w:next w:val="CommentText"/>
    <w:link w:val="CommentSubjectChar"/>
    <w:unhideWhenUsed/>
    <w:rsid w:val="00890045"/>
    <w:rPr>
      <w:b/>
      <w:bCs/>
    </w:rPr>
  </w:style>
  <w:style w:type="character" w:customStyle="1" w:styleId="CommentSubjectChar">
    <w:name w:val="Comment Subject Char"/>
    <w:link w:val="CommentSubject"/>
    <w:rsid w:val="00890045"/>
    <w:rPr>
      <w:b/>
      <w:bCs/>
      <w:lang w:eastAsia="en-US"/>
    </w:rPr>
  </w:style>
  <w:style w:type="paragraph" w:styleId="BodyText2">
    <w:name w:val="Body Text 2"/>
    <w:basedOn w:val="Normal"/>
    <w:link w:val="BodyText2Char"/>
    <w:unhideWhenUsed/>
    <w:rsid w:val="00D62450"/>
    <w:pPr>
      <w:autoSpaceDE w:val="0"/>
      <w:autoSpaceDN w:val="0"/>
      <w:adjustRightInd w:val="0"/>
    </w:pPr>
    <w:rPr>
      <w:rFonts w:cs="Calibri"/>
    </w:rPr>
  </w:style>
  <w:style w:type="character" w:customStyle="1" w:styleId="BodyText2Char">
    <w:name w:val="Body Text 2 Char"/>
    <w:basedOn w:val="DefaultParagraphFont"/>
    <w:link w:val="BodyText2"/>
    <w:rsid w:val="00D62450"/>
    <w:rPr>
      <w:rFonts w:cs="Calibri"/>
      <w:sz w:val="22"/>
      <w:szCs w:val="22"/>
      <w:lang w:eastAsia="en-US"/>
    </w:rPr>
  </w:style>
  <w:style w:type="paragraph" w:styleId="ListBullet">
    <w:name w:val="List Bullet"/>
    <w:basedOn w:val="Normal"/>
    <w:unhideWhenUsed/>
    <w:rsid w:val="00D62450"/>
    <w:pPr>
      <w:numPr>
        <w:numId w:val="5"/>
      </w:numPr>
      <w:spacing w:line="240" w:lineRule="auto"/>
    </w:pPr>
    <w:rPr>
      <w:rFonts w:cs="Calibri"/>
    </w:rPr>
  </w:style>
  <w:style w:type="paragraph" w:styleId="ListNumber">
    <w:name w:val="List Number"/>
    <w:basedOn w:val="BodyText"/>
    <w:uiPriority w:val="99"/>
    <w:unhideWhenUsed/>
    <w:rsid w:val="00152D5F"/>
    <w:pPr>
      <w:numPr>
        <w:numId w:val="9"/>
      </w:numPr>
      <w:pBdr>
        <w:top w:val="none" w:sz="0" w:space="0" w:color="auto"/>
        <w:left w:val="none" w:sz="0" w:space="0" w:color="auto"/>
        <w:bottom w:val="none" w:sz="0" w:space="0" w:color="auto"/>
        <w:right w:val="none" w:sz="0" w:space="0" w:color="auto"/>
      </w:pBdr>
      <w:jc w:val="left"/>
    </w:pPr>
    <w:rPr>
      <w:rFonts w:ascii="Calibri" w:hAnsi="Calibri" w:cs="Calibri"/>
      <w:b w:val="0"/>
      <w:bCs w:val="0"/>
      <w:sz w:val="22"/>
      <w:szCs w:val="22"/>
    </w:rPr>
  </w:style>
  <w:style w:type="paragraph" w:styleId="ListBullet2">
    <w:name w:val="List Bullet 2"/>
    <w:basedOn w:val="Normal"/>
    <w:unhideWhenUsed/>
    <w:rsid w:val="00A63DFD"/>
    <w:pPr>
      <w:numPr>
        <w:numId w:val="4"/>
      </w:numPr>
      <w:contextualSpacing/>
    </w:pPr>
  </w:style>
  <w:style w:type="numbering" w:customStyle="1" w:styleId="NoList1">
    <w:name w:val="No List1"/>
    <w:next w:val="NoList"/>
    <w:uiPriority w:val="99"/>
    <w:semiHidden/>
    <w:unhideWhenUsed/>
    <w:rsid w:val="009A0717"/>
  </w:style>
  <w:style w:type="table" w:customStyle="1" w:styleId="TableGrid1">
    <w:name w:val="Table Grid1"/>
    <w:basedOn w:val="TableNormal"/>
    <w:next w:val="TableGrid"/>
    <w:rsid w:val="009A07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A0717"/>
    <w:rPr>
      <w:i/>
      <w:iCs/>
      <w:sz w:val="22"/>
    </w:rPr>
  </w:style>
  <w:style w:type="numbering" w:customStyle="1" w:styleId="NoList2">
    <w:name w:val="No List2"/>
    <w:next w:val="NoList"/>
    <w:uiPriority w:val="99"/>
    <w:semiHidden/>
    <w:unhideWhenUsed/>
    <w:rsid w:val="00134652"/>
  </w:style>
  <w:style w:type="paragraph" w:customStyle="1" w:styleId="IntenseQuote1">
    <w:name w:val="Intense Quote1"/>
    <w:basedOn w:val="Normal"/>
    <w:next w:val="Normal"/>
    <w:uiPriority w:val="30"/>
    <w:qFormat/>
    <w:rsid w:val="00134652"/>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0"/>
    </w:rPr>
  </w:style>
  <w:style w:type="character" w:customStyle="1" w:styleId="IntenseQuoteChar">
    <w:name w:val="Intense Quote Char"/>
    <w:basedOn w:val="DefaultParagraphFont"/>
    <w:link w:val="IntenseQuote"/>
    <w:uiPriority w:val="30"/>
    <w:rsid w:val="00134652"/>
    <w:rPr>
      <w:b/>
      <w:bCs/>
      <w:i/>
      <w:iCs/>
      <w:color w:val="4F81BD"/>
      <w:sz w:val="24"/>
      <w:lang w:eastAsia="en-US"/>
    </w:rPr>
  </w:style>
  <w:style w:type="paragraph" w:customStyle="1" w:styleId="Ahead">
    <w:name w:val="Ahead"/>
    <w:basedOn w:val="Normal"/>
    <w:qFormat/>
    <w:rsid w:val="00134652"/>
    <w:pPr>
      <w:spacing w:after="120" w:line="240" w:lineRule="auto"/>
    </w:pPr>
    <w:rPr>
      <w:rFonts w:ascii="Times New Roman" w:hAnsi="Times New Roman"/>
      <w:b/>
      <w:sz w:val="28"/>
      <w:szCs w:val="24"/>
      <w:lang w:val="en-US"/>
    </w:rPr>
  </w:style>
  <w:style w:type="paragraph" w:customStyle="1" w:styleId="text">
    <w:name w:val="text"/>
    <w:basedOn w:val="Normal"/>
    <w:qFormat/>
    <w:rsid w:val="00134652"/>
    <w:pPr>
      <w:spacing w:after="120" w:line="300" w:lineRule="atLeast"/>
    </w:pPr>
    <w:rPr>
      <w:rFonts w:ascii="Times New Roman" w:hAnsi="Times New Roman"/>
      <w:sz w:val="24"/>
      <w:szCs w:val="24"/>
      <w:lang w:val="en-US"/>
    </w:rPr>
  </w:style>
  <w:style w:type="paragraph" w:styleId="NoSpacing">
    <w:name w:val="No Spacing"/>
    <w:uiPriority w:val="1"/>
    <w:qFormat/>
    <w:rsid w:val="00134652"/>
    <w:rPr>
      <w:sz w:val="22"/>
      <w:szCs w:val="22"/>
      <w:lang w:eastAsia="en-US"/>
    </w:rPr>
  </w:style>
  <w:style w:type="paragraph" w:customStyle="1" w:styleId="dpReclev2">
    <w:name w:val="dp Rec lev2"/>
    <w:basedOn w:val="Normal"/>
    <w:qFormat/>
    <w:rsid w:val="00134652"/>
    <w:pPr>
      <w:numPr>
        <w:numId w:val="16"/>
      </w:numPr>
      <w:tabs>
        <w:tab w:val="clear" w:pos="1070"/>
        <w:tab w:val="num" w:pos="720"/>
        <w:tab w:val="right" w:leader="dot" w:pos="9639"/>
      </w:tabs>
      <w:spacing w:after="200" w:line="252" w:lineRule="auto"/>
      <w:ind w:left="720"/>
      <w:contextualSpacing/>
    </w:pPr>
    <w:rPr>
      <w:rFonts w:ascii="Cambria" w:eastAsia="Times New Roman" w:hAnsi="Cambria"/>
      <w:noProof/>
    </w:rPr>
  </w:style>
  <w:style w:type="paragraph" w:customStyle="1" w:styleId="TOC41">
    <w:name w:val="TOC 41"/>
    <w:basedOn w:val="Normal"/>
    <w:next w:val="Normal"/>
    <w:autoRedefine/>
    <w:rsid w:val="00134652"/>
    <w:pPr>
      <w:spacing w:line="240" w:lineRule="auto"/>
      <w:ind w:left="720"/>
    </w:pPr>
    <w:rPr>
      <w:rFonts w:eastAsia="Times New Roman" w:cs="Calibri"/>
      <w:sz w:val="18"/>
      <w:szCs w:val="18"/>
    </w:rPr>
  </w:style>
  <w:style w:type="paragraph" w:customStyle="1" w:styleId="TOC51">
    <w:name w:val="TOC 51"/>
    <w:basedOn w:val="Normal"/>
    <w:next w:val="Normal"/>
    <w:autoRedefine/>
    <w:rsid w:val="00134652"/>
    <w:pPr>
      <w:spacing w:line="240" w:lineRule="auto"/>
      <w:ind w:left="960"/>
    </w:pPr>
    <w:rPr>
      <w:rFonts w:eastAsia="Times New Roman" w:cs="Calibri"/>
      <w:sz w:val="18"/>
      <w:szCs w:val="18"/>
    </w:rPr>
  </w:style>
  <w:style w:type="paragraph" w:customStyle="1" w:styleId="TOC61">
    <w:name w:val="TOC 61"/>
    <w:basedOn w:val="Normal"/>
    <w:next w:val="Normal"/>
    <w:autoRedefine/>
    <w:rsid w:val="00134652"/>
    <w:pPr>
      <w:spacing w:line="240" w:lineRule="auto"/>
      <w:ind w:left="1200"/>
    </w:pPr>
    <w:rPr>
      <w:rFonts w:eastAsia="Times New Roman" w:cs="Calibri"/>
      <w:sz w:val="18"/>
      <w:szCs w:val="18"/>
    </w:rPr>
  </w:style>
  <w:style w:type="paragraph" w:customStyle="1" w:styleId="TOC71">
    <w:name w:val="TOC 71"/>
    <w:basedOn w:val="Normal"/>
    <w:next w:val="Normal"/>
    <w:autoRedefine/>
    <w:rsid w:val="00134652"/>
    <w:pPr>
      <w:spacing w:line="240" w:lineRule="auto"/>
      <w:ind w:left="1440"/>
    </w:pPr>
    <w:rPr>
      <w:rFonts w:eastAsia="Times New Roman" w:cs="Calibri"/>
      <w:sz w:val="18"/>
      <w:szCs w:val="18"/>
    </w:rPr>
  </w:style>
  <w:style w:type="paragraph" w:customStyle="1" w:styleId="TOC81">
    <w:name w:val="TOC 81"/>
    <w:basedOn w:val="Normal"/>
    <w:next w:val="Normal"/>
    <w:autoRedefine/>
    <w:rsid w:val="00134652"/>
    <w:pPr>
      <w:spacing w:line="240" w:lineRule="auto"/>
      <w:ind w:left="1680"/>
    </w:pPr>
    <w:rPr>
      <w:rFonts w:eastAsia="Times New Roman" w:cs="Calibri"/>
      <w:sz w:val="18"/>
      <w:szCs w:val="18"/>
    </w:rPr>
  </w:style>
  <w:style w:type="paragraph" w:customStyle="1" w:styleId="TOC91">
    <w:name w:val="TOC 91"/>
    <w:basedOn w:val="Normal"/>
    <w:next w:val="Normal"/>
    <w:autoRedefine/>
    <w:rsid w:val="00134652"/>
    <w:pPr>
      <w:spacing w:line="240" w:lineRule="auto"/>
      <w:ind w:left="1920"/>
    </w:pPr>
    <w:rPr>
      <w:rFonts w:eastAsia="Times New Roman" w:cs="Calibri"/>
      <w:sz w:val="18"/>
      <w:szCs w:val="18"/>
    </w:rPr>
  </w:style>
  <w:style w:type="table" w:customStyle="1" w:styleId="TableGrid2">
    <w:name w:val="Table Grid2"/>
    <w:basedOn w:val="TableNormal"/>
    <w:next w:val="TableGrid"/>
    <w:rsid w:val="001346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autoRedefine/>
    <w:rsid w:val="00134652"/>
    <w:pPr>
      <w:spacing w:before="120" w:after="120" w:line="240" w:lineRule="auto"/>
    </w:pPr>
    <w:rPr>
      <w:rFonts w:eastAsia="Times New Roman" w:cs="Calibri"/>
    </w:rPr>
  </w:style>
  <w:style w:type="paragraph" w:styleId="IntenseQuote">
    <w:name w:val="Intense Quote"/>
    <w:basedOn w:val="Normal"/>
    <w:next w:val="Normal"/>
    <w:link w:val="IntenseQuoteChar"/>
    <w:uiPriority w:val="30"/>
    <w:qFormat/>
    <w:rsid w:val="00134652"/>
    <w:pPr>
      <w:pBdr>
        <w:bottom w:val="single" w:sz="4" w:space="4" w:color="4F81BD" w:themeColor="accent1"/>
      </w:pBdr>
      <w:spacing w:before="200" w:after="280"/>
      <w:ind w:left="936" w:right="936"/>
    </w:pPr>
    <w:rPr>
      <w:b/>
      <w:bCs/>
      <w:i/>
      <w:iCs/>
      <w:color w:val="4F81BD"/>
      <w:sz w:val="24"/>
      <w:szCs w:val="20"/>
    </w:rPr>
  </w:style>
  <w:style w:type="character" w:customStyle="1" w:styleId="IntenseQuoteChar1">
    <w:name w:val="Intense Quote Char1"/>
    <w:basedOn w:val="DefaultParagraphFont"/>
    <w:uiPriority w:val="30"/>
    <w:rsid w:val="00134652"/>
    <w:rPr>
      <w:b/>
      <w:bCs/>
      <w:i/>
      <w:iCs/>
      <w:color w:val="4F81BD" w:themeColor="accent1"/>
      <w:sz w:val="22"/>
      <w:szCs w:val="22"/>
      <w:lang w:eastAsia="en-US"/>
    </w:rPr>
  </w:style>
  <w:style w:type="paragraph" w:customStyle="1" w:styleId="Heading">
    <w:name w:val="Heading"/>
    <w:basedOn w:val="Normal"/>
    <w:qFormat/>
    <w:rsid w:val="00C7346B"/>
    <w:pPr>
      <w:tabs>
        <w:tab w:val="left" w:pos="6075"/>
      </w:tabs>
      <w:spacing w:before="120"/>
      <w:contextualSpacing/>
    </w:pPr>
    <w:rPr>
      <w:b/>
      <w:color w:val="1F497D" w:themeColor="text2"/>
      <w:sz w:val="28"/>
      <w:szCs w:val="28"/>
    </w:rPr>
  </w:style>
  <w:style w:type="paragraph" w:styleId="Quote">
    <w:name w:val="Quote"/>
    <w:basedOn w:val="Normal"/>
    <w:next w:val="Normal"/>
    <w:link w:val="QuoteChar"/>
    <w:uiPriority w:val="29"/>
    <w:qFormat/>
    <w:rsid w:val="004E4BB3"/>
    <w:pPr>
      <w:tabs>
        <w:tab w:val="left" w:pos="6075"/>
      </w:tabs>
      <w:spacing w:after="120" w:line="240" w:lineRule="auto"/>
    </w:pPr>
    <w:rPr>
      <w:rFonts w:cs="Calibri"/>
      <w:i/>
      <w:color w:val="1F497D" w:themeColor="text2"/>
      <w:szCs w:val="20"/>
      <w:lang w:val="en-US"/>
    </w:rPr>
  </w:style>
  <w:style w:type="character" w:customStyle="1" w:styleId="QuoteChar">
    <w:name w:val="Quote Char"/>
    <w:basedOn w:val="DefaultParagraphFont"/>
    <w:link w:val="Quote"/>
    <w:uiPriority w:val="29"/>
    <w:rsid w:val="004E4BB3"/>
    <w:rPr>
      <w:rFonts w:cs="Calibri"/>
      <w:i/>
      <w:color w:val="1F497D" w:themeColor="text2"/>
      <w:sz w:val="22"/>
      <w:lang w:val="en-US" w:eastAsia="en-US"/>
    </w:rPr>
  </w:style>
  <w:style w:type="character" w:styleId="FollowedHyperlink">
    <w:name w:val="FollowedHyperlink"/>
    <w:basedOn w:val="DefaultParagraphFont"/>
    <w:uiPriority w:val="99"/>
    <w:semiHidden/>
    <w:unhideWhenUsed/>
    <w:rsid w:val="007609BE"/>
    <w:rPr>
      <w:color w:val="800080" w:themeColor="followedHyperlink"/>
      <w:u w:val="single"/>
    </w:rPr>
  </w:style>
  <w:style w:type="paragraph" w:styleId="Caption">
    <w:name w:val="caption"/>
    <w:basedOn w:val="Normal"/>
    <w:next w:val="Normal"/>
    <w:unhideWhenUsed/>
    <w:qFormat/>
    <w:rsid w:val="001657CD"/>
    <w:pPr>
      <w:spacing w:after="200" w:line="240" w:lineRule="auto"/>
    </w:pPr>
    <w:rPr>
      <w:rFonts w:eastAsia="Times New Roman"/>
      <w:b/>
      <w:bCs/>
      <w:color w:val="4F81BD" w:themeColor="accent1"/>
      <w:sz w:val="18"/>
      <w:szCs w:val="18"/>
      <w:lang w:eastAsia="en-AU"/>
    </w:rPr>
  </w:style>
  <w:style w:type="paragraph" w:styleId="TOC4">
    <w:name w:val="toc 4"/>
    <w:basedOn w:val="Normal"/>
    <w:next w:val="Normal"/>
    <w:autoRedefine/>
    <w:uiPriority w:val="39"/>
    <w:unhideWhenUsed/>
    <w:rsid w:val="001B7A68"/>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1B7A68"/>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1B7A68"/>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1B7A68"/>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1B7A68"/>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1B7A68"/>
    <w:pPr>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hyperlink" Target="http://education.qld.gov.au/earlyleavers/index.html" TargetMode="External"/><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chart" Target="charts/chart15.xml"/><Relationship Id="rId42" Type="http://schemas.openxmlformats.org/officeDocument/2006/relationships/chart" Target="charts/chart2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education.qld.gov.au/nextstep/nextstep.html" TargetMode="Externa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hyperlink" Target="http://www.deewr.gov.au/schooling/careersandtransitions/careerdevelopment/Pages/default.aspx" TargetMode="External"/><Relationship Id="rId2" Type="http://schemas.openxmlformats.org/officeDocument/2006/relationships/numbering" Target="numbering.xml"/><Relationship Id="rId16" Type="http://schemas.openxmlformats.org/officeDocument/2006/relationships/hyperlink" Target="http://www.qsa.qld.edu.au/617.html" TargetMode="Externa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hyperlink" Target="http://www.transitions.youth.gov.au/" TargetMode="External"/><Relationship Id="rId45" Type="http://schemas.openxmlformats.org/officeDocument/2006/relationships/hyperlink" Target="http://www.cica.org.au/research/cica-research-paper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chart" Target="charts/chart17.xml"/><Relationship Id="rId10" Type="http://schemas.openxmlformats.org/officeDocument/2006/relationships/footer" Target="footer1.xml"/><Relationship Id="rId19" Type="http://schemas.openxmlformats.org/officeDocument/2006/relationships/hyperlink" Target="http://www.transitions.youth.gov.au/" TargetMode="External"/><Relationship Id="rId31" Type="http://schemas.openxmlformats.org/officeDocument/2006/relationships/chart" Target="charts/chart12.xm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chart" Target="charts/chart22.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21.xml.rels><?xml version="1.0" encoding="UTF-8" standalone="yes"?>
<Relationships xmlns="http://schemas.openxmlformats.org/package/2006/relationships"><Relationship Id="rId2" Type="http://schemas.openxmlformats.org/officeDocument/2006/relationships/oleObject" Target="file:///\\EPNAS002\50018764\Partnership%20Brokers\National\Evaluation%20&amp;%20Reporting\Outcomes%20Reporting\4.%20April%202012\ICSEA%202%20April%202012.xls" TargetMode="External"/><Relationship Id="rId1" Type="http://schemas.openxmlformats.org/officeDocument/2006/relationships/themeOverride" Target="../theme/themeOverride1.xml"/></Relationships>
</file>

<file path=word/charts/_rels/chart22.xml.rels><?xml version="1.0" encoding="UTF-8" standalone="yes"?>
<Relationships xmlns="http://schemas.openxmlformats.org/package/2006/relationships"><Relationship Id="rId2" Type="http://schemas.openxmlformats.org/officeDocument/2006/relationships/oleObject" Target="file:///\\EPNAS002\50018764\Partnership%20Brokers\National\Evaluation%20&amp;%20Reporting\Outcomes%20Reporting\4.%20April%202012\MASTER_Partnerships%20(April12).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2\50018764\Youth%20Connections\National\Data\State%20and%20national%20reports\QLD\Previous%20reports\QLD%202011%20Cube%20Queries%20-%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2\50018764\Youth%20Connections\National\Data\Draft%20reports\QLD\QLD%20Cube%20Queries%20-%20April%2020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QLD - Age of Participants</a:t>
            </a:r>
          </a:p>
        </c:rich>
      </c:tx>
      <c:overlay val="0"/>
    </c:title>
    <c:autoTitleDeleted val="0"/>
    <c:plotArea>
      <c:layout/>
      <c:barChart>
        <c:barDir val="col"/>
        <c:grouping val="clustered"/>
        <c:varyColors val="0"/>
        <c:ser>
          <c:idx val="0"/>
          <c:order val="0"/>
          <c:tx>
            <c:strRef>
              <c:f>'Age profile'!$P$8</c:f>
              <c:strCache>
                <c:ptCount val="1"/>
                <c:pt idx="0">
                  <c:v>% Total</c:v>
                </c:pt>
              </c:strCache>
            </c:strRef>
          </c:tx>
          <c:invertIfNegative val="0"/>
          <c:cat>
            <c:strRef>
              <c:f>'Age profile'!$H$9:$H$22</c:f>
              <c:strCache>
                <c:ptCount val="14"/>
                <c:pt idx="0">
                  <c:v>11</c:v>
                </c:pt>
                <c:pt idx="1">
                  <c:v>12</c:v>
                </c:pt>
                <c:pt idx="2">
                  <c:v>13</c:v>
                </c:pt>
                <c:pt idx="3">
                  <c:v>14</c:v>
                </c:pt>
                <c:pt idx="4">
                  <c:v>15</c:v>
                </c:pt>
                <c:pt idx="5">
                  <c:v>16</c:v>
                </c:pt>
                <c:pt idx="6">
                  <c:v>17</c:v>
                </c:pt>
                <c:pt idx="7">
                  <c:v>18</c:v>
                </c:pt>
                <c:pt idx="8">
                  <c:v>19</c:v>
                </c:pt>
                <c:pt idx="9">
                  <c:v>20</c:v>
                </c:pt>
                <c:pt idx="10">
                  <c:v>21</c:v>
                </c:pt>
                <c:pt idx="11">
                  <c:v>22</c:v>
                </c:pt>
                <c:pt idx="12">
                  <c:v>24</c:v>
                </c:pt>
                <c:pt idx="13">
                  <c:v>25</c:v>
                </c:pt>
              </c:strCache>
            </c:strRef>
          </c:cat>
          <c:val>
            <c:numRef>
              <c:f>'Age profile'!$P$9:$P$22</c:f>
              <c:numCache>
                <c:formatCode>0%</c:formatCode>
                <c:ptCount val="14"/>
                <c:pt idx="0">
                  <c:v>1.4997000599880053E-4</c:v>
                </c:pt>
                <c:pt idx="1">
                  <c:v>5.9988002399520113E-4</c:v>
                </c:pt>
                <c:pt idx="2">
                  <c:v>7.9484103179364128E-3</c:v>
                </c:pt>
                <c:pt idx="3">
                  <c:v>5.9238152369526086E-2</c:v>
                </c:pt>
                <c:pt idx="4">
                  <c:v>0.15716856628674264</c:v>
                </c:pt>
                <c:pt idx="5">
                  <c:v>0.23665266946610677</c:v>
                </c:pt>
                <c:pt idx="6">
                  <c:v>0.25434913017396521</c:v>
                </c:pt>
                <c:pt idx="7">
                  <c:v>0.17636472705458878</c:v>
                </c:pt>
                <c:pt idx="8">
                  <c:v>7.7384523095380922E-2</c:v>
                </c:pt>
                <c:pt idx="9">
                  <c:v>2.549490101979604E-2</c:v>
                </c:pt>
                <c:pt idx="10">
                  <c:v>3.8992201559688061E-3</c:v>
                </c:pt>
                <c:pt idx="11">
                  <c:v>4.4991001799640193E-4</c:v>
                </c:pt>
                <c:pt idx="12">
                  <c:v>1.4997000599880053E-4</c:v>
                </c:pt>
                <c:pt idx="13">
                  <c:v>1.4997000599880053E-4</c:v>
                </c:pt>
              </c:numCache>
            </c:numRef>
          </c:val>
        </c:ser>
        <c:dLbls>
          <c:showLegendKey val="0"/>
          <c:showVal val="0"/>
          <c:showCatName val="0"/>
          <c:showSerName val="0"/>
          <c:showPercent val="0"/>
          <c:showBubbleSize val="0"/>
        </c:dLbls>
        <c:gapWidth val="150"/>
        <c:axId val="40593280"/>
        <c:axId val="40599552"/>
      </c:barChart>
      <c:catAx>
        <c:axId val="40593280"/>
        <c:scaling>
          <c:orientation val="minMax"/>
        </c:scaling>
        <c:delete val="0"/>
        <c:axPos val="b"/>
        <c:majorTickMark val="out"/>
        <c:minorTickMark val="none"/>
        <c:tickLblPos val="nextTo"/>
        <c:crossAx val="40599552"/>
        <c:crosses val="autoZero"/>
        <c:auto val="1"/>
        <c:lblAlgn val="ctr"/>
        <c:lblOffset val="100"/>
        <c:noMultiLvlLbl val="0"/>
      </c:catAx>
      <c:valAx>
        <c:axId val="40599552"/>
        <c:scaling>
          <c:orientation val="minMax"/>
        </c:scaling>
        <c:delete val="0"/>
        <c:axPos val="l"/>
        <c:majorGridlines/>
        <c:numFmt formatCode="0%" sourceLinked="1"/>
        <c:majorTickMark val="out"/>
        <c:minorTickMark val="none"/>
        <c:tickLblPos val="nextTo"/>
        <c:crossAx val="4059328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 </a:t>
            </a:r>
            <a:r>
              <a:rPr lang="en-AU" sz="1800" b="1" i="0" u="none" strike="noStrike" baseline="0"/>
              <a:t>Number of young people achieving outcomes</a:t>
            </a:r>
            <a:endParaRPr lang="en-AU"/>
          </a:p>
        </c:rich>
      </c:tx>
      <c:overlay val="0"/>
    </c:title>
    <c:autoTitleDeleted val="0"/>
    <c:plotArea>
      <c:layout/>
      <c:barChart>
        <c:barDir val="col"/>
        <c:grouping val="clustered"/>
        <c:varyColors val="0"/>
        <c:ser>
          <c:idx val="0"/>
          <c:order val="0"/>
          <c:tx>
            <c:strRef>
              <c:f>Outcomes!$L$9</c:f>
              <c:strCache>
                <c:ptCount val="1"/>
                <c:pt idx="0">
                  <c:v>Achieved a final outcome</c:v>
                </c:pt>
              </c:strCache>
            </c:strRef>
          </c:tx>
          <c:invertIfNegative val="0"/>
          <c:cat>
            <c:strRef>
              <c:f>Outcomes!$H$10:$H$12</c:f>
              <c:strCache>
                <c:ptCount val="3"/>
                <c:pt idx="0">
                  <c:v>Level 1</c:v>
                </c:pt>
                <c:pt idx="1">
                  <c:v>Level 2a</c:v>
                </c:pt>
                <c:pt idx="2">
                  <c:v>Level 2b</c:v>
                </c:pt>
              </c:strCache>
            </c:strRef>
          </c:cat>
          <c:val>
            <c:numRef>
              <c:f>Outcomes!$L$10:$L$12</c:f>
              <c:numCache>
                <c:formatCode>0%</c:formatCode>
                <c:ptCount val="3"/>
                <c:pt idx="0">
                  <c:v>0.68898023096496352</c:v>
                </c:pt>
                <c:pt idx="1">
                  <c:v>0.62182925061603289</c:v>
                </c:pt>
                <c:pt idx="2">
                  <c:v>0.55833445991618225</c:v>
                </c:pt>
              </c:numCache>
            </c:numRef>
          </c:val>
        </c:ser>
        <c:ser>
          <c:idx val="1"/>
          <c:order val="1"/>
          <c:tx>
            <c:strRef>
              <c:f>Outcomes!$M$9</c:f>
              <c:strCache>
                <c:ptCount val="1"/>
                <c:pt idx="0">
                  <c:v>Achieved a progressive outcome</c:v>
                </c:pt>
              </c:strCache>
            </c:strRef>
          </c:tx>
          <c:invertIfNegative val="0"/>
          <c:cat>
            <c:strRef>
              <c:f>Outcomes!$H$10:$H$12</c:f>
              <c:strCache>
                <c:ptCount val="3"/>
                <c:pt idx="0">
                  <c:v>Level 1</c:v>
                </c:pt>
                <c:pt idx="1">
                  <c:v>Level 2a</c:v>
                </c:pt>
                <c:pt idx="2">
                  <c:v>Level 2b</c:v>
                </c:pt>
              </c:strCache>
            </c:strRef>
          </c:cat>
          <c:val>
            <c:numRef>
              <c:f>Outcomes!$M$10:$M$12</c:f>
              <c:numCache>
                <c:formatCode>0%</c:formatCode>
                <c:ptCount val="3"/>
                <c:pt idx="0">
                  <c:v>0.78958700332746068</c:v>
                </c:pt>
                <c:pt idx="1">
                  <c:v>0.7667053196115392</c:v>
                </c:pt>
                <c:pt idx="2">
                  <c:v>0.71643909693118912</c:v>
                </c:pt>
              </c:numCache>
            </c:numRef>
          </c:val>
        </c:ser>
        <c:dLbls>
          <c:showLegendKey val="0"/>
          <c:showVal val="0"/>
          <c:showCatName val="0"/>
          <c:showSerName val="0"/>
          <c:showPercent val="0"/>
          <c:showBubbleSize val="0"/>
        </c:dLbls>
        <c:gapWidth val="150"/>
        <c:axId val="196463616"/>
        <c:axId val="196469504"/>
      </c:barChart>
      <c:catAx>
        <c:axId val="196463616"/>
        <c:scaling>
          <c:orientation val="minMax"/>
        </c:scaling>
        <c:delete val="0"/>
        <c:axPos val="b"/>
        <c:majorTickMark val="none"/>
        <c:minorTickMark val="none"/>
        <c:tickLblPos val="nextTo"/>
        <c:crossAx val="196469504"/>
        <c:crosses val="autoZero"/>
        <c:auto val="1"/>
        <c:lblAlgn val="ctr"/>
        <c:lblOffset val="100"/>
        <c:noMultiLvlLbl val="0"/>
      </c:catAx>
      <c:valAx>
        <c:axId val="196469504"/>
        <c:scaling>
          <c:orientation val="minMax"/>
        </c:scaling>
        <c:delete val="0"/>
        <c:axPos val="l"/>
        <c:majorGridlines/>
        <c:numFmt formatCode="0%" sourceLinked="1"/>
        <c:majorTickMark val="none"/>
        <c:minorTickMark val="none"/>
        <c:tickLblPos val="nextTo"/>
        <c:crossAx val="196463616"/>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800" b="1" i="0" baseline="0"/>
              <a:t>% Achieving an outcome (progressive or final) by characteristic</a:t>
            </a:r>
            <a:endParaRPr lang="en-AU"/>
          </a:p>
        </c:rich>
      </c:tx>
      <c:overlay val="0"/>
    </c:title>
    <c:autoTitleDeleted val="0"/>
    <c:plotArea>
      <c:layout/>
      <c:barChart>
        <c:barDir val="col"/>
        <c:grouping val="clustered"/>
        <c:varyColors val="0"/>
        <c:ser>
          <c:idx val="0"/>
          <c:order val="0"/>
          <c:tx>
            <c:strRef>
              <c:f>'Outcomes by Characteristic'!$B$2</c:f>
              <c:strCache>
                <c:ptCount val="1"/>
                <c:pt idx="0">
                  <c:v>QLD %</c:v>
                </c:pt>
              </c:strCache>
            </c:strRef>
          </c:tx>
          <c:invertIfNegative val="0"/>
          <c:dLbls>
            <c:dLbl>
              <c:idx val="4"/>
              <c:layout>
                <c:manualLayout>
                  <c:x val="-4.175727776743892E-3"/>
                  <c:y val="-1.4146089675515453E-2"/>
                </c:manualLayout>
              </c:layout>
              <c:showLegendKey val="0"/>
              <c:showVal val="1"/>
              <c:showCatName val="0"/>
              <c:showSerName val="0"/>
              <c:showPercent val="0"/>
              <c:showBubbleSize val="0"/>
            </c:dLbl>
            <c:dLbl>
              <c:idx val="5"/>
              <c:layout>
                <c:manualLayout>
                  <c:x val="0"/>
                  <c:y val="-8.4876538053092806E-3"/>
                </c:manualLayout>
              </c:layout>
              <c:showLegendKey val="0"/>
              <c:showVal val="1"/>
              <c:showCatName val="0"/>
              <c:showSerName val="0"/>
              <c:showPercent val="0"/>
              <c:showBubbleSize val="0"/>
            </c:dLbl>
            <c:dLbl>
              <c:idx val="7"/>
              <c:layout>
                <c:manualLayout>
                  <c:x val="0"/>
                  <c:y val="-1.414608967551545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pt idx="8">
                  <c:v>All participants</c:v>
                </c:pt>
              </c:strCache>
            </c:strRef>
          </c:cat>
          <c:val>
            <c:numRef>
              <c:f>'Outcomes by Characteristic'!$B$3:$B$11</c:f>
              <c:numCache>
                <c:formatCode>0%</c:formatCode>
                <c:ptCount val="9"/>
                <c:pt idx="0">
                  <c:v>0.83446712018140556</c:v>
                </c:pt>
                <c:pt idx="1">
                  <c:v>0.86915887850467421</c:v>
                </c:pt>
                <c:pt idx="2">
                  <c:v>0.8125</c:v>
                </c:pt>
                <c:pt idx="3">
                  <c:v>0.76664330763840383</c:v>
                </c:pt>
                <c:pt idx="4">
                  <c:v>0.81451612903225612</c:v>
                </c:pt>
                <c:pt idx="5">
                  <c:v>0.75102040816326565</c:v>
                </c:pt>
                <c:pt idx="6">
                  <c:v>0.84956605593056833</c:v>
                </c:pt>
                <c:pt idx="7">
                  <c:v>0.80434782608695654</c:v>
                </c:pt>
                <c:pt idx="8">
                  <c:v>0.81088908195771758</c:v>
                </c:pt>
              </c:numCache>
            </c:numRef>
          </c:val>
        </c:ser>
        <c:ser>
          <c:idx val="1"/>
          <c:order val="1"/>
          <c:tx>
            <c:strRef>
              <c:f>'Outcomes by Characteristic'!$C$2</c:f>
              <c:strCache>
                <c:ptCount val="1"/>
                <c:pt idx="0">
                  <c:v>National %</c:v>
                </c:pt>
              </c:strCache>
            </c:strRef>
          </c:tx>
          <c:invertIfNegative val="0"/>
          <c:dLbls>
            <c:dLbl>
              <c:idx val="0"/>
              <c:layout>
                <c:manualLayout>
                  <c:x val="6.2635916651158424E-3"/>
                  <c:y val="1.6975307610618544E-2"/>
                </c:manualLayout>
              </c:layout>
              <c:dLblPos val="outEnd"/>
              <c:showLegendKey val="0"/>
              <c:showVal val="1"/>
              <c:showCatName val="0"/>
              <c:showSerName val="0"/>
              <c:showPercent val="0"/>
              <c:showBubbleSize val="0"/>
            </c:dLbl>
            <c:dLbl>
              <c:idx val="1"/>
              <c:layout>
                <c:manualLayout>
                  <c:x val="8.3512911547564163E-3"/>
                  <c:y val="1.1316871740412378E-2"/>
                </c:manualLayout>
              </c:layout>
              <c:dLblPos val="outEnd"/>
              <c:showLegendKey val="0"/>
              <c:showVal val="1"/>
              <c:showCatName val="0"/>
              <c:showSerName val="0"/>
              <c:showPercent val="0"/>
              <c:showBubbleSize val="0"/>
            </c:dLbl>
            <c:dLbl>
              <c:idx val="2"/>
              <c:layout>
                <c:manualLayout>
                  <c:x val="6.2635916651158424E-3"/>
                  <c:y val="-1.4146089675515453E-2"/>
                </c:manualLayout>
              </c:layout>
              <c:dLblPos val="outEnd"/>
              <c:showLegendKey val="0"/>
              <c:showVal val="1"/>
              <c:showCatName val="0"/>
              <c:showSerName val="0"/>
              <c:showPercent val="0"/>
              <c:showBubbleSize val="0"/>
            </c:dLbl>
            <c:dLbl>
              <c:idx val="3"/>
              <c:layout>
                <c:manualLayout>
                  <c:x val="1.2527183330231681E-2"/>
                  <c:y val="5.65843587020617E-3"/>
                </c:manualLayout>
              </c:layout>
              <c:dLblPos val="outEnd"/>
              <c:showLegendKey val="0"/>
              <c:showVal val="1"/>
              <c:showCatName val="0"/>
              <c:showSerName val="0"/>
              <c:showPercent val="0"/>
              <c:showBubbleSize val="0"/>
            </c:dLbl>
            <c:dLbl>
              <c:idx val="4"/>
              <c:layout>
                <c:manualLayout>
                  <c:x val="1.0439319441859732E-2"/>
                  <c:y val="5.6584358702061952E-3"/>
                </c:manualLayout>
              </c:layout>
              <c:dLblPos val="outEnd"/>
              <c:showLegendKey val="0"/>
              <c:showVal val="1"/>
              <c:showCatName val="0"/>
              <c:showSerName val="0"/>
              <c:showPercent val="0"/>
              <c:showBubbleSize val="0"/>
            </c:dLbl>
            <c:dLbl>
              <c:idx val="5"/>
              <c:layout>
                <c:manualLayout>
                  <c:x val="8.3514555534878066E-3"/>
                  <c:y val="1.1316871740412378E-2"/>
                </c:manualLayout>
              </c:layout>
              <c:dLblPos val="outEnd"/>
              <c:showLegendKey val="0"/>
              <c:showVal val="1"/>
              <c:showCatName val="0"/>
              <c:showSerName val="0"/>
              <c:showPercent val="0"/>
              <c:showBubbleSize val="0"/>
            </c:dLbl>
            <c:dLbl>
              <c:idx val="6"/>
              <c:layout>
                <c:manualLayout>
                  <c:x val="1.0439155043128376E-2"/>
                  <c:y val="1.414608967551545E-2"/>
                </c:manualLayout>
              </c:layout>
              <c:dLblPos val="outEnd"/>
              <c:showLegendKey val="0"/>
              <c:showVal val="1"/>
              <c:showCatName val="0"/>
              <c:showSerName val="0"/>
              <c:showPercent val="0"/>
              <c:showBubbleSize val="0"/>
            </c:dLbl>
            <c:dLbl>
              <c:idx val="7"/>
              <c:layout>
                <c:manualLayout>
                  <c:x val="1.2527183330231681E-2"/>
                  <c:y val="5.6584358702061691E-3"/>
                </c:manualLayout>
              </c:layout>
              <c:dLblPos val="outEnd"/>
              <c:showLegendKey val="0"/>
              <c:showVal val="1"/>
              <c:showCatName val="0"/>
              <c:showSerName val="0"/>
              <c:showPercent val="0"/>
              <c:showBubbleSize val="0"/>
            </c:dLbl>
            <c:dLbl>
              <c:idx val="8"/>
              <c:layout>
                <c:manualLayout>
                  <c:x val="8.3514555534878101E-3"/>
                  <c:y val="8.4876538053092841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'Outcomes by Characteristic'!$A$3:$A$11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pt idx="8">
                  <c:v>All participants</c:v>
                </c:pt>
              </c:strCache>
            </c:strRef>
          </c:cat>
          <c:val>
            <c:numRef>
              <c:f>'Outcomes by Characteristic'!$C$3:$C$11</c:f>
              <c:numCache>
                <c:formatCode>0%</c:formatCode>
                <c:ptCount val="9"/>
                <c:pt idx="0">
                  <c:v>0.82177079340743575</c:v>
                </c:pt>
                <c:pt idx="1">
                  <c:v>0.81081081081081152</c:v>
                </c:pt>
                <c:pt idx="2">
                  <c:v>0.83596837944664026</c:v>
                </c:pt>
                <c:pt idx="3">
                  <c:v>0.70615904747905411</c:v>
                </c:pt>
                <c:pt idx="4">
                  <c:v>0.76036866359447131</c:v>
                </c:pt>
                <c:pt idx="5">
                  <c:v>0.72378086556332488</c:v>
                </c:pt>
                <c:pt idx="6">
                  <c:v>0.81244281793229645</c:v>
                </c:pt>
                <c:pt idx="7">
                  <c:v>0.8035714285714286</c:v>
                </c:pt>
                <c:pt idx="8">
                  <c:v>0.77211170017321962</c:v>
                </c:pt>
              </c:numCache>
            </c:numRef>
          </c:val>
        </c:ser>
        <c:dLbls>
          <c:showLegendKey val="0"/>
          <c:showVal val="0"/>
          <c:showCatName val="0"/>
          <c:showSerName val="0"/>
          <c:showPercent val="0"/>
          <c:showBubbleSize val="0"/>
        </c:dLbls>
        <c:gapWidth val="150"/>
        <c:axId val="198301184"/>
        <c:axId val="198302720"/>
      </c:barChart>
      <c:catAx>
        <c:axId val="198301184"/>
        <c:scaling>
          <c:orientation val="minMax"/>
        </c:scaling>
        <c:delete val="0"/>
        <c:axPos val="b"/>
        <c:majorTickMark val="none"/>
        <c:minorTickMark val="none"/>
        <c:tickLblPos val="nextTo"/>
        <c:crossAx val="198302720"/>
        <c:crosses val="autoZero"/>
        <c:auto val="1"/>
        <c:lblAlgn val="ctr"/>
        <c:lblOffset val="100"/>
        <c:noMultiLvlLbl val="0"/>
      </c:catAx>
      <c:valAx>
        <c:axId val="198302720"/>
        <c:scaling>
          <c:orientation val="minMax"/>
        </c:scaling>
        <c:delete val="0"/>
        <c:axPos val="l"/>
        <c:majorGridlines/>
        <c:numFmt formatCode="0%" sourceLinked="1"/>
        <c:majorTickMark val="none"/>
        <c:minorTickMark val="none"/>
        <c:tickLblPos val="nextTo"/>
        <c:crossAx val="198301184"/>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800" b="1" i="0" baseline="0"/>
              <a:t>% Achieving a final outcome by characteristic</a:t>
            </a:r>
          </a:p>
        </c:rich>
      </c:tx>
      <c:overlay val="0"/>
    </c:title>
    <c:autoTitleDeleted val="0"/>
    <c:plotArea>
      <c:layout/>
      <c:barChart>
        <c:barDir val="col"/>
        <c:grouping val="clustered"/>
        <c:varyColors val="0"/>
        <c:ser>
          <c:idx val="0"/>
          <c:order val="0"/>
          <c:tx>
            <c:strRef>
              <c:f>'Outcomes by Characteristic'!$D$2</c:f>
              <c:strCache>
                <c:ptCount val="1"/>
                <c:pt idx="0">
                  <c:v>QLD %</c:v>
                </c:pt>
              </c:strCache>
            </c:strRef>
          </c:tx>
          <c:invertIfNegative val="0"/>
          <c:dLbls>
            <c:dLbl>
              <c:idx val="0"/>
              <c:layout>
                <c:manualLayout>
                  <c:x val="-8.3497122472198596E-3"/>
                  <c:y val="0"/>
                </c:manualLayout>
              </c:layout>
              <c:showLegendKey val="0"/>
              <c:showVal val="1"/>
              <c:showCatName val="0"/>
              <c:showSerName val="0"/>
              <c:showPercent val="0"/>
              <c:showBubbleSize val="0"/>
            </c:dLbl>
            <c:dLbl>
              <c:idx val="4"/>
              <c:layout>
                <c:manualLayout>
                  <c:x val="-6.2622841854149021E-3"/>
                  <c:y val="-3.1022560300009279E-17"/>
                </c:manualLayout>
              </c:layout>
              <c:showLegendKey val="0"/>
              <c:showVal val="1"/>
              <c:showCatName val="0"/>
              <c:showSerName val="0"/>
              <c:showPercent val="0"/>
              <c:showBubbleSize val="0"/>
            </c:dLbl>
            <c:dLbl>
              <c:idx val="5"/>
              <c:layout>
                <c:manualLayout>
                  <c:x val="-2.0874280618049688E-3"/>
                  <c:y val="-6.7686368018777063E-3"/>
                </c:manualLayout>
              </c:layout>
              <c:showLegendKey val="0"/>
              <c:showVal val="1"/>
              <c:showCatName val="0"/>
              <c:showSerName val="0"/>
              <c:showPercent val="0"/>
              <c:showBubbleSize val="0"/>
            </c:dLbl>
            <c:dLbl>
              <c:idx val="6"/>
              <c:layout>
                <c:manualLayout>
                  <c:x val="-6.2622841854149021E-3"/>
                  <c:y val="-1.3537273603755486E-2"/>
                </c:manualLayout>
              </c:layout>
              <c:showLegendKey val="0"/>
              <c:showVal val="1"/>
              <c:showCatName val="0"/>
              <c:showSerName val="0"/>
              <c:showPercent val="0"/>
              <c:showBubbleSize val="0"/>
            </c:dLbl>
            <c:dLbl>
              <c:idx val="7"/>
              <c:layout>
                <c:manualLayout>
                  <c:x val="-8.3497122472198596E-3"/>
                  <c:y val="3.384318400938868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pt idx="8">
                  <c:v>All participants</c:v>
                </c:pt>
              </c:strCache>
            </c:strRef>
          </c:cat>
          <c:val>
            <c:numRef>
              <c:f>'Outcomes by Characteristic'!$D$3:$D$11</c:f>
              <c:numCache>
                <c:formatCode>0%</c:formatCode>
                <c:ptCount val="9"/>
                <c:pt idx="0">
                  <c:v>0.67573696145124718</c:v>
                </c:pt>
                <c:pt idx="1">
                  <c:v>0.63239875389408196</c:v>
                </c:pt>
                <c:pt idx="2">
                  <c:v>0.6875</c:v>
                </c:pt>
                <c:pt idx="3">
                  <c:v>0.56061667834618145</c:v>
                </c:pt>
                <c:pt idx="4">
                  <c:v>0.46774193548387094</c:v>
                </c:pt>
                <c:pt idx="5">
                  <c:v>0.52551020408163185</c:v>
                </c:pt>
                <c:pt idx="6">
                  <c:v>0.58727097396335559</c:v>
                </c:pt>
                <c:pt idx="7">
                  <c:v>0.51086956521739069</c:v>
                </c:pt>
                <c:pt idx="8">
                  <c:v>0.6081668114682891</c:v>
                </c:pt>
              </c:numCache>
            </c:numRef>
          </c:val>
        </c:ser>
        <c:ser>
          <c:idx val="1"/>
          <c:order val="1"/>
          <c:tx>
            <c:strRef>
              <c:f>'Outcomes by Characteristic'!$E$2</c:f>
              <c:strCache>
                <c:ptCount val="1"/>
                <c:pt idx="0">
                  <c:v>National %</c:v>
                </c:pt>
              </c:strCache>
            </c:strRef>
          </c:tx>
          <c:invertIfNegative val="0"/>
          <c:dLbls>
            <c:dLbl>
              <c:idx val="0"/>
              <c:layout>
                <c:manualLayout>
                  <c:x val="1.0437140309024819E-2"/>
                  <c:y val="6.7686368018777384E-3"/>
                </c:manualLayout>
              </c:layout>
              <c:showLegendKey val="0"/>
              <c:showVal val="1"/>
              <c:showCatName val="0"/>
              <c:showSerName val="0"/>
              <c:showPercent val="0"/>
              <c:showBubbleSize val="0"/>
            </c:dLbl>
            <c:dLbl>
              <c:idx val="1"/>
              <c:layout>
                <c:manualLayout>
                  <c:x val="6.2622841854148674E-3"/>
                  <c:y val="1.3537273603755486E-2"/>
                </c:manualLayout>
              </c:layout>
              <c:showLegendKey val="0"/>
              <c:showVal val="1"/>
              <c:showCatName val="0"/>
              <c:showSerName val="0"/>
              <c:showPercent val="0"/>
              <c:showBubbleSize val="0"/>
            </c:dLbl>
            <c:dLbl>
              <c:idx val="2"/>
              <c:layout>
                <c:manualLayout>
                  <c:x val="1.6699424494439737E-2"/>
                  <c:y val="-3.3843184009388532E-3"/>
                </c:manualLayout>
              </c:layout>
              <c:showLegendKey val="0"/>
              <c:showVal val="1"/>
              <c:showCatName val="0"/>
              <c:showSerName val="0"/>
              <c:showPercent val="0"/>
              <c:showBubbleSize val="0"/>
            </c:dLbl>
            <c:dLbl>
              <c:idx val="3"/>
              <c:layout>
                <c:manualLayout>
                  <c:x val="1.0437140309024819E-2"/>
                  <c:y val="1.0152955202816605E-2"/>
                </c:manualLayout>
              </c:layout>
              <c:showLegendKey val="0"/>
              <c:showVal val="1"/>
              <c:showCatName val="0"/>
              <c:showSerName val="0"/>
              <c:showPercent val="0"/>
              <c:showBubbleSize val="0"/>
            </c:dLbl>
            <c:dLbl>
              <c:idx val="4"/>
              <c:layout>
                <c:manualLayout>
                  <c:x val="1.0437140309024819E-2"/>
                  <c:y val="3.1022560300009279E-17"/>
                </c:manualLayout>
              </c:layout>
              <c:showLegendKey val="0"/>
              <c:showVal val="1"/>
              <c:showCatName val="0"/>
              <c:showSerName val="0"/>
              <c:showPercent val="0"/>
              <c:showBubbleSize val="0"/>
            </c:dLbl>
            <c:dLbl>
              <c:idx val="5"/>
              <c:layout>
                <c:manualLayout>
                  <c:x val="4.1748561236098526E-3"/>
                  <c:y val="1.0152955202816605E-2"/>
                </c:manualLayout>
              </c:layout>
              <c:showLegendKey val="0"/>
              <c:showVal val="1"/>
              <c:showCatName val="0"/>
              <c:showSerName val="0"/>
              <c:showPercent val="0"/>
              <c:showBubbleSize val="0"/>
            </c:dLbl>
            <c:dLbl>
              <c:idx val="6"/>
              <c:layout>
                <c:manualLayout>
                  <c:x val="1.0437140309024739E-2"/>
                  <c:y val="2.0305910405633253E-2"/>
                </c:manualLayout>
              </c:layout>
              <c:showLegendKey val="0"/>
              <c:showVal val="1"/>
              <c:showCatName val="0"/>
              <c:showSerName val="0"/>
              <c:showPercent val="0"/>
              <c:showBubbleSize val="0"/>
            </c:dLbl>
            <c:dLbl>
              <c:idx val="8"/>
              <c:layout>
                <c:manualLayout>
                  <c:x val="1.2524568370829787E-2"/>
                  <c:y val="1.692159200469434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'Outcomes by Characteristic'!$A$3:$A$11</c:f>
              <c:strCache>
                <c:ptCount val="9"/>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pt idx="8">
                  <c:v>All participants</c:v>
                </c:pt>
              </c:strCache>
            </c:strRef>
          </c:cat>
          <c:val>
            <c:numRef>
              <c:f>'Outcomes by Characteristic'!$E$3:$E$11</c:f>
              <c:numCache>
                <c:formatCode>0%</c:formatCode>
                <c:ptCount val="9"/>
                <c:pt idx="0">
                  <c:v>0.67228823303948027</c:v>
                </c:pt>
                <c:pt idx="1">
                  <c:v>0.6116333725029377</c:v>
                </c:pt>
                <c:pt idx="2">
                  <c:v>0.70553359683794359</c:v>
                </c:pt>
                <c:pt idx="3">
                  <c:v>0.48596207555490301</c:v>
                </c:pt>
                <c:pt idx="4">
                  <c:v>0.47926267281106022</c:v>
                </c:pt>
                <c:pt idx="5">
                  <c:v>0.51154969466324463</c:v>
                </c:pt>
                <c:pt idx="6">
                  <c:v>0.60149000130701868</c:v>
                </c:pt>
                <c:pt idx="7">
                  <c:v>0.60076530612244894</c:v>
                </c:pt>
                <c:pt idx="8">
                  <c:v>0.59261980998372787</c:v>
                </c:pt>
              </c:numCache>
            </c:numRef>
          </c:val>
        </c:ser>
        <c:dLbls>
          <c:showLegendKey val="0"/>
          <c:showVal val="0"/>
          <c:showCatName val="0"/>
          <c:showSerName val="0"/>
          <c:showPercent val="0"/>
          <c:showBubbleSize val="0"/>
        </c:dLbls>
        <c:gapWidth val="150"/>
        <c:axId val="221783936"/>
        <c:axId val="221833856"/>
      </c:barChart>
      <c:catAx>
        <c:axId val="221783936"/>
        <c:scaling>
          <c:orientation val="minMax"/>
        </c:scaling>
        <c:delete val="0"/>
        <c:axPos val="b"/>
        <c:majorTickMark val="none"/>
        <c:minorTickMark val="none"/>
        <c:tickLblPos val="nextTo"/>
        <c:crossAx val="221833856"/>
        <c:crosses val="autoZero"/>
        <c:auto val="1"/>
        <c:lblAlgn val="ctr"/>
        <c:lblOffset val="100"/>
        <c:noMultiLvlLbl val="0"/>
      </c:catAx>
      <c:valAx>
        <c:axId val="221833856"/>
        <c:scaling>
          <c:orientation val="minMax"/>
        </c:scaling>
        <c:delete val="0"/>
        <c:axPos val="l"/>
        <c:majorGridlines/>
        <c:numFmt formatCode="0%" sourceLinked="1"/>
        <c:majorTickMark val="none"/>
        <c:minorTickMark val="none"/>
        <c:tickLblPos val="nextTo"/>
        <c:crossAx val="22178393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QLD Final Outcomes Achieved</a:t>
            </a:r>
          </a:p>
        </c:rich>
      </c:tx>
      <c:layout/>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'Final Outcomes Achieved'!$A$23:$A$29</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Achieved'!$B$23:$B$29</c:f>
              <c:numCache>
                <c:formatCode>General</c:formatCode>
                <c:ptCount val="7"/>
                <c:pt idx="0">
                  <c:v>1219</c:v>
                </c:pt>
                <c:pt idx="1">
                  <c:v>1277</c:v>
                </c:pt>
                <c:pt idx="2">
                  <c:v>894</c:v>
                </c:pt>
                <c:pt idx="3">
                  <c:v>1349</c:v>
                </c:pt>
                <c:pt idx="4">
                  <c:v>1372</c:v>
                </c:pt>
                <c:pt idx="5">
                  <c:v>1826</c:v>
                </c:pt>
                <c:pt idx="6">
                  <c:v>1838</c:v>
                </c:pt>
              </c:numCache>
            </c:numRef>
          </c:val>
        </c:ser>
        <c:dLbls>
          <c:showLegendKey val="0"/>
          <c:showVal val="0"/>
          <c:showCatName val="0"/>
          <c:showSerName val="0"/>
          <c:showPercent val="0"/>
          <c:showBubbleSize val="0"/>
        </c:dLbls>
        <c:gapWidth val="150"/>
        <c:axId val="221870336"/>
        <c:axId val="222786304"/>
      </c:barChart>
      <c:catAx>
        <c:axId val="221870336"/>
        <c:scaling>
          <c:orientation val="minMax"/>
        </c:scaling>
        <c:delete val="0"/>
        <c:axPos val="b"/>
        <c:majorTickMark val="out"/>
        <c:minorTickMark val="none"/>
        <c:tickLblPos val="nextTo"/>
        <c:crossAx val="222786304"/>
        <c:crosses val="autoZero"/>
        <c:auto val="1"/>
        <c:lblAlgn val="ctr"/>
        <c:lblOffset val="100"/>
        <c:noMultiLvlLbl val="0"/>
      </c:catAx>
      <c:valAx>
        <c:axId val="222786304"/>
        <c:scaling>
          <c:orientation val="minMax"/>
        </c:scaling>
        <c:delete val="0"/>
        <c:axPos val="l"/>
        <c:majorGridlines/>
        <c:numFmt formatCode="General" sourceLinked="1"/>
        <c:majorTickMark val="out"/>
        <c:minorTickMark val="none"/>
        <c:tickLblPos val="nextTo"/>
        <c:crossAx val="2218703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National Final</a:t>
            </a:r>
            <a:r>
              <a:rPr lang="en-US" baseline="0"/>
              <a:t> </a:t>
            </a:r>
            <a:r>
              <a:rPr lang="en-US"/>
              <a:t>Outcomes Achieved</a:t>
            </a:r>
          </a:p>
        </c:rich>
      </c:tx>
      <c:layout/>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'Final Outcomes Achieved'!$A$34:$A$40</c:f>
              <c:strCache>
                <c:ptCount val="7"/>
                <c:pt idx="0">
                  <c:v>Attendance</c:v>
                </c:pt>
                <c:pt idx="1">
                  <c:v>Behaviour</c:v>
                </c:pt>
                <c:pt idx="2">
                  <c:v>Educational performance</c:v>
                </c:pt>
                <c:pt idx="3">
                  <c:v>Strengthened engagement</c:v>
                </c:pt>
                <c:pt idx="4">
                  <c:v>Engaged in employment</c:v>
                </c:pt>
                <c:pt idx="5">
                  <c:v>Re-engaged in education</c:v>
                </c:pt>
                <c:pt idx="6">
                  <c:v>Commenced in education</c:v>
                </c:pt>
              </c:strCache>
            </c:strRef>
          </c:cat>
          <c:val>
            <c:numRef>
              <c:f>'Final Outcomes Achieved'!$B$34:$B$40</c:f>
              <c:numCache>
                <c:formatCode>General</c:formatCode>
                <c:ptCount val="7"/>
                <c:pt idx="0">
                  <c:v>7694</c:v>
                </c:pt>
                <c:pt idx="1">
                  <c:v>8687</c:v>
                </c:pt>
                <c:pt idx="2">
                  <c:v>7466</c:v>
                </c:pt>
                <c:pt idx="3">
                  <c:v>6240</c:v>
                </c:pt>
                <c:pt idx="4">
                  <c:v>4852</c:v>
                </c:pt>
                <c:pt idx="5">
                  <c:v>8709</c:v>
                </c:pt>
                <c:pt idx="6">
                  <c:v>7619</c:v>
                </c:pt>
              </c:numCache>
            </c:numRef>
          </c:val>
        </c:ser>
        <c:dLbls>
          <c:showLegendKey val="0"/>
          <c:showVal val="0"/>
          <c:showCatName val="0"/>
          <c:showSerName val="0"/>
          <c:showPercent val="0"/>
          <c:showBubbleSize val="0"/>
        </c:dLbls>
        <c:gapWidth val="150"/>
        <c:axId val="223865856"/>
        <c:axId val="223886720"/>
      </c:barChart>
      <c:catAx>
        <c:axId val="223865856"/>
        <c:scaling>
          <c:orientation val="minMax"/>
        </c:scaling>
        <c:delete val="0"/>
        <c:axPos val="b"/>
        <c:majorTickMark val="out"/>
        <c:minorTickMark val="none"/>
        <c:tickLblPos val="nextTo"/>
        <c:crossAx val="223886720"/>
        <c:crosses val="autoZero"/>
        <c:auto val="1"/>
        <c:lblAlgn val="ctr"/>
        <c:lblOffset val="100"/>
        <c:noMultiLvlLbl val="0"/>
      </c:catAx>
      <c:valAx>
        <c:axId val="223886720"/>
        <c:scaling>
          <c:orientation val="minMax"/>
        </c:scaling>
        <c:delete val="0"/>
        <c:axPos val="l"/>
        <c:majorGridlines/>
        <c:numFmt formatCode="General" sourceLinked="1"/>
        <c:majorTickMark val="out"/>
        <c:minorTickMark val="none"/>
        <c:tickLblPos val="nextTo"/>
        <c:crossAx val="22386585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QLD - Final Outcomes Achieved by Connection Level</a:t>
            </a:r>
          </a:p>
        </c:rich>
      </c:tx>
      <c:overlay val="0"/>
    </c:title>
    <c:autoTitleDeleted val="0"/>
    <c:plotArea>
      <c:layout/>
      <c:barChart>
        <c:barDir val="col"/>
        <c:grouping val="clustered"/>
        <c:varyColors val="0"/>
        <c:ser>
          <c:idx val="0"/>
          <c:order val="0"/>
          <c:tx>
            <c:strRef>
              <c:f>'Final Outcomes Achieved'!$B$2</c:f>
              <c:strCache>
                <c:ptCount val="1"/>
                <c:pt idx="0">
                  <c:v>Level 1</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Achieved'!$B$3:$B$9</c:f>
              <c:numCache>
                <c:formatCode>General</c:formatCode>
                <c:ptCount val="7"/>
                <c:pt idx="0">
                  <c:v>212</c:v>
                </c:pt>
                <c:pt idx="1">
                  <c:v>288</c:v>
                </c:pt>
                <c:pt idx="2">
                  <c:v>198</c:v>
                </c:pt>
                <c:pt idx="3">
                  <c:v>76</c:v>
                </c:pt>
                <c:pt idx="4">
                  <c:v>10</c:v>
                </c:pt>
                <c:pt idx="5">
                  <c:v>19</c:v>
                </c:pt>
                <c:pt idx="6">
                  <c:v>5</c:v>
                </c:pt>
              </c:numCache>
            </c:numRef>
          </c:val>
        </c:ser>
        <c:ser>
          <c:idx val="1"/>
          <c:order val="1"/>
          <c:tx>
            <c:strRef>
              <c:f>'Final Outcomes Achieved'!$C$2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Achieved'!$C$3:$C$9</c:f>
              <c:numCache>
                <c:formatCode>General</c:formatCode>
                <c:ptCount val="7"/>
                <c:pt idx="0">
                  <c:v>885</c:v>
                </c:pt>
                <c:pt idx="1">
                  <c:v>890</c:v>
                </c:pt>
                <c:pt idx="2">
                  <c:v>618</c:v>
                </c:pt>
                <c:pt idx="3">
                  <c:v>1165</c:v>
                </c:pt>
                <c:pt idx="4">
                  <c:v>500</c:v>
                </c:pt>
                <c:pt idx="5">
                  <c:v>748</c:v>
                </c:pt>
                <c:pt idx="6">
                  <c:v>231</c:v>
                </c:pt>
              </c:numCache>
            </c:numRef>
          </c:val>
        </c:ser>
        <c:ser>
          <c:idx val="2"/>
          <c:order val="2"/>
          <c:tx>
            <c:strRef>
              <c:f>'Final Outcomes Achieved'!$D$2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Achieved'!$A$3:$A$9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Achieved'!$D$3:$D$9</c:f>
              <c:numCache>
                <c:formatCode>General</c:formatCode>
                <c:ptCount val="7"/>
                <c:pt idx="0">
                  <c:v>122</c:v>
                </c:pt>
                <c:pt idx="1">
                  <c:v>99</c:v>
                </c:pt>
                <c:pt idx="2">
                  <c:v>78</c:v>
                </c:pt>
                <c:pt idx="3">
                  <c:v>108</c:v>
                </c:pt>
                <c:pt idx="4">
                  <c:v>862</c:v>
                </c:pt>
                <c:pt idx="5">
                  <c:v>1059</c:v>
                </c:pt>
                <c:pt idx="6">
                  <c:v>1602</c:v>
                </c:pt>
              </c:numCache>
            </c:numRef>
          </c:val>
        </c:ser>
        <c:dLbls>
          <c:showLegendKey val="0"/>
          <c:showVal val="0"/>
          <c:showCatName val="0"/>
          <c:showSerName val="0"/>
          <c:showPercent val="0"/>
          <c:showBubbleSize val="0"/>
        </c:dLbls>
        <c:gapWidth val="150"/>
        <c:axId val="35277056"/>
        <c:axId val="35282944"/>
      </c:barChart>
      <c:catAx>
        <c:axId val="35277056"/>
        <c:scaling>
          <c:orientation val="minMax"/>
        </c:scaling>
        <c:delete val="0"/>
        <c:axPos val="b"/>
        <c:majorTickMark val="none"/>
        <c:minorTickMark val="none"/>
        <c:tickLblPos val="nextTo"/>
        <c:txPr>
          <a:bodyPr/>
          <a:lstStyle/>
          <a:p>
            <a:pPr>
              <a:defRPr sz="800"/>
            </a:pPr>
            <a:endParaRPr lang="en-US"/>
          </a:p>
        </c:txPr>
        <c:crossAx val="35282944"/>
        <c:crosses val="autoZero"/>
        <c:auto val="1"/>
        <c:lblAlgn val="ctr"/>
        <c:lblOffset val="100"/>
        <c:noMultiLvlLbl val="0"/>
      </c:catAx>
      <c:valAx>
        <c:axId val="35282944"/>
        <c:scaling>
          <c:orientation val="minMax"/>
        </c:scaling>
        <c:delete val="0"/>
        <c:axPos val="l"/>
        <c:majorGridlines/>
        <c:numFmt formatCode="General" sourceLinked="1"/>
        <c:majorTickMark val="none"/>
        <c:minorTickMark val="none"/>
        <c:tickLblPos val="nextTo"/>
        <c:crossAx val="35277056"/>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National - Final Outcomes Achieved by Connection Level</a:t>
            </a:r>
          </a:p>
        </c:rich>
      </c:tx>
      <c:overlay val="0"/>
    </c:title>
    <c:autoTitleDeleted val="0"/>
    <c:plotArea>
      <c:layout/>
      <c:barChart>
        <c:barDir val="col"/>
        <c:grouping val="clustered"/>
        <c:varyColors val="0"/>
        <c:ser>
          <c:idx val="0"/>
          <c:order val="0"/>
          <c:tx>
            <c:strRef>
              <c:f>'Final Outcomes Achieved'!$B$12</c:f>
              <c:strCache>
                <c:ptCount val="1"/>
                <c:pt idx="0">
                  <c:v>Level 1</c:v>
                </c:pt>
              </c:strCache>
            </c:strRef>
          </c:tx>
          <c:spPr>
            <a:solidFill>
              <a:schemeClr val="accent1"/>
            </a:solidFill>
          </c:spPr>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Achieved'!$B$13:$B$19</c:f>
              <c:numCache>
                <c:formatCode>General</c:formatCode>
                <c:ptCount val="7"/>
                <c:pt idx="0">
                  <c:v>3187</c:v>
                </c:pt>
                <c:pt idx="1">
                  <c:v>4410</c:v>
                </c:pt>
                <c:pt idx="2">
                  <c:v>3954</c:v>
                </c:pt>
                <c:pt idx="3">
                  <c:v>1160</c:v>
                </c:pt>
                <c:pt idx="4">
                  <c:v>107</c:v>
                </c:pt>
                <c:pt idx="5">
                  <c:v>293</c:v>
                </c:pt>
                <c:pt idx="6">
                  <c:v>60</c:v>
                </c:pt>
              </c:numCache>
            </c:numRef>
          </c:val>
        </c:ser>
        <c:ser>
          <c:idx val="1"/>
          <c:order val="1"/>
          <c:tx>
            <c:strRef>
              <c:f>'Final Outcomes Achieved'!$C$12</c:f>
              <c:strCache>
                <c:ptCount val="1"/>
                <c:pt idx="0">
                  <c:v>Level 2a</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Achieved'!$C$13:$C$19</c:f>
              <c:numCache>
                <c:formatCode>General</c:formatCode>
                <c:ptCount val="7"/>
                <c:pt idx="0">
                  <c:v>3990</c:v>
                </c:pt>
                <c:pt idx="1">
                  <c:v>3896</c:v>
                </c:pt>
                <c:pt idx="2">
                  <c:v>3142</c:v>
                </c:pt>
                <c:pt idx="3">
                  <c:v>4584</c:v>
                </c:pt>
                <c:pt idx="4">
                  <c:v>1688</c:v>
                </c:pt>
                <c:pt idx="5">
                  <c:v>3298</c:v>
                </c:pt>
                <c:pt idx="6">
                  <c:v>930</c:v>
                </c:pt>
              </c:numCache>
            </c:numRef>
          </c:val>
        </c:ser>
        <c:ser>
          <c:idx val="2"/>
          <c:order val="2"/>
          <c:tx>
            <c:strRef>
              <c:f>'Final Outcomes Achieved'!$D$12</c:f>
              <c:strCache>
                <c:ptCount val="1"/>
                <c:pt idx="0">
                  <c:v>Level 2b</c:v>
                </c:pt>
              </c:strCache>
            </c:strRef>
          </c:tx>
          <c:invertIfNegative val="0"/>
          <c:dLbls>
            <c:showLegendKey val="0"/>
            <c:showVal val="1"/>
            <c:showCatName val="0"/>
            <c:showSerName val="0"/>
            <c:showPercent val="0"/>
            <c:showBubbleSize val="0"/>
            <c:showLeaderLines val="0"/>
          </c:dLbls>
          <c:cat>
            <c:strRef>
              <c:f>'Final Outcomes Achieved'!$A$13:$A$19</c:f>
              <c:strCache>
                <c:ptCount val="7"/>
                <c:pt idx="0">
                  <c:v>Attendance: The participant’s attendance at school or education setting improved consistently over the whole school term, or for 13 weeks.</c:v>
                </c:pt>
                <c:pt idx="1">
                  <c:v>Behaviour: The participant’s behaviour at school or educational setting improved consistently over the whole school term, or for 13 weeks.</c:v>
                </c:pt>
                <c:pt idx="2">
                  <c:v>Educational performance: The participant’s educational performance improved consistently over the whole school term, or for 13 weeks.</c:v>
                </c:pt>
                <c:pt idx="3">
                  <c:v>Strengthened engagement: The participant’s engagement was strengthened and they remained engaged in education over the whole school term, or for 13 weeks.</c:v>
                </c:pt>
                <c:pt idx="4">
                  <c:v>Engaged in employment: The participant started employment and has remained in that employment for 13 weeks.</c:v>
                </c:pt>
                <c:pt idx="5">
                  <c:v>Re-engaged in education: The participant re-engaged in education and sustained that engagement for 13 weeks.</c:v>
                </c:pt>
                <c:pt idx="6">
                  <c:v>Commenced in education: The participant commenced in education.</c:v>
                </c:pt>
              </c:strCache>
            </c:strRef>
          </c:cat>
          <c:val>
            <c:numRef>
              <c:f>'Final Outcomes Achieved'!$D$13:$D$19</c:f>
              <c:numCache>
                <c:formatCode>General</c:formatCode>
                <c:ptCount val="7"/>
                <c:pt idx="0">
                  <c:v>517</c:v>
                </c:pt>
                <c:pt idx="1">
                  <c:v>381</c:v>
                </c:pt>
                <c:pt idx="2">
                  <c:v>370</c:v>
                </c:pt>
                <c:pt idx="3">
                  <c:v>496</c:v>
                </c:pt>
                <c:pt idx="4">
                  <c:v>3057</c:v>
                </c:pt>
                <c:pt idx="5">
                  <c:v>5118</c:v>
                </c:pt>
                <c:pt idx="6">
                  <c:v>6629</c:v>
                </c:pt>
              </c:numCache>
            </c:numRef>
          </c:val>
        </c:ser>
        <c:dLbls>
          <c:showLegendKey val="0"/>
          <c:showVal val="0"/>
          <c:showCatName val="0"/>
          <c:showSerName val="0"/>
          <c:showPercent val="0"/>
          <c:showBubbleSize val="0"/>
        </c:dLbls>
        <c:gapWidth val="150"/>
        <c:axId val="35310208"/>
        <c:axId val="36307328"/>
      </c:barChart>
      <c:catAx>
        <c:axId val="35310208"/>
        <c:scaling>
          <c:orientation val="minMax"/>
        </c:scaling>
        <c:delete val="0"/>
        <c:axPos val="b"/>
        <c:majorTickMark val="none"/>
        <c:minorTickMark val="none"/>
        <c:tickLblPos val="nextTo"/>
        <c:txPr>
          <a:bodyPr/>
          <a:lstStyle/>
          <a:p>
            <a:pPr>
              <a:defRPr sz="800"/>
            </a:pPr>
            <a:endParaRPr lang="en-US"/>
          </a:p>
        </c:txPr>
        <c:crossAx val="36307328"/>
        <c:crosses val="autoZero"/>
        <c:auto val="1"/>
        <c:lblAlgn val="ctr"/>
        <c:lblOffset val="100"/>
        <c:noMultiLvlLbl val="0"/>
      </c:catAx>
      <c:valAx>
        <c:axId val="36307328"/>
        <c:scaling>
          <c:orientation val="minMax"/>
        </c:scaling>
        <c:delete val="0"/>
        <c:axPos val="l"/>
        <c:majorGridlines/>
        <c:numFmt formatCode="General" sourceLinked="1"/>
        <c:majorTickMark val="none"/>
        <c:minorTickMark val="none"/>
        <c:tickLblPos val="nextTo"/>
        <c:crossAx val="35310208"/>
        <c:crosses val="autoZero"/>
        <c:crossBetween val="between"/>
      </c:valAx>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 of Total Indigenous Participants by State</a:t>
            </a:r>
          </a:p>
        </c:rich>
      </c:tx>
      <c:overlay val="0"/>
    </c:title>
    <c:autoTitleDeleted val="0"/>
    <c:plotArea>
      <c:layout/>
      <c:pieChart>
        <c:varyColors val="1"/>
        <c:ser>
          <c:idx val="0"/>
          <c:order val="0"/>
          <c:dPt>
            <c:idx val="3"/>
            <c:bubble3D val="0"/>
            <c:explosion val="16"/>
          </c:dPt>
          <c:dLbls>
            <c:dLbl>
              <c:idx val="4"/>
              <c:layout>
                <c:manualLayout>
                  <c:x val="-1.920726266427419E-2"/>
                  <c:y val="5.044550931692808E-2"/>
                </c:manualLayout>
              </c:layout>
              <c:dLblPos val="bestFit"/>
              <c:showLegendKey val="0"/>
              <c:showVal val="0"/>
              <c:showCatName val="1"/>
              <c:showSerName val="0"/>
              <c:showPercent val="1"/>
              <c:showBubbleSize val="0"/>
            </c:dLbl>
            <c:dLbl>
              <c:idx val="5"/>
              <c:layout>
                <c:manualLayout>
                  <c:x val="-1.2804841776182801E-2"/>
                  <c:y val="0"/>
                </c:manualLayout>
              </c:layout>
              <c:dLblPos val="bestFit"/>
              <c:showLegendKey val="0"/>
              <c:showVal val="0"/>
              <c:showCatName val="1"/>
              <c:showSerName val="0"/>
              <c:showPercent val="1"/>
              <c:showBubbleSize val="0"/>
            </c:dLbl>
            <c:dLbl>
              <c:idx val="6"/>
              <c:layout>
                <c:manualLayout>
                  <c:x val="0"/>
                  <c:y val="-1.5133652795078424E-2"/>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0"/>
          </c:dLbls>
          <c:cat>
            <c:strRef>
              <c:f>Indigenous!$A$3:$A$10</c:f>
              <c:strCache>
                <c:ptCount val="8"/>
                <c:pt idx="0">
                  <c:v>ACT</c:v>
                </c:pt>
                <c:pt idx="1">
                  <c:v>NSW</c:v>
                </c:pt>
                <c:pt idx="2">
                  <c:v>NT</c:v>
                </c:pt>
                <c:pt idx="3">
                  <c:v>QLD</c:v>
                </c:pt>
                <c:pt idx="4">
                  <c:v>SA</c:v>
                </c:pt>
                <c:pt idx="5">
                  <c:v>TAS</c:v>
                </c:pt>
                <c:pt idx="6">
                  <c:v>VIC</c:v>
                </c:pt>
                <c:pt idx="7">
                  <c:v>WA</c:v>
                </c:pt>
              </c:strCache>
            </c:strRef>
          </c:cat>
          <c:val>
            <c:numRef>
              <c:f>Indigenous!$E$3:$E$10</c:f>
              <c:numCache>
                <c:formatCode>0%</c:formatCode>
                <c:ptCount val="8"/>
                <c:pt idx="0">
                  <c:v>8.6726444215787339E-3</c:v>
                </c:pt>
                <c:pt idx="1">
                  <c:v>0.44818462443039825</c:v>
                </c:pt>
                <c:pt idx="2">
                  <c:v>7.0998089078347884E-2</c:v>
                </c:pt>
                <c:pt idx="3">
                  <c:v>0.2097603998236075</c:v>
                </c:pt>
                <c:pt idx="4">
                  <c:v>4.3510216081140779E-2</c:v>
                </c:pt>
                <c:pt idx="5">
                  <c:v>1.4699397324709663E-2</c:v>
                </c:pt>
                <c:pt idx="6">
                  <c:v>6.2178450683521978E-2</c:v>
                </c:pt>
                <c:pt idx="7">
                  <c:v>0.14199617815669602</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 of caseload that is Indigenous in each state</a:t>
            </a:r>
          </a:p>
        </c:rich>
      </c:tx>
      <c:overlay val="0"/>
    </c:title>
    <c:autoTitleDeleted val="0"/>
    <c:plotArea>
      <c:layout/>
      <c:barChart>
        <c:barDir val="bar"/>
        <c:grouping val="clustered"/>
        <c:varyColors val="0"/>
        <c:ser>
          <c:idx val="0"/>
          <c:order val="0"/>
          <c:invertIfNegative val="0"/>
          <c:cat>
            <c:strRef>
              <c:f>Indigenous!$A$3:$A$11</c:f>
              <c:strCache>
                <c:ptCount val="9"/>
                <c:pt idx="0">
                  <c:v>ACT</c:v>
                </c:pt>
                <c:pt idx="1">
                  <c:v>NSW</c:v>
                </c:pt>
                <c:pt idx="2">
                  <c:v>NT</c:v>
                </c:pt>
                <c:pt idx="3">
                  <c:v>QLD</c:v>
                </c:pt>
                <c:pt idx="4">
                  <c:v>SA</c:v>
                </c:pt>
                <c:pt idx="5">
                  <c:v>TAS</c:v>
                </c:pt>
                <c:pt idx="6">
                  <c:v>VIC</c:v>
                </c:pt>
                <c:pt idx="7">
                  <c:v>WA</c:v>
                </c:pt>
                <c:pt idx="8">
                  <c:v>National</c:v>
                </c:pt>
              </c:strCache>
            </c:strRef>
          </c:cat>
          <c:val>
            <c:numRef>
              <c:f>Indigenous!$C$3:$C$11</c:f>
              <c:numCache>
                <c:formatCode>0%</c:formatCode>
                <c:ptCount val="9"/>
                <c:pt idx="0">
                  <c:v>0.11847389558232932</c:v>
                </c:pt>
                <c:pt idx="1">
                  <c:v>0.21537048809776108</c:v>
                </c:pt>
                <c:pt idx="2">
                  <c:v>0.73966309341500835</c:v>
                </c:pt>
                <c:pt idx="3">
                  <c:v>0.2066319142774399</c:v>
                </c:pt>
                <c:pt idx="4">
                  <c:v>0.13773848301535627</c:v>
                </c:pt>
                <c:pt idx="5">
                  <c:v>9.2421441774491728E-2</c:v>
                </c:pt>
                <c:pt idx="6">
                  <c:v>4.9793996468510966E-2</c:v>
                </c:pt>
                <c:pt idx="7">
                  <c:v>0.23209995194617974</c:v>
                </c:pt>
                <c:pt idx="8">
                  <c:v>0.17854705789722378</c:v>
                </c:pt>
              </c:numCache>
            </c:numRef>
          </c:val>
        </c:ser>
        <c:dLbls>
          <c:showLegendKey val="0"/>
          <c:showVal val="0"/>
          <c:showCatName val="0"/>
          <c:showSerName val="0"/>
          <c:showPercent val="0"/>
          <c:showBubbleSize val="0"/>
        </c:dLbls>
        <c:gapWidth val="150"/>
        <c:axId val="38713984"/>
        <c:axId val="38990208"/>
      </c:barChart>
      <c:catAx>
        <c:axId val="38713984"/>
        <c:scaling>
          <c:orientation val="minMax"/>
        </c:scaling>
        <c:delete val="0"/>
        <c:axPos val="l"/>
        <c:majorTickMark val="out"/>
        <c:minorTickMark val="none"/>
        <c:tickLblPos val="nextTo"/>
        <c:crossAx val="38990208"/>
        <c:crosses val="autoZero"/>
        <c:auto val="1"/>
        <c:lblAlgn val="ctr"/>
        <c:lblOffset val="100"/>
        <c:noMultiLvlLbl val="0"/>
      </c:catAx>
      <c:valAx>
        <c:axId val="38990208"/>
        <c:scaling>
          <c:orientation val="minMax"/>
        </c:scaling>
        <c:delete val="0"/>
        <c:axPos val="b"/>
        <c:majorGridlines/>
        <c:numFmt formatCode="0%" sourceLinked="1"/>
        <c:majorTickMark val="out"/>
        <c:minorTickMark val="none"/>
        <c:tickLblPos val="nextTo"/>
        <c:crossAx val="38713984"/>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AU" sz="1200"/>
              <a:t>% of Total Humanitarian Refugee  Participants by State</a:t>
            </a:r>
          </a:p>
        </c:rich>
      </c:tx>
      <c:layout/>
      <c:overlay val="0"/>
    </c:title>
    <c:autoTitleDeleted val="0"/>
    <c:plotArea>
      <c:layout/>
      <c:pieChart>
        <c:varyColors val="1"/>
        <c:ser>
          <c:idx val="0"/>
          <c:order val="0"/>
          <c:dPt>
            <c:idx val="3"/>
            <c:bubble3D val="0"/>
            <c:explosion val="31"/>
          </c:dPt>
          <c:dLbls>
            <c:dLbl>
              <c:idx val="2"/>
              <c:layout>
                <c:manualLayout>
                  <c:x val="0"/>
                  <c:y val="-5.8945746374819898E-2"/>
                </c:manualLayout>
              </c:layout>
              <c:dLblPos val="bestFit"/>
              <c:showLegendKey val="0"/>
              <c:showVal val="0"/>
              <c:showCatName val="1"/>
              <c:showSerName val="0"/>
              <c:showPercent val="1"/>
              <c:showBubbleSize val="0"/>
            </c:dLbl>
            <c:dLbl>
              <c:idx val="3"/>
              <c:layout>
                <c:manualLayout>
                  <c:x val="4.2682805920609334E-3"/>
                  <c:y val="0"/>
                </c:manualLayout>
              </c:layout>
              <c:dLblPos val="bestFit"/>
              <c:showLegendKey val="0"/>
              <c:showVal val="0"/>
              <c:showCatName val="1"/>
              <c:showSerName val="0"/>
              <c:showPercent val="1"/>
              <c:showBubbleSize val="0"/>
            </c:dLbl>
            <c:dLbl>
              <c:idx val="4"/>
              <c:layout>
                <c:manualLayout>
                  <c:x val="-8.5365611841218617E-3"/>
                  <c:y val="0"/>
                </c:manualLayout>
              </c:layout>
              <c:dLblPos val="bestFit"/>
              <c:showLegendKey val="0"/>
              <c:showVal val="0"/>
              <c:showCatName val="1"/>
              <c:showSerName val="0"/>
              <c:showPercent val="1"/>
              <c:showBubbleSize val="0"/>
            </c:dLbl>
            <c:dLbl>
              <c:idx val="5"/>
              <c:layout>
                <c:manualLayout>
                  <c:x val="-1.4938982072213258E-2"/>
                  <c:y val="0"/>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0"/>
          </c:dLbls>
          <c:cat>
            <c:strRef>
              <c:f>'Humanitarian Refugee'!$A$3:$A$10</c:f>
              <c:strCache>
                <c:ptCount val="8"/>
                <c:pt idx="0">
                  <c:v>ACT</c:v>
                </c:pt>
                <c:pt idx="1">
                  <c:v>NSW</c:v>
                </c:pt>
                <c:pt idx="2">
                  <c:v>NT</c:v>
                </c:pt>
                <c:pt idx="3">
                  <c:v>QLD</c:v>
                </c:pt>
                <c:pt idx="4">
                  <c:v>SA</c:v>
                </c:pt>
                <c:pt idx="5">
                  <c:v>TAS</c:v>
                </c:pt>
                <c:pt idx="6">
                  <c:v>VIC</c:v>
                </c:pt>
                <c:pt idx="7">
                  <c:v>WA</c:v>
                </c:pt>
              </c:strCache>
            </c:strRef>
          </c:cat>
          <c:val>
            <c:numRef>
              <c:f>'Humanitarian Refugee'!$E$3:$E$10</c:f>
              <c:numCache>
                <c:formatCode>0%</c:formatCode>
                <c:ptCount val="8"/>
                <c:pt idx="0">
                  <c:v>4.9407114624505984E-2</c:v>
                </c:pt>
                <c:pt idx="1">
                  <c:v>0.3478260869565224</c:v>
                </c:pt>
                <c:pt idx="2">
                  <c:v>3.952569169960474E-3</c:v>
                </c:pt>
                <c:pt idx="3">
                  <c:v>3.1620553359683785E-2</c:v>
                </c:pt>
                <c:pt idx="4">
                  <c:v>3.1620553359683785E-2</c:v>
                </c:pt>
                <c:pt idx="5">
                  <c:v>1.7786561264822188E-2</c:v>
                </c:pt>
                <c:pt idx="6">
                  <c:v>0.43873517786561322</c:v>
                </c:pt>
                <c:pt idx="7">
                  <c:v>7.9051383399209488E-2</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Nationa</a:t>
            </a:r>
            <a:r>
              <a:rPr lang="en-US" baseline="0"/>
              <a:t>l - Age of Participants</a:t>
            </a:r>
            <a:endParaRPr lang="en-US"/>
          </a:p>
        </c:rich>
      </c:tx>
      <c:overlay val="0"/>
    </c:title>
    <c:autoTitleDeleted val="0"/>
    <c:plotArea>
      <c:layout/>
      <c:barChart>
        <c:barDir val="col"/>
        <c:grouping val="clustered"/>
        <c:varyColors val="0"/>
        <c:ser>
          <c:idx val="0"/>
          <c:order val="0"/>
          <c:tx>
            <c:strRef>
              <c:f>'Age profile'!$P$34</c:f>
              <c:strCache>
                <c:ptCount val="1"/>
                <c:pt idx="0">
                  <c:v>% Total</c:v>
                </c:pt>
              </c:strCache>
            </c:strRef>
          </c:tx>
          <c:invertIfNegative val="0"/>
          <c:cat>
            <c:strRef>
              <c:f>'Age profile'!$H$37:$H$53</c:f>
              <c:strCache>
                <c:ptCount val="17"/>
                <c:pt idx="0">
                  <c:v>9</c:v>
                </c:pt>
                <c:pt idx="1">
                  <c:v>10</c:v>
                </c:pt>
                <c:pt idx="2">
                  <c:v>11</c:v>
                </c:pt>
                <c:pt idx="3">
                  <c:v>12</c:v>
                </c:pt>
                <c:pt idx="4">
                  <c:v>13</c:v>
                </c:pt>
                <c:pt idx="5">
                  <c:v>14</c:v>
                </c:pt>
                <c:pt idx="6">
                  <c:v>15</c:v>
                </c:pt>
                <c:pt idx="7">
                  <c:v>16</c:v>
                </c:pt>
                <c:pt idx="8">
                  <c:v>17</c:v>
                </c:pt>
                <c:pt idx="9">
                  <c:v>18</c:v>
                </c:pt>
                <c:pt idx="10">
                  <c:v>19</c:v>
                </c:pt>
                <c:pt idx="11">
                  <c:v>20</c:v>
                </c:pt>
                <c:pt idx="12">
                  <c:v>21</c:v>
                </c:pt>
                <c:pt idx="13">
                  <c:v>22</c:v>
                </c:pt>
                <c:pt idx="14">
                  <c:v>23</c:v>
                </c:pt>
                <c:pt idx="15">
                  <c:v>24</c:v>
                </c:pt>
                <c:pt idx="16">
                  <c:v>25</c:v>
                </c:pt>
              </c:strCache>
            </c:strRef>
          </c:cat>
          <c:val>
            <c:numRef>
              <c:f>'Age profile'!$P$37:$P$53</c:f>
              <c:numCache>
                <c:formatCode>0%</c:formatCode>
                <c:ptCount val="17"/>
                <c:pt idx="0">
                  <c:v>2.4251569615477955E-4</c:v>
                </c:pt>
                <c:pt idx="1">
                  <c:v>9.1617040769583478E-4</c:v>
                </c:pt>
                <c:pt idx="2">
                  <c:v>5.0119910538654324E-3</c:v>
                </c:pt>
                <c:pt idx="3">
                  <c:v>1.1910215300045809E-2</c:v>
                </c:pt>
                <c:pt idx="4">
                  <c:v>2.8131820753954404E-2</c:v>
                </c:pt>
                <c:pt idx="5">
                  <c:v>6.688043976179571E-2</c:v>
                </c:pt>
                <c:pt idx="6">
                  <c:v>0.13473094230821051</c:v>
                </c:pt>
                <c:pt idx="7">
                  <c:v>0.20422516235078547</c:v>
                </c:pt>
                <c:pt idx="8">
                  <c:v>0.22605157500471512</c:v>
                </c:pt>
                <c:pt idx="9">
                  <c:v>0.17040769583142529</c:v>
                </c:pt>
                <c:pt idx="10">
                  <c:v>9.4527229123440817E-2</c:v>
                </c:pt>
                <c:pt idx="11">
                  <c:v>3.9691735603998815E-2</c:v>
                </c:pt>
                <c:pt idx="12">
                  <c:v>1.4416210826978497E-2</c:v>
                </c:pt>
                <c:pt idx="13">
                  <c:v>1.9940179461615248E-3</c:v>
                </c:pt>
                <c:pt idx="14">
                  <c:v>4.3113901538627524E-4</c:v>
                </c:pt>
                <c:pt idx="15">
                  <c:v>2.1556950769313749E-4</c:v>
                </c:pt>
                <c:pt idx="16">
                  <c:v>1.0778475384656869E-4</c:v>
                </c:pt>
              </c:numCache>
            </c:numRef>
          </c:val>
        </c:ser>
        <c:dLbls>
          <c:showLegendKey val="0"/>
          <c:showVal val="0"/>
          <c:showCatName val="0"/>
          <c:showSerName val="0"/>
          <c:showPercent val="0"/>
          <c:showBubbleSize val="0"/>
        </c:dLbls>
        <c:gapWidth val="150"/>
        <c:axId val="41059072"/>
        <c:axId val="41060608"/>
      </c:barChart>
      <c:catAx>
        <c:axId val="41059072"/>
        <c:scaling>
          <c:orientation val="minMax"/>
        </c:scaling>
        <c:delete val="0"/>
        <c:axPos val="b"/>
        <c:majorTickMark val="out"/>
        <c:minorTickMark val="none"/>
        <c:tickLblPos val="nextTo"/>
        <c:crossAx val="41060608"/>
        <c:crosses val="autoZero"/>
        <c:auto val="1"/>
        <c:lblAlgn val="ctr"/>
        <c:lblOffset val="100"/>
        <c:noMultiLvlLbl val="0"/>
      </c:catAx>
      <c:valAx>
        <c:axId val="41060608"/>
        <c:scaling>
          <c:orientation val="minMax"/>
          <c:max val="0.30000000000000032"/>
        </c:scaling>
        <c:delete val="0"/>
        <c:axPos val="l"/>
        <c:majorGridlines/>
        <c:numFmt formatCode="0%" sourceLinked="1"/>
        <c:majorTickMark val="out"/>
        <c:minorTickMark val="none"/>
        <c:tickLblPos val="nextTo"/>
        <c:crossAx val="4105907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 of caseload that is Humanitarian Refugee in each state</a:t>
            </a:r>
          </a:p>
        </c:rich>
      </c:tx>
      <c:layout/>
      <c:overlay val="0"/>
    </c:title>
    <c:autoTitleDeleted val="0"/>
    <c:plotArea>
      <c:layout/>
      <c:barChart>
        <c:barDir val="bar"/>
        <c:grouping val="clustered"/>
        <c:varyColors val="0"/>
        <c:ser>
          <c:idx val="0"/>
          <c:order val="0"/>
          <c:invertIfNegative val="0"/>
          <c:cat>
            <c:strRef>
              <c:f>'Humanitarian Refugee'!$A$3:$A$11</c:f>
              <c:strCache>
                <c:ptCount val="9"/>
                <c:pt idx="0">
                  <c:v>ACT</c:v>
                </c:pt>
                <c:pt idx="1">
                  <c:v>NSW</c:v>
                </c:pt>
                <c:pt idx="2">
                  <c:v>NT</c:v>
                </c:pt>
                <c:pt idx="3">
                  <c:v>QLD</c:v>
                </c:pt>
                <c:pt idx="4">
                  <c:v>SA</c:v>
                </c:pt>
                <c:pt idx="5">
                  <c:v>TAS</c:v>
                </c:pt>
                <c:pt idx="6">
                  <c:v>VIC</c:v>
                </c:pt>
                <c:pt idx="7">
                  <c:v>WA</c:v>
                </c:pt>
                <c:pt idx="8">
                  <c:v>National</c:v>
                </c:pt>
              </c:strCache>
            </c:strRef>
          </c:cat>
          <c:val>
            <c:numRef>
              <c:f>'Humanitarian Refugee'!$C$3:$C$11</c:f>
              <c:numCache>
                <c:formatCode>0%</c:formatCode>
                <c:ptCount val="9"/>
                <c:pt idx="0">
                  <c:v>5.0200803212851405E-2</c:v>
                </c:pt>
                <c:pt idx="1">
                  <c:v>1.2432012432012432E-2</c:v>
                </c:pt>
                <c:pt idx="2">
                  <c:v>3.0627871362940281E-3</c:v>
                </c:pt>
                <c:pt idx="3">
                  <c:v>2.3168259484506225E-3</c:v>
                </c:pt>
                <c:pt idx="4">
                  <c:v>7.4453234062354691E-3</c:v>
                </c:pt>
                <c:pt idx="5">
                  <c:v>8.3179297597042613E-3</c:v>
                </c:pt>
                <c:pt idx="6">
                  <c:v>2.6133019423190171E-2</c:v>
                </c:pt>
                <c:pt idx="7">
                  <c:v>9.6107640557424445E-3</c:v>
                </c:pt>
                <c:pt idx="8">
                  <c:v>1.3280142774657501E-2</c:v>
                </c:pt>
              </c:numCache>
            </c:numRef>
          </c:val>
        </c:ser>
        <c:dLbls>
          <c:showLegendKey val="0"/>
          <c:showVal val="0"/>
          <c:showCatName val="0"/>
          <c:showSerName val="0"/>
          <c:showPercent val="0"/>
          <c:showBubbleSize val="0"/>
        </c:dLbls>
        <c:gapWidth val="150"/>
        <c:axId val="39409920"/>
        <c:axId val="39436288"/>
      </c:barChart>
      <c:catAx>
        <c:axId val="39409920"/>
        <c:scaling>
          <c:orientation val="minMax"/>
        </c:scaling>
        <c:delete val="0"/>
        <c:axPos val="l"/>
        <c:majorTickMark val="out"/>
        <c:minorTickMark val="none"/>
        <c:tickLblPos val="nextTo"/>
        <c:crossAx val="39436288"/>
        <c:crosses val="autoZero"/>
        <c:auto val="1"/>
        <c:lblAlgn val="ctr"/>
        <c:lblOffset val="100"/>
        <c:noMultiLvlLbl val="0"/>
      </c:catAx>
      <c:valAx>
        <c:axId val="39436288"/>
        <c:scaling>
          <c:orientation val="minMax"/>
        </c:scaling>
        <c:delete val="0"/>
        <c:axPos val="b"/>
        <c:majorGridlines/>
        <c:numFmt formatCode="0%" sourceLinked="1"/>
        <c:majorTickMark val="out"/>
        <c:minorTickMark val="none"/>
        <c:tickLblPos val="nextTo"/>
        <c:crossAx val="3940992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AU" sz="1600"/>
              <a:t>Distribution</a:t>
            </a:r>
            <a:r>
              <a:rPr lang="en-AU" sz="1600" baseline="0"/>
              <a:t> of QLD</a:t>
            </a:r>
            <a:r>
              <a:rPr lang="en-AU" sz="1600"/>
              <a:t> </a:t>
            </a:r>
            <a:r>
              <a:rPr lang="en-AU" sz="1600" baseline="0"/>
              <a:t>Schools by ICSEA Value</a:t>
            </a:r>
            <a:endParaRPr lang="en-AU" sz="1600"/>
          </a:p>
        </c:rich>
      </c:tx>
      <c:layout/>
      <c:overlay val="0"/>
    </c:title>
    <c:autoTitleDeleted val="0"/>
    <c:plotArea>
      <c:layout/>
      <c:barChart>
        <c:barDir val="col"/>
        <c:grouping val="clustered"/>
        <c:varyColors val="0"/>
        <c:ser>
          <c:idx val="0"/>
          <c:order val="0"/>
          <c:tx>
            <c:strRef>
              <c:f>Sheet2!$A$26</c:f>
              <c:strCache>
                <c:ptCount val="1"/>
                <c:pt idx="0">
                  <c:v>Schools in p/ships</c:v>
                </c:pt>
              </c:strCache>
            </c:strRef>
          </c:tx>
          <c:spPr>
            <a:effectLst>
              <a:outerShdw blurRad="50800" dist="38100" dir="2700000" algn="tl" rotWithShape="0">
                <a:prstClr val="black">
                  <a:alpha val="40000"/>
                </a:prstClr>
              </a:outerShdw>
            </a:effectLst>
          </c:spPr>
          <c:invertIfNegative val="0"/>
          <c:dLbls>
            <c:dLbl>
              <c:idx val="0"/>
              <c:layout>
                <c:manualLayout>
                  <c:x val="0"/>
                  <c:y val="9.803921568627456E-3"/>
                </c:manualLayout>
              </c:layout>
              <c:showLegendKey val="0"/>
              <c:showVal val="1"/>
              <c:showCatName val="0"/>
              <c:showSerName val="0"/>
              <c:showPercent val="0"/>
              <c:showBubbleSize val="0"/>
            </c:dLbl>
            <c:dLbl>
              <c:idx val="2"/>
              <c:layout>
                <c:manualLayout>
                  <c:x val="0"/>
                  <c:y val="1.81818181818182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Sheet2!$B$25:$E$25</c:f>
              <c:strCache>
                <c:ptCount val="4"/>
                <c:pt idx="0">
                  <c:v>Quarter 1 Disadvantaged</c:v>
                </c:pt>
                <c:pt idx="1">
                  <c:v>Quarter 2</c:v>
                </c:pt>
                <c:pt idx="2">
                  <c:v>Quarter 3</c:v>
                </c:pt>
                <c:pt idx="3">
                  <c:v>Quarter 4 Advantaged</c:v>
                </c:pt>
              </c:strCache>
            </c:strRef>
          </c:cat>
          <c:val>
            <c:numRef>
              <c:f>Sheet2!$B$26:$E$26</c:f>
              <c:numCache>
                <c:formatCode>0%</c:formatCode>
                <c:ptCount val="4"/>
                <c:pt idx="0">
                  <c:v>0.36000000000000032</c:v>
                </c:pt>
                <c:pt idx="1">
                  <c:v>0.30000000000000032</c:v>
                </c:pt>
                <c:pt idx="2">
                  <c:v>0.22000000000000008</c:v>
                </c:pt>
                <c:pt idx="3">
                  <c:v>0.12000000000000002</c:v>
                </c:pt>
              </c:numCache>
            </c:numRef>
          </c:val>
        </c:ser>
        <c:ser>
          <c:idx val="1"/>
          <c:order val="1"/>
          <c:tx>
            <c:strRef>
              <c:f>Sheet2!$A$27</c:f>
              <c:strCache>
                <c:ptCount val="1"/>
                <c:pt idx="0">
                  <c:v>Total Schools</c:v>
                </c:pt>
              </c:strCache>
            </c:strRef>
          </c:tx>
          <c:spPr>
            <a:effectLst>
              <a:outerShdw blurRad="50800" dist="38100" dir="2700000" algn="tl" rotWithShape="0">
                <a:prstClr val="black">
                  <a:alpha val="40000"/>
                </a:prstClr>
              </a:outerShdw>
            </a:effectLst>
          </c:spPr>
          <c:invertIfNegative val="0"/>
          <c:dLbls>
            <c:dLbl>
              <c:idx val="2"/>
              <c:layout>
                <c:manualLayout>
                  <c:x val="2.4198427102238296E-3"/>
                  <c:y val="9.803921568627456E-3"/>
                </c:manualLayout>
              </c:layout>
              <c:showLegendKey val="0"/>
              <c:showVal val="1"/>
              <c:showCatName val="0"/>
              <c:showSerName val="0"/>
              <c:showPercent val="0"/>
              <c:showBubbleSize val="0"/>
            </c:dLbl>
            <c:dLbl>
              <c:idx val="3"/>
              <c:layout>
                <c:manualLayout>
                  <c:x val="8.8726541064968245E-17"/>
                  <c:y val="9.803921568627456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Sheet2!$B$25:$E$25</c:f>
              <c:strCache>
                <c:ptCount val="4"/>
                <c:pt idx="0">
                  <c:v>Quarter 1 Disadvantaged</c:v>
                </c:pt>
                <c:pt idx="1">
                  <c:v>Quarter 2</c:v>
                </c:pt>
                <c:pt idx="2">
                  <c:v>Quarter 3</c:v>
                </c:pt>
                <c:pt idx="3">
                  <c:v>Quarter 4 Advantaged</c:v>
                </c:pt>
              </c:strCache>
            </c:strRef>
          </c:cat>
          <c:val>
            <c:numRef>
              <c:f>Sheet2!$B$27:$E$27</c:f>
              <c:numCache>
                <c:formatCode>0%</c:formatCode>
                <c:ptCount val="4"/>
                <c:pt idx="0">
                  <c:v>0.34000000000000036</c:v>
                </c:pt>
                <c:pt idx="1">
                  <c:v>0.30000000000000032</c:v>
                </c:pt>
                <c:pt idx="2">
                  <c:v>0.18000000000000024</c:v>
                </c:pt>
                <c:pt idx="3">
                  <c:v>0.18000000000000024</c:v>
                </c:pt>
              </c:numCache>
            </c:numRef>
          </c:val>
        </c:ser>
        <c:dLbls>
          <c:showLegendKey val="0"/>
          <c:showVal val="0"/>
          <c:showCatName val="0"/>
          <c:showSerName val="0"/>
          <c:showPercent val="0"/>
          <c:showBubbleSize val="0"/>
        </c:dLbls>
        <c:gapWidth val="150"/>
        <c:axId val="39507456"/>
        <c:axId val="39508992"/>
      </c:barChart>
      <c:catAx>
        <c:axId val="39507456"/>
        <c:scaling>
          <c:orientation val="minMax"/>
        </c:scaling>
        <c:delete val="0"/>
        <c:axPos val="b"/>
        <c:majorTickMark val="out"/>
        <c:minorTickMark val="none"/>
        <c:tickLblPos val="nextTo"/>
        <c:crossAx val="39508992"/>
        <c:crosses val="autoZero"/>
        <c:auto val="1"/>
        <c:lblAlgn val="ctr"/>
        <c:lblOffset val="100"/>
        <c:noMultiLvlLbl val="0"/>
      </c:catAx>
      <c:valAx>
        <c:axId val="39508992"/>
        <c:scaling>
          <c:orientation val="minMax"/>
        </c:scaling>
        <c:delete val="0"/>
        <c:axPos val="l"/>
        <c:majorGridlines/>
        <c:numFmt formatCode="0%" sourceLinked="1"/>
        <c:majorTickMark val="out"/>
        <c:minorTickMark val="none"/>
        <c:tickLblPos val="nextTo"/>
        <c:crossAx val="3950745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A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36149607683446"/>
          <c:y val="0.17727668656802631"/>
          <c:w val="0.52290301908781001"/>
          <c:h val="0.74095872631306259"/>
        </c:manualLayout>
      </c:layout>
      <c:barChart>
        <c:barDir val="bar"/>
        <c:grouping val="percentStacked"/>
        <c:varyColors val="0"/>
        <c:ser>
          <c:idx val="0"/>
          <c:order val="0"/>
          <c:tx>
            <c:strRef>
              <c:f>National!$N$11</c:f>
              <c:strCache>
                <c:ptCount val="1"/>
                <c:pt idx="0">
                  <c:v>Active</c:v>
                </c:pt>
              </c:strCache>
            </c:strRef>
          </c:tx>
          <c:spPr>
            <a:solidFill>
              <a:schemeClr val="accent2"/>
            </a:solidFill>
            <a:effectLst>
              <a:outerShdw blurRad="50800" dist="38100" dir="2700000" algn="tl" rotWithShape="0">
                <a:prstClr val="black">
                  <a:alpha val="40000"/>
                </a:prstClr>
              </a:outerShdw>
            </a:effectLst>
          </c:spPr>
          <c:invertIfNegative val="0"/>
          <c:cat>
            <c:strRef>
              <c:f>National!$M$12:$M$14</c:f>
              <c:strCache>
                <c:ptCount val="3"/>
                <c:pt idx="0">
                  <c:v>2011 (Apr)</c:v>
                </c:pt>
                <c:pt idx="1">
                  <c:v>2011 (Sept)</c:v>
                </c:pt>
                <c:pt idx="2">
                  <c:v>2012 (Apr)</c:v>
                </c:pt>
              </c:strCache>
            </c:strRef>
          </c:cat>
          <c:val>
            <c:numRef>
              <c:f>National!$W$12:$W$14</c:f>
              <c:numCache>
                <c:formatCode>0%</c:formatCode>
                <c:ptCount val="3"/>
                <c:pt idx="0">
                  <c:v>0.7415730337078652</c:v>
                </c:pt>
                <c:pt idx="1">
                  <c:v>0.72392638036809864</c:v>
                </c:pt>
                <c:pt idx="2">
                  <c:v>0.59197324414715657</c:v>
                </c:pt>
              </c:numCache>
            </c:numRef>
          </c:val>
        </c:ser>
        <c:ser>
          <c:idx val="1"/>
          <c:order val="1"/>
          <c:tx>
            <c:strRef>
              <c:f>National!$O$11</c:f>
              <c:strCache>
                <c:ptCount val="1"/>
                <c:pt idx="0">
                  <c:v>Self-sustaining</c:v>
                </c:pt>
              </c:strCache>
            </c:strRef>
          </c:tx>
          <c:spPr>
            <a:solidFill>
              <a:schemeClr val="accent1"/>
            </a:solidFill>
            <a:effectLst>
              <a:outerShdw blurRad="50800" dist="38100" dir="2700000" algn="tl" rotWithShape="0">
                <a:prstClr val="black">
                  <a:alpha val="40000"/>
                </a:prstClr>
              </a:outerShdw>
            </a:effectLst>
          </c:spPr>
          <c:invertIfNegative val="0"/>
          <c:cat>
            <c:strRef>
              <c:f>National!$M$12:$M$14</c:f>
              <c:strCache>
                <c:ptCount val="3"/>
                <c:pt idx="0">
                  <c:v>2011 (Apr)</c:v>
                </c:pt>
                <c:pt idx="1">
                  <c:v>2011 (Sept)</c:v>
                </c:pt>
                <c:pt idx="2">
                  <c:v>2012 (Apr)</c:v>
                </c:pt>
              </c:strCache>
            </c:strRef>
          </c:cat>
          <c:val>
            <c:numRef>
              <c:f>National!$X$12:$X$14</c:f>
              <c:numCache>
                <c:formatCode>0%</c:formatCode>
                <c:ptCount val="3"/>
                <c:pt idx="0">
                  <c:v>0.25842696629213624</c:v>
                </c:pt>
                <c:pt idx="1">
                  <c:v>0.27607361963190186</c:v>
                </c:pt>
                <c:pt idx="2">
                  <c:v>0.40802675585284587</c:v>
                </c:pt>
              </c:numCache>
            </c:numRef>
          </c:val>
        </c:ser>
        <c:dLbls>
          <c:showLegendKey val="0"/>
          <c:showVal val="0"/>
          <c:showCatName val="0"/>
          <c:showSerName val="0"/>
          <c:showPercent val="0"/>
          <c:showBubbleSize val="0"/>
        </c:dLbls>
        <c:gapWidth val="150"/>
        <c:overlap val="100"/>
        <c:axId val="39883136"/>
        <c:axId val="39884672"/>
      </c:barChart>
      <c:catAx>
        <c:axId val="39883136"/>
        <c:scaling>
          <c:orientation val="maxMin"/>
        </c:scaling>
        <c:delete val="0"/>
        <c:axPos val="l"/>
        <c:numFmt formatCode="General" sourceLinked="1"/>
        <c:majorTickMark val="out"/>
        <c:minorTickMark val="none"/>
        <c:tickLblPos val="nextTo"/>
        <c:crossAx val="39884672"/>
        <c:crosses val="autoZero"/>
        <c:auto val="1"/>
        <c:lblAlgn val="ctr"/>
        <c:lblOffset val="100"/>
        <c:noMultiLvlLbl val="0"/>
      </c:catAx>
      <c:valAx>
        <c:axId val="39884672"/>
        <c:scaling>
          <c:orientation val="minMax"/>
        </c:scaling>
        <c:delete val="0"/>
        <c:axPos val="t"/>
        <c:majorGridlines/>
        <c:numFmt formatCode="0%" sourceLinked="1"/>
        <c:majorTickMark val="out"/>
        <c:minorTickMark val="none"/>
        <c:tickLblPos val="nextTo"/>
        <c:txPr>
          <a:bodyPr/>
          <a:lstStyle/>
          <a:p>
            <a:pPr>
              <a:defRPr sz="900"/>
            </a:pPr>
            <a:endParaRPr lang="en-US"/>
          </a:p>
        </c:txPr>
        <c:crossAx val="39883136"/>
        <c:crosses val="autoZero"/>
        <c:crossBetween val="between"/>
      </c:valAx>
    </c:plotArea>
    <c:legend>
      <c:legendPos val="r"/>
      <c:legendEntry>
        <c:idx val="1"/>
        <c:txPr>
          <a:bodyPr/>
          <a:lstStyle/>
          <a:p>
            <a:pPr>
              <a:defRPr sz="1000"/>
            </a:pPr>
            <a:endParaRPr lang="en-US"/>
          </a:p>
        </c:txPr>
      </c:legendEntry>
      <c:layout>
        <c:manualLayout>
          <c:xMode val="edge"/>
          <c:yMode val="edge"/>
          <c:x val="0.73151364077380998"/>
          <c:y val="0.38950246603790351"/>
          <c:w val="0.26711030957656928"/>
          <c:h val="0.26495111188024789"/>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QLD - Age profile by Connection Level</a:t>
            </a:r>
          </a:p>
        </c:rich>
      </c:tx>
      <c:overlay val="0"/>
    </c:title>
    <c:autoTitleDeleted val="0"/>
    <c:plotArea>
      <c:layout/>
      <c:barChart>
        <c:barDir val="col"/>
        <c:grouping val="clustered"/>
        <c:varyColors val="0"/>
        <c:ser>
          <c:idx val="0"/>
          <c:order val="0"/>
          <c:tx>
            <c:strRef>
              <c:f>'Age profile'!$H$9</c:f>
              <c:strCache>
                <c:ptCount val="1"/>
                <c:pt idx="0">
                  <c:v>11</c:v>
                </c:pt>
              </c:strCache>
            </c:strRef>
          </c:tx>
          <c:invertIfNegative val="0"/>
          <c:cat>
            <c:strRef>
              <c:f>'Age profile'!$I$8:$K$8</c:f>
              <c:strCache>
                <c:ptCount val="3"/>
                <c:pt idx="0">
                  <c:v>% Level 1</c:v>
                </c:pt>
                <c:pt idx="1">
                  <c:v>% Level 2a</c:v>
                </c:pt>
                <c:pt idx="2">
                  <c:v>% Level 2b</c:v>
                </c:pt>
              </c:strCache>
            </c:strRef>
          </c:cat>
          <c:val>
            <c:numRef>
              <c:f>'Age profile'!$I$9:$K$9</c:f>
              <c:numCache>
                <c:formatCode>0%</c:formatCode>
                <c:ptCount val="3"/>
                <c:pt idx="0">
                  <c:v>0</c:v>
                </c:pt>
                <c:pt idx="1">
                  <c:v>0</c:v>
                </c:pt>
                <c:pt idx="2">
                  <c:v>2.8893383415198008E-4</c:v>
                </c:pt>
              </c:numCache>
            </c:numRef>
          </c:val>
        </c:ser>
        <c:ser>
          <c:idx val="1"/>
          <c:order val="1"/>
          <c:tx>
            <c:strRef>
              <c:f>'Age profile'!$H$10</c:f>
              <c:strCache>
                <c:ptCount val="1"/>
                <c:pt idx="0">
                  <c:v>12</c:v>
                </c:pt>
              </c:strCache>
            </c:strRef>
          </c:tx>
          <c:invertIfNegative val="0"/>
          <c:cat>
            <c:strRef>
              <c:f>'Age profile'!$I$8:$K$8</c:f>
              <c:strCache>
                <c:ptCount val="3"/>
                <c:pt idx="0">
                  <c:v>% Level 1</c:v>
                </c:pt>
                <c:pt idx="1">
                  <c:v>% Level 2a</c:v>
                </c:pt>
                <c:pt idx="2">
                  <c:v>% Level 2b</c:v>
                </c:pt>
              </c:strCache>
            </c:strRef>
          </c:cat>
          <c:val>
            <c:numRef>
              <c:f>'Age profile'!$I$10:$K$10</c:f>
              <c:numCache>
                <c:formatCode>0%</c:formatCode>
                <c:ptCount val="3"/>
                <c:pt idx="0">
                  <c:v>3.7383177570093629E-3</c:v>
                </c:pt>
                <c:pt idx="1">
                  <c:v>6.8446269678302531E-4</c:v>
                </c:pt>
                <c:pt idx="2">
                  <c:v>0</c:v>
                </c:pt>
              </c:numCache>
            </c:numRef>
          </c:val>
        </c:ser>
        <c:ser>
          <c:idx val="2"/>
          <c:order val="2"/>
          <c:tx>
            <c:strRef>
              <c:f>'Age profile'!$H$11</c:f>
              <c:strCache>
                <c:ptCount val="1"/>
                <c:pt idx="0">
                  <c:v>13</c:v>
                </c:pt>
              </c:strCache>
            </c:strRef>
          </c:tx>
          <c:invertIfNegative val="0"/>
          <c:cat>
            <c:strRef>
              <c:f>'Age profile'!$I$8:$K$8</c:f>
              <c:strCache>
                <c:ptCount val="3"/>
                <c:pt idx="0">
                  <c:v>% Level 1</c:v>
                </c:pt>
                <c:pt idx="1">
                  <c:v>% Level 2a</c:v>
                </c:pt>
                <c:pt idx="2">
                  <c:v>% Level 2b</c:v>
                </c:pt>
              </c:strCache>
            </c:strRef>
          </c:cat>
          <c:val>
            <c:numRef>
              <c:f>'Age profile'!$I$11:$K$11</c:f>
              <c:numCache>
                <c:formatCode>0%</c:formatCode>
                <c:ptCount val="3"/>
                <c:pt idx="0">
                  <c:v>2.2429906542056125E-2</c:v>
                </c:pt>
                <c:pt idx="1">
                  <c:v>9.9247091033538674E-3</c:v>
                </c:pt>
                <c:pt idx="2">
                  <c:v>3.7561398439757377E-3</c:v>
                </c:pt>
              </c:numCache>
            </c:numRef>
          </c:val>
        </c:ser>
        <c:ser>
          <c:idx val="3"/>
          <c:order val="3"/>
          <c:tx>
            <c:strRef>
              <c:f>'Age profile'!$H$12</c:f>
              <c:strCache>
                <c:ptCount val="1"/>
                <c:pt idx="0">
                  <c:v>14</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profile'!$I$12:$K$12</c:f>
              <c:numCache>
                <c:formatCode>0%</c:formatCode>
                <c:ptCount val="3"/>
                <c:pt idx="0">
                  <c:v>0.13644859813084148</c:v>
                </c:pt>
                <c:pt idx="1">
                  <c:v>8.1108829568788524E-2</c:v>
                </c:pt>
                <c:pt idx="2">
                  <c:v>2.8315515746893991E-2</c:v>
                </c:pt>
              </c:numCache>
            </c:numRef>
          </c:val>
        </c:ser>
        <c:ser>
          <c:idx val="4"/>
          <c:order val="4"/>
          <c:tx>
            <c:strRef>
              <c:f>'Age profile'!$H$13</c:f>
              <c:strCache>
                <c:ptCount val="1"/>
                <c:pt idx="0">
                  <c:v>15</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profile'!$I$13:$K$13</c:f>
              <c:numCache>
                <c:formatCode>0%</c:formatCode>
                <c:ptCount val="3"/>
                <c:pt idx="0">
                  <c:v>0.28037383177570158</c:v>
                </c:pt>
                <c:pt idx="1">
                  <c:v>0.21765913757700267</c:v>
                </c:pt>
                <c:pt idx="2">
                  <c:v>8.9280554752961511E-2</c:v>
                </c:pt>
              </c:numCache>
            </c:numRef>
          </c:val>
        </c:ser>
        <c:ser>
          <c:idx val="5"/>
          <c:order val="5"/>
          <c:tx>
            <c:strRef>
              <c:f>'Age profile'!$H$14</c:f>
              <c:strCache>
                <c:ptCount val="1"/>
                <c:pt idx="0">
                  <c:v>16</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profile'!$I$14:$K$14</c:f>
              <c:numCache>
                <c:formatCode>0%</c:formatCode>
                <c:ptCount val="3"/>
                <c:pt idx="0">
                  <c:v>0.23364485981308411</c:v>
                </c:pt>
                <c:pt idx="1">
                  <c:v>0.30150581793292347</c:v>
                </c:pt>
                <c:pt idx="2">
                  <c:v>0.19011846287200274</c:v>
                </c:pt>
              </c:numCache>
            </c:numRef>
          </c:val>
        </c:ser>
        <c:ser>
          <c:idx val="6"/>
          <c:order val="6"/>
          <c:tx>
            <c:strRef>
              <c:f>'Age profile'!$H$15</c:f>
              <c:strCache>
                <c:ptCount val="1"/>
                <c:pt idx="0">
                  <c:v>17</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profile'!$I$15:$K$15</c:f>
              <c:numCache>
                <c:formatCode>0%</c:formatCode>
                <c:ptCount val="3"/>
                <c:pt idx="0">
                  <c:v>0.17196261682243041</c:v>
                </c:pt>
                <c:pt idx="1">
                  <c:v>0.24298425735797446</c:v>
                </c:pt>
                <c:pt idx="2">
                  <c:v>0.27477607627853234</c:v>
                </c:pt>
              </c:numCache>
            </c:numRef>
          </c:val>
        </c:ser>
        <c:ser>
          <c:idx val="7"/>
          <c:order val="7"/>
          <c:tx>
            <c:strRef>
              <c:f>'Age profile'!$H$16</c:f>
              <c:strCache>
                <c:ptCount val="1"/>
                <c:pt idx="0">
                  <c:v>18</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profile'!$I$16:$K$16</c:f>
              <c:numCache>
                <c:formatCode>0%</c:formatCode>
                <c:ptCount val="3"/>
                <c:pt idx="0">
                  <c:v>0.11214953271028051</c:v>
                </c:pt>
                <c:pt idx="1">
                  <c:v>0.10643394934976044</c:v>
                </c:pt>
                <c:pt idx="2">
                  <c:v>0.24299335452181509</c:v>
                </c:pt>
              </c:numCache>
            </c:numRef>
          </c:val>
        </c:ser>
        <c:ser>
          <c:idx val="8"/>
          <c:order val="8"/>
          <c:tx>
            <c:strRef>
              <c:f>'Age profile'!$H$17</c:f>
              <c:strCache>
                <c:ptCount val="1"/>
                <c:pt idx="0">
                  <c:v>19</c:v>
                </c:pt>
              </c:strCache>
            </c:strRef>
          </c:tx>
          <c:invertIfNegative val="0"/>
          <c:dLbls>
            <c:showLegendKey val="0"/>
            <c:showVal val="1"/>
            <c:showCatName val="0"/>
            <c:showSerName val="0"/>
            <c:showPercent val="0"/>
            <c:showBubbleSize val="0"/>
            <c:showLeaderLines val="0"/>
          </c:dLbls>
          <c:cat>
            <c:strRef>
              <c:f>'Age profile'!$I$8:$K$8</c:f>
              <c:strCache>
                <c:ptCount val="3"/>
                <c:pt idx="0">
                  <c:v>% Level 1</c:v>
                </c:pt>
                <c:pt idx="1">
                  <c:v>% Level 2a</c:v>
                </c:pt>
                <c:pt idx="2">
                  <c:v>% Level 2b</c:v>
                </c:pt>
              </c:strCache>
            </c:strRef>
          </c:cat>
          <c:val>
            <c:numRef>
              <c:f>'Age profile'!$I$17:$K$17</c:f>
              <c:numCache>
                <c:formatCode>0%</c:formatCode>
                <c:ptCount val="3"/>
                <c:pt idx="0">
                  <c:v>3.1775700934579452E-2</c:v>
                </c:pt>
                <c:pt idx="1">
                  <c:v>3.2854209445585252E-2</c:v>
                </c:pt>
                <c:pt idx="2">
                  <c:v>0.11875180583646346</c:v>
                </c:pt>
              </c:numCache>
            </c:numRef>
          </c:val>
        </c:ser>
        <c:ser>
          <c:idx val="9"/>
          <c:order val="9"/>
          <c:tx>
            <c:strRef>
              <c:f>'Age profile'!$H$18</c:f>
              <c:strCache>
                <c:ptCount val="1"/>
                <c:pt idx="0">
                  <c:v>20</c:v>
                </c:pt>
              </c:strCache>
            </c:strRef>
          </c:tx>
          <c:invertIfNegative val="0"/>
          <c:cat>
            <c:strRef>
              <c:f>'Age profile'!$I$8:$K$8</c:f>
              <c:strCache>
                <c:ptCount val="3"/>
                <c:pt idx="0">
                  <c:v>% Level 1</c:v>
                </c:pt>
                <c:pt idx="1">
                  <c:v>% Level 2a</c:v>
                </c:pt>
                <c:pt idx="2">
                  <c:v>% Level 2b</c:v>
                </c:pt>
              </c:strCache>
            </c:strRef>
          </c:cat>
          <c:val>
            <c:numRef>
              <c:f>'Age profile'!$I$18:$K$18</c:f>
              <c:numCache>
                <c:formatCode>0%</c:formatCode>
                <c:ptCount val="3"/>
                <c:pt idx="0">
                  <c:v>3.7383177570093629E-3</c:v>
                </c:pt>
                <c:pt idx="1">
                  <c:v>5.8179329226557145E-3</c:v>
                </c:pt>
                <c:pt idx="2">
                  <c:v>4.3917942791100825E-2</c:v>
                </c:pt>
              </c:numCache>
            </c:numRef>
          </c:val>
        </c:ser>
        <c:ser>
          <c:idx val="10"/>
          <c:order val="10"/>
          <c:tx>
            <c:strRef>
              <c:f>'Age profile'!$H$19</c:f>
              <c:strCache>
                <c:ptCount val="1"/>
                <c:pt idx="0">
                  <c:v>21</c:v>
                </c:pt>
              </c:strCache>
            </c:strRef>
          </c:tx>
          <c:invertIfNegative val="0"/>
          <c:cat>
            <c:strRef>
              <c:f>'Age profile'!$I$8:$K$8</c:f>
              <c:strCache>
                <c:ptCount val="3"/>
                <c:pt idx="0">
                  <c:v>% Level 1</c:v>
                </c:pt>
                <c:pt idx="1">
                  <c:v>% Level 2a</c:v>
                </c:pt>
                <c:pt idx="2">
                  <c:v>% Level 2b</c:v>
                </c:pt>
              </c:strCache>
            </c:strRef>
          </c:cat>
          <c:val>
            <c:numRef>
              <c:f>'Age profile'!$I$19:$K$19</c:f>
              <c:numCache>
                <c:formatCode>0%</c:formatCode>
                <c:ptCount val="3"/>
                <c:pt idx="0">
                  <c:v>1.8691588785046762E-3</c:v>
                </c:pt>
                <c:pt idx="1">
                  <c:v>6.8446269678302531E-4</c:v>
                </c:pt>
                <c:pt idx="2">
                  <c:v>6.9344120196475024E-3</c:v>
                </c:pt>
              </c:numCache>
            </c:numRef>
          </c:val>
        </c:ser>
        <c:ser>
          <c:idx val="11"/>
          <c:order val="11"/>
          <c:tx>
            <c:strRef>
              <c:f>'Age profile'!$H$20</c:f>
              <c:strCache>
                <c:ptCount val="1"/>
                <c:pt idx="0">
                  <c:v>22</c:v>
                </c:pt>
              </c:strCache>
            </c:strRef>
          </c:tx>
          <c:invertIfNegative val="0"/>
          <c:cat>
            <c:strRef>
              <c:f>'Age profile'!$I$8:$K$8</c:f>
              <c:strCache>
                <c:ptCount val="3"/>
                <c:pt idx="0">
                  <c:v>% Level 1</c:v>
                </c:pt>
                <c:pt idx="1">
                  <c:v>% Level 2a</c:v>
                </c:pt>
                <c:pt idx="2">
                  <c:v>% Level 2b</c:v>
                </c:pt>
              </c:strCache>
            </c:strRef>
          </c:cat>
          <c:val>
            <c:numRef>
              <c:f>'Age profile'!$I$20:$K$20</c:f>
              <c:numCache>
                <c:formatCode>0%</c:formatCode>
                <c:ptCount val="3"/>
                <c:pt idx="0">
                  <c:v>0</c:v>
                </c:pt>
                <c:pt idx="1">
                  <c:v>3.4223134839151271E-4</c:v>
                </c:pt>
                <c:pt idx="2">
                  <c:v>5.7786766830396114E-4</c:v>
                </c:pt>
              </c:numCache>
            </c:numRef>
          </c:val>
        </c:ser>
        <c:ser>
          <c:idx val="12"/>
          <c:order val="12"/>
          <c:tx>
            <c:strRef>
              <c:f>'Age profile'!$H$21</c:f>
              <c:strCache>
                <c:ptCount val="1"/>
                <c:pt idx="0">
                  <c:v>24</c:v>
                </c:pt>
              </c:strCache>
            </c:strRef>
          </c:tx>
          <c:invertIfNegative val="0"/>
          <c:cat>
            <c:strRef>
              <c:f>'Age profile'!$I$8:$K$8</c:f>
              <c:strCache>
                <c:ptCount val="3"/>
                <c:pt idx="0">
                  <c:v>% Level 1</c:v>
                </c:pt>
                <c:pt idx="1">
                  <c:v>% Level 2a</c:v>
                </c:pt>
                <c:pt idx="2">
                  <c:v>% Level 2b</c:v>
                </c:pt>
              </c:strCache>
            </c:strRef>
          </c:cat>
          <c:val>
            <c:numRef>
              <c:f>'Age profile'!$I$21:$K$21</c:f>
              <c:numCache>
                <c:formatCode>0%</c:formatCode>
                <c:ptCount val="3"/>
                <c:pt idx="0">
                  <c:v>0</c:v>
                </c:pt>
                <c:pt idx="1">
                  <c:v>0</c:v>
                </c:pt>
                <c:pt idx="2">
                  <c:v>2.8893383415198008E-4</c:v>
                </c:pt>
              </c:numCache>
            </c:numRef>
          </c:val>
        </c:ser>
        <c:ser>
          <c:idx val="13"/>
          <c:order val="13"/>
          <c:tx>
            <c:strRef>
              <c:f>'Age profile'!$H$22</c:f>
              <c:strCache>
                <c:ptCount val="1"/>
                <c:pt idx="0">
                  <c:v>25</c:v>
                </c:pt>
              </c:strCache>
            </c:strRef>
          </c:tx>
          <c:invertIfNegative val="0"/>
          <c:cat>
            <c:strRef>
              <c:f>'Age profile'!$I$8:$K$8</c:f>
              <c:strCache>
                <c:ptCount val="3"/>
                <c:pt idx="0">
                  <c:v>% Level 1</c:v>
                </c:pt>
                <c:pt idx="1">
                  <c:v>% Level 2a</c:v>
                </c:pt>
                <c:pt idx="2">
                  <c:v>% Level 2b</c:v>
                </c:pt>
              </c:strCache>
            </c:strRef>
          </c:cat>
          <c:val>
            <c:numRef>
              <c:f>'Age profile'!$I$22:$K$22</c:f>
              <c:numCache>
                <c:formatCode>0%</c:formatCode>
                <c:ptCount val="3"/>
                <c:pt idx="0">
                  <c:v>1.8691588785046762E-3</c:v>
                </c:pt>
                <c:pt idx="1">
                  <c:v>0</c:v>
                </c:pt>
                <c:pt idx="2">
                  <c:v>0</c:v>
                </c:pt>
              </c:numCache>
            </c:numRef>
          </c:val>
        </c:ser>
        <c:dLbls>
          <c:showLegendKey val="0"/>
          <c:showVal val="0"/>
          <c:showCatName val="0"/>
          <c:showSerName val="0"/>
          <c:showPercent val="0"/>
          <c:showBubbleSize val="0"/>
        </c:dLbls>
        <c:gapWidth val="55"/>
        <c:axId val="45762048"/>
        <c:axId val="45763968"/>
      </c:barChart>
      <c:catAx>
        <c:axId val="45762048"/>
        <c:scaling>
          <c:orientation val="minMax"/>
        </c:scaling>
        <c:delete val="0"/>
        <c:axPos val="b"/>
        <c:majorTickMark val="none"/>
        <c:minorTickMark val="none"/>
        <c:tickLblPos val="nextTo"/>
        <c:crossAx val="45763968"/>
        <c:crosses val="autoZero"/>
        <c:auto val="1"/>
        <c:lblAlgn val="ctr"/>
        <c:lblOffset val="100"/>
        <c:noMultiLvlLbl val="0"/>
      </c:catAx>
      <c:valAx>
        <c:axId val="45763968"/>
        <c:scaling>
          <c:orientation val="minMax"/>
        </c:scaling>
        <c:delete val="0"/>
        <c:axPos val="l"/>
        <c:majorGridlines/>
        <c:numFmt formatCode="0%" sourceLinked="1"/>
        <c:majorTickMark val="none"/>
        <c:minorTickMark val="none"/>
        <c:tickLblPos val="nextTo"/>
        <c:crossAx val="457620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National - Age profile by Connection Level</a:t>
            </a:r>
          </a:p>
        </c:rich>
      </c:tx>
      <c:layout>
        <c:manualLayout>
          <c:xMode val="edge"/>
          <c:yMode val="edge"/>
          <c:x val="0.16167202572347222"/>
          <c:y val="1.2030075187969927E-2"/>
        </c:manualLayout>
      </c:layout>
      <c:overlay val="0"/>
    </c:title>
    <c:autoTitleDeleted val="0"/>
    <c:plotArea>
      <c:layout/>
      <c:barChart>
        <c:barDir val="col"/>
        <c:grouping val="clustered"/>
        <c:varyColors val="0"/>
        <c:ser>
          <c:idx val="0"/>
          <c:order val="0"/>
          <c:tx>
            <c:strRef>
              <c:f>'Age profile'!$H$39</c:f>
              <c:strCache>
                <c:ptCount val="1"/>
                <c:pt idx="0">
                  <c:v>11</c:v>
                </c:pt>
              </c:strCache>
            </c:strRef>
          </c:tx>
          <c:invertIfNegative val="0"/>
          <c:cat>
            <c:strRef>
              <c:f>'Age profile'!$I$34:$K$34</c:f>
              <c:strCache>
                <c:ptCount val="3"/>
                <c:pt idx="0">
                  <c:v>% Level 1</c:v>
                </c:pt>
                <c:pt idx="1">
                  <c:v>% Level 2a</c:v>
                </c:pt>
                <c:pt idx="2">
                  <c:v>% Level 2b</c:v>
                </c:pt>
              </c:strCache>
            </c:strRef>
          </c:cat>
          <c:val>
            <c:numRef>
              <c:f>'Age profile'!$I$39:$K$39</c:f>
              <c:numCache>
                <c:formatCode>0%</c:formatCode>
                <c:ptCount val="3"/>
                <c:pt idx="0">
                  <c:v>1.5267175572519106E-2</c:v>
                </c:pt>
                <c:pt idx="1">
                  <c:v>2.101753877373538E-3</c:v>
                </c:pt>
                <c:pt idx="2">
                  <c:v>2.027849128024875E-4</c:v>
                </c:pt>
              </c:numCache>
            </c:numRef>
          </c:val>
        </c:ser>
        <c:ser>
          <c:idx val="1"/>
          <c:order val="1"/>
          <c:tx>
            <c:strRef>
              <c:f>'Age profile'!$H$40</c:f>
              <c:strCache>
                <c:ptCount val="1"/>
                <c:pt idx="0">
                  <c:v>12</c:v>
                </c:pt>
              </c:strCache>
            </c:strRef>
          </c:tx>
          <c:invertIfNegative val="0"/>
          <c:cat>
            <c:strRef>
              <c:f>'Age profile'!$I$34:$K$34</c:f>
              <c:strCache>
                <c:ptCount val="3"/>
                <c:pt idx="0">
                  <c:v>% Level 1</c:v>
                </c:pt>
                <c:pt idx="1">
                  <c:v>% Level 2a</c:v>
                </c:pt>
                <c:pt idx="2">
                  <c:v>% Level 2b</c:v>
                </c:pt>
              </c:strCache>
            </c:strRef>
          </c:cat>
          <c:val>
            <c:numRef>
              <c:f>'Age profile'!$I$40:$K$40</c:f>
              <c:numCache>
                <c:formatCode>0%</c:formatCode>
                <c:ptCount val="3"/>
                <c:pt idx="0">
                  <c:v>3.1806615776081452E-2</c:v>
                </c:pt>
                <c:pt idx="1">
                  <c:v>8.1895926945934391E-3</c:v>
                </c:pt>
                <c:pt idx="2">
                  <c:v>1.2167094768149251E-3</c:v>
                </c:pt>
              </c:numCache>
            </c:numRef>
          </c:val>
        </c:ser>
        <c:ser>
          <c:idx val="2"/>
          <c:order val="2"/>
          <c:tx>
            <c:strRef>
              <c:f>'Age profile'!$H$41</c:f>
              <c:strCache>
                <c:ptCount val="1"/>
                <c:pt idx="0">
                  <c:v>13</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profile'!$I$41:$K$41</c:f>
              <c:numCache>
                <c:formatCode>0%</c:formatCode>
                <c:ptCount val="3"/>
                <c:pt idx="0">
                  <c:v>6.6549226854570362E-2</c:v>
                </c:pt>
                <c:pt idx="1">
                  <c:v>2.2974344107841764E-2</c:v>
                </c:pt>
                <c:pt idx="2">
                  <c:v>5.4075976747330109E-3</c:v>
                </c:pt>
              </c:numCache>
            </c:numRef>
          </c:val>
        </c:ser>
        <c:ser>
          <c:idx val="3"/>
          <c:order val="3"/>
          <c:tx>
            <c:strRef>
              <c:f>'Age profile'!$H$42</c:f>
              <c:strCache>
                <c:ptCount val="1"/>
                <c:pt idx="0">
                  <c:v>14</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profile'!$I$42:$K$42</c:f>
              <c:numCache>
                <c:formatCode>0%</c:formatCode>
                <c:ptCount val="3"/>
                <c:pt idx="0">
                  <c:v>0.13123899001761596</c:v>
                </c:pt>
                <c:pt idx="1">
                  <c:v>6.7835918249021784E-2</c:v>
                </c:pt>
                <c:pt idx="2">
                  <c:v>1.9805326483709629E-2</c:v>
                </c:pt>
              </c:numCache>
            </c:numRef>
          </c:val>
        </c:ser>
        <c:ser>
          <c:idx val="4"/>
          <c:order val="4"/>
          <c:tx>
            <c:strRef>
              <c:f>'Age profile'!$H$43</c:f>
              <c:strCache>
                <c:ptCount val="1"/>
                <c:pt idx="0">
                  <c:v>15</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profile'!$I$43:$K$43</c:f>
              <c:numCache>
                <c:formatCode>0%</c:formatCode>
                <c:ptCount val="3"/>
                <c:pt idx="0">
                  <c:v>0.20434527304756342</c:v>
                </c:pt>
                <c:pt idx="1">
                  <c:v>0.16197999710102948</c:v>
                </c:pt>
                <c:pt idx="2">
                  <c:v>6.1849398404758685E-2</c:v>
                </c:pt>
              </c:numCache>
            </c:numRef>
          </c:val>
        </c:ser>
        <c:ser>
          <c:idx val="5"/>
          <c:order val="5"/>
          <c:tx>
            <c:strRef>
              <c:f>'Age profile'!$H$44</c:f>
              <c:strCache>
                <c:ptCount val="1"/>
                <c:pt idx="0">
                  <c:v>16</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profile'!$I$44:$K$44</c:f>
              <c:numCache>
                <c:formatCode>0%</c:formatCode>
                <c:ptCount val="3"/>
                <c:pt idx="0">
                  <c:v>0.2394793501663737</c:v>
                </c:pt>
                <c:pt idx="1">
                  <c:v>0.25365995071749525</c:v>
                </c:pt>
                <c:pt idx="2">
                  <c:v>0.14046234960118997</c:v>
                </c:pt>
              </c:numCache>
            </c:numRef>
          </c:val>
        </c:ser>
        <c:ser>
          <c:idx val="6"/>
          <c:order val="6"/>
          <c:tx>
            <c:strRef>
              <c:f>'Age profile'!$H$45</c:f>
              <c:strCache>
                <c:ptCount val="1"/>
                <c:pt idx="0">
                  <c:v>17</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profile'!$I$45:$K$45</c:f>
              <c:numCache>
                <c:formatCode>0%</c:formatCode>
                <c:ptCount val="3"/>
                <c:pt idx="0">
                  <c:v>0.18105304364846381</c:v>
                </c:pt>
                <c:pt idx="1">
                  <c:v>0.25286273372952656</c:v>
                </c:pt>
                <c:pt idx="2">
                  <c:v>0.23523049885088587</c:v>
                </c:pt>
              </c:numCache>
            </c:numRef>
          </c:val>
        </c:ser>
        <c:ser>
          <c:idx val="7"/>
          <c:order val="7"/>
          <c:tx>
            <c:strRef>
              <c:f>'Age profile'!$H$46</c:f>
              <c:strCache>
                <c:ptCount val="1"/>
                <c:pt idx="0">
                  <c:v>18</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profile'!$I$46:$K$46</c:f>
              <c:numCache>
                <c:formatCode>0%</c:formatCode>
                <c:ptCount val="3"/>
                <c:pt idx="0">
                  <c:v>8.7003327461342733E-2</c:v>
                </c:pt>
                <c:pt idx="1">
                  <c:v>0.14835483403391797</c:v>
                </c:pt>
                <c:pt idx="2">
                  <c:v>0.24895227795052075</c:v>
                </c:pt>
              </c:numCache>
            </c:numRef>
          </c:val>
        </c:ser>
        <c:ser>
          <c:idx val="8"/>
          <c:order val="8"/>
          <c:tx>
            <c:strRef>
              <c:f>'Age profile'!$H$47</c:f>
              <c:strCache>
                <c:ptCount val="1"/>
                <c:pt idx="0">
                  <c:v>19</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profile'!$I$47:$K$47</c:f>
              <c:numCache>
                <c:formatCode>0%</c:formatCode>
                <c:ptCount val="3"/>
                <c:pt idx="0">
                  <c:v>3.0827950675278992E-2</c:v>
                </c:pt>
                <c:pt idx="1">
                  <c:v>6.0081171184229613E-2</c:v>
                </c:pt>
                <c:pt idx="2">
                  <c:v>0.16722995809111801</c:v>
                </c:pt>
              </c:numCache>
            </c:numRef>
          </c:val>
        </c:ser>
        <c:ser>
          <c:idx val="9"/>
          <c:order val="9"/>
          <c:tx>
            <c:strRef>
              <c:f>'Age profile'!$H$48</c:f>
              <c:strCache>
                <c:ptCount val="1"/>
                <c:pt idx="0">
                  <c:v>20</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profile'!$I$48:$K$48</c:f>
              <c:numCache>
                <c:formatCode>0%</c:formatCode>
                <c:ptCount val="3"/>
                <c:pt idx="0">
                  <c:v>6.3613231552162993E-3</c:v>
                </c:pt>
                <c:pt idx="1">
                  <c:v>1.5364545586316863E-2</c:v>
                </c:pt>
                <c:pt idx="2">
                  <c:v>8.2803839394349057E-2</c:v>
                </c:pt>
              </c:numCache>
            </c:numRef>
          </c:val>
        </c:ser>
        <c:ser>
          <c:idx val="10"/>
          <c:order val="10"/>
          <c:tx>
            <c:strRef>
              <c:f>'Age profile'!$H$49</c:f>
              <c:strCache>
                <c:ptCount val="1"/>
                <c:pt idx="0">
                  <c:v>21</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profile'!$I$49:$K$49</c:f>
              <c:numCache>
                <c:formatCode>0%</c:formatCode>
                <c:ptCount val="3"/>
                <c:pt idx="0">
                  <c:v>1.957330201605015E-3</c:v>
                </c:pt>
                <c:pt idx="1">
                  <c:v>4.6383533845484924E-3</c:v>
                </c:pt>
                <c:pt idx="2">
                  <c:v>3.1228876571583138E-2</c:v>
                </c:pt>
              </c:numCache>
            </c:numRef>
          </c:val>
        </c:ser>
        <c:ser>
          <c:idx val="11"/>
          <c:order val="11"/>
          <c:tx>
            <c:strRef>
              <c:f>'Age profile'!$H$50</c:f>
              <c:strCache>
                <c:ptCount val="1"/>
                <c:pt idx="0">
                  <c:v>22</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profile'!$I$50:$K$50</c:f>
              <c:numCache>
                <c:formatCode>0%</c:formatCode>
                <c:ptCount val="3"/>
                <c:pt idx="0">
                  <c:v>0</c:v>
                </c:pt>
                <c:pt idx="1">
                  <c:v>9.4216553123641338E-4</c:v>
                </c:pt>
                <c:pt idx="2">
                  <c:v>4.2584831688522434E-3</c:v>
                </c:pt>
              </c:numCache>
            </c:numRef>
          </c:val>
        </c:ser>
        <c:ser>
          <c:idx val="12"/>
          <c:order val="12"/>
          <c:tx>
            <c:strRef>
              <c:f>'Age profile'!$H$51</c:f>
              <c:strCache>
                <c:ptCount val="1"/>
                <c:pt idx="0">
                  <c:v>23</c:v>
                </c:pt>
              </c:strCache>
            </c:strRef>
          </c:tx>
          <c:invertIfNegative val="0"/>
          <c:dLbls>
            <c:showLegendKey val="0"/>
            <c:showVal val="1"/>
            <c:showCatName val="0"/>
            <c:showSerName val="0"/>
            <c:showPercent val="0"/>
            <c:showBubbleSize val="0"/>
            <c:showLeaderLines val="0"/>
          </c:dLbls>
          <c:cat>
            <c:strRef>
              <c:f>'Age profile'!$I$34:$K$34</c:f>
              <c:strCache>
                <c:ptCount val="3"/>
                <c:pt idx="0">
                  <c:v>% Level 1</c:v>
                </c:pt>
                <c:pt idx="1">
                  <c:v>% Level 2a</c:v>
                </c:pt>
                <c:pt idx="2">
                  <c:v>% Level 2b</c:v>
                </c:pt>
              </c:strCache>
            </c:strRef>
          </c:cat>
          <c:val>
            <c:numRef>
              <c:f>'Age profile'!$I$51:$K$51</c:f>
              <c:numCache>
                <c:formatCode>0%</c:formatCode>
                <c:ptCount val="3"/>
                <c:pt idx="0">
                  <c:v>0</c:v>
                </c:pt>
                <c:pt idx="1">
                  <c:v>3.6237135816785166E-4</c:v>
                </c:pt>
                <c:pt idx="2">
                  <c:v>8.1113965120995066E-4</c:v>
                </c:pt>
              </c:numCache>
            </c:numRef>
          </c:val>
        </c:ser>
        <c:ser>
          <c:idx val="13"/>
          <c:order val="13"/>
          <c:tx>
            <c:strRef>
              <c:f>'Age profile'!$H$52</c:f>
              <c:strCache>
                <c:ptCount val="1"/>
                <c:pt idx="0">
                  <c:v>24</c:v>
                </c:pt>
              </c:strCache>
            </c:strRef>
          </c:tx>
          <c:invertIfNegative val="0"/>
          <c:cat>
            <c:strRef>
              <c:f>'Age profile'!$I$34:$K$34</c:f>
              <c:strCache>
                <c:ptCount val="3"/>
                <c:pt idx="0">
                  <c:v>% Level 1</c:v>
                </c:pt>
                <c:pt idx="1">
                  <c:v>% Level 2a</c:v>
                </c:pt>
                <c:pt idx="2">
                  <c:v>% Level 2b</c:v>
                </c:pt>
              </c:strCache>
            </c:strRef>
          </c:cat>
          <c:val>
            <c:numRef>
              <c:f>'Age profile'!$I$52:$K$52</c:f>
              <c:numCache>
                <c:formatCode>0%</c:formatCode>
                <c:ptCount val="3"/>
                <c:pt idx="0">
                  <c:v>9.7866510080250811E-5</c:v>
                </c:pt>
                <c:pt idx="1">
                  <c:v>7.2474271633570316E-5</c:v>
                </c:pt>
                <c:pt idx="2">
                  <c:v>4.05569825604975E-4</c:v>
                </c:pt>
              </c:numCache>
            </c:numRef>
          </c:val>
        </c:ser>
        <c:ser>
          <c:idx val="14"/>
          <c:order val="14"/>
          <c:tx>
            <c:strRef>
              <c:f>'Age profile'!$H$53</c:f>
              <c:strCache>
                <c:ptCount val="1"/>
                <c:pt idx="0">
                  <c:v>25</c:v>
                </c:pt>
              </c:strCache>
            </c:strRef>
          </c:tx>
          <c:invertIfNegative val="0"/>
          <c:cat>
            <c:strRef>
              <c:f>'Age profile'!$I$34:$K$34</c:f>
              <c:strCache>
                <c:ptCount val="3"/>
                <c:pt idx="0">
                  <c:v>% Level 1</c:v>
                </c:pt>
                <c:pt idx="1">
                  <c:v>% Level 2a</c:v>
                </c:pt>
                <c:pt idx="2">
                  <c:v>% Level 2b</c:v>
                </c:pt>
              </c:strCache>
            </c:strRef>
          </c:cat>
          <c:val>
            <c:numRef>
              <c:f>'Age profile'!$I$53:$K$53</c:f>
              <c:numCache>
                <c:formatCode>0%</c:formatCode>
                <c:ptCount val="3"/>
                <c:pt idx="0">
                  <c:v>9.7866510080250811E-5</c:v>
                </c:pt>
                <c:pt idx="1">
                  <c:v>1.4494854326714047E-4</c:v>
                </c:pt>
                <c:pt idx="2">
                  <c:v>6.7594970934162772E-5</c:v>
                </c:pt>
              </c:numCache>
            </c:numRef>
          </c:val>
        </c:ser>
        <c:dLbls>
          <c:showLegendKey val="0"/>
          <c:showVal val="0"/>
          <c:showCatName val="0"/>
          <c:showSerName val="0"/>
          <c:showPercent val="0"/>
          <c:showBubbleSize val="0"/>
        </c:dLbls>
        <c:gapWidth val="55"/>
        <c:axId val="86017536"/>
        <c:axId val="86221952"/>
      </c:barChart>
      <c:catAx>
        <c:axId val="86017536"/>
        <c:scaling>
          <c:orientation val="minMax"/>
        </c:scaling>
        <c:delete val="0"/>
        <c:axPos val="b"/>
        <c:majorTickMark val="none"/>
        <c:minorTickMark val="none"/>
        <c:tickLblPos val="nextTo"/>
        <c:crossAx val="86221952"/>
        <c:crosses val="autoZero"/>
        <c:auto val="1"/>
        <c:lblAlgn val="ctr"/>
        <c:lblOffset val="100"/>
        <c:noMultiLvlLbl val="0"/>
      </c:catAx>
      <c:valAx>
        <c:axId val="86221952"/>
        <c:scaling>
          <c:orientation val="minMax"/>
        </c:scaling>
        <c:delete val="0"/>
        <c:axPos val="l"/>
        <c:majorGridlines/>
        <c:numFmt formatCode="0%" sourceLinked="1"/>
        <c:majorTickMark val="none"/>
        <c:minorTickMark val="none"/>
        <c:tickLblPos val="nextTo"/>
        <c:crossAx val="860175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 of Participants who have been identified as having a characteristic</a:t>
            </a:r>
            <a:endParaRPr lang="en-AU"/>
          </a:p>
        </c:rich>
      </c:tx>
      <c:overlay val="0"/>
    </c:title>
    <c:autoTitleDeleted val="0"/>
    <c:plotArea>
      <c:layout/>
      <c:barChart>
        <c:barDir val="bar"/>
        <c:grouping val="clustered"/>
        <c:varyColors val="0"/>
        <c:ser>
          <c:idx val="0"/>
          <c:order val="0"/>
          <c:tx>
            <c:strRef>
              <c:f>Characteristics!$B$2</c:f>
              <c:strCache>
                <c:ptCount val="1"/>
                <c:pt idx="0">
                  <c:v>% QLD</c:v>
                </c:pt>
              </c:strCache>
            </c:strRef>
          </c:tx>
          <c:invertIfNegative val="0"/>
          <c:dLbls>
            <c:showLegendKey val="0"/>
            <c:showVal val="1"/>
            <c:showCatName val="0"/>
            <c:showSerName val="0"/>
            <c:showPercent val="0"/>
            <c:showBubbleSize val="0"/>
            <c:showLeaderLines val="0"/>
          </c:dLbls>
          <c:cat>
            <c:strRef>
              <c:f>Characteristics!$A$3:$A$10</c:f>
              <c:strCache>
                <c:ptCount val="8"/>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strCache>
            </c:strRef>
          </c:cat>
          <c:val>
            <c:numRef>
              <c:f>Characteristics!$B$3:$B$10</c:f>
              <c:numCache>
                <c:formatCode>0%</c:formatCode>
                <c:ptCount val="8"/>
                <c:pt idx="0">
                  <c:v>6.3857515204170281E-2</c:v>
                </c:pt>
                <c:pt idx="1">
                  <c:v>4.6481320590790617E-2</c:v>
                </c:pt>
                <c:pt idx="2">
                  <c:v>2.3168259484506225E-3</c:v>
                </c:pt>
                <c:pt idx="3">
                  <c:v>0.2066319142774399</c:v>
                </c:pt>
                <c:pt idx="4">
                  <c:v>1.7955401100492326E-2</c:v>
                </c:pt>
                <c:pt idx="5">
                  <c:v>0.28381117868520189</c:v>
                </c:pt>
                <c:pt idx="6">
                  <c:v>0.15015928178395599</c:v>
                </c:pt>
                <c:pt idx="7">
                  <c:v>1.3321749203591087E-2</c:v>
                </c:pt>
              </c:numCache>
            </c:numRef>
          </c:val>
        </c:ser>
        <c:ser>
          <c:idx val="1"/>
          <c:order val="1"/>
          <c:tx>
            <c:strRef>
              <c:f>Characteristics!$C$2</c:f>
              <c:strCache>
                <c:ptCount val="1"/>
                <c:pt idx="0">
                  <c:v>% National</c:v>
                </c:pt>
              </c:strCache>
            </c:strRef>
          </c:tx>
          <c:invertIfNegative val="0"/>
          <c:dLbls>
            <c:showLegendKey val="0"/>
            <c:showVal val="1"/>
            <c:showCatName val="0"/>
            <c:showSerName val="0"/>
            <c:showPercent val="0"/>
            <c:showBubbleSize val="0"/>
            <c:showLeaderLines val="0"/>
          </c:dLbls>
          <c:cat>
            <c:strRef>
              <c:f>Characteristics!$A$3:$A$10</c:f>
              <c:strCache>
                <c:ptCount val="8"/>
                <c:pt idx="0">
                  <c:v>Culturally and linguistically diverse</c:v>
                </c:pt>
                <c:pt idx="1">
                  <c:v>Disability</c:v>
                </c:pt>
                <c:pt idx="2">
                  <c:v>Humanitarian Refugee</c:v>
                </c:pt>
                <c:pt idx="3">
                  <c:v>Indigenous Australian</c:v>
                </c:pt>
                <c:pt idx="4">
                  <c:v>Parent</c:v>
                </c:pt>
                <c:pt idx="5">
                  <c:v>Receiving Centrelink Income Support</c:v>
                </c:pt>
                <c:pt idx="6">
                  <c:v>Suspected or diagnosed mental health issue</c:v>
                </c:pt>
                <c:pt idx="7">
                  <c:v>Young Carer</c:v>
                </c:pt>
              </c:strCache>
            </c:strRef>
          </c:cat>
          <c:val>
            <c:numRef>
              <c:f>Characteristics!$C$3:$C$10</c:f>
              <c:numCache>
                <c:formatCode>0%</c:formatCode>
                <c:ptCount val="8"/>
                <c:pt idx="0">
                  <c:v>6.8474095847987013E-2</c:v>
                </c:pt>
                <c:pt idx="1">
                  <c:v>4.4669571151120822E-2</c:v>
                </c:pt>
                <c:pt idx="2">
                  <c:v>1.3280142774657501E-2</c:v>
                </c:pt>
                <c:pt idx="3">
                  <c:v>0.17854705789722408</c:v>
                </c:pt>
                <c:pt idx="4">
                  <c:v>1.7085717285181882E-2</c:v>
                </c:pt>
                <c:pt idx="5">
                  <c:v>0.29654611306493156</c:v>
                </c:pt>
                <c:pt idx="6">
                  <c:v>0.20080310744842791</c:v>
                </c:pt>
                <c:pt idx="7">
                  <c:v>2.0576347698283627E-2</c:v>
                </c:pt>
              </c:numCache>
            </c:numRef>
          </c:val>
        </c:ser>
        <c:dLbls>
          <c:showLegendKey val="0"/>
          <c:showVal val="0"/>
          <c:showCatName val="0"/>
          <c:showSerName val="0"/>
          <c:showPercent val="0"/>
          <c:showBubbleSize val="0"/>
        </c:dLbls>
        <c:gapWidth val="150"/>
        <c:axId val="92524544"/>
        <c:axId val="92548480"/>
      </c:barChart>
      <c:catAx>
        <c:axId val="92524544"/>
        <c:scaling>
          <c:orientation val="maxMin"/>
        </c:scaling>
        <c:delete val="0"/>
        <c:axPos val="l"/>
        <c:majorTickMark val="none"/>
        <c:minorTickMark val="none"/>
        <c:tickLblPos val="nextTo"/>
        <c:crossAx val="92548480"/>
        <c:crosses val="autoZero"/>
        <c:auto val="1"/>
        <c:lblAlgn val="ctr"/>
        <c:lblOffset val="100"/>
        <c:noMultiLvlLbl val="0"/>
      </c:catAx>
      <c:valAx>
        <c:axId val="92548480"/>
        <c:scaling>
          <c:orientation val="minMax"/>
        </c:scaling>
        <c:delete val="0"/>
        <c:axPos val="t"/>
        <c:majorGridlines/>
        <c:numFmt formatCode="0%" sourceLinked="1"/>
        <c:majorTickMark val="none"/>
        <c:minorTickMark val="none"/>
        <c:tickLblPos val="nextTo"/>
        <c:crossAx val="9252454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clustered"/>
        <c:varyColors val="0"/>
        <c:ser>
          <c:idx val="0"/>
          <c:order val="0"/>
          <c:tx>
            <c:strRef>
              <c:f>Barriers!$U$2</c:f>
              <c:strCache>
                <c:ptCount val="1"/>
                <c:pt idx="0">
                  <c:v>Total</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Barriers!$U$3:$U$29</c:f>
              <c:numCache>
                <c:formatCode>0%</c:formatCode>
                <c:ptCount val="27"/>
                <c:pt idx="0">
                  <c:v>9.8183822371529242E-2</c:v>
                </c:pt>
                <c:pt idx="1">
                  <c:v>0.20043567266810142</c:v>
                </c:pt>
                <c:pt idx="2">
                  <c:v>0.31405175581334338</c:v>
                </c:pt>
                <c:pt idx="3">
                  <c:v>0.53879061466589906</c:v>
                </c:pt>
                <c:pt idx="4">
                  <c:v>0.24641751089181702</c:v>
                </c:pt>
                <c:pt idx="5">
                  <c:v>0.15500498661487591</c:v>
                </c:pt>
                <c:pt idx="6">
                  <c:v>0.10369534407642664</c:v>
                </c:pt>
                <c:pt idx="7">
                  <c:v>4.7976484174059107E-2</c:v>
                </c:pt>
                <c:pt idx="8">
                  <c:v>4.658548107710881E-2</c:v>
                </c:pt>
                <c:pt idx="9">
                  <c:v>0.25998635242244544</c:v>
                </c:pt>
                <c:pt idx="10">
                  <c:v>1.0524381922208809E-2</c:v>
                </c:pt>
                <c:pt idx="11">
                  <c:v>4.6349273004041784E-2</c:v>
                </c:pt>
                <c:pt idx="12">
                  <c:v>3.2281769985827609E-2</c:v>
                </c:pt>
                <c:pt idx="13">
                  <c:v>0.2708519237835284</c:v>
                </c:pt>
                <c:pt idx="14">
                  <c:v>4.6139310272426654E-2</c:v>
                </c:pt>
                <c:pt idx="15">
                  <c:v>0.5232533725263766</c:v>
                </c:pt>
                <c:pt idx="16">
                  <c:v>0.55999685055902693</c:v>
                </c:pt>
                <c:pt idx="17">
                  <c:v>9.7816387591202564E-2</c:v>
                </c:pt>
                <c:pt idx="18">
                  <c:v>1.0235683166237993E-3</c:v>
                </c:pt>
                <c:pt idx="19">
                  <c:v>3.5168757545535667E-2</c:v>
                </c:pt>
                <c:pt idx="20">
                  <c:v>3.0785785523069733E-2</c:v>
                </c:pt>
                <c:pt idx="21">
                  <c:v>5.2490682903784749E-4</c:v>
                </c:pt>
                <c:pt idx="22">
                  <c:v>0.4178783265970295</c:v>
                </c:pt>
                <c:pt idx="23">
                  <c:v>0.25717810088709281</c:v>
                </c:pt>
                <c:pt idx="24">
                  <c:v>0.1801480237257887</c:v>
                </c:pt>
                <c:pt idx="25">
                  <c:v>2.388326072122205E-3</c:v>
                </c:pt>
                <c:pt idx="26">
                  <c:v>3.5299984252795132E-2</c:v>
                </c:pt>
              </c:numCache>
            </c:numRef>
          </c:val>
        </c:ser>
        <c:ser>
          <c:idx val="1"/>
          <c:order val="1"/>
          <c:tx>
            <c:strRef>
              <c:f>Barriers!$T$2</c:f>
              <c:strCache>
                <c:ptCount val="1"/>
                <c:pt idx="0">
                  <c:v>QLD</c:v>
                </c:pt>
              </c:strCache>
            </c:strRef>
          </c:tx>
          <c:invertIfNegative val="0"/>
          <c:dLbls>
            <c:showLegendKey val="0"/>
            <c:showVal val="1"/>
            <c:showCatName val="0"/>
            <c:showSerName val="0"/>
            <c:showPercent val="0"/>
            <c:showBubbleSize val="0"/>
            <c:showLeaderLines val="0"/>
          </c:dLbls>
          <c:cat>
            <c:strRef>
              <c:f>Barriers!$S$3:$S$29</c:f>
              <c:strCache>
                <c:ptCount val="27"/>
                <c:pt idx="0">
                  <c:v>Abuse/Domestic Violence issue</c:v>
                </c:pt>
                <c:pt idx="1">
                  <c:v>Alcohol and/or drug misuse</c:v>
                </c:pt>
                <c:pt idx="2">
                  <c:v>Anger management issues</c:v>
                </c:pt>
                <c:pt idx="3">
                  <c:v>Behavioural problems</c:v>
                </c:pt>
                <c:pt idx="4">
                  <c:v>Bullying</c:v>
                </c:pt>
                <c:pt idx="5">
                  <c:v>Critical life event</c:v>
                </c:pt>
                <c:pt idx="6">
                  <c:v>Current or previous Juvenile Justice Orders</c:v>
                </c:pt>
                <c:pt idx="7">
                  <c:v>Disability</c:v>
                </c:pt>
                <c:pt idx="8">
                  <c:v>Disconnection from cultural heritage</c:v>
                </c:pt>
                <c:pt idx="9">
                  <c:v>Financial distress</c:v>
                </c:pt>
                <c:pt idx="10">
                  <c:v>Gifted</c:v>
                </c:pt>
                <c:pt idx="11">
                  <c:v>Homelessness</c:v>
                </c:pt>
                <c:pt idx="12">
                  <c:v>In detention/previously in detention</c:v>
                </c:pt>
                <c:pt idx="13">
                  <c:v>Inadequate family support</c:v>
                </c:pt>
                <c:pt idx="14">
                  <c:v>Learning Difficulty</c:v>
                </c:pt>
                <c:pt idx="15">
                  <c:v>Low literacy and/or numeracy</c:v>
                </c:pt>
                <c:pt idx="16">
                  <c:v>Low Self Esteem</c:v>
                </c:pt>
                <c:pt idx="17">
                  <c:v>Medical or other health issue</c:v>
                </c:pt>
                <c:pt idx="18">
                  <c:v>Negative experience(s) with education and training</c:v>
                </c:pt>
                <c:pt idx="19">
                  <c:v>Out of home care</c:v>
                </c:pt>
                <c:pt idx="20">
                  <c:v>Parent/Pregnancy</c:v>
                </c:pt>
                <c:pt idx="21">
                  <c:v>Petrol sniffing</c:v>
                </c:pt>
                <c:pt idx="22">
                  <c:v>Socialisation issues</c:v>
                </c:pt>
                <c:pt idx="23">
                  <c:v>Suspected or diagnosed mental health issue</c:v>
                </c:pt>
                <c:pt idx="24">
                  <c:v>Unstable living arrangements</c:v>
                </c:pt>
                <c:pt idx="25">
                  <c:v>Volatile substance misuse</c:v>
                </c:pt>
                <c:pt idx="26">
                  <c:v>Young Carer responsibilities</c:v>
                </c:pt>
              </c:strCache>
            </c:strRef>
          </c:cat>
          <c:val>
            <c:numRef>
              <c:f>Barriers!$T$3:$T$29</c:f>
              <c:numCache>
                <c:formatCode>0%</c:formatCode>
                <c:ptCount val="27"/>
                <c:pt idx="0">
                  <c:v>0.10092673037938041</c:v>
                </c:pt>
                <c:pt idx="1">
                  <c:v>0.21010715320011583</c:v>
                </c:pt>
                <c:pt idx="2">
                  <c:v>0.33000289603243638</c:v>
                </c:pt>
                <c:pt idx="3">
                  <c:v>0.5653055314219515</c:v>
                </c:pt>
                <c:pt idx="4">
                  <c:v>0.22502172024326667</c:v>
                </c:pt>
                <c:pt idx="5">
                  <c:v>0.12872864176078772</c:v>
                </c:pt>
                <c:pt idx="6">
                  <c:v>9.3107442803359627E-2</c:v>
                </c:pt>
                <c:pt idx="7">
                  <c:v>5.1259774109469941E-2</c:v>
                </c:pt>
                <c:pt idx="8">
                  <c:v>5.0246162757022865E-2</c:v>
                </c:pt>
                <c:pt idx="9">
                  <c:v>0.26107732406602929</c:v>
                </c:pt>
                <c:pt idx="10">
                  <c:v>1.3176947581812912E-2</c:v>
                </c:pt>
                <c:pt idx="11">
                  <c:v>3.9386041123660592E-2</c:v>
                </c:pt>
                <c:pt idx="12">
                  <c:v>2.2733854619171802E-2</c:v>
                </c:pt>
                <c:pt idx="13">
                  <c:v>0.22154648132059113</c:v>
                </c:pt>
                <c:pt idx="14">
                  <c:v>4.1558065450333054E-2</c:v>
                </c:pt>
                <c:pt idx="15">
                  <c:v>0.55024616275702187</c:v>
                </c:pt>
                <c:pt idx="16">
                  <c:v>0.6091804228207357</c:v>
                </c:pt>
                <c:pt idx="17">
                  <c:v>8.8039386041123727E-2</c:v>
                </c:pt>
                <c:pt idx="18">
                  <c:v>1.44801621778164E-3</c:v>
                </c:pt>
                <c:pt idx="19">
                  <c:v>4.068925571966394E-2</c:v>
                </c:pt>
                <c:pt idx="20">
                  <c:v>3.0987547060527143E-2</c:v>
                </c:pt>
                <c:pt idx="21">
                  <c:v>1.3032145960034753E-3</c:v>
                </c:pt>
                <c:pt idx="22">
                  <c:v>0.50260642919200649</c:v>
                </c:pt>
                <c:pt idx="23">
                  <c:v>0.19577179264407762</c:v>
                </c:pt>
                <c:pt idx="24">
                  <c:v>0.15841297422531156</c:v>
                </c:pt>
                <c:pt idx="25">
                  <c:v>3.0408340573414541E-3</c:v>
                </c:pt>
                <c:pt idx="26">
                  <c:v>2.3892267593397045E-2</c:v>
                </c:pt>
              </c:numCache>
            </c:numRef>
          </c:val>
        </c:ser>
        <c:dLbls>
          <c:showLegendKey val="0"/>
          <c:showVal val="0"/>
          <c:showCatName val="0"/>
          <c:showSerName val="0"/>
          <c:showPercent val="0"/>
          <c:showBubbleSize val="0"/>
        </c:dLbls>
        <c:gapWidth val="150"/>
        <c:axId val="100341632"/>
        <c:axId val="100370304"/>
      </c:barChart>
      <c:catAx>
        <c:axId val="100341632"/>
        <c:scaling>
          <c:orientation val="minMax"/>
        </c:scaling>
        <c:delete val="0"/>
        <c:axPos val="l"/>
        <c:majorTickMark val="out"/>
        <c:minorTickMark val="none"/>
        <c:tickLblPos val="nextTo"/>
        <c:crossAx val="100370304"/>
        <c:crosses val="autoZero"/>
        <c:auto val="1"/>
        <c:lblAlgn val="ctr"/>
        <c:lblOffset val="100"/>
        <c:noMultiLvlLbl val="0"/>
      </c:catAx>
      <c:valAx>
        <c:axId val="100370304"/>
        <c:scaling>
          <c:orientation val="minMax"/>
        </c:scaling>
        <c:delete val="0"/>
        <c:axPos val="b"/>
        <c:majorGridlines/>
        <c:numFmt formatCode="0%" sourceLinked="1"/>
        <c:majorTickMark val="out"/>
        <c:minorTickMark val="none"/>
        <c:tickLblPos val="nextTo"/>
        <c:crossAx val="10034163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QLD Participant Barriers</a:t>
            </a:r>
          </a:p>
        </c:rich>
      </c:tx>
      <c:overlay val="0"/>
    </c:title>
    <c:autoTitleDeleted val="0"/>
    <c:plotArea>
      <c:layout>
        <c:manualLayout>
          <c:layoutTarget val="inner"/>
          <c:xMode val="edge"/>
          <c:yMode val="edge"/>
          <c:x val="0.10593282897357212"/>
          <c:y val="6.6546374122451027E-2"/>
          <c:w val="0.45112986125243293"/>
          <c:h val="0.86563219621819754"/>
        </c:manualLayout>
      </c:layout>
      <c:barChart>
        <c:barDir val="col"/>
        <c:grouping val="percentStacked"/>
        <c:varyColors val="0"/>
        <c:ser>
          <c:idx val="0"/>
          <c:order val="0"/>
          <c:tx>
            <c:strRef>
              <c:f>Barriers!$A$3</c:f>
              <c:strCache>
                <c:ptCount val="1"/>
                <c:pt idx="0">
                  <c:v>Abuse/Domestic Violence issue</c:v>
                </c:pt>
              </c:strCache>
            </c:strRef>
          </c:tx>
          <c:invertIfNegative val="0"/>
          <c:cat>
            <c:strRef>
              <c:f>Barriers!$E$2:$G$2</c:f>
              <c:strCache>
                <c:ptCount val="3"/>
                <c:pt idx="0">
                  <c:v>Level 1</c:v>
                </c:pt>
                <c:pt idx="1">
                  <c:v>Level 2a</c:v>
                </c:pt>
                <c:pt idx="2">
                  <c:v>Level 2b</c:v>
                </c:pt>
              </c:strCache>
            </c:strRef>
          </c:cat>
          <c:val>
            <c:numRef>
              <c:f>Barriers!$E$3:$G$3</c:f>
              <c:numCache>
                <c:formatCode>0%</c:formatCode>
                <c:ptCount val="3"/>
                <c:pt idx="0">
                  <c:v>7.2897196261682243E-2</c:v>
                </c:pt>
                <c:pt idx="1">
                  <c:v>7.9739904175222448E-2</c:v>
                </c:pt>
                <c:pt idx="2">
                  <c:v>0.12279687951459116</c:v>
                </c:pt>
              </c:numCache>
            </c:numRef>
          </c:val>
        </c:ser>
        <c:ser>
          <c:idx val="1"/>
          <c:order val="1"/>
          <c:tx>
            <c:strRef>
              <c:f>Barriers!$A$4</c:f>
              <c:strCache>
                <c:ptCount val="1"/>
                <c:pt idx="0">
                  <c:v>Alcohol and/or drug misuse</c:v>
                </c:pt>
              </c:strCache>
            </c:strRef>
          </c:tx>
          <c:invertIfNegative val="0"/>
          <c:cat>
            <c:strRef>
              <c:f>Barriers!$E$2:$G$2</c:f>
              <c:strCache>
                <c:ptCount val="3"/>
                <c:pt idx="0">
                  <c:v>Level 1</c:v>
                </c:pt>
                <c:pt idx="1">
                  <c:v>Level 2a</c:v>
                </c:pt>
                <c:pt idx="2">
                  <c:v>Level 2b</c:v>
                </c:pt>
              </c:strCache>
            </c:strRef>
          </c:cat>
          <c:val>
            <c:numRef>
              <c:f>Barriers!$E$4:$G$4</c:f>
              <c:numCache>
                <c:formatCode>0%</c:formatCode>
                <c:ptCount val="3"/>
                <c:pt idx="0">
                  <c:v>0.11214953271028037</c:v>
                </c:pt>
                <c:pt idx="1">
                  <c:v>0.16427104722792607</c:v>
                </c:pt>
                <c:pt idx="2">
                  <c:v>0.26321872291245307</c:v>
                </c:pt>
              </c:numCache>
            </c:numRef>
          </c:val>
        </c:ser>
        <c:ser>
          <c:idx val="2"/>
          <c:order val="2"/>
          <c:tx>
            <c:strRef>
              <c:f>Barriers!$A$5</c:f>
              <c:strCache>
                <c:ptCount val="1"/>
                <c:pt idx="0">
                  <c:v>Anger management issues</c:v>
                </c:pt>
              </c:strCache>
            </c:strRef>
          </c:tx>
          <c:invertIfNegative val="0"/>
          <c:cat>
            <c:strRef>
              <c:f>Barriers!$E$2:$G$2</c:f>
              <c:strCache>
                <c:ptCount val="3"/>
                <c:pt idx="0">
                  <c:v>Level 1</c:v>
                </c:pt>
                <c:pt idx="1">
                  <c:v>Level 2a</c:v>
                </c:pt>
                <c:pt idx="2">
                  <c:v>Level 2b</c:v>
                </c:pt>
              </c:strCache>
            </c:strRef>
          </c:cat>
          <c:val>
            <c:numRef>
              <c:f>Barriers!$E$5:$G$5</c:f>
              <c:numCache>
                <c:formatCode>0%</c:formatCode>
                <c:ptCount val="3"/>
                <c:pt idx="0">
                  <c:v>0.26728971962616821</c:v>
                </c:pt>
                <c:pt idx="1">
                  <c:v>0.36652977412731008</c:v>
                </c:pt>
                <c:pt idx="2">
                  <c:v>0.30771453337185783</c:v>
                </c:pt>
              </c:numCache>
            </c:numRef>
          </c:val>
        </c:ser>
        <c:ser>
          <c:idx val="3"/>
          <c:order val="3"/>
          <c:tx>
            <c:strRef>
              <c:f>Barriers!$A$6</c:f>
              <c:strCache>
                <c:ptCount val="1"/>
                <c:pt idx="0">
                  <c:v>Behavioural problems</c:v>
                </c:pt>
              </c:strCache>
            </c:strRef>
          </c:tx>
          <c:invertIfNegative val="0"/>
          <c:cat>
            <c:strRef>
              <c:f>Barriers!$E$2:$G$2</c:f>
              <c:strCache>
                <c:ptCount val="3"/>
                <c:pt idx="0">
                  <c:v>Level 1</c:v>
                </c:pt>
                <c:pt idx="1">
                  <c:v>Level 2a</c:v>
                </c:pt>
                <c:pt idx="2">
                  <c:v>Level 2b</c:v>
                </c:pt>
              </c:strCache>
            </c:strRef>
          </c:cat>
          <c:val>
            <c:numRef>
              <c:f>Barriers!$E$6:$G$6</c:f>
              <c:numCache>
                <c:formatCode>0%</c:formatCode>
                <c:ptCount val="3"/>
                <c:pt idx="0">
                  <c:v>0.62990654205607477</c:v>
                </c:pt>
                <c:pt idx="1">
                  <c:v>0.63997262149212863</c:v>
                </c:pt>
                <c:pt idx="2">
                  <c:v>0.4903207165559087</c:v>
                </c:pt>
              </c:numCache>
            </c:numRef>
          </c:val>
        </c:ser>
        <c:ser>
          <c:idx val="4"/>
          <c:order val="4"/>
          <c:tx>
            <c:strRef>
              <c:f>Barriers!$A$7</c:f>
              <c:strCache>
                <c:ptCount val="1"/>
                <c:pt idx="0">
                  <c:v>Bullying</c:v>
                </c:pt>
              </c:strCache>
            </c:strRef>
          </c:tx>
          <c:invertIfNegative val="0"/>
          <c:cat>
            <c:strRef>
              <c:f>Barriers!$E$2:$G$2</c:f>
              <c:strCache>
                <c:ptCount val="3"/>
                <c:pt idx="0">
                  <c:v>Level 1</c:v>
                </c:pt>
                <c:pt idx="1">
                  <c:v>Level 2a</c:v>
                </c:pt>
                <c:pt idx="2">
                  <c:v>Level 2b</c:v>
                </c:pt>
              </c:strCache>
            </c:strRef>
          </c:cat>
          <c:val>
            <c:numRef>
              <c:f>Barriers!$E$7:$G$7</c:f>
              <c:numCache>
                <c:formatCode>0%</c:formatCode>
                <c:ptCount val="3"/>
                <c:pt idx="0">
                  <c:v>0.25794392523364484</c:v>
                </c:pt>
                <c:pt idx="1">
                  <c:v>0.23169062286105407</c:v>
                </c:pt>
                <c:pt idx="2">
                  <c:v>0.21352210343831263</c:v>
                </c:pt>
              </c:numCache>
            </c:numRef>
          </c:val>
        </c:ser>
        <c:ser>
          <c:idx val="5"/>
          <c:order val="5"/>
          <c:tx>
            <c:strRef>
              <c:f>Barriers!$A$8</c:f>
              <c:strCache>
                <c:ptCount val="1"/>
                <c:pt idx="0">
                  <c:v>Critical life event</c:v>
                </c:pt>
              </c:strCache>
            </c:strRef>
          </c:tx>
          <c:invertIfNegative val="0"/>
          <c:cat>
            <c:strRef>
              <c:f>Barriers!$E$2:$G$2</c:f>
              <c:strCache>
                <c:ptCount val="3"/>
                <c:pt idx="0">
                  <c:v>Level 1</c:v>
                </c:pt>
                <c:pt idx="1">
                  <c:v>Level 2a</c:v>
                </c:pt>
                <c:pt idx="2">
                  <c:v>Level 2b</c:v>
                </c:pt>
              </c:strCache>
            </c:strRef>
          </c:cat>
          <c:val>
            <c:numRef>
              <c:f>Barriers!$E$8:$G$8</c:f>
              <c:numCache>
                <c:formatCode>0%</c:formatCode>
                <c:ptCount val="3"/>
                <c:pt idx="0">
                  <c:v>9.9065420560747658E-2</c:v>
                </c:pt>
                <c:pt idx="1">
                  <c:v>0.11019849418206708</c:v>
                </c:pt>
                <c:pt idx="2">
                  <c:v>0.14851199075411731</c:v>
                </c:pt>
              </c:numCache>
            </c:numRef>
          </c:val>
        </c:ser>
        <c:ser>
          <c:idx val="6"/>
          <c:order val="6"/>
          <c:tx>
            <c:strRef>
              <c:f>Barriers!$A$9</c:f>
              <c:strCache>
                <c:ptCount val="1"/>
                <c:pt idx="0">
                  <c:v>Current or previous Juvenile Justice Orders</c:v>
                </c:pt>
              </c:strCache>
            </c:strRef>
          </c:tx>
          <c:invertIfNegative val="0"/>
          <c:cat>
            <c:strRef>
              <c:f>Barriers!$E$2:$G$2</c:f>
              <c:strCache>
                <c:ptCount val="3"/>
                <c:pt idx="0">
                  <c:v>Level 1</c:v>
                </c:pt>
                <c:pt idx="1">
                  <c:v>Level 2a</c:v>
                </c:pt>
                <c:pt idx="2">
                  <c:v>Level 2b</c:v>
                </c:pt>
              </c:strCache>
            </c:strRef>
          </c:cat>
          <c:val>
            <c:numRef>
              <c:f>Barriers!$E$9:$G$9</c:f>
              <c:numCache>
                <c:formatCode>0%</c:formatCode>
                <c:ptCount val="3"/>
                <c:pt idx="0">
                  <c:v>1.8691588785046728E-2</c:v>
                </c:pt>
                <c:pt idx="1">
                  <c:v>4.4147843942505136E-2</c:v>
                </c:pt>
                <c:pt idx="2">
                  <c:v>0.1456226524125975</c:v>
                </c:pt>
              </c:numCache>
            </c:numRef>
          </c:val>
        </c:ser>
        <c:ser>
          <c:idx val="7"/>
          <c:order val="7"/>
          <c:tx>
            <c:strRef>
              <c:f>Barriers!$A$10</c:f>
              <c:strCache>
                <c:ptCount val="1"/>
                <c:pt idx="0">
                  <c:v>Disability</c:v>
                </c:pt>
              </c:strCache>
            </c:strRef>
          </c:tx>
          <c:invertIfNegative val="0"/>
          <c:cat>
            <c:strRef>
              <c:f>Barriers!$E$2:$G$2</c:f>
              <c:strCache>
                <c:ptCount val="3"/>
                <c:pt idx="0">
                  <c:v>Level 1</c:v>
                </c:pt>
                <c:pt idx="1">
                  <c:v>Level 2a</c:v>
                </c:pt>
                <c:pt idx="2">
                  <c:v>Level 2b</c:v>
                </c:pt>
              </c:strCache>
            </c:strRef>
          </c:cat>
          <c:val>
            <c:numRef>
              <c:f>Barriers!$E$10:$G$10</c:f>
              <c:numCache>
                <c:formatCode>0%</c:formatCode>
                <c:ptCount val="3"/>
                <c:pt idx="0">
                  <c:v>5.4205607476635512E-2</c:v>
                </c:pt>
                <c:pt idx="1">
                  <c:v>4.893908281998631E-2</c:v>
                </c:pt>
                <c:pt idx="2">
                  <c:v>5.2585957815660216E-2</c:v>
                </c:pt>
              </c:numCache>
            </c:numRef>
          </c:val>
        </c:ser>
        <c:ser>
          <c:idx val="8"/>
          <c:order val="8"/>
          <c:tx>
            <c:strRef>
              <c:f>Barriers!$A$11</c:f>
              <c:strCache>
                <c:ptCount val="1"/>
                <c:pt idx="0">
                  <c:v>Disconnection from cultural heritage</c:v>
                </c:pt>
              </c:strCache>
            </c:strRef>
          </c:tx>
          <c:invertIfNegative val="0"/>
          <c:cat>
            <c:strRef>
              <c:f>Barriers!$E$2:$G$2</c:f>
              <c:strCache>
                <c:ptCount val="3"/>
                <c:pt idx="0">
                  <c:v>Level 1</c:v>
                </c:pt>
                <c:pt idx="1">
                  <c:v>Level 2a</c:v>
                </c:pt>
                <c:pt idx="2">
                  <c:v>Level 2b</c:v>
                </c:pt>
              </c:strCache>
            </c:strRef>
          </c:cat>
          <c:val>
            <c:numRef>
              <c:f>Barriers!$E$11:$G$11</c:f>
              <c:numCache>
                <c:formatCode>0%</c:formatCode>
                <c:ptCount val="3"/>
                <c:pt idx="0">
                  <c:v>4.2990654205607479E-2</c:v>
                </c:pt>
                <c:pt idx="1">
                  <c:v>3.5934291581108828E-2</c:v>
                </c:pt>
                <c:pt idx="2">
                  <c:v>6.3276509679283444E-2</c:v>
                </c:pt>
              </c:numCache>
            </c:numRef>
          </c:val>
        </c:ser>
        <c:ser>
          <c:idx val="9"/>
          <c:order val="9"/>
          <c:tx>
            <c:strRef>
              <c:f>Barriers!$A$12</c:f>
              <c:strCache>
                <c:ptCount val="1"/>
                <c:pt idx="0">
                  <c:v>Financial distress</c:v>
                </c:pt>
              </c:strCache>
            </c:strRef>
          </c:tx>
          <c:invertIfNegative val="0"/>
          <c:cat>
            <c:strRef>
              <c:f>Barriers!$E$2:$G$2</c:f>
              <c:strCache>
                <c:ptCount val="3"/>
                <c:pt idx="0">
                  <c:v>Level 1</c:v>
                </c:pt>
                <c:pt idx="1">
                  <c:v>Level 2a</c:v>
                </c:pt>
                <c:pt idx="2">
                  <c:v>Level 2b</c:v>
                </c:pt>
              </c:strCache>
            </c:strRef>
          </c:cat>
          <c:val>
            <c:numRef>
              <c:f>Barriers!$E$12:$G$12</c:f>
              <c:numCache>
                <c:formatCode>0%</c:formatCode>
                <c:ptCount val="3"/>
                <c:pt idx="0">
                  <c:v>0.16635514018691588</c:v>
                </c:pt>
                <c:pt idx="1">
                  <c:v>0.16153319644079397</c:v>
                </c:pt>
                <c:pt idx="2">
                  <c:v>0.35885582201675814</c:v>
                </c:pt>
              </c:numCache>
            </c:numRef>
          </c:val>
        </c:ser>
        <c:ser>
          <c:idx val="10"/>
          <c:order val="10"/>
          <c:tx>
            <c:strRef>
              <c:f>Barriers!$A$13</c:f>
              <c:strCache>
                <c:ptCount val="1"/>
                <c:pt idx="0">
                  <c:v>Gifted</c:v>
                </c:pt>
              </c:strCache>
            </c:strRef>
          </c:tx>
          <c:invertIfNegative val="0"/>
          <c:cat>
            <c:strRef>
              <c:f>Barriers!$E$2:$G$2</c:f>
              <c:strCache>
                <c:ptCount val="3"/>
                <c:pt idx="0">
                  <c:v>Level 1</c:v>
                </c:pt>
                <c:pt idx="1">
                  <c:v>Level 2a</c:v>
                </c:pt>
                <c:pt idx="2">
                  <c:v>Level 2b</c:v>
                </c:pt>
              </c:strCache>
            </c:strRef>
          </c:cat>
          <c:val>
            <c:numRef>
              <c:f>Barriers!$E$13:$G$13</c:f>
              <c:numCache>
                <c:formatCode>0%</c:formatCode>
                <c:ptCount val="3"/>
                <c:pt idx="0">
                  <c:v>1.3084112149532711E-2</c:v>
                </c:pt>
                <c:pt idx="1">
                  <c:v>1.6427104722792608E-2</c:v>
                </c:pt>
                <c:pt idx="2">
                  <c:v>1.0401618029471251E-2</c:v>
                </c:pt>
              </c:numCache>
            </c:numRef>
          </c:val>
        </c:ser>
        <c:ser>
          <c:idx val="11"/>
          <c:order val="11"/>
          <c:tx>
            <c:strRef>
              <c:f>Barriers!$A$14</c:f>
              <c:strCache>
                <c:ptCount val="1"/>
                <c:pt idx="0">
                  <c:v>Homelessness</c:v>
                </c:pt>
              </c:strCache>
            </c:strRef>
          </c:tx>
          <c:invertIfNegative val="0"/>
          <c:cat>
            <c:strRef>
              <c:f>Barriers!$E$2:$G$2</c:f>
              <c:strCache>
                <c:ptCount val="3"/>
                <c:pt idx="0">
                  <c:v>Level 1</c:v>
                </c:pt>
                <c:pt idx="1">
                  <c:v>Level 2a</c:v>
                </c:pt>
                <c:pt idx="2">
                  <c:v>Level 2b</c:v>
                </c:pt>
              </c:strCache>
            </c:strRef>
          </c:cat>
          <c:val>
            <c:numRef>
              <c:f>Barriers!$E$14:$G$14</c:f>
              <c:numCache>
                <c:formatCode>0%</c:formatCode>
                <c:ptCount val="3"/>
                <c:pt idx="0">
                  <c:v>5.6074766355140183E-3</c:v>
                </c:pt>
                <c:pt idx="1">
                  <c:v>2.0191649555099247E-2</c:v>
                </c:pt>
                <c:pt idx="2">
                  <c:v>6.0676105171915629E-2</c:v>
                </c:pt>
              </c:numCache>
            </c:numRef>
          </c:val>
        </c:ser>
        <c:ser>
          <c:idx val="12"/>
          <c:order val="12"/>
          <c:tx>
            <c:strRef>
              <c:f>Barriers!$A$15</c:f>
              <c:strCache>
                <c:ptCount val="1"/>
                <c:pt idx="0">
                  <c:v>In detention/previously in detention</c:v>
                </c:pt>
              </c:strCache>
            </c:strRef>
          </c:tx>
          <c:invertIfNegative val="0"/>
          <c:cat>
            <c:strRef>
              <c:f>Barriers!$E$2:$G$2</c:f>
              <c:strCache>
                <c:ptCount val="3"/>
                <c:pt idx="0">
                  <c:v>Level 1</c:v>
                </c:pt>
                <c:pt idx="1">
                  <c:v>Level 2a</c:v>
                </c:pt>
                <c:pt idx="2">
                  <c:v>Level 2b</c:v>
                </c:pt>
              </c:strCache>
            </c:strRef>
          </c:cat>
          <c:val>
            <c:numRef>
              <c:f>Barriers!$E$15:$G$15</c:f>
              <c:numCache>
                <c:formatCode>0%</c:formatCode>
                <c:ptCount val="3"/>
                <c:pt idx="0">
                  <c:v>1.869158878504673E-3</c:v>
                </c:pt>
                <c:pt idx="1">
                  <c:v>7.8713210130047905E-3</c:v>
                </c:pt>
                <c:pt idx="2">
                  <c:v>3.8428199942213234E-2</c:v>
                </c:pt>
              </c:numCache>
            </c:numRef>
          </c:val>
        </c:ser>
        <c:ser>
          <c:idx val="13"/>
          <c:order val="13"/>
          <c:tx>
            <c:strRef>
              <c:f>Barriers!$A$16</c:f>
              <c:strCache>
                <c:ptCount val="1"/>
                <c:pt idx="0">
                  <c:v>Inadequate family support</c:v>
                </c:pt>
              </c:strCache>
            </c:strRef>
          </c:tx>
          <c:invertIfNegative val="0"/>
          <c:cat>
            <c:strRef>
              <c:f>Barriers!$E$2:$G$2</c:f>
              <c:strCache>
                <c:ptCount val="3"/>
                <c:pt idx="0">
                  <c:v>Level 1</c:v>
                </c:pt>
                <c:pt idx="1">
                  <c:v>Level 2a</c:v>
                </c:pt>
                <c:pt idx="2">
                  <c:v>Level 2b</c:v>
                </c:pt>
              </c:strCache>
            </c:strRef>
          </c:cat>
          <c:val>
            <c:numRef>
              <c:f>Barriers!$E$16:$G$16</c:f>
              <c:numCache>
                <c:formatCode>0%</c:formatCode>
                <c:ptCount val="3"/>
                <c:pt idx="0">
                  <c:v>0.13084112149532709</c:v>
                </c:pt>
                <c:pt idx="1">
                  <c:v>0.16598220396988364</c:v>
                </c:pt>
                <c:pt idx="2">
                  <c:v>0.28171048829817974</c:v>
                </c:pt>
              </c:numCache>
            </c:numRef>
          </c:val>
        </c:ser>
        <c:ser>
          <c:idx val="14"/>
          <c:order val="14"/>
          <c:tx>
            <c:strRef>
              <c:f>Barriers!$A$17</c:f>
              <c:strCache>
                <c:ptCount val="1"/>
                <c:pt idx="0">
                  <c:v>Learning Difficulty</c:v>
                </c:pt>
              </c:strCache>
            </c:strRef>
          </c:tx>
          <c:invertIfNegative val="0"/>
          <c:cat>
            <c:strRef>
              <c:f>Barriers!$E$2:$G$2</c:f>
              <c:strCache>
                <c:ptCount val="3"/>
                <c:pt idx="0">
                  <c:v>Level 1</c:v>
                </c:pt>
                <c:pt idx="1">
                  <c:v>Level 2a</c:v>
                </c:pt>
                <c:pt idx="2">
                  <c:v>Level 2b</c:v>
                </c:pt>
              </c:strCache>
            </c:strRef>
          </c:cat>
          <c:val>
            <c:numRef>
              <c:f>Barriers!$E$17:$G$17</c:f>
              <c:numCache>
                <c:formatCode>0%</c:formatCode>
                <c:ptCount val="3"/>
                <c:pt idx="0">
                  <c:v>2.6168224299065422E-2</c:v>
                </c:pt>
                <c:pt idx="1">
                  <c:v>3.867214236824093E-2</c:v>
                </c:pt>
                <c:pt idx="2">
                  <c:v>4.6229413464316672E-2</c:v>
                </c:pt>
              </c:numCache>
            </c:numRef>
          </c:val>
        </c:ser>
        <c:ser>
          <c:idx val="15"/>
          <c:order val="15"/>
          <c:tx>
            <c:strRef>
              <c:f>Barriers!$A$18</c:f>
              <c:strCache>
                <c:ptCount val="1"/>
                <c:pt idx="0">
                  <c:v>Low literacy and/or numeracy</c:v>
                </c:pt>
              </c:strCache>
            </c:strRef>
          </c:tx>
          <c:invertIfNegative val="0"/>
          <c:cat>
            <c:strRef>
              <c:f>Barriers!$E$2:$G$2</c:f>
              <c:strCache>
                <c:ptCount val="3"/>
                <c:pt idx="0">
                  <c:v>Level 1</c:v>
                </c:pt>
                <c:pt idx="1">
                  <c:v>Level 2a</c:v>
                </c:pt>
                <c:pt idx="2">
                  <c:v>Level 2b</c:v>
                </c:pt>
              </c:strCache>
            </c:strRef>
          </c:cat>
          <c:val>
            <c:numRef>
              <c:f>Barriers!$E$18:$G$18</c:f>
              <c:numCache>
                <c:formatCode>0%</c:formatCode>
                <c:ptCount val="3"/>
                <c:pt idx="0">
                  <c:v>0.48411214953271026</c:v>
                </c:pt>
                <c:pt idx="1">
                  <c:v>0.54893908281998627</c:v>
                </c:pt>
                <c:pt idx="2">
                  <c:v>0.55966483675238365</c:v>
                </c:pt>
              </c:numCache>
            </c:numRef>
          </c:val>
        </c:ser>
        <c:ser>
          <c:idx val="16"/>
          <c:order val="16"/>
          <c:tx>
            <c:strRef>
              <c:f>Barriers!$A$19</c:f>
              <c:strCache>
                <c:ptCount val="1"/>
                <c:pt idx="0">
                  <c:v>Low Self Esteem</c:v>
                </c:pt>
              </c:strCache>
            </c:strRef>
          </c:tx>
          <c:invertIfNegative val="0"/>
          <c:cat>
            <c:strRef>
              <c:f>Barriers!$E$2:$G$2</c:f>
              <c:strCache>
                <c:ptCount val="3"/>
                <c:pt idx="0">
                  <c:v>Level 1</c:v>
                </c:pt>
                <c:pt idx="1">
                  <c:v>Level 2a</c:v>
                </c:pt>
                <c:pt idx="2">
                  <c:v>Level 2b</c:v>
                </c:pt>
              </c:strCache>
            </c:strRef>
          </c:cat>
          <c:val>
            <c:numRef>
              <c:f>Barriers!$E$19:$G$19</c:f>
              <c:numCache>
                <c:formatCode>0%</c:formatCode>
                <c:ptCount val="3"/>
                <c:pt idx="0">
                  <c:v>0.57570093457943927</c:v>
                </c:pt>
                <c:pt idx="1">
                  <c:v>0.60198494182067075</c:v>
                </c:pt>
                <c:pt idx="2">
                  <c:v>0.6183184050852355</c:v>
                </c:pt>
              </c:numCache>
            </c:numRef>
          </c:val>
        </c:ser>
        <c:ser>
          <c:idx val="17"/>
          <c:order val="17"/>
          <c:tx>
            <c:strRef>
              <c:f>Barriers!$A$20</c:f>
              <c:strCache>
                <c:ptCount val="1"/>
                <c:pt idx="0">
                  <c:v>Medical or other health issue</c:v>
                </c:pt>
              </c:strCache>
            </c:strRef>
          </c:tx>
          <c:invertIfNegative val="0"/>
          <c:cat>
            <c:strRef>
              <c:f>Barriers!$E$2:$G$2</c:f>
              <c:strCache>
                <c:ptCount val="3"/>
                <c:pt idx="0">
                  <c:v>Level 1</c:v>
                </c:pt>
                <c:pt idx="1">
                  <c:v>Level 2a</c:v>
                </c:pt>
                <c:pt idx="2">
                  <c:v>Level 2b</c:v>
                </c:pt>
              </c:strCache>
            </c:strRef>
          </c:cat>
          <c:val>
            <c:numRef>
              <c:f>Barriers!$E$20:$G$20</c:f>
              <c:numCache>
                <c:formatCode>0%</c:formatCode>
                <c:ptCount val="3"/>
                <c:pt idx="0">
                  <c:v>6.1682242990654203E-2</c:v>
                </c:pt>
                <c:pt idx="1">
                  <c:v>7.9739904175222448E-2</c:v>
                </c:pt>
                <c:pt idx="2">
                  <c:v>9.8815371279976888E-2</c:v>
                </c:pt>
              </c:numCache>
            </c:numRef>
          </c:val>
        </c:ser>
        <c:ser>
          <c:idx val="18"/>
          <c:order val="18"/>
          <c:tx>
            <c:strRef>
              <c:f>Barriers!$A$21</c:f>
              <c:strCache>
                <c:ptCount val="1"/>
                <c:pt idx="0">
                  <c:v>Negative experience(s) with education and training</c:v>
                </c:pt>
              </c:strCache>
            </c:strRef>
          </c:tx>
          <c:invertIfNegative val="0"/>
          <c:cat>
            <c:strRef>
              <c:f>Barriers!$E$2:$G$2</c:f>
              <c:strCache>
                <c:ptCount val="3"/>
                <c:pt idx="0">
                  <c:v>Level 1</c:v>
                </c:pt>
                <c:pt idx="1">
                  <c:v>Level 2a</c:v>
                </c:pt>
                <c:pt idx="2">
                  <c:v>Level 2b</c:v>
                </c:pt>
              </c:strCache>
            </c:strRef>
          </c:cat>
          <c:val>
            <c:numRef>
              <c:f>Barriers!$E$21:$G$21</c:f>
              <c:numCache>
                <c:formatCode>0%</c:formatCode>
                <c:ptCount val="3"/>
                <c:pt idx="0">
                  <c:v>0</c:v>
                </c:pt>
                <c:pt idx="1">
                  <c:v>6.8446269678302531E-4</c:v>
                </c:pt>
                <c:pt idx="2">
                  <c:v>2.3114706732158337E-3</c:v>
                </c:pt>
              </c:numCache>
            </c:numRef>
          </c:val>
        </c:ser>
        <c:ser>
          <c:idx val="19"/>
          <c:order val="19"/>
          <c:tx>
            <c:strRef>
              <c:f>Barriers!$A$22</c:f>
              <c:strCache>
                <c:ptCount val="1"/>
                <c:pt idx="0">
                  <c:v>Out of home care</c:v>
                </c:pt>
              </c:strCache>
            </c:strRef>
          </c:tx>
          <c:invertIfNegative val="0"/>
          <c:cat>
            <c:strRef>
              <c:f>Barriers!$E$2:$G$2</c:f>
              <c:strCache>
                <c:ptCount val="3"/>
                <c:pt idx="0">
                  <c:v>Level 1</c:v>
                </c:pt>
                <c:pt idx="1">
                  <c:v>Level 2a</c:v>
                </c:pt>
                <c:pt idx="2">
                  <c:v>Level 2b</c:v>
                </c:pt>
              </c:strCache>
            </c:strRef>
          </c:cat>
          <c:val>
            <c:numRef>
              <c:f>Barriers!$E$22:$G$22</c:f>
              <c:numCache>
                <c:formatCode>0%</c:formatCode>
                <c:ptCount val="3"/>
                <c:pt idx="0">
                  <c:v>3.7383177570093455E-2</c:v>
                </c:pt>
                <c:pt idx="1">
                  <c:v>2.190280629705681E-2</c:v>
                </c:pt>
                <c:pt idx="2">
                  <c:v>5.69199653279399E-2</c:v>
                </c:pt>
              </c:numCache>
            </c:numRef>
          </c:val>
        </c:ser>
        <c:ser>
          <c:idx val="20"/>
          <c:order val="20"/>
          <c:tx>
            <c:strRef>
              <c:f>Barriers!$A$23</c:f>
              <c:strCache>
                <c:ptCount val="1"/>
                <c:pt idx="0">
                  <c:v>Parent/Pregnancy</c:v>
                </c:pt>
              </c:strCache>
            </c:strRef>
          </c:tx>
          <c:invertIfNegative val="0"/>
          <c:cat>
            <c:strRef>
              <c:f>Barriers!$E$2:$G$2</c:f>
              <c:strCache>
                <c:ptCount val="3"/>
                <c:pt idx="0">
                  <c:v>Level 1</c:v>
                </c:pt>
                <c:pt idx="1">
                  <c:v>Level 2a</c:v>
                </c:pt>
                <c:pt idx="2">
                  <c:v>Level 2b</c:v>
                </c:pt>
              </c:strCache>
            </c:strRef>
          </c:cat>
          <c:val>
            <c:numRef>
              <c:f>Barriers!$E$23:$G$23</c:f>
              <c:numCache>
                <c:formatCode>0%</c:formatCode>
                <c:ptCount val="3"/>
                <c:pt idx="0">
                  <c:v>7.4766355140186919E-3</c:v>
                </c:pt>
                <c:pt idx="1">
                  <c:v>9.9247091033538674E-3</c:v>
                </c:pt>
                <c:pt idx="2">
                  <c:v>5.2297023981508234E-2</c:v>
                </c:pt>
              </c:numCache>
            </c:numRef>
          </c:val>
        </c:ser>
        <c:ser>
          <c:idx val="21"/>
          <c:order val="21"/>
          <c:tx>
            <c:strRef>
              <c:f>Barriers!$A$24</c:f>
              <c:strCache>
                <c:ptCount val="1"/>
                <c:pt idx="0">
                  <c:v>Petrol sniffing</c:v>
                </c:pt>
              </c:strCache>
            </c:strRef>
          </c:tx>
          <c:invertIfNegative val="0"/>
          <c:cat>
            <c:strRef>
              <c:f>Barriers!$E$2:$G$2</c:f>
              <c:strCache>
                <c:ptCount val="3"/>
                <c:pt idx="0">
                  <c:v>Level 1</c:v>
                </c:pt>
                <c:pt idx="1">
                  <c:v>Level 2a</c:v>
                </c:pt>
                <c:pt idx="2">
                  <c:v>Level 2b</c:v>
                </c:pt>
              </c:strCache>
            </c:strRef>
          </c:cat>
          <c:val>
            <c:numRef>
              <c:f>Barriers!$E$24:$G$24</c:f>
              <c:numCache>
                <c:formatCode>0%</c:formatCode>
                <c:ptCount val="3"/>
                <c:pt idx="0">
                  <c:v>1.869158878504673E-3</c:v>
                </c:pt>
                <c:pt idx="1">
                  <c:v>0</c:v>
                </c:pt>
                <c:pt idx="2">
                  <c:v>2.3114706732158337E-3</c:v>
                </c:pt>
              </c:numCache>
            </c:numRef>
          </c:val>
        </c:ser>
        <c:ser>
          <c:idx val="22"/>
          <c:order val="22"/>
          <c:tx>
            <c:strRef>
              <c:f>Barriers!$A$25</c:f>
              <c:strCache>
                <c:ptCount val="1"/>
                <c:pt idx="0">
                  <c:v>Socialisation issues</c:v>
                </c:pt>
              </c:strCache>
            </c:strRef>
          </c:tx>
          <c:invertIfNegative val="0"/>
          <c:cat>
            <c:strRef>
              <c:f>Barriers!$E$2:$G$2</c:f>
              <c:strCache>
                <c:ptCount val="3"/>
                <c:pt idx="0">
                  <c:v>Level 1</c:v>
                </c:pt>
                <c:pt idx="1">
                  <c:v>Level 2a</c:v>
                </c:pt>
                <c:pt idx="2">
                  <c:v>Level 2b</c:v>
                </c:pt>
              </c:strCache>
            </c:strRef>
          </c:cat>
          <c:val>
            <c:numRef>
              <c:f>Barriers!$E$25:$G$25</c:f>
              <c:numCache>
                <c:formatCode>0%</c:formatCode>
                <c:ptCount val="3"/>
                <c:pt idx="0">
                  <c:v>0.52149532710280377</c:v>
                </c:pt>
                <c:pt idx="1">
                  <c:v>0.46851471594798083</c:v>
                </c:pt>
                <c:pt idx="2">
                  <c:v>0.52672637965905811</c:v>
                </c:pt>
              </c:numCache>
            </c:numRef>
          </c:val>
        </c:ser>
        <c:ser>
          <c:idx val="23"/>
          <c:order val="23"/>
          <c:tx>
            <c:strRef>
              <c:f>Barriers!$A$26</c:f>
              <c:strCache>
                <c:ptCount val="1"/>
                <c:pt idx="0">
                  <c:v>Suspected or diagnosed mental health issue</c:v>
                </c:pt>
              </c:strCache>
            </c:strRef>
          </c:tx>
          <c:invertIfNegative val="0"/>
          <c:cat>
            <c:strRef>
              <c:f>Barriers!$E$2:$G$2</c:f>
              <c:strCache>
                <c:ptCount val="3"/>
                <c:pt idx="0">
                  <c:v>Level 1</c:v>
                </c:pt>
                <c:pt idx="1">
                  <c:v>Level 2a</c:v>
                </c:pt>
                <c:pt idx="2">
                  <c:v>Level 2b</c:v>
                </c:pt>
              </c:strCache>
            </c:strRef>
          </c:cat>
          <c:val>
            <c:numRef>
              <c:f>Barriers!$E$26:$G$26</c:f>
              <c:numCache>
                <c:formatCode>0%</c:formatCode>
                <c:ptCount val="3"/>
                <c:pt idx="0">
                  <c:v>0.12149532710280374</c:v>
                </c:pt>
                <c:pt idx="1">
                  <c:v>0.17180013689253937</c:v>
                </c:pt>
                <c:pt idx="2">
                  <c:v>0.22681305980930366</c:v>
                </c:pt>
              </c:numCache>
            </c:numRef>
          </c:val>
        </c:ser>
        <c:ser>
          <c:idx val="24"/>
          <c:order val="24"/>
          <c:tx>
            <c:strRef>
              <c:f>Barriers!$A$27</c:f>
              <c:strCache>
                <c:ptCount val="1"/>
                <c:pt idx="0">
                  <c:v>Unstable living arrangements</c:v>
                </c:pt>
              </c:strCache>
            </c:strRef>
          </c:tx>
          <c:invertIfNegative val="0"/>
          <c:cat>
            <c:strRef>
              <c:f>Barriers!$E$2:$G$2</c:f>
              <c:strCache>
                <c:ptCount val="3"/>
                <c:pt idx="0">
                  <c:v>Level 1</c:v>
                </c:pt>
                <c:pt idx="1">
                  <c:v>Level 2a</c:v>
                </c:pt>
                <c:pt idx="2">
                  <c:v>Level 2b</c:v>
                </c:pt>
              </c:strCache>
            </c:strRef>
          </c:cat>
          <c:val>
            <c:numRef>
              <c:f>Barriers!$E$27:$G$27</c:f>
              <c:numCache>
                <c:formatCode>0%</c:formatCode>
                <c:ptCount val="3"/>
                <c:pt idx="0">
                  <c:v>5.9813084112149535E-2</c:v>
                </c:pt>
                <c:pt idx="1">
                  <c:v>0.10164271047227925</c:v>
                </c:pt>
                <c:pt idx="2">
                  <c:v>0.22103438312626408</c:v>
                </c:pt>
              </c:numCache>
            </c:numRef>
          </c:val>
        </c:ser>
        <c:ser>
          <c:idx val="25"/>
          <c:order val="25"/>
          <c:tx>
            <c:strRef>
              <c:f>Barriers!$A$28</c:f>
              <c:strCache>
                <c:ptCount val="1"/>
                <c:pt idx="0">
                  <c:v>Volatile substance misuse</c:v>
                </c:pt>
              </c:strCache>
            </c:strRef>
          </c:tx>
          <c:invertIfNegative val="0"/>
          <c:cat>
            <c:strRef>
              <c:f>Barriers!$E$2:$G$2</c:f>
              <c:strCache>
                <c:ptCount val="3"/>
                <c:pt idx="0">
                  <c:v>Level 1</c:v>
                </c:pt>
                <c:pt idx="1">
                  <c:v>Level 2a</c:v>
                </c:pt>
                <c:pt idx="2">
                  <c:v>Level 2b</c:v>
                </c:pt>
              </c:strCache>
            </c:strRef>
          </c:cat>
          <c:val>
            <c:numRef>
              <c:f>Barriers!$E$28:$G$28</c:f>
              <c:numCache>
                <c:formatCode>0%</c:formatCode>
                <c:ptCount val="3"/>
                <c:pt idx="0">
                  <c:v>3.7383177570093459E-3</c:v>
                </c:pt>
                <c:pt idx="1">
                  <c:v>1.026694045174538E-3</c:v>
                </c:pt>
                <c:pt idx="2">
                  <c:v>4.6229413464316674E-3</c:v>
                </c:pt>
              </c:numCache>
            </c:numRef>
          </c:val>
        </c:ser>
        <c:ser>
          <c:idx val="26"/>
          <c:order val="26"/>
          <c:tx>
            <c:strRef>
              <c:f>Barriers!$A$29</c:f>
              <c:strCache>
                <c:ptCount val="1"/>
                <c:pt idx="0">
                  <c:v>Young Carer responsibilities</c:v>
                </c:pt>
              </c:strCache>
            </c:strRef>
          </c:tx>
          <c:invertIfNegative val="0"/>
          <c:cat>
            <c:strRef>
              <c:f>Barriers!$E$2:$G$2</c:f>
              <c:strCache>
                <c:ptCount val="3"/>
                <c:pt idx="0">
                  <c:v>Level 1</c:v>
                </c:pt>
                <c:pt idx="1">
                  <c:v>Level 2a</c:v>
                </c:pt>
                <c:pt idx="2">
                  <c:v>Level 2b</c:v>
                </c:pt>
              </c:strCache>
            </c:strRef>
          </c:cat>
          <c:val>
            <c:numRef>
              <c:f>Barriers!$E$29:$G$29</c:f>
              <c:numCache>
                <c:formatCode>0%</c:formatCode>
                <c:ptCount val="3"/>
                <c:pt idx="0">
                  <c:v>1.6822429906542057E-2</c:v>
                </c:pt>
                <c:pt idx="1">
                  <c:v>1.779603011635866E-2</c:v>
                </c:pt>
                <c:pt idx="2">
                  <c:v>3.0049118751805836E-2</c:v>
                </c:pt>
              </c:numCache>
            </c:numRef>
          </c:val>
        </c:ser>
        <c:dLbls>
          <c:showLegendKey val="0"/>
          <c:showVal val="0"/>
          <c:showCatName val="0"/>
          <c:showSerName val="0"/>
          <c:showPercent val="0"/>
          <c:showBubbleSize val="0"/>
        </c:dLbls>
        <c:gapWidth val="55"/>
        <c:overlap val="100"/>
        <c:axId val="153207936"/>
        <c:axId val="153209856"/>
      </c:barChart>
      <c:catAx>
        <c:axId val="153207936"/>
        <c:scaling>
          <c:orientation val="minMax"/>
        </c:scaling>
        <c:delete val="0"/>
        <c:axPos val="b"/>
        <c:numFmt formatCode="General" sourceLinked="1"/>
        <c:majorTickMark val="none"/>
        <c:minorTickMark val="none"/>
        <c:tickLblPos val="nextTo"/>
        <c:crossAx val="153209856"/>
        <c:crosses val="autoZero"/>
        <c:auto val="1"/>
        <c:lblAlgn val="ctr"/>
        <c:lblOffset val="100"/>
        <c:noMultiLvlLbl val="0"/>
      </c:catAx>
      <c:valAx>
        <c:axId val="153209856"/>
        <c:scaling>
          <c:orientation val="minMax"/>
        </c:scaling>
        <c:delete val="0"/>
        <c:axPos val="l"/>
        <c:majorGridlines/>
        <c:numFmt formatCode="0%" sourceLinked="1"/>
        <c:majorTickMark val="none"/>
        <c:minorTickMark val="none"/>
        <c:tickLblPos val="nextTo"/>
        <c:crossAx val="153207936"/>
        <c:crosses val="autoZero"/>
        <c:crossBetween val="between"/>
      </c:valAx>
    </c:plotArea>
    <c:legend>
      <c:legendPos val="r"/>
      <c:layout>
        <c:manualLayout>
          <c:xMode val="edge"/>
          <c:yMode val="edge"/>
          <c:x val="0.62955599734923795"/>
          <c:y val="6.1221176563603201E-2"/>
          <c:w val="0.34128561961563952"/>
          <c:h val="0.89258930070193387"/>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sz="1400"/>
              <a:t>National</a:t>
            </a:r>
            <a:r>
              <a:rPr lang="en-AU" sz="1400" baseline="0"/>
              <a:t> Participant Barriers</a:t>
            </a:r>
            <a:endParaRPr lang="en-AU" sz="1400"/>
          </a:p>
        </c:rich>
      </c:tx>
      <c:overlay val="0"/>
    </c:title>
    <c:autoTitleDeleted val="0"/>
    <c:plotArea>
      <c:layout>
        <c:manualLayout>
          <c:layoutTarget val="inner"/>
          <c:xMode val="edge"/>
          <c:yMode val="edge"/>
          <c:x val="0.11106097314758732"/>
          <c:y val="6.209758755184356E-2"/>
          <c:w val="0.37938474357838142"/>
          <c:h val="0.90003143654288342"/>
        </c:manualLayout>
      </c:layout>
      <c:barChart>
        <c:barDir val="col"/>
        <c:grouping val="percentStacked"/>
        <c:varyColors val="0"/>
        <c:ser>
          <c:idx val="0"/>
          <c:order val="0"/>
          <c:tx>
            <c:strRef>
              <c:f>Barriers!$J$3</c:f>
              <c:strCache>
                <c:ptCount val="1"/>
                <c:pt idx="0">
                  <c:v>Abuse/Domestic Violence issue</c:v>
                </c:pt>
              </c:strCache>
            </c:strRef>
          </c:tx>
          <c:invertIfNegative val="0"/>
          <c:cat>
            <c:strRef>
              <c:f>Barriers!$N$2:$P$2</c:f>
              <c:strCache>
                <c:ptCount val="3"/>
                <c:pt idx="0">
                  <c:v>Level 1</c:v>
                </c:pt>
                <c:pt idx="1">
                  <c:v>Level 2a</c:v>
                </c:pt>
                <c:pt idx="2">
                  <c:v>Level 2b</c:v>
                </c:pt>
              </c:strCache>
            </c:strRef>
          </c:cat>
          <c:val>
            <c:numRef>
              <c:f>Barriers!$N$3:$P$3</c:f>
              <c:numCache>
                <c:formatCode>0%</c:formatCode>
                <c:ptCount val="3"/>
                <c:pt idx="0">
                  <c:v>5.8034840477588556E-2</c:v>
                </c:pt>
                <c:pt idx="1">
                  <c:v>9.9289752137991016E-2</c:v>
                </c:pt>
                <c:pt idx="2">
                  <c:v>0.12018385832094092</c:v>
                </c:pt>
              </c:numCache>
            </c:numRef>
          </c:val>
        </c:ser>
        <c:ser>
          <c:idx val="1"/>
          <c:order val="1"/>
          <c:tx>
            <c:strRef>
              <c:f>Barriers!$J$4</c:f>
              <c:strCache>
                <c:ptCount val="1"/>
                <c:pt idx="0">
                  <c:v>Alcohol and/or drug misuse</c:v>
                </c:pt>
              </c:strCache>
            </c:strRef>
          </c:tx>
          <c:invertIfNegative val="0"/>
          <c:cat>
            <c:strRef>
              <c:f>Barriers!$N$2:$P$2</c:f>
              <c:strCache>
                <c:ptCount val="3"/>
                <c:pt idx="0">
                  <c:v>Level 1</c:v>
                </c:pt>
                <c:pt idx="1">
                  <c:v>Level 2a</c:v>
                </c:pt>
                <c:pt idx="2">
                  <c:v>Level 2b</c:v>
                </c:pt>
              </c:strCache>
            </c:strRef>
          </c:cat>
          <c:val>
            <c:numRef>
              <c:f>Barriers!$N$4:$P$4</c:f>
              <c:numCache>
                <c:formatCode>0%</c:formatCode>
                <c:ptCount val="3"/>
                <c:pt idx="0">
                  <c:v>9.4441182227441703E-2</c:v>
                </c:pt>
                <c:pt idx="1">
                  <c:v>0.1883606319756487</c:v>
                </c:pt>
                <c:pt idx="2">
                  <c:v>0.27531431661484507</c:v>
                </c:pt>
              </c:numCache>
            </c:numRef>
          </c:val>
        </c:ser>
        <c:ser>
          <c:idx val="2"/>
          <c:order val="2"/>
          <c:tx>
            <c:strRef>
              <c:f>Barriers!$J$5</c:f>
              <c:strCache>
                <c:ptCount val="1"/>
                <c:pt idx="0">
                  <c:v>Anger management issues</c:v>
                </c:pt>
              </c:strCache>
            </c:strRef>
          </c:tx>
          <c:invertIfNegative val="0"/>
          <c:cat>
            <c:strRef>
              <c:f>Barriers!$N$2:$P$2</c:f>
              <c:strCache>
                <c:ptCount val="3"/>
                <c:pt idx="0">
                  <c:v>Level 1</c:v>
                </c:pt>
                <c:pt idx="1">
                  <c:v>Level 2a</c:v>
                </c:pt>
                <c:pt idx="2">
                  <c:v>Level 2b</c:v>
                </c:pt>
              </c:strCache>
            </c:strRef>
          </c:cat>
          <c:val>
            <c:numRef>
              <c:f>Barriers!$N$5:$P$5</c:f>
              <c:numCache>
                <c:formatCode>0%</c:formatCode>
                <c:ptCount val="3"/>
                <c:pt idx="0">
                  <c:v>0.27500489332550493</c:v>
                </c:pt>
                <c:pt idx="1">
                  <c:v>0.35816785041310323</c:v>
                </c:pt>
                <c:pt idx="2">
                  <c:v>0.28484520751656078</c:v>
                </c:pt>
              </c:numCache>
            </c:numRef>
          </c:val>
        </c:ser>
        <c:ser>
          <c:idx val="3"/>
          <c:order val="3"/>
          <c:tx>
            <c:strRef>
              <c:f>Barriers!$J$6</c:f>
              <c:strCache>
                <c:ptCount val="1"/>
                <c:pt idx="0">
                  <c:v>Behavioural problems</c:v>
                </c:pt>
              </c:strCache>
            </c:strRef>
          </c:tx>
          <c:invertIfNegative val="0"/>
          <c:cat>
            <c:strRef>
              <c:f>Barriers!$N$2:$P$2</c:f>
              <c:strCache>
                <c:ptCount val="3"/>
                <c:pt idx="0">
                  <c:v>Level 1</c:v>
                </c:pt>
                <c:pt idx="1">
                  <c:v>Level 2a</c:v>
                </c:pt>
                <c:pt idx="2">
                  <c:v>Level 2b</c:v>
                </c:pt>
              </c:strCache>
            </c:strRef>
          </c:cat>
          <c:val>
            <c:numRef>
              <c:f>Barriers!$N$6:$P$6</c:f>
              <c:numCache>
                <c:formatCode>0%</c:formatCode>
                <c:ptCount val="3"/>
                <c:pt idx="0">
                  <c:v>0.57056175376786056</c:v>
                </c:pt>
                <c:pt idx="1">
                  <c:v>0.60697202493114943</c:v>
                </c:pt>
                <c:pt idx="2">
                  <c:v>0.42747059618764527</c:v>
                </c:pt>
              </c:numCache>
            </c:numRef>
          </c:val>
        </c:ser>
        <c:ser>
          <c:idx val="4"/>
          <c:order val="4"/>
          <c:tx>
            <c:strRef>
              <c:f>Barriers!$J$7</c:f>
              <c:strCache>
                <c:ptCount val="1"/>
                <c:pt idx="0">
                  <c:v>Bullying</c:v>
                </c:pt>
              </c:strCache>
            </c:strRef>
          </c:tx>
          <c:invertIfNegative val="0"/>
          <c:cat>
            <c:strRef>
              <c:f>Barriers!$N$2:$P$2</c:f>
              <c:strCache>
                <c:ptCount val="3"/>
                <c:pt idx="0">
                  <c:v>Level 1</c:v>
                </c:pt>
                <c:pt idx="1">
                  <c:v>Level 2a</c:v>
                </c:pt>
                <c:pt idx="2">
                  <c:v>Level 2b</c:v>
                </c:pt>
              </c:strCache>
            </c:strRef>
          </c:cat>
          <c:val>
            <c:numRef>
              <c:f>Barriers!$N$7:$P$7</c:f>
              <c:numCache>
                <c:formatCode>0%</c:formatCode>
                <c:ptCount val="3"/>
                <c:pt idx="0">
                  <c:v>0.26277157956547281</c:v>
                </c:pt>
                <c:pt idx="1">
                  <c:v>0.25902304681837929</c:v>
                </c:pt>
                <c:pt idx="2">
                  <c:v>0.2115722590239287</c:v>
                </c:pt>
              </c:numCache>
            </c:numRef>
          </c:val>
        </c:ser>
        <c:ser>
          <c:idx val="5"/>
          <c:order val="5"/>
          <c:tx>
            <c:strRef>
              <c:f>Barriers!$J$8</c:f>
              <c:strCache>
                <c:ptCount val="1"/>
                <c:pt idx="0">
                  <c:v>Critical life event</c:v>
                </c:pt>
              </c:strCache>
            </c:strRef>
          </c:tx>
          <c:invertIfNegative val="0"/>
          <c:cat>
            <c:strRef>
              <c:f>Barriers!$N$2:$P$2</c:f>
              <c:strCache>
                <c:ptCount val="3"/>
                <c:pt idx="0">
                  <c:v>Level 1</c:v>
                </c:pt>
                <c:pt idx="1">
                  <c:v>Level 2a</c:v>
                </c:pt>
                <c:pt idx="2">
                  <c:v>Level 2b</c:v>
                </c:pt>
              </c:strCache>
            </c:strRef>
          </c:cat>
          <c:val>
            <c:numRef>
              <c:f>Barriers!$N$8:$P$8</c:f>
              <c:numCache>
                <c:formatCode>0%</c:formatCode>
                <c:ptCount val="3"/>
                <c:pt idx="0">
                  <c:v>0.11264435310236814</c:v>
                </c:pt>
                <c:pt idx="1">
                  <c:v>0.16031308885345721</c:v>
                </c:pt>
                <c:pt idx="2">
                  <c:v>0.17189401108557523</c:v>
                </c:pt>
              </c:numCache>
            </c:numRef>
          </c:val>
        </c:ser>
        <c:ser>
          <c:idx val="6"/>
          <c:order val="6"/>
          <c:tx>
            <c:strRef>
              <c:f>Barriers!$J$9</c:f>
              <c:strCache>
                <c:ptCount val="1"/>
                <c:pt idx="0">
                  <c:v>Current or previous Juvenile Justice Orders</c:v>
                </c:pt>
              </c:strCache>
            </c:strRef>
          </c:tx>
          <c:invertIfNegative val="0"/>
          <c:cat>
            <c:strRef>
              <c:f>Barriers!$N$2:$P$2</c:f>
              <c:strCache>
                <c:ptCount val="3"/>
                <c:pt idx="0">
                  <c:v>Level 1</c:v>
                </c:pt>
                <c:pt idx="1">
                  <c:v>Level 2a</c:v>
                </c:pt>
                <c:pt idx="2">
                  <c:v>Level 2b</c:v>
                </c:pt>
              </c:strCache>
            </c:strRef>
          </c:cat>
          <c:val>
            <c:numRef>
              <c:f>Barriers!$N$9:$P$9</c:f>
              <c:numCache>
                <c:formatCode>0%</c:formatCode>
                <c:ptCount val="3"/>
                <c:pt idx="0">
                  <c:v>2.6423957721667703E-2</c:v>
                </c:pt>
                <c:pt idx="1">
                  <c:v>7.7547470647919989E-2</c:v>
                </c:pt>
                <c:pt idx="2">
                  <c:v>0.17649046910909874</c:v>
                </c:pt>
              </c:numCache>
            </c:numRef>
          </c:val>
        </c:ser>
        <c:ser>
          <c:idx val="7"/>
          <c:order val="7"/>
          <c:tx>
            <c:strRef>
              <c:f>Barriers!$J$10</c:f>
              <c:strCache>
                <c:ptCount val="1"/>
                <c:pt idx="0">
                  <c:v>Disability</c:v>
                </c:pt>
              </c:strCache>
            </c:strRef>
          </c:tx>
          <c:invertIfNegative val="0"/>
          <c:cat>
            <c:strRef>
              <c:f>Barriers!$N$2:$P$2</c:f>
              <c:strCache>
                <c:ptCount val="3"/>
                <c:pt idx="0">
                  <c:v>Level 1</c:v>
                </c:pt>
                <c:pt idx="1">
                  <c:v>Level 2a</c:v>
                </c:pt>
                <c:pt idx="2">
                  <c:v>Level 2b</c:v>
                </c:pt>
              </c:strCache>
            </c:strRef>
          </c:cat>
          <c:val>
            <c:numRef>
              <c:f>Barriers!$N$10:$P$10</c:f>
              <c:numCache>
                <c:formatCode>0%</c:formatCode>
                <c:ptCount val="3"/>
                <c:pt idx="0">
                  <c:v>3.7678606380896491E-2</c:v>
                </c:pt>
                <c:pt idx="1">
                  <c:v>4.8340339179591303E-2</c:v>
                </c:pt>
                <c:pt idx="2">
                  <c:v>5.2453697444910304E-2</c:v>
                </c:pt>
              </c:numCache>
            </c:numRef>
          </c:val>
        </c:ser>
        <c:ser>
          <c:idx val="8"/>
          <c:order val="8"/>
          <c:tx>
            <c:strRef>
              <c:f>Barriers!$J$11</c:f>
              <c:strCache>
                <c:ptCount val="1"/>
                <c:pt idx="0">
                  <c:v>Disconnection from cultural heritage</c:v>
                </c:pt>
              </c:strCache>
            </c:strRef>
          </c:tx>
          <c:invertIfNegative val="0"/>
          <c:cat>
            <c:strRef>
              <c:f>Barriers!$N$2:$P$2</c:f>
              <c:strCache>
                <c:ptCount val="3"/>
                <c:pt idx="0">
                  <c:v>Level 1</c:v>
                </c:pt>
                <c:pt idx="1">
                  <c:v>Level 2a</c:v>
                </c:pt>
                <c:pt idx="2">
                  <c:v>Level 2b</c:v>
                </c:pt>
              </c:strCache>
            </c:strRef>
          </c:cat>
          <c:val>
            <c:numRef>
              <c:f>Barriers!$N$11:$P$11</c:f>
              <c:numCache>
                <c:formatCode>0%</c:formatCode>
                <c:ptCount val="3"/>
                <c:pt idx="0">
                  <c:v>4.6486592288119008E-2</c:v>
                </c:pt>
                <c:pt idx="1">
                  <c:v>3.9643426583562832E-2</c:v>
                </c:pt>
                <c:pt idx="2">
                  <c:v>5.0899013113424423E-2</c:v>
                </c:pt>
              </c:numCache>
            </c:numRef>
          </c:val>
        </c:ser>
        <c:ser>
          <c:idx val="9"/>
          <c:order val="9"/>
          <c:tx>
            <c:strRef>
              <c:f>Barriers!$J$12</c:f>
              <c:strCache>
                <c:ptCount val="1"/>
                <c:pt idx="0">
                  <c:v>Financial distress</c:v>
                </c:pt>
              </c:strCache>
            </c:strRef>
          </c:tx>
          <c:invertIfNegative val="0"/>
          <c:cat>
            <c:strRef>
              <c:f>Barriers!$N$2:$P$2</c:f>
              <c:strCache>
                <c:ptCount val="3"/>
                <c:pt idx="0">
                  <c:v>Level 1</c:v>
                </c:pt>
                <c:pt idx="1">
                  <c:v>Level 2a</c:v>
                </c:pt>
                <c:pt idx="2">
                  <c:v>Level 2b</c:v>
                </c:pt>
              </c:strCache>
            </c:strRef>
          </c:cat>
          <c:val>
            <c:numRef>
              <c:f>Barriers!$N$12:$P$12</c:f>
              <c:numCache>
                <c:formatCode>0%</c:formatCode>
                <c:ptCount val="3"/>
                <c:pt idx="0">
                  <c:v>0.12301820317087493</c:v>
                </c:pt>
                <c:pt idx="1">
                  <c:v>0.21104507899695621</c:v>
                </c:pt>
                <c:pt idx="2">
                  <c:v>0.38779234824929032</c:v>
                </c:pt>
              </c:numCache>
            </c:numRef>
          </c:val>
        </c:ser>
        <c:ser>
          <c:idx val="10"/>
          <c:order val="10"/>
          <c:tx>
            <c:strRef>
              <c:f>Barriers!$J$13</c:f>
              <c:strCache>
                <c:ptCount val="1"/>
                <c:pt idx="0">
                  <c:v>Gifted</c:v>
                </c:pt>
              </c:strCache>
            </c:strRef>
          </c:tx>
          <c:invertIfNegative val="0"/>
          <c:cat>
            <c:strRef>
              <c:f>Barriers!$N$2:$P$2</c:f>
              <c:strCache>
                <c:ptCount val="3"/>
                <c:pt idx="0">
                  <c:v>Level 1</c:v>
                </c:pt>
                <c:pt idx="1">
                  <c:v>Level 2a</c:v>
                </c:pt>
                <c:pt idx="2">
                  <c:v>Level 2b</c:v>
                </c:pt>
              </c:strCache>
            </c:strRef>
          </c:cat>
          <c:val>
            <c:numRef>
              <c:f>Barriers!$N$13:$P$13</c:f>
              <c:numCache>
                <c:formatCode>0%</c:formatCode>
                <c:ptCount val="3"/>
                <c:pt idx="0">
                  <c:v>1.1058915639068337E-2</c:v>
                </c:pt>
                <c:pt idx="1">
                  <c:v>1.043629511523409E-2</c:v>
                </c:pt>
                <c:pt idx="2">
                  <c:v>9.7336758145194005E-3</c:v>
                </c:pt>
              </c:numCache>
            </c:numRef>
          </c:val>
        </c:ser>
        <c:ser>
          <c:idx val="11"/>
          <c:order val="11"/>
          <c:tx>
            <c:strRef>
              <c:f>Barriers!$J$14</c:f>
              <c:strCache>
                <c:ptCount val="1"/>
                <c:pt idx="0">
                  <c:v>Homelessness</c:v>
                </c:pt>
              </c:strCache>
            </c:strRef>
          </c:tx>
          <c:invertIfNegative val="0"/>
          <c:cat>
            <c:strRef>
              <c:f>Barriers!$N$2:$P$2</c:f>
              <c:strCache>
                <c:ptCount val="3"/>
                <c:pt idx="0">
                  <c:v>Level 1</c:v>
                </c:pt>
                <c:pt idx="1">
                  <c:v>Level 2a</c:v>
                </c:pt>
                <c:pt idx="2">
                  <c:v>Level 2b</c:v>
                </c:pt>
              </c:strCache>
            </c:strRef>
          </c:cat>
          <c:val>
            <c:numRef>
              <c:f>Barriers!$N$14:$P$14</c:f>
              <c:numCache>
                <c:formatCode>0%</c:formatCode>
                <c:ptCount val="3"/>
                <c:pt idx="0">
                  <c:v>1.0961049128988081E-2</c:v>
                </c:pt>
                <c:pt idx="1">
                  <c:v>3.1743730975503787E-2</c:v>
                </c:pt>
                <c:pt idx="2">
                  <c:v>8.2195484655941509E-2</c:v>
                </c:pt>
              </c:numCache>
            </c:numRef>
          </c:val>
        </c:ser>
        <c:ser>
          <c:idx val="12"/>
          <c:order val="12"/>
          <c:tx>
            <c:strRef>
              <c:f>Barriers!$J$15</c:f>
              <c:strCache>
                <c:ptCount val="1"/>
                <c:pt idx="0">
                  <c:v>In detention/previously in detention</c:v>
                </c:pt>
              </c:strCache>
            </c:strRef>
          </c:tx>
          <c:invertIfNegative val="0"/>
          <c:cat>
            <c:strRef>
              <c:f>Barriers!$N$2:$P$2</c:f>
              <c:strCache>
                <c:ptCount val="3"/>
                <c:pt idx="0">
                  <c:v>Level 1</c:v>
                </c:pt>
                <c:pt idx="1">
                  <c:v>Level 2a</c:v>
                </c:pt>
                <c:pt idx="2">
                  <c:v>Level 2b</c:v>
                </c:pt>
              </c:strCache>
            </c:strRef>
          </c:cat>
          <c:val>
            <c:numRef>
              <c:f>Barriers!$N$15:$P$15</c:f>
              <c:numCache>
                <c:formatCode>0%</c:formatCode>
                <c:ptCount val="3"/>
                <c:pt idx="0">
                  <c:v>1.3211978860833825E-2</c:v>
                </c:pt>
                <c:pt idx="1">
                  <c:v>2.3844035367444592E-2</c:v>
                </c:pt>
                <c:pt idx="2">
                  <c:v>5.1777747735568473E-2</c:v>
                </c:pt>
              </c:numCache>
            </c:numRef>
          </c:val>
        </c:ser>
        <c:ser>
          <c:idx val="13"/>
          <c:order val="13"/>
          <c:tx>
            <c:strRef>
              <c:f>Barriers!$J$16</c:f>
              <c:strCache>
                <c:ptCount val="1"/>
                <c:pt idx="0">
                  <c:v>Inadequate family support</c:v>
                </c:pt>
              </c:strCache>
            </c:strRef>
          </c:tx>
          <c:invertIfNegative val="0"/>
          <c:cat>
            <c:strRef>
              <c:f>Barriers!$N$2:$P$2</c:f>
              <c:strCache>
                <c:ptCount val="3"/>
                <c:pt idx="0">
                  <c:v>Level 1</c:v>
                </c:pt>
                <c:pt idx="1">
                  <c:v>Level 2a</c:v>
                </c:pt>
                <c:pt idx="2">
                  <c:v>Level 2b</c:v>
                </c:pt>
              </c:strCache>
            </c:strRef>
          </c:cat>
          <c:val>
            <c:numRef>
              <c:f>Barriers!$N$16:$P$16</c:f>
              <c:numCache>
                <c:formatCode>0%</c:formatCode>
                <c:ptCount val="3"/>
                <c:pt idx="0">
                  <c:v>0.16353493834409871</c:v>
                </c:pt>
                <c:pt idx="1">
                  <c:v>0.25250036237135831</c:v>
                </c:pt>
                <c:pt idx="2">
                  <c:v>0.34912802487495026</c:v>
                </c:pt>
              </c:numCache>
            </c:numRef>
          </c:val>
        </c:ser>
        <c:ser>
          <c:idx val="14"/>
          <c:order val="14"/>
          <c:tx>
            <c:strRef>
              <c:f>Barriers!$J$17</c:f>
              <c:strCache>
                <c:ptCount val="1"/>
                <c:pt idx="0">
                  <c:v>Learning Difficulty</c:v>
                </c:pt>
              </c:strCache>
            </c:strRef>
          </c:tx>
          <c:invertIfNegative val="0"/>
          <c:cat>
            <c:strRef>
              <c:f>Barriers!$N$2:$P$2</c:f>
              <c:strCache>
                <c:ptCount val="3"/>
                <c:pt idx="0">
                  <c:v>Level 1</c:v>
                </c:pt>
                <c:pt idx="1">
                  <c:v>Level 2a</c:v>
                </c:pt>
                <c:pt idx="2">
                  <c:v>Level 2b</c:v>
                </c:pt>
              </c:strCache>
            </c:strRef>
          </c:cat>
          <c:val>
            <c:numRef>
              <c:f>Barriers!$N$17:$P$17</c:f>
              <c:numCache>
                <c:formatCode>0%</c:formatCode>
                <c:ptCount val="3"/>
                <c:pt idx="0">
                  <c:v>3.8559404971618715E-2</c:v>
                </c:pt>
                <c:pt idx="1">
                  <c:v>4.8557761994491994E-2</c:v>
                </c:pt>
                <c:pt idx="2">
                  <c:v>4.6910909828308901E-2</c:v>
                </c:pt>
              </c:numCache>
            </c:numRef>
          </c:val>
        </c:ser>
        <c:ser>
          <c:idx val="15"/>
          <c:order val="15"/>
          <c:tx>
            <c:strRef>
              <c:f>Barriers!$J$18</c:f>
              <c:strCache>
                <c:ptCount val="1"/>
                <c:pt idx="0">
                  <c:v>Low literacy and/or numeracy</c:v>
                </c:pt>
              </c:strCache>
            </c:strRef>
          </c:tx>
          <c:invertIfNegative val="0"/>
          <c:cat>
            <c:strRef>
              <c:f>Barriers!$N$2:$P$2</c:f>
              <c:strCache>
                <c:ptCount val="3"/>
                <c:pt idx="0">
                  <c:v>Level 1</c:v>
                </c:pt>
                <c:pt idx="1">
                  <c:v>Level 2a</c:v>
                </c:pt>
                <c:pt idx="2">
                  <c:v>Level 2b</c:v>
                </c:pt>
              </c:strCache>
            </c:strRef>
          </c:cat>
          <c:val>
            <c:numRef>
              <c:f>Barriers!$N$18:$P$18</c:f>
              <c:numCache>
                <c:formatCode>0%</c:formatCode>
                <c:ptCount val="3"/>
                <c:pt idx="0">
                  <c:v>0.45458993932276465</c:v>
                </c:pt>
                <c:pt idx="1">
                  <c:v>0.52942455428322943</c:v>
                </c:pt>
                <c:pt idx="2">
                  <c:v>0.53988103285115585</c:v>
                </c:pt>
              </c:numCache>
            </c:numRef>
          </c:val>
        </c:ser>
        <c:ser>
          <c:idx val="16"/>
          <c:order val="16"/>
          <c:tx>
            <c:strRef>
              <c:f>Barriers!$J$19</c:f>
              <c:strCache>
                <c:ptCount val="1"/>
                <c:pt idx="0">
                  <c:v>Low Self Esteem</c:v>
                </c:pt>
              </c:strCache>
            </c:strRef>
          </c:tx>
          <c:invertIfNegative val="0"/>
          <c:cat>
            <c:strRef>
              <c:f>Barriers!$N$2:$P$2</c:f>
              <c:strCache>
                <c:ptCount val="3"/>
                <c:pt idx="0">
                  <c:v>Level 1</c:v>
                </c:pt>
                <c:pt idx="1">
                  <c:v>Level 2a</c:v>
                </c:pt>
                <c:pt idx="2">
                  <c:v>Level 2b</c:v>
                </c:pt>
              </c:strCache>
            </c:strRef>
          </c:cat>
          <c:val>
            <c:numRef>
              <c:f>Barriers!$N$19:$P$19</c:f>
              <c:numCache>
                <c:formatCode>0%</c:formatCode>
                <c:ptCount val="3"/>
                <c:pt idx="0">
                  <c:v>0.52652182423174787</c:v>
                </c:pt>
                <c:pt idx="1">
                  <c:v>0.55493549789824614</c:v>
                </c:pt>
                <c:pt idx="2">
                  <c:v>0.56103825875354874</c:v>
                </c:pt>
              </c:numCache>
            </c:numRef>
          </c:val>
        </c:ser>
        <c:ser>
          <c:idx val="17"/>
          <c:order val="17"/>
          <c:tx>
            <c:strRef>
              <c:f>Barriers!$J$20</c:f>
              <c:strCache>
                <c:ptCount val="1"/>
                <c:pt idx="0">
                  <c:v>Medical or other health issue</c:v>
                </c:pt>
              </c:strCache>
            </c:strRef>
          </c:tx>
          <c:invertIfNegative val="0"/>
          <c:cat>
            <c:strRef>
              <c:f>Barriers!$N$2:$P$2</c:f>
              <c:strCache>
                <c:ptCount val="3"/>
                <c:pt idx="0">
                  <c:v>Level 1</c:v>
                </c:pt>
                <c:pt idx="1">
                  <c:v>Level 2a</c:v>
                </c:pt>
                <c:pt idx="2">
                  <c:v>Level 2b</c:v>
                </c:pt>
              </c:strCache>
            </c:strRef>
          </c:cat>
          <c:val>
            <c:numRef>
              <c:f>Barriers!$N$20:$P$20</c:f>
              <c:numCache>
                <c:formatCode>0%</c:formatCode>
                <c:ptCount val="3"/>
                <c:pt idx="0">
                  <c:v>6.811509101585439E-2</c:v>
                </c:pt>
                <c:pt idx="1">
                  <c:v>9.6825626902449877E-2</c:v>
                </c:pt>
                <c:pt idx="2">
                  <c:v>0.11457347573340552</c:v>
                </c:pt>
              </c:numCache>
            </c:numRef>
          </c:val>
        </c:ser>
        <c:ser>
          <c:idx val="18"/>
          <c:order val="18"/>
          <c:tx>
            <c:strRef>
              <c:f>Barriers!$J$21</c:f>
              <c:strCache>
                <c:ptCount val="1"/>
                <c:pt idx="0">
                  <c:v>Negative experience(s) with education and training</c:v>
                </c:pt>
              </c:strCache>
            </c:strRef>
          </c:tx>
          <c:invertIfNegative val="0"/>
          <c:cat>
            <c:strRef>
              <c:f>Barriers!$N$2:$P$2</c:f>
              <c:strCache>
                <c:ptCount val="3"/>
                <c:pt idx="0">
                  <c:v>Level 1</c:v>
                </c:pt>
                <c:pt idx="1">
                  <c:v>Level 2a</c:v>
                </c:pt>
                <c:pt idx="2">
                  <c:v>Level 2b</c:v>
                </c:pt>
              </c:strCache>
            </c:strRef>
          </c:cat>
          <c:val>
            <c:numRef>
              <c:f>Barriers!$N$21:$P$21</c:f>
              <c:numCache>
                <c:formatCode>0%</c:formatCode>
                <c:ptCount val="3"/>
                <c:pt idx="0">
                  <c:v>5.8719906048150473E-4</c:v>
                </c:pt>
                <c:pt idx="1">
                  <c:v>9.4216553123641338E-4</c:v>
                </c:pt>
                <c:pt idx="2">
                  <c:v>1.3518994186832501E-3</c:v>
                </c:pt>
              </c:numCache>
            </c:numRef>
          </c:val>
        </c:ser>
        <c:ser>
          <c:idx val="19"/>
          <c:order val="19"/>
          <c:tx>
            <c:strRef>
              <c:f>Barriers!$J$22</c:f>
              <c:strCache>
                <c:ptCount val="1"/>
                <c:pt idx="0">
                  <c:v>Out of home care</c:v>
                </c:pt>
              </c:strCache>
            </c:strRef>
          </c:tx>
          <c:invertIfNegative val="0"/>
          <c:cat>
            <c:strRef>
              <c:f>Barriers!$N$2:$P$2</c:f>
              <c:strCache>
                <c:ptCount val="3"/>
                <c:pt idx="0">
                  <c:v>Level 1</c:v>
                </c:pt>
                <c:pt idx="1">
                  <c:v>Level 2a</c:v>
                </c:pt>
                <c:pt idx="2">
                  <c:v>Level 2b</c:v>
                </c:pt>
              </c:strCache>
            </c:strRef>
          </c:cat>
          <c:val>
            <c:numRef>
              <c:f>Barriers!$N$22:$P$22</c:f>
              <c:numCache>
                <c:formatCode>0%</c:formatCode>
                <c:ptCount val="3"/>
                <c:pt idx="0">
                  <c:v>1.8007437854766103E-2</c:v>
                </c:pt>
                <c:pt idx="1">
                  <c:v>2.9641977098130233E-2</c:v>
                </c:pt>
                <c:pt idx="2">
                  <c:v>5.0493443287819413E-2</c:v>
                </c:pt>
              </c:numCache>
            </c:numRef>
          </c:val>
        </c:ser>
        <c:ser>
          <c:idx val="20"/>
          <c:order val="20"/>
          <c:tx>
            <c:strRef>
              <c:f>Barriers!$J$23</c:f>
              <c:strCache>
                <c:ptCount val="1"/>
                <c:pt idx="0">
                  <c:v>Parent/Pregnancy</c:v>
                </c:pt>
              </c:strCache>
            </c:strRef>
          </c:tx>
          <c:invertIfNegative val="0"/>
          <c:cat>
            <c:strRef>
              <c:f>Barriers!$N$2:$P$2</c:f>
              <c:strCache>
                <c:ptCount val="3"/>
                <c:pt idx="0">
                  <c:v>Level 1</c:v>
                </c:pt>
                <c:pt idx="1">
                  <c:v>Level 2a</c:v>
                </c:pt>
                <c:pt idx="2">
                  <c:v>Level 2b</c:v>
                </c:pt>
              </c:strCache>
            </c:strRef>
          </c:cat>
          <c:val>
            <c:numRef>
              <c:f>Barriers!$N$23:$P$23</c:f>
              <c:numCache>
                <c:formatCode>0%</c:formatCode>
                <c:ptCount val="3"/>
                <c:pt idx="0">
                  <c:v>4.5018594636915422E-3</c:v>
                </c:pt>
                <c:pt idx="1">
                  <c:v>1.4639802869981157E-2</c:v>
                </c:pt>
                <c:pt idx="2">
                  <c:v>6.2525348114100307E-2</c:v>
                </c:pt>
              </c:numCache>
            </c:numRef>
          </c:val>
        </c:ser>
        <c:ser>
          <c:idx val="21"/>
          <c:order val="21"/>
          <c:tx>
            <c:strRef>
              <c:f>Barriers!$J$24</c:f>
              <c:strCache>
                <c:ptCount val="1"/>
                <c:pt idx="0">
                  <c:v>Petrol sniffing</c:v>
                </c:pt>
              </c:strCache>
            </c:strRef>
          </c:tx>
          <c:invertIfNegative val="0"/>
          <c:cat>
            <c:strRef>
              <c:f>Barriers!$N$2:$P$2</c:f>
              <c:strCache>
                <c:ptCount val="3"/>
                <c:pt idx="0">
                  <c:v>Level 1</c:v>
                </c:pt>
                <c:pt idx="1">
                  <c:v>Level 2a</c:v>
                </c:pt>
                <c:pt idx="2">
                  <c:v>Level 2b</c:v>
                </c:pt>
              </c:strCache>
            </c:strRef>
          </c:cat>
          <c:val>
            <c:numRef>
              <c:f>Barriers!$N$24:$P$24</c:f>
              <c:numCache>
                <c:formatCode>0%</c:formatCode>
                <c:ptCount val="3"/>
                <c:pt idx="0">
                  <c:v>9.7866510080250811E-5</c:v>
                </c:pt>
                <c:pt idx="1">
                  <c:v>2.8989708653428056E-4</c:v>
                </c:pt>
                <c:pt idx="2">
                  <c:v>1.0139245640124375E-3</c:v>
                </c:pt>
              </c:numCache>
            </c:numRef>
          </c:val>
        </c:ser>
        <c:ser>
          <c:idx val="22"/>
          <c:order val="22"/>
          <c:tx>
            <c:strRef>
              <c:f>Barriers!$J$25</c:f>
              <c:strCache>
                <c:ptCount val="1"/>
                <c:pt idx="0">
                  <c:v>Socialisation issues</c:v>
                </c:pt>
              </c:strCache>
            </c:strRef>
          </c:tx>
          <c:invertIfNegative val="0"/>
          <c:cat>
            <c:strRef>
              <c:f>Barriers!$N$2:$P$2</c:f>
              <c:strCache>
                <c:ptCount val="3"/>
                <c:pt idx="0">
                  <c:v>Level 1</c:v>
                </c:pt>
                <c:pt idx="1">
                  <c:v>Level 2a</c:v>
                </c:pt>
                <c:pt idx="2">
                  <c:v>Level 2b</c:v>
                </c:pt>
              </c:strCache>
            </c:strRef>
          </c:cat>
          <c:val>
            <c:numRef>
              <c:f>Barriers!$N$25:$P$25</c:f>
              <c:numCache>
                <c:formatCode>0%</c:formatCode>
                <c:ptCount val="3"/>
                <c:pt idx="0">
                  <c:v>0.36337835192797152</c:v>
                </c:pt>
                <c:pt idx="1">
                  <c:v>0.40832004638353386</c:v>
                </c:pt>
                <c:pt idx="2">
                  <c:v>0.44443693389211841</c:v>
                </c:pt>
              </c:numCache>
            </c:numRef>
          </c:val>
        </c:ser>
        <c:ser>
          <c:idx val="23"/>
          <c:order val="23"/>
          <c:tx>
            <c:strRef>
              <c:f>Barriers!$J$26</c:f>
              <c:strCache>
                <c:ptCount val="1"/>
                <c:pt idx="0">
                  <c:v>Suspected or diagnosed mental health issue</c:v>
                </c:pt>
              </c:strCache>
            </c:strRef>
          </c:tx>
          <c:invertIfNegative val="0"/>
          <c:cat>
            <c:strRef>
              <c:f>Barriers!$N$2:$P$2</c:f>
              <c:strCache>
                <c:ptCount val="3"/>
                <c:pt idx="0">
                  <c:v>Level 1</c:v>
                </c:pt>
                <c:pt idx="1">
                  <c:v>Level 2a</c:v>
                </c:pt>
                <c:pt idx="2">
                  <c:v>Level 2b</c:v>
                </c:pt>
              </c:strCache>
            </c:strRef>
          </c:cat>
          <c:val>
            <c:numRef>
              <c:f>Barriers!$N$26:$P$26</c:f>
              <c:numCache>
                <c:formatCode>0%</c:formatCode>
                <c:ptCount val="3"/>
                <c:pt idx="0">
                  <c:v>0.15022509297318459</c:v>
                </c:pt>
                <c:pt idx="1">
                  <c:v>0.28025800840701554</c:v>
                </c:pt>
                <c:pt idx="2">
                  <c:v>0.29721508719751288</c:v>
                </c:pt>
              </c:numCache>
            </c:numRef>
          </c:val>
        </c:ser>
        <c:ser>
          <c:idx val="24"/>
          <c:order val="24"/>
          <c:tx>
            <c:strRef>
              <c:f>Barriers!$J$27</c:f>
              <c:strCache>
                <c:ptCount val="1"/>
                <c:pt idx="0">
                  <c:v>Unstable living arrangements</c:v>
                </c:pt>
              </c:strCache>
            </c:strRef>
          </c:tx>
          <c:invertIfNegative val="0"/>
          <c:cat>
            <c:strRef>
              <c:f>Barriers!$N$2:$P$2</c:f>
              <c:strCache>
                <c:ptCount val="3"/>
                <c:pt idx="0">
                  <c:v>Level 1</c:v>
                </c:pt>
                <c:pt idx="1">
                  <c:v>Level 2a</c:v>
                </c:pt>
                <c:pt idx="2">
                  <c:v>Level 2b</c:v>
                </c:pt>
              </c:strCache>
            </c:strRef>
          </c:cat>
          <c:val>
            <c:numRef>
              <c:f>Barriers!$N$27:$P$27</c:f>
              <c:numCache>
                <c:formatCode>0%</c:formatCode>
                <c:ptCount val="3"/>
                <c:pt idx="0">
                  <c:v>7.2714816989626382E-2</c:v>
                </c:pt>
                <c:pt idx="1">
                  <c:v>0.15697927235831291</c:v>
                </c:pt>
                <c:pt idx="2">
                  <c:v>0.26733811004461322</c:v>
                </c:pt>
              </c:numCache>
            </c:numRef>
          </c:val>
        </c:ser>
        <c:ser>
          <c:idx val="25"/>
          <c:order val="25"/>
          <c:tx>
            <c:strRef>
              <c:f>Barriers!$J$28</c:f>
              <c:strCache>
                <c:ptCount val="1"/>
                <c:pt idx="0">
                  <c:v>Volatile substance misuse</c:v>
                </c:pt>
              </c:strCache>
            </c:strRef>
          </c:tx>
          <c:invertIfNegative val="0"/>
          <c:cat>
            <c:strRef>
              <c:f>Barriers!$N$2:$P$2</c:f>
              <c:strCache>
                <c:ptCount val="3"/>
                <c:pt idx="0">
                  <c:v>Level 1</c:v>
                </c:pt>
                <c:pt idx="1">
                  <c:v>Level 2a</c:v>
                </c:pt>
                <c:pt idx="2">
                  <c:v>Level 2b</c:v>
                </c:pt>
              </c:strCache>
            </c:strRef>
          </c:cat>
          <c:val>
            <c:numRef>
              <c:f>Barriers!$N$28:$P$28</c:f>
              <c:numCache>
                <c:formatCode>0%</c:formatCode>
                <c:ptCount val="3"/>
                <c:pt idx="0">
                  <c:v>8.8079859072225715E-4</c:v>
                </c:pt>
                <c:pt idx="1">
                  <c:v>2.101753877373538E-3</c:v>
                </c:pt>
                <c:pt idx="2">
                  <c:v>3.5825334595106198E-3</c:v>
                </c:pt>
              </c:numCache>
            </c:numRef>
          </c:val>
        </c:ser>
        <c:ser>
          <c:idx val="26"/>
          <c:order val="26"/>
          <c:tx>
            <c:strRef>
              <c:f>Barriers!$J$29</c:f>
              <c:strCache>
                <c:ptCount val="1"/>
                <c:pt idx="0">
                  <c:v>Young Carer responsibilities</c:v>
                </c:pt>
              </c:strCache>
            </c:strRef>
          </c:tx>
          <c:invertIfNegative val="0"/>
          <c:cat>
            <c:strRef>
              <c:f>Barriers!$N$2:$P$2</c:f>
              <c:strCache>
                <c:ptCount val="3"/>
                <c:pt idx="0">
                  <c:v>Level 1</c:v>
                </c:pt>
                <c:pt idx="1">
                  <c:v>Level 2a</c:v>
                </c:pt>
                <c:pt idx="2">
                  <c:v>Level 2b</c:v>
                </c:pt>
              </c:strCache>
            </c:strRef>
          </c:cat>
          <c:val>
            <c:numRef>
              <c:f>Barriers!$N$29:$P$29</c:f>
              <c:numCache>
                <c:formatCode>0%</c:formatCode>
                <c:ptCount val="3"/>
                <c:pt idx="0">
                  <c:v>3.0045018594636985E-2</c:v>
                </c:pt>
                <c:pt idx="1">
                  <c:v>3.4642701840846502E-2</c:v>
                </c:pt>
                <c:pt idx="2">
                  <c:v>3.7853183723131012E-2</c:v>
                </c:pt>
              </c:numCache>
            </c:numRef>
          </c:val>
        </c:ser>
        <c:dLbls>
          <c:showLegendKey val="0"/>
          <c:showVal val="0"/>
          <c:showCatName val="0"/>
          <c:showSerName val="0"/>
          <c:showPercent val="0"/>
          <c:showBubbleSize val="0"/>
        </c:dLbls>
        <c:gapWidth val="55"/>
        <c:overlap val="100"/>
        <c:axId val="193961984"/>
        <c:axId val="193964672"/>
      </c:barChart>
      <c:catAx>
        <c:axId val="193961984"/>
        <c:scaling>
          <c:orientation val="minMax"/>
        </c:scaling>
        <c:delete val="0"/>
        <c:axPos val="b"/>
        <c:majorTickMark val="none"/>
        <c:minorTickMark val="none"/>
        <c:tickLblPos val="nextTo"/>
        <c:crossAx val="193964672"/>
        <c:crosses val="autoZero"/>
        <c:auto val="1"/>
        <c:lblAlgn val="ctr"/>
        <c:lblOffset val="100"/>
        <c:noMultiLvlLbl val="0"/>
      </c:catAx>
      <c:valAx>
        <c:axId val="193964672"/>
        <c:scaling>
          <c:orientation val="minMax"/>
        </c:scaling>
        <c:delete val="0"/>
        <c:axPos val="l"/>
        <c:majorGridlines/>
        <c:numFmt formatCode="0%" sourceLinked="1"/>
        <c:majorTickMark val="none"/>
        <c:minorTickMark val="none"/>
        <c:tickLblPos val="nextTo"/>
        <c:crossAx val="193961984"/>
        <c:crosses val="autoZero"/>
        <c:crossBetween val="between"/>
      </c:valAx>
    </c:plotArea>
    <c:legend>
      <c:legendPos val="r"/>
      <c:layout>
        <c:manualLayout>
          <c:xMode val="edge"/>
          <c:yMode val="edge"/>
          <c:x val="0.49100549012767747"/>
          <c:y val="5.3848381589398753E-2"/>
          <c:w val="0.48449962010383046"/>
          <c:h val="0.91796454991166976"/>
        </c:manualLayout>
      </c:layout>
      <c:overlay val="0"/>
      <c:txPr>
        <a:bodyPr/>
        <a:lstStyle/>
        <a:p>
          <a:pPr>
            <a:defRPr kern="900" spc="-100" baseline="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AU"/>
              <a:t>QLD - Number</a:t>
            </a:r>
            <a:r>
              <a:rPr lang="en-AU" baseline="0"/>
              <a:t> of young people achieving outcomes</a:t>
            </a:r>
          </a:p>
        </c:rich>
      </c:tx>
      <c:overlay val="0"/>
    </c:title>
    <c:autoTitleDeleted val="0"/>
    <c:plotArea>
      <c:layout/>
      <c:barChart>
        <c:barDir val="col"/>
        <c:grouping val="clustered"/>
        <c:varyColors val="0"/>
        <c:ser>
          <c:idx val="0"/>
          <c:order val="0"/>
          <c:tx>
            <c:strRef>
              <c:f>Outcomes!$L$2</c:f>
              <c:strCache>
                <c:ptCount val="1"/>
                <c:pt idx="0">
                  <c:v>Achieved a final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Outcomes!$L$3:$L$5</c:f>
              <c:numCache>
                <c:formatCode>0%</c:formatCode>
                <c:ptCount val="3"/>
                <c:pt idx="0">
                  <c:v>0.75140186915887963</c:v>
                </c:pt>
                <c:pt idx="1">
                  <c:v>0.68446269678302529</c:v>
                </c:pt>
                <c:pt idx="2">
                  <c:v>0.57815660213811115</c:v>
                </c:pt>
              </c:numCache>
            </c:numRef>
          </c:val>
        </c:ser>
        <c:ser>
          <c:idx val="1"/>
          <c:order val="1"/>
          <c:tx>
            <c:strRef>
              <c:f>Outcomes!$M$2</c:f>
              <c:strCache>
                <c:ptCount val="1"/>
                <c:pt idx="0">
                  <c:v>Achieved a progressive outcome</c:v>
                </c:pt>
              </c:strCache>
            </c:strRef>
          </c:tx>
          <c:invertIfNegative val="0"/>
          <c:dLbls>
            <c:showLegendKey val="0"/>
            <c:showVal val="1"/>
            <c:showCatName val="0"/>
            <c:showSerName val="0"/>
            <c:showPercent val="0"/>
            <c:showBubbleSize val="0"/>
            <c:showLeaderLines val="0"/>
          </c:dLbls>
          <c:cat>
            <c:strRef>
              <c:f>Outcomes!$H$3:$H$5</c:f>
              <c:strCache>
                <c:ptCount val="3"/>
                <c:pt idx="0">
                  <c:v>Level 1</c:v>
                </c:pt>
                <c:pt idx="1">
                  <c:v>Level 2a</c:v>
                </c:pt>
                <c:pt idx="2">
                  <c:v>Level 2b</c:v>
                </c:pt>
              </c:strCache>
            </c:strRef>
          </c:cat>
          <c:val>
            <c:numRef>
              <c:f>Outcomes!$M$3:$M$5</c:f>
              <c:numCache>
                <c:formatCode>0%</c:formatCode>
                <c:ptCount val="3"/>
                <c:pt idx="0">
                  <c:v>0.85233644859813085</c:v>
                </c:pt>
                <c:pt idx="1">
                  <c:v>0.83470225872689963</c:v>
                </c:pt>
                <c:pt idx="2">
                  <c:v>0.78416642588847152</c:v>
                </c:pt>
              </c:numCache>
            </c:numRef>
          </c:val>
        </c:ser>
        <c:dLbls>
          <c:showLegendKey val="0"/>
          <c:showVal val="0"/>
          <c:showCatName val="0"/>
          <c:showSerName val="0"/>
          <c:showPercent val="0"/>
          <c:showBubbleSize val="0"/>
        </c:dLbls>
        <c:gapWidth val="150"/>
        <c:axId val="195250816"/>
        <c:axId val="196216320"/>
      </c:barChart>
      <c:catAx>
        <c:axId val="195250816"/>
        <c:scaling>
          <c:orientation val="minMax"/>
        </c:scaling>
        <c:delete val="0"/>
        <c:axPos val="b"/>
        <c:majorTickMark val="none"/>
        <c:minorTickMark val="none"/>
        <c:tickLblPos val="nextTo"/>
        <c:crossAx val="196216320"/>
        <c:crosses val="autoZero"/>
        <c:auto val="1"/>
        <c:lblAlgn val="ctr"/>
        <c:lblOffset val="100"/>
        <c:noMultiLvlLbl val="0"/>
      </c:catAx>
      <c:valAx>
        <c:axId val="196216320"/>
        <c:scaling>
          <c:orientation val="minMax"/>
        </c:scaling>
        <c:delete val="0"/>
        <c:axPos val="l"/>
        <c:majorGridlines/>
        <c:numFmt formatCode="0%" sourceLinked="1"/>
        <c:majorTickMark val="none"/>
        <c:minorTickMark val="none"/>
        <c:tickLblPos val="nextTo"/>
        <c:crossAx val="1952508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C6C8-0402-4312-A086-6C4EAD18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34FAB729.dotm</Template>
  <TotalTime>197</TotalTime>
  <Pages>68</Pages>
  <Words>20849</Words>
  <Characters>118840</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139411</CharactersWithSpaces>
  <SharedDoc>false</SharedDoc>
  <HLinks>
    <vt:vector size="234" baseType="variant">
      <vt:variant>
        <vt:i4>7405628</vt:i4>
      </vt:variant>
      <vt:variant>
        <vt:i4>225</vt:i4>
      </vt:variant>
      <vt:variant>
        <vt:i4>0</vt:i4>
      </vt:variant>
      <vt:variant>
        <vt:i4>5</vt:i4>
      </vt:variant>
      <vt:variant>
        <vt:lpwstr>http://education.qld.gov.au/earlyleavers/index.html</vt:lpwstr>
      </vt:variant>
      <vt:variant>
        <vt:lpwstr/>
      </vt:variant>
      <vt:variant>
        <vt:i4>3407986</vt:i4>
      </vt:variant>
      <vt:variant>
        <vt:i4>222</vt:i4>
      </vt:variant>
      <vt:variant>
        <vt:i4>0</vt:i4>
      </vt:variant>
      <vt:variant>
        <vt:i4>5</vt:i4>
      </vt:variant>
      <vt:variant>
        <vt:lpwstr>http://education.qld.gov.au/nextstep/nextstep.html</vt:lpwstr>
      </vt:variant>
      <vt:variant>
        <vt:lpwstr/>
      </vt:variant>
      <vt:variant>
        <vt:i4>7798900</vt:i4>
      </vt:variant>
      <vt:variant>
        <vt:i4>219</vt:i4>
      </vt:variant>
      <vt:variant>
        <vt:i4>0</vt:i4>
      </vt:variant>
      <vt:variant>
        <vt:i4>5</vt:i4>
      </vt:variant>
      <vt:variant>
        <vt:lpwstr>http://www.qsa.qld.edu.au/617.html</vt:lpwstr>
      </vt:variant>
      <vt:variant>
        <vt:lpwstr/>
      </vt:variant>
      <vt:variant>
        <vt:i4>1179709</vt:i4>
      </vt:variant>
      <vt:variant>
        <vt:i4>212</vt:i4>
      </vt:variant>
      <vt:variant>
        <vt:i4>0</vt:i4>
      </vt:variant>
      <vt:variant>
        <vt:i4>5</vt:i4>
      </vt:variant>
      <vt:variant>
        <vt:lpwstr/>
      </vt:variant>
      <vt:variant>
        <vt:lpwstr>_Toc332296520</vt:lpwstr>
      </vt:variant>
      <vt:variant>
        <vt:i4>1114173</vt:i4>
      </vt:variant>
      <vt:variant>
        <vt:i4>206</vt:i4>
      </vt:variant>
      <vt:variant>
        <vt:i4>0</vt:i4>
      </vt:variant>
      <vt:variant>
        <vt:i4>5</vt:i4>
      </vt:variant>
      <vt:variant>
        <vt:lpwstr/>
      </vt:variant>
      <vt:variant>
        <vt:lpwstr>_Toc332296519</vt:lpwstr>
      </vt:variant>
      <vt:variant>
        <vt:i4>1114173</vt:i4>
      </vt:variant>
      <vt:variant>
        <vt:i4>200</vt:i4>
      </vt:variant>
      <vt:variant>
        <vt:i4>0</vt:i4>
      </vt:variant>
      <vt:variant>
        <vt:i4>5</vt:i4>
      </vt:variant>
      <vt:variant>
        <vt:lpwstr/>
      </vt:variant>
      <vt:variant>
        <vt:lpwstr>_Toc332296518</vt:lpwstr>
      </vt:variant>
      <vt:variant>
        <vt:i4>1114173</vt:i4>
      </vt:variant>
      <vt:variant>
        <vt:i4>194</vt:i4>
      </vt:variant>
      <vt:variant>
        <vt:i4>0</vt:i4>
      </vt:variant>
      <vt:variant>
        <vt:i4>5</vt:i4>
      </vt:variant>
      <vt:variant>
        <vt:lpwstr/>
      </vt:variant>
      <vt:variant>
        <vt:lpwstr>_Toc332296517</vt:lpwstr>
      </vt:variant>
      <vt:variant>
        <vt:i4>1114173</vt:i4>
      </vt:variant>
      <vt:variant>
        <vt:i4>188</vt:i4>
      </vt:variant>
      <vt:variant>
        <vt:i4>0</vt:i4>
      </vt:variant>
      <vt:variant>
        <vt:i4>5</vt:i4>
      </vt:variant>
      <vt:variant>
        <vt:lpwstr/>
      </vt:variant>
      <vt:variant>
        <vt:lpwstr>_Toc332296516</vt:lpwstr>
      </vt:variant>
      <vt:variant>
        <vt:i4>1114173</vt:i4>
      </vt:variant>
      <vt:variant>
        <vt:i4>182</vt:i4>
      </vt:variant>
      <vt:variant>
        <vt:i4>0</vt:i4>
      </vt:variant>
      <vt:variant>
        <vt:i4>5</vt:i4>
      </vt:variant>
      <vt:variant>
        <vt:lpwstr/>
      </vt:variant>
      <vt:variant>
        <vt:lpwstr>_Toc332296515</vt:lpwstr>
      </vt:variant>
      <vt:variant>
        <vt:i4>1114173</vt:i4>
      </vt:variant>
      <vt:variant>
        <vt:i4>176</vt:i4>
      </vt:variant>
      <vt:variant>
        <vt:i4>0</vt:i4>
      </vt:variant>
      <vt:variant>
        <vt:i4>5</vt:i4>
      </vt:variant>
      <vt:variant>
        <vt:lpwstr/>
      </vt:variant>
      <vt:variant>
        <vt:lpwstr>_Toc332296514</vt:lpwstr>
      </vt:variant>
      <vt:variant>
        <vt:i4>1114173</vt:i4>
      </vt:variant>
      <vt:variant>
        <vt:i4>170</vt:i4>
      </vt:variant>
      <vt:variant>
        <vt:i4>0</vt:i4>
      </vt:variant>
      <vt:variant>
        <vt:i4>5</vt:i4>
      </vt:variant>
      <vt:variant>
        <vt:lpwstr/>
      </vt:variant>
      <vt:variant>
        <vt:lpwstr>_Toc332296513</vt:lpwstr>
      </vt:variant>
      <vt:variant>
        <vt:i4>1114173</vt:i4>
      </vt:variant>
      <vt:variant>
        <vt:i4>164</vt:i4>
      </vt:variant>
      <vt:variant>
        <vt:i4>0</vt:i4>
      </vt:variant>
      <vt:variant>
        <vt:i4>5</vt:i4>
      </vt:variant>
      <vt:variant>
        <vt:lpwstr/>
      </vt:variant>
      <vt:variant>
        <vt:lpwstr>_Toc332296512</vt:lpwstr>
      </vt:variant>
      <vt:variant>
        <vt:i4>1114173</vt:i4>
      </vt:variant>
      <vt:variant>
        <vt:i4>158</vt:i4>
      </vt:variant>
      <vt:variant>
        <vt:i4>0</vt:i4>
      </vt:variant>
      <vt:variant>
        <vt:i4>5</vt:i4>
      </vt:variant>
      <vt:variant>
        <vt:lpwstr/>
      </vt:variant>
      <vt:variant>
        <vt:lpwstr>_Toc332296511</vt:lpwstr>
      </vt:variant>
      <vt:variant>
        <vt:i4>1114173</vt:i4>
      </vt:variant>
      <vt:variant>
        <vt:i4>152</vt:i4>
      </vt:variant>
      <vt:variant>
        <vt:i4>0</vt:i4>
      </vt:variant>
      <vt:variant>
        <vt:i4>5</vt:i4>
      </vt:variant>
      <vt:variant>
        <vt:lpwstr/>
      </vt:variant>
      <vt:variant>
        <vt:lpwstr>_Toc332296510</vt:lpwstr>
      </vt:variant>
      <vt:variant>
        <vt:i4>1048637</vt:i4>
      </vt:variant>
      <vt:variant>
        <vt:i4>146</vt:i4>
      </vt:variant>
      <vt:variant>
        <vt:i4>0</vt:i4>
      </vt:variant>
      <vt:variant>
        <vt:i4>5</vt:i4>
      </vt:variant>
      <vt:variant>
        <vt:lpwstr/>
      </vt:variant>
      <vt:variant>
        <vt:lpwstr>_Toc332296509</vt:lpwstr>
      </vt:variant>
      <vt:variant>
        <vt:i4>1048637</vt:i4>
      </vt:variant>
      <vt:variant>
        <vt:i4>140</vt:i4>
      </vt:variant>
      <vt:variant>
        <vt:i4>0</vt:i4>
      </vt:variant>
      <vt:variant>
        <vt:i4>5</vt:i4>
      </vt:variant>
      <vt:variant>
        <vt:lpwstr/>
      </vt:variant>
      <vt:variant>
        <vt:lpwstr>_Toc332296508</vt:lpwstr>
      </vt:variant>
      <vt:variant>
        <vt:i4>1048637</vt:i4>
      </vt:variant>
      <vt:variant>
        <vt:i4>134</vt:i4>
      </vt:variant>
      <vt:variant>
        <vt:i4>0</vt:i4>
      </vt:variant>
      <vt:variant>
        <vt:i4>5</vt:i4>
      </vt:variant>
      <vt:variant>
        <vt:lpwstr/>
      </vt:variant>
      <vt:variant>
        <vt:lpwstr>_Toc332296507</vt:lpwstr>
      </vt:variant>
      <vt:variant>
        <vt:i4>1048637</vt:i4>
      </vt:variant>
      <vt:variant>
        <vt:i4>128</vt:i4>
      </vt:variant>
      <vt:variant>
        <vt:i4>0</vt:i4>
      </vt:variant>
      <vt:variant>
        <vt:i4>5</vt:i4>
      </vt:variant>
      <vt:variant>
        <vt:lpwstr/>
      </vt:variant>
      <vt:variant>
        <vt:lpwstr>_Toc332296506</vt:lpwstr>
      </vt:variant>
      <vt:variant>
        <vt:i4>1048637</vt:i4>
      </vt:variant>
      <vt:variant>
        <vt:i4>122</vt:i4>
      </vt:variant>
      <vt:variant>
        <vt:i4>0</vt:i4>
      </vt:variant>
      <vt:variant>
        <vt:i4>5</vt:i4>
      </vt:variant>
      <vt:variant>
        <vt:lpwstr/>
      </vt:variant>
      <vt:variant>
        <vt:lpwstr>_Toc332296505</vt:lpwstr>
      </vt:variant>
      <vt:variant>
        <vt:i4>1048637</vt:i4>
      </vt:variant>
      <vt:variant>
        <vt:i4>116</vt:i4>
      </vt:variant>
      <vt:variant>
        <vt:i4>0</vt:i4>
      </vt:variant>
      <vt:variant>
        <vt:i4>5</vt:i4>
      </vt:variant>
      <vt:variant>
        <vt:lpwstr/>
      </vt:variant>
      <vt:variant>
        <vt:lpwstr>_Toc332296504</vt:lpwstr>
      </vt:variant>
      <vt:variant>
        <vt:i4>1048637</vt:i4>
      </vt:variant>
      <vt:variant>
        <vt:i4>110</vt:i4>
      </vt:variant>
      <vt:variant>
        <vt:i4>0</vt:i4>
      </vt:variant>
      <vt:variant>
        <vt:i4>5</vt:i4>
      </vt:variant>
      <vt:variant>
        <vt:lpwstr/>
      </vt:variant>
      <vt:variant>
        <vt:lpwstr>_Toc332296503</vt:lpwstr>
      </vt:variant>
      <vt:variant>
        <vt:i4>1048637</vt:i4>
      </vt:variant>
      <vt:variant>
        <vt:i4>104</vt:i4>
      </vt:variant>
      <vt:variant>
        <vt:i4>0</vt:i4>
      </vt:variant>
      <vt:variant>
        <vt:i4>5</vt:i4>
      </vt:variant>
      <vt:variant>
        <vt:lpwstr/>
      </vt:variant>
      <vt:variant>
        <vt:lpwstr>_Toc332296502</vt:lpwstr>
      </vt:variant>
      <vt:variant>
        <vt:i4>1048637</vt:i4>
      </vt:variant>
      <vt:variant>
        <vt:i4>98</vt:i4>
      </vt:variant>
      <vt:variant>
        <vt:i4>0</vt:i4>
      </vt:variant>
      <vt:variant>
        <vt:i4>5</vt:i4>
      </vt:variant>
      <vt:variant>
        <vt:lpwstr/>
      </vt:variant>
      <vt:variant>
        <vt:lpwstr>_Toc332296501</vt:lpwstr>
      </vt:variant>
      <vt:variant>
        <vt:i4>1048637</vt:i4>
      </vt:variant>
      <vt:variant>
        <vt:i4>92</vt:i4>
      </vt:variant>
      <vt:variant>
        <vt:i4>0</vt:i4>
      </vt:variant>
      <vt:variant>
        <vt:i4>5</vt:i4>
      </vt:variant>
      <vt:variant>
        <vt:lpwstr/>
      </vt:variant>
      <vt:variant>
        <vt:lpwstr>_Toc332296500</vt:lpwstr>
      </vt:variant>
      <vt:variant>
        <vt:i4>1638460</vt:i4>
      </vt:variant>
      <vt:variant>
        <vt:i4>86</vt:i4>
      </vt:variant>
      <vt:variant>
        <vt:i4>0</vt:i4>
      </vt:variant>
      <vt:variant>
        <vt:i4>5</vt:i4>
      </vt:variant>
      <vt:variant>
        <vt:lpwstr/>
      </vt:variant>
      <vt:variant>
        <vt:lpwstr>_Toc332296499</vt:lpwstr>
      </vt:variant>
      <vt:variant>
        <vt:i4>1638460</vt:i4>
      </vt:variant>
      <vt:variant>
        <vt:i4>80</vt:i4>
      </vt:variant>
      <vt:variant>
        <vt:i4>0</vt:i4>
      </vt:variant>
      <vt:variant>
        <vt:i4>5</vt:i4>
      </vt:variant>
      <vt:variant>
        <vt:lpwstr/>
      </vt:variant>
      <vt:variant>
        <vt:lpwstr>_Toc332296498</vt:lpwstr>
      </vt:variant>
      <vt:variant>
        <vt:i4>1638460</vt:i4>
      </vt:variant>
      <vt:variant>
        <vt:i4>74</vt:i4>
      </vt:variant>
      <vt:variant>
        <vt:i4>0</vt:i4>
      </vt:variant>
      <vt:variant>
        <vt:i4>5</vt:i4>
      </vt:variant>
      <vt:variant>
        <vt:lpwstr/>
      </vt:variant>
      <vt:variant>
        <vt:lpwstr>_Toc332296497</vt:lpwstr>
      </vt:variant>
      <vt:variant>
        <vt:i4>1638460</vt:i4>
      </vt:variant>
      <vt:variant>
        <vt:i4>68</vt:i4>
      </vt:variant>
      <vt:variant>
        <vt:i4>0</vt:i4>
      </vt:variant>
      <vt:variant>
        <vt:i4>5</vt:i4>
      </vt:variant>
      <vt:variant>
        <vt:lpwstr/>
      </vt:variant>
      <vt:variant>
        <vt:lpwstr>_Toc332296496</vt:lpwstr>
      </vt:variant>
      <vt:variant>
        <vt:i4>1638460</vt:i4>
      </vt:variant>
      <vt:variant>
        <vt:i4>62</vt:i4>
      </vt:variant>
      <vt:variant>
        <vt:i4>0</vt:i4>
      </vt:variant>
      <vt:variant>
        <vt:i4>5</vt:i4>
      </vt:variant>
      <vt:variant>
        <vt:lpwstr/>
      </vt:variant>
      <vt:variant>
        <vt:lpwstr>_Toc332296495</vt:lpwstr>
      </vt:variant>
      <vt:variant>
        <vt:i4>1638460</vt:i4>
      </vt:variant>
      <vt:variant>
        <vt:i4>56</vt:i4>
      </vt:variant>
      <vt:variant>
        <vt:i4>0</vt:i4>
      </vt:variant>
      <vt:variant>
        <vt:i4>5</vt:i4>
      </vt:variant>
      <vt:variant>
        <vt:lpwstr/>
      </vt:variant>
      <vt:variant>
        <vt:lpwstr>_Toc332296494</vt:lpwstr>
      </vt:variant>
      <vt:variant>
        <vt:i4>1638460</vt:i4>
      </vt:variant>
      <vt:variant>
        <vt:i4>50</vt:i4>
      </vt:variant>
      <vt:variant>
        <vt:i4>0</vt:i4>
      </vt:variant>
      <vt:variant>
        <vt:i4>5</vt:i4>
      </vt:variant>
      <vt:variant>
        <vt:lpwstr/>
      </vt:variant>
      <vt:variant>
        <vt:lpwstr>_Toc332296493</vt:lpwstr>
      </vt:variant>
      <vt:variant>
        <vt:i4>1638460</vt:i4>
      </vt:variant>
      <vt:variant>
        <vt:i4>44</vt:i4>
      </vt:variant>
      <vt:variant>
        <vt:i4>0</vt:i4>
      </vt:variant>
      <vt:variant>
        <vt:i4>5</vt:i4>
      </vt:variant>
      <vt:variant>
        <vt:lpwstr/>
      </vt:variant>
      <vt:variant>
        <vt:lpwstr>_Toc332296492</vt:lpwstr>
      </vt:variant>
      <vt:variant>
        <vt:i4>1638460</vt:i4>
      </vt:variant>
      <vt:variant>
        <vt:i4>38</vt:i4>
      </vt:variant>
      <vt:variant>
        <vt:i4>0</vt:i4>
      </vt:variant>
      <vt:variant>
        <vt:i4>5</vt:i4>
      </vt:variant>
      <vt:variant>
        <vt:lpwstr/>
      </vt:variant>
      <vt:variant>
        <vt:lpwstr>_Toc332296491</vt:lpwstr>
      </vt:variant>
      <vt:variant>
        <vt:i4>1638460</vt:i4>
      </vt:variant>
      <vt:variant>
        <vt:i4>32</vt:i4>
      </vt:variant>
      <vt:variant>
        <vt:i4>0</vt:i4>
      </vt:variant>
      <vt:variant>
        <vt:i4>5</vt:i4>
      </vt:variant>
      <vt:variant>
        <vt:lpwstr/>
      </vt:variant>
      <vt:variant>
        <vt:lpwstr>_Toc332296490</vt:lpwstr>
      </vt:variant>
      <vt:variant>
        <vt:i4>1572924</vt:i4>
      </vt:variant>
      <vt:variant>
        <vt:i4>26</vt:i4>
      </vt:variant>
      <vt:variant>
        <vt:i4>0</vt:i4>
      </vt:variant>
      <vt:variant>
        <vt:i4>5</vt:i4>
      </vt:variant>
      <vt:variant>
        <vt:lpwstr/>
      </vt:variant>
      <vt:variant>
        <vt:lpwstr>_Toc332296489</vt:lpwstr>
      </vt:variant>
      <vt:variant>
        <vt:i4>1572924</vt:i4>
      </vt:variant>
      <vt:variant>
        <vt:i4>20</vt:i4>
      </vt:variant>
      <vt:variant>
        <vt:i4>0</vt:i4>
      </vt:variant>
      <vt:variant>
        <vt:i4>5</vt:i4>
      </vt:variant>
      <vt:variant>
        <vt:lpwstr/>
      </vt:variant>
      <vt:variant>
        <vt:lpwstr>_Toc332296488</vt:lpwstr>
      </vt:variant>
      <vt:variant>
        <vt:i4>1572924</vt:i4>
      </vt:variant>
      <vt:variant>
        <vt:i4>14</vt:i4>
      </vt:variant>
      <vt:variant>
        <vt:i4>0</vt:i4>
      </vt:variant>
      <vt:variant>
        <vt:i4>5</vt:i4>
      </vt:variant>
      <vt:variant>
        <vt:lpwstr/>
      </vt:variant>
      <vt:variant>
        <vt:lpwstr>_Toc332296487</vt:lpwstr>
      </vt:variant>
      <vt:variant>
        <vt:i4>1572924</vt:i4>
      </vt:variant>
      <vt:variant>
        <vt:i4>8</vt:i4>
      </vt:variant>
      <vt:variant>
        <vt:i4>0</vt:i4>
      </vt:variant>
      <vt:variant>
        <vt:i4>5</vt:i4>
      </vt:variant>
      <vt:variant>
        <vt:lpwstr/>
      </vt:variant>
      <vt:variant>
        <vt:lpwstr>_Toc332296486</vt:lpwstr>
      </vt:variant>
      <vt:variant>
        <vt:i4>1572924</vt:i4>
      </vt:variant>
      <vt:variant>
        <vt:i4>2</vt:i4>
      </vt:variant>
      <vt:variant>
        <vt:i4>0</vt:i4>
      </vt:variant>
      <vt:variant>
        <vt:i4>5</vt:i4>
      </vt:variant>
      <vt:variant>
        <vt:lpwstr/>
      </vt:variant>
      <vt:variant>
        <vt:lpwstr>_Toc332296485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Smyth</dc:creator>
  <cp:lastModifiedBy>Michaela Austin</cp:lastModifiedBy>
  <cp:revision>49</cp:revision>
  <cp:lastPrinted>2013-09-02T05:21:00Z</cp:lastPrinted>
  <dcterms:created xsi:type="dcterms:W3CDTF">2013-06-03T05:43:00Z</dcterms:created>
  <dcterms:modified xsi:type="dcterms:W3CDTF">2013-09-09T03:51:00Z</dcterms:modified>
</cp:coreProperties>
</file>