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A7" w:rsidRDefault="003B4CC0">
      <w:pPr>
        <w:spacing w:after="200"/>
        <w:sectPr w:rsidR="00BC0DA7" w:rsidSect="00944C3F">
          <w:footerReference w:type="even" r:id="rId9"/>
          <w:footerReference w:type="default" r:id="rId10"/>
          <w:pgSz w:w="11906" w:h="16838"/>
          <w:pgMar w:top="1440" w:right="1440" w:bottom="1440" w:left="1440" w:header="708" w:footer="708" w:gutter="0"/>
          <w:cols w:space="708"/>
          <w:docGrid w:linePitch="360"/>
        </w:sectPr>
      </w:pPr>
      <w:r>
        <w:rPr>
          <w:noProof/>
          <w:lang w:eastAsia="en-AU"/>
        </w:rPr>
        <w:pict>
          <v:rect id="_x0000_s1027" style="position:absolute;margin-left:135pt;margin-top:239.25pt;width:184.5pt;height:123.75pt;z-index:251659264" strokecolor="#004270" strokeweight="3pt">
            <v:textbox style="mso-next-textbox:#_x0000_s1027">
              <w:txbxContent>
                <w:p w:rsidR="00527695" w:rsidRDefault="00527695" w:rsidP="009C3D2A">
                  <w:pPr>
                    <w:jc w:val="center"/>
                    <w:rPr>
                      <w:noProof/>
                      <w:lang w:eastAsia="en-AU"/>
                    </w:rPr>
                  </w:pPr>
                </w:p>
                <w:p w:rsidR="00527695" w:rsidRDefault="00527695" w:rsidP="009C3D2A">
                  <w:pPr>
                    <w:jc w:val="center"/>
                  </w:pPr>
                  <w:r>
                    <w:rPr>
                      <w:noProof/>
                      <w:lang w:eastAsia="en-AU"/>
                    </w:rPr>
                    <w:drawing>
                      <wp:inline distT="0" distB="0" distL="0" distR="0">
                        <wp:extent cx="1628775" cy="10382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28775" cy="1038225"/>
                                </a:xfrm>
                                <a:prstGeom prst="rect">
                                  <a:avLst/>
                                </a:prstGeom>
                                <a:noFill/>
                                <a:ln w="9525">
                                  <a:noFill/>
                                  <a:miter lim="800000"/>
                                  <a:headEnd/>
                                  <a:tailEnd/>
                                </a:ln>
                              </pic:spPr>
                            </pic:pic>
                          </a:graphicData>
                        </a:graphic>
                      </wp:inline>
                    </w:drawing>
                  </w:r>
                </w:p>
              </w:txbxContent>
            </v:textbox>
          </v:rect>
        </w:pict>
      </w:r>
      <w:r>
        <w:rPr>
          <w:noProof/>
          <w:lang w:eastAsia="en-AU"/>
        </w:rPr>
        <w:pict>
          <v:rect id="_x0000_s1026" style="position:absolute;margin-left:0;margin-top:0;width:450pt;height:693pt;z-index:251658240" fillcolor="#eeece1 [3214]" strokecolor="#004270">
            <v:textbox>
              <w:txbxContent>
                <w:p w:rsidR="00527695" w:rsidRDefault="00527695" w:rsidP="009D48D6">
                  <w:pPr>
                    <w:pStyle w:val="Titlepage"/>
                  </w:pPr>
                </w:p>
                <w:p w:rsidR="00527695" w:rsidRPr="00135133" w:rsidRDefault="00527695" w:rsidP="009D48D6">
                  <w:pPr>
                    <w:pStyle w:val="Titlepage"/>
                  </w:pPr>
                </w:p>
                <w:p w:rsidR="00527695" w:rsidRPr="00135133" w:rsidRDefault="00527695" w:rsidP="009D48D6">
                  <w:pPr>
                    <w:pStyle w:val="Titlepage"/>
                  </w:pPr>
                  <w:r w:rsidRPr="00135133">
                    <w:t>NATIONAL PARTNERSHIP ON YOUTH ATTAINMENT AND TRANSITIONS</w:t>
                  </w:r>
                </w:p>
                <w:p w:rsidR="00527695" w:rsidRDefault="00527695" w:rsidP="009D48D6">
                  <w:pPr>
                    <w:pStyle w:val="Titlepage"/>
                  </w:pPr>
                </w:p>
                <w:p w:rsidR="00527695" w:rsidRDefault="00527695" w:rsidP="009D48D6">
                  <w:pPr>
                    <w:pStyle w:val="Titlepage"/>
                  </w:pPr>
                </w:p>
                <w:p w:rsidR="00527695" w:rsidRDefault="00527695" w:rsidP="009D48D6">
                  <w:pPr>
                    <w:pStyle w:val="Titlepage"/>
                  </w:pPr>
                </w:p>
                <w:p w:rsidR="00527695" w:rsidRDefault="00527695" w:rsidP="009D48D6">
                  <w:pPr>
                    <w:pStyle w:val="Titlepage"/>
                  </w:pPr>
                </w:p>
                <w:p w:rsidR="00527695" w:rsidRDefault="00527695" w:rsidP="009D48D6">
                  <w:pPr>
                    <w:pStyle w:val="Titlepage"/>
                  </w:pPr>
                </w:p>
                <w:p w:rsidR="00527695" w:rsidRPr="00135133" w:rsidRDefault="00527695" w:rsidP="009D48D6">
                  <w:pPr>
                    <w:pStyle w:val="Titlepage"/>
                  </w:pPr>
                </w:p>
                <w:p w:rsidR="00527695" w:rsidRPr="00D43B11" w:rsidRDefault="00527695" w:rsidP="009D48D6">
                  <w:pPr>
                    <w:pStyle w:val="Titlepage"/>
                    <w:rPr>
                      <w:color w:val="FF0000"/>
                    </w:rPr>
                  </w:pPr>
                  <w:r>
                    <w:rPr>
                      <w:color w:val="FF0000"/>
                    </w:rPr>
                    <w:t>NORTHERN TERRITORY</w:t>
                  </w:r>
                </w:p>
                <w:p w:rsidR="00527695" w:rsidRDefault="00527695" w:rsidP="009D48D6">
                  <w:pPr>
                    <w:pStyle w:val="Titlepage"/>
                  </w:pPr>
                </w:p>
                <w:p w:rsidR="00527695" w:rsidRPr="00135133" w:rsidRDefault="00B24649" w:rsidP="009D48D6">
                  <w:pPr>
                    <w:pStyle w:val="Titlepage"/>
                  </w:pPr>
                  <w:r>
                    <w:t>2010</w:t>
                  </w:r>
                </w:p>
                <w:p w:rsidR="00527695" w:rsidRPr="00135133" w:rsidRDefault="00527695" w:rsidP="009D48D6">
                  <w:pPr>
                    <w:pStyle w:val="Titlepage"/>
                  </w:pPr>
                  <w:r w:rsidRPr="00135133">
                    <w:t>ANNUAL REPO</w:t>
                  </w:r>
                  <w:bookmarkStart w:id="0" w:name="_GoBack"/>
                  <w:bookmarkEnd w:id="0"/>
                  <w:r w:rsidRPr="00135133">
                    <w:t>RT</w:t>
                  </w:r>
                </w:p>
                <w:p w:rsidR="00527695" w:rsidRPr="00B24649" w:rsidRDefault="00B24649" w:rsidP="009D48D6">
                  <w:pPr>
                    <w:pStyle w:val="Titlepage"/>
                    <w:rPr>
                      <w:sz w:val="28"/>
                      <w:szCs w:val="28"/>
                    </w:rPr>
                  </w:pPr>
                  <w:r w:rsidRPr="00B24649">
                    <w:rPr>
                      <w:sz w:val="28"/>
                      <w:szCs w:val="28"/>
                    </w:rPr>
                    <w:t xml:space="preserve">(Submitted </w:t>
                  </w:r>
                  <w:r w:rsidR="00527695" w:rsidRPr="00B24649">
                    <w:rPr>
                      <w:sz w:val="28"/>
                      <w:szCs w:val="28"/>
                    </w:rPr>
                    <w:t>MAY 2011</w:t>
                  </w:r>
                  <w:r w:rsidRPr="00B24649">
                    <w:rPr>
                      <w:sz w:val="28"/>
                      <w:szCs w:val="28"/>
                    </w:rPr>
                    <w:t>)</w:t>
                  </w:r>
                </w:p>
                <w:p w:rsidR="00527695" w:rsidRPr="00135133" w:rsidRDefault="00527695" w:rsidP="009D48D6">
                  <w:pPr>
                    <w:pStyle w:val="Titlepage"/>
                  </w:pPr>
                </w:p>
                <w:p w:rsidR="00527695" w:rsidRPr="00135133" w:rsidRDefault="00527695" w:rsidP="009D48D6">
                  <w:pPr>
                    <w:pStyle w:val="Titlepage"/>
                  </w:pPr>
                </w:p>
              </w:txbxContent>
            </v:textbox>
          </v:rect>
        </w:pict>
      </w:r>
      <w:r w:rsidR="00135133">
        <w:br w:type="page"/>
      </w:r>
    </w:p>
    <w:sdt>
      <w:sdtPr>
        <w:rPr>
          <w:rFonts w:asciiTheme="minorHAnsi" w:eastAsiaTheme="minorHAnsi" w:hAnsiTheme="minorHAnsi" w:cstheme="minorBidi"/>
          <w:b w:val="0"/>
          <w:bCs w:val="0"/>
          <w:color w:val="auto"/>
          <w:sz w:val="22"/>
          <w:szCs w:val="22"/>
          <w:lang w:val="en-AU"/>
        </w:rPr>
        <w:id w:val="51335203"/>
        <w:docPartObj>
          <w:docPartGallery w:val="Table of Contents"/>
          <w:docPartUnique/>
        </w:docPartObj>
      </w:sdtPr>
      <w:sdtEndPr/>
      <w:sdtContent>
        <w:p w:rsidR="0045514D" w:rsidRDefault="0045514D" w:rsidP="0045514D">
          <w:pPr>
            <w:pStyle w:val="TOCHeading"/>
          </w:pPr>
          <w:r w:rsidRPr="0045514D">
            <w:rPr>
              <w:rFonts w:asciiTheme="minorHAnsi" w:hAnsiTheme="minorHAnsi" w:cstheme="minorHAnsi"/>
              <w:color w:val="auto"/>
            </w:rPr>
            <w:t>Contents</w:t>
          </w:r>
        </w:p>
        <w:p w:rsidR="007A40A6" w:rsidRDefault="004A0AAF">
          <w:pPr>
            <w:pStyle w:val="TOC2"/>
            <w:rPr>
              <w:rFonts w:eastAsiaTheme="minorEastAsia"/>
              <w:noProof/>
              <w:lang w:eastAsia="en-AU"/>
            </w:rPr>
          </w:pPr>
          <w:r>
            <w:fldChar w:fldCharType="begin"/>
          </w:r>
          <w:r w:rsidR="0045514D">
            <w:instrText xml:space="preserve"> TOC \o "1-3" \h \z \u </w:instrText>
          </w:r>
          <w:r>
            <w:fldChar w:fldCharType="separate"/>
          </w:r>
          <w:hyperlink w:anchor="_Toc294619477" w:history="1">
            <w:r w:rsidR="007A40A6" w:rsidRPr="0026328A">
              <w:rPr>
                <w:rStyle w:val="Hyperlink"/>
                <w:noProof/>
              </w:rPr>
              <w:t>PART A: Northern Territory, National Partnership on Youth Attainment and Transitions</w:t>
            </w:r>
            <w:r w:rsidR="007A40A6">
              <w:rPr>
                <w:noProof/>
                <w:webHidden/>
              </w:rPr>
              <w:tab/>
            </w:r>
            <w:r>
              <w:rPr>
                <w:noProof/>
                <w:webHidden/>
              </w:rPr>
              <w:fldChar w:fldCharType="begin"/>
            </w:r>
            <w:r w:rsidR="007A40A6">
              <w:rPr>
                <w:noProof/>
                <w:webHidden/>
              </w:rPr>
              <w:instrText xml:space="preserve"> PAGEREF _Toc294619477 \h </w:instrText>
            </w:r>
            <w:r>
              <w:rPr>
                <w:noProof/>
                <w:webHidden/>
              </w:rPr>
            </w:r>
            <w:r>
              <w:rPr>
                <w:noProof/>
                <w:webHidden/>
              </w:rPr>
              <w:fldChar w:fldCharType="separate"/>
            </w:r>
            <w:r w:rsidR="003B4CC0">
              <w:rPr>
                <w:noProof/>
                <w:webHidden/>
              </w:rPr>
              <w:t>2</w:t>
            </w:r>
            <w:r>
              <w:rPr>
                <w:noProof/>
                <w:webHidden/>
              </w:rPr>
              <w:fldChar w:fldCharType="end"/>
            </w:r>
          </w:hyperlink>
        </w:p>
        <w:p w:rsidR="007A40A6" w:rsidRDefault="003B4CC0">
          <w:pPr>
            <w:pStyle w:val="TOC2"/>
            <w:rPr>
              <w:rFonts w:eastAsiaTheme="minorEastAsia"/>
              <w:noProof/>
              <w:lang w:eastAsia="en-AU"/>
            </w:rPr>
          </w:pPr>
          <w:hyperlink w:anchor="_Toc294619478" w:history="1">
            <w:r w:rsidR="007A40A6" w:rsidRPr="0026328A">
              <w:rPr>
                <w:rStyle w:val="Hyperlink"/>
                <w:noProof/>
              </w:rPr>
              <w:t>PART B:</w:t>
            </w:r>
            <w:r w:rsidR="007A40A6">
              <w:rPr>
                <w:noProof/>
                <w:webHidden/>
              </w:rPr>
              <w:tab/>
            </w:r>
            <w:r w:rsidR="004A0AAF">
              <w:rPr>
                <w:noProof/>
                <w:webHidden/>
              </w:rPr>
              <w:fldChar w:fldCharType="begin"/>
            </w:r>
            <w:r w:rsidR="007A40A6">
              <w:rPr>
                <w:noProof/>
                <w:webHidden/>
              </w:rPr>
              <w:instrText xml:space="preserve"> PAGEREF _Toc294619478 \h </w:instrText>
            </w:r>
            <w:r w:rsidR="004A0AAF">
              <w:rPr>
                <w:noProof/>
                <w:webHidden/>
              </w:rPr>
            </w:r>
            <w:r w:rsidR="004A0AAF">
              <w:rPr>
                <w:noProof/>
                <w:webHidden/>
              </w:rPr>
              <w:fldChar w:fldCharType="separate"/>
            </w:r>
            <w:r>
              <w:rPr>
                <w:noProof/>
                <w:webHidden/>
              </w:rPr>
              <w:t>3</w:t>
            </w:r>
            <w:r w:rsidR="004A0AAF">
              <w:rPr>
                <w:noProof/>
                <w:webHidden/>
              </w:rPr>
              <w:fldChar w:fldCharType="end"/>
            </w:r>
          </w:hyperlink>
        </w:p>
        <w:p w:rsidR="007A40A6" w:rsidRDefault="003B4CC0">
          <w:pPr>
            <w:pStyle w:val="TOC2"/>
            <w:rPr>
              <w:rFonts w:eastAsiaTheme="minorEastAsia"/>
              <w:noProof/>
              <w:lang w:eastAsia="en-AU"/>
            </w:rPr>
          </w:pPr>
          <w:hyperlink w:anchor="_Toc294619479" w:history="1">
            <w:r w:rsidR="007A40A6" w:rsidRPr="0026328A">
              <w:rPr>
                <w:rStyle w:val="Hyperlink"/>
                <w:noProof/>
              </w:rPr>
              <w:t>Jurisdictional Context</w:t>
            </w:r>
            <w:r w:rsidR="007A40A6">
              <w:rPr>
                <w:noProof/>
                <w:webHidden/>
              </w:rPr>
              <w:tab/>
            </w:r>
            <w:r w:rsidR="004A0AAF">
              <w:rPr>
                <w:noProof/>
                <w:webHidden/>
              </w:rPr>
              <w:fldChar w:fldCharType="begin"/>
            </w:r>
            <w:r w:rsidR="007A40A6">
              <w:rPr>
                <w:noProof/>
                <w:webHidden/>
              </w:rPr>
              <w:instrText xml:space="preserve"> PAGEREF _Toc294619479 \h </w:instrText>
            </w:r>
            <w:r w:rsidR="004A0AAF">
              <w:rPr>
                <w:noProof/>
                <w:webHidden/>
              </w:rPr>
            </w:r>
            <w:r w:rsidR="004A0AAF">
              <w:rPr>
                <w:noProof/>
                <w:webHidden/>
              </w:rPr>
              <w:fldChar w:fldCharType="separate"/>
            </w:r>
            <w:r>
              <w:rPr>
                <w:noProof/>
                <w:webHidden/>
              </w:rPr>
              <w:t>3</w:t>
            </w:r>
            <w:r w:rsidR="004A0AAF">
              <w:rPr>
                <w:noProof/>
                <w:webHidden/>
              </w:rPr>
              <w:fldChar w:fldCharType="end"/>
            </w:r>
          </w:hyperlink>
        </w:p>
        <w:p w:rsidR="007A40A6" w:rsidRDefault="003B4CC0">
          <w:pPr>
            <w:pStyle w:val="TOC2"/>
            <w:rPr>
              <w:rFonts w:eastAsiaTheme="minorEastAsia"/>
              <w:noProof/>
              <w:lang w:eastAsia="en-AU"/>
            </w:rPr>
          </w:pPr>
          <w:hyperlink w:anchor="_Toc294619480" w:history="1">
            <w:r w:rsidR="007A40A6" w:rsidRPr="0026328A">
              <w:rPr>
                <w:rStyle w:val="Hyperlink"/>
                <w:noProof/>
              </w:rPr>
              <w:t>Maximising Engagement, Attainment and Successful Transitions</w:t>
            </w:r>
            <w:r w:rsidR="007A40A6">
              <w:rPr>
                <w:noProof/>
                <w:webHidden/>
              </w:rPr>
              <w:tab/>
            </w:r>
            <w:r w:rsidR="004A0AAF">
              <w:rPr>
                <w:noProof/>
                <w:webHidden/>
              </w:rPr>
              <w:fldChar w:fldCharType="begin"/>
            </w:r>
            <w:r w:rsidR="007A40A6">
              <w:rPr>
                <w:noProof/>
                <w:webHidden/>
              </w:rPr>
              <w:instrText xml:space="preserve"> PAGEREF _Toc294619480 \h </w:instrText>
            </w:r>
            <w:r w:rsidR="004A0AAF">
              <w:rPr>
                <w:noProof/>
                <w:webHidden/>
              </w:rPr>
            </w:r>
            <w:r w:rsidR="004A0AAF">
              <w:rPr>
                <w:noProof/>
                <w:webHidden/>
              </w:rPr>
              <w:fldChar w:fldCharType="separate"/>
            </w:r>
            <w:r>
              <w:rPr>
                <w:noProof/>
                <w:webHidden/>
              </w:rPr>
              <w:t>10</w:t>
            </w:r>
            <w:r w:rsidR="004A0AAF">
              <w:rPr>
                <w:noProof/>
                <w:webHidden/>
              </w:rPr>
              <w:fldChar w:fldCharType="end"/>
            </w:r>
          </w:hyperlink>
        </w:p>
        <w:p w:rsidR="007A40A6" w:rsidRDefault="003B4CC0">
          <w:pPr>
            <w:pStyle w:val="TOC2"/>
            <w:rPr>
              <w:rFonts w:eastAsiaTheme="minorEastAsia"/>
              <w:noProof/>
              <w:lang w:eastAsia="en-AU"/>
            </w:rPr>
          </w:pPr>
          <w:hyperlink w:anchor="_Toc294619481" w:history="1">
            <w:r w:rsidR="007A40A6" w:rsidRPr="0026328A">
              <w:rPr>
                <w:rStyle w:val="Hyperlink"/>
                <w:noProof/>
              </w:rPr>
              <w:t>Indigenous Reporting</w:t>
            </w:r>
            <w:r w:rsidR="007A40A6">
              <w:rPr>
                <w:noProof/>
                <w:webHidden/>
              </w:rPr>
              <w:tab/>
            </w:r>
            <w:r w:rsidR="004A0AAF">
              <w:rPr>
                <w:noProof/>
                <w:webHidden/>
              </w:rPr>
              <w:fldChar w:fldCharType="begin"/>
            </w:r>
            <w:r w:rsidR="007A40A6">
              <w:rPr>
                <w:noProof/>
                <w:webHidden/>
              </w:rPr>
              <w:instrText xml:space="preserve"> PAGEREF _Toc294619481 \h </w:instrText>
            </w:r>
            <w:r w:rsidR="004A0AAF">
              <w:rPr>
                <w:noProof/>
                <w:webHidden/>
              </w:rPr>
            </w:r>
            <w:r w:rsidR="004A0AAF">
              <w:rPr>
                <w:noProof/>
                <w:webHidden/>
              </w:rPr>
              <w:fldChar w:fldCharType="separate"/>
            </w:r>
            <w:r>
              <w:rPr>
                <w:noProof/>
                <w:webHidden/>
              </w:rPr>
              <w:t>17</w:t>
            </w:r>
            <w:r w:rsidR="004A0AAF">
              <w:rPr>
                <w:noProof/>
                <w:webHidden/>
              </w:rPr>
              <w:fldChar w:fldCharType="end"/>
            </w:r>
          </w:hyperlink>
        </w:p>
        <w:p w:rsidR="007A40A6" w:rsidRDefault="003B4CC0">
          <w:pPr>
            <w:pStyle w:val="TOC2"/>
            <w:rPr>
              <w:rFonts w:eastAsiaTheme="minorEastAsia"/>
              <w:noProof/>
              <w:lang w:eastAsia="en-AU"/>
            </w:rPr>
          </w:pPr>
          <w:hyperlink w:anchor="_Toc294619482" w:history="1">
            <w:r w:rsidR="007A40A6" w:rsidRPr="0026328A">
              <w:rPr>
                <w:rStyle w:val="Hyperlink"/>
                <w:noProof/>
              </w:rPr>
              <w:t>The Compact with Young Australians</w:t>
            </w:r>
            <w:r w:rsidR="007A40A6">
              <w:rPr>
                <w:noProof/>
                <w:webHidden/>
              </w:rPr>
              <w:tab/>
            </w:r>
            <w:r w:rsidR="004A0AAF">
              <w:rPr>
                <w:noProof/>
                <w:webHidden/>
              </w:rPr>
              <w:fldChar w:fldCharType="begin"/>
            </w:r>
            <w:r w:rsidR="007A40A6">
              <w:rPr>
                <w:noProof/>
                <w:webHidden/>
              </w:rPr>
              <w:instrText xml:space="preserve"> PAGEREF _Toc294619482 \h </w:instrText>
            </w:r>
            <w:r w:rsidR="004A0AAF">
              <w:rPr>
                <w:noProof/>
                <w:webHidden/>
              </w:rPr>
            </w:r>
            <w:r w:rsidR="004A0AAF">
              <w:rPr>
                <w:noProof/>
                <w:webHidden/>
              </w:rPr>
              <w:fldChar w:fldCharType="separate"/>
            </w:r>
            <w:r>
              <w:rPr>
                <w:noProof/>
                <w:webHidden/>
              </w:rPr>
              <w:t>30</w:t>
            </w:r>
            <w:r w:rsidR="004A0AAF">
              <w:rPr>
                <w:noProof/>
                <w:webHidden/>
              </w:rPr>
              <w:fldChar w:fldCharType="end"/>
            </w:r>
          </w:hyperlink>
        </w:p>
        <w:p w:rsidR="007A40A6" w:rsidRDefault="003B4CC0">
          <w:pPr>
            <w:pStyle w:val="TOC2"/>
            <w:rPr>
              <w:rFonts w:eastAsiaTheme="minorEastAsia"/>
              <w:noProof/>
              <w:lang w:eastAsia="en-AU"/>
            </w:rPr>
          </w:pPr>
          <w:hyperlink w:anchor="_Toc294619483" w:history="1">
            <w:r w:rsidR="007A40A6" w:rsidRPr="0026328A">
              <w:rPr>
                <w:rStyle w:val="Hyperlink"/>
                <w:noProof/>
              </w:rPr>
              <w:t>Youth Connections and School Business Community Partnership Brokers in the Northern Territory</w:t>
            </w:r>
            <w:r w:rsidR="007A40A6">
              <w:rPr>
                <w:noProof/>
                <w:webHidden/>
              </w:rPr>
              <w:tab/>
            </w:r>
            <w:r w:rsidR="004A0AAF">
              <w:rPr>
                <w:noProof/>
                <w:webHidden/>
              </w:rPr>
              <w:fldChar w:fldCharType="begin"/>
            </w:r>
            <w:r w:rsidR="007A40A6">
              <w:rPr>
                <w:noProof/>
                <w:webHidden/>
              </w:rPr>
              <w:instrText xml:space="preserve"> PAGEREF _Toc294619483 \h </w:instrText>
            </w:r>
            <w:r w:rsidR="004A0AAF">
              <w:rPr>
                <w:noProof/>
                <w:webHidden/>
              </w:rPr>
            </w:r>
            <w:r w:rsidR="004A0AAF">
              <w:rPr>
                <w:noProof/>
                <w:webHidden/>
              </w:rPr>
              <w:fldChar w:fldCharType="separate"/>
            </w:r>
            <w:r>
              <w:rPr>
                <w:noProof/>
                <w:webHidden/>
              </w:rPr>
              <w:t>30</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4" w:history="1">
            <w:r w:rsidR="007A40A6" w:rsidRPr="0026328A">
              <w:rPr>
                <w:rStyle w:val="Hyperlink"/>
                <w:rFonts w:cstheme="minorHAnsi"/>
                <w:noProof/>
                <w:lang w:eastAsia="en-AU"/>
              </w:rPr>
              <w:t>Program Priorities</w:t>
            </w:r>
            <w:r w:rsidR="007A40A6">
              <w:rPr>
                <w:noProof/>
                <w:webHidden/>
              </w:rPr>
              <w:tab/>
            </w:r>
            <w:r w:rsidR="004A0AAF">
              <w:rPr>
                <w:noProof/>
                <w:webHidden/>
              </w:rPr>
              <w:fldChar w:fldCharType="begin"/>
            </w:r>
            <w:r w:rsidR="007A40A6">
              <w:rPr>
                <w:noProof/>
                <w:webHidden/>
              </w:rPr>
              <w:instrText xml:space="preserve"> PAGEREF _Toc294619484 \h </w:instrText>
            </w:r>
            <w:r w:rsidR="004A0AAF">
              <w:rPr>
                <w:noProof/>
                <w:webHidden/>
              </w:rPr>
            </w:r>
            <w:r w:rsidR="004A0AAF">
              <w:rPr>
                <w:noProof/>
                <w:webHidden/>
              </w:rPr>
              <w:fldChar w:fldCharType="separate"/>
            </w:r>
            <w:r>
              <w:rPr>
                <w:noProof/>
                <w:webHidden/>
              </w:rPr>
              <w:t>32</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5" w:history="1">
            <w:r w:rsidR="007A40A6" w:rsidRPr="0026328A">
              <w:rPr>
                <w:rStyle w:val="Hyperlink"/>
                <w:noProof/>
                <w:lang w:eastAsia="en-AU"/>
              </w:rPr>
              <w:t>NORTHERN TERRITORY</w:t>
            </w:r>
            <w:r w:rsidR="007A40A6">
              <w:rPr>
                <w:noProof/>
                <w:webHidden/>
              </w:rPr>
              <w:tab/>
            </w:r>
            <w:r w:rsidR="004A0AAF">
              <w:rPr>
                <w:noProof/>
                <w:webHidden/>
              </w:rPr>
              <w:fldChar w:fldCharType="begin"/>
            </w:r>
            <w:r w:rsidR="007A40A6">
              <w:rPr>
                <w:noProof/>
                <w:webHidden/>
              </w:rPr>
              <w:instrText xml:space="preserve"> PAGEREF _Toc294619485 \h </w:instrText>
            </w:r>
            <w:r w:rsidR="004A0AAF">
              <w:rPr>
                <w:noProof/>
                <w:webHidden/>
              </w:rPr>
            </w:r>
            <w:r w:rsidR="004A0AAF">
              <w:rPr>
                <w:noProof/>
                <w:webHidden/>
              </w:rPr>
              <w:fldChar w:fldCharType="separate"/>
            </w:r>
            <w:r>
              <w:rPr>
                <w:noProof/>
                <w:webHidden/>
              </w:rPr>
              <w:t>32</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6" w:history="1">
            <w:r w:rsidR="007A40A6" w:rsidRPr="0026328A">
              <w:rPr>
                <w:rStyle w:val="Hyperlink"/>
                <w:rFonts w:cstheme="minorHAnsi"/>
                <w:noProof/>
                <w:lang w:eastAsia="en-AU"/>
              </w:rPr>
              <w:t>Table A – Number of Organisations in Partnerships by Stakeholder Group (as at 12 April 2011)</w:t>
            </w:r>
            <w:r w:rsidR="007A40A6">
              <w:rPr>
                <w:noProof/>
                <w:webHidden/>
              </w:rPr>
              <w:tab/>
            </w:r>
            <w:r w:rsidR="004A0AAF">
              <w:rPr>
                <w:noProof/>
                <w:webHidden/>
              </w:rPr>
              <w:fldChar w:fldCharType="begin"/>
            </w:r>
            <w:r w:rsidR="007A40A6">
              <w:rPr>
                <w:noProof/>
                <w:webHidden/>
              </w:rPr>
              <w:instrText xml:space="preserve"> PAGEREF _Toc294619486 \h </w:instrText>
            </w:r>
            <w:r w:rsidR="004A0AAF">
              <w:rPr>
                <w:noProof/>
                <w:webHidden/>
              </w:rPr>
            </w:r>
            <w:r w:rsidR="004A0AAF">
              <w:rPr>
                <w:noProof/>
                <w:webHidden/>
              </w:rPr>
              <w:fldChar w:fldCharType="separate"/>
            </w:r>
            <w:r>
              <w:rPr>
                <w:noProof/>
                <w:webHidden/>
              </w:rPr>
              <w:t>33</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7" w:history="1">
            <w:r w:rsidR="007A40A6" w:rsidRPr="0026328A">
              <w:rPr>
                <w:rStyle w:val="Hyperlink"/>
                <w:rFonts w:cstheme="minorHAnsi"/>
                <w:noProof/>
                <w:lang w:eastAsia="en-AU"/>
              </w:rPr>
              <w:t>Table B – Key Performance Measure (KPM) Evaluation Ratings (NT) (data as at 12 April)</w:t>
            </w:r>
            <w:r w:rsidR="007A40A6">
              <w:rPr>
                <w:noProof/>
                <w:webHidden/>
              </w:rPr>
              <w:tab/>
            </w:r>
            <w:r w:rsidR="004A0AAF">
              <w:rPr>
                <w:noProof/>
                <w:webHidden/>
              </w:rPr>
              <w:fldChar w:fldCharType="begin"/>
            </w:r>
            <w:r w:rsidR="007A40A6">
              <w:rPr>
                <w:noProof/>
                <w:webHidden/>
              </w:rPr>
              <w:instrText xml:space="preserve"> PAGEREF _Toc294619487 \h </w:instrText>
            </w:r>
            <w:r w:rsidR="004A0AAF">
              <w:rPr>
                <w:noProof/>
                <w:webHidden/>
              </w:rPr>
            </w:r>
            <w:r w:rsidR="004A0AAF">
              <w:rPr>
                <w:noProof/>
                <w:webHidden/>
              </w:rPr>
              <w:fldChar w:fldCharType="separate"/>
            </w:r>
            <w:r>
              <w:rPr>
                <w:noProof/>
                <w:webHidden/>
              </w:rPr>
              <w:t>34</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8" w:history="1">
            <w:r w:rsidR="007A40A6" w:rsidRPr="0026328A">
              <w:rPr>
                <w:rStyle w:val="Hyperlink"/>
                <w:noProof/>
                <w:lang w:eastAsia="en-AU"/>
              </w:rPr>
              <w:t>Youth Connections – National Summary</w:t>
            </w:r>
            <w:r w:rsidR="007A40A6">
              <w:rPr>
                <w:noProof/>
                <w:webHidden/>
              </w:rPr>
              <w:tab/>
            </w:r>
            <w:r w:rsidR="004A0AAF">
              <w:rPr>
                <w:noProof/>
                <w:webHidden/>
              </w:rPr>
              <w:fldChar w:fldCharType="begin"/>
            </w:r>
            <w:r w:rsidR="007A40A6">
              <w:rPr>
                <w:noProof/>
                <w:webHidden/>
              </w:rPr>
              <w:instrText xml:space="preserve"> PAGEREF _Toc294619488 \h </w:instrText>
            </w:r>
            <w:r w:rsidR="004A0AAF">
              <w:rPr>
                <w:noProof/>
                <w:webHidden/>
              </w:rPr>
            </w:r>
            <w:r w:rsidR="004A0AAF">
              <w:rPr>
                <w:noProof/>
                <w:webHidden/>
              </w:rPr>
              <w:fldChar w:fldCharType="separate"/>
            </w:r>
            <w:r>
              <w:rPr>
                <w:noProof/>
                <w:webHidden/>
              </w:rPr>
              <w:t>37</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89" w:history="1">
            <w:r w:rsidR="007A40A6" w:rsidRPr="0026328A">
              <w:rPr>
                <w:rStyle w:val="Hyperlink"/>
                <w:noProof/>
                <w:lang w:eastAsia="en-AU"/>
              </w:rPr>
              <w:t>Northern Territory Summary</w:t>
            </w:r>
            <w:r w:rsidR="007A40A6">
              <w:rPr>
                <w:noProof/>
                <w:webHidden/>
              </w:rPr>
              <w:tab/>
            </w:r>
            <w:r w:rsidR="004A0AAF">
              <w:rPr>
                <w:noProof/>
                <w:webHidden/>
              </w:rPr>
              <w:fldChar w:fldCharType="begin"/>
            </w:r>
            <w:r w:rsidR="007A40A6">
              <w:rPr>
                <w:noProof/>
                <w:webHidden/>
              </w:rPr>
              <w:instrText xml:space="preserve"> PAGEREF _Toc294619489 \h </w:instrText>
            </w:r>
            <w:r w:rsidR="004A0AAF">
              <w:rPr>
                <w:noProof/>
                <w:webHidden/>
              </w:rPr>
            </w:r>
            <w:r w:rsidR="004A0AAF">
              <w:rPr>
                <w:noProof/>
                <w:webHidden/>
              </w:rPr>
              <w:fldChar w:fldCharType="separate"/>
            </w:r>
            <w:r>
              <w:rPr>
                <w:noProof/>
                <w:webHidden/>
              </w:rPr>
              <w:t>39</w:t>
            </w:r>
            <w:r w:rsidR="004A0AAF">
              <w:rPr>
                <w:noProof/>
                <w:webHidden/>
              </w:rPr>
              <w:fldChar w:fldCharType="end"/>
            </w:r>
          </w:hyperlink>
        </w:p>
        <w:p w:rsidR="007A40A6" w:rsidRDefault="003B4CC0">
          <w:pPr>
            <w:pStyle w:val="TOC1"/>
            <w:tabs>
              <w:tab w:val="right" w:leader="dot" w:pos="9180"/>
            </w:tabs>
            <w:rPr>
              <w:noProof/>
              <w:lang w:val="en-AU" w:eastAsia="en-AU"/>
            </w:rPr>
          </w:pPr>
          <w:hyperlink w:anchor="_Toc294619490" w:history="1">
            <w:r w:rsidR="007A40A6" w:rsidRPr="0026328A">
              <w:rPr>
                <w:rStyle w:val="Hyperlink"/>
                <w:rFonts w:cstheme="minorHAnsi"/>
                <w:noProof/>
                <w:lang w:eastAsia="en-AU"/>
              </w:rPr>
              <w:t>Indigenous</w:t>
            </w:r>
            <w:r w:rsidR="007A40A6">
              <w:rPr>
                <w:noProof/>
                <w:webHidden/>
              </w:rPr>
              <w:tab/>
            </w:r>
            <w:r w:rsidR="004A0AAF">
              <w:rPr>
                <w:noProof/>
                <w:webHidden/>
              </w:rPr>
              <w:fldChar w:fldCharType="begin"/>
            </w:r>
            <w:r w:rsidR="007A40A6">
              <w:rPr>
                <w:noProof/>
                <w:webHidden/>
              </w:rPr>
              <w:instrText xml:space="preserve"> PAGEREF _Toc294619490 \h </w:instrText>
            </w:r>
            <w:r w:rsidR="004A0AAF">
              <w:rPr>
                <w:noProof/>
                <w:webHidden/>
              </w:rPr>
            </w:r>
            <w:r w:rsidR="004A0AAF">
              <w:rPr>
                <w:noProof/>
                <w:webHidden/>
              </w:rPr>
              <w:fldChar w:fldCharType="separate"/>
            </w:r>
            <w:r>
              <w:rPr>
                <w:noProof/>
                <w:webHidden/>
              </w:rPr>
              <w:t>42</w:t>
            </w:r>
            <w:r w:rsidR="004A0AAF">
              <w:rPr>
                <w:noProof/>
                <w:webHidden/>
              </w:rPr>
              <w:fldChar w:fldCharType="end"/>
            </w:r>
          </w:hyperlink>
        </w:p>
        <w:p w:rsidR="0045514D" w:rsidRDefault="004A0AAF" w:rsidP="0045514D">
          <w:pPr>
            <w:pStyle w:val="TOC2"/>
          </w:pPr>
          <w:r>
            <w:fldChar w:fldCharType="end"/>
          </w:r>
        </w:p>
      </w:sdtContent>
    </w:sdt>
    <w:p w:rsidR="00392191" w:rsidRDefault="00392191" w:rsidP="00392191">
      <w:r>
        <w:t>Annual reporting requirements under the National Partnership on Youth Attainment and Transitions are contained in paragraphs 69 to 72 (reproduced below). In addition, Schedule B of the National Partnership on Youth Attainment and Transitions contains Indigenous reporting requirements.</w:t>
      </w:r>
    </w:p>
    <w:p w:rsidR="00392191" w:rsidRDefault="003B4CC0" w:rsidP="00392191">
      <w:r>
        <w:rPr>
          <w:noProof/>
          <w:lang w:eastAsia="en-AU"/>
        </w:rPr>
        <w:pict>
          <v:rect id="_x0000_s1028" style="position:absolute;margin-left:22pt;margin-top:12.85pt;width:407pt;height:295.5pt;z-index:251661312" fillcolor="#eeece1 [3214]">
            <v:textbox style="mso-next-textbox:#_x0000_s1028">
              <w:txbxContent>
                <w:p w:rsidR="00527695" w:rsidRDefault="00527695" w:rsidP="00392191">
                  <w:pPr>
                    <w:pStyle w:val="Default"/>
                  </w:pPr>
                </w:p>
                <w:p w:rsidR="00527695" w:rsidRDefault="00527695" w:rsidP="00392191">
                  <w:pPr>
                    <w:pStyle w:val="Default"/>
                    <w:spacing w:after="195"/>
                    <w:rPr>
                      <w:sz w:val="23"/>
                      <w:szCs w:val="23"/>
                    </w:rPr>
                  </w:pPr>
                  <w:r>
                    <w:rPr>
                      <w:sz w:val="23"/>
                      <w:szCs w:val="23"/>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527695" w:rsidRDefault="00527695" w:rsidP="00392191">
                  <w:pPr>
                    <w:pStyle w:val="FromNP"/>
                  </w:pPr>
                  <w: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527695" w:rsidRDefault="00527695" w:rsidP="00392191">
                  <w:pPr>
                    <w:pStyle w:val="Default"/>
                    <w:spacing w:after="195"/>
                    <w:rPr>
                      <w:sz w:val="23"/>
                      <w:szCs w:val="23"/>
                    </w:rPr>
                  </w:pPr>
                  <w:r>
                    <w:rPr>
                      <w:sz w:val="23"/>
                      <w:szCs w:val="23"/>
                    </w:rPr>
                    <w:t>71. Reporting will include detail of funding provided to the non-government sector and maintenance of any existing State and Territory funding for careers and transitions support services (see paragraph 52 and 53).</w:t>
                  </w:r>
                </w:p>
                <w:p w:rsidR="00527695" w:rsidRDefault="00527695" w:rsidP="00392191">
                  <w:pPr>
                    <w:pStyle w:val="Default"/>
                    <w:spacing w:after="195"/>
                    <w:rPr>
                      <w:sz w:val="23"/>
                      <w:szCs w:val="23"/>
                    </w:rPr>
                  </w:pPr>
                  <w:r>
                    <w:rPr>
                      <w:sz w:val="23"/>
                      <w:szCs w:val="23"/>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v:textbox>
          </v:rect>
        </w:pict>
      </w:r>
    </w:p>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45514D" w:rsidRDefault="0045514D" w:rsidP="00AF174F">
      <w:pPr>
        <w:pStyle w:val="Heading2"/>
        <w:spacing w:before="360"/>
        <w:sectPr w:rsidR="0045514D" w:rsidSect="00443A84">
          <w:headerReference w:type="default" r:id="rId12"/>
          <w:footerReference w:type="default" r:id="rId13"/>
          <w:pgSz w:w="11906" w:h="16838"/>
          <w:pgMar w:top="1440" w:right="1276" w:bottom="1440" w:left="1440" w:header="568" w:footer="708" w:gutter="0"/>
          <w:pgNumType w:start="1"/>
          <w:cols w:space="708"/>
          <w:docGrid w:linePitch="360"/>
        </w:sectPr>
      </w:pPr>
    </w:p>
    <w:p w:rsidR="00392191" w:rsidRDefault="00392191" w:rsidP="00AE67DB">
      <w:pPr>
        <w:pStyle w:val="Heading2"/>
        <w:spacing w:before="120" w:after="0"/>
      </w:pPr>
      <w:bookmarkStart w:id="1" w:name="_Toc294619477"/>
      <w:r>
        <w:lastRenderedPageBreak/>
        <w:t xml:space="preserve">PART A: </w:t>
      </w:r>
      <w:r w:rsidR="007002AD">
        <w:t xml:space="preserve">Northern Territory, </w:t>
      </w:r>
      <w:r w:rsidR="00DA567B">
        <w:t>National Partnership on Youth Attainment and Transitions</w:t>
      </w:r>
      <w:bookmarkEnd w:id="1"/>
    </w:p>
    <w:tbl>
      <w:tblPr>
        <w:tblStyle w:val="TableGrid"/>
        <w:tblW w:w="21796" w:type="dxa"/>
        <w:tblLayout w:type="fixed"/>
        <w:tblLook w:val="01E0" w:firstRow="1" w:lastRow="1" w:firstColumn="1" w:lastColumn="1" w:noHBand="0" w:noVBand="0"/>
      </w:tblPr>
      <w:tblGrid>
        <w:gridCol w:w="3845"/>
        <w:gridCol w:w="5619"/>
        <w:gridCol w:w="2620"/>
        <w:gridCol w:w="1214"/>
        <w:gridCol w:w="1214"/>
        <w:gridCol w:w="1214"/>
        <w:gridCol w:w="1214"/>
        <w:gridCol w:w="1214"/>
        <w:gridCol w:w="1214"/>
        <w:gridCol w:w="1214"/>
        <w:gridCol w:w="1214"/>
      </w:tblGrid>
      <w:tr w:rsidR="007002AD" w:rsidRPr="00503317" w:rsidTr="005D122D">
        <w:trPr>
          <w:cantSplit/>
        </w:trPr>
        <w:tc>
          <w:tcPr>
            <w:tcW w:w="3845" w:type="dxa"/>
            <w:tcBorders>
              <w:top w:val="single" w:sz="12" w:space="0" w:color="auto"/>
              <w:left w:val="single" w:sz="12" w:space="0" w:color="auto"/>
              <w:bottom w:val="single" w:sz="12" w:space="0" w:color="auto"/>
              <w:right w:val="single" w:sz="4" w:space="0" w:color="auto"/>
            </w:tcBorders>
            <w:shd w:val="clear" w:color="auto" w:fill="E0E0E0"/>
            <w:vAlign w:val="center"/>
          </w:tcPr>
          <w:p w:rsidR="007002AD" w:rsidRPr="00503317" w:rsidRDefault="007002AD" w:rsidP="005D122D">
            <w:pPr>
              <w:rPr>
                <w:rFonts w:ascii="Calibri" w:hAnsi="Calibri"/>
                <w:b/>
                <w:sz w:val="20"/>
                <w:szCs w:val="20"/>
              </w:rPr>
            </w:pPr>
            <w:r w:rsidRPr="00503317">
              <w:rPr>
                <w:rFonts w:ascii="Calibri" w:hAnsi="Calibri"/>
                <w:b/>
                <w:sz w:val="20"/>
                <w:szCs w:val="20"/>
              </w:rPr>
              <w:t>Outcome</w:t>
            </w:r>
          </w:p>
        </w:tc>
        <w:tc>
          <w:tcPr>
            <w:tcW w:w="5619" w:type="dxa"/>
            <w:tcBorders>
              <w:top w:val="single" w:sz="12" w:space="0" w:color="auto"/>
              <w:left w:val="single" w:sz="4" w:space="0" w:color="auto"/>
              <w:bottom w:val="single" w:sz="12" w:space="0" w:color="auto"/>
              <w:right w:val="single" w:sz="4" w:space="0" w:color="auto"/>
            </w:tcBorders>
            <w:shd w:val="clear" w:color="auto" w:fill="E0E0E0"/>
            <w:vAlign w:val="center"/>
          </w:tcPr>
          <w:p w:rsidR="007002AD" w:rsidRPr="00503317" w:rsidRDefault="007002AD" w:rsidP="005D122D">
            <w:pPr>
              <w:rPr>
                <w:rFonts w:ascii="Calibri" w:hAnsi="Calibri"/>
                <w:b/>
                <w:sz w:val="20"/>
                <w:szCs w:val="20"/>
              </w:rPr>
            </w:pPr>
            <w:r w:rsidRPr="00503317">
              <w:rPr>
                <w:rFonts w:ascii="Calibri" w:hAnsi="Calibri"/>
                <w:b/>
                <w:sz w:val="20"/>
                <w:szCs w:val="20"/>
              </w:rPr>
              <w:t>Performance Indicator</w:t>
            </w:r>
          </w:p>
        </w:tc>
        <w:tc>
          <w:tcPr>
            <w:tcW w:w="2620" w:type="dxa"/>
            <w:tcBorders>
              <w:top w:val="single" w:sz="12" w:space="0" w:color="auto"/>
              <w:left w:val="single" w:sz="4" w:space="0" w:color="auto"/>
              <w:bottom w:val="single" w:sz="12" w:space="0" w:color="auto"/>
              <w:right w:val="single" w:sz="12" w:space="0" w:color="auto"/>
            </w:tcBorders>
            <w:shd w:val="clear" w:color="auto" w:fill="E0E0E0"/>
            <w:vAlign w:val="center"/>
          </w:tcPr>
          <w:p w:rsidR="007002AD" w:rsidRPr="00503317" w:rsidRDefault="007002AD" w:rsidP="005D122D">
            <w:pPr>
              <w:rPr>
                <w:rFonts w:ascii="Calibri" w:hAnsi="Calibri"/>
                <w:b/>
                <w:sz w:val="20"/>
                <w:szCs w:val="20"/>
              </w:rPr>
            </w:pPr>
            <w:r w:rsidRPr="00503317">
              <w:rPr>
                <w:rFonts w:ascii="Calibri" w:hAnsi="Calibri"/>
                <w:b/>
                <w:sz w:val="20"/>
                <w:szCs w:val="20"/>
              </w:rPr>
              <w:t>Source</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7002AD" w:rsidRPr="00D95E83" w:rsidRDefault="007002AD" w:rsidP="005D122D">
            <w:pPr>
              <w:rPr>
                <w:rFonts w:ascii="Calibri" w:hAnsi="Calibri"/>
                <w:b/>
                <w:sz w:val="20"/>
                <w:szCs w:val="20"/>
              </w:rPr>
            </w:pPr>
            <w:r w:rsidRPr="00D95E83">
              <w:rPr>
                <w:rFonts w:ascii="Calibri" w:hAnsi="Calibri"/>
                <w:b/>
                <w:sz w:val="20"/>
                <w:szCs w:val="20"/>
              </w:rPr>
              <w:t>May 2011</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7002AD" w:rsidRPr="00503317" w:rsidRDefault="007002AD" w:rsidP="005D122D">
            <w:pPr>
              <w:rPr>
                <w:rFonts w:ascii="Calibri" w:hAnsi="Calibri"/>
                <w:sz w:val="20"/>
                <w:szCs w:val="20"/>
              </w:rPr>
            </w:pPr>
            <w:r w:rsidRPr="00503317">
              <w:rPr>
                <w:rFonts w:ascii="Calibri" w:hAnsi="Calibri"/>
                <w:sz w:val="20"/>
                <w:szCs w:val="20"/>
              </w:rPr>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7002AD" w:rsidRPr="00D95E83" w:rsidRDefault="007002AD" w:rsidP="005D122D">
            <w:pPr>
              <w:rPr>
                <w:rFonts w:ascii="Calibri" w:hAnsi="Calibri"/>
                <w:b/>
                <w:sz w:val="20"/>
                <w:szCs w:val="20"/>
              </w:rPr>
            </w:pPr>
            <w:r w:rsidRPr="00D95E83">
              <w:rPr>
                <w:rFonts w:ascii="Calibri" w:hAnsi="Calibri"/>
                <w:b/>
                <w:sz w:val="20"/>
                <w:szCs w:val="20"/>
              </w:rPr>
              <w:t>May 2012</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7002AD" w:rsidRPr="00503317" w:rsidRDefault="007002AD" w:rsidP="005D122D">
            <w:pPr>
              <w:rPr>
                <w:rFonts w:ascii="Calibri" w:hAnsi="Calibri"/>
                <w:sz w:val="20"/>
                <w:szCs w:val="20"/>
              </w:rPr>
            </w:pPr>
            <w:r w:rsidRPr="00503317">
              <w:rPr>
                <w:rFonts w:ascii="Calibri" w:hAnsi="Calibri"/>
                <w:sz w:val="20"/>
                <w:szCs w:val="20"/>
              </w:rPr>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7002AD" w:rsidRPr="00D95E83" w:rsidRDefault="007002AD" w:rsidP="005D122D">
            <w:pPr>
              <w:rPr>
                <w:rFonts w:ascii="Calibri" w:hAnsi="Calibri"/>
                <w:b/>
                <w:sz w:val="20"/>
                <w:szCs w:val="20"/>
              </w:rPr>
            </w:pPr>
            <w:r w:rsidRPr="00D95E83">
              <w:rPr>
                <w:rFonts w:ascii="Calibri" w:hAnsi="Calibri"/>
                <w:b/>
                <w:sz w:val="20"/>
                <w:szCs w:val="20"/>
              </w:rPr>
              <w:t>May 2013</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7002AD" w:rsidRPr="00503317" w:rsidRDefault="007002AD" w:rsidP="005D122D">
            <w:pPr>
              <w:rPr>
                <w:rFonts w:ascii="Calibri" w:hAnsi="Calibri"/>
                <w:sz w:val="20"/>
                <w:szCs w:val="20"/>
              </w:rPr>
            </w:pPr>
            <w:r w:rsidRPr="00503317">
              <w:rPr>
                <w:rFonts w:ascii="Calibri" w:hAnsi="Calibri"/>
                <w:sz w:val="20"/>
                <w:szCs w:val="20"/>
              </w:rPr>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7002AD" w:rsidRPr="00D95E83" w:rsidRDefault="007002AD" w:rsidP="005D122D">
            <w:pPr>
              <w:rPr>
                <w:rFonts w:ascii="Calibri" w:hAnsi="Calibri"/>
                <w:b/>
                <w:sz w:val="20"/>
                <w:szCs w:val="20"/>
              </w:rPr>
            </w:pPr>
            <w:r w:rsidRPr="00D95E83">
              <w:rPr>
                <w:rFonts w:ascii="Calibri" w:hAnsi="Calibri"/>
                <w:b/>
                <w:sz w:val="20"/>
                <w:szCs w:val="20"/>
              </w:rPr>
              <w:t>May 201</w:t>
            </w:r>
            <w:r>
              <w:rPr>
                <w:rFonts w:ascii="Calibri" w:hAnsi="Calibri"/>
                <w:b/>
                <w:sz w:val="20"/>
                <w:szCs w:val="20"/>
              </w:rPr>
              <w:t>4</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7002AD" w:rsidRPr="00503317" w:rsidRDefault="007002AD" w:rsidP="005D122D">
            <w:pPr>
              <w:rPr>
                <w:rFonts w:ascii="Calibri" w:hAnsi="Calibri"/>
                <w:sz w:val="20"/>
                <w:szCs w:val="20"/>
              </w:rPr>
            </w:pPr>
            <w:r w:rsidRPr="00503317">
              <w:rPr>
                <w:rFonts w:ascii="Calibri" w:hAnsi="Calibri"/>
                <w:sz w:val="20"/>
                <w:szCs w:val="20"/>
              </w:rPr>
              <w:t>August addendum</w:t>
            </w:r>
          </w:p>
        </w:tc>
      </w:tr>
      <w:tr w:rsidR="007002AD" w:rsidRPr="00AB5D2C" w:rsidTr="005D122D">
        <w:trPr>
          <w:cantSplit/>
          <w:trHeight w:val="331"/>
        </w:trPr>
        <w:tc>
          <w:tcPr>
            <w:tcW w:w="3845" w:type="dxa"/>
            <w:vMerge w:val="restart"/>
            <w:tcBorders>
              <w:top w:val="single" w:sz="12" w:space="0" w:color="auto"/>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Increased participation of young people in education and training</w:t>
            </w:r>
          </w:p>
        </w:tc>
        <w:tc>
          <w:tcPr>
            <w:tcW w:w="5619" w:type="dxa"/>
            <w:tcBorders>
              <w:top w:val="single" w:sz="12" w:space="0" w:color="auto"/>
            </w:tcBorders>
            <w:shd w:val="clear" w:color="auto" w:fill="auto"/>
            <w:vAlign w:val="center"/>
          </w:tcPr>
          <w:p w:rsidR="007002AD" w:rsidRPr="00AB5D2C" w:rsidRDefault="007002AD" w:rsidP="005D122D">
            <w:pPr>
              <w:autoSpaceDE w:val="0"/>
              <w:autoSpaceDN w:val="0"/>
              <w:adjustRightInd w:val="0"/>
              <w:rPr>
                <w:rFonts w:ascii="Arial Narrow" w:hAnsi="Arial Narrow" w:cs="Corbel"/>
                <w:sz w:val="20"/>
                <w:szCs w:val="20"/>
              </w:rPr>
            </w:pPr>
            <w:r w:rsidRPr="00AB5D2C">
              <w:rPr>
                <w:rFonts w:ascii="Arial Narrow" w:hAnsi="Arial Narrow" w:cs="Corbel"/>
                <w:sz w:val="20"/>
                <w:szCs w:val="20"/>
              </w:rPr>
              <w:t>Enrolment of full</w:t>
            </w:r>
            <w:r w:rsidRPr="00AB5D2C">
              <w:rPr>
                <w:rFonts w:ascii="Calibri" w:hAnsi="Calibri" w:cs="Corbel"/>
                <w:sz w:val="20"/>
                <w:szCs w:val="20"/>
              </w:rPr>
              <w:t>‐</w:t>
            </w:r>
            <w:r w:rsidRPr="00AB5D2C">
              <w:rPr>
                <w:rFonts w:ascii="Arial Narrow" w:hAnsi="Arial Narrow" w:cs="Corbel"/>
                <w:sz w:val="20"/>
                <w:szCs w:val="20"/>
              </w:rPr>
              <w:t>time equivalent students in years 11 and 12</w:t>
            </w:r>
            <w:r>
              <w:rPr>
                <w:rStyle w:val="FootnoteReference"/>
                <w:rFonts w:ascii="Arial Narrow" w:hAnsi="Arial Narrow" w:cs="Corbel"/>
                <w:sz w:val="20"/>
                <w:szCs w:val="20"/>
              </w:rPr>
              <w:footnoteReference w:id="1"/>
            </w:r>
          </w:p>
        </w:tc>
        <w:tc>
          <w:tcPr>
            <w:tcW w:w="2620" w:type="dxa"/>
            <w:vMerge w:val="restart"/>
            <w:tcBorders>
              <w:top w:val="single" w:sz="12" w:space="0" w:color="auto"/>
              <w:right w:val="single" w:sz="12" w:space="0" w:color="auto"/>
            </w:tcBorders>
            <w:shd w:val="clear" w:color="auto" w:fill="auto"/>
            <w:vAlign w:val="center"/>
          </w:tcPr>
          <w:p w:rsidR="007002AD" w:rsidRPr="00AB5D2C" w:rsidRDefault="007002AD" w:rsidP="005D122D">
            <w:pPr>
              <w:autoSpaceDE w:val="0"/>
              <w:autoSpaceDN w:val="0"/>
              <w:adjustRightInd w:val="0"/>
              <w:rPr>
                <w:rFonts w:ascii="Arial Narrow" w:hAnsi="Arial Narrow"/>
                <w:sz w:val="20"/>
                <w:szCs w:val="20"/>
              </w:rPr>
            </w:pPr>
            <w:r w:rsidRPr="00AB5D2C">
              <w:rPr>
                <w:rFonts w:ascii="Arial Narrow" w:hAnsi="Arial Narrow"/>
                <w:sz w:val="20"/>
                <w:szCs w:val="20"/>
              </w:rPr>
              <w:t>National Schools Statistics Collection (ABS)</w:t>
            </w:r>
          </w:p>
        </w:tc>
        <w:tc>
          <w:tcPr>
            <w:tcW w:w="1214" w:type="dxa"/>
            <w:tcBorders>
              <w:top w:val="single" w:sz="12" w:space="0" w:color="auto"/>
              <w:right w:val="single" w:sz="4" w:space="0" w:color="auto"/>
            </w:tcBorders>
            <w:vAlign w:val="center"/>
          </w:tcPr>
          <w:p w:rsidR="007002AD" w:rsidRPr="00AB5D2C" w:rsidRDefault="007002AD" w:rsidP="005D122D">
            <w:pPr>
              <w:autoSpaceDE w:val="0"/>
              <w:autoSpaceDN w:val="0"/>
              <w:adjustRightInd w:val="0"/>
              <w:jc w:val="right"/>
              <w:rPr>
                <w:rFonts w:ascii="Arial Narrow" w:hAnsi="Arial Narrow"/>
                <w:sz w:val="20"/>
                <w:szCs w:val="20"/>
              </w:rPr>
            </w:pPr>
            <w:r>
              <w:rPr>
                <w:rFonts w:ascii="Arial Narrow" w:hAnsi="Arial Narrow"/>
                <w:sz w:val="20"/>
                <w:szCs w:val="20"/>
              </w:rPr>
              <w:t>3,824</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School</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School</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School</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240"/>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tcBorders>
              <w:top w:val="single" w:sz="4" w:space="0" w:color="auto"/>
            </w:tcBorders>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 xml:space="preserve">Enrolment of Indigenous </w:t>
            </w:r>
            <w:r w:rsidRPr="00AB5D2C">
              <w:rPr>
                <w:rFonts w:ascii="Arial Narrow" w:hAnsi="Arial Narrow" w:cs="Corbel"/>
                <w:sz w:val="20"/>
                <w:szCs w:val="20"/>
              </w:rPr>
              <w:t>full</w:t>
            </w:r>
            <w:r w:rsidRPr="00AB5D2C">
              <w:rPr>
                <w:rFonts w:ascii="Calibri" w:hAnsi="Calibri" w:cs="Corbel"/>
                <w:sz w:val="20"/>
                <w:szCs w:val="20"/>
              </w:rPr>
              <w:t>‐</w:t>
            </w:r>
            <w:r w:rsidRPr="00AB5D2C">
              <w:rPr>
                <w:rFonts w:ascii="Arial Narrow" w:hAnsi="Arial Narrow" w:cs="Corbel"/>
                <w:sz w:val="20"/>
                <w:szCs w:val="20"/>
              </w:rPr>
              <w:t xml:space="preserve">time equivalent </w:t>
            </w:r>
            <w:r w:rsidRPr="0082723D">
              <w:rPr>
                <w:rFonts w:ascii="Arial Narrow" w:hAnsi="Arial Narrow" w:cs="Corbel"/>
                <w:sz w:val="20"/>
                <w:szCs w:val="20"/>
              </w:rPr>
              <w:t>students in years 11 and 12</w:t>
            </w:r>
            <w:r>
              <w:rPr>
                <w:rStyle w:val="FootnoteReference"/>
                <w:rFonts w:ascii="Arial Narrow" w:hAnsi="Arial Narrow" w:cs="Corbel"/>
                <w:sz w:val="20"/>
                <w:szCs w:val="20"/>
              </w:rPr>
              <w:footnoteReference w:id="2"/>
            </w:r>
          </w:p>
        </w:tc>
        <w:tc>
          <w:tcPr>
            <w:tcW w:w="2620" w:type="dxa"/>
            <w:vMerge/>
            <w:tcBorders>
              <w:right w:val="single" w:sz="12" w:space="0" w:color="auto"/>
            </w:tcBorders>
            <w:shd w:val="clear" w:color="auto" w:fill="auto"/>
            <w:vAlign w:val="center"/>
          </w:tcPr>
          <w:p w:rsidR="007002AD" w:rsidRPr="00AB5D2C" w:rsidRDefault="007002AD" w:rsidP="005D122D">
            <w:pPr>
              <w:autoSpaceDE w:val="0"/>
              <w:autoSpaceDN w:val="0"/>
              <w:adjustRightInd w:val="0"/>
              <w:rPr>
                <w:rFonts w:ascii="Arial Narrow" w:hAnsi="Arial Narrow"/>
                <w:sz w:val="20"/>
                <w:szCs w:val="20"/>
              </w:rPr>
            </w:pPr>
          </w:p>
        </w:tc>
        <w:tc>
          <w:tcPr>
            <w:tcW w:w="1214" w:type="dxa"/>
            <w:tcBorders>
              <w:right w:val="single" w:sz="4" w:space="0" w:color="auto"/>
            </w:tcBorders>
            <w:vAlign w:val="center"/>
          </w:tcPr>
          <w:p w:rsidR="007002AD" w:rsidRPr="00AB5D2C" w:rsidRDefault="007002AD" w:rsidP="005D122D">
            <w:pPr>
              <w:autoSpaceDE w:val="0"/>
              <w:autoSpaceDN w:val="0"/>
              <w:adjustRightInd w:val="0"/>
              <w:jc w:val="right"/>
              <w:rPr>
                <w:rFonts w:ascii="Arial Narrow" w:hAnsi="Arial Narrow"/>
                <w:sz w:val="20"/>
                <w:szCs w:val="20"/>
              </w:rPr>
            </w:pPr>
            <w:r>
              <w:rPr>
                <w:rFonts w:ascii="Arial Narrow" w:hAnsi="Arial Narrow"/>
                <w:sz w:val="20"/>
                <w:szCs w:val="20"/>
              </w:rPr>
              <w:t>1,123</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2011 School</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2012 School</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2013 School</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RPr="00AB5D2C" w:rsidTr="005D122D">
        <w:trPr>
          <w:cantSplit/>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r w:rsidRPr="0082723D">
              <w:rPr>
                <w:rFonts w:ascii="Arial Narrow" w:hAnsi="Arial Narrow"/>
                <w:sz w:val="20"/>
                <w:szCs w:val="20"/>
              </w:rPr>
              <w:t xml:space="preserve">Enrolment of Indigenous </w:t>
            </w:r>
            <w:r w:rsidRPr="00AB5D2C">
              <w:rPr>
                <w:rFonts w:ascii="Arial Narrow" w:hAnsi="Arial Narrow" w:cs="Corbel"/>
                <w:sz w:val="20"/>
                <w:szCs w:val="20"/>
              </w:rPr>
              <w:t>full</w:t>
            </w:r>
            <w:r w:rsidRPr="00AB5D2C">
              <w:rPr>
                <w:rFonts w:ascii="Calibri" w:hAnsi="Calibri" w:cs="Corbel"/>
                <w:sz w:val="20"/>
                <w:szCs w:val="20"/>
              </w:rPr>
              <w:t>‐</w:t>
            </w:r>
            <w:r w:rsidRPr="00AB5D2C">
              <w:rPr>
                <w:rFonts w:ascii="Arial Narrow" w:hAnsi="Arial Narrow" w:cs="Corbel"/>
                <w:sz w:val="20"/>
                <w:szCs w:val="20"/>
              </w:rPr>
              <w:t xml:space="preserve">time equivalent </w:t>
            </w:r>
            <w:r w:rsidRPr="0082723D">
              <w:rPr>
                <w:rFonts w:ascii="Arial Narrow" w:hAnsi="Arial Narrow"/>
                <w:sz w:val="20"/>
                <w:szCs w:val="20"/>
              </w:rPr>
              <w:t>students in years 9 and 10</w:t>
            </w:r>
            <w:r>
              <w:rPr>
                <w:rStyle w:val="FootnoteReference"/>
                <w:rFonts w:ascii="Arial Narrow" w:hAnsi="Arial Narrow"/>
                <w:sz w:val="20"/>
                <w:szCs w:val="20"/>
              </w:rPr>
              <w:footnoteReference w:id="3"/>
            </w:r>
          </w:p>
        </w:tc>
        <w:tc>
          <w:tcPr>
            <w:tcW w:w="2620" w:type="dxa"/>
            <w:vMerge/>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2,096</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School</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School</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School</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r>
      <w:tr w:rsidR="007002AD" w:rsidRPr="00AB5D2C" w:rsidTr="005D122D">
        <w:trPr>
          <w:cantSplit/>
          <w:trHeight w:val="465"/>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shd w:val="clear" w:color="auto" w:fill="auto"/>
            <w:vAlign w:val="center"/>
          </w:tcPr>
          <w:p w:rsidR="007002AD" w:rsidRPr="0082723D" w:rsidRDefault="007002AD" w:rsidP="005D122D">
            <w:pPr>
              <w:autoSpaceDE w:val="0"/>
              <w:autoSpaceDN w:val="0"/>
              <w:adjustRightInd w:val="0"/>
              <w:rPr>
                <w:rFonts w:ascii="Arial Narrow" w:hAnsi="Arial Narrow"/>
                <w:sz w:val="20"/>
                <w:szCs w:val="20"/>
              </w:rPr>
            </w:pPr>
            <w:r w:rsidRPr="0082723D">
              <w:rPr>
                <w:rFonts w:ascii="Arial Narrow" w:hAnsi="Arial Narrow" w:cs="Corbel"/>
                <w:sz w:val="20"/>
                <w:szCs w:val="20"/>
              </w:rPr>
              <w:t>15</w:t>
            </w:r>
            <w:r w:rsidRPr="0082723D">
              <w:rPr>
                <w:rFonts w:ascii="Calibri" w:hAnsi="Calibri" w:cs="Corbel"/>
                <w:sz w:val="20"/>
                <w:szCs w:val="20"/>
              </w:rPr>
              <w:t>‐</w:t>
            </w:r>
            <w:r w:rsidRPr="0082723D">
              <w:rPr>
                <w:rFonts w:ascii="Arial Narrow" w:hAnsi="Arial Narrow" w:cs="Corbel"/>
                <w:sz w:val="20"/>
                <w:szCs w:val="20"/>
              </w:rPr>
              <w:t>19 year olds without a Year 12 certificate and not enrolled in school who are enrolled in a vocational education and training (VET) course at Certificate II level or higher</w:t>
            </w:r>
            <w:r>
              <w:rPr>
                <w:rStyle w:val="FootnoteReference"/>
                <w:rFonts w:ascii="Arial Narrow" w:hAnsi="Arial Narrow" w:cs="Corbel"/>
                <w:sz w:val="20"/>
                <w:szCs w:val="20"/>
              </w:rPr>
              <w:footnoteReference w:id="4"/>
            </w:r>
          </w:p>
        </w:tc>
        <w:tc>
          <w:tcPr>
            <w:tcW w:w="2620" w:type="dxa"/>
            <w:vMerge w:val="restart"/>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proofErr w:type="spellStart"/>
            <w:r w:rsidRPr="00AB5D2C">
              <w:rPr>
                <w:rFonts w:ascii="Arial Narrow" w:hAnsi="Arial Narrow"/>
                <w:sz w:val="20"/>
                <w:szCs w:val="20"/>
              </w:rPr>
              <w:t>VOCSTATS</w:t>
            </w:r>
            <w:proofErr w:type="spellEnd"/>
            <w:r w:rsidRPr="00AB5D2C">
              <w:rPr>
                <w:rFonts w:ascii="Arial Narrow" w:hAnsi="Arial Narrow"/>
                <w:sz w:val="20"/>
                <w:szCs w:val="20"/>
              </w:rPr>
              <w:t xml:space="preserve"> (</w:t>
            </w:r>
            <w:proofErr w:type="spellStart"/>
            <w:r w:rsidRPr="00AB5D2C">
              <w:rPr>
                <w:rFonts w:ascii="Arial Narrow" w:hAnsi="Arial Narrow"/>
                <w:sz w:val="20"/>
                <w:szCs w:val="20"/>
              </w:rPr>
              <w:t>NCVER</w:t>
            </w:r>
            <w:proofErr w:type="spellEnd"/>
            <w:r w:rsidRPr="00AB5D2C">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2010 VET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VET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VET</w:t>
            </w:r>
          </w:p>
        </w:tc>
        <w:tc>
          <w:tcPr>
            <w:tcW w:w="1214" w:type="dxa"/>
            <w:tcBorders>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VET</w:t>
            </w:r>
          </w:p>
        </w:tc>
      </w:tr>
      <w:tr w:rsidR="007002AD" w:rsidTr="005D122D">
        <w:trPr>
          <w:cantSplit/>
          <w:trHeight w:val="465"/>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Indigenous 15</w:t>
            </w:r>
            <w:r w:rsidRPr="0082723D">
              <w:rPr>
                <w:rFonts w:ascii="Calibri" w:hAnsi="Calibri" w:cs="Corbel"/>
                <w:sz w:val="20"/>
                <w:szCs w:val="20"/>
              </w:rPr>
              <w:t>‐</w:t>
            </w:r>
            <w:r w:rsidRPr="0082723D">
              <w:rPr>
                <w:rFonts w:ascii="Arial Narrow" w:hAnsi="Arial Narrow" w:cs="Corbel"/>
                <w:sz w:val="20"/>
                <w:szCs w:val="20"/>
              </w:rPr>
              <w:t>19 year olds without a Year 12 certificate and not enrolled in school who are enrolled in a vocational education and training (VET) course at Certificate II level or higher</w:t>
            </w:r>
            <w:r>
              <w:rPr>
                <w:rStyle w:val="FootnoteReference"/>
                <w:rFonts w:ascii="Arial Narrow" w:hAnsi="Arial Narrow" w:cs="Corbel"/>
                <w:sz w:val="20"/>
                <w:szCs w:val="20"/>
              </w:rPr>
              <w:footnoteReference w:id="5"/>
            </w:r>
          </w:p>
        </w:tc>
        <w:tc>
          <w:tcPr>
            <w:tcW w:w="2620" w:type="dxa"/>
            <w:vMerge/>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2010 VET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2011 VET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2012 VET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2013 VET</w:t>
            </w:r>
          </w:p>
        </w:tc>
      </w:tr>
      <w:tr w:rsidR="007002AD" w:rsidRPr="00AB5D2C" w:rsidTr="005D122D">
        <w:trPr>
          <w:cantSplit/>
          <w:trHeight w:val="636"/>
        </w:trPr>
        <w:tc>
          <w:tcPr>
            <w:tcW w:w="3845" w:type="dxa"/>
            <w:vMerge/>
            <w:tcBorders>
              <w:left w:val="single" w:sz="12" w:space="0" w:color="auto"/>
              <w:bottom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tcBorders>
              <w:bottom w:val="single" w:sz="12" w:space="0" w:color="auto"/>
            </w:tcBorders>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r w:rsidRPr="0082723D">
              <w:rPr>
                <w:rFonts w:ascii="Arial Narrow" w:hAnsi="Arial Narrow"/>
                <w:sz w:val="20"/>
                <w:szCs w:val="20"/>
              </w:rPr>
              <w:t>Indigenous 15-19 year olds without a Year 12 certificate and not enrolled in school who are enrolled in a vocational education and training (VET) course at Certificate I level</w:t>
            </w:r>
            <w:r>
              <w:rPr>
                <w:rStyle w:val="FootnoteReference"/>
                <w:rFonts w:ascii="Arial Narrow" w:hAnsi="Arial Narrow"/>
                <w:sz w:val="20"/>
                <w:szCs w:val="20"/>
              </w:rPr>
              <w:footnoteReference w:id="6"/>
            </w:r>
          </w:p>
        </w:tc>
        <w:tc>
          <w:tcPr>
            <w:tcW w:w="2620" w:type="dxa"/>
            <w:vMerge/>
            <w:tcBorders>
              <w:bottom w:val="single" w:sz="12" w:space="0" w:color="auto"/>
              <w:right w:val="single" w:sz="12" w:space="0" w:color="auto"/>
            </w:tcBorders>
            <w:shd w:val="clear" w:color="auto" w:fill="auto"/>
            <w:vAlign w:val="center"/>
          </w:tcPr>
          <w:p w:rsidR="007002AD" w:rsidRPr="00AB5D2C" w:rsidRDefault="007002AD" w:rsidP="005D122D">
            <w:pPr>
              <w:rPr>
                <w:rFonts w:ascii="Arial Narrow" w:hAnsi="Arial Narrow"/>
                <w:sz w:val="20"/>
                <w:szCs w:val="20"/>
              </w:rPr>
            </w:pPr>
          </w:p>
        </w:tc>
        <w:tc>
          <w:tcPr>
            <w:tcW w:w="1214" w:type="dxa"/>
            <w:tcBorders>
              <w:bottom w:val="single" w:sz="12" w:space="0" w:color="auto"/>
              <w:right w:val="single" w:sz="4" w:space="0" w:color="auto"/>
            </w:tcBorders>
            <w:vAlign w:val="center"/>
          </w:tcPr>
          <w:p w:rsidR="007002AD" w:rsidRPr="00AB5D2C" w:rsidRDefault="007002AD" w:rsidP="005D122D">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bottom w:val="single" w:sz="12"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2010 VET</w:t>
            </w:r>
          </w:p>
        </w:tc>
        <w:tc>
          <w:tcPr>
            <w:tcW w:w="1214" w:type="dxa"/>
            <w:tcBorders>
              <w:bottom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VET</w:t>
            </w:r>
          </w:p>
        </w:tc>
        <w:tc>
          <w:tcPr>
            <w:tcW w:w="1214" w:type="dxa"/>
            <w:tcBorders>
              <w:bottom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VET</w:t>
            </w:r>
          </w:p>
        </w:tc>
        <w:tc>
          <w:tcPr>
            <w:tcW w:w="1214" w:type="dxa"/>
            <w:tcBorders>
              <w:left w:val="single" w:sz="4" w:space="0" w:color="auto"/>
              <w:bottom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VET</w:t>
            </w:r>
          </w:p>
        </w:tc>
      </w:tr>
      <w:tr w:rsidR="007002AD" w:rsidRPr="00AB5D2C" w:rsidTr="005D122D">
        <w:trPr>
          <w:cantSplit/>
          <w:trHeight w:val="325"/>
        </w:trPr>
        <w:tc>
          <w:tcPr>
            <w:tcW w:w="3845" w:type="dxa"/>
            <w:vMerge w:val="restart"/>
            <w:tcBorders>
              <w:top w:val="single" w:sz="12" w:space="0" w:color="auto"/>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Increased attainment of young people aged 15</w:t>
            </w:r>
            <w:r w:rsidRPr="00AB5D2C">
              <w:rPr>
                <w:rFonts w:ascii="Calibri" w:hAnsi="Calibri"/>
                <w:sz w:val="20"/>
                <w:szCs w:val="20"/>
              </w:rPr>
              <w:t>‐</w:t>
            </w:r>
            <w:r w:rsidRPr="00AB5D2C">
              <w:rPr>
                <w:rFonts w:ascii="Arial Narrow" w:hAnsi="Arial Narrow"/>
                <w:sz w:val="20"/>
                <w:szCs w:val="20"/>
              </w:rPr>
              <w:t>24, including Indigenous youth</w:t>
            </w:r>
          </w:p>
        </w:tc>
        <w:tc>
          <w:tcPr>
            <w:tcW w:w="5619" w:type="dxa"/>
            <w:vMerge w:val="restart"/>
            <w:tcBorders>
              <w:top w:val="single" w:sz="12" w:space="0" w:color="auto"/>
            </w:tcBorders>
            <w:shd w:val="clear" w:color="auto" w:fill="auto"/>
            <w:vAlign w:val="center"/>
          </w:tcPr>
          <w:p w:rsidR="007002AD" w:rsidRPr="000A3701"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The proportion of young people aged 20</w:t>
            </w:r>
            <w:r w:rsidRPr="0082723D">
              <w:rPr>
                <w:rFonts w:ascii="Calibri" w:hAnsi="Calibri" w:cs="Corbel"/>
                <w:sz w:val="20"/>
                <w:szCs w:val="20"/>
              </w:rPr>
              <w:t>‐</w:t>
            </w:r>
            <w:r w:rsidRPr="0082723D">
              <w:rPr>
                <w:rFonts w:ascii="Arial Narrow" w:hAnsi="Arial Narrow" w:cs="Corbel"/>
                <w:sz w:val="20"/>
                <w:szCs w:val="20"/>
              </w:rPr>
              <w:t>24 who have attained Year 12 or Certificate II or above</w:t>
            </w:r>
          </w:p>
        </w:tc>
        <w:tc>
          <w:tcPr>
            <w:tcW w:w="2620" w:type="dxa"/>
            <w:tcBorders>
              <w:top w:val="single" w:sz="12" w:space="0" w:color="auto"/>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Survey of Education and Work</w:t>
            </w:r>
            <w:r>
              <w:rPr>
                <w:rFonts w:ascii="Arial Narrow" w:hAnsi="Arial Narrow"/>
                <w:sz w:val="20"/>
                <w:szCs w:val="20"/>
              </w:rPr>
              <w:t xml:space="preserve"> (ABS)</w:t>
            </w:r>
          </w:p>
        </w:tc>
        <w:tc>
          <w:tcPr>
            <w:tcW w:w="1214" w:type="dxa"/>
            <w:tcBorders>
              <w:top w:val="single" w:sz="12" w:space="0" w:color="auto"/>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73.1%</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2011 SEW</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2012 SEW</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left w:val="single" w:sz="4" w:space="0" w:color="auto"/>
              <w:bottom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w:t>
            </w:r>
            <w:r w:rsidRPr="00AB5D2C">
              <w:rPr>
                <w:rFonts w:ascii="Arial Narrow" w:hAnsi="Arial Narrow"/>
                <w:sz w:val="20"/>
                <w:szCs w:val="20"/>
              </w:rPr>
              <w:t xml:space="preserve"> SEW</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r>
      <w:tr w:rsidR="007002AD" w:rsidRPr="00AB5D2C" w:rsidTr="005D122D">
        <w:trPr>
          <w:cantSplit/>
          <w:trHeight w:val="325"/>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p>
        </w:tc>
        <w:tc>
          <w:tcPr>
            <w:tcW w:w="2620" w:type="dxa"/>
            <w:tcBorders>
              <w:top w:val="single" w:sz="4" w:space="0" w:color="auto"/>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VET completions (</w:t>
            </w:r>
            <w:proofErr w:type="spellStart"/>
            <w:r w:rsidRPr="00AB5D2C">
              <w:rPr>
                <w:rFonts w:ascii="Arial Narrow" w:hAnsi="Arial Narrow"/>
                <w:sz w:val="20"/>
                <w:szCs w:val="20"/>
              </w:rPr>
              <w:t>VOCSTATS</w:t>
            </w:r>
            <w:proofErr w:type="spellEnd"/>
            <w:r w:rsidRPr="00AB5D2C">
              <w:rPr>
                <w:rFonts w:ascii="Arial Narrow" w:hAnsi="Arial Narrow"/>
                <w:sz w:val="20"/>
                <w:szCs w:val="20"/>
              </w:rPr>
              <w:t>)</w:t>
            </w:r>
            <w:r>
              <w:rPr>
                <w:rStyle w:val="FootnoteReference"/>
                <w:rFonts w:ascii="Arial Narrow" w:hAnsi="Arial Narrow"/>
                <w:sz w:val="20"/>
                <w:szCs w:val="20"/>
              </w:rPr>
              <w:footnoteReference w:id="7"/>
            </w:r>
          </w:p>
        </w:tc>
        <w:tc>
          <w:tcPr>
            <w:tcW w:w="1214" w:type="dxa"/>
            <w:tcBorders>
              <w:top w:val="single" w:sz="4" w:space="0" w:color="auto"/>
              <w:right w:val="single" w:sz="4" w:space="0" w:color="auto"/>
            </w:tcBorders>
            <w:vAlign w:val="center"/>
          </w:tcPr>
          <w:p w:rsidR="007002AD" w:rsidRPr="00AB5D2C" w:rsidRDefault="007002AD" w:rsidP="005D122D">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4"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2010 VET</w:t>
            </w:r>
          </w:p>
        </w:tc>
        <w:tc>
          <w:tcPr>
            <w:tcW w:w="1214" w:type="dxa"/>
            <w:tcBorders>
              <w:top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VET</w:t>
            </w:r>
          </w:p>
        </w:tc>
        <w:tc>
          <w:tcPr>
            <w:tcW w:w="1214" w:type="dxa"/>
            <w:tcBorders>
              <w:top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VET</w:t>
            </w:r>
          </w:p>
        </w:tc>
        <w:tc>
          <w:tcPr>
            <w:tcW w:w="1214" w:type="dxa"/>
            <w:tcBorders>
              <w:top w:val="single" w:sz="4" w:space="0" w:color="auto"/>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VET</w:t>
            </w:r>
          </w:p>
        </w:tc>
      </w:tr>
      <w:tr w:rsidR="007002AD" w:rsidRPr="00AB5D2C" w:rsidTr="005D122D">
        <w:trPr>
          <w:cantSplit/>
          <w:trHeight w:val="323"/>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val="restart"/>
            <w:shd w:val="clear" w:color="auto" w:fill="auto"/>
            <w:vAlign w:val="center"/>
          </w:tcPr>
          <w:p w:rsidR="007002AD" w:rsidRPr="000A3701"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The proportion of young Indigenous people aged 20</w:t>
            </w:r>
            <w:r w:rsidRPr="0082723D">
              <w:rPr>
                <w:rFonts w:ascii="Calibri" w:hAnsi="Calibri" w:cs="Corbel"/>
                <w:sz w:val="20"/>
                <w:szCs w:val="20"/>
              </w:rPr>
              <w:t>‐</w:t>
            </w:r>
            <w:r>
              <w:rPr>
                <w:rFonts w:ascii="Arial Narrow" w:hAnsi="Arial Narrow" w:cs="Corbel"/>
                <w:sz w:val="20"/>
                <w:szCs w:val="20"/>
              </w:rPr>
              <w:t xml:space="preserve">24 who have attained Year 12 or </w:t>
            </w:r>
            <w:r w:rsidRPr="0082723D">
              <w:rPr>
                <w:rFonts w:ascii="Arial Narrow" w:hAnsi="Arial Narrow" w:cs="Corbel"/>
                <w:sz w:val="20"/>
                <w:szCs w:val="20"/>
              </w:rPr>
              <w:t>Certificate II or above</w:t>
            </w:r>
          </w:p>
        </w:tc>
        <w:tc>
          <w:tcPr>
            <w:tcW w:w="2620" w:type="dxa"/>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ABS Census</w:t>
            </w: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2011 Census</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bottom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r>
      <w:tr w:rsidR="007002AD" w:rsidRPr="00AB5D2C" w:rsidTr="005D122D">
        <w:trPr>
          <w:cantSplit/>
          <w:trHeight w:val="361"/>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p>
        </w:tc>
        <w:tc>
          <w:tcPr>
            <w:tcW w:w="2620" w:type="dxa"/>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VET completions (</w:t>
            </w:r>
            <w:proofErr w:type="spellStart"/>
            <w:r w:rsidRPr="00AB5D2C">
              <w:rPr>
                <w:rFonts w:ascii="Arial Narrow" w:hAnsi="Arial Narrow"/>
                <w:sz w:val="20"/>
                <w:szCs w:val="20"/>
              </w:rPr>
              <w:t>VOCSTATS</w:t>
            </w:r>
            <w:proofErr w:type="spellEnd"/>
            <w:r w:rsidRPr="00AB5D2C">
              <w:rPr>
                <w:rFonts w:ascii="Arial Narrow" w:hAnsi="Arial Narrow"/>
                <w:sz w:val="20"/>
                <w:szCs w:val="20"/>
              </w:rPr>
              <w:t>)</w:t>
            </w:r>
            <w:r>
              <w:rPr>
                <w:rStyle w:val="FootnoteReference"/>
                <w:rFonts w:ascii="Arial Narrow" w:hAnsi="Arial Narrow"/>
                <w:sz w:val="20"/>
                <w:szCs w:val="20"/>
              </w:rPr>
              <w:footnoteReference w:id="8"/>
            </w: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2010 VET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VET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VET</w:t>
            </w:r>
          </w:p>
        </w:tc>
        <w:tc>
          <w:tcPr>
            <w:tcW w:w="1214" w:type="dxa"/>
            <w:tcBorders>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VET</w:t>
            </w:r>
          </w:p>
        </w:tc>
      </w:tr>
      <w:tr w:rsidR="007002AD" w:rsidRPr="00AB5D2C" w:rsidTr="005D122D">
        <w:trPr>
          <w:cantSplit/>
          <w:trHeight w:val="1288"/>
        </w:trPr>
        <w:tc>
          <w:tcPr>
            <w:tcW w:w="3845" w:type="dxa"/>
            <w:tcBorders>
              <w:top w:val="single" w:sz="12" w:space="0" w:color="auto"/>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Young people make a</w:t>
            </w:r>
          </w:p>
          <w:p w:rsidR="007002AD" w:rsidRPr="00AB5D2C" w:rsidRDefault="007002AD" w:rsidP="005D122D">
            <w:pPr>
              <w:rPr>
                <w:rFonts w:ascii="Arial Narrow" w:hAnsi="Arial Narrow"/>
                <w:sz w:val="20"/>
                <w:szCs w:val="20"/>
              </w:rPr>
            </w:pPr>
            <w:r w:rsidRPr="00AB5D2C">
              <w:rPr>
                <w:rFonts w:ascii="Arial Narrow" w:hAnsi="Arial Narrow"/>
                <w:sz w:val="20"/>
                <w:szCs w:val="20"/>
              </w:rPr>
              <w:t>successful transition from school to further education, training or full</w:t>
            </w:r>
            <w:r w:rsidRPr="00AB5D2C">
              <w:rPr>
                <w:rFonts w:ascii="Calibri" w:hAnsi="Calibri"/>
                <w:sz w:val="20"/>
                <w:szCs w:val="20"/>
              </w:rPr>
              <w:t>‐</w:t>
            </w:r>
            <w:r w:rsidRPr="00AB5D2C">
              <w:rPr>
                <w:rFonts w:ascii="Arial Narrow" w:hAnsi="Arial Narrow"/>
                <w:sz w:val="20"/>
                <w:szCs w:val="20"/>
              </w:rPr>
              <w:t>time employment</w:t>
            </w:r>
          </w:p>
        </w:tc>
        <w:tc>
          <w:tcPr>
            <w:tcW w:w="5619" w:type="dxa"/>
            <w:tcBorders>
              <w:top w:val="single" w:sz="12" w:space="0" w:color="auto"/>
            </w:tcBorders>
            <w:shd w:val="clear" w:color="auto" w:fill="auto"/>
            <w:vAlign w:val="center"/>
          </w:tcPr>
          <w:p w:rsidR="007002AD" w:rsidRPr="0082723D" w:rsidRDefault="007002AD" w:rsidP="005D122D">
            <w:pPr>
              <w:rPr>
                <w:rFonts w:ascii="Arial Narrow" w:hAnsi="Arial Narrow"/>
                <w:i/>
                <w:sz w:val="20"/>
                <w:szCs w:val="20"/>
              </w:rPr>
            </w:pPr>
            <w:r w:rsidRPr="0082723D">
              <w:rPr>
                <w:rFonts w:ascii="Arial Narrow" w:hAnsi="Arial Narrow"/>
                <w:sz w:val="20"/>
                <w:szCs w:val="20"/>
              </w:rPr>
              <w:t>The proportion of young people aged 15</w:t>
            </w:r>
            <w:r w:rsidRPr="0082723D">
              <w:rPr>
                <w:rFonts w:ascii="Calibri" w:hAnsi="Calibri"/>
                <w:sz w:val="20"/>
                <w:szCs w:val="20"/>
              </w:rPr>
              <w:t>‐</w:t>
            </w:r>
            <w:r w:rsidRPr="0082723D">
              <w:rPr>
                <w:rFonts w:ascii="Arial Narrow" w:hAnsi="Arial Narrow"/>
                <w:sz w:val="20"/>
                <w:szCs w:val="20"/>
              </w:rPr>
              <w:t>24 participating in post</w:t>
            </w:r>
            <w:r w:rsidRPr="0082723D">
              <w:rPr>
                <w:rFonts w:ascii="Calibri" w:hAnsi="Calibri"/>
                <w:sz w:val="20"/>
                <w:szCs w:val="20"/>
              </w:rPr>
              <w:t>‐</w:t>
            </w:r>
            <w:r w:rsidRPr="0082723D">
              <w:rPr>
                <w:rFonts w:ascii="Arial Narrow" w:hAnsi="Arial Narrow"/>
                <w:sz w:val="20"/>
                <w:szCs w:val="20"/>
              </w:rPr>
              <w:t>school education, training or employment six months after leaving school</w:t>
            </w:r>
          </w:p>
        </w:tc>
        <w:tc>
          <w:tcPr>
            <w:tcW w:w="2620" w:type="dxa"/>
            <w:tcBorders>
              <w:top w:val="single" w:sz="12" w:space="0" w:color="auto"/>
              <w:bottom w:val="single" w:sz="4" w:space="0" w:color="auto"/>
              <w:right w:val="single" w:sz="12" w:space="0" w:color="auto"/>
            </w:tcBorders>
            <w:shd w:val="clear" w:color="auto" w:fill="auto"/>
            <w:vAlign w:val="center"/>
          </w:tcPr>
          <w:p w:rsidR="007002AD" w:rsidRPr="000A7A83" w:rsidRDefault="007002AD" w:rsidP="005D122D">
            <w:pPr>
              <w:rPr>
                <w:rFonts w:ascii="Arial Narrow" w:hAnsi="Arial Narrow"/>
                <w:sz w:val="20"/>
                <w:szCs w:val="20"/>
              </w:rPr>
            </w:pPr>
            <w:r w:rsidRPr="00AB5D2C">
              <w:rPr>
                <w:rFonts w:ascii="Arial Narrow" w:hAnsi="Arial Narrow"/>
                <w:sz w:val="20"/>
                <w:szCs w:val="20"/>
              </w:rPr>
              <w:t>Survey of Education and Work</w:t>
            </w:r>
            <w:r>
              <w:rPr>
                <w:rFonts w:ascii="Arial Narrow" w:hAnsi="Arial Narrow"/>
                <w:sz w:val="20"/>
                <w:szCs w:val="20"/>
              </w:rPr>
              <w:t xml:space="preserve"> (ABS)</w:t>
            </w:r>
            <w:r>
              <w:rPr>
                <w:rStyle w:val="FootnoteReference"/>
                <w:rFonts w:ascii="Arial Narrow" w:hAnsi="Arial Narrow"/>
                <w:sz w:val="20"/>
                <w:szCs w:val="20"/>
              </w:rPr>
              <w:footnoteReference w:id="9"/>
            </w:r>
          </w:p>
        </w:tc>
        <w:tc>
          <w:tcPr>
            <w:tcW w:w="1214" w:type="dxa"/>
            <w:tcBorders>
              <w:top w:val="single" w:sz="12" w:space="0" w:color="auto"/>
              <w:bottom w:val="single" w:sz="4" w:space="0" w:color="auto"/>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60.2%</w:t>
            </w:r>
          </w:p>
        </w:tc>
        <w:tc>
          <w:tcPr>
            <w:tcW w:w="1214" w:type="dxa"/>
            <w:tcBorders>
              <w:top w:val="single" w:sz="12" w:space="0" w:color="auto"/>
              <w:left w:val="single" w:sz="4" w:space="0" w:color="auto"/>
              <w:bottom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bottom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2011 SEW</w:t>
            </w:r>
          </w:p>
        </w:tc>
        <w:tc>
          <w:tcPr>
            <w:tcW w:w="1214" w:type="dxa"/>
            <w:tcBorders>
              <w:top w:val="single" w:sz="12" w:space="0" w:color="auto"/>
              <w:left w:val="single" w:sz="4" w:space="0" w:color="auto"/>
              <w:bottom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bottom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2012 SEW</w:t>
            </w:r>
          </w:p>
        </w:tc>
        <w:tc>
          <w:tcPr>
            <w:tcW w:w="1214" w:type="dxa"/>
            <w:tcBorders>
              <w:top w:val="single" w:sz="12" w:space="0" w:color="auto"/>
              <w:left w:val="single" w:sz="4" w:space="0" w:color="auto"/>
              <w:bottom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left w:val="single" w:sz="4" w:space="0" w:color="auto"/>
              <w:bottom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w:t>
            </w:r>
            <w:r w:rsidRPr="00AB5D2C">
              <w:rPr>
                <w:rFonts w:ascii="Arial Narrow" w:hAnsi="Arial Narrow"/>
                <w:sz w:val="20"/>
                <w:szCs w:val="20"/>
              </w:rPr>
              <w:t xml:space="preserve"> SEW</w:t>
            </w:r>
          </w:p>
        </w:tc>
        <w:tc>
          <w:tcPr>
            <w:tcW w:w="1214" w:type="dxa"/>
            <w:tcBorders>
              <w:top w:val="single" w:sz="12" w:space="0" w:color="auto"/>
              <w:left w:val="single" w:sz="4" w:space="0" w:color="auto"/>
              <w:bottom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sidRPr="00AB5D2C">
              <w:rPr>
                <w:rFonts w:ascii="Arial Narrow" w:hAnsi="Arial Narrow"/>
                <w:sz w:val="20"/>
                <w:szCs w:val="20"/>
              </w:rPr>
              <w:t>-</w:t>
            </w:r>
          </w:p>
        </w:tc>
      </w:tr>
      <w:tr w:rsidR="007002AD" w:rsidRPr="00AB5D2C" w:rsidTr="005D122D">
        <w:trPr>
          <w:cantSplit/>
          <w:trHeight w:val="114"/>
        </w:trPr>
        <w:tc>
          <w:tcPr>
            <w:tcW w:w="3845" w:type="dxa"/>
            <w:vMerge w:val="restart"/>
            <w:tcBorders>
              <w:top w:val="single" w:sz="12" w:space="0" w:color="auto"/>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Improved Indigenous attendance</w:t>
            </w:r>
          </w:p>
        </w:tc>
        <w:tc>
          <w:tcPr>
            <w:tcW w:w="5619" w:type="dxa"/>
            <w:vMerge w:val="restart"/>
            <w:tcBorders>
              <w:top w:val="single" w:sz="12" w:space="0" w:color="auto"/>
            </w:tcBorders>
            <w:shd w:val="clear" w:color="auto" w:fill="auto"/>
            <w:vAlign w:val="center"/>
          </w:tcPr>
          <w:p w:rsidR="007002AD" w:rsidRPr="0082723D" w:rsidRDefault="007002AD" w:rsidP="005D122D">
            <w:pPr>
              <w:rPr>
                <w:rFonts w:ascii="Arial Narrow" w:hAnsi="Arial Narrow"/>
                <w:sz w:val="20"/>
                <w:szCs w:val="20"/>
              </w:rPr>
            </w:pPr>
            <w:r w:rsidRPr="0082723D">
              <w:rPr>
                <w:rFonts w:ascii="Arial Narrow" w:hAnsi="Arial Narrow"/>
                <w:sz w:val="20"/>
                <w:szCs w:val="20"/>
              </w:rPr>
              <w:t>Attendance rates for Indigenous students in years 1-10</w:t>
            </w:r>
            <w:r>
              <w:rPr>
                <w:rFonts w:ascii="Arial Narrow" w:hAnsi="Arial Narrow"/>
                <w:sz w:val="20"/>
                <w:szCs w:val="20"/>
              </w:rPr>
              <w:t xml:space="preserve"> in government schools</w:t>
            </w:r>
          </w:p>
        </w:tc>
        <w:tc>
          <w:tcPr>
            <w:tcW w:w="2620" w:type="dxa"/>
            <w:vMerge w:val="restart"/>
            <w:tcBorders>
              <w:top w:val="single" w:sz="12" w:space="0" w:color="auto"/>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roofErr w:type="spellStart"/>
            <w:r w:rsidRPr="000A6EAC">
              <w:rPr>
                <w:rFonts w:ascii="Arial Narrow" w:hAnsi="Arial Narrow"/>
                <w:sz w:val="20"/>
                <w:szCs w:val="20"/>
              </w:rPr>
              <w:t>MCEECDYA</w:t>
            </w:r>
            <w:proofErr w:type="spellEnd"/>
            <w:r w:rsidRPr="000A6EAC">
              <w:rPr>
                <w:rFonts w:ascii="Arial Narrow" w:hAnsi="Arial Narrow"/>
                <w:sz w:val="20"/>
                <w:szCs w:val="20"/>
              </w:rPr>
              <w:t xml:space="preserve"> </w:t>
            </w:r>
            <w:r>
              <w:rPr>
                <w:rFonts w:ascii="Arial Narrow" w:hAnsi="Arial Narrow"/>
                <w:sz w:val="20"/>
                <w:szCs w:val="20"/>
              </w:rPr>
              <w:t>National</w:t>
            </w:r>
            <w:r w:rsidRPr="000A6EAC">
              <w:rPr>
                <w:rFonts w:ascii="Arial Narrow" w:hAnsi="Arial Narrow"/>
                <w:sz w:val="20"/>
                <w:szCs w:val="20"/>
              </w:rPr>
              <w:t xml:space="preserve"> Schools</w:t>
            </w:r>
          </w:p>
          <w:p w:rsidR="007002AD" w:rsidRDefault="007002AD" w:rsidP="005D122D">
            <w:pPr>
              <w:rPr>
                <w:rFonts w:ascii="Arial Narrow" w:hAnsi="Arial Narrow"/>
                <w:sz w:val="20"/>
                <w:szCs w:val="20"/>
              </w:rPr>
            </w:pPr>
            <w:r w:rsidRPr="000A6EAC">
              <w:rPr>
                <w:rFonts w:ascii="Arial Narrow" w:hAnsi="Arial Narrow"/>
                <w:sz w:val="20"/>
                <w:szCs w:val="20"/>
              </w:rPr>
              <w:t>Attendance Collection</w:t>
            </w:r>
            <w:r>
              <w:rPr>
                <w:rFonts w:ascii="Arial Narrow" w:hAnsi="Arial Narrow"/>
                <w:sz w:val="20"/>
                <w:szCs w:val="20"/>
              </w:rPr>
              <w:t xml:space="preserve"> (</w:t>
            </w:r>
            <w:proofErr w:type="spellStart"/>
            <w:r>
              <w:rPr>
                <w:rFonts w:ascii="Arial Narrow" w:hAnsi="Arial Narrow"/>
                <w:sz w:val="20"/>
                <w:szCs w:val="20"/>
              </w:rPr>
              <w:t>NSAC</w:t>
            </w:r>
            <w:proofErr w:type="spellEnd"/>
            <w:r>
              <w:rPr>
                <w:rFonts w:ascii="Arial Narrow" w:hAnsi="Arial Narrow"/>
                <w:sz w:val="20"/>
                <w:szCs w:val="20"/>
              </w:rPr>
              <w:t>)</w:t>
            </w:r>
            <w:r>
              <w:rPr>
                <w:rStyle w:val="FootnoteReference"/>
                <w:rFonts w:ascii="Arial Narrow" w:hAnsi="Arial Narrow"/>
                <w:sz w:val="20"/>
                <w:szCs w:val="20"/>
              </w:rPr>
              <w:t xml:space="preserve"> </w:t>
            </w:r>
            <w:r>
              <w:rPr>
                <w:rStyle w:val="FootnoteReference"/>
                <w:rFonts w:ascii="Arial Narrow" w:hAnsi="Arial Narrow"/>
                <w:sz w:val="20"/>
                <w:szCs w:val="20"/>
              </w:rPr>
              <w:footnoteReference w:id="10"/>
            </w:r>
          </w:p>
          <w:p w:rsidR="007002AD" w:rsidRDefault="007002AD" w:rsidP="005D122D">
            <w:pPr>
              <w:rPr>
                <w:rFonts w:ascii="Arial Narrow" w:hAnsi="Arial Narrow"/>
                <w:sz w:val="20"/>
                <w:szCs w:val="20"/>
              </w:rPr>
            </w:pPr>
          </w:p>
          <w:p w:rsidR="007002AD" w:rsidRPr="00AB5D2C" w:rsidRDefault="007002AD" w:rsidP="005D122D">
            <w:pPr>
              <w:rPr>
                <w:rFonts w:ascii="Arial Narrow" w:hAnsi="Arial Narrow"/>
                <w:sz w:val="20"/>
                <w:szCs w:val="20"/>
              </w:rPr>
            </w:pPr>
            <w:r>
              <w:rPr>
                <w:rFonts w:ascii="Arial Narrow" w:hAnsi="Arial Narrow"/>
                <w:sz w:val="16"/>
                <w:szCs w:val="16"/>
              </w:rPr>
              <w:t xml:space="preserve">Figures awaiting release by </w:t>
            </w:r>
            <w:proofErr w:type="spellStart"/>
            <w:r>
              <w:rPr>
                <w:rFonts w:ascii="Arial Narrow" w:hAnsi="Arial Narrow"/>
                <w:sz w:val="16"/>
                <w:szCs w:val="16"/>
              </w:rPr>
              <w:t>ACARA</w:t>
            </w:r>
            <w:proofErr w:type="spellEnd"/>
          </w:p>
        </w:tc>
        <w:tc>
          <w:tcPr>
            <w:tcW w:w="1214" w:type="dxa"/>
            <w:tcBorders>
              <w:top w:val="single" w:sz="12" w:space="0" w:color="auto"/>
              <w:bottom w:val="single" w:sz="4" w:space="0" w:color="auto"/>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Year 1 2010 attendance</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2011 attendance</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2012 attendance</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top w:val="single" w:sz="12" w:space="0" w:color="auto"/>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2013 attendance</w:t>
            </w:r>
          </w:p>
        </w:tc>
        <w:tc>
          <w:tcPr>
            <w:tcW w:w="1214" w:type="dxa"/>
            <w:tcBorders>
              <w:top w:val="single" w:sz="12" w:space="0" w:color="auto"/>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2</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3</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4</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5</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6</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7</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8</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9</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114"/>
        </w:trPr>
        <w:tc>
          <w:tcPr>
            <w:tcW w:w="3845" w:type="dxa"/>
            <w:vMerge/>
            <w:tcBorders>
              <w:left w:val="single" w:sz="12" w:space="0" w:color="auto"/>
              <w:bottom w:val="single" w:sz="4"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vMerge/>
            <w:tcBorders>
              <w:bottom w:val="single" w:sz="4" w:space="0" w:color="auto"/>
            </w:tcBorders>
            <w:shd w:val="clear" w:color="auto" w:fill="auto"/>
            <w:vAlign w:val="center"/>
          </w:tcPr>
          <w:p w:rsidR="007002AD" w:rsidRPr="0082723D" w:rsidRDefault="007002AD" w:rsidP="005D122D">
            <w:pPr>
              <w:rPr>
                <w:rFonts w:ascii="Arial Narrow" w:hAnsi="Arial Narrow"/>
                <w:sz w:val="20"/>
                <w:szCs w:val="20"/>
              </w:rPr>
            </w:pPr>
          </w:p>
        </w:tc>
        <w:tc>
          <w:tcPr>
            <w:tcW w:w="2620" w:type="dxa"/>
            <w:vMerge/>
            <w:tcBorders>
              <w:bottom w:val="single" w:sz="4" w:space="0" w:color="auto"/>
              <w:right w:val="single" w:sz="12" w:space="0" w:color="auto"/>
            </w:tcBorders>
            <w:shd w:val="clear" w:color="auto" w:fill="auto"/>
            <w:vAlign w:val="center"/>
          </w:tcPr>
          <w:p w:rsidR="007002AD" w:rsidRPr="000A6EAC" w:rsidRDefault="007002AD" w:rsidP="005D122D">
            <w:pPr>
              <w:rPr>
                <w:rFonts w:ascii="Arial Narrow" w:hAnsi="Arial Narrow"/>
                <w:sz w:val="20"/>
                <w:szCs w:val="20"/>
              </w:rPr>
            </w:pPr>
          </w:p>
        </w:tc>
        <w:tc>
          <w:tcPr>
            <w:tcW w:w="1214" w:type="dxa"/>
            <w:tcBorders>
              <w:top w:val="single" w:sz="4" w:space="0" w:color="auto"/>
              <w:bottom w:val="single" w:sz="4" w:space="0" w:color="auto"/>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Year 10</w:t>
            </w:r>
          </w:p>
        </w:tc>
        <w:tc>
          <w:tcPr>
            <w:tcW w:w="1214" w:type="dxa"/>
            <w:tcBorders>
              <w:left w:val="single" w:sz="4" w:space="0" w:color="auto"/>
              <w:bottom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bottom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bottom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4" w:space="0" w:color="auto"/>
              <w:right w:val="single" w:sz="4" w:space="0" w:color="auto"/>
            </w:tcBorders>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RPr="00AB5D2C" w:rsidTr="005D122D">
        <w:trPr>
          <w:cantSplit/>
          <w:trHeight w:val="254"/>
        </w:trPr>
        <w:tc>
          <w:tcPr>
            <w:tcW w:w="3845" w:type="dxa"/>
            <w:vMerge w:val="restart"/>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Improved Indigenous retention</w:t>
            </w:r>
          </w:p>
        </w:tc>
        <w:tc>
          <w:tcPr>
            <w:tcW w:w="5619" w:type="dxa"/>
            <w:shd w:val="clear" w:color="auto" w:fill="auto"/>
            <w:vAlign w:val="center"/>
          </w:tcPr>
          <w:p w:rsidR="007002AD" w:rsidRPr="000A1D19"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Apparent retention years 7/8 to year 10, by Indigenous status</w:t>
            </w:r>
            <w:r>
              <w:rPr>
                <w:rStyle w:val="FootnoteReference"/>
                <w:rFonts w:ascii="Arial Narrow" w:hAnsi="Arial Narrow" w:cs="Corbel"/>
                <w:sz w:val="20"/>
                <w:szCs w:val="20"/>
              </w:rPr>
              <w:footnoteReference w:id="11"/>
            </w:r>
          </w:p>
        </w:tc>
        <w:tc>
          <w:tcPr>
            <w:tcW w:w="2620" w:type="dxa"/>
            <w:vMerge w:val="restart"/>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sidRPr="00AB5D2C">
              <w:rPr>
                <w:rFonts w:ascii="Arial Narrow" w:hAnsi="Arial Narrow"/>
                <w:sz w:val="20"/>
                <w:szCs w:val="20"/>
              </w:rPr>
              <w:t>National Schools Statistics Collection (ABS)</w:t>
            </w:r>
          </w:p>
        </w:tc>
        <w:tc>
          <w:tcPr>
            <w:tcW w:w="1214" w:type="dxa"/>
            <w:tcBorders>
              <w:right w:val="single" w:sz="4" w:space="0" w:color="auto"/>
            </w:tcBorders>
            <w:vAlign w:val="center"/>
          </w:tcPr>
          <w:p w:rsidR="007002AD" w:rsidRPr="00AB5D2C" w:rsidRDefault="007002AD" w:rsidP="005D122D">
            <w:pPr>
              <w:jc w:val="right"/>
              <w:rPr>
                <w:rFonts w:ascii="Arial Narrow" w:hAnsi="Arial Narrow"/>
                <w:sz w:val="20"/>
                <w:szCs w:val="20"/>
              </w:rPr>
            </w:pPr>
            <w:r>
              <w:rPr>
                <w:rFonts w:ascii="Arial Narrow" w:hAnsi="Arial Narrow"/>
                <w:sz w:val="20"/>
                <w:szCs w:val="20"/>
              </w:rPr>
              <w:t>81.0%</w:t>
            </w:r>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 xml:space="preserve">2011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 xml:space="preserve">2012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 xml:space="preserve">2013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Pr="00AB5D2C"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Height w:val="272"/>
        </w:trPr>
        <w:tc>
          <w:tcPr>
            <w:tcW w:w="3845" w:type="dxa"/>
            <w:vMerge/>
            <w:tcBorders>
              <w:left w:val="single" w:sz="12" w:space="0" w:color="auto"/>
            </w:tcBorders>
            <w:shd w:val="clear" w:color="auto" w:fill="E6E6E6"/>
            <w:vAlign w:val="center"/>
          </w:tcPr>
          <w:p w:rsidR="007002AD" w:rsidRPr="00AB5D2C" w:rsidRDefault="007002AD" w:rsidP="005D122D">
            <w:pPr>
              <w:rPr>
                <w:rFonts w:ascii="Arial Narrow" w:hAnsi="Arial Narrow"/>
                <w:sz w:val="20"/>
                <w:szCs w:val="20"/>
              </w:rPr>
            </w:pPr>
          </w:p>
        </w:tc>
        <w:tc>
          <w:tcPr>
            <w:tcW w:w="5619" w:type="dxa"/>
            <w:shd w:val="clear" w:color="auto" w:fill="auto"/>
            <w:vAlign w:val="center"/>
          </w:tcPr>
          <w:p w:rsidR="007002AD" w:rsidRPr="0082723D" w:rsidRDefault="007002AD" w:rsidP="005D122D">
            <w:pPr>
              <w:autoSpaceDE w:val="0"/>
              <w:autoSpaceDN w:val="0"/>
              <w:adjustRightInd w:val="0"/>
              <w:rPr>
                <w:rFonts w:ascii="Arial Narrow" w:hAnsi="Arial Narrow" w:cs="Corbel"/>
                <w:sz w:val="20"/>
                <w:szCs w:val="20"/>
              </w:rPr>
            </w:pPr>
            <w:r w:rsidRPr="0082723D">
              <w:rPr>
                <w:rFonts w:ascii="Arial Narrow" w:hAnsi="Arial Narrow" w:cs="Corbel"/>
                <w:sz w:val="20"/>
                <w:szCs w:val="20"/>
              </w:rPr>
              <w:t>Apparent retention years 7/8 to year 12, by Indigenous status</w:t>
            </w:r>
            <w:r>
              <w:rPr>
                <w:rStyle w:val="FootnoteReference"/>
                <w:rFonts w:ascii="Arial Narrow" w:hAnsi="Arial Narrow" w:cs="Corbel"/>
                <w:sz w:val="20"/>
                <w:szCs w:val="20"/>
              </w:rPr>
              <w:footnoteReference w:id="12"/>
            </w:r>
          </w:p>
        </w:tc>
        <w:tc>
          <w:tcPr>
            <w:tcW w:w="2620" w:type="dxa"/>
            <w:vMerge/>
            <w:tcBorders>
              <w:right w:val="single" w:sz="12" w:space="0" w:color="auto"/>
            </w:tcBorders>
            <w:shd w:val="clear" w:color="auto" w:fill="auto"/>
            <w:vAlign w:val="center"/>
          </w:tcPr>
          <w:p w:rsidR="007002AD" w:rsidRPr="00AB5D2C" w:rsidRDefault="007002AD" w:rsidP="005D122D">
            <w:pPr>
              <w:rPr>
                <w:rFonts w:ascii="Arial Narrow" w:hAnsi="Arial Narrow"/>
                <w:sz w:val="20"/>
                <w:szCs w:val="20"/>
              </w:rPr>
            </w:pPr>
          </w:p>
        </w:tc>
        <w:tc>
          <w:tcPr>
            <w:tcW w:w="1214" w:type="dxa"/>
            <w:tcBorders>
              <w:right w:val="single" w:sz="4" w:space="0" w:color="auto"/>
            </w:tcBorders>
            <w:vAlign w:val="center"/>
          </w:tcPr>
          <w:p w:rsidR="007002AD" w:rsidRDefault="007002AD" w:rsidP="005D122D">
            <w:pPr>
              <w:jc w:val="right"/>
              <w:rPr>
                <w:rFonts w:ascii="Arial Narrow" w:hAnsi="Arial Narrow"/>
                <w:sz w:val="20"/>
                <w:szCs w:val="20"/>
              </w:rPr>
            </w:pPr>
            <w:r>
              <w:rPr>
                <w:rFonts w:ascii="Arial Narrow" w:hAnsi="Arial Narrow"/>
                <w:sz w:val="20"/>
                <w:szCs w:val="20"/>
              </w:rPr>
              <w:t>29.8%</w:t>
            </w:r>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 xml:space="preserve">2011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 xml:space="preserve">2012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4" w:space="0" w:color="auto"/>
              <w:right w:val="single" w:sz="4"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 xml:space="preserve">2013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vAlign w:val="center"/>
          </w:tcPr>
          <w:p w:rsidR="007002AD" w:rsidRDefault="007002AD" w:rsidP="005D122D">
            <w:pPr>
              <w:jc w:val="center"/>
              <w:rPr>
                <w:rFonts w:ascii="Arial Narrow" w:hAnsi="Arial Narrow"/>
                <w:sz w:val="20"/>
                <w:szCs w:val="20"/>
              </w:rPr>
            </w:pPr>
            <w:r>
              <w:rPr>
                <w:rFonts w:ascii="Arial Narrow" w:hAnsi="Arial Narrow"/>
                <w:sz w:val="20"/>
                <w:szCs w:val="20"/>
              </w:rPr>
              <w:t>-</w:t>
            </w:r>
          </w:p>
        </w:tc>
      </w:tr>
      <w:tr w:rsidR="007002AD" w:rsidTr="005D122D">
        <w:trPr>
          <w:cantSplit/>
        </w:trPr>
        <w:tc>
          <w:tcPr>
            <w:tcW w:w="3845" w:type="dxa"/>
            <w:tcBorders>
              <w:left w:val="single" w:sz="12" w:space="0" w:color="auto"/>
              <w:bottom w:val="single" w:sz="12" w:space="0" w:color="auto"/>
            </w:tcBorders>
            <w:shd w:val="clear" w:color="auto" w:fill="E6E6E6"/>
            <w:vAlign w:val="center"/>
          </w:tcPr>
          <w:p w:rsidR="007002AD" w:rsidRPr="00021CF1" w:rsidRDefault="007002AD" w:rsidP="005D122D">
            <w:pPr>
              <w:rPr>
                <w:rFonts w:ascii="Arial Narrow" w:hAnsi="Arial Narrow"/>
                <w:sz w:val="18"/>
                <w:szCs w:val="18"/>
              </w:rPr>
            </w:pPr>
            <w:r w:rsidRPr="00021CF1">
              <w:rPr>
                <w:rFonts w:ascii="Arial Narrow" w:hAnsi="Arial Narrow"/>
                <w:sz w:val="18"/>
                <w:szCs w:val="18"/>
              </w:rPr>
              <w:t>Improved Indigenous participation and engagement</w:t>
            </w:r>
          </w:p>
        </w:tc>
        <w:tc>
          <w:tcPr>
            <w:tcW w:w="5619" w:type="dxa"/>
            <w:tcBorders>
              <w:bottom w:val="single" w:sz="12" w:space="0" w:color="auto"/>
            </w:tcBorders>
            <w:shd w:val="clear" w:color="auto" w:fill="auto"/>
            <w:vAlign w:val="center"/>
          </w:tcPr>
          <w:p w:rsidR="007002AD" w:rsidRPr="00AB5D2C" w:rsidRDefault="007002AD" w:rsidP="005D122D">
            <w:pPr>
              <w:autoSpaceDE w:val="0"/>
              <w:autoSpaceDN w:val="0"/>
              <w:adjustRightInd w:val="0"/>
              <w:rPr>
                <w:rFonts w:ascii="Arial Narrow" w:hAnsi="Arial Narrow" w:cs="Corbel"/>
                <w:sz w:val="20"/>
                <w:szCs w:val="20"/>
              </w:rPr>
            </w:pPr>
            <w:r>
              <w:rPr>
                <w:rFonts w:ascii="Arial Narrow" w:hAnsi="Arial Narrow"/>
                <w:sz w:val="20"/>
                <w:szCs w:val="20"/>
              </w:rPr>
              <w:t>School level strategies</w:t>
            </w:r>
            <w:r>
              <w:rPr>
                <w:rStyle w:val="FootnoteReference"/>
                <w:rFonts w:ascii="Arial Narrow" w:hAnsi="Arial Narrow"/>
                <w:sz w:val="20"/>
                <w:szCs w:val="20"/>
              </w:rPr>
              <w:footnoteReference w:id="13"/>
            </w:r>
          </w:p>
        </w:tc>
        <w:tc>
          <w:tcPr>
            <w:tcW w:w="2620" w:type="dxa"/>
            <w:tcBorders>
              <w:bottom w:val="single" w:sz="12" w:space="0" w:color="auto"/>
              <w:right w:val="single" w:sz="12" w:space="0" w:color="auto"/>
            </w:tcBorders>
            <w:shd w:val="clear" w:color="auto" w:fill="auto"/>
            <w:vAlign w:val="center"/>
          </w:tcPr>
          <w:p w:rsidR="007002AD" w:rsidRPr="00AB5D2C" w:rsidRDefault="007002AD" w:rsidP="005D122D">
            <w:pPr>
              <w:rPr>
                <w:rFonts w:ascii="Arial Narrow" w:hAnsi="Arial Narrow"/>
                <w:sz w:val="20"/>
                <w:szCs w:val="20"/>
              </w:rPr>
            </w:pPr>
            <w:r>
              <w:rPr>
                <w:rFonts w:ascii="Arial Narrow" w:hAnsi="Arial Narrow"/>
                <w:sz w:val="20"/>
                <w:szCs w:val="20"/>
              </w:rPr>
              <w:t>Jurisdiction information</w:t>
            </w:r>
          </w:p>
        </w:tc>
        <w:tc>
          <w:tcPr>
            <w:tcW w:w="1214" w:type="dxa"/>
            <w:tcBorders>
              <w:bottom w:val="single" w:sz="12" w:space="0" w:color="auto"/>
              <w:right w:val="single" w:sz="4"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12" w:space="0" w:color="auto"/>
              <w:right w:val="single" w:sz="12"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bottom w:val="single" w:sz="12" w:space="0" w:color="auto"/>
              <w:right w:val="single" w:sz="4"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12" w:space="0" w:color="auto"/>
              <w:right w:val="single" w:sz="12"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bottom w:val="single" w:sz="12" w:space="0" w:color="auto"/>
              <w:right w:val="single" w:sz="4"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12" w:space="0" w:color="auto"/>
              <w:right w:val="single" w:sz="12"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12" w:space="0" w:color="auto"/>
              <w:right w:val="single" w:sz="4" w:space="0" w:color="auto"/>
            </w:tcBorders>
            <w:shd w:val="clear" w:color="auto" w:fill="auto"/>
            <w:vAlign w:val="center"/>
          </w:tcPr>
          <w:p w:rsidR="007002AD" w:rsidRDefault="007002AD" w:rsidP="005D122D">
            <w:pPr>
              <w:jc w:val="center"/>
              <w:rPr>
                <w:rFonts w:ascii="Arial Narrow" w:hAnsi="Arial Narrow"/>
                <w:sz w:val="20"/>
                <w:szCs w:val="20"/>
              </w:rPr>
            </w:pPr>
          </w:p>
        </w:tc>
        <w:tc>
          <w:tcPr>
            <w:tcW w:w="1214" w:type="dxa"/>
            <w:tcBorders>
              <w:left w:val="single" w:sz="4" w:space="0" w:color="auto"/>
              <w:bottom w:val="single" w:sz="12" w:space="0" w:color="auto"/>
              <w:right w:val="single" w:sz="12" w:space="0" w:color="auto"/>
            </w:tcBorders>
            <w:shd w:val="clear" w:color="auto" w:fill="auto"/>
            <w:vAlign w:val="center"/>
          </w:tcPr>
          <w:p w:rsidR="007002AD" w:rsidRDefault="007002AD" w:rsidP="005D122D">
            <w:pPr>
              <w:jc w:val="center"/>
              <w:rPr>
                <w:rFonts w:ascii="Arial Narrow" w:hAnsi="Arial Narrow"/>
                <w:sz w:val="20"/>
                <w:szCs w:val="20"/>
              </w:rPr>
            </w:pPr>
          </w:p>
        </w:tc>
      </w:tr>
    </w:tbl>
    <w:p w:rsidR="00AC3C06" w:rsidRDefault="00AC3C06" w:rsidP="00AC3C06">
      <w:pPr>
        <w:rPr>
          <w:b/>
        </w:rPr>
      </w:pPr>
      <w:r>
        <w:rPr>
          <w:b/>
        </w:rPr>
        <w:t>Notes on the data</w:t>
      </w:r>
    </w:p>
    <w:p w:rsidR="00AC3C06" w:rsidRDefault="00AC3C06" w:rsidP="00AC3C06">
      <w:pPr>
        <w:pStyle w:val="ListParagraph"/>
        <w:numPr>
          <w:ilvl w:val="0"/>
          <w:numId w:val="38"/>
        </w:numPr>
        <w:spacing w:line="240" w:lineRule="auto"/>
        <w:rPr>
          <w:rFonts w:ascii="Arial" w:hAnsi="Arial" w:cs="Arial"/>
          <w:sz w:val="18"/>
          <w:szCs w:val="18"/>
        </w:rPr>
      </w:pPr>
      <w:r>
        <w:rPr>
          <w:rFonts w:ascii="Arial" w:hAnsi="Arial" w:cs="Arial"/>
          <w:sz w:val="18"/>
          <w:szCs w:val="18"/>
        </w:rPr>
        <w:t xml:space="preserve">Attainment measure for 20 to 24 year olds is sourced from the ABS Survey of Education and Work. The survey is undertaken in May each year with results normally reported in December of the same year. The data from the survey relates to measures at that point in time. </w:t>
      </w:r>
    </w:p>
    <w:p w:rsidR="00AC3C06" w:rsidRDefault="00AC3C06" w:rsidP="00AC3C06">
      <w:pPr>
        <w:pStyle w:val="ListParagraph"/>
        <w:numPr>
          <w:ilvl w:val="0"/>
          <w:numId w:val="38"/>
        </w:numPr>
        <w:spacing w:line="240" w:lineRule="auto"/>
        <w:rPr>
          <w:rFonts w:ascii="Arial" w:hAnsi="Arial" w:cs="Arial"/>
          <w:sz w:val="18"/>
          <w:szCs w:val="18"/>
        </w:rPr>
      </w:pPr>
      <w:r>
        <w:rPr>
          <w:rFonts w:ascii="Arial" w:hAnsi="Arial" w:cs="Arial"/>
          <w:sz w:val="18"/>
          <w:szCs w:val="18"/>
        </w:rPr>
        <w:t xml:space="preserve">The ABS Survey of Education and Work is a sample survey; results are therefore reported with confidence intervals. For smaller jurisdictions confidence intervals can be substantial. The nature of the survey and the size of the error mean that it may not be possible to accurately identify change over time, even in larger jurisdictions. These data limitations were signalled by the </w:t>
      </w:r>
      <w:proofErr w:type="spellStart"/>
      <w:r>
        <w:rPr>
          <w:rFonts w:ascii="Arial" w:hAnsi="Arial" w:cs="Arial"/>
          <w:sz w:val="18"/>
          <w:szCs w:val="18"/>
        </w:rPr>
        <w:t>COAG</w:t>
      </w:r>
      <w:proofErr w:type="spellEnd"/>
      <w:r>
        <w:rPr>
          <w:rFonts w:ascii="Arial" w:hAnsi="Arial" w:cs="Arial"/>
          <w:sz w:val="18"/>
          <w:szCs w:val="18"/>
        </w:rPr>
        <w:t xml:space="preserve"> Reform Council (2010).</w:t>
      </w:r>
    </w:p>
    <w:p w:rsidR="00AC3C06" w:rsidRDefault="00AC3C06" w:rsidP="00AC3C06">
      <w:pPr>
        <w:pStyle w:val="ListParagraph"/>
        <w:numPr>
          <w:ilvl w:val="0"/>
          <w:numId w:val="38"/>
        </w:numPr>
        <w:spacing w:line="240" w:lineRule="auto"/>
        <w:rPr>
          <w:rFonts w:ascii="Arial" w:hAnsi="Arial" w:cs="Arial"/>
          <w:sz w:val="18"/>
          <w:szCs w:val="18"/>
        </w:rPr>
      </w:pPr>
      <w:r>
        <w:rPr>
          <w:rFonts w:ascii="Arial" w:hAnsi="Arial" w:cs="Arial"/>
          <w:sz w:val="18"/>
          <w:szCs w:val="18"/>
        </w:rPr>
        <w:t xml:space="preserve">Data from </w:t>
      </w:r>
      <w:proofErr w:type="spellStart"/>
      <w:r>
        <w:rPr>
          <w:rFonts w:ascii="Arial" w:hAnsi="Arial" w:cs="Arial"/>
          <w:sz w:val="18"/>
          <w:szCs w:val="18"/>
        </w:rPr>
        <w:t>NCVER</w:t>
      </w:r>
      <w:proofErr w:type="spellEnd"/>
      <w:r>
        <w:rPr>
          <w:rFonts w:ascii="Arial" w:hAnsi="Arial" w:cs="Arial"/>
          <w:sz w:val="18"/>
          <w:szCs w:val="18"/>
        </w:rPr>
        <w:t xml:space="preserve"> </w:t>
      </w:r>
      <w:proofErr w:type="spellStart"/>
      <w:r>
        <w:rPr>
          <w:rFonts w:ascii="Arial" w:hAnsi="Arial" w:cs="Arial"/>
          <w:sz w:val="18"/>
          <w:szCs w:val="18"/>
        </w:rPr>
        <w:t>VOCSTATS</w:t>
      </w:r>
      <w:proofErr w:type="spellEnd"/>
      <w:r>
        <w:rPr>
          <w:rFonts w:ascii="Arial" w:hAnsi="Arial" w:cs="Arial"/>
          <w:sz w:val="18"/>
          <w:szCs w:val="18"/>
        </w:rPr>
        <w:t xml:space="preserve"> are normally available in July of the following year. </w:t>
      </w:r>
      <w:r>
        <w:rPr>
          <w:rFonts w:ascii="Arial" w:hAnsi="Arial" w:cs="Arial"/>
          <w:i/>
          <w:color w:val="FF0000"/>
          <w:sz w:val="18"/>
          <w:szCs w:val="18"/>
        </w:rPr>
        <w:t xml:space="preserve"> </w:t>
      </w:r>
      <w:r>
        <w:rPr>
          <w:rFonts w:ascii="Arial" w:hAnsi="Arial" w:cs="Arial"/>
          <w:color w:val="000000"/>
          <w:sz w:val="18"/>
          <w:szCs w:val="18"/>
        </w:rPr>
        <w:t>VET statistics reflect a cumulative summary of the year’s activity as opposed to a point in time.</w:t>
      </w:r>
      <w:r>
        <w:rPr>
          <w:rFonts w:ascii="Arial" w:hAnsi="Arial" w:cs="Arial"/>
          <w:i/>
          <w:color w:val="FF0000"/>
          <w:sz w:val="18"/>
          <w:szCs w:val="18"/>
        </w:rPr>
        <w:t xml:space="preserve"> </w:t>
      </w:r>
    </w:p>
    <w:p w:rsidR="00AC3C06" w:rsidRDefault="00AC3C06" w:rsidP="00AC3C06">
      <w:pPr>
        <w:pStyle w:val="ListParagraph"/>
        <w:numPr>
          <w:ilvl w:val="0"/>
          <w:numId w:val="38"/>
        </w:numPr>
        <w:spacing w:line="240" w:lineRule="auto"/>
        <w:rPr>
          <w:rFonts w:ascii="Arial" w:hAnsi="Arial" w:cs="Arial"/>
          <w:sz w:val="18"/>
          <w:szCs w:val="18"/>
        </w:rPr>
      </w:pPr>
      <w:r>
        <w:rPr>
          <w:rFonts w:ascii="Arial" w:hAnsi="Arial" w:cs="Arial"/>
          <w:sz w:val="18"/>
          <w:szCs w:val="18"/>
        </w:rPr>
        <w:t xml:space="preserve">According to </w:t>
      </w:r>
      <w:proofErr w:type="spellStart"/>
      <w:r>
        <w:rPr>
          <w:rFonts w:ascii="Arial" w:hAnsi="Arial" w:cs="Arial"/>
          <w:sz w:val="18"/>
          <w:szCs w:val="18"/>
        </w:rPr>
        <w:t>MCEECDYA</w:t>
      </w:r>
      <w:proofErr w:type="spellEnd"/>
      <w:r>
        <w:rPr>
          <w:rFonts w:ascii="Arial" w:hAnsi="Arial" w:cs="Arial"/>
          <w:sz w:val="18"/>
          <w:szCs w:val="18"/>
        </w:rPr>
        <w:t xml:space="preserve"> guidelines, “Attendance rates for indigenous students” relates to students who identify as Indigenous. The data are collected for the first semester of the school year, and reported in the first quarter of the following year. There are data quality issues. Significant numbers of students in all jurisdictions have not indicated their Indigenous/non-Indigenous status. Collection methodologies vary across some jurisdictions and sectors.  Data should be treated with caution.</w:t>
      </w:r>
    </w:p>
    <w:p w:rsidR="005641EE" w:rsidRPr="0045514D" w:rsidRDefault="005641EE" w:rsidP="0045514D">
      <w:pPr>
        <w:sectPr w:rsidR="005641EE" w:rsidRPr="0045514D" w:rsidSect="005641EE">
          <w:pgSz w:w="23814" w:h="16839" w:orient="landscape" w:code="8"/>
          <w:pgMar w:top="567" w:right="1440" w:bottom="567" w:left="1440" w:header="567" w:footer="709" w:gutter="0"/>
          <w:cols w:space="708"/>
          <w:docGrid w:linePitch="360"/>
        </w:sectPr>
      </w:pPr>
    </w:p>
    <w:p w:rsidR="0045514D" w:rsidRDefault="0045514D" w:rsidP="00AF174F">
      <w:pPr>
        <w:pStyle w:val="Heading2"/>
        <w:spacing w:before="360"/>
      </w:pPr>
      <w:bookmarkStart w:id="2" w:name="_Toc294619478"/>
      <w:r>
        <w:lastRenderedPageBreak/>
        <w:t>PART B:</w:t>
      </w:r>
      <w:bookmarkEnd w:id="2"/>
    </w:p>
    <w:p w:rsidR="009A483B" w:rsidRDefault="0045514D" w:rsidP="00AF174F">
      <w:pPr>
        <w:pStyle w:val="Heading2"/>
        <w:spacing w:before="360"/>
      </w:pPr>
      <w:r>
        <w:t xml:space="preserve"> </w:t>
      </w:r>
      <w:bookmarkStart w:id="3" w:name="_Toc294619479"/>
      <w:r w:rsidR="00D43B11">
        <w:t>Jurisdictional Context</w:t>
      </w:r>
      <w:bookmarkEnd w:id="3"/>
    </w:p>
    <w:p w:rsidR="00A97D02" w:rsidRPr="00E26555" w:rsidRDefault="00A97D02" w:rsidP="00A97D02">
      <w:pPr>
        <w:pStyle w:val="Default"/>
        <w:spacing w:before="120"/>
        <w:rPr>
          <w:b/>
          <w:color w:val="000000" w:themeColor="text1"/>
          <w:sz w:val="22"/>
          <w:szCs w:val="22"/>
        </w:rPr>
      </w:pPr>
      <w:r w:rsidRPr="00E26555">
        <w:rPr>
          <w:b/>
          <w:color w:val="000000" w:themeColor="text1"/>
          <w:sz w:val="22"/>
          <w:szCs w:val="22"/>
        </w:rPr>
        <w:t>Overview</w:t>
      </w:r>
    </w:p>
    <w:p w:rsidR="00A97D02" w:rsidRPr="00E47B33" w:rsidRDefault="00A97D02" w:rsidP="00A97D02">
      <w:pPr>
        <w:pStyle w:val="Default"/>
        <w:spacing w:before="120"/>
        <w:rPr>
          <w:rFonts w:ascii="Calibri" w:hAnsi="Calibri" w:cs="Calibri"/>
          <w:color w:val="auto"/>
          <w:sz w:val="22"/>
          <w:szCs w:val="22"/>
        </w:rPr>
      </w:pPr>
      <w:r w:rsidRPr="00E47B33">
        <w:rPr>
          <w:rFonts w:ascii="Calibri" w:hAnsi="Calibri" w:cs="Calibri"/>
          <w:color w:val="auto"/>
          <w:sz w:val="22"/>
          <w:szCs w:val="22"/>
        </w:rPr>
        <w:t>The Northern Territory</w:t>
      </w:r>
      <w:r>
        <w:rPr>
          <w:rFonts w:ascii="Calibri" w:hAnsi="Calibri" w:cs="Calibri"/>
          <w:color w:val="auto"/>
          <w:sz w:val="22"/>
          <w:szCs w:val="22"/>
        </w:rPr>
        <w:t xml:space="preserve"> (NT) </w:t>
      </w:r>
      <w:r w:rsidRPr="00E47B33">
        <w:rPr>
          <w:rFonts w:ascii="Calibri" w:hAnsi="Calibri" w:cs="Calibri"/>
          <w:color w:val="auto"/>
          <w:sz w:val="22"/>
          <w:szCs w:val="22"/>
        </w:rPr>
        <w:t xml:space="preserve">and the Commonwealth are working collaboratively to increase the educational engagement, attainment and successful transitions of young people.  </w:t>
      </w:r>
    </w:p>
    <w:p w:rsidR="00A97D02" w:rsidRPr="00E47B33" w:rsidRDefault="00A97D02" w:rsidP="00A97D02">
      <w:pPr>
        <w:pStyle w:val="Default"/>
        <w:spacing w:before="120"/>
        <w:rPr>
          <w:rFonts w:ascii="Calibri" w:hAnsi="Calibri" w:cs="Calibri"/>
          <w:color w:val="auto"/>
          <w:sz w:val="22"/>
          <w:szCs w:val="22"/>
        </w:rPr>
      </w:pPr>
      <w:r w:rsidRPr="00E47B33">
        <w:rPr>
          <w:rFonts w:ascii="Calibri" w:hAnsi="Calibri" w:cs="Calibri"/>
          <w:color w:val="auto"/>
          <w:sz w:val="22"/>
          <w:szCs w:val="22"/>
        </w:rPr>
        <w:t xml:space="preserve">The </w:t>
      </w:r>
      <w:r>
        <w:rPr>
          <w:rFonts w:ascii="Calibri" w:hAnsi="Calibri" w:cs="Calibri"/>
          <w:color w:val="auto"/>
          <w:sz w:val="22"/>
          <w:szCs w:val="22"/>
        </w:rPr>
        <w:t>NT’s</w:t>
      </w:r>
      <w:r w:rsidRPr="00E47B33">
        <w:rPr>
          <w:rFonts w:ascii="Calibri" w:hAnsi="Calibri" w:cs="Calibri"/>
          <w:color w:val="auto"/>
          <w:sz w:val="22"/>
          <w:szCs w:val="22"/>
        </w:rPr>
        <w:t xml:space="preserve"> Youth Attainment and Transitions focus is on:</w:t>
      </w:r>
    </w:p>
    <w:p w:rsidR="00A97D02" w:rsidRPr="00E47B33" w:rsidRDefault="00A97D02" w:rsidP="00A97D02">
      <w:pPr>
        <w:pStyle w:val="Default"/>
        <w:widowControl w:val="0"/>
        <w:numPr>
          <w:ilvl w:val="0"/>
          <w:numId w:val="9"/>
        </w:numPr>
        <w:spacing w:before="120"/>
        <w:jc w:val="both"/>
        <w:textAlignment w:val="baseline"/>
        <w:rPr>
          <w:rFonts w:ascii="Calibri" w:hAnsi="Calibri" w:cs="Calibri"/>
          <w:color w:val="auto"/>
          <w:sz w:val="22"/>
          <w:szCs w:val="22"/>
        </w:rPr>
      </w:pPr>
      <w:r w:rsidRPr="00E47B33">
        <w:rPr>
          <w:rFonts w:ascii="Calibri" w:hAnsi="Calibri" w:cs="Calibri"/>
          <w:color w:val="auto"/>
          <w:sz w:val="22"/>
          <w:szCs w:val="22"/>
        </w:rPr>
        <w:t>building capability to implement targeted</w:t>
      </w:r>
      <w:r>
        <w:rPr>
          <w:rFonts w:ascii="Calibri" w:hAnsi="Calibri" w:cs="Calibri"/>
          <w:color w:val="auto"/>
          <w:sz w:val="22"/>
          <w:szCs w:val="22"/>
        </w:rPr>
        <w:t>,</w:t>
      </w:r>
      <w:r w:rsidRPr="00E47B33">
        <w:rPr>
          <w:rFonts w:ascii="Calibri" w:hAnsi="Calibri" w:cs="Calibri"/>
          <w:color w:val="auto"/>
          <w:sz w:val="22"/>
          <w:szCs w:val="22"/>
        </w:rPr>
        <w:t xml:space="preserve"> place-based school improvement approaches;</w:t>
      </w:r>
    </w:p>
    <w:p w:rsidR="00A97D02" w:rsidRPr="00E47B33" w:rsidRDefault="00A97D02" w:rsidP="00A97D02">
      <w:pPr>
        <w:pStyle w:val="Default"/>
        <w:widowControl w:val="0"/>
        <w:numPr>
          <w:ilvl w:val="0"/>
          <w:numId w:val="9"/>
        </w:numPr>
        <w:spacing w:before="120"/>
        <w:jc w:val="both"/>
        <w:textAlignment w:val="baseline"/>
        <w:rPr>
          <w:rFonts w:ascii="Calibri" w:hAnsi="Calibri" w:cs="Calibri"/>
          <w:color w:val="auto"/>
          <w:sz w:val="22"/>
          <w:szCs w:val="22"/>
        </w:rPr>
      </w:pPr>
      <w:r w:rsidRPr="00E47B33">
        <w:rPr>
          <w:rFonts w:ascii="Calibri" w:hAnsi="Calibri" w:cs="Calibri"/>
          <w:color w:val="auto"/>
          <w:sz w:val="22"/>
          <w:szCs w:val="22"/>
        </w:rPr>
        <w:t>building strong partnerships with families, community, business and industry; and</w:t>
      </w:r>
    </w:p>
    <w:p w:rsidR="00A97D02" w:rsidRPr="00E47B33" w:rsidRDefault="00A97D02" w:rsidP="00A97D02">
      <w:pPr>
        <w:pStyle w:val="Default"/>
        <w:widowControl w:val="0"/>
        <w:numPr>
          <w:ilvl w:val="0"/>
          <w:numId w:val="9"/>
        </w:numPr>
        <w:spacing w:before="120"/>
        <w:jc w:val="both"/>
        <w:textAlignment w:val="baseline"/>
        <w:rPr>
          <w:rFonts w:ascii="Calibri" w:hAnsi="Calibri" w:cs="Calibri"/>
          <w:color w:val="auto"/>
          <w:sz w:val="22"/>
          <w:szCs w:val="22"/>
        </w:rPr>
      </w:pPr>
      <w:proofErr w:type="gramStart"/>
      <w:r w:rsidRPr="00E47B33">
        <w:rPr>
          <w:rFonts w:ascii="Calibri" w:hAnsi="Calibri" w:cs="Calibri"/>
          <w:color w:val="auto"/>
          <w:sz w:val="22"/>
          <w:szCs w:val="22"/>
        </w:rPr>
        <w:t>developing</w:t>
      </w:r>
      <w:proofErr w:type="gramEnd"/>
      <w:r w:rsidRPr="00E47B33">
        <w:rPr>
          <w:rFonts w:ascii="Calibri" w:hAnsi="Calibri" w:cs="Calibri"/>
          <w:color w:val="auto"/>
          <w:sz w:val="22"/>
          <w:szCs w:val="22"/>
        </w:rPr>
        <w:t xml:space="preserve"> flexible and innovative solutions to support remote students </w:t>
      </w:r>
      <w:r>
        <w:rPr>
          <w:rFonts w:ascii="Calibri" w:hAnsi="Calibri" w:cs="Calibri"/>
          <w:color w:val="auto"/>
          <w:sz w:val="22"/>
          <w:szCs w:val="22"/>
        </w:rPr>
        <w:t xml:space="preserve">to </w:t>
      </w:r>
      <w:r w:rsidRPr="00E47B33">
        <w:rPr>
          <w:rFonts w:ascii="Calibri" w:hAnsi="Calibri" w:cs="Calibri"/>
          <w:color w:val="auto"/>
          <w:sz w:val="22"/>
          <w:szCs w:val="22"/>
        </w:rPr>
        <w:t>engage more fully with education and ensure their effective transition to post schooling pathways.</w:t>
      </w:r>
    </w:p>
    <w:p w:rsidR="00A21DD1" w:rsidRPr="009F61C0" w:rsidRDefault="00A21DD1" w:rsidP="00A21DD1">
      <w:pPr>
        <w:pStyle w:val="Default"/>
        <w:spacing w:before="120"/>
        <w:rPr>
          <w:rFonts w:ascii="Calibri" w:hAnsi="Calibri" w:cs="Calibri"/>
          <w:color w:val="auto"/>
          <w:sz w:val="22"/>
          <w:szCs w:val="22"/>
        </w:rPr>
      </w:pPr>
      <w:r>
        <w:rPr>
          <w:rFonts w:ascii="Calibri" w:hAnsi="Calibri" w:cs="Calibri"/>
          <w:color w:val="auto"/>
          <w:sz w:val="22"/>
          <w:szCs w:val="22"/>
        </w:rPr>
        <w:t>The outcomes of the Youth Attainment and Transitions National Partnership (YAT NP) are closely aligned with those of the Smarter Schools National Partnership.</w:t>
      </w:r>
      <w:r w:rsidRPr="00B54068">
        <w:rPr>
          <w:rFonts w:ascii="Calibri" w:hAnsi="Calibri" w:cs="Calibri"/>
          <w:color w:val="auto"/>
          <w:sz w:val="22"/>
          <w:szCs w:val="22"/>
        </w:rPr>
        <w:t xml:space="preserve"> </w:t>
      </w:r>
      <w:r>
        <w:rPr>
          <w:rFonts w:ascii="Calibri" w:hAnsi="Calibri" w:cs="Calibri"/>
          <w:color w:val="auto"/>
          <w:sz w:val="22"/>
          <w:szCs w:val="22"/>
        </w:rPr>
        <w:t xml:space="preserve"> </w:t>
      </w:r>
      <w:r w:rsidRPr="009F61C0">
        <w:rPr>
          <w:rFonts w:ascii="Calibri" w:hAnsi="Calibri" w:cs="Calibri"/>
          <w:color w:val="auto"/>
          <w:sz w:val="22"/>
          <w:szCs w:val="22"/>
        </w:rPr>
        <w:t>The Smarter Schools reforms expand on existing good practice and provide the opportunity to trial innovative ways to address the challenges of delivering education in the NT. Existing school improvement planning proces</w:t>
      </w:r>
      <w:r>
        <w:rPr>
          <w:rFonts w:ascii="Calibri" w:hAnsi="Calibri" w:cs="Calibri"/>
          <w:color w:val="auto"/>
          <w:sz w:val="22"/>
          <w:szCs w:val="22"/>
        </w:rPr>
        <w:t>ses are</w:t>
      </w:r>
      <w:r w:rsidRPr="009F61C0">
        <w:rPr>
          <w:rFonts w:ascii="Calibri" w:hAnsi="Calibri" w:cs="Calibri"/>
          <w:color w:val="auto"/>
          <w:sz w:val="22"/>
          <w:szCs w:val="22"/>
        </w:rPr>
        <w:t xml:space="preserve"> being used to ensure these reforms complement and align with core business and other Territory and national reforms, such as those under the Closing the Gap and </w:t>
      </w:r>
      <w:r>
        <w:rPr>
          <w:rFonts w:ascii="Calibri" w:hAnsi="Calibri" w:cs="Calibri"/>
          <w:color w:val="auto"/>
          <w:sz w:val="22"/>
          <w:szCs w:val="22"/>
        </w:rPr>
        <w:t>YAT NPs.</w:t>
      </w:r>
    </w:p>
    <w:p w:rsidR="00A21DD1" w:rsidRDefault="00A21DD1" w:rsidP="00A21DD1">
      <w:pPr>
        <w:pStyle w:val="Default"/>
        <w:spacing w:before="120"/>
        <w:rPr>
          <w:rFonts w:ascii="Calibri" w:hAnsi="Calibri" w:cs="Calibri"/>
          <w:color w:val="auto"/>
          <w:sz w:val="22"/>
          <w:szCs w:val="22"/>
        </w:rPr>
      </w:pPr>
      <w:r w:rsidRPr="008F13AC">
        <w:rPr>
          <w:rFonts w:ascii="Calibri" w:hAnsi="Calibri" w:cs="Calibri"/>
          <w:color w:val="auto"/>
          <w:sz w:val="22"/>
          <w:szCs w:val="22"/>
        </w:rPr>
        <w:t>All schools that have received funding through the Smarter Schools National Partnership</w:t>
      </w:r>
      <w:r>
        <w:rPr>
          <w:rFonts w:ascii="Calibri" w:hAnsi="Calibri" w:cs="Calibri"/>
          <w:color w:val="auto"/>
          <w:sz w:val="22"/>
          <w:szCs w:val="22"/>
        </w:rPr>
        <w:t xml:space="preserve"> (</w:t>
      </w:r>
      <w:proofErr w:type="spellStart"/>
      <w:r>
        <w:rPr>
          <w:rFonts w:ascii="Calibri" w:hAnsi="Calibri" w:cs="Calibri"/>
          <w:color w:val="auto"/>
          <w:sz w:val="22"/>
          <w:szCs w:val="22"/>
        </w:rPr>
        <w:t>SSNP</w:t>
      </w:r>
      <w:proofErr w:type="spellEnd"/>
      <w:r>
        <w:rPr>
          <w:rFonts w:ascii="Calibri" w:hAnsi="Calibri" w:cs="Calibri"/>
          <w:color w:val="auto"/>
          <w:sz w:val="22"/>
          <w:szCs w:val="22"/>
        </w:rPr>
        <w:t>)</w:t>
      </w:r>
      <w:r w:rsidRPr="008F13AC">
        <w:rPr>
          <w:rFonts w:ascii="Calibri" w:hAnsi="Calibri" w:cs="Calibri"/>
          <w:color w:val="auto"/>
          <w:sz w:val="22"/>
          <w:szCs w:val="22"/>
        </w:rPr>
        <w:t xml:space="preserve"> are expected to publish annual school improvement plans onlin</w:t>
      </w:r>
      <w:r>
        <w:rPr>
          <w:rFonts w:ascii="Calibri" w:hAnsi="Calibri" w:cs="Calibri"/>
          <w:color w:val="auto"/>
          <w:sz w:val="22"/>
          <w:szCs w:val="22"/>
        </w:rPr>
        <w:t>e, through the NT</w:t>
      </w:r>
      <w:r w:rsidRPr="008F13AC">
        <w:rPr>
          <w:rFonts w:ascii="Calibri" w:hAnsi="Calibri" w:cs="Calibri"/>
          <w:color w:val="auto"/>
          <w:sz w:val="22"/>
          <w:szCs w:val="22"/>
        </w:rPr>
        <w:t xml:space="preserve">’s </w:t>
      </w:r>
      <w:hyperlink r:id="rId14" w:history="1">
        <w:proofErr w:type="spellStart"/>
        <w:r w:rsidRPr="00CB55E0">
          <w:rPr>
            <w:rFonts w:ascii="Calibri" w:hAnsi="Calibri" w:cs="Calibri"/>
            <w:color w:val="548DD4" w:themeColor="text2" w:themeTint="99"/>
            <w:sz w:val="22"/>
            <w:szCs w:val="22"/>
            <w:u w:val="single"/>
          </w:rPr>
          <w:t>SSNP</w:t>
        </w:r>
        <w:proofErr w:type="spellEnd"/>
        <w:r w:rsidRPr="00CB55E0">
          <w:rPr>
            <w:rFonts w:ascii="Calibri" w:hAnsi="Calibri" w:cs="Calibri"/>
            <w:color w:val="548DD4" w:themeColor="text2" w:themeTint="99"/>
            <w:sz w:val="22"/>
            <w:szCs w:val="22"/>
            <w:u w:val="single"/>
          </w:rPr>
          <w:t xml:space="preserve"> website</w:t>
        </w:r>
      </w:hyperlink>
      <w:r w:rsidRPr="00CB55E0">
        <w:rPr>
          <w:rFonts w:ascii="Calibri" w:hAnsi="Calibri" w:cs="Calibri"/>
          <w:color w:val="000000" w:themeColor="text1"/>
          <w:sz w:val="22"/>
          <w:szCs w:val="22"/>
        </w:rPr>
        <w:t>.</w:t>
      </w:r>
      <w:r w:rsidRPr="008F13AC">
        <w:rPr>
          <w:rFonts w:ascii="Calibri" w:hAnsi="Calibri" w:cs="Calibri"/>
          <w:color w:val="auto"/>
          <w:sz w:val="22"/>
          <w:szCs w:val="22"/>
        </w:rPr>
        <w:t xml:space="preserve">  These plans provide an </w:t>
      </w:r>
      <w:r>
        <w:rPr>
          <w:rFonts w:ascii="Calibri" w:hAnsi="Calibri" w:cs="Calibri"/>
          <w:color w:val="auto"/>
          <w:sz w:val="22"/>
          <w:szCs w:val="22"/>
        </w:rPr>
        <w:t>overview of</w:t>
      </w:r>
      <w:r w:rsidRPr="008F13AC">
        <w:rPr>
          <w:rFonts w:ascii="Calibri" w:hAnsi="Calibri" w:cs="Calibri"/>
          <w:color w:val="auto"/>
          <w:sz w:val="22"/>
          <w:szCs w:val="22"/>
        </w:rPr>
        <w:t xml:space="preserve"> the strategies and approaches being im</w:t>
      </w:r>
      <w:r>
        <w:rPr>
          <w:rFonts w:ascii="Calibri" w:hAnsi="Calibri" w:cs="Calibri"/>
          <w:color w:val="auto"/>
          <w:sz w:val="22"/>
          <w:szCs w:val="22"/>
        </w:rPr>
        <w:t>plemented by schools to improve</w:t>
      </w:r>
      <w:r w:rsidRPr="008F13AC">
        <w:rPr>
          <w:rFonts w:ascii="Calibri" w:hAnsi="Calibri" w:cs="Calibri"/>
          <w:color w:val="auto"/>
          <w:sz w:val="22"/>
          <w:szCs w:val="22"/>
        </w:rPr>
        <w:t xml:space="preserve"> student outcomes</w:t>
      </w:r>
      <w:r>
        <w:rPr>
          <w:rFonts w:ascii="Calibri" w:hAnsi="Calibri" w:cs="Calibri"/>
          <w:color w:val="auto"/>
          <w:sz w:val="22"/>
          <w:szCs w:val="22"/>
        </w:rPr>
        <w:t>, including youth attainment and transition outcomes</w:t>
      </w:r>
      <w:r w:rsidRPr="008F13AC">
        <w:rPr>
          <w:rFonts w:ascii="Calibri" w:hAnsi="Calibri" w:cs="Calibri"/>
          <w:color w:val="auto"/>
          <w:sz w:val="22"/>
          <w:szCs w:val="22"/>
        </w:rPr>
        <w:t>.</w:t>
      </w:r>
    </w:p>
    <w:p w:rsidR="00A97D02" w:rsidRDefault="00A97D02" w:rsidP="00A97D02">
      <w:pPr>
        <w:pStyle w:val="Default"/>
        <w:spacing w:before="120"/>
        <w:rPr>
          <w:rFonts w:ascii="Calibri" w:hAnsi="Calibri" w:cs="Calibri"/>
          <w:color w:val="auto"/>
          <w:sz w:val="22"/>
          <w:szCs w:val="22"/>
        </w:rPr>
      </w:pPr>
      <w:r w:rsidRPr="001032BA">
        <w:rPr>
          <w:rFonts w:ascii="Calibri" w:hAnsi="Calibri" w:cs="Calibri"/>
          <w:color w:val="auto"/>
          <w:sz w:val="22"/>
          <w:szCs w:val="22"/>
        </w:rPr>
        <w:t>The NT’s reform effor</w:t>
      </w:r>
      <w:r>
        <w:rPr>
          <w:rFonts w:ascii="Calibri" w:hAnsi="Calibri" w:cs="Calibri"/>
          <w:color w:val="auto"/>
          <w:sz w:val="22"/>
          <w:szCs w:val="22"/>
        </w:rPr>
        <w:t>t is beginning to gain momentum with improvement emerging across a range of areas.  In particular</w:t>
      </w:r>
      <w:r w:rsidR="00A21DD1">
        <w:rPr>
          <w:rFonts w:ascii="Calibri" w:hAnsi="Calibri" w:cs="Calibri"/>
          <w:color w:val="auto"/>
          <w:sz w:val="22"/>
          <w:szCs w:val="22"/>
        </w:rPr>
        <w:t xml:space="preserve">, in the schools participating in the </w:t>
      </w:r>
      <w:proofErr w:type="spellStart"/>
      <w:r w:rsidR="00A21DD1">
        <w:rPr>
          <w:rFonts w:ascii="Calibri" w:hAnsi="Calibri" w:cs="Calibri"/>
          <w:color w:val="auto"/>
          <w:sz w:val="22"/>
          <w:szCs w:val="22"/>
        </w:rPr>
        <w:t>SSNP</w:t>
      </w:r>
      <w:proofErr w:type="spellEnd"/>
      <w:r>
        <w:rPr>
          <w:rFonts w:ascii="Calibri" w:hAnsi="Calibri" w:cs="Calibri"/>
          <w:color w:val="auto"/>
          <w:sz w:val="22"/>
          <w:szCs w:val="22"/>
        </w:rPr>
        <w:t xml:space="preserve"> there are </w:t>
      </w:r>
      <w:r w:rsidRPr="00CB55E0">
        <w:rPr>
          <w:rFonts w:ascii="Calibri" w:hAnsi="Calibri" w:cs="Calibri"/>
          <w:color w:val="000000" w:themeColor="text1"/>
          <w:sz w:val="22"/>
          <w:szCs w:val="22"/>
        </w:rPr>
        <w:t xml:space="preserve">improvements in student achievement in </w:t>
      </w:r>
      <w:r w:rsidR="00A21DD1">
        <w:rPr>
          <w:rFonts w:ascii="Calibri" w:hAnsi="Calibri" w:cs="Calibri"/>
          <w:color w:val="000000" w:themeColor="text1"/>
          <w:sz w:val="22"/>
          <w:szCs w:val="22"/>
        </w:rPr>
        <w:t xml:space="preserve">the </w:t>
      </w:r>
      <w:r w:rsidRPr="00CB55E0">
        <w:rPr>
          <w:rFonts w:ascii="Calibri" w:hAnsi="Calibri" w:cs="Calibri"/>
          <w:color w:val="000000" w:themeColor="text1"/>
          <w:sz w:val="22"/>
          <w:szCs w:val="22"/>
        </w:rPr>
        <w:t>Northern Territory Certificate of Education</w:t>
      </w:r>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NTCE</w:t>
      </w:r>
      <w:proofErr w:type="spellEnd"/>
      <w:r>
        <w:rPr>
          <w:rFonts w:ascii="Calibri" w:hAnsi="Calibri" w:cs="Calibri"/>
          <w:color w:val="000000" w:themeColor="text1"/>
          <w:sz w:val="22"/>
          <w:szCs w:val="22"/>
        </w:rPr>
        <w:t>)</w:t>
      </w:r>
      <w:r w:rsidRPr="00CB55E0">
        <w:rPr>
          <w:rFonts w:ascii="Calibri" w:hAnsi="Calibri" w:cs="Calibri"/>
          <w:color w:val="000000" w:themeColor="text1"/>
          <w:sz w:val="22"/>
          <w:szCs w:val="22"/>
        </w:rPr>
        <w:t xml:space="preserve"> and </w:t>
      </w:r>
      <w:r w:rsidR="00A21DD1">
        <w:rPr>
          <w:rFonts w:ascii="Calibri" w:hAnsi="Calibri" w:cs="Calibri"/>
          <w:color w:val="000000" w:themeColor="text1"/>
          <w:sz w:val="22"/>
          <w:szCs w:val="22"/>
        </w:rPr>
        <w:t xml:space="preserve">in </w:t>
      </w:r>
      <w:r w:rsidRPr="00CB55E0">
        <w:rPr>
          <w:rFonts w:ascii="Calibri" w:hAnsi="Calibri" w:cs="Calibri"/>
          <w:color w:val="000000" w:themeColor="text1"/>
          <w:sz w:val="22"/>
          <w:szCs w:val="22"/>
        </w:rPr>
        <w:t>V</w:t>
      </w:r>
      <w:r>
        <w:rPr>
          <w:rFonts w:ascii="Calibri" w:hAnsi="Calibri" w:cs="Calibri"/>
          <w:color w:val="000000" w:themeColor="text1"/>
          <w:sz w:val="22"/>
          <w:szCs w:val="22"/>
        </w:rPr>
        <w:t xml:space="preserve">ocational </w:t>
      </w:r>
      <w:r w:rsidRPr="00CB55E0">
        <w:rPr>
          <w:rFonts w:ascii="Calibri" w:hAnsi="Calibri" w:cs="Calibri"/>
          <w:color w:val="000000" w:themeColor="text1"/>
          <w:sz w:val="22"/>
          <w:szCs w:val="22"/>
        </w:rPr>
        <w:t>E</w:t>
      </w:r>
      <w:r>
        <w:rPr>
          <w:rFonts w:ascii="Calibri" w:hAnsi="Calibri" w:cs="Calibri"/>
          <w:color w:val="000000" w:themeColor="text1"/>
          <w:sz w:val="22"/>
          <w:szCs w:val="22"/>
        </w:rPr>
        <w:t xml:space="preserve">ducation and </w:t>
      </w:r>
      <w:r w:rsidRPr="00CB55E0">
        <w:rPr>
          <w:rFonts w:ascii="Calibri" w:hAnsi="Calibri" w:cs="Calibri"/>
          <w:color w:val="000000" w:themeColor="text1"/>
          <w:sz w:val="22"/>
          <w:szCs w:val="22"/>
        </w:rPr>
        <w:t>T</w:t>
      </w:r>
      <w:r>
        <w:rPr>
          <w:rFonts w:ascii="Calibri" w:hAnsi="Calibri" w:cs="Calibri"/>
          <w:color w:val="000000" w:themeColor="text1"/>
          <w:sz w:val="22"/>
          <w:szCs w:val="22"/>
        </w:rPr>
        <w:t>raining (VET)</w:t>
      </w:r>
      <w:r w:rsidRPr="00CB55E0">
        <w:rPr>
          <w:rFonts w:ascii="Calibri" w:hAnsi="Calibri" w:cs="Calibri"/>
          <w:color w:val="000000" w:themeColor="text1"/>
          <w:sz w:val="22"/>
          <w:szCs w:val="22"/>
        </w:rPr>
        <w:t>, and</w:t>
      </w:r>
      <w:r>
        <w:rPr>
          <w:rFonts w:ascii="Calibri" w:hAnsi="Calibri" w:cs="Calibri"/>
          <w:color w:val="auto"/>
          <w:sz w:val="22"/>
          <w:szCs w:val="22"/>
        </w:rPr>
        <w:t xml:space="preserve"> the </w:t>
      </w:r>
      <w:r w:rsidRPr="00E47B33">
        <w:rPr>
          <w:rFonts w:ascii="Calibri" w:hAnsi="Calibri" w:cs="Calibri"/>
          <w:color w:val="auto"/>
          <w:sz w:val="22"/>
          <w:szCs w:val="22"/>
        </w:rPr>
        <w:t xml:space="preserve">implementation of a range of specifically targeted initiatives is leading to significant </w:t>
      </w:r>
      <w:r>
        <w:rPr>
          <w:rFonts w:ascii="Calibri" w:hAnsi="Calibri" w:cs="Calibri"/>
          <w:color w:val="auto"/>
          <w:sz w:val="22"/>
          <w:szCs w:val="22"/>
        </w:rPr>
        <w:t xml:space="preserve">improvements in enrolment and attendance at a number of schools. </w:t>
      </w:r>
      <w:r w:rsidRPr="00E47B33">
        <w:rPr>
          <w:rFonts w:ascii="Calibri" w:hAnsi="Calibri" w:cs="Calibri"/>
          <w:color w:val="auto"/>
          <w:sz w:val="22"/>
          <w:szCs w:val="22"/>
        </w:rPr>
        <w:t>While the impact of improvement generated by these initiatives on system measures will take time to emerge, there is significant progress being made which is continuing to build momentum</w:t>
      </w:r>
      <w:r>
        <w:rPr>
          <w:rFonts w:ascii="Calibri" w:hAnsi="Calibri" w:cs="Calibri"/>
          <w:color w:val="auto"/>
          <w:sz w:val="22"/>
          <w:szCs w:val="22"/>
        </w:rPr>
        <w:t>.</w:t>
      </w:r>
    </w:p>
    <w:p w:rsidR="00A97D02"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The NT continues to enjoy strong cross-sectoral relationships in the implementation of the YAT NP, particularly in relation to the Maximising Engagement, Attainment and Successful Transitions (</w:t>
      </w:r>
      <w:proofErr w:type="spellStart"/>
      <w:r>
        <w:rPr>
          <w:rFonts w:ascii="Calibri" w:hAnsi="Calibri" w:cs="Calibri"/>
          <w:color w:val="auto"/>
          <w:sz w:val="22"/>
          <w:szCs w:val="22"/>
        </w:rPr>
        <w:t>MEAST</w:t>
      </w:r>
      <w:proofErr w:type="spellEnd"/>
      <w:r>
        <w:rPr>
          <w:rFonts w:ascii="Calibri" w:hAnsi="Calibri" w:cs="Calibri"/>
          <w:color w:val="auto"/>
          <w:sz w:val="22"/>
          <w:szCs w:val="22"/>
        </w:rPr>
        <w:t>) reform.</w:t>
      </w:r>
    </w:p>
    <w:p w:rsidR="00A97D02" w:rsidRPr="00CB55E0" w:rsidRDefault="00A97D02" w:rsidP="00A97D02">
      <w:pPr>
        <w:pStyle w:val="Default"/>
        <w:spacing w:before="120"/>
        <w:rPr>
          <w:b/>
          <w:color w:val="000000" w:themeColor="text1"/>
          <w:sz w:val="22"/>
          <w:szCs w:val="22"/>
        </w:rPr>
      </w:pPr>
      <w:r w:rsidRPr="00CB55E0">
        <w:rPr>
          <w:b/>
          <w:color w:val="000000" w:themeColor="text1"/>
          <w:sz w:val="22"/>
          <w:szCs w:val="22"/>
        </w:rPr>
        <w:t xml:space="preserve">The reform context </w:t>
      </w:r>
    </w:p>
    <w:p w:rsidR="00A97D02" w:rsidRPr="00914453" w:rsidRDefault="00A97D02" w:rsidP="00A97D02">
      <w:pPr>
        <w:pStyle w:val="Default"/>
        <w:spacing w:before="120"/>
        <w:rPr>
          <w:rFonts w:ascii="Calibri" w:hAnsi="Calibri" w:cs="Calibri"/>
          <w:color w:val="auto"/>
          <w:sz w:val="22"/>
          <w:szCs w:val="22"/>
        </w:rPr>
      </w:pPr>
      <w:r w:rsidRPr="00914453">
        <w:rPr>
          <w:rFonts w:ascii="Calibri" w:hAnsi="Calibri" w:cs="Calibri"/>
          <w:color w:val="auto"/>
          <w:sz w:val="22"/>
          <w:szCs w:val="22"/>
        </w:rPr>
        <w:t xml:space="preserve">The </w:t>
      </w:r>
      <w:r>
        <w:rPr>
          <w:rFonts w:ascii="Calibri" w:hAnsi="Calibri" w:cs="Calibri"/>
          <w:color w:val="auto"/>
          <w:sz w:val="22"/>
          <w:szCs w:val="22"/>
        </w:rPr>
        <w:t>NT</w:t>
      </w:r>
      <w:r w:rsidRPr="00914453">
        <w:rPr>
          <w:rFonts w:ascii="Calibri" w:hAnsi="Calibri" w:cs="Calibri"/>
          <w:color w:val="auto"/>
          <w:sz w:val="22"/>
          <w:szCs w:val="22"/>
        </w:rPr>
        <w:t xml:space="preserve"> is committed to achieving significant </w:t>
      </w:r>
      <w:r>
        <w:rPr>
          <w:rFonts w:ascii="Calibri" w:hAnsi="Calibri" w:cs="Calibri"/>
          <w:color w:val="auto"/>
          <w:sz w:val="22"/>
          <w:szCs w:val="22"/>
        </w:rPr>
        <w:t xml:space="preserve">and sustainable improvements in </w:t>
      </w:r>
      <w:r w:rsidRPr="00914453">
        <w:rPr>
          <w:rFonts w:ascii="Calibri" w:hAnsi="Calibri" w:cs="Calibri"/>
          <w:color w:val="auto"/>
          <w:sz w:val="22"/>
          <w:szCs w:val="22"/>
        </w:rPr>
        <w:t>education, training and employment outcomes for all young Territorians, especially Indigenous youth.</w:t>
      </w:r>
    </w:p>
    <w:p w:rsidR="00A97D02" w:rsidRPr="00914453" w:rsidRDefault="00A97D02" w:rsidP="00A97D02">
      <w:pPr>
        <w:pStyle w:val="Default"/>
        <w:spacing w:before="120"/>
        <w:rPr>
          <w:rFonts w:ascii="Calibri" w:hAnsi="Calibri" w:cs="Calibri"/>
          <w:color w:val="auto"/>
          <w:sz w:val="22"/>
          <w:szCs w:val="22"/>
        </w:rPr>
      </w:pPr>
      <w:r w:rsidRPr="00914453">
        <w:rPr>
          <w:rFonts w:ascii="Calibri" w:hAnsi="Calibri" w:cs="Calibri"/>
          <w:color w:val="auto"/>
          <w:sz w:val="22"/>
          <w:szCs w:val="22"/>
        </w:rPr>
        <w:t>Prior to the announcement of the Council of Australian Govern</w:t>
      </w:r>
      <w:r>
        <w:rPr>
          <w:rFonts w:ascii="Calibri" w:hAnsi="Calibri" w:cs="Calibri"/>
          <w:color w:val="auto"/>
          <w:sz w:val="22"/>
          <w:szCs w:val="22"/>
        </w:rPr>
        <w:t>ments (</w:t>
      </w:r>
      <w:proofErr w:type="spellStart"/>
      <w:r>
        <w:rPr>
          <w:rFonts w:ascii="Calibri" w:hAnsi="Calibri" w:cs="Calibri"/>
          <w:color w:val="auto"/>
          <w:sz w:val="22"/>
          <w:szCs w:val="22"/>
        </w:rPr>
        <w:t>COAG</w:t>
      </w:r>
      <w:proofErr w:type="spellEnd"/>
      <w:r>
        <w:rPr>
          <w:rFonts w:ascii="Calibri" w:hAnsi="Calibri" w:cs="Calibri"/>
          <w:color w:val="auto"/>
          <w:sz w:val="22"/>
          <w:szCs w:val="22"/>
        </w:rPr>
        <w:t xml:space="preserve">) Agreement on Youth </w:t>
      </w:r>
      <w:r w:rsidRPr="00914453">
        <w:rPr>
          <w:rFonts w:ascii="Calibri" w:hAnsi="Calibri" w:cs="Calibri"/>
          <w:color w:val="auto"/>
          <w:sz w:val="22"/>
          <w:szCs w:val="22"/>
        </w:rPr>
        <w:t xml:space="preserve">Attainment and Transitions, the </w:t>
      </w:r>
      <w:r>
        <w:rPr>
          <w:rFonts w:ascii="Calibri" w:hAnsi="Calibri" w:cs="Calibri"/>
          <w:color w:val="auto"/>
          <w:sz w:val="22"/>
          <w:szCs w:val="22"/>
        </w:rPr>
        <w:t>NT</w:t>
      </w:r>
      <w:r w:rsidRPr="00914453">
        <w:rPr>
          <w:rFonts w:ascii="Calibri" w:hAnsi="Calibri" w:cs="Calibri"/>
          <w:color w:val="auto"/>
          <w:sz w:val="22"/>
          <w:szCs w:val="22"/>
        </w:rPr>
        <w:t xml:space="preserve"> had already em</w:t>
      </w:r>
      <w:r>
        <w:rPr>
          <w:rFonts w:ascii="Calibri" w:hAnsi="Calibri" w:cs="Calibri"/>
          <w:color w:val="auto"/>
          <w:sz w:val="22"/>
          <w:szCs w:val="22"/>
        </w:rPr>
        <w:t xml:space="preserve">barked on an ambitious suite of </w:t>
      </w:r>
      <w:r w:rsidRPr="00914453">
        <w:rPr>
          <w:rFonts w:ascii="Calibri" w:hAnsi="Calibri" w:cs="Calibri"/>
          <w:color w:val="auto"/>
          <w:sz w:val="22"/>
          <w:szCs w:val="22"/>
        </w:rPr>
        <w:t>initiatives aimed at improving participation and productivity outcomes for young people.</w:t>
      </w:r>
    </w:p>
    <w:p w:rsidR="00A97D02" w:rsidRDefault="00A97D02" w:rsidP="00A97D02">
      <w:pPr>
        <w:pStyle w:val="Default"/>
        <w:spacing w:before="120"/>
        <w:rPr>
          <w:rFonts w:ascii="Calibri" w:hAnsi="Calibri" w:cs="Calibri"/>
          <w:color w:val="auto"/>
          <w:sz w:val="22"/>
          <w:szCs w:val="22"/>
        </w:rPr>
      </w:pPr>
      <w:r w:rsidRPr="00914453">
        <w:rPr>
          <w:rFonts w:ascii="Calibri" w:hAnsi="Calibri" w:cs="Calibri"/>
          <w:color w:val="auto"/>
          <w:sz w:val="22"/>
          <w:szCs w:val="22"/>
        </w:rPr>
        <w:t xml:space="preserve">The central plank of the </w:t>
      </w:r>
      <w:r>
        <w:rPr>
          <w:rFonts w:ascii="Calibri" w:hAnsi="Calibri" w:cs="Calibri"/>
          <w:color w:val="auto"/>
          <w:sz w:val="22"/>
          <w:szCs w:val="22"/>
        </w:rPr>
        <w:t>NT’s</w:t>
      </w:r>
      <w:r w:rsidRPr="00914453">
        <w:rPr>
          <w:rFonts w:ascii="Calibri" w:hAnsi="Calibri" w:cs="Calibri"/>
          <w:color w:val="auto"/>
          <w:sz w:val="22"/>
          <w:szCs w:val="22"/>
        </w:rPr>
        <w:t xml:space="preserve"> strategy to drive radi</w:t>
      </w:r>
      <w:r>
        <w:rPr>
          <w:rFonts w:ascii="Calibri" w:hAnsi="Calibri" w:cs="Calibri"/>
          <w:color w:val="auto"/>
          <w:sz w:val="22"/>
          <w:szCs w:val="22"/>
        </w:rPr>
        <w:t xml:space="preserve">cal change in this area was the </w:t>
      </w:r>
      <w:r w:rsidRPr="00914453">
        <w:rPr>
          <w:rFonts w:ascii="Calibri" w:hAnsi="Calibri" w:cs="Calibri"/>
          <w:color w:val="auto"/>
          <w:sz w:val="22"/>
          <w:szCs w:val="22"/>
        </w:rPr>
        <w:t>Government’s announcement of its intention to require young</w:t>
      </w:r>
      <w:r>
        <w:rPr>
          <w:rFonts w:ascii="Calibri" w:hAnsi="Calibri" w:cs="Calibri"/>
          <w:color w:val="auto"/>
          <w:sz w:val="22"/>
          <w:szCs w:val="22"/>
        </w:rPr>
        <w:t xml:space="preserve"> people to complete Year 10 and </w:t>
      </w:r>
      <w:r w:rsidRPr="00914453">
        <w:rPr>
          <w:rFonts w:ascii="Calibri" w:hAnsi="Calibri" w:cs="Calibri"/>
          <w:color w:val="auto"/>
          <w:sz w:val="22"/>
          <w:szCs w:val="22"/>
        </w:rPr>
        <w:t>thereafter to participate in education, training and/or employment unt</w:t>
      </w:r>
      <w:r>
        <w:rPr>
          <w:rFonts w:ascii="Calibri" w:hAnsi="Calibri" w:cs="Calibri"/>
          <w:color w:val="auto"/>
          <w:sz w:val="22"/>
          <w:szCs w:val="22"/>
        </w:rPr>
        <w:t>il age 17 years. T</w:t>
      </w:r>
      <w:r w:rsidRPr="00914453">
        <w:rPr>
          <w:rFonts w:ascii="Calibri" w:hAnsi="Calibri" w:cs="Calibri"/>
          <w:color w:val="auto"/>
          <w:sz w:val="22"/>
          <w:szCs w:val="22"/>
        </w:rPr>
        <w:t xml:space="preserve">he necessary amendments to the </w:t>
      </w:r>
      <w:r w:rsidRPr="00914453">
        <w:rPr>
          <w:rFonts w:ascii="Calibri" w:hAnsi="Calibri" w:cs="Calibri"/>
          <w:i/>
          <w:color w:val="auto"/>
          <w:sz w:val="22"/>
          <w:szCs w:val="22"/>
        </w:rPr>
        <w:t>Education Act</w:t>
      </w:r>
      <w:r w:rsidRPr="00914453">
        <w:rPr>
          <w:rFonts w:ascii="Calibri" w:hAnsi="Calibri" w:cs="Calibri"/>
          <w:color w:val="auto"/>
          <w:sz w:val="22"/>
          <w:szCs w:val="22"/>
        </w:rPr>
        <w:t xml:space="preserve"> </w:t>
      </w:r>
      <w:r>
        <w:rPr>
          <w:rFonts w:ascii="Calibri" w:hAnsi="Calibri" w:cs="Calibri"/>
          <w:color w:val="auto"/>
          <w:sz w:val="22"/>
          <w:szCs w:val="22"/>
        </w:rPr>
        <w:t xml:space="preserve">were in place to allow implementation of this reform from </w:t>
      </w:r>
      <w:r w:rsidRPr="00914453">
        <w:rPr>
          <w:rFonts w:ascii="Calibri" w:hAnsi="Calibri" w:cs="Calibri"/>
          <w:color w:val="auto"/>
          <w:sz w:val="22"/>
          <w:szCs w:val="22"/>
        </w:rPr>
        <w:t>1 January 2010. This change is consis</w:t>
      </w:r>
      <w:r>
        <w:rPr>
          <w:rFonts w:ascii="Calibri" w:hAnsi="Calibri" w:cs="Calibri"/>
          <w:color w:val="auto"/>
          <w:sz w:val="22"/>
          <w:szCs w:val="22"/>
        </w:rPr>
        <w:t xml:space="preserve">tent with </w:t>
      </w:r>
      <w:proofErr w:type="spellStart"/>
      <w:r>
        <w:rPr>
          <w:rFonts w:ascii="Calibri" w:hAnsi="Calibri" w:cs="Calibri"/>
          <w:color w:val="auto"/>
          <w:sz w:val="22"/>
          <w:szCs w:val="22"/>
        </w:rPr>
        <w:t>COAG’s</w:t>
      </w:r>
      <w:proofErr w:type="spellEnd"/>
      <w:r>
        <w:rPr>
          <w:rFonts w:ascii="Calibri" w:hAnsi="Calibri" w:cs="Calibri"/>
          <w:color w:val="auto"/>
          <w:sz w:val="22"/>
          <w:szCs w:val="22"/>
        </w:rPr>
        <w:t xml:space="preserve"> National Youth </w:t>
      </w:r>
      <w:r w:rsidRPr="00914453">
        <w:rPr>
          <w:rFonts w:ascii="Calibri" w:hAnsi="Calibri" w:cs="Calibri"/>
          <w:color w:val="auto"/>
          <w:sz w:val="22"/>
          <w:szCs w:val="22"/>
        </w:rPr>
        <w:t>Participation Requirement.</w:t>
      </w:r>
    </w:p>
    <w:p w:rsidR="00A97D02" w:rsidRPr="006C4DD4" w:rsidRDefault="00A97D02" w:rsidP="00A97D02">
      <w:pPr>
        <w:pStyle w:val="Default"/>
        <w:spacing w:before="120"/>
        <w:rPr>
          <w:rFonts w:ascii="Calibri" w:hAnsi="Calibri" w:cs="Calibri"/>
          <w:color w:val="auto"/>
          <w:sz w:val="22"/>
          <w:szCs w:val="22"/>
        </w:rPr>
      </w:pPr>
      <w:r w:rsidRPr="006C4DD4">
        <w:rPr>
          <w:rFonts w:ascii="Calibri" w:hAnsi="Calibri" w:cs="Calibri"/>
          <w:color w:val="auto"/>
          <w:sz w:val="22"/>
          <w:szCs w:val="22"/>
        </w:rPr>
        <w:t xml:space="preserve">To support this new participation requirement, the </w:t>
      </w:r>
      <w:r>
        <w:rPr>
          <w:rFonts w:ascii="Calibri" w:hAnsi="Calibri" w:cs="Calibri"/>
          <w:color w:val="auto"/>
          <w:sz w:val="22"/>
          <w:szCs w:val="22"/>
        </w:rPr>
        <w:t>NT</w:t>
      </w:r>
      <w:r w:rsidRPr="006C4DD4">
        <w:rPr>
          <w:rFonts w:ascii="Calibri" w:hAnsi="Calibri" w:cs="Calibri"/>
          <w:color w:val="auto"/>
          <w:sz w:val="22"/>
          <w:szCs w:val="22"/>
        </w:rPr>
        <w:t xml:space="preserve"> is implementing a range of initiatives aimed at improving literacy and numeracy outcomes (through the </w:t>
      </w:r>
      <w:proofErr w:type="spellStart"/>
      <w:r>
        <w:rPr>
          <w:rFonts w:ascii="Calibri" w:hAnsi="Calibri" w:cs="Calibri"/>
          <w:color w:val="auto"/>
          <w:sz w:val="22"/>
          <w:szCs w:val="22"/>
        </w:rPr>
        <w:t>SSNP</w:t>
      </w:r>
      <w:proofErr w:type="spellEnd"/>
      <w:r w:rsidRPr="006C4DD4">
        <w:rPr>
          <w:rFonts w:ascii="Calibri" w:hAnsi="Calibri" w:cs="Calibri"/>
          <w:color w:val="auto"/>
          <w:sz w:val="22"/>
          <w:szCs w:val="22"/>
        </w:rPr>
        <w:t>); improving student attendance</w:t>
      </w:r>
      <w:r>
        <w:rPr>
          <w:rFonts w:ascii="Calibri" w:hAnsi="Calibri" w:cs="Calibri"/>
          <w:color w:val="auto"/>
          <w:sz w:val="22"/>
          <w:szCs w:val="22"/>
        </w:rPr>
        <w:t xml:space="preserve"> (through the </w:t>
      </w:r>
      <w:r w:rsidRPr="00D64A2C">
        <w:rPr>
          <w:rFonts w:ascii="Calibri" w:hAnsi="Calibri" w:cs="Calibri"/>
          <w:i/>
          <w:color w:val="auto"/>
          <w:sz w:val="22"/>
          <w:szCs w:val="22"/>
        </w:rPr>
        <w:t>Every Child, Every Day</w:t>
      </w:r>
      <w:r>
        <w:rPr>
          <w:rFonts w:ascii="Calibri" w:hAnsi="Calibri" w:cs="Calibri"/>
          <w:color w:val="auto"/>
          <w:sz w:val="22"/>
          <w:szCs w:val="22"/>
        </w:rPr>
        <w:t xml:space="preserve"> Strategy and Action Plan)</w:t>
      </w:r>
      <w:r w:rsidRPr="006C4DD4">
        <w:rPr>
          <w:rFonts w:ascii="Calibri" w:hAnsi="Calibri" w:cs="Calibri"/>
          <w:color w:val="auto"/>
          <w:sz w:val="22"/>
          <w:szCs w:val="22"/>
        </w:rPr>
        <w:t>; providing access to more flexible and meaningful pathways for young people, especially in the senior years of schooling</w:t>
      </w:r>
      <w:r>
        <w:rPr>
          <w:rFonts w:ascii="Calibri" w:hAnsi="Calibri" w:cs="Calibri"/>
          <w:color w:val="auto"/>
          <w:sz w:val="22"/>
          <w:szCs w:val="22"/>
        </w:rPr>
        <w:t xml:space="preserve"> (particularly evident in the </w:t>
      </w:r>
      <w:r w:rsidRPr="00D64A2C">
        <w:rPr>
          <w:rFonts w:ascii="Calibri" w:hAnsi="Calibri" w:cs="Calibri"/>
          <w:i/>
          <w:color w:val="auto"/>
          <w:sz w:val="22"/>
          <w:szCs w:val="22"/>
        </w:rPr>
        <w:t>Strong Start, Bright Future</w:t>
      </w:r>
      <w:r>
        <w:rPr>
          <w:rFonts w:ascii="Calibri" w:hAnsi="Calibri" w:cs="Calibri"/>
          <w:color w:val="auto"/>
          <w:sz w:val="22"/>
          <w:szCs w:val="22"/>
        </w:rPr>
        <w:t xml:space="preserve"> initiative)</w:t>
      </w:r>
      <w:r w:rsidRPr="006C4DD4">
        <w:rPr>
          <w:rFonts w:ascii="Calibri" w:hAnsi="Calibri" w:cs="Calibri"/>
          <w:color w:val="auto"/>
          <w:sz w:val="22"/>
          <w:szCs w:val="22"/>
        </w:rPr>
        <w:t xml:space="preserve">, and establishing a </w:t>
      </w:r>
      <w:r w:rsidRPr="00D64A2C">
        <w:rPr>
          <w:rFonts w:ascii="Calibri" w:hAnsi="Calibri" w:cs="Calibri"/>
          <w:i/>
          <w:color w:val="auto"/>
          <w:sz w:val="22"/>
          <w:szCs w:val="22"/>
        </w:rPr>
        <w:t>Jobs Guarantee</w:t>
      </w:r>
      <w:r>
        <w:rPr>
          <w:rFonts w:ascii="Calibri" w:hAnsi="Calibri" w:cs="Calibri"/>
          <w:color w:val="auto"/>
          <w:sz w:val="22"/>
          <w:szCs w:val="22"/>
        </w:rPr>
        <w:t xml:space="preserve"> and </w:t>
      </w:r>
      <w:r w:rsidRPr="00D64A2C">
        <w:rPr>
          <w:rFonts w:ascii="Calibri" w:hAnsi="Calibri" w:cs="Calibri"/>
          <w:i/>
          <w:color w:val="auto"/>
          <w:sz w:val="22"/>
          <w:szCs w:val="22"/>
        </w:rPr>
        <w:lastRenderedPageBreak/>
        <w:t>Beyond School Guarantee</w:t>
      </w:r>
      <w:r w:rsidRPr="006C4DD4">
        <w:rPr>
          <w:rFonts w:ascii="Calibri" w:hAnsi="Calibri" w:cs="Calibri"/>
          <w:color w:val="auto"/>
          <w:sz w:val="22"/>
          <w:szCs w:val="22"/>
        </w:rPr>
        <w:t xml:space="preserve"> to encourage young people to complete their schooling so they are assured of a post school pathway into further education, training or employment.</w:t>
      </w:r>
    </w:p>
    <w:p w:rsidR="00A97D02" w:rsidRPr="006C4DD4" w:rsidRDefault="00A97D02" w:rsidP="00A97D02">
      <w:pPr>
        <w:pStyle w:val="Default"/>
        <w:spacing w:before="120"/>
        <w:rPr>
          <w:rFonts w:ascii="Calibri" w:hAnsi="Calibri" w:cs="Calibri"/>
          <w:color w:val="auto"/>
          <w:sz w:val="22"/>
          <w:szCs w:val="22"/>
        </w:rPr>
      </w:pPr>
      <w:r w:rsidRPr="006C4DD4">
        <w:rPr>
          <w:rFonts w:ascii="Calibri" w:hAnsi="Calibri" w:cs="Calibri"/>
          <w:color w:val="auto"/>
          <w:sz w:val="22"/>
          <w:szCs w:val="22"/>
        </w:rPr>
        <w:t>Whereas the N</w:t>
      </w:r>
      <w:r>
        <w:rPr>
          <w:rFonts w:ascii="Calibri" w:hAnsi="Calibri" w:cs="Calibri"/>
          <w:color w:val="auto"/>
          <w:sz w:val="22"/>
          <w:szCs w:val="22"/>
        </w:rPr>
        <w:t>T</w:t>
      </w:r>
      <w:r w:rsidRPr="006C4DD4">
        <w:rPr>
          <w:rFonts w:ascii="Calibri" w:hAnsi="Calibri" w:cs="Calibri"/>
          <w:color w:val="auto"/>
          <w:sz w:val="22"/>
          <w:szCs w:val="22"/>
        </w:rPr>
        <w:t>’s youth reform occurs across the Territory, it is in remote locations that the most significant reform needs to occur. It is also in rem</w:t>
      </w:r>
      <w:r>
        <w:rPr>
          <w:rFonts w:ascii="Calibri" w:hAnsi="Calibri" w:cs="Calibri"/>
          <w:color w:val="auto"/>
          <w:sz w:val="22"/>
          <w:szCs w:val="22"/>
        </w:rPr>
        <w:t xml:space="preserve">ote locations that the Northern </w:t>
      </w:r>
      <w:r w:rsidRPr="006C4DD4">
        <w:rPr>
          <w:rFonts w:ascii="Calibri" w:hAnsi="Calibri" w:cs="Calibri"/>
          <w:color w:val="auto"/>
          <w:sz w:val="22"/>
          <w:szCs w:val="22"/>
        </w:rPr>
        <w:t>Territory and Australian Governments are focussing significant investment and effort to re‐shape remote communities, improve service delivery and infrastructure, and drive major improvement in outcomes for Indigenous people.</w:t>
      </w:r>
    </w:p>
    <w:p w:rsidR="00A97D02" w:rsidRPr="006C4DD4" w:rsidRDefault="00A97D02" w:rsidP="00A97D02">
      <w:pPr>
        <w:pStyle w:val="Default"/>
        <w:spacing w:before="120"/>
        <w:rPr>
          <w:rFonts w:ascii="Calibri" w:hAnsi="Calibri" w:cs="Calibri"/>
          <w:color w:val="auto"/>
          <w:sz w:val="22"/>
          <w:szCs w:val="22"/>
        </w:rPr>
      </w:pPr>
      <w:r w:rsidRPr="006C4DD4">
        <w:rPr>
          <w:rFonts w:ascii="Calibri" w:hAnsi="Calibri" w:cs="Calibri"/>
          <w:color w:val="auto"/>
          <w:sz w:val="22"/>
          <w:szCs w:val="22"/>
        </w:rPr>
        <w:t xml:space="preserve">The </w:t>
      </w:r>
      <w:r>
        <w:rPr>
          <w:rFonts w:ascii="Calibri" w:hAnsi="Calibri" w:cs="Calibri"/>
          <w:color w:val="auto"/>
          <w:sz w:val="22"/>
          <w:szCs w:val="22"/>
        </w:rPr>
        <w:t>NT</w:t>
      </w:r>
      <w:r w:rsidRPr="006C4DD4">
        <w:rPr>
          <w:rFonts w:ascii="Calibri" w:hAnsi="Calibri" w:cs="Calibri"/>
          <w:color w:val="auto"/>
          <w:sz w:val="22"/>
          <w:szCs w:val="22"/>
        </w:rPr>
        <w:t xml:space="preserve"> Government is driving transformational change through two key initiatives:</w:t>
      </w:r>
    </w:p>
    <w:p w:rsidR="00A97D02" w:rsidRPr="006C4DD4" w:rsidRDefault="00A97D02" w:rsidP="00A97D02">
      <w:pPr>
        <w:pStyle w:val="Default"/>
        <w:widowControl w:val="0"/>
        <w:numPr>
          <w:ilvl w:val="0"/>
          <w:numId w:val="9"/>
        </w:numPr>
        <w:spacing w:before="120"/>
        <w:jc w:val="both"/>
        <w:textAlignment w:val="baseline"/>
        <w:rPr>
          <w:rFonts w:ascii="Calibri" w:hAnsi="Calibri" w:cs="Calibri"/>
          <w:color w:val="auto"/>
          <w:sz w:val="22"/>
          <w:szCs w:val="22"/>
        </w:rPr>
      </w:pPr>
      <w:r w:rsidRPr="006C4DD4">
        <w:rPr>
          <w:rFonts w:ascii="Calibri" w:hAnsi="Calibri" w:cs="Calibri"/>
          <w:i/>
          <w:color w:val="auto"/>
          <w:sz w:val="22"/>
          <w:szCs w:val="22"/>
        </w:rPr>
        <w:t>Territory 2030</w:t>
      </w:r>
      <w:r w:rsidRPr="006C4DD4">
        <w:rPr>
          <w:rFonts w:ascii="Calibri" w:hAnsi="Calibri" w:cs="Calibri"/>
          <w:color w:val="auto"/>
          <w:sz w:val="22"/>
          <w:szCs w:val="22"/>
        </w:rPr>
        <w:t>; and</w:t>
      </w:r>
    </w:p>
    <w:p w:rsidR="00A97D02" w:rsidRPr="006C4DD4" w:rsidRDefault="00A97D02" w:rsidP="00A97D02">
      <w:pPr>
        <w:pStyle w:val="Default"/>
        <w:widowControl w:val="0"/>
        <w:numPr>
          <w:ilvl w:val="0"/>
          <w:numId w:val="9"/>
        </w:numPr>
        <w:spacing w:before="120"/>
        <w:jc w:val="both"/>
        <w:textAlignment w:val="baseline"/>
        <w:rPr>
          <w:rFonts w:ascii="Calibri" w:hAnsi="Calibri" w:cs="Calibri"/>
          <w:i/>
          <w:color w:val="auto"/>
          <w:sz w:val="22"/>
          <w:szCs w:val="22"/>
        </w:rPr>
      </w:pPr>
      <w:r w:rsidRPr="006C4DD4">
        <w:rPr>
          <w:rFonts w:ascii="Calibri" w:hAnsi="Calibri" w:cs="Calibri"/>
          <w:i/>
          <w:color w:val="auto"/>
          <w:sz w:val="22"/>
          <w:szCs w:val="22"/>
        </w:rPr>
        <w:t>Working Future</w:t>
      </w:r>
    </w:p>
    <w:p w:rsidR="00A97D02" w:rsidRPr="006C4DD4" w:rsidRDefault="00A97D02" w:rsidP="00A97D02">
      <w:pPr>
        <w:pStyle w:val="Default"/>
        <w:spacing w:before="120"/>
        <w:rPr>
          <w:rFonts w:ascii="Calibri" w:hAnsi="Calibri" w:cs="Calibri"/>
          <w:color w:val="auto"/>
          <w:sz w:val="22"/>
          <w:szCs w:val="22"/>
        </w:rPr>
      </w:pPr>
      <w:r w:rsidRPr="006C4DD4">
        <w:rPr>
          <w:rFonts w:ascii="Calibri" w:hAnsi="Calibri" w:cs="Calibri"/>
          <w:color w:val="auto"/>
          <w:sz w:val="22"/>
          <w:szCs w:val="22"/>
        </w:rPr>
        <w:t>For both initiatives</w:t>
      </w:r>
      <w:r>
        <w:rPr>
          <w:rFonts w:ascii="Calibri" w:hAnsi="Calibri" w:cs="Calibri"/>
          <w:color w:val="auto"/>
          <w:sz w:val="22"/>
          <w:szCs w:val="22"/>
        </w:rPr>
        <w:t xml:space="preserve">, education is the focal point.  </w:t>
      </w:r>
      <w:r w:rsidRPr="006C4DD4">
        <w:rPr>
          <w:rFonts w:ascii="Calibri" w:hAnsi="Calibri" w:cs="Calibri"/>
          <w:color w:val="auto"/>
          <w:sz w:val="22"/>
          <w:szCs w:val="22"/>
        </w:rPr>
        <w:t xml:space="preserve">Together, these two frameworks </w:t>
      </w:r>
      <w:r>
        <w:rPr>
          <w:rFonts w:ascii="Calibri" w:hAnsi="Calibri" w:cs="Calibri"/>
          <w:color w:val="auto"/>
          <w:sz w:val="22"/>
          <w:szCs w:val="22"/>
        </w:rPr>
        <w:t xml:space="preserve">are </w:t>
      </w:r>
      <w:r w:rsidRPr="006C4DD4">
        <w:rPr>
          <w:rFonts w:ascii="Calibri" w:hAnsi="Calibri" w:cs="Calibri"/>
          <w:color w:val="auto"/>
          <w:sz w:val="22"/>
          <w:szCs w:val="22"/>
        </w:rPr>
        <w:t>steer</w:t>
      </w:r>
      <w:r>
        <w:rPr>
          <w:rFonts w:ascii="Calibri" w:hAnsi="Calibri" w:cs="Calibri"/>
          <w:color w:val="auto"/>
          <w:sz w:val="22"/>
          <w:szCs w:val="22"/>
        </w:rPr>
        <w:t>ing</w:t>
      </w:r>
      <w:r w:rsidRPr="006C4DD4">
        <w:rPr>
          <w:rFonts w:ascii="Calibri" w:hAnsi="Calibri" w:cs="Calibri"/>
          <w:color w:val="auto"/>
          <w:sz w:val="22"/>
          <w:szCs w:val="22"/>
        </w:rPr>
        <w:t xml:space="preserve"> the </w:t>
      </w:r>
      <w:r>
        <w:rPr>
          <w:rFonts w:ascii="Calibri" w:hAnsi="Calibri" w:cs="Calibri"/>
          <w:color w:val="auto"/>
          <w:sz w:val="22"/>
          <w:szCs w:val="22"/>
        </w:rPr>
        <w:t>NT’s</w:t>
      </w:r>
      <w:r w:rsidRPr="006C4DD4">
        <w:rPr>
          <w:rFonts w:ascii="Calibri" w:hAnsi="Calibri" w:cs="Calibri"/>
          <w:color w:val="auto"/>
          <w:sz w:val="22"/>
          <w:szCs w:val="22"/>
        </w:rPr>
        <w:t xml:space="preserve"> planning and effort around youth attainment and transitions.</w:t>
      </w:r>
    </w:p>
    <w:p w:rsidR="00A97D02" w:rsidRPr="00093899" w:rsidRDefault="00A97D02" w:rsidP="00A97D02">
      <w:pPr>
        <w:pStyle w:val="Default"/>
        <w:spacing w:before="120"/>
        <w:rPr>
          <w:b/>
          <w:color w:val="auto"/>
          <w:sz w:val="22"/>
          <w:szCs w:val="22"/>
        </w:rPr>
      </w:pPr>
      <w:r w:rsidRPr="00093899">
        <w:rPr>
          <w:b/>
          <w:color w:val="auto"/>
          <w:sz w:val="22"/>
          <w:szCs w:val="22"/>
        </w:rPr>
        <w:t>The Strategies</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The Northern Territory Department of Education and Training’s </w:t>
      </w:r>
      <w:r>
        <w:rPr>
          <w:rFonts w:ascii="Calibri" w:hAnsi="Calibri" w:cs="Calibri"/>
          <w:color w:val="auto"/>
          <w:sz w:val="22"/>
          <w:szCs w:val="22"/>
        </w:rPr>
        <w:t>(</w:t>
      </w:r>
      <w:proofErr w:type="spellStart"/>
      <w:r>
        <w:rPr>
          <w:rFonts w:ascii="Calibri" w:hAnsi="Calibri" w:cs="Calibri"/>
          <w:color w:val="auto"/>
          <w:sz w:val="22"/>
          <w:szCs w:val="22"/>
        </w:rPr>
        <w:t>DET</w:t>
      </w:r>
      <w:proofErr w:type="spellEnd"/>
      <w:r>
        <w:rPr>
          <w:rFonts w:ascii="Calibri" w:hAnsi="Calibri" w:cs="Calibri"/>
          <w:color w:val="auto"/>
          <w:sz w:val="22"/>
          <w:szCs w:val="22"/>
        </w:rPr>
        <w:t xml:space="preserve">) </w:t>
      </w:r>
      <w:r w:rsidRPr="000C4619">
        <w:rPr>
          <w:rFonts w:ascii="Calibri" w:hAnsi="Calibri" w:cs="Calibri"/>
          <w:color w:val="auto"/>
          <w:sz w:val="22"/>
          <w:szCs w:val="22"/>
        </w:rPr>
        <w:t xml:space="preserve">Strategic Plan 2011 – 2014 </w:t>
      </w:r>
      <w:r>
        <w:rPr>
          <w:rFonts w:ascii="Calibri" w:hAnsi="Calibri" w:cs="Calibri"/>
          <w:color w:val="auto"/>
          <w:sz w:val="22"/>
          <w:szCs w:val="22"/>
        </w:rPr>
        <w:t>details</w:t>
      </w:r>
      <w:r w:rsidRPr="000C4619">
        <w:rPr>
          <w:rFonts w:ascii="Calibri" w:hAnsi="Calibri" w:cs="Calibri"/>
          <w:color w:val="auto"/>
          <w:sz w:val="22"/>
          <w:szCs w:val="22"/>
        </w:rPr>
        <w:t xml:space="preserve"> </w:t>
      </w:r>
      <w:r>
        <w:rPr>
          <w:rFonts w:ascii="Calibri" w:hAnsi="Calibri" w:cs="Calibri"/>
          <w:color w:val="auto"/>
          <w:sz w:val="22"/>
          <w:szCs w:val="22"/>
        </w:rPr>
        <w:t>the</w:t>
      </w:r>
      <w:r w:rsidRPr="000C4619">
        <w:rPr>
          <w:rFonts w:ascii="Calibri" w:hAnsi="Calibri" w:cs="Calibri"/>
          <w:color w:val="auto"/>
          <w:sz w:val="22"/>
          <w:szCs w:val="22"/>
        </w:rPr>
        <w:t xml:space="preserve"> ambitious program of reform for NT Government schools driven by the objective of successful student transition to further training, employment or higher education.  These reforms</w:t>
      </w:r>
      <w:r>
        <w:rPr>
          <w:rFonts w:ascii="Calibri" w:hAnsi="Calibri" w:cs="Calibri"/>
          <w:color w:val="auto"/>
          <w:sz w:val="22"/>
          <w:szCs w:val="22"/>
        </w:rPr>
        <w:t>,</w:t>
      </w:r>
      <w:r w:rsidRPr="000C4619">
        <w:rPr>
          <w:rFonts w:ascii="Calibri" w:hAnsi="Calibri" w:cs="Calibri"/>
          <w:color w:val="auto"/>
          <w:sz w:val="22"/>
          <w:szCs w:val="22"/>
        </w:rPr>
        <w:t xml:space="preserve"> </w:t>
      </w:r>
      <w:r>
        <w:rPr>
          <w:rFonts w:ascii="Calibri" w:hAnsi="Calibri" w:cs="Calibri"/>
          <w:color w:val="auto"/>
          <w:sz w:val="22"/>
          <w:szCs w:val="22"/>
        </w:rPr>
        <w:t xml:space="preserve">which have commenced, or are being implemented, </w:t>
      </w:r>
      <w:r w:rsidRPr="000C4619">
        <w:rPr>
          <w:rFonts w:ascii="Calibri" w:hAnsi="Calibri" w:cs="Calibri"/>
          <w:color w:val="auto"/>
          <w:sz w:val="22"/>
          <w:szCs w:val="22"/>
        </w:rPr>
        <w:t xml:space="preserve">include: </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 xml:space="preserve">the new </w:t>
      </w:r>
      <w:r w:rsidRPr="00F04B3B">
        <w:rPr>
          <w:rFonts w:cs="Arial"/>
          <w:bCs/>
          <w:i/>
        </w:rPr>
        <w:t>Northern Territory Certificate of Education and Training</w:t>
      </w:r>
      <w:r w:rsidRPr="00F04B3B">
        <w:rPr>
          <w:rFonts w:cs="Arial"/>
          <w:bCs/>
        </w:rPr>
        <w:t xml:space="preserve"> (</w:t>
      </w:r>
      <w:proofErr w:type="spellStart"/>
      <w:r w:rsidRPr="00F04B3B">
        <w:rPr>
          <w:rFonts w:cs="Arial"/>
          <w:bCs/>
        </w:rPr>
        <w:t>NTCET</w:t>
      </w:r>
      <w:proofErr w:type="spellEnd"/>
      <w:r w:rsidRPr="00F04B3B">
        <w:rPr>
          <w:rFonts w:cs="Arial"/>
          <w:bCs/>
        </w:rPr>
        <w:t>), which ensure</w:t>
      </w:r>
      <w:r>
        <w:rPr>
          <w:rFonts w:cs="Arial"/>
          <w:bCs/>
        </w:rPr>
        <w:t>s</w:t>
      </w:r>
      <w:r w:rsidRPr="00F04B3B">
        <w:rPr>
          <w:rFonts w:cs="Arial"/>
          <w:bCs/>
        </w:rPr>
        <w:t xml:space="preserve"> that all students achieve sound levels of literacy and numeracy, are provided with clear, flexible pathways to university, further training or work and that both academic and vocational pathways and outcomes are equally valued;</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partner</w:t>
      </w:r>
      <w:r>
        <w:rPr>
          <w:rFonts w:cs="Arial"/>
          <w:bCs/>
        </w:rPr>
        <w:t>ing</w:t>
      </w:r>
      <w:proofErr w:type="gramEnd"/>
      <w:r w:rsidRPr="00F04B3B">
        <w:rPr>
          <w:rFonts w:cs="Arial"/>
          <w:bCs/>
        </w:rPr>
        <w:t xml:space="preserve"> with Charles Darwin University to progressively create five </w:t>
      </w:r>
      <w:r w:rsidRPr="00F04B3B">
        <w:rPr>
          <w:rFonts w:cs="Arial"/>
          <w:bCs/>
          <w:i/>
        </w:rPr>
        <w:t>Centres for Excellence</w:t>
      </w:r>
      <w:r w:rsidRPr="00F04B3B">
        <w:rPr>
          <w:rFonts w:cs="Arial"/>
          <w:bCs/>
        </w:rPr>
        <w:t xml:space="preserve"> within existing senior secondary campuses for capable, motivated students.  These centres provide opportunities for students who meet the entry criteria to gain access to innovative programs, industry experience and fast-tracked university entry. </w:t>
      </w:r>
    </w:p>
    <w:p w:rsidR="00A97D02" w:rsidRDefault="00A97D02" w:rsidP="00A97D02">
      <w:pPr>
        <w:pStyle w:val="ListParagraph"/>
        <w:numPr>
          <w:ilvl w:val="0"/>
          <w:numId w:val="10"/>
        </w:numPr>
        <w:autoSpaceDE w:val="0"/>
        <w:autoSpaceDN w:val="0"/>
        <w:adjustRightInd w:val="0"/>
        <w:rPr>
          <w:rFonts w:cs="Arial"/>
          <w:bCs/>
        </w:rPr>
      </w:pPr>
      <w:proofErr w:type="gramStart"/>
      <w:r w:rsidRPr="004B066A">
        <w:rPr>
          <w:rFonts w:cs="Arial"/>
          <w:bCs/>
        </w:rPr>
        <w:t>expanded</w:t>
      </w:r>
      <w:proofErr w:type="gramEnd"/>
      <w:r w:rsidRPr="004B066A">
        <w:rPr>
          <w:rFonts w:cs="Arial"/>
          <w:bCs/>
        </w:rPr>
        <w:t xml:space="preserve"> access to high quality, job‐aligned </w:t>
      </w:r>
      <w:r w:rsidRPr="004B066A">
        <w:rPr>
          <w:rFonts w:cs="Arial"/>
          <w:bCs/>
          <w:i/>
        </w:rPr>
        <w:t>VET in Schools</w:t>
      </w:r>
      <w:r w:rsidRPr="004B066A">
        <w:rPr>
          <w:rFonts w:cs="Arial"/>
          <w:bCs/>
        </w:rPr>
        <w:t xml:space="preserve"> programs in all senior secondary schools, that deliver real qualifications and make students work‐ready. </w:t>
      </w:r>
    </w:p>
    <w:p w:rsidR="00A97D02" w:rsidRPr="004B066A" w:rsidRDefault="00A97D02" w:rsidP="00A97D02">
      <w:pPr>
        <w:pStyle w:val="ListParagraph"/>
        <w:numPr>
          <w:ilvl w:val="1"/>
          <w:numId w:val="10"/>
        </w:numPr>
        <w:autoSpaceDE w:val="0"/>
        <w:autoSpaceDN w:val="0"/>
        <w:adjustRightInd w:val="0"/>
        <w:rPr>
          <w:rFonts w:cs="Arial"/>
          <w:bCs/>
        </w:rPr>
      </w:pPr>
      <w:r>
        <w:rPr>
          <w:rFonts w:cs="Arial"/>
          <w:bCs/>
        </w:rPr>
        <w:t>Through t</w:t>
      </w:r>
      <w:r w:rsidRPr="004B066A">
        <w:rPr>
          <w:rFonts w:cs="Arial"/>
          <w:bCs/>
        </w:rPr>
        <w:t>his initiative</w:t>
      </w:r>
      <w:r>
        <w:rPr>
          <w:rFonts w:cs="Arial"/>
          <w:bCs/>
        </w:rPr>
        <w:t xml:space="preserve"> </w:t>
      </w:r>
      <w:proofErr w:type="spellStart"/>
      <w:r>
        <w:rPr>
          <w:rFonts w:cs="Arial"/>
          <w:bCs/>
        </w:rPr>
        <w:t>DET</w:t>
      </w:r>
      <w:proofErr w:type="spellEnd"/>
      <w:r>
        <w:rPr>
          <w:rFonts w:cs="Arial"/>
          <w:bCs/>
        </w:rPr>
        <w:t xml:space="preserve"> is</w:t>
      </w:r>
      <w:r w:rsidRPr="004B066A">
        <w:rPr>
          <w:rFonts w:cs="Arial"/>
          <w:bCs/>
        </w:rPr>
        <w:t>:</w:t>
      </w:r>
    </w:p>
    <w:p w:rsidR="00A97D02" w:rsidRPr="00F04B3B" w:rsidRDefault="00A97D02" w:rsidP="00A97D02">
      <w:pPr>
        <w:pStyle w:val="ListParagraph"/>
        <w:numPr>
          <w:ilvl w:val="2"/>
          <w:numId w:val="10"/>
        </w:numPr>
        <w:autoSpaceDE w:val="0"/>
        <w:autoSpaceDN w:val="0"/>
        <w:adjustRightInd w:val="0"/>
        <w:ind w:left="1843"/>
        <w:rPr>
          <w:rFonts w:cs="Arial"/>
          <w:bCs/>
        </w:rPr>
      </w:pPr>
      <w:r>
        <w:rPr>
          <w:rFonts w:cs="Arial"/>
          <w:bCs/>
        </w:rPr>
        <w:t>a</w:t>
      </w:r>
      <w:r w:rsidRPr="00F04B3B">
        <w:rPr>
          <w:rFonts w:cs="Arial"/>
          <w:bCs/>
        </w:rPr>
        <w:t>lign</w:t>
      </w:r>
      <w:r>
        <w:rPr>
          <w:rFonts w:cs="Arial"/>
          <w:bCs/>
        </w:rPr>
        <w:t>ing</w:t>
      </w:r>
      <w:r w:rsidRPr="00F04B3B">
        <w:rPr>
          <w:rFonts w:cs="Arial"/>
          <w:bCs/>
        </w:rPr>
        <w:t xml:space="preserve"> the focus of new Trade Training Centres to industry and employer need;</w:t>
      </w:r>
    </w:p>
    <w:p w:rsidR="00A97D02" w:rsidRPr="00F04B3B" w:rsidRDefault="00A97D02" w:rsidP="00A97D02">
      <w:pPr>
        <w:pStyle w:val="ListParagraph"/>
        <w:numPr>
          <w:ilvl w:val="2"/>
          <w:numId w:val="10"/>
        </w:numPr>
        <w:autoSpaceDE w:val="0"/>
        <w:autoSpaceDN w:val="0"/>
        <w:adjustRightInd w:val="0"/>
        <w:ind w:left="1843"/>
        <w:rPr>
          <w:rFonts w:cs="Arial"/>
          <w:bCs/>
        </w:rPr>
      </w:pPr>
      <w:r w:rsidRPr="00F04B3B">
        <w:rPr>
          <w:rFonts w:cs="Arial"/>
          <w:bCs/>
        </w:rPr>
        <w:t>increas</w:t>
      </w:r>
      <w:r>
        <w:rPr>
          <w:rFonts w:cs="Arial"/>
          <w:bCs/>
        </w:rPr>
        <w:t>ing</w:t>
      </w:r>
      <w:r w:rsidRPr="00F04B3B">
        <w:rPr>
          <w:rFonts w:cs="Arial"/>
          <w:bCs/>
        </w:rPr>
        <w:t xml:space="preserve"> the number of school‐based apprenticeships and traineeships; and</w:t>
      </w:r>
    </w:p>
    <w:p w:rsidR="00A97D02" w:rsidRPr="00F04B3B" w:rsidRDefault="00A97D02" w:rsidP="00A97D02">
      <w:pPr>
        <w:pStyle w:val="ListParagraph"/>
        <w:numPr>
          <w:ilvl w:val="2"/>
          <w:numId w:val="10"/>
        </w:numPr>
        <w:autoSpaceDE w:val="0"/>
        <w:autoSpaceDN w:val="0"/>
        <w:adjustRightInd w:val="0"/>
        <w:ind w:left="1843"/>
        <w:rPr>
          <w:rFonts w:cs="Arial"/>
          <w:bCs/>
        </w:rPr>
      </w:pPr>
      <w:r>
        <w:rPr>
          <w:rFonts w:cs="Arial"/>
          <w:bCs/>
        </w:rPr>
        <w:t>facilitating</w:t>
      </w:r>
      <w:r w:rsidRPr="00F04B3B">
        <w:rPr>
          <w:rFonts w:cs="Arial"/>
          <w:bCs/>
        </w:rPr>
        <w:t xml:space="preserve"> more students to complete Certificate II and/or III and get a </w:t>
      </w:r>
      <w:proofErr w:type="spellStart"/>
      <w:r>
        <w:rPr>
          <w:rFonts w:cs="Arial"/>
          <w:bCs/>
        </w:rPr>
        <w:t>NTCET</w:t>
      </w:r>
      <w:proofErr w:type="spellEnd"/>
      <w:r>
        <w:rPr>
          <w:rFonts w:cs="Arial"/>
          <w:bCs/>
        </w:rPr>
        <w:t xml:space="preserve">; </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improved access to South Australian Certificate of Education (</w:t>
      </w:r>
      <w:proofErr w:type="spellStart"/>
      <w:r w:rsidRPr="00F04B3B">
        <w:rPr>
          <w:rFonts w:cs="Arial"/>
          <w:bCs/>
        </w:rPr>
        <w:t>SACE</w:t>
      </w:r>
      <w:proofErr w:type="spellEnd"/>
      <w:r w:rsidRPr="00F04B3B">
        <w:rPr>
          <w:rFonts w:cs="Arial"/>
          <w:bCs/>
        </w:rPr>
        <w:t>) approved academic and VET courses, using virtual schooling to deliver real time quality learning for school‐based senior secondary students who do not have these courses available in their home school;</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expanded access to Clontarf academy programs across more schools and communities for a wider range of students including young men in the senior years;</w:t>
      </w:r>
    </w:p>
    <w:p w:rsidR="00A97D02" w:rsidRPr="00F04B3B" w:rsidRDefault="00A97D02" w:rsidP="00A97D02">
      <w:pPr>
        <w:pStyle w:val="ListParagraph"/>
        <w:numPr>
          <w:ilvl w:val="0"/>
          <w:numId w:val="10"/>
        </w:numPr>
        <w:autoSpaceDE w:val="0"/>
        <w:autoSpaceDN w:val="0"/>
        <w:adjustRightInd w:val="0"/>
        <w:rPr>
          <w:rFonts w:cs="Arial"/>
          <w:bCs/>
        </w:rPr>
      </w:pPr>
      <w:r>
        <w:rPr>
          <w:rFonts w:cs="Arial"/>
          <w:bCs/>
        </w:rPr>
        <w:t>establishing</w:t>
      </w:r>
      <w:r w:rsidRPr="00F04B3B">
        <w:rPr>
          <w:rFonts w:cs="Arial"/>
          <w:bCs/>
        </w:rPr>
        <w:t xml:space="preserve"> a </w:t>
      </w:r>
      <w:r w:rsidRPr="00F04B3B">
        <w:rPr>
          <w:rFonts w:cs="Arial"/>
          <w:bCs/>
          <w:i/>
        </w:rPr>
        <w:t>Beyond School Guarantee</w:t>
      </w:r>
      <w:r w:rsidRPr="00F04B3B">
        <w:rPr>
          <w:rFonts w:cs="Arial"/>
          <w:bCs/>
        </w:rPr>
        <w:t xml:space="preserve"> and local </w:t>
      </w:r>
      <w:r w:rsidRPr="00F04B3B">
        <w:rPr>
          <w:rFonts w:cs="Arial"/>
          <w:bCs/>
          <w:i/>
        </w:rPr>
        <w:t>Jobs Registers</w:t>
      </w:r>
      <w:r w:rsidRPr="00F04B3B">
        <w:rPr>
          <w:rFonts w:cs="Arial"/>
          <w:bCs/>
        </w:rPr>
        <w:t xml:space="preserve"> </w:t>
      </w:r>
      <w:r>
        <w:rPr>
          <w:rFonts w:cs="Arial"/>
          <w:bCs/>
        </w:rPr>
        <w:t>to</w:t>
      </w:r>
      <w:r w:rsidRPr="00F04B3B">
        <w:rPr>
          <w:rFonts w:cs="Arial"/>
          <w:bCs/>
        </w:rPr>
        <w:t xml:space="preserve"> ensure students a pathway to work, university or further traini</w:t>
      </w:r>
      <w:r>
        <w:rPr>
          <w:rFonts w:cs="Arial"/>
          <w:bCs/>
        </w:rPr>
        <w:t xml:space="preserve">ng based on students fulfilling </w:t>
      </w:r>
      <w:r w:rsidRPr="00F04B3B">
        <w:rPr>
          <w:rFonts w:cs="Arial"/>
          <w:bCs/>
        </w:rPr>
        <w:t>requirements including attendance, participation and behaviour;</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establish</w:t>
      </w:r>
      <w:r>
        <w:rPr>
          <w:rFonts w:cs="Arial"/>
          <w:bCs/>
        </w:rPr>
        <w:t>ing</w:t>
      </w:r>
      <w:r w:rsidRPr="00F04B3B">
        <w:rPr>
          <w:rFonts w:cs="Arial"/>
          <w:bCs/>
        </w:rPr>
        <w:t xml:space="preserve"> a </w:t>
      </w:r>
      <w:r w:rsidRPr="00F04B3B">
        <w:rPr>
          <w:rFonts w:cs="Arial"/>
          <w:bCs/>
          <w:i/>
        </w:rPr>
        <w:t>Jobs Guarantee</w:t>
      </w:r>
      <w:r w:rsidRPr="00F04B3B">
        <w:rPr>
          <w:rFonts w:cs="Arial"/>
          <w:bCs/>
        </w:rPr>
        <w:t xml:space="preserve"> for </w:t>
      </w:r>
      <w:proofErr w:type="spellStart"/>
      <w:r w:rsidRPr="00F04B3B">
        <w:rPr>
          <w:rFonts w:cs="Arial"/>
          <w:bCs/>
        </w:rPr>
        <w:t>NTCET</w:t>
      </w:r>
      <w:proofErr w:type="spellEnd"/>
      <w:r w:rsidRPr="00F04B3B">
        <w:rPr>
          <w:rFonts w:cs="Arial"/>
          <w:bCs/>
        </w:rPr>
        <w:t xml:space="preserve"> graduates in Territory Growth Towns;</w:t>
      </w:r>
    </w:p>
    <w:p w:rsidR="00A97D02" w:rsidRPr="00F04B3B" w:rsidRDefault="00A97D02" w:rsidP="00A97D02">
      <w:pPr>
        <w:pStyle w:val="ListParagraph"/>
        <w:numPr>
          <w:ilvl w:val="0"/>
          <w:numId w:val="10"/>
        </w:numPr>
        <w:autoSpaceDE w:val="0"/>
        <w:autoSpaceDN w:val="0"/>
        <w:adjustRightInd w:val="0"/>
        <w:rPr>
          <w:rFonts w:cs="Arial"/>
          <w:bCs/>
        </w:rPr>
      </w:pPr>
      <w:r>
        <w:rPr>
          <w:rFonts w:cs="Arial"/>
          <w:bCs/>
        </w:rPr>
        <w:t xml:space="preserve">creating </w:t>
      </w:r>
      <w:r w:rsidRPr="00F04B3B">
        <w:rPr>
          <w:rFonts w:cs="Arial"/>
          <w:bCs/>
        </w:rPr>
        <w:t xml:space="preserve">targeted pathways support for </w:t>
      </w:r>
      <w:r>
        <w:rPr>
          <w:rFonts w:cs="Arial"/>
          <w:bCs/>
        </w:rPr>
        <w:t xml:space="preserve">senior </w:t>
      </w:r>
      <w:r w:rsidRPr="00F04B3B">
        <w:rPr>
          <w:rFonts w:cs="Arial"/>
          <w:bCs/>
        </w:rPr>
        <w:t>students in smaller remote schools;</w:t>
      </w:r>
    </w:p>
    <w:p w:rsidR="00A97D02" w:rsidRPr="00F04B3B" w:rsidRDefault="00A97D02" w:rsidP="00A97D02">
      <w:pPr>
        <w:pStyle w:val="ListParagraph"/>
        <w:numPr>
          <w:ilvl w:val="0"/>
          <w:numId w:val="10"/>
        </w:numPr>
        <w:autoSpaceDE w:val="0"/>
        <w:autoSpaceDN w:val="0"/>
        <w:adjustRightInd w:val="0"/>
        <w:rPr>
          <w:rFonts w:cs="Arial"/>
          <w:bCs/>
        </w:rPr>
      </w:pPr>
      <w:r>
        <w:rPr>
          <w:rFonts w:cs="Arial"/>
          <w:bCs/>
        </w:rPr>
        <w:t>requiring</w:t>
      </w:r>
      <w:r w:rsidRPr="00F04B3B">
        <w:rPr>
          <w:rFonts w:cs="Arial"/>
          <w:bCs/>
        </w:rPr>
        <w:t xml:space="preserve"> all year 10 students to develop a </w:t>
      </w:r>
      <w:r w:rsidRPr="00AF69AA">
        <w:rPr>
          <w:rFonts w:cs="Arial"/>
          <w:bCs/>
          <w:i/>
        </w:rPr>
        <w:t>Personal Learning Plan</w:t>
      </w:r>
      <w:r w:rsidRPr="00F04B3B">
        <w:rPr>
          <w:rFonts w:cs="Arial"/>
          <w:bCs/>
        </w:rPr>
        <w:t>;</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 xml:space="preserve">ensuring greater use of school facilities to assist tertiary education and training outside school hours; </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in consultation with industry, develop</w:t>
      </w:r>
      <w:r>
        <w:rPr>
          <w:rFonts w:cs="Arial"/>
          <w:bCs/>
        </w:rPr>
        <w:t>ing</w:t>
      </w:r>
      <w:r w:rsidRPr="00F04B3B">
        <w:rPr>
          <w:rFonts w:cs="Arial"/>
          <w:bCs/>
        </w:rPr>
        <w:t xml:space="preserve"> and provid</w:t>
      </w:r>
      <w:r>
        <w:rPr>
          <w:rFonts w:cs="Arial"/>
          <w:bCs/>
        </w:rPr>
        <w:t>ing</w:t>
      </w:r>
      <w:r w:rsidRPr="00F04B3B">
        <w:rPr>
          <w:rFonts w:cs="Arial"/>
          <w:bCs/>
        </w:rPr>
        <w:t xml:space="preserve"> students </w:t>
      </w:r>
      <w:r>
        <w:rPr>
          <w:rFonts w:cs="Arial"/>
          <w:bCs/>
        </w:rPr>
        <w:t xml:space="preserve">with </w:t>
      </w:r>
      <w:r w:rsidRPr="00F04B3B">
        <w:rPr>
          <w:rFonts w:cs="Arial"/>
          <w:bCs/>
        </w:rPr>
        <w:t xml:space="preserve">access to workplace literacy and numeracy programs; </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expand</w:t>
      </w:r>
      <w:r>
        <w:rPr>
          <w:rFonts w:cs="Arial"/>
          <w:bCs/>
        </w:rPr>
        <w:t>ed</w:t>
      </w:r>
      <w:r w:rsidRPr="00F04B3B">
        <w:rPr>
          <w:rFonts w:cs="Arial"/>
          <w:bCs/>
        </w:rPr>
        <w:t xml:space="preserve"> Work transition and </w:t>
      </w:r>
      <w:proofErr w:type="spellStart"/>
      <w:r w:rsidRPr="00F04B3B">
        <w:rPr>
          <w:rFonts w:cs="Arial"/>
          <w:bCs/>
        </w:rPr>
        <w:t>WorkReady</w:t>
      </w:r>
      <w:proofErr w:type="spellEnd"/>
      <w:r w:rsidRPr="00F04B3B">
        <w:rPr>
          <w:rFonts w:cs="Arial"/>
          <w:bCs/>
        </w:rPr>
        <w:t xml:space="preserve"> programs, especially in the Territory Growth Towns and invest</w:t>
      </w:r>
      <w:r>
        <w:rPr>
          <w:rFonts w:cs="Arial"/>
          <w:bCs/>
        </w:rPr>
        <w:t>ment</w:t>
      </w:r>
      <w:r w:rsidRPr="00F04B3B">
        <w:rPr>
          <w:rFonts w:cs="Arial"/>
          <w:bCs/>
        </w:rPr>
        <w:t xml:space="preserve"> in </w:t>
      </w:r>
      <w:r>
        <w:rPr>
          <w:rFonts w:cs="Arial"/>
          <w:bCs/>
        </w:rPr>
        <w:t>VET</w:t>
      </w:r>
      <w:r w:rsidRPr="00F04B3B">
        <w:rPr>
          <w:rFonts w:cs="Arial"/>
          <w:bCs/>
        </w:rPr>
        <w:t xml:space="preserve"> driven by specific job pathways in each community;</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lastRenderedPageBreak/>
        <w:t>tria</w:t>
      </w:r>
      <w:r>
        <w:rPr>
          <w:rFonts w:cs="Arial"/>
          <w:bCs/>
        </w:rPr>
        <w:t>l</w:t>
      </w:r>
      <w:r w:rsidRPr="00F04B3B">
        <w:rPr>
          <w:rFonts w:cs="Arial"/>
          <w:bCs/>
        </w:rPr>
        <w:t>l</w:t>
      </w:r>
      <w:r>
        <w:rPr>
          <w:rFonts w:cs="Arial"/>
          <w:bCs/>
        </w:rPr>
        <w:t>ing</w:t>
      </w:r>
      <w:r w:rsidRPr="00F04B3B">
        <w:rPr>
          <w:rFonts w:cs="Arial"/>
          <w:bCs/>
        </w:rPr>
        <w:t xml:space="preserve"> a Birth to Jobs approach in six Territory Growth Towns as a key plank in implementing a number of National Partnership Agreements</w:t>
      </w:r>
      <w:r>
        <w:rPr>
          <w:rFonts w:cs="Arial"/>
          <w:bCs/>
        </w:rPr>
        <w:t xml:space="preserve"> – the </w:t>
      </w:r>
      <w:r w:rsidRPr="000C4619">
        <w:rPr>
          <w:rFonts w:ascii="Calibri" w:hAnsi="Calibri" w:cs="Calibri"/>
          <w:i/>
        </w:rPr>
        <w:t>Strong Start, Bright Future</w:t>
      </w:r>
      <w:r w:rsidRPr="000C4619">
        <w:rPr>
          <w:rFonts w:ascii="Calibri" w:hAnsi="Calibri" w:cs="Calibri"/>
        </w:rPr>
        <w:t xml:space="preserve"> College model</w:t>
      </w:r>
      <w:r w:rsidRPr="00F04B3B">
        <w:rPr>
          <w:rFonts w:cs="Arial"/>
          <w:bCs/>
        </w:rPr>
        <w:t>;</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work</w:t>
      </w:r>
      <w:r>
        <w:rPr>
          <w:rFonts w:cs="Arial"/>
          <w:bCs/>
        </w:rPr>
        <w:t>ing</w:t>
      </w:r>
      <w:r w:rsidRPr="00F04B3B">
        <w:rPr>
          <w:rFonts w:cs="Arial"/>
          <w:bCs/>
        </w:rPr>
        <w:t xml:space="preserve"> as part of a joined up team to enhance the capacity of schools to support students, families and the community to prevent and address Child Protection issues;</w:t>
      </w:r>
      <w:r>
        <w:rPr>
          <w:rFonts w:cs="Arial"/>
          <w:bCs/>
        </w:rPr>
        <w:t xml:space="preserve"> and</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work</w:t>
      </w:r>
      <w:r>
        <w:rPr>
          <w:rFonts w:cs="Arial"/>
          <w:bCs/>
        </w:rPr>
        <w:t>ing</w:t>
      </w:r>
      <w:proofErr w:type="gramEnd"/>
      <w:r>
        <w:rPr>
          <w:rFonts w:cs="Arial"/>
          <w:bCs/>
        </w:rPr>
        <w:t xml:space="preserve"> with parents and the </w:t>
      </w:r>
      <w:r w:rsidRPr="00F04B3B">
        <w:rPr>
          <w:rFonts w:cs="Arial"/>
          <w:bCs/>
        </w:rPr>
        <w:t>communit</w:t>
      </w:r>
      <w:r>
        <w:rPr>
          <w:rFonts w:cs="Arial"/>
          <w:bCs/>
        </w:rPr>
        <w:t>y</w:t>
      </w:r>
      <w:r w:rsidRPr="00F04B3B">
        <w:rPr>
          <w:rFonts w:cs="Arial"/>
          <w:bCs/>
        </w:rPr>
        <w:t xml:space="preserve"> to implement </w:t>
      </w:r>
      <w:r w:rsidRPr="00AF259E">
        <w:rPr>
          <w:rFonts w:cs="Arial"/>
          <w:bCs/>
        </w:rPr>
        <w:t>the</w:t>
      </w:r>
      <w:r w:rsidRPr="008B432E">
        <w:rPr>
          <w:rFonts w:cs="Arial"/>
          <w:bCs/>
          <w:i/>
        </w:rPr>
        <w:t xml:space="preserve"> Every Child, Every Day </w:t>
      </w:r>
      <w:r w:rsidRPr="00F04B3B">
        <w:rPr>
          <w:rFonts w:cs="Arial"/>
          <w:bCs/>
        </w:rPr>
        <w:t>strategy which is designed to improve the enrolment, attendance and participation of young Territorians, including extended services through fle</w:t>
      </w:r>
      <w:r>
        <w:rPr>
          <w:rFonts w:cs="Arial"/>
          <w:bCs/>
        </w:rPr>
        <w:t>xible timing of school programs.</w:t>
      </w:r>
    </w:p>
    <w:p w:rsidR="00A97D02" w:rsidRPr="003D0B53" w:rsidRDefault="00A97D02" w:rsidP="00A97D02">
      <w:pPr>
        <w:pStyle w:val="Default"/>
        <w:spacing w:before="120"/>
        <w:rPr>
          <w:rFonts w:ascii="Calibri" w:hAnsi="Calibri" w:cs="Calibri"/>
          <w:color w:val="000000" w:themeColor="text1"/>
          <w:sz w:val="22"/>
          <w:szCs w:val="22"/>
        </w:rPr>
      </w:pPr>
      <w:r w:rsidRPr="003D0B53">
        <w:rPr>
          <w:b/>
          <w:color w:val="000000" w:themeColor="text1"/>
          <w:sz w:val="22"/>
          <w:szCs w:val="22"/>
        </w:rPr>
        <w:t>Factors impacting on progress</w:t>
      </w:r>
      <w:r w:rsidRPr="003D0B53">
        <w:rPr>
          <w:rFonts w:ascii="Calibri" w:hAnsi="Calibri" w:cs="Calibri"/>
          <w:color w:val="000000" w:themeColor="text1"/>
          <w:sz w:val="22"/>
          <w:szCs w:val="22"/>
        </w:rPr>
        <w:t xml:space="preserve"> </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The </w:t>
      </w:r>
      <w:r>
        <w:rPr>
          <w:rFonts w:ascii="Calibri" w:hAnsi="Calibri" w:cs="Calibri"/>
          <w:color w:val="auto"/>
          <w:sz w:val="22"/>
          <w:szCs w:val="22"/>
        </w:rPr>
        <w:t>NT</w:t>
      </w:r>
      <w:r w:rsidRPr="000C4619">
        <w:rPr>
          <w:rFonts w:ascii="Calibri" w:hAnsi="Calibri" w:cs="Calibri"/>
          <w:color w:val="auto"/>
          <w:sz w:val="22"/>
          <w:szCs w:val="22"/>
        </w:rPr>
        <w:t xml:space="preserve"> has a substantial challenge in </w:t>
      </w:r>
      <w:r>
        <w:rPr>
          <w:rFonts w:ascii="Calibri" w:hAnsi="Calibri" w:cs="Calibri"/>
          <w:color w:val="auto"/>
          <w:sz w:val="22"/>
          <w:szCs w:val="22"/>
        </w:rPr>
        <w:t>driving improvement in</w:t>
      </w:r>
      <w:r w:rsidRPr="000C4619">
        <w:rPr>
          <w:rFonts w:ascii="Calibri" w:hAnsi="Calibri" w:cs="Calibri"/>
          <w:color w:val="auto"/>
          <w:sz w:val="22"/>
          <w:szCs w:val="22"/>
        </w:rPr>
        <w:t xml:space="preserve"> youth attainment and transition outcomes.  While schools have focussed on a range of </w:t>
      </w:r>
      <w:r>
        <w:rPr>
          <w:rFonts w:ascii="Calibri" w:hAnsi="Calibri" w:cs="Calibri"/>
          <w:color w:val="auto"/>
          <w:sz w:val="22"/>
          <w:szCs w:val="22"/>
        </w:rPr>
        <w:t xml:space="preserve">initiatives </w:t>
      </w:r>
      <w:r w:rsidRPr="000C4619">
        <w:rPr>
          <w:rFonts w:ascii="Calibri" w:hAnsi="Calibri" w:cs="Calibri"/>
          <w:color w:val="auto"/>
          <w:sz w:val="22"/>
          <w:szCs w:val="22"/>
        </w:rPr>
        <w:t>to prepare students for successful transition from school to further education, training or employment, most must first address student literacy and numeracy, attendance, engagement and wellbeing issues as key enablers for learning.  In many schools, students display poor or irregular attendance in large part because they experience extreme poverty, often living in overcrowded or non-permanent homes, with little access to support for their basic well-being such as adeq</w:t>
      </w:r>
      <w:r>
        <w:rPr>
          <w:rFonts w:ascii="Calibri" w:hAnsi="Calibri" w:cs="Calibri"/>
          <w:color w:val="auto"/>
          <w:sz w:val="22"/>
          <w:szCs w:val="22"/>
        </w:rPr>
        <w:t xml:space="preserve">uate sleep, hygiene, nutrition, </w:t>
      </w:r>
      <w:r w:rsidRPr="000C4619">
        <w:rPr>
          <w:rFonts w:ascii="Calibri" w:hAnsi="Calibri" w:cs="Calibri"/>
          <w:color w:val="auto"/>
          <w:sz w:val="22"/>
          <w:szCs w:val="22"/>
        </w:rPr>
        <w:t>medical attention and/or safety.  Those most affected have sometimes been exposed to significant trauma and/or are exposed to mental illness.  Some students also lack the basic behavioural or social preparedness to participate in schooling and can cause significant disruption when placed in classes without adequate support.  Working closely with families and the community to identify ways to address these issues, and increase the value of schooling is essential.</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Whilst 2010 was the first full year of activity under this National Partnership, substantial progress has been made in gaining momentum for reform.  Implementation planning undertaken in 2010 is positioning schools, regions and the system for consolidation in 2011.  Never the less, aggregated performance data for schools is showing early progress, with: </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increased number</w:t>
      </w:r>
      <w:r>
        <w:rPr>
          <w:rFonts w:cs="Arial"/>
          <w:bCs/>
        </w:rPr>
        <w:t>s</w:t>
      </w:r>
      <w:r w:rsidRPr="00F04B3B">
        <w:rPr>
          <w:rFonts w:cs="Arial"/>
          <w:bCs/>
        </w:rPr>
        <w:t xml:space="preserve"> of 15-19 year olds </w:t>
      </w:r>
      <w:r>
        <w:rPr>
          <w:rFonts w:cs="Arial"/>
          <w:bCs/>
        </w:rPr>
        <w:t>participating in VET and school-</w:t>
      </w:r>
      <w:r w:rsidRPr="00F04B3B">
        <w:rPr>
          <w:rFonts w:cs="Arial"/>
          <w:bCs/>
        </w:rPr>
        <w:t>based apprenticeships</w:t>
      </w:r>
      <w:r>
        <w:rPr>
          <w:rFonts w:cs="Arial"/>
          <w:bCs/>
        </w:rPr>
        <w:t>; and</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improved</w:t>
      </w:r>
      <w:proofErr w:type="gramEnd"/>
      <w:r w:rsidRPr="00F04B3B">
        <w:rPr>
          <w:rFonts w:cs="Arial"/>
          <w:bCs/>
        </w:rPr>
        <w:t xml:space="preserve"> student achievement in both </w:t>
      </w:r>
      <w:proofErr w:type="spellStart"/>
      <w:r w:rsidRPr="00F04B3B">
        <w:rPr>
          <w:rFonts w:cs="Arial"/>
          <w:bCs/>
        </w:rPr>
        <w:t>NTCE</w:t>
      </w:r>
      <w:proofErr w:type="spellEnd"/>
      <w:r w:rsidRPr="00F04B3B">
        <w:rPr>
          <w:rFonts w:cs="Arial"/>
          <w:bCs/>
        </w:rPr>
        <w:t xml:space="preserve"> and VET unit of competency achievement for both  Indigenous and non-Indigenous students.</w:t>
      </w:r>
    </w:p>
    <w:p w:rsidR="00A97D02" w:rsidRPr="000C4619"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While</w:t>
      </w:r>
      <w:r w:rsidRPr="000C4619">
        <w:rPr>
          <w:rFonts w:ascii="Calibri" w:hAnsi="Calibri" w:cs="Calibri"/>
          <w:color w:val="auto"/>
          <w:sz w:val="22"/>
          <w:szCs w:val="22"/>
        </w:rPr>
        <w:t xml:space="preserve">, substantial change to </w:t>
      </w:r>
      <w:r>
        <w:rPr>
          <w:rFonts w:ascii="Calibri" w:hAnsi="Calibri" w:cs="Calibri"/>
          <w:color w:val="auto"/>
          <w:sz w:val="22"/>
          <w:szCs w:val="22"/>
        </w:rPr>
        <w:t xml:space="preserve">system level </w:t>
      </w:r>
      <w:r w:rsidRPr="000C4619">
        <w:rPr>
          <w:rFonts w:ascii="Calibri" w:hAnsi="Calibri" w:cs="Calibri"/>
          <w:color w:val="auto"/>
          <w:sz w:val="22"/>
          <w:szCs w:val="22"/>
        </w:rPr>
        <w:t xml:space="preserve">attendance continues to be a challenge, the intense focus on this issue at the system, regional and school levels is beginning to show a number of schools performing well as a result of targeted reform effort.  For example: </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the</w:t>
      </w:r>
      <w:proofErr w:type="gramEnd"/>
      <w:r w:rsidRPr="00F04B3B">
        <w:rPr>
          <w:rFonts w:cs="Arial"/>
          <w:bCs/>
        </w:rPr>
        <w:t xml:space="preserve"> number of students attending over 80% - and in some instances 90% - has grown between 9% and 30% at </w:t>
      </w:r>
      <w:proofErr w:type="spellStart"/>
      <w:r w:rsidRPr="00F04B3B">
        <w:rPr>
          <w:rFonts w:cs="Arial"/>
          <w:bCs/>
        </w:rPr>
        <w:t>Alekerenge</w:t>
      </w:r>
      <w:proofErr w:type="spellEnd"/>
      <w:r w:rsidRPr="00F04B3B">
        <w:rPr>
          <w:rFonts w:cs="Arial"/>
          <w:bCs/>
        </w:rPr>
        <w:t xml:space="preserve"> School, Elliott School, </w:t>
      </w:r>
      <w:proofErr w:type="spellStart"/>
      <w:r w:rsidRPr="00F04B3B">
        <w:rPr>
          <w:rFonts w:cs="Arial"/>
          <w:bCs/>
        </w:rPr>
        <w:t>Gunbalanya</w:t>
      </w:r>
      <w:proofErr w:type="spellEnd"/>
      <w:r w:rsidRPr="00F04B3B">
        <w:rPr>
          <w:rFonts w:cs="Arial"/>
          <w:bCs/>
        </w:rPr>
        <w:t xml:space="preserve"> School and Maningrida School.</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between</w:t>
      </w:r>
      <w:proofErr w:type="gramEnd"/>
      <w:r w:rsidRPr="00F04B3B">
        <w:rPr>
          <w:rFonts w:cs="Arial"/>
          <w:bCs/>
        </w:rPr>
        <w:t xml:space="preserve"> 30% and 90% improvement in average student attendance has been achieved at </w:t>
      </w:r>
      <w:proofErr w:type="spellStart"/>
      <w:r w:rsidRPr="00F04B3B">
        <w:rPr>
          <w:rFonts w:cs="Arial"/>
          <w:bCs/>
        </w:rPr>
        <w:t>Laramba</w:t>
      </w:r>
      <w:proofErr w:type="spellEnd"/>
      <w:r w:rsidRPr="00F04B3B">
        <w:rPr>
          <w:rFonts w:cs="Arial"/>
          <w:bCs/>
        </w:rPr>
        <w:t xml:space="preserve"> School, </w:t>
      </w:r>
      <w:proofErr w:type="spellStart"/>
      <w:r w:rsidRPr="00F04B3B">
        <w:rPr>
          <w:rFonts w:cs="Arial"/>
          <w:bCs/>
        </w:rPr>
        <w:t>Mamuruni</w:t>
      </w:r>
      <w:proofErr w:type="spellEnd"/>
      <w:r w:rsidRPr="00F04B3B">
        <w:rPr>
          <w:rFonts w:cs="Arial"/>
          <w:bCs/>
        </w:rPr>
        <w:t xml:space="preserve"> School, </w:t>
      </w:r>
      <w:proofErr w:type="spellStart"/>
      <w:r w:rsidRPr="00F04B3B">
        <w:rPr>
          <w:rFonts w:cs="Arial"/>
          <w:bCs/>
        </w:rPr>
        <w:t>Nyangatjatjara</w:t>
      </w:r>
      <w:proofErr w:type="spellEnd"/>
      <w:r w:rsidRPr="00F04B3B">
        <w:rPr>
          <w:rFonts w:cs="Arial"/>
          <w:bCs/>
        </w:rPr>
        <w:t xml:space="preserve"> Co</w:t>
      </w:r>
      <w:r w:rsidR="006240FC">
        <w:rPr>
          <w:rFonts w:cs="Arial"/>
          <w:bCs/>
        </w:rPr>
        <w:t xml:space="preserve">llege, Pigeon Hole School, </w:t>
      </w:r>
      <w:proofErr w:type="spellStart"/>
      <w:r w:rsidR="006240FC">
        <w:rPr>
          <w:rFonts w:cs="Arial"/>
          <w:bCs/>
        </w:rPr>
        <w:t>Wool</w:t>
      </w:r>
      <w:r w:rsidRPr="00F04B3B">
        <w:rPr>
          <w:rFonts w:cs="Arial"/>
          <w:bCs/>
        </w:rPr>
        <w:t>aning</w:t>
      </w:r>
      <w:proofErr w:type="spellEnd"/>
      <w:r w:rsidRPr="00F04B3B">
        <w:rPr>
          <w:rFonts w:cs="Arial"/>
          <w:bCs/>
        </w:rPr>
        <w:t xml:space="preserve"> School and </w:t>
      </w:r>
      <w:proofErr w:type="spellStart"/>
      <w:r w:rsidRPr="00F04B3B">
        <w:rPr>
          <w:rFonts w:cs="Arial"/>
          <w:bCs/>
        </w:rPr>
        <w:t>Kiana</w:t>
      </w:r>
      <w:proofErr w:type="spellEnd"/>
      <w:r w:rsidRPr="00F04B3B">
        <w:rPr>
          <w:rFonts w:cs="Arial"/>
          <w:bCs/>
        </w:rPr>
        <w:t xml:space="preserve"> School. </w:t>
      </w:r>
    </w:p>
    <w:p w:rsidR="00A97D02" w:rsidRDefault="00A97D02" w:rsidP="00A97D02">
      <w:pPr>
        <w:pStyle w:val="Default"/>
        <w:spacing w:before="120"/>
        <w:rPr>
          <w:b/>
          <w:color w:val="auto"/>
          <w:sz w:val="22"/>
          <w:szCs w:val="22"/>
        </w:rPr>
      </w:pPr>
      <w:r>
        <w:rPr>
          <w:b/>
          <w:color w:val="auto"/>
          <w:sz w:val="22"/>
          <w:szCs w:val="22"/>
        </w:rPr>
        <w:t>Innovation highlights</w:t>
      </w:r>
    </w:p>
    <w:p w:rsidR="00A97D02" w:rsidRPr="002F507A" w:rsidRDefault="00A97D02" w:rsidP="00A97D02">
      <w:pPr>
        <w:pStyle w:val="Default"/>
        <w:spacing w:before="120"/>
        <w:rPr>
          <w:rFonts w:asciiTheme="minorHAnsi" w:hAnsiTheme="minorHAnsi" w:cstheme="minorHAnsi"/>
          <w:b/>
          <w:color w:val="auto"/>
          <w:sz w:val="22"/>
          <w:szCs w:val="22"/>
        </w:rPr>
      </w:pPr>
      <w:r w:rsidRPr="002F507A">
        <w:rPr>
          <w:rFonts w:asciiTheme="minorHAnsi" w:hAnsiTheme="minorHAnsi" w:cstheme="minorHAnsi"/>
          <w:b/>
          <w:i/>
          <w:color w:val="auto"/>
          <w:sz w:val="22"/>
          <w:szCs w:val="22"/>
        </w:rPr>
        <w:t>Strong Start, Bright Future</w:t>
      </w:r>
      <w:r w:rsidRPr="002F507A">
        <w:rPr>
          <w:rFonts w:asciiTheme="minorHAnsi" w:hAnsiTheme="minorHAnsi" w:cstheme="minorHAnsi"/>
          <w:b/>
          <w:color w:val="auto"/>
          <w:sz w:val="22"/>
          <w:szCs w:val="22"/>
        </w:rPr>
        <w:t xml:space="preserve"> College Model</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The </w:t>
      </w:r>
      <w:r w:rsidRPr="000C4619">
        <w:rPr>
          <w:rFonts w:ascii="Calibri" w:hAnsi="Calibri" w:cs="Calibri"/>
          <w:i/>
          <w:color w:val="auto"/>
          <w:sz w:val="22"/>
          <w:szCs w:val="22"/>
        </w:rPr>
        <w:t>Strong Start, Bright Future</w:t>
      </w:r>
      <w:r w:rsidRPr="000C4619">
        <w:rPr>
          <w:rFonts w:ascii="Calibri" w:hAnsi="Calibri" w:cs="Calibri"/>
          <w:color w:val="auto"/>
          <w:sz w:val="22"/>
          <w:szCs w:val="22"/>
        </w:rPr>
        <w:t xml:space="preserve"> College model of service delivery has been developed in alignment with the Australian Government’s Remote Service Delivery National Partnership Agreement and the Northern Territory Government’s ‘Working Future’ initiative. The model redesigns education, early years and training service delivery for Indigenous students in the 20 Territory Growth Towns and their surrounding small communities, homelands and outstations. </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This strategy aims to provide a more integrated and holistic response in our provision of education and training services in each community with a strong focus on our very young people prior to schooling, while at school and  through to their pathways beyond the formal years of learning. </w:t>
      </w:r>
      <w:r w:rsidR="00C80016">
        <w:rPr>
          <w:rFonts w:ascii="Calibri" w:hAnsi="Calibri" w:cs="Calibri"/>
          <w:color w:val="auto"/>
          <w:sz w:val="22"/>
          <w:szCs w:val="22"/>
        </w:rPr>
        <w:t xml:space="preserve"> </w:t>
      </w:r>
      <w:r w:rsidRPr="000C4619">
        <w:rPr>
          <w:rFonts w:ascii="Calibri" w:hAnsi="Calibri" w:cs="Calibri"/>
          <w:color w:val="auto"/>
          <w:sz w:val="22"/>
          <w:szCs w:val="22"/>
        </w:rPr>
        <w:t xml:space="preserve">Localised variations are required to ensure unique opportunities in each location are developed. </w:t>
      </w:r>
    </w:p>
    <w:p w:rsidR="00A97D02" w:rsidRPr="002C5093" w:rsidRDefault="00A97D02" w:rsidP="00A97D02">
      <w:pPr>
        <w:pStyle w:val="Default"/>
        <w:spacing w:before="120"/>
        <w:rPr>
          <w:rFonts w:ascii="Calibri" w:hAnsi="Calibri" w:cs="Calibri"/>
          <w:color w:val="auto"/>
          <w:sz w:val="22"/>
          <w:szCs w:val="22"/>
        </w:rPr>
      </w:pPr>
      <w:r w:rsidRPr="002C5093">
        <w:rPr>
          <w:rFonts w:ascii="Calibri" w:hAnsi="Calibri" w:cs="Calibri"/>
          <w:color w:val="auto"/>
          <w:sz w:val="22"/>
          <w:szCs w:val="22"/>
        </w:rPr>
        <w:t xml:space="preserve">The </w:t>
      </w:r>
      <w:r>
        <w:rPr>
          <w:rFonts w:ascii="Calibri" w:hAnsi="Calibri" w:cs="Calibri"/>
          <w:color w:val="auto"/>
          <w:sz w:val="22"/>
          <w:szCs w:val="22"/>
        </w:rPr>
        <w:t>key</w:t>
      </w:r>
      <w:r w:rsidR="00C80016">
        <w:rPr>
          <w:rFonts w:ascii="Calibri" w:hAnsi="Calibri" w:cs="Calibri"/>
          <w:color w:val="auto"/>
          <w:sz w:val="22"/>
          <w:szCs w:val="22"/>
        </w:rPr>
        <w:t xml:space="preserve"> planks</w:t>
      </w:r>
      <w:r w:rsidRPr="002C5093">
        <w:rPr>
          <w:rFonts w:ascii="Calibri" w:hAnsi="Calibri" w:cs="Calibri"/>
          <w:color w:val="auto"/>
          <w:sz w:val="22"/>
          <w:szCs w:val="22"/>
        </w:rPr>
        <w:t xml:space="preserve"> of the </w:t>
      </w:r>
      <w:r w:rsidRPr="002C5093">
        <w:rPr>
          <w:rFonts w:ascii="Calibri" w:hAnsi="Calibri" w:cs="Calibri"/>
          <w:i/>
          <w:color w:val="auto"/>
          <w:sz w:val="22"/>
          <w:szCs w:val="22"/>
        </w:rPr>
        <w:t>Strong Start Bright Future</w:t>
      </w:r>
      <w:r w:rsidRPr="002C5093">
        <w:rPr>
          <w:rFonts w:ascii="Calibri" w:hAnsi="Calibri" w:cs="Calibri"/>
          <w:color w:val="auto"/>
          <w:sz w:val="22"/>
          <w:szCs w:val="22"/>
        </w:rPr>
        <w:t xml:space="preserve"> College model are</w:t>
      </w:r>
    </w:p>
    <w:p w:rsidR="00A97D02" w:rsidRPr="00C80016" w:rsidRDefault="00C80016" w:rsidP="00A97D02">
      <w:pPr>
        <w:pStyle w:val="ListParagraph"/>
        <w:numPr>
          <w:ilvl w:val="0"/>
          <w:numId w:val="15"/>
        </w:numPr>
        <w:spacing w:before="120" w:after="40" w:line="240" w:lineRule="auto"/>
        <w:rPr>
          <w:rFonts w:eastAsia="Times New Roman" w:cstheme="minorHAnsi"/>
          <w:color w:val="000000" w:themeColor="text1"/>
          <w:lang w:eastAsia="en-AU"/>
        </w:rPr>
      </w:pPr>
      <w:r w:rsidRPr="00C80016">
        <w:rPr>
          <w:rFonts w:eastAsia="Times New Roman" w:cstheme="minorHAnsi"/>
          <w:color w:val="000000" w:themeColor="text1"/>
          <w:lang w:eastAsia="en-AU"/>
        </w:rPr>
        <w:t>Community/</w:t>
      </w:r>
      <w:r w:rsidR="00A97D02" w:rsidRPr="00C80016">
        <w:rPr>
          <w:rFonts w:eastAsia="Times New Roman" w:cstheme="minorHAnsi"/>
          <w:color w:val="000000" w:themeColor="text1"/>
          <w:lang w:eastAsia="en-AU"/>
        </w:rPr>
        <w:t>Whole School Engagement</w:t>
      </w:r>
    </w:p>
    <w:p w:rsidR="00A97D02" w:rsidRPr="00C80016" w:rsidRDefault="00A97D02" w:rsidP="00A97D02">
      <w:pPr>
        <w:pStyle w:val="ListParagraph"/>
        <w:numPr>
          <w:ilvl w:val="0"/>
          <w:numId w:val="15"/>
        </w:numPr>
        <w:spacing w:before="120" w:after="40" w:line="240" w:lineRule="auto"/>
        <w:rPr>
          <w:rFonts w:eastAsia="Times New Roman" w:cstheme="minorHAnsi"/>
          <w:color w:val="000000" w:themeColor="text1"/>
          <w:lang w:eastAsia="en-AU"/>
        </w:rPr>
      </w:pPr>
      <w:r w:rsidRPr="00C80016">
        <w:rPr>
          <w:rFonts w:eastAsia="Times New Roman" w:cstheme="minorHAnsi"/>
          <w:color w:val="000000" w:themeColor="text1"/>
          <w:lang w:eastAsia="en-AU"/>
        </w:rPr>
        <w:t>Early Childhood</w:t>
      </w:r>
    </w:p>
    <w:p w:rsidR="00A97D02" w:rsidRPr="00C80016" w:rsidRDefault="00A97D02" w:rsidP="00A97D02">
      <w:pPr>
        <w:pStyle w:val="ListParagraph"/>
        <w:numPr>
          <w:ilvl w:val="0"/>
          <w:numId w:val="15"/>
        </w:numPr>
        <w:spacing w:before="120" w:after="40" w:line="240" w:lineRule="auto"/>
        <w:rPr>
          <w:rFonts w:eastAsia="Times New Roman" w:cstheme="minorHAnsi"/>
          <w:color w:val="000000" w:themeColor="text1"/>
          <w:lang w:eastAsia="en-AU"/>
        </w:rPr>
      </w:pPr>
      <w:r w:rsidRPr="00C80016">
        <w:rPr>
          <w:rFonts w:eastAsia="Times New Roman" w:cstheme="minorHAnsi"/>
          <w:color w:val="000000" w:themeColor="text1"/>
          <w:lang w:eastAsia="en-AU"/>
        </w:rPr>
        <w:lastRenderedPageBreak/>
        <w:t>Participation and Pathways</w:t>
      </w:r>
    </w:p>
    <w:p w:rsidR="00A97D02" w:rsidRPr="00C80016" w:rsidRDefault="00A97D02" w:rsidP="00A97D02">
      <w:pPr>
        <w:pStyle w:val="ListParagraph"/>
        <w:numPr>
          <w:ilvl w:val="0"/>
          <w:numId w:val="15"/>
        </w:numPr>
        <w:spacing w:before="120" w:after="40" w:line="240" w:lineRule="auto"/>
        <w:rPr>
          <w:rFonts w:eastAsia="Times New Roman" w:cstheme="minorHAnsi"/>
          <w:color w:val="000000" w:themeColor="text1"/>
          <w:lang w:eastAsia="en-AU"/>
        </w:rPr>
      </w:pPr>
      <w:r w:rsidRPr="00C80016">
        <w:rPr>
          <w:rFonts w:eastAsia="Times New Roman" w:cstheme="minorHAnsi"/>
          <w:color w:val="000000" w:themeColor="text1"/>
          <w:lang w:eastAsia="en-AU"/>
        </w:rPr>
        <w:t>Training and Job Pathways</w:t>
      </w:r>
    </w:p>
    <w:p w:rsidR="00A97D02" w:rsidRPr="00C80016" w:rsidRDefault="00A97D02" w:rsidP="00A97D02">
      <w:pPr>
        <w:pStyle w:val="ListParagraph"/>
        <w:numPr>
          <w:ilvl w:val="0"/>
          <w:numId w:val="15"/>
        </w:numPr>
        <w:spacing w:before="120" w:after="40" w:line="240" w:lineRule="auto"/>
        <w:rPr>
          <w:rFonts w:eastAsia="Times New Roman" w:cstheme="minorHAnsi"/>
          <w:color w:val="000000" w:themeColor="text1"/>
          <w:lang w:eastAsia="en-AU"/>
        </w:rPr>
      </w:pPr>
      <w:r w:rsidRPr="00C80016">
        <w:rPr>
          <w:rFonts w:eastAsia="Times New Roman" w:cstheme="minorHAnsi"/>
          <w:color w:val="000000" w:themeColor="text1"/>
          <w:lang w:eastAsia="en-AU"/>
        </w:rPr>
        <w:t>Research and Evaluation</w:t>
      </w:r>
    </w:p>
    <w:p w:rsidR="00A97D02" w:rsidRPr="00F04B3B" w:rsidRDefault="00816862" w:rsidP="00A97D02">
      <w:pPr>
        <w:autoSpaceDE w:val="0"/>
        <w:autoSpaceDN w:val="0"/>
        <w:adjustRightInd w:val="0"/>
        <w:rPr>
          <w:rFonts w:cs="Arial"/>
        </w:rPr>
      </w:pPr>
      <w:r>
        <w:rPr>
          <w:rFonts w:cs="Arial"/>
        </w:rPr>
        <w:t>More detail about</w:t>
      </w:r>
      <w:r w:rsidR="00A97D02" w:rsidRPr="00F04B3B">
        <w:rPr>
          <w:rFonts w:cs="Arial"/>
        </w:rPr>
        <w:t xml:space="preserve"> </w:t>
      </w:r>
      <w:r w:rsidR="00A97D02" w:rsidRPr="00F04B3B">
        <w:rPr>
          <w:rFonts w:cs="Arial"/>
          <w:i/>
        </w:rPr>
        <w:t>Strong Start, Bright Future</w:t>
      </w:r>
      <w:r w:rsidR="00A97D02" w:rsidRPr="00F04B3B">
        <w:rPr>
          <w:rFonts w:cs="Arial"/>
        </w:rPr>
        <w:t xml:space="preserve"> </w:t>
      </w:r>
      <w:r w:rsidR="00C80016">
        <w:rPr>
          <w:rFonts w:cs="Arial"/>
        </w:rPr>
        <w:t>can be found in the Indigenous Reporting section of this report</w:t>
      </w:r>
      <w:r w:rsidR="00A97D02" w:rsidRPr="00F04B3B">
        <w:rPr>
          <w:rFonts w:cs="Arial"/>
        </w:rPr>
        <w:t xml:space="preserve">.  </w:t>
      </w:r>
    </w:p>
    <w:p w:rsidR="00A97D02" w:rsidRPr="002F507A" w:rsidRDefault="00A97D02" w:rsidP="00A97D02">
      <w:pPr>
        <w:pStyle w:val="Default"/>
        <w:spacing w:before="120"/>
        <w:rPr>
          <w:rFonts w:asciiTheme="minorHAnsi" w:hAnsiTheme="minorHAnsi" w:cstheme="minorHAnsi"/>
          <w:b/>
          <w:color w:val="auto"/>
          <w:sz w:val="22"/>
          <w:szCs w:val="22"/>
        </w:rPr>
      </w:pPr>
      <w:r w:rsidRPr="002F507A">
        <w:rPr>
          <w:rFonts w:asciiTheme="minorHAnsi" w:hAnsiTheme="minorHAnsi" w:cstheme="minorHAnsi"/>
          <w:b/>
          <w:color w:val="auto"/>
          <w:sz w:val="22"/>
          <w:szCs w:val="22"/>
        </w:rPr>
        <w:t>Virtual Schooling</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The Northern Territory is establishing a virtual schooling service which uses interactive technology and blended delivery models to enhance the availability of course offerings to a wider range of students.  Materials have been developed to increase access to learning programs for students who live in remote and very remote contexts, where face-to-face support is limited and students in middle and secondary years often come to vocational training with limited literacy and numeracy skills.  Online resources for delivery of a Certificate I in Hospitality now:</w:t>
      </w:r>
    </w:p>
    <w:p w:rsidR="00A97D02" w:rsidRPr="00F04B3B" w:rsidRDefault="00A97D02" w:rsidP="00A97D02">
      <w:pPr>
        <w:pStyle w:val="ListParagraph"/>
        <w:numPr>
          <w:ilvl w:val="0"/>
          <w:numId w:val="10"/>
        </w:numPr>
        <w:autoSpaceDE w:val="0"/>
        <w:autoSpaceDN w:val="0"/>
        <w:adjustRightInd w:val="0"/>
        <w:rPr>
          <w:rFonts w:cs="Arial"/>
          <w:bCs/>
        </w:rPr>
      </w:pPr>
      <w:r w:rsidRPr="00F04B3B">
        <w:rPr>
          <w:rFonts w:cs="Arial"/>
          <w:bCs/>
        </w:rPr>
        <w:t>enable access to learning for students by building industry literacy and numeracy requirements prior to commencement of the VET course</w:t>
      </w:r>
      <w:r>
        <w:rPr>
          <w:rFonts w:cs="Arial"/>
          <w:bCs/>
        </w:rPr>
        <w:t>; and</w:t>
      </w:r>
    </w:p>
    <w:p w:rsidR="00A97D02" w:rsidRPr="00F04B3B" w:rsidRDefault="00A97D02" w:rsidP="00A97D02">
      <w:pPr>
        <w:pStyle w:val="ListParagraph"/>
        <w:numPr>
          <w:ilvl w:val="0"/>
          <w:numId w:val="10"/>
        </w:numPr>
        <w:autoSpaceDE w:val="0"/>
        <w:autoSpaceDN w:val="0"/>
        <w:adjustRightInd w:val="0"/>
        <w:rPr>
          <w:rFonts w:cs="Arial"/>
          <w:bCs/>
        </w:rPr>
      </w:pPr>
      <w:proofErr w:type="gramStart"/>
      <w:r w:rsidRPr="00F04B3B">
        <w:rPr>
          <w:rFonts w:cs="Arial"/>
          <w:bCs/>
        </w:rPr>
        <w:t>support</w:t>
      </w:r>
      <w:proofErr w:type="gramEnd"/>
      <w:r w:rsidRPr="00F04B3B">
        <w:rPr>
          <w:rFonts w:cs="Arial"/>
          <w:bCs/>
        </w:rPr>
        <w:t xml:space="preserve"> teachers in delivering hospitality courses online, in the classroom and through blended delivery models by providing a targeted teaching resource</w:t>
      </w:r>
      <w:r>
        <w:rPr>
          <w:rFonts w:cs="Arial"/>
          <w:bCs/>
        </w:rPr>
        <w:t>.</w:t>
      </w:r>
    </w:p>
    <w:p w:rsidR="00A97D02" w:rsidRPr="000C4619" w:rsidRDefault="00A97D02" w:rsidP="00A97D02">
      <w:pPr>
        <w:pStyle w:val="Default"/>
        <w:spacing w:before="120"/>
        <w:rPr>
          <w:rFonts w:ascii="Calibri" w:hAnsi="Calibri" w:cs="Calibri"/>
          <w:color w:val="auto"/>
          <w:sz w:val="22"/>
          <w:szCs w:val="22"/>
        </w:rPr>
      </w:pPr>
      <w:r w:rsidRPr="000C4619">
        <w:rPr>
          <w:rFonts w:ascii="Calibri" w:hAnsi="Calibri" w:cs="Calibri"/>
          <w:color w:val="auto"/>
          <w:sz w:val="22"/>
          <w:szCs w:val="22"/>
        </w:rPr>
        <w:t xml:space="preserve">The resources have been trialled in eight remote and very remote schools undertaking Certificate I in Hospitality.  The findings of the pilot highlighted the pre-VET literacy and numeracy requirements for students in middle and senior years to access learning.  Teaching of these key skills </w:t>
      </w:r>
      <w:r>
        <w:rPr>
          <w:rFonts w:ascii="Calibri" w:hAnsi="Calibri" w:cs="Calibri"/>
          <w:color w:val="auto"/>
          <w:sz w:val="22"/>
          <w:szCs w:val="22"/>
        </w:rPr>
        <w:t>will</w:t>
      </w:r>
      <w:r w:rsidRPr="000C4619">
        <w:rPr>
          <w:rFonts w:ascii="Calibri" w:hAnsi="Calibri" w:cs="Calibri"/>
          <w:color w:val="auto"/>
          <w:sz w:val="22"/>
          <w:szCs w:val="22"/>
        </w:rPr>
        <w:t xml:space="preserve"> be embedded into the Middle Years Support Identification Package and Literacy for Work and Community and Numeracy for Work and Community senior year subjects in 2011 to ensure all students are ready and able to access the VET curriculum.  </w:t>
      </w:r>
    </w:p>
    <w:p w:rsidR="00A97D02" w:rsidRPr="002F507A" w:rsidRDefault="00A97D02" w:rsidP="00A97D02">
      <w:pPr>
        <w:pStyle w:val="Default"/>
        <w:spacing w:before="120"/>
        <w:rPr>
          <w:rFonts w:asciiTheme="minorHAnsi" w:hAnsiTheme="minorHAnsi" w:cstheme="minorHAnsi"/>
          <w:b/>
          <w:color w:val="auto"/>
          <w:sz w:val="22"/>
          <w:szCs w:val="22"/>
        </w:rPr>
      </w:pPr>
      <w:r w:rsidRPr="002F507A">
        <w:rPr>
          <w:rFonts w:asciiTheme="minorHAnsi" w:hAnsiTheme="minorHAnsi" w:cstheme="minorHAnsi"/>
          <w:b/>
          <w:color w:val="auto"/>
          <w:sz w:val="22"/>
          <w:szCs w:val="22"/>
        </w:rPr>
        <w:t>VET in the Middle</w:t>
      </w:r>
    </w:p>
    <w:p w:rsidR="00A97D02" w:rsidRPr="003316C8" w:rsidRDefault="00A97D02" w:rsidP="00A97D02">
      <w:pPr>
        <w:pStyle w:val="Default"/>
        <w:spacing w:before="120"/>
        <w:rPr>
          <w:rFonts w:ascii="Calibri" w:hAnsi="Calibri" w:cs="Calibri"/>
          <w:color w:val="auto"/>
          <w:sz w:val="22"/>
          <w:szCs w:val="22"/>
        </w:rPr>
      </w:pPr>
      <w:r w:rsidRPr="003316C8">
        <w:rPr>
          <w:rFonts w:ascii="Calibri" w:hAnsi="Calibri" w:cs="Calibri"/>
          <w:color w:val="auto"/>
          <w:sz w:val="22"/>
          <w:szCs w:val="22"/>
        </w:rPr>
        <w:t xml:space="preserve">The development and trial of VET programs for middle </w:t>
      </w:r>
      <w:proofErr w:type="gramStart"/>
      <w:r w:rsidRPr="003316C8">
        <w:rPr>
          <w:rFonts w:ascii="Calibri" w:hAnsi="Calibri" w:cs="Calibri"/>
          <w:color w:val="auto"/>
          <w:sz w:val="22"/>
          <w:szCs w:val="22"/>
        </w:rPr>
        <w:t>years</w:t>
      </w:r>
      <w:proofErr w:type="gramEnd"/>
      <w:r w:rsidRPr="003316C8">
        <w:rPr>
          <w:rFonts w:ascii="Calibri" w:hAnsi="Calibri" w:cs="Calibri"/>
          <w:color w:val="auto"/>
          <w:sz w:val="22"/>
          <w:szCs w:val="22"/>
        </w:rPr>
        <w:t xml:space="preserve"> students through the </w:t>
      </w:r>
      <w:r w:rsidRPr="003316C8">
        <w:rPr>
          <w:rFonts w:ascii="Calibri" w:hAnsi="Calibri" w:cs="Calibri"/>
          <w:i/>
          <w:color w:val="auto"/>
          <w:sz w:val="22"/>
          <w:szCs w:val="22"/>
        </w:rPr>
        <w:t>VET in the Middle</w:t>
      </w:r>
      <w:r w:rsidRPr="003316C8">
        <w:rPr>
          <w:rFonts w:ascii="Calibri" w:hAnsi="Calibri" w:cs="Calibri"/>
          <w:color w:val="auto"/>
          <w:sz w:val="22"/>
          <w:szCs w:val="22"/>
        </w:rPr>
        <w:t xml:space="preserve"> project has s</w:t>
      </w:r>
      <w:r>
        <w:rPr>
          <w:rFonts w:ascii="Calibri" w:hAnsi="Calibri" w:cs="Calibri"/>
          <w:color w:val="auto"/>
          <w:sz w:val="22"/>
          <w:szCs w:val="22"/>
        </w:rPr>
        <w:t>hown significant success with 72</w:t>
      </w:r>
      <w:r w:rsidRPr="003316C8">
        <w:rPr>
          <w:rFonts w:ascii="Calibri" w:hAnsi="Calibri" w:cs="Calibri"/>
          <w:color w:val="auto"/>
          <w:sz w:val="22"/>
          <w:szCs w:val="22"/>
        </w:rPr>
        <w:t xml:space="preserve"> students engaged across eight remote schools in Engineering, Manufacturing and Hospitality.   All 7</w:t>
      </w:r>
      <w:r>
        <w:rPr>
          <w:rFonts w:ascii="Calibri" w:hAnsi="Calibri" w:cs="Calibri"/>
          <w:color w:val="auto"/>
          <w:sz w:val="22"/>
          <w:szCs w:val="22"/>
        </w:rPr>
        <w:t>2</w:t>
      </w:r>
      <w:r w:rsidRPr="003316C8">
        <w:rPr>
          <w:rFonts w:ascii="Calibri" w:hAnsi="Calibri" w:cs="Calibri"/>
          <w:color w:val="auto"/>
          <w:sz w:val="22"/>
          <w:szCs w:val="22"/>
        </w:rPr>
        <w:t xml:space="preserve"> students attained a full certificate or statement of attainment.  This trial highlighted the need for blended delivery models – as many remote schools do not have the infrastructure to deliver specialist courses. The requirement for strong scaffolding of learning was also identified, particularly where students’ literacy and numeracy performance is at a less adv</w:t>
      </w:r>
      <w:r>
        <w:rPr>
          <w:rFonts w:ascii="Calibri" w:hAnsi="Calibri" w:cs="Calibri"/>
          <w:color w:val="auto"/>
          <w:sz w:val="22"/>
          <w:szCs w:val="22"/>
        </w:rPr>
        <w:t>anced stage.  F</w:t>
      </w:r>
      <w:r w:rsidRPr="003316C8">
        <w:rPr>
          <w:rFonts w:ascii="Calibri" w:hAnsi="Calibri" w:cs="Calibri"/>
          <w:color w:val="auto"/>
          <w:sz w:val="22"/>
          <w:szCs w:val="22"/>
        </w:rPr>
        <w:t xml:space="preserve">indings from this trial have been factored into 2011 course offerings.  </w:t>
      </w:r>
    </w:p>
    <w:p w:rsidR="00A97D02" w:rsidRPr="002C5093" w:rsidRDefault="00A97D02" w:rsidP="00A97D02">
      <w:pPr>
        <w:pStyle w:val="Default"/>
        <w:spacing w:before="120"/>
        <w:rPr>
          <w:rFonts w:asciiTheme="minorHAnsi" w:eastAsia="Times New Roman" w:hAnsiTheme="minorHAnsi" w:cstheme="minorHAnsi"/>
          <w:b/>
          <w:color w:val="auto"/>
          <w:sz w:val="22"/>
          <w:szCs w:val="22"/>
        </w:rPr>
      </w:pPr>
      <w:r w:rsidRPr="002C5093">
        <w:rPr>
          <w:rFonts w:asciiTheme="minorHAnsi" w:eastAsia="Times New Roman" w:hAnsiTheme="minorHAnsi" w:cstheme="minorHAnsi"/>
          <w:b/>
          <w:color w:val="auto"/>
          <w:sz w:val="22"/>
          <w:szCs w:val="22"/>
        </w:rPr>
        <w:t xml:space="preserve">Remote Personal Learning Plan </w:t>
      </w:r>
      <w:r>
        <w:rPr>
          <w:rFonts w:asciiTheme="minorHAnsi" w:hAnsiTheme="minorHAnsi" w:cstheme="minorHAnsi"/>
          <w:b/>
          <w:color w:val="auto"/>
          <w:sz w:val="22"/>
          <w:szCs w:val="22"/>
        </w:rPr>
        <w:t>P</w:t>
      </w:r>
      <w:r w:rsidRPr="002C5093">
        <w:rPr>
          <w:rFonts w:asciiTheme="minorHAnsi" w:eastAsia="Times New Roman" w:hAnsiTheme="minorHAnsi" w:cstheme="minorHAnsi"/>
          <w:b/>
          <w:color w:val="auto"/>
          <w:sz w:val="22"/>
          <w:szCs w:val="22"/>
        </w:rPr>
        <w:t>ilot</w:t>
      </w:r>
    </w:p>
    <w:p w:rsidR="00A97D02" w:rsidRPr="003316C8" w:rsidRDefault="00A97D02" w:rsidP="00A97D02">
      <w:pPr>
        <w:pStyle w:val="Default"/>
        <w:spacing w:before="120"/>
        <w:rPr>
          <w:rFonts w:ascii="Calibri" w:hAnsi="Calibri" w:cs="Calibri"/>
          <w:color w:val="auto"/>
          <w:sz w:val="22"/>
          <w:szCs w:val="22"/>
        </w:rPr>
      </w:pPr>
      <w:r w:rsidRPr="003316C8">
        <w:rPr>
          <w:rFonts w:ascii="Calibri" w:hAnsi="Calibri" w:cs="Calibri"/>
          <w:color w:val="auto"/>
          <w:sz w:val="22"/>
          <w:szCs w:val="22"/>
        </w:rPr>
        <w:t xml:space="preserve">The </w:t>
      </w:r>
      <w:r w:rsidRPr="002C5093">
        <w:rPr>
          <w:rFonts w:ascii="Calibri" w:hAnsi="Calibri" w:cs="Calibri"/>
          <w:color w:val="auto"/>
          <w:sz w:val="22"/>
          <w:szCs w:val="22"/>
        </w:rPr>
        <w:t>Remote Personal Learning Plan</w:t>
      </w:r>
      <w:r w:rsidRPr="003316C8">
        <w:rPr>
          <w:rFonts w:ascii="Calibri" w:hAnsi="Calibri" w:cs="Calibri"/>
          <w:color w:val="auto"/>
          <w:sz w:val="22"/>
          <w:szCs w:val="22"/>
        </w:rPr>
        <w:t xml:space="preserve"> </w:t>
      </w:r>
      <w:r>
        <w:rPr>
          <w:rFonts w:ascii="Calibri" w:hAnsi="Calibri" w:cs="Calibri"/>
          <w:color w:val="auto"/>
          <w:sz w:val="22"/>
          <w:szCs w:val="22"/>
        </w:rPr>
        <w:t>(</w:t>
      </w:r>
      <w:proofErr w:type="spellStart"/>
      <w:r>
        <w:rPr>
          <w:rFonts w:ascii="Calibri" w:hAnsi="Calibri" w:cs="Calibri"/>
          <w:color w:val="auto"/>
          <w:sz w:val="22"/>
          <w:szCs w:val="22"/>
        </w:rPr>
        <w:t>PLP</w:t>
      </w:r>
      <w:proofErr w:type="spellEnd"/>
      <w:r>
        <w:rPr>
          <w:rFonts w:ascii="Calibri" w:hAnsi="Calibri" w:cs="Calibri"/>
          <w:color w:val="auto"/>
          <w:sz w:val="22"/>
          <w:szCs w:val="22"/>
        </w:rPr>
        <w:t xml:space="preserve">) </w:t>
      </w:r>
      <w:r w:rsidRPr="003316C8">
        <w:rPr>
          <w:rFonts w:ascii="Calibri" w:hAnsi="Calibri" w:cs="Calibri"/>
          <w:color w:val="auto"/>
          <w:sz w:val="22"/>
          <w:szCs w:val="22"/>
        </w:rPr>
        <w:t xml:space="preserve">pilot offered the opportunity for senior </w:t>
      </w:r>
      <w:proofErr w:type="gramStart"/>
      <w:r w:rsidRPr="003316C8">
        <w:rPr>
          <w:rFonts w:ascii="Calibri" w:hAnsi="Calibri" w:cs="Calibri"/>
          <w:color w:val="auto"/>
          <w:sz w:val="22"/>
          <w:szCs w:val="22"/>
        </w:rPr>
        <w:t>years</w:t>
      </w:r>
      <w:proofErr w:type="gramEnd"/>
      <w:r w:rsidRPr="003316C8">
        <w:rPr>
          <w:rFonts w:ascii="Calibri" w:hAnsi="Calibri" w:cs="Calibri"/>
          <w:color w:val="auto"/>
          <w:sz w:val="22"/>
          <w:szCs w:val="22"/>
        </w:rPr>
        <w:t xml:space="preserve"> students to participate in a youth leadership and career development program, accredited as a Stage 1 Personal Learning Plan subject under the </w:t>
      </w:r>
      <w:proofErr w:type="spellStart"/>
      <w:r>
        <w:rPr>
          <w:rFonts w:ascii="Calibri" w:hAnsi="Calibri" w:cs="Calibri"/>
          <w:color w:val="auto"/>
          <w:sz w:val="22"/>
          <w:szCs w:val="22"/>
        </w:rPr>
        <w:t>NTCET</w:t>
      </w:r>
      <w:proofErr w:type="spellEnd"/>
      <w:r w:rsidRPr="003316C8">
        <w:rPr>
          <w:rFonts w:ascii="Calibri" w:hAnsi="Calibri" w:cs="Calibri"/>
          <w:color w:val="auto"/>
          <w:sz w:val="22"/>
          <w:szCs w:val="22"/>
        </w:rPr>
        <w:t xml:space="preserve">.  72 students in seven schools (West Arnhem College – </w:t>
      </w:r>
      <w:proofErr w:type="spellStart"/>
      <w:r w:rsidRPr="003316C8">
        <w:rPr>
          <w:rFonts w:ascii="Calibri" w:hAnsi="Calibri" w:cs="Calibri"/>
          <w:color w:val="auto"/>
          <w:sz w:val="22"/>
          <w:szCs w:val="22"/>
        </w:rPr>
        <w:t>Gunbalanya</w:t>
      </w:r>
      <w:proofErr w:type="spellEnd"/>
      <w:r w:rsidRPr="003316C8">
        <w:rPr>
          <w:rFonts w:ascii="Calibri" w:hAnsi="Calibri" w:cs="Calibri"/>
          <w:color w:val="auto"/>
          <w:sz w:val="22"/>
          <w:szCs w:val="22"/>
        </w:rPr>
        <w:t xml:space="preserve"> Campus, </w:t>
      </w:r>
      <w:proofErr w:type="spellStart"/>
      <w:r w:rsidRPr="003316C8">
        <w:rPr>
          <w:rFonts w:ascii="Calibri" w:hAnsi="Calibri" w:cs="Calibri"/>
          <w:color w:val="auto"/>
          <w:sz w:val="22"/>
          <w:szCs w:val="22"/>
        </w:rPr>
        <w:t>Gapuwiyak</w:t>
      </w:r>
      <w:proofErr w:type="spellEnd"/>
      <w:r w:rsidRPr="003316C8">
        <w:rPr>
          <w:rFonts w:ascii="Calibri" w:hAnsi="Calibri" w:cs="Calibri"/>
          <w:color w:val="auto"/>
          <w:sz w:val="22"/>
          <w:szCs w:val="22"/>
        </w:rPr>
        <w:t xml:space="preserve"> School, Shepherdson College, </w:t>
      </w:r>
      <w:proofErr w:type="spellStart"/>
      <w:r w:rsidRPr="003316C8">
        <w:rPr>
          <w:rFonts w:ascii="Calibri" w:hAnsi="Calibri" w:cs="Calibri"/>
          <w:color w:val="auto"/>
          <w:sz w:val="22"/>
          <w:szCs w:val="22"/>
        </w:rPr>
        <w:t>Laramba</w:t>
      </w:r>
      <w:proofErr w:type="spellEnd"/>
      <w:r w:rsidRPr="003316C8">
        <w:rPr>
          <w:rFonts w:ascii="Calibri" w:hAnsi="Calibri" w:cs="Calibri"/>
          <w:color w:val="auto"/>
          <w:sz w:val="22"/>
          <w:szCs w:val="22"/>
        </w:rPr>
        <w:t xml:space="preserve"> School, Maningrida School, </w:t>
      </w:r>
      <w:proofErr w:type="spellStart"/>
      <w:r w:rsidRPr="003316C8">
        <w:rPr>
          <w:rFonts w:ascii="Calibri" w:hAnsi="Calibri" w:cs="Calibri"/>
          <w:color w:val="auto"/>
          <w:sz w:val="22"/>
          <w:szCs w:val="22"/>
        </w:rPr>
        <w:t>Alparra</w:t>
      </w:r>
      <w:proofErr w:type="spellEnd"/>
      <w:r w:rsidRPr="003316C8">
        <w:rPr>
          <w:rFonts w:ascii="Calibri" w:hAnsi="Calibri" w:cs="Calibri"/>
          <w:color w:val="auto"/>
          <w:sz w:val="22"/>
          <w:szCs w:val="22"/>
        </w:rPr>
        <w:t xml:space="preserve"> High, </w:t>
      </w:r>
      <w:proofErr w:type="gramStart"/>
      <w:r w:rsidRPr="003316C8">
        <w:rPr>
          <w:rFonts w:ascii="Calibri" w:hAnsi="Calibri" w:cs="Calibri"/>
          <w:color w:val="auto"/>
          <w:sz w:val="22"/>
          <w:szCs w:val="22"/>
        </w:rPr>
        <w:t>Borroloola</w:t>
      </w:r>
      <w:proofErr w:type="gramEnd"/>
      <w:r w:rsidRPr="003316C8">
        <w:rPr>
          <w:rFonts w:ascii="Calibri" w:hAnsi="Calibri" w:cs="Calibri"/>
          <w:color w:val="auto"/>
          <w:sz w:val="22"/>
          <w:szCs w:val="22"/>
        </w:rPr>
        <w:t xml:space="preserve"> School) undertook the course in 2010 and were provided opportunities to participate in regional career expos and gain access to information, experiences and support which will assist them with planning their educational pathway to employment, training or further education. </w:t>
      </w:r>
      <w:r>
        <w:rPr>
          <w:rFonts w:ascii="Calibri" w:hAnsi="Calibri" w:cs="Calibri"/>
          <w:color w:val="auto"/>
          <w:sz w:val="22"/>
          <w:szCs w:val="22"/>
        </w:rPr>
        <w:t>T</w:t>
      </w:r>
      <w:r w:rsidRPr="003316C8">
        <w:rPr>
          <w:rFonts w:ascii="Calibri" w:hAnsi="Calibri" w:cs="Calibri"/>
          <w:color w:val="auto"/>
          <w:sz w:val="22"/>
          <w:szCs w:val="22"/>
        </w:rPr>
        <w:t xml:space="preserve">his program </w:t>
      </w:r>
      <w:r>
        <w:rPr>
          <w:rFonts w:ascii="Calibri" w:hAnsi="Calibri" w:cs="Calibri"/>
          <w:color w:val="auto"/>
          <w:sz w:val="22"/>
          <w:szCs w:val="22"/>
        </w:rPr>
        <w:t>is being continued in</w:t>
      </w:r>
      <w:r w:rsidRPr="003316C8">
        <w:rPr>
          <w:rFonts w:ascii="Calibri" w:hAnsi="Calibri" w:cs="Calibri"/>
          <w:color w:val="auto"/>
          <w:sz w:val="22"/>
          <w:szCs w:val="22"/>
        </w:rPr>
        <w:t xml:space="preserve"> nine schools in 2011.   </w:t>
      </w:r>
    </w:p>
    <w:p w:rsidR="00A97D02" w:rsidRPr="001F7BDA" w:rsidRDefault="00A97D02" w:rsidP="00A97D02">
      <w:pPr>
        <w:pStyle w:val="Default"/>
        <w:spacing w:before="120"/>
        <w:rPr>
          <w:rFonts w:asciiTheme="minorHAnsi" w:hAnsiTheme="minorHAnsi" w:cstheme="minorHAnsi"/>
          <w:b/>
          <w:color w:val="auto"/>
          <w:sz w:val="22"/>
          <w:szCs w:val="22"/>
        </w:rPr>
      </w:pPr>
      <w:r>
        <w:rPr>
          <w:rFonts w:asciiTheme="minorHAnsi" w:hAnsiTheme="minorHAnsi" w:cstheme="minorHAnsi"/>
          <w:b/>
          <w:color w:val="auto"/>
          <w:sz w:val="22"/>
          <w:szCs w:val="22"/>
        </w:rPr>
        <w:t>The Participation and Pathways Division</w:t>
      </w:r>
      <w:r w:rsidRPr="001F7BDA">
        <w:rPr>
          <w:rFonts w:asciiTheme="minorHAnsi" w:hAnsiTheme="minorHAnsi" w:cstheme="minorHAnsi"/>
          <w:b/>
          <w:color w:val="auto"/>
          <w:sz w:val="22"/>
          <w:szCs w:val="22"/>
        </w:rPr>
        <w:t xml:space="preserve"> </w:t>
      </w:r>
    </w:p>
    <w:p w:rsidR="00A97D02" w:rsidRPr="00F66037"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The</w:t>
      </w:r>
      <w:r w:rsidRPr="00F66037">
        <w:rPr>
          <w:rFonts w:ascii="Calibri" w:hAnsi="Calibri" w:cs="Calibri"/>
          <w:color w:val="auto"/>
          <w:sz w:val="22"/>
          <w:szCs w:val="22"/>
        </w:rPr>
        <w:t xml:space="preserve"> Participation and Pathways Division </w:t>
      </w:r>
      <w:r>
        <w:rPr>
          <w:rFonts w:ascii="Calibri" w:hAnsi="Calibri" w:cs="Calibri"/>
          <w:color w:val="auto"/>
          <w:sz w:val="22"/>
          <w:szCs w:val="22"/>
        </w:rPr>
        <w:t xml:space="preserve">was established </w:t>
      </w:r>
      <w:r w:rsidRPr="00F66037">
        <w:rPr>
          <w:rFonts w:ascii="Calibri" w:hAnsi="Calibri" w:cs="Calibri"/>
          <w:color w:val="auto"/>
          <w:sz w:val="22"/>
          <w:szCs w:val="22"/>
        </w:rPr>
        <w:t>in 2010 to improve enrolment, attendance and participation and to drive youth attainment and transition outcomes</w:t>
      </w:r>
      <w:r>
        <w:rPr>
          <w:rFonts w:ascii="Calibri" w:hAnsi="Calibri" w:cs="Calibri"/>
          <w:color w:val="auto"/>
          <w:sz w:val="22"/>
          <w:szCs w:val="22"/>
        </w:rPr>
        <w:t xml:space="preserve"> across the NT</w:t>
      </w:r>
      <w:r w:rsidRPr="00F66037">
        <w:rPr>
          <w:rFonts w:ascii="Calibri" w:hAnsi="Calibri" w:cs="Calibri"/>
          <w:color w:val="auto"/>
          <w:sz w:val="22"/>
          <w:szCs w:val="22"/>
        </w:rPr>
        <w:t xml:space="preserve">. </w:t>
      </w:r>
      <w:r>
        <w:rPr>
          <w:rFonts w:ascii="Calibri" w:hAnsi="Calibri" w:cs="Calibri"/>
          <w:color w:val="auto"/>
          <w:sz w:val="22"/>
          <w:szCs w:val="22"/>
        </w:rPr>
        <w:t>The Division is made up of five teams.  These teams are leading and supporting many of the key reforms in the youth and transitions area.</w:t>
      </w:r>
    </w:p>
    <w:p w:rsidR="00A97D02" w:rsidRPr="001F7BDA" w:rsidRDefault="00A97D02" w:rsidP="00A97D02">
      <w:pPr>
        <w:pStyle w:val="Default"/>
        <w:widowControl w:val="0"/>
        <w:numPr>
          <w:ilvl w:val="0"/>
          <w:numId w:val="12"/>
        </w:numPr>
        <w:spacing w:before="120"/>
        <w:jc w:val="both"/>
        <w:textAlignment w:val="baseline"/>
        <w:rPr>
          <w:rFonts w:asciiTheme="minorHAnsi" w:hAnsiTheme="minorHAnsi" w:cstheme="minorHAnsi"/>
          <w:b/>
          <w:i/>
          <w:color w:val="auto"/>
          <w:sz w:val="22"/>
          <w:szCs w:val="22"/>
        </w:rPr>
      </w:pPr>
      <w:r w:rsidRPr="001F7BDA">
        <w:rPr>
          <w:rFonts w:asciiTheme="minorHAnsi" w:hAnsiTheme="minorHAnsi" w:cstheme="minorHAnsi"/>
          <w:b/>
          <w:i/>
          <w:color w:val="auto"/>
          <w:sz w:val="22"/>
          <w:szCs w:val="22"/>
        </w:rPr>
        <w:t xml:space="preserve">The </w:t>
      </w:r>
      <w:r>
        <w:rPr>
          <w:rFonts w:asciiTheme="minorHAnsi" w:hAnsiTheme="minorHAnsi" w:cstheme="minorHAnsi"/>
          <w:b/>
          <w:i/>
          <w:color w:val="auto"/>
          <w:sz w:val="22"/>
          <w:szCs w:val="22"/>
        </w:rPr>
        <w:t>Enrolment, Attendance and Participation</w:t>
      </w:r>
      <w:r w:rsidRPr="001F7BDA">
        <w:rPr>
          <w:rFonts w:asciiTheme="minorHAnsi" w:hAnsiTheme="minorHAnsi" w:cstheme="minorHAnsi"/>
          <w:b/>
          <w:i/>
          <w:color w:val="auto"/>
          <w:sz w:val="22"/>
          <w:szCs w:val="22"/>
        </w:rPr>
        <w:t xml:space="preserve"> Team</w:t>
      </w:r>
    </w:p>
    <w:p w:rsidR="00A97D02" w:rsidRPr="00A02FFC" w:rsidRDefault="00A97D02" w:rsidP="00A97D02">
      <w:pPr>
        <w:pStyle w:val="Default"/>
        <w:spacing w:before="120"/>
        <w:rPr>
          <w:rFonts w:ascii="Calibri" w:hAnsi="Calibri" w:cs="Calibri"/>
          <w:color w:val="auto"/>
          <w:sz w:val="22"/>
          <w:szCs w:val="22"/>
        </w:rPr>
      </w:pPr>
      <w:r w:rsidRPr="001F7BDA">
        <w:rPr>
          <w:rFonts w:ascii="Calibri" w:hAnsi="Calibri" w:cs="Calibri"/>
          <w:color w:val="auto"/>
          <w:sz w:val="22"/>
          <w:szCs w:val="22"/>
        </w:rPr>
        <w:t>The Enrolment, Attendance and Partic</w:t>
      </w:r>
      <w:r>
        <w:rPr>
          <w:rFonts w:ascii="Calibri" w:hAnsi="Calibri" w:cs="Calibri"/>
          <w:color w:val="auto"/>
          <w:sz w:val="22"/>
          <w:szCs w:val="22"/>
        </w:rPr>
        <w:t xml:space="preserve">ipation Team </w:t>
      </w:r>
      <w:proofErr w:type="gramStart"/>
      <w:r>
        <w:rPr>
          <w:rFonts w:ascii="Calibri" w:hAnsi="Calibri" w:cs="Calibri"/>
          <w:color w:val="auto"/>
          <w:sz w:val="22"/>
          <w:szCs w:val="22"/>
        </w:rPr>
        <w:t>is</w:t>
      </w:r>
      <w:proofErr w:type="gramEnd"/>
      <w:r>
        <w:rPr>
          <w:rFonts w:ascii="Calibri" w:hAnsi="Calibri" w:cs="Calibri"/>
          <w:color w:val="auto"/>
          <w:sz w:val="22"/>
          <w:szCs w:val="22"/>
        </w:rPr>
        <w:t xml:space="preserve"> responsible for supporting schools in the implementation of</w:t>
      </w:r>
      <w:r w:rsidRPr="001F7BDA">
        <w:rPr>
          <w:rFonts w:ascii="Calibri" w:hAnsi="Calibri" w:cs="Calibri"/>
          <w:color w:val="auto"/>
          <w:sz w:val="22"/>
          <w:szCs w:val="22"/>
        </w:rPr>
        <w:t xml:space="preserve"> the </w:t>
      </w:r>
      <w:r>
        <w:rPr>
          <w:rFonts w:ascii="Calibri" w:hAnsi="Calibri" w:cs="Calibri"/>
          <w:color w:val="auto"/>
          <w:sz w:val="22"/>
          <w:szCs w:val="22"/>
        </w:rPr>
        <w:t xml:space="preserve">Northern Territory’s </w:t>
      </w:r>
      <w:r w:rsidRPr="00BD6F51">
        <w:rPr>
          <w:rFonts w:ascii="Calibri" w:hAnsi="Calibri" w:cs="Calibri"/>
          <w:b/>
          <w:i/>
          <w:color w:val="auto"/>
          <w:sz w:val="22"/>
          <w:szCs w:val="22"/>
        </w:rPr>
        <w:t>Every Child, Every Day</w:t>
      </w:r>
      <w:r w:rsidRPr="001F7BDA">
        <w:rPr>
          <w:rFonts w:ascii="Calibri" w:hAnsi="Calibri" w:cs="Calibri"/>
          <w:color w:val="auto"/>
          <w:sz w:val="22"/>
          <w:szCs w:val="22"/>
        </w:rPr>
        <w:t xml:space="preserve"> Strategy</w:t>
      </w:r>
      <w:r>
        <w:rPr>
          <w:rFonts w:ascii="Calibri" w:hAnsi="Calibri" w:cs="Calibri"/>
          <w:color w:val="auto"/>
          <w:sz w:val="22"/>
          <w:szCs w:val="22"/>
        </w:rPr>
        <w:t xml:space="preserve">. This team has responsibilities under the </w:t>
      </w:r>
      <w:r w:rsidRPr="00BD6F51">
        <w:rPr>
          <w:rFonts w:ascii="Calibri" w:hAnsi="Calibri" w:cs="Calibri"/>
          <w:i/>
          <w:color w:val="auto"/>
          <w:sz w:val="22"/>
          <w:szCs w:val="22"/>
        </w:rPr>
        <w:t>Education Act</w:t>
      </w:r>
      <w:r>
        <w:rPr>
          <w:rFonts w:ascii="Calibri" w:hAnsi="Calibri" w:cs="Calibri"/>
          <w:color w:val="auto"/>
          <w:sz w:val="22"/>
          <w:szCs w:val="22"/>
        </w:rPr>
        <w:t xml:space="preserve"> in relation to enrolment, attendance and youth participation. </w:t>
      </w:r>
      <w:proofErr w:type="spellStart"/>
      <w:r w:rsidRPr="002B0DE6">
        <w:rPr>
          <w:rFonts w:ascii="Calibri" w:hAnsi="Calibri" w:cs="Calibri"/>
          <w:iCs/>
          <w:color w:val="auto"/>
          <w:sz w:val="22"/>
          <w:szCs w:val="22"/>
        </w:rPr>
        <w:t>DET</w:t>
      </w:r>
      <w:proofErr w:type="spellEnd"/>
      <w:r w:rsidRPr="002B0DE6">
        <w:rPr>
          <w:rFonts w:ascii="Calibri" w:hAnsi="Calibri" w:cs="Calibri"/>
          <w:iCs/>
          <w:color w:val="auto"/>
          <w:sz w:val="22"/>
          <w:szCs w:val="22"/>
        </w:rPr>
        <w:t xml:space="preserve"> introduced the</w:t>
      </w:r>
      <w:r w:rsidRPr="002B0DE6">
        <w:rPr>
          <w:rFonts w:ascii="Calibri" w:hAnsi="Calibri" w:cs="Calibri"/>
          <w:i/>
          <w:iCs/>
          <w:color w:val="auto"/>
          <w:sz w:val="22"/>
          <w:szCs w:val="22"/>
        </w:rPr>
        <w:t xml:space="preserve"> </w:t>
      </w:r>
      <w:hyperlink r:id="rId15" w:history="1">
        <w:r w:rsidRPr="002B0DE6">
          <w:rPr>
            <w:rFonts w:ascii="Calibri" w:hAnsi="Calibri" w:cs="Calibri"/>
            <w:i/>
            <w:iCs/>
            <w:color w:val="auto"/>
            <w:sz w:val="22"/>
            <w:szCs w:val="22"/>
          </w:rPr>
          <w:t>Every Child, Every Day</w:t>
        </w:r>
        <w:r w:rsidRPr="002B0DE6">
          <w:rPr>
            <w:rFonts w:ascii="Calibri" w:hAnsi="Calibri" w:cs="Calibri"/>
            <w:color w:val="auto"/>
            <w:sz w:val="22"/>
            <w:szCs w:val="22"/>
          </w:rPr>
          <w:t xml:space="preserve"> Strategy </w:t>
        </w:r>
      </w:hyperlink>
      <w:r w:rsidRPr="002B0DE6">
        <w:rPr>
          <w:rFonts w:ascii="Calibri" w:hAnsi="Calibri" w:cs="Calibri"/>
          <w:color w:val="auto"/>
          <w:sz w:val="22"/>
          <w:szCs w:val="22"/>
        </w:rPr>
        <w:t>in</w:t>
      </w:r>
      <w:r>
        <w:rPr>
          <w:rFonts w:ascii="Calibri" w:hAnsi="Calibri" w:cs="Calibri"/>
          <w:color w:val="auto"/>
          <w:sz w:val="22"/>
          <w:szCs w:val="22"/>
        </w:rPr>
        <w:t xml:space="preserve"> December 2010.  The Strategy </w:t>
      </w:r>
      <w:r w:rsidRPr="002B0DE6">
        <w:rPr>
          <w:rFonts w:ascii="Calibri" w:hAnsi="Calibri" w:cs="Calibri"/>
          <w:color w:val="auto"/>
          <w:sz w:val="22"/>
          <w:szCs w:val="22"/>
        </w:rPr>
        <w:t>set</w:t>
      </w:r>
      <w:r>
        <w:rPr>
          <w:rFonts w:ascii="Calibri" w:hAnsi="Calibri" w:cs="Calibri"/>
          <w:color w:val="auto"/>
          <w:sz w:val="22"/>
          <w:szCs w:val="22"/>
        </w:rPr>
        <w:t>s</w:t>
      </w:r>
      <w:r w:rsidRPr="002B0DE6">
        <w:rPr>
          <w:rFonts w:ascii="Calibri" w:hAnsi="Calibri" w:cs="Calibri"/>
          <w:color w:val="auto"/>
          <w:sz w:val="22"/>
          <w:szCs w:val="22"/>
        </w:rPr>
        <w:t xml:space="preserve"> out how </w:t>
      </w:r>
      <w:r>
        <w:rPr>
          <w:rFonts w:ascii="Calibri" w:hAnsi="Calibri" w:cs="Calibri"/>
          <w:color w:val="auto"/>
          <w:sz w:val="22"/>
          <w:szCs w:val="22"/>
        </w:rPr>
        <w:t>the NT</w:t>
      </w:r>
      <w:r w:rsidRPr="002B0DE6">
        <w:rPr>
          <w:rFonts w:ascii="Calibri" w:hAnsi="Calibri" w:cs="Calibri"/>
          <w:color w:val="auto"/>
          <w:sz w:val="22"/>
          <w:szCs w:val="22"/>
        </w:rPr>
        <w:t xml:space="preserve"> will improve the enrolment, attendance and participation of young Territorians. Five Priority Action Areas have been identified and they are supported by new and innovative strategies to help parents, schools and communities to overcome some of the barriers to success.</w:t>
      </w:r>
      <w:r>
        <w:rPr>
          <w:rFonts w:ascii="Calibri" w:hAnsi="Calibri" w:cs="Calibri"/>
          <w:color w:val="auto"/>
          <w:sz w:val="22"/>
          <w:szCs w:val="22"/>
        </w:rPr>
        <w:t xml:space="preserve">  </w:t>
      </w:r>
      <w:r w:rsidRPr="00A02FFC">
        <w:rPr>
          <w:rFonts w:ascii="Calibri" w:hAnsi="Calibri" w:cs="Calibri"/>
          <w:color w:val="auto"/>
          <w:sz w:val="22"/>
          <w:szCs w:val="22"/>
        </w:rPr>
        <w:t xml:space="preserve">To support </w:t>
      </w:r>
      <w:r w:rsidRPr="00A02FFC">
        <w:rPr>
          <w:rFonts w:ascii="Calibri" w:hAnsi="Calibri" w:cs="Calibri"/>
          <w:i/>
          <w:color w:val="auto"/>
          <w:sz w:val="22"/>
          <w:szCs w:val="22"/>
        </w:rPr>
        <w:t>Every Child Every Day</w:t>
      </w:r>
      <w:r w:rsidRPr="00A02FFC">
        <w:rPr>
          <w:rFonts w:ascii="Calibri" w:hAnsi="Calibri" w:cs="Calibri"/>
          <w:color w:val="auto"/>
          <w:sz w:val="22"/>
          <w:szCs w:val="22"/>
        </w:rPr>
        <w:t xml:space="preserve"> the NT government has amended the </w:t>
      </w:r>
      <w:r w:rsidRPr="00BD6F51">
        <w:rPr>
          <w:rFonts w:ascii="Calibri" w:hAnsi="Calibri" w:cs="Calibri"/>
          <w:i/>
          <w:color w:val="auto"/>
          <w:sz w:val="22"/>
          <w:szCs w:val="22"/>
        </w:rPr>
        <w:t>Education Act</w:t>
      </w:r>
      <w:r w:rsidRPr="00A02FFC">
        <w:rPr>
          <w:rFonts w:ascii="Calibri" w:hAnsi="Calibri" w:cs="Calibri"/>
          <w:color w:val="auto"/>
          <w:sz w:val="22"/>
          <w:szCs w:val="22"/>
        </w:rPr>
        <w:t xml:space="preserve"> to create a range of new offences and significantly increase maximum </w:t>
      </w:r>
      <w:r w:rsidRPr="00A02FFC">
        <w:rPr>
          <w:rFonts w:ascii="Calibri" w:hAnsi="Calibri" w:cs="Calibri"/>
          <w:color w:val="auto"/>
          <w:sz w:val="22"/>
          <w:szCs w:val="22"/>
        </w:rPr>
        <w:lastRenderedPageBreak/>
        <w:t xml:space="preserve">penalties for offences in relation to enrolment, attendance and </w:t>
      </w:r>
      <w:r>
        <w:rPr>
          <w:rFonts w:ascii="Calibri" w:hAnsi="Calibri" w:cs="Calibri"/>
          <w:color w:val="auto"/>
          <w:sz w:val="22"/>
          <w:szCs w:val="22"/>
        </w:rPr>
        <w:t xml:space="preserve">youth </w:t>
      </w:r>
      <w:r w:rsidRPr="00A02FFC">
        <w:rPr>
          <w:rFonts w:ascii="Calibri" w:hAnsi="Calibri" w:cs="Calibri"/>
          <w:color w:val="auto"/>
          <w:sz w:val="22"/>
          <w:szCs w:val="22"/>
        </w:rPr>
        <w:t>participation.  The amendments also provide for most offences to be dealt with by way of infringement notices.</w:t>
      </w:r>
    </w:p>
    <w:p w:rsidR="00A97D02" w:rsidRPr="00BD6F51" w:rsidRDefault="00A97D02" w:rsidP="00A97D02">
      <w:pPr>
        <w:pStyle w:val="Default"/>
        <w:spacing w:before="120"/>
        <w:rPr>
          <w:rFonts w:ascii="Calibri" w:hAnsi="Calibri" w:cs="Calibri"/>
          <w:color w:val="000000" w:themeColor="text1"/>
          <w:sz w:val="22"/>
          <w:szCs w:val="22"/>
        </w:rPr>
      </w:pPr>
      <w:r w:rsidRPr="00BD6F51">
        <w:rPr>
          <w:rFonts w:ascii="Calibri" w:hAnsi="Calibri" w:cs="Calibri"/>
          <w:color w:val="000000" w:themeColor="text1"/>
          <w:sz w:val="22"/>
          <w:szCs w:val="22"/>
        </w:rPr>
        <w:t>The amendments:</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r w:rsidRPr="00BD6F51">
        <w:rPr>
          <w:rFonts w:ascii="Calibri" w:hAnsi="Calibri" w:cs="Calibri"/>
          <w:color w:val="000000" w:themeColor="text1"/>
          <w:sz w:val="22"/>
          <w:szCs w:val="22"/>
        </w:rPr>
        <w:t>make a child living independently responsible for complying with the Act; that is, a child of or above the age of 14 years no longer living with a parent(s) or over whom the parent has insufficient control to ensure the child enrols in or attends school or participates;</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r w:rsidRPr="00BD6F51">
        <w:rPr>
          <w:rFonts w:ascii="Calibri" w:hAnsi="Calibri" w:cs="Calibri"/>
          <w:color w:val="000000" w:themeColor="text1"/>
          <w:sz w:val="22"/>
          <w:szCs w:val="22"/>
        </w:rPr>
        <w:t xml:space="preserve">make it clear that the Chief Executive (CE) of </w:t>
      </w:r>
      <w:proofErr w:type="spellStart"/>
      <w:r w:rsidRPr="00BD6F51">
        <w:rPr>
          <w:rFonts w:ascii="Calibri" w:hAnsi="Calibri" w:cs="Calibri"/>
          <w:color w:val="000000" w:themeColor="text1"/>
          <w:sz w:val="22"/>
          <w:szCs w:val="22"/>
        </w:rPr>
        <w:t>DET</w:t>
      </w:r>
      <w:proofErr w:type="spellEnd"/>
      <w:r w:rsidRPr="00BD6F51">
        <w:rPr>
          <w:rFonts w:ascii="Calibri" w:hAnsi="Calibri" w:cs="Calibri"/>
          <w:color w:val="000000" w:themeColor="text1"/>
          <w:sz w:val="22"/>
          <w:szCs w:val="22"/>
        </w:rPr>
        <w:t xml:space="preserve"> may obtain or use information about a child and their family for the purposes of ensuring compliance with the Act without offending the privacy provisions of the </w:t>
      </w:r>
      <w:r w:rsidRPr="00BD6F51">
        <w:rPr>
          <w:rFonts w:ascii="Calibri" w:hAnsi="Calibri" w:cs="Calibri"/>
          <w:i/>
          <w:color w:val="000000" w:themeColor="text1"/>
          <w:sz w:val="22"/>
          <w:szCs w:val="22"/>
        </w:rPr>
        <w:t>Information Act</w:t>
      </w:r>
      <w:r w:rsidRPr="00BD6F51">
        <w:rPr>
          <w:rFonts w:ascii="Calibri" w:hAnsi="Calibri" w:cs="Calibri"/>
          <w:color w:val="000000" w:themeColor="text1"/>
          <w:sz w:val="22"/>
          <w:szCs w:val="22"/>
        </w:rPr>
        <w:t>;</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r w:rsidRPr="00BD6F51">
        <w:rPr>
          <w:rFonts w:ascii="Calibri" w:hAnsi="Calibri" w:cs="Calibri"/>
          <w:color w:val="000000" w:themeColor="text1"/>
          <w:sz w:val="22"/>
          <w:szCs w:val="22"/>
        </w:rPr>
        <w:t xml:space="preserve">enable the CE to direct a parent, a child or other relevant person to attend a conference for the purpose of dealing with enrolment, attendance and participation issues, including for the purpose of pursuing a Family Responsibility Agreement or similar pursuant to Part </w:t>
      </w:r>
      <w:proofErr w:type="spellStart"/>
      <w:r w:rsidRPr="00BD6F51">
        <w:rPr>
          <w:rFonts w:ascii="Calibri" w:hAnsi="Calibri" w:cs="Calibri"/>
          <w:color w:val="000000" w:themeColor="text1"/>
          <w:sz w:val="22"/>
          <w:szCs w:val="22"/>
        </w:rPr>
        <w:t>6A</w:t>
      </w:r>
      <w:proofErr w:type="spellEnd"/>
      <w:r w:rsidRPr="00BD6F51">
        <w:rPr>
          <w:rFonts w:ascii="Calibri" w:hAnsi="Calibri" w:cs="Calibri"/>
          <w:color w:val="000000" w:themeColor="text1"/>
          <w:sz w:val="22"/>
          <w:szCs w:val="22"/>
        </w:rPr>
        <w:t xml:space="preserve"> of the </w:t>
      </w:r>
      <w:r w:rsidRPr="00BD6F51">
        <w:rPr>
          <w:rFonts w:ascii="Calibri" w:hAnsi="Calibri" w:cs="Calibri"/>
          <w:i/>
          <w:color w:val="000000" w:themeColor="text1"/>
          <w:sz w:val="22"/>
          <w:szCs w:val="22"/>
        </w:rPr>
        <w:t>Youth Justice Act</w:t>
      </w:r>
      <w:r w:rsidRPr="00BD6F51">
        <w:rPr>
          <w:rFonts w:ascii="Calibri" w:hAnsi="Calibri" w:cs="Calibri"/>
          <w:color w:val="000000" w:themeColor="text1"/>
          <w:sz w:val="22"/>
          <w:szCs w:val="22"/>
        </w:rPr>
        <w:t>;</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proofErr w:type="gramStart"/>
      <w:r w:rsidRPr="00BD6F51">
        <w:rPr>
          <w:rFonts w:ascii="Calibri" w:hAnsi="Calibri" w:cs="Calibri"/>
          <w:color w:val="000000" w:themeColor="text1"/>
          <w:sz w:val="22"/>
          <w:szCs w:val="22"/>
        </w:rPr>
        <w:t>allow</w:t>
      </w:r>
      <w:proofErr w:type="gramEnd"/>
      <w:r w:rsidRPr="00BD6F51">
        <w:rPr>
          <w:rFonts w:ascii="Calibri" w:hAnsi="Calibri" w:cs="Calibri"/>
          <w:color w:val="000000" w:themeColor="text1"/>
          <w:sz w:val="22"/>
          <w:szCs w:val="22"/>
        </w:rPr>
        <w:t xml:space="preserve"> the CE to issue an Information Notice and a Compliance notice to a parent, or a child living independently, with a view to seeking information about a child, informing the parent/child of their legal obligations under the Act and requiring them to comply with those legal obligations.  Failure to comply with an Information or a Compliance Notice without reasonable excuse will constitute an offence;</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proofErr w:type="gramStart"/>
      <w:r w:rsidRPr="00BD6F51">
        <w:rPr>
          <w:rFonts w:ascii="Calibri" w:hAnsi="Calibri" w:cs="Calibri"/>
          <w:color w:val="000000" w:themeColor="text1"/>
          <w:sz w:val="22"/>
          <w:szCs w:val="22"/>
        </w:rPr>
        <w:t>broaden</w:t>
      </w:r>
      <w:proofErr w:type="gramEnd"/>
      <w:r w:rsidRPr="00BD6F51">
        <w:rPr>
          <w:rFonts w:ascii="Calibri" w:hAnsi="Calibri" w:cs="Calibri"/>
          <w:color w:val="000000" w:themeColor="text1"/>
          <w:sz w:val="22"/>
          <w:szCs w:val="22"/>
        </w:rPr>
        <w:t xml:space="preserve"> the powers and functions of an authorised officer, in particular to enable an authorised officer to deal with youth participation issues and not just enrolment and attendance matters as was the case.  Failure to comply with directions of an authorised officer in relation to enrolment, attendance and participation will constitute an offence;</w:t>
      </w:r>
    </w:p>
    <w:p w:rsidR="00A97D02" w:rsidRPr="00BD6F51" w:rsidRDefault="00A97D02" w:rsidP="00A97D02">
      <w:pPr>
        <w:pStyle w:val="Default"/>
        <w:widowControl w:val="0"/>
        <w:numPr>
          <w:ilvl w:val="0"/>
          <w:numId w:val="16"/>
        </w:numPr>
        <w:spacing w:before="120"/>
        <w:jc w:val="both"/>
        <w:textAlignment w:val="baseline"/>
        <w:rPr>
          <w:rFonts w:ascii="Calibri" w:hAnsi="Calibri" w:cs="Calibri"/>
          <w:color w:val="000000" w:themeColor="text1"/>
          <w:sz w:val="22"/>
          <w:szCs w:val="22"/>
        </w:rPr>
      </w:pPr>
      <w:proofErr w:type="gramStart"/>
      <w:r w:rsidRPr="00BD6F51">
        <w:rPr>
          <w:rFonts w:ascii="Calibri" w:hAnsi="Calibri" w:cs="Calibri"/>
          <w:color w:val="000000" w:themeColor="text1"/>
          <w:sz w:val="22"/>
          <w:szCs w:val="22"/>
        </w:rPr>
        <w:t>ensure</w:t>
      </w:r>
      <w:proofErr w:type="gramEnd"/>
      <w:r w:rsidRPr="00BD6F51">
        <w:rPr>
          <w:rFonts w:ascii="Calibri" w:hAnsi="Calibri" w:cs="Calibri"/>
          <w:color w:val="000000" w:themeColor="text1"/>
          <w:sz w:val="22"/>
          <w:szCs w:val="22"/>
        </w:rPr>
        <w:t xml:space="preserve"> that action can be taken against the parent of a child enrolled in distance education.</w:t>
      </w:r>
    </w:p>
    <w:p w:rsidR="00A97D02" w:rsidRPr="001F7BDA" w:rsidRDefault="00A97D02" w:rsidP="00A97D02">
      <w:pPr>
        <w:pStyle w:val="Default"/>
        <w:widowControl w:val="0"/>
        <w:numPr>
          <w:ilvl w:val="0"/>
          <w:numId w:val="12"/>
        </w:numPr>
        <w:spacing w:before="120"/>
        <w:jc w:val="both"/>
        <w:textAlignment w:val="baseline"/>
        <w:rPr>
          <w:rFonts w:asciiTheme="minorHAnsi" w:hAnsiTheme="minorHAnsi" w:cstheme="minorHAnsi"/>
          <w:b/>
          <w:i/>
          <w:color w:val="auto"/>
          <w:sz w:val="22"/>
          <w:szCs w:val="22"/>
        </w:rPr>
      </w:pPr>
      <w:r w:rsidRPr="001F7BDA">
        <w:rPr>
          <w:rFonts w:asciiTheme="minorHAnsi" w:hAnsiTheme="minorHAnsi" w:cstheme="minorHAnsi"/>
          <w:b/>
          <w:i/>
          <w:color w:val="auto"/>
          <w:sz w:val="22"/>
          <w:szCs w:val="22"/>
        </w:rPr>
        <w:t>The Corporate Engagement and Partnerships Team</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 xml:space="preserve">This </w:t>
      </w:r>
      <w:r>
        <w:rPr>
          <w:rFonts w:ascii="Calibri" w:hAnsi="Calibri" w:cs="Calibri"/>
          <w:color w:val="auto"/>
          <w:sz w:val="22"/>
          <w:szCs w:val="22"/>
        </w:rPr>
        <w:t>team</w:t>
      </w:r>
      <w:r w:rsidRPr="00A02FFC">
        <w:rPr>
          <w:rFonts w:ascii="Calibri" w:hAnsi="Calibri" w:cs="Calibri"/>
          <w:color w:val="auto"/>
          <w:sz w:val="22"/>
          <w:szCs w:val="22"/>
        </w:rPr>
        <w:t xml:space="preserve"> brings corporate and industry players closer to the education and training system in schools. </w:t>
      </w:r>
      <w:r>
        <w:rPr>
          <w:rFonts w:ascii="Calibri" w:hAnsi="Calibri" w:cs="Calibri"/>
          <w:color w:val="auto"/>
          <w:sz w:val="22"/>
          <w:szCs w:val="22"/>
        </w:rPr>
        <w:t>While t</w:t>
      </w:r>
      <w:r w:rsidRPr="00A02FFC">
        <w:rPr>
          <w:rFonts w:ascii="Calibri" w:hAnsi="Calibri" w:cs="Calibri"/>
          <w:color w:val="auto"/>
          <w:sz w:val="22"/>
          <w:szCs w:val="22"/>
        </w:rPr>
        <w:t xml:space="preserve">he </w:t>
      </w:r>
      <w:r>
        <w:rPr>
          <w:rFonts w:ascii="Calibri" w:hAnsi="Calibri" w:cs="Calibri"/>
          <w:color w:val="auto"/>
          <w:sz w:val="22"/>
          <w:szCs w:val="22"/>
        </w:rPr>
        <w:t xml:space="preserve">partnerships developed by the team </w:t>
      </w:r>
      <w:r w:rsidRPr="00A02FFC">
        <w:rPr>
          <w:rFonts w:ascii="Calibri" w:hAnsi="Calibri" w:cs="Calibri"/>
          <w:color w:val="auto"/>
          <w:sz w:val="22"/>
          <w:szCs w:val="22"/>
        </w:rPr>
        <w:t xml:space="preserve">support </w:t>
      </w:r>
      <w:r>
        <w:rPr>
          <w:rFonts w:ascii="Calibri" w:hAnsi="Calibri" w:cs="Calibri"/>
          <w:color w:val="auto"/>
          <w:sz w:val="22"/>
          <w:szCs w:val="22"/>
        </w:rPr>
        <w:t xml:space="preserve">the </w:t>
      </w:r>
      <w:r w:rsidRPr="00A02FFC">
        <w:rPr>
          <w:rFonts w:ascii="Calibri" w:hAnsi="Calibri" w:cs="Calibri"/>
          <w:color w:val="auto"/>
          <w:sz w:val="22"/>
          <w:szCs w:val="22"/>
        </w:rPr>
        <w:t>system</w:t>
      </w:r>
      <w:r>
        <w:rPr>
          <w:rFonts w:ascii="Calibri" w:hAnsi="Calibri" w:cs="Calibri"/>
          <w:color w:val="auto"/>
          <w:sz w:val="22"/>
          <w:szCs w:val="22"/>
        </w:rPr>
        <w:t xml:space="preserve">, there </w:t>
      </w:r>
      <w:r w:rsidRPr="00A02FFC">
        <w:rPr>
          <w:rFonts w:ascii="Calibri" w:hAnsi="Calibri" w:cs="Calibri"/>
          <w:color w:val="auto"/>
          <w:sz w:val="22"/>
          <w:szCs w:val="22"/>
        </w:rPr>
        <w:t xml:space="preserve">is currently </w:t>
      </w:r>
      <w:r>
        <w:rPr>
          <w:rFonts w:ascii="Calibri" w:hAnsi="Calibri" w:cs="Calibri"/>
          <w:color w:val="auto"/>
          <w:sz w:val="22"/>
          <w:szCs w:val="22"/>
        </w:rPr>
        <w:t xml:space="preserve">a </w:t>
      </w:r>
      <w:r w:rsidRPr="00A02FFC">
        <w:rPr>
          <w:rFonts w:ascii="Calibri" w:hAnsi="Calibri" w:cs="Calibri"/>
          <w:color w:val="auto"/>
          <w:sz w:val="22"/>
          <w:szCs w:val="22"/>
        </w:rPr>
        <w:t>focus on improving school attendan</w:t>
      </w:r>
      <w:r>
        <w:rPr>
          <w:rFonts w:ascii="Calibri" w:hAnsi="Calibri" w:cs="Calibri"/>
          <w:color w:val="auto"/>
          <w:sz w:val="22"/>
          <w:szCs w:val="22"/>
        </w:rPr>
        <w:t>ce and o</w:t>
      </w:r>
      <w:r w:rsidRPr="00A02FFC">
        <w:rPr>
          <w:rFonts w:ascii="Calibri" w:hAnsi="Calibri" w:cs="Calibri"/>
          <w:color w:val="auto"/>
          <w:sz w:val="22"/>
          <w:szCs w:val="22"/>
        </w:rPr>
        <w:t>n providing a pathway from school to employment.</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 xml:space="preserve">15 projects </w:t>
      </w:r>
      <w:r>
        <w:rPr>
          <w:rFonts w:ascii="Calibri" w:hAnsi="Calibri" w:cs="Calibri"/>
          <w:color w:val="auto"/>
          <w:sz w:val="22"/>
          <w:szCs w:val="22"/>
        </w:rPr>
        <w:t xml:space="preserve">are currently </w:t>
      </w:r>
      <w:r w:rsidRPr="00A02FFC">
        <w:rPr>
          <w:rFonts w:ascii="Calibri" w:hAnsi="Calibri" w:cs="Calibri"/>
          <w:color w:val="auto"/>
          <w:sz w:val="22"/>
          <w:szCs w:val="22"/>
        </w:rPr>
        <w:t xml:space="preserve">underway. Projects vary from small one off agreements through to industry wide agreements. For example, an agreement </w:t>
      </w:r>
      <w:r>
        <w:rPr>
          <w:rFonts w:ascii="Calibri" w:hAnsi="Calibri" w:cs="Calibri"/>
          <w:color w:val="auto"/>
          <w:sz w:val="22"/>
          <w:szCs w:val="22"/>
        </w:rPr>
        <w:t xml:space="preserve">has been </w:t>
      </w:r>
      <w:r w:rsidRPr="00A02FFC">
        <w:rPr>
          <w:rFonts w:ascii="Calibri" w:hAnsi="Calibri" w:cs="Calibri"/>
          <w:color w:val="auto"/>
          <w:sz w:val="22"/>
          <w:szCs w:val="22"/>
        </w:rPr>
        <w:t>negotiated with MacArthur River Mines</w:t>
      </w:r>
      <w:r>
        <w:rPr>
          <w:rFonts w:ascii="Calibri" w:hAnsi="Calibri" w:cs="Calibri"/>
          <w:color w:val="auto"/>
          <w:sz w:val="22"/>
          <w:szCs w:val="22"/>
        </w:rPr>
        <w:t xml:space="preserve"> (MRM)</w:t>
      </w:r>
      <w:r w:rsidRPr="00A02FFC">
        <w:rPr>
          <w:rFonts w:ascii="Calibri" w:hAnsi="Calibri" w:cs="Calibri"/>
          <w:color w:val="auto"/>
          <w:sz w:val="22"/>
          <w:szCs w:val="22"/>
        </w:rPr>
        <w:t xml:space="preserve"> to support the Frequent Attender Program and to underwrite training at Borroloola, </w:t>
      </w:r>
      <w:proofErr w:type="spellStart"/>
      <w:r w:rsidRPr="00A02FFC">
        <w:rPr>
          <w:rFonts w:ascii="Calibri" w:hAnsi="Calibri" w:cs="Calibri"/>
          <w:color w:val="auto"/>
          <w:sz w:val="22"/>
          <w:szCs w:val="22"/>
        </w:rPr>
        <w:t>Kiana</w:t>
      </w:r>
      <w:proofErr w:type="spellEnd"/>
      <w:r w:rsidRPr="00A02FFC">
        <w:rPr>
          <w:rFonts w:ascii="Calibri" w:hAnsi="Calibri" w:cs="Calibri"/>
          <w:color w:val="auto"/>
          <w:sz w:val="22"/>
          <w:szCs w:val="22"/>
        </w:rPr>
        <w:t xml:space="preserve"> and Robinson River schools. </w:t>
      </w:r>
      <w:r>
        <w:rPr>
          <w:rFonts w:ascii="Calibri" w:hAnsi="Calibri" w:cs="Calibri"/>
          <w:color w:val="auto"/>
          <w:sz w:val="22"/>
          <w:szCs w:val="22"/>
        </w:rPr>
        <w:t xml:space="preserve">The </w:t>
      </w:r>
      <w:r w:rsidRPr="00A02FFC">
        <w:rPr>
          <w:rFonts w:ascii="Calibri" w:hAnsi="Calibri" w:cs="Calibri"/>
          <w:color w:val="auto"/>
          <w:sz w:val="22"/>
          <w:szCs w:val="22"/>
        </w:rPr>
        <w:t>Agreement provides $1 million over 3 year</w:t>
      </w:r>
      <w:r>
        <w:rPr>
          <w:rFonts w:ascii="Calibri" w:hAnsi="Calibri" w:cs="Calibri"/>
          <w:color w:val="auto"/>
          <w:sz w:val="22"/>
          <w:szCs w:val="22"/>
        </w:rPr>
        <w:t>s</w:t>
      </w:r>
      <w:r w:rsidRPr="00A02FFC">
        <w:rPr>
          <w:rFonts w:ascii="Calibri" w:hAnsi="Calibri" w:cs="Calibri"/>
          <w:color w:val="auto"/>
          <w:sz w:val="22"/>
          <w:szCs w:val="22"/>
        </w:rPr>
        <w:t>.</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Corporate support for the Frequent Attender Program currently consists of the MRM contribution, Telstra providing $10, $20 and $50 music and movie downloads for students who attend more than 80% of the time in 6 Growth Towns.  Outback Stores and the Arnhem Land Progress Association</w:t>
      </w:r>
      <w:r>
        <w:rPr>
          <w:rFonts w:ascii="Calibri" w:hAnsi="Calibri" w:cs="Calibri"/>
          <w:color w:val="auto"/>
          <w:sz w:val="22"/>
          <w:szCs w:val="22"/>
        </w:rPr>
        <w:t xml:space="preserve"> (</w:t>
      </w:r>
      <w:proofErr w:type="spellStart"/>
      <w:r>
        <w:rPr>
          <w:rFonts w:ascii="Calibri" w:hAnsi="Calibri" w:cs="Calibri"/>
          <w:color w:val="auto"/>
          <w:sz w:val="22"/>
          <w:szCs w:val="22"/>
        </w:rPr>
        <w:t>ALPA</w:t>
      </w:r>
      <w:proofErr w:type="spellEnd"/>
      <w:r>
        <w:rPr>
          <w:rFonts w:ascii="Calibri" w:hAnsi="Calibri" w:cs="Calibri"/>
          <w:color w:val="auto"/>
          <w:sz w:val="22"/>
          <w:szCs w:val="22"/>
        </w:rPr>
        <w:t>)</w:t>
      </w:r>
      <w:r w:rsidRPr="00A02FFC">
        <w:rPr>
          <w:rFonts w:ascii="Calibri" w:hAnsi="Calibri" w:cs="Calibri"/>
          <w:color w:val="auto"/>
          <w:sz w:val="22"/>
          <w:szCs w:val="22"/>
        </w:rPr>
        <w:t xml:space="preserve"> provide $10 vouchers monthly at </w:t>
      </w:r>
      <w:proofErr w:type="spellStart"/>
      <w:r w:rsidRPr="00A02FFC">
        <w:rPr>
          <w:rFonts w:ascii="Calibri" w:hAnsi="Calibri" w:cs="Calibri"/>
          <w:color w:val="auto"/>
          <w:sz w:val="22"/>
          <w:szCs w:val="22"/>
        </w:rPr>
        <w:t>Gapuwiyak</w:t>
      </w:r>
      <w:proofErr w:type="spellEnd"/>
      <w:r w:rsidRPr="00A02FFC">
        <w:rPr>
          <w:rFonts w:ascii="Calibri" w:hAnsi="Calibri" w:cs="Calibri"/>
          <w:color w:val="auto"/>
          <w:sz w:val="22"/>
          <w:szCs w:val="22"/>
        </w:rPr>
        <w:t xml:space="preserve"> and Ali </w:t>
      </w:r>
      <w:proofErr w:type="spellStart"/>
      <w:r w:rsidRPr="00A02FFC">
        <w:rPr>
          <w:rFonts w:ascii="Calibri" w:hAnsi="Calibri" w:cs="Calibri"/>
          <w:color w:val="auto"/>
          <w:sz w:val="22"/>
          <w:szCs w:val="22"/>
        </w:rPr>
        <w:t>Curung</w:t>
      </w:r>
      <w:proofErr w:type="spellEnd"/>
      <w:r w:rsidRPr="00A02FFC">
        <w:rPr>
          <w:rFonts w:ascii="Calibri" w:hAnsi="Calibri" w:cs="Calibri"/>
          <w:color w:val="auto"/>
          <w:sz w:val="22"/>
          <w:szCs w:val="22"/>
        </w:rPr>
        <w:t xml:space="preserve"> Store</w:t>
      </w:r>
      <w:r>
        <w:rPr>
          <w:rFonts w:ascii="Calibri" w:hAnsi="Calibri" w:cs="Calibri"/>
          <w:color w:val="auto"/>
          <w:sz w:val="22"/>
          <w:szCs w:val="22"/>
        </w:rPr>
        <w:t>s</w:t>
      </w:r>
      <w:r w:rsidRPr="00A02FFC">
        <w:rPr>
          <w:rFonts w:ascii="Calibri" w:hAnsi="Calibri" w:cs="Calibri"/>
          <w:color w:val="auto"/>
          <w:sz w:val="22"/>
          <w:szCs w:val="22"/>
        </w:rPr>
        <w:t xml:space="preserve"> for students </w:t>
      </w:r>
      <w:r>
        <w:rPr>
          <w:rFonts w:ascii="Calibri" w:hAnsi="Calibri" w:cs="Calibri"/>
          <w:color w:val="auto"/>
          <w:sz w:val="22"/>
          <w:szCs w:val="22"/>
        </w:rPr>
        <w:t>who</w:t>
      </w:r>
      <w:r w:rsidRPr="00A02FFC">
        <w:rPr>
          <w:rFonts w:ascii="Calibri" w:hAnsi="Calibri" w:cs="Calibri"/>
          <w:color w:val="auto"/>
          <w:sz w:val="22"/>
          <w:szCs w:val="22"/>
        </w:rPr>
        <w:t xml:space="preserve"> attend more than 80% of the time.</w:t>
      </w:r>
    </w:p>
    <w:p w:rsidR="00A97D02"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 xml:space="preserve">Other examples of </w:t>
      </w:r>
      <w:r>
        <w:rPr>
          <w:rFonts w:ascii="Calibri" w:hAnsi="Calibri" w:cs="Calibri"/>
          <w:color w:val="auto"/>
          <w:sz w:val="22"/>
          <w:szCs w:val="22"/>
        </w:rPr>
        <w:t xml:space="preserve">initiatives led by the </w:t>
      </w:r>
      <w:r w:rsidRPr="00EF7039">
        <w:rPr>
          <w:rFonts w:ascii="Calibri" w:hAnsi="Calibri" w:cs="Calibri"/>
          <w:color w:val="auto"/>
          <w:sz w:val="22"/>
          <w:szCs w:val="22"/>
        </w:rPr>
        <w:t>Corporate Engagement and Partnerships Team</w:t>
      </w:r>
      <w:r>
        <w:rPr>
          <w:rFonts w:ascii="Calibri" w:hAnsi="Calibri" w:cs="Calibri"/>
          <w:color w:val="auto"/>
          <w:sz w:val="22"/>
          <w:szCs w:val="22"/>
        </w:rPr>
        <w:t xml:space="preserve"> include</w:t>
      </w:r>
      <w:r w:rsidRPr="00A02FFC">
        <w:rPr>
          <w:rFonts w:ascii="Calibri" w:hAnsi="Calibri" w:cs="Calibri"/>
          <w:color w:val="auto"/>
          <w:sz w:val="22"/>
          <w:szCs w:val="22"/>
        </w:rPr>
        <w:t xml:space="preserve"> </w:t>
      </w:r>
    </w:p>
    <w:p w:rsidR="00A97D02" w:rsidRDefault="00A97D02" w:rsidP="00A97D02">
      <w:pPr>
        <w:pStyle w:val="Default"/>
        <w:widowControl w:val="0"/>
        <w:numPr>
          <w:ilvl w:val="0"/>
          <w:numId w:val="14"/>
        </w:numPr>
        <w:spacing w:before="120"/>
        <w:jc w:val="both"/>
        <w:textAlignment w:val="baseline"/>
        <w:rPr>
          <w:rFonts w:ascii="Calibri" w:hAnsi="Calibri" w:cs="Calibri"/>
          <w:color w:val="auto"/>
          <w:sz w:val="22"/>
          <w:szCs w:val="22"/>
        </w:rPr>
      </w:pPr>
      <w:r w:rsidRPr="00A02FFC">
        <w:rPr>
          <w:rFonts w:ascii="Calibri" w:hAnsi="Calibri" w:cs="Calibri"/>
          <w:color w:val="auto"/>
          <w:sz w:val="22"/>
          <w:szCs w:val="22"/>
        </w:rPr>
        <w:t xml:space="preserve">securing the Maurice </w:t>
      </w:r>
      <w:proofErr w:type="spellStart"/>
      <w:r w:rsidRPr="00A02FFC">
        <w:rPr>
          <w:rFonts w:ascii="Calibri" w:hAnsi="Calibri" w:cs="Calibri"/>
          <w:color w:val="auto"/>
          <w:sz w:val="22"/>
          <w:szCs w:val="22"/>
        </w:rPr>
        <w:t>Rioli</w:t>
      </w:r>
      <w:proofErr w:type="spellEnd"/>
      <w:r w:rsidRPr="00A02FFC">
        <w:rPr>
          <w:rFonts w:ascii="Calibri" w:hAnsi="Calibri" w:cs="Calibri"/>
          <w:color w:val="auto"/>
          <w:sz w:val="22"/>
          <w:szCs w:val="22"/>
        </w:rPr>
        <w:t xml:space="preserve"> Scholarship which will </w:t>
      </w:r>
      <w:r>
        <w:rPr>
          <w:rFonts w:ascii="Calibri" w:hAnsi="Calibri" w:cs="Calibri"/>
          <w:color w:val="auto"/>
          <w:sz w:val="22"/>
          <w:szCs w:val="22"/>
        </w:rPr>
        <w:t>support</w:t>
      </w:r>
      <w:r w:rsidRPr="00A02FFC">
        <w:rPr>
          <w:rFonts w:ascii="Calibri" w:hAnsi="Calibri" w:cs="Calibri"/>
          <w:color w:val="auto"/>
          <w:sz w:val="22"/>
          <w:szCs w:val="22"/>
        </w:rPr>
        <w:t xml:space="preserve"> </w:t>
      </w:r>
      <w:r>
        <w:rPr>
          <w:rFonts w:ascii="Calibri" w:hAnsi="Calibri" w:cs="Calibri"/>
          <w:color w:val="auto"/>
          <w:sz w:val="22"/>
          <w:szCs w:val="22"/>
        </w:rPr>
        <w:t>3 boys each year from the Tiwi College</w:t>
      </w:r>
      <w:r w:rsidRPr="00A02FFC">
        <w:rPr>
          <w:rFonts w:ascii="Calibri" w:hAnsi="Calibri" w:cs="Calibri"/>
          <w:color w:val="auto"/>
          <w:sz w:val="22"/>
          <w:szCs w:val="22"/>
        </w:rPr>
        <w:t xml:space="preserve"> who successfully attend school and complete certificates in Sport and Recreation to spend a week </w:t>
      </w:r>
      <w:r>
        <w:rPr>
          <w:rFonts w:ascii="Calibri" w:hAnsi="Calibri" w:cs="Calibri"/>
          <w:color w:val="auto"/>
          <w:sz w:val="22"/>
          <w:szCs w:val="22"/>
        </w:rPr>
        <w:t>with the Richmond Football Team; and</w:t>
      </w:r>
    </w:p>
    <w:p w:rsidR="00A97D02" w:rsidRDefault="00A97D02" w:rsidP="00A97D02">
      <w:pPr>
        <w:pStyle w:val="Default"/>
        <w:widowControl w:val="0"/>
        <w:numPr>
          <w:ilvl w:val="0"/>
          <w:numId w:val="14"/>
        </w:numPr>
        <w:spacing w:before="120"/>
        <w:jc w:val="both"/>
        <w:textAlignment w:val="baseline"/>
        <w:rPr>
          <w:rFonts w:ascii="Calibri" w:hAnsi="Calibri" w:cs="Calibri"/>
          <w:color w:val="auto"/>
          <w:sz w:val="22"/>
          <w:szCs w:val="22"/>
        </w:rPr>
      </w:pPr>
      <w:proofErr w:type="gramStart"/>
      <w:r w:rsidRPr="00EF7039">
        <w:rPr>
          <w:rFonts w:ascii="Calibri" w:hAnsi="Calibri" w:cs="Calibri"/>
          <w:color w:val="auto"/>
          <w:sz w:val="22"/>
          <w:szCs w:val="22"/>
        </w:rPr>
        <w:t>industry</w:t>
      </w:r>
      <w:proofErr w:type="gramEnd"/>
      <w:r w:rsidRPr="00EF7039">
        <w:rPr>
          <w:rFonts w:ascii="Calibri" w:hAnsi="Calibri" w:cs="Calibri"/>
          <w:color w:val="auto"/>
          <w:sz w:val="22"/>
          <w:szCs w:val="22"/>
        </w:rPr>
        <w:t xml:space="preserve"> wide agreements that will streamline the school to work transition process; for example, negotiati</w:t>
      </w:r>
      <w:r>
        <w:rPr>
          <w:rFonts w:ascii="Calibri" w:hAnsi="Calibri" w:cs="Calibri"/>
          <w:color w:val="auto"/>
          <w:sz w:val="22"/>
          <w:szCs w:val="22"/>
        </w:rPr>
        <w:t>o</w:t>
      </w:r>
      <w:r w:rsidRPr="00EF7039">
        <w:rPr>
          <w:rFonts w:ascii="Calibri" w:hAnsi="Calibri" w:cs="Calibri"/>
          <w:color w:val="auto"/>
          <w:sz w:val="22"/>
          <w:szCs w:val="22"/>
        </w:rPr>
        <w:t>n</w:t>
      </w:r>
      <w:r>
        <w:rPr>
          <w:rFonts w:ascii="Calibri" w:hAnsi="Calibri" w:cs="Calibri"/>
          <w:color w:val="auto"/>
          <w:sz w:val="22"/>
          <w:szCs w:val="22"/>
        </w:rPr>
        <w:t>s are currently underway for</w:t>
      </w:r>
      <w:r w:rsidRPr="00EF7039">
        <w:rPr>
          <w:rFonts w:ascii="Calibri" w:hAnsi="Calibri" w:cs="Calibri"/>
          <w:color w:val="auto"/>
          <w:sz w:val="22"/>
          <w:szCs w:val="22"/>
        </w:rPr>
        <w:t xml:space="preserve"> an agreement with the Minerals Council to provide template work placements and transitions to apprenticeship pathways across the whole of the industry.</w:t>
      </w:r>
    </w:p>
    <w:p w:rsidR="00A97D02" w:rsidRPr="001F7BDA" w:rsidRDefault="00A97D02" w:rsidP="00A97D02">
      <w:pPr>
        <w:pStyle w:val="Default"/>
        <w:widowControl w:val="0"/>
        <w:numPr>
          <w:ilvl w:val="0"/>
          <w:numId w:val="12"/>
        </w:numPr>
        <w:spacing w:before="120"/>
        <w:jc w:val="both"/>
        <w:textAlignment w:val="baseline"/>
        <w:rPr>
          <w:rFonts w:asciiTheme="minorHAnsi" w:hAnsiTheme="minorHAnsi" w:cstheme="minorHAnsi"/>
          <w:b/>
          <w:i/>
          <w:color w:val="auto"/>
          <w:sz w:val="22"/>
          <w:szCs w:val="22"/>
        </w:rPr>
      </w:pPr>
      <w:r w:rsidRPr="001F7BDA">
        <w:rPr>
          <w:rFonts w:asciiTheme="minorHAnsi" w:hAnsiTheme="minorHAnsi" w:cstheme="minorHAnsi"/>
          <w:b/>
          <w:i/>
          <w:color w:val="auto"/>
          <w:sz w:val="22"/>
          <w:szCs w:val="22"/>
        </w:rPr>
        <w:t>The Remote Pathways and Planning Team</w:t>
      </w:r>
      <w:r w:rsidRPr="00A02FFC">
        <w:rPr>
          <w:rFonts w:ascii="Calibri" w:hAnsi="Calibri" w:cs="Calibri"/>
          <w:color w:val="auto"/>
          <w:sz w:val="22"/>
          <w:szCs w:val="22"/>
        </w:rPr>
        <w:t xml:space="preserve"> </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The Remote Pa</w:t>
      </w:r>
      <w:r>
        <w:rPr>
          <w:rFonts w:ascii="Calibri" w:hAnsi="Calibri" w:cs="Calibri"/>
          <w:color w:val="auto"/>
          <w:sz w:val="22"/>
          <w:szCs w:val="22"/>
        </w:rPr>
        <w:t>thways and Planning Team (</w:t>
      </w:r>
      <w:proofErr w:type="spellStart"/>
      <w:r>
        <w:rPr>
          <w:rFonts w:ascii="Calibri" w:hAnsi="Calibri" w:cs="Calibri"/>
          <w:color w:val="auto"/>
          <w:sz w:val="22"/>
          <w:szCs w:val="22"/>
        </w:rPr>
        <w:t>RPPT</w:t>
      </w:r>
      <w:proofErr w:type="spellEnd"/>
      <w:r>
        <w:rPr>
          <w:rFonts w:ascii="Calibri" w:hAnsi="Calibri" w:cs="Calibri"/>
          <w:color w:val="auto"/>
          <w:sz w:val="22"/>
          <w:szCs w:val="22"/>
        </w:rPr>
        <w:t>)</w:t>
      </w:r>
      <w:r w:rsidRPr="00A02FFC">
        <w:rPr>
          <w:rFonts w:ascii="Calibri" w:hAnsi="Calibri" w:cs="Calibri"/>
          <w:color w:val="auto"/>
          <w:sz w:val="22"/>
          <w:szCs w:val="22"/>
        </w:rPr>
        <w:t xml:space="preserve"> works to build capacity of remote schools to develop and deliver contextually appropriate senior years subjects for delivery and to assist completion</w:t>
      </w:r>
      <w:r>
        <w:rPr>
          <w:rFonts w:ascii="Calibri" w:hAnsi="Calibri" w:cs="Calibri"/>
          <w:color w:val="auto"/>
          <w:sz w:val="22"/>
          <w:szCs w:val="22"/>
        </w:rPr>
        <w:t>,</w:t>
      </w:r>
      <w:r w:rsidRPr="00A02FFC">
        <w:rPr>
          <w:rFonts w:ascii="Calibri" w:hAnsi="Calibri" w:cs="Calibri"/>
          <w:color w:val="auto"/>
          <w:sz w:val="22"/>
          <w:szCs w:val="22"/>
        </w:rPr>
        <w:t xml:space="preserve"> or pathways to completion</w:t>
      </w:r>
      <w:r>
        <w:rPr>
          <w:rFonts w:ascii="Calibri" w:hAnsi="Calibri" w:cs="Calibri"/>
          <w:color w:val="auto"/>
          <w:sz w:val="22"/>
          <w:szCs w:val="22"/>
        </w:rPr>
        <w:t>,</w:t>
      </w:r>
      <w:r w:rsidRPr="00A02FFC">
        <w:rPr>
          <w:rFonts w:ascii="Calibri" w:hAnsi="Calibri" w:cs="Calibri"/>
          <w:color w:val="auto"/>
          <w:sz w:val="22"/>
          <w:szCs w:val="22"/>
        </w:rPr>
        <w:t xml:space="preserve"> and to engage students in schooling that is culturally appropriate.  Specifically the team aims to build capacity for remote schools to deliver the compulsory literacy, numeracy and </w:t>
      </w:r>
      <w:proofErr w:type="spellStart"/>
      <w:r w:rsidRPr="00A02FFC">
        <w:rPr>
          <w:rFonts w:ascii="Calibri" w:hAnsi="Calibri" w:cs="Calibri"/>
          <w:color w:val="auto"/>
          <w:sz w:val="22"/>
          <w:szCs w:val="22"/>
        </w:rPr>
        <w:t>PLP</w:t>
      </w:r>
      <w:proofErr w:type="spellEnd"/>
      <w:r w:rsidRPr="00A02FFC">
        <w:rPr>
          <w:rFonts w:ascii="Calibri" w:hAnsi="Calibri" w:cs="Calibri"/>
          <w:color w:val="auto"/>
          <w:sz w:val="22"/>
          <w:szCs w:val="22"/>
        </w:rPr>
        <w:t xml:space="preserve"> subjects in a contextually appropriate format and understand the </w:t>
      </w:r>
      <w:r w:rsidRPr="00A02FFC">
        <w:rPr>
          <w:rFonts w:ascii="Calibri" w:hAnsi="Calibri" w:cs="Calibri"/>
          <w:color w:val="auto"/>
          <w:sz w:val="22"/>
          <w:szCs w:val="22"/>
        </w:rPr>
        <w:lastRenderedPageBreak/>
        <w:t xml:space="preserve">importance of school in the Senior Years.  The </w:t>
      </w:r>
      <w:proofErr w:type="spellStart"/>
      <w:r w:rsidRPr="00A02FFC">
        <w:rPr>
          <w:rFonts w:ascii="Calibri" w:hAnsi="Calibri" w:cs="Calibri"/>
          <w:color w:val="auto"/>
          <w:sz w:val="22"/>
          <w:szCs w:val="22"/>
        </w:rPr>
        <w:t>RPPT</w:t>
      </w:r>
      <w:proofErr w:type="spellEnd"/>
      <w:r w:rsidRPr="00A02FFC">
        <w:rPr>
          <w:rFonts w:ascii="Calibri" w:hAnsi="Calibri" w:cs="Calibri"/>
          <w:color w:val="auto"/>
          <w:sz w:val="22"/>
          <w:szCs w:val="22"/>
        </w:rPr>
        <w:t xml:space="preserve"> provides regular support for teachers and schools to maintain their subject delivery and meet reporting and clarifying standards. </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 xml:space="preserve">A Data Analysis position was created to ensure capture of student data in remote schools which contributes toward completion.  This allows more accurate tracking of student progress towards </w:t>
      </w:r>
      <w:proofErr w:type="spellStart"/>
      <w:r w:rsidRPr="00A02FFC">
        <w:rPr>
          <w:rFonts w:ascii="Calibri" w:hAnsi="Calibri" w:cs="Calibri"/>
          <w:color w:val="auto"/>
          <w:sz w:val="22"/>
          <w:szCs w:val="22"/>
        </w:rPr>
        <w:t>NTCET</w:t>
      </w:r>
      <w:proofErr w:type="spellEnd"/>
      <w:r w:rsidRPr="00A02FFC">
        <w:rPr>
          <w:rFonts w:ascii="Calibri" w:hAnsi="Calibri" w:cs="Calibri"/>
          <w:color w:val="auto"/>
          <w:sz w:val="22"/>
          <w:szCs w:val="22"/>
        </w:rPr>
        <w:t xml:space="preserve"> completion and allows more streamlined and specific targeted outcomes.</w:t>
      </w:r>
    </w:p>
    <w:p w:rsidR="00A97D02" w:rsidRDefault="00A97D02" w:rsidP="00A97D02">
      <w:pPr>
        <w:pStyle w:val="Default"/>
        <w:widowControl w:val="0"/>
        <w:numPr>
          <w:ilvl w:val="0"/>
          <w:numId w:val="12"/>
        </w:numPr>
        <w:spacing w:before="120"/>
        <w:jc w:val="both"/>
        <w:textAlignment w:val="baseline"/>
        <w:rPr>
          <w:rFonts w:asciiTheme="minorHAnsi" w:hAnsiTheme="minorHAnsi" w:cstheme="minorHAnsi"/>
          <w:b/>
          <w:i/>
          <w:color w:val="auto"/>
          <w:sz w:val="22"/>
          <w:szCs w:val="22"/>
        </w:rPr>
      </w:pPr>
      <w:r>
        <w:rPr>
          <w:rFonts w:asciiTheme="minorHAnsi" w:hAnsiTheme="minorHAnsi" w:cstheme="minorHAnsi"/>
          <w:b/>
          <w:i/>
          <w:color w:val="auto"/>
          <w:sz w:val="22"/>
          <w:szCs w:val="22"/>
        </w:rPr>
        <w:t>The Learn or</w:t>
      </w:r>
      <w:r w:rsidRPr="001F7BDA">
        <w:rPr>
          <w:rFonts w:asciiTheme="minorHAnsi" w:hAnsiTheme="minorHAnsi" w:cstheme="minorHAnsi"/>
          <w:b/>
          <w:i/>
          <w:color w:val="auto"/>
          <w:sz w:val="22"/>
          <w:szCs w:val="22"/>
        </w:rPr>
        <w:t xml:space="preserve"> Earn </w:t>
      </w:r>
      <w:r>
        <w:rPr>
          <w:rFonts w:asciiTheme="minorHAnsi" w:hAnsiTheme="minorHAnsi" w:cstheme="minorHAnsi"/>
          <w:b/>
          <w:i/>
          <w:color w:val="auto"/>
          <w:sz w:val="22"/>
          <w:szCs w:val="22"/>
        </w:rPr>
        <w:t>T</w:t>
      </w:r>
      <w:r w:rsidRPr="001F7BDA">
        <w:rPr>
          <w:rFonts w:asciiTheme="minorHAnsi" w:hAnsiTheme="minorHAnsi" w:cstheme="minorHAnsi"/>
          <w:b/>
          <w:i/>
          <w:color w:val="auto"/>
          <w:sz w:val="22"/>
          <w:szCs w:val="22"/>
        </w:rPr>
        <w:t>eam</w:t>
      </w:r>
    </w:p>
    <w:p w:rsidR="00A97D02" w:rsidRPr="00BD6F51" w:rsidRDefault="00A97D02" w:rsidP="00A97D02">
      <w:pPr>
        <w:pStyle w:val="Default"/>
        <w:spacing w:before="120"/>
        <w:rPr>
          <w:rFonts w:ascii="Calibri" w:hAnsi="Calibri" w:cs="Calibri"/>
          <w:color w:val="000000" w:themeColor="text1"/>
          <w:sz w:val="22"/>
          <w:szCs w:val="22"/>
        </w:rPr>
      </w:pPr>
      <w:r w:rsidRPr="00BD6F51">
        <w:rPr>
          <w:rFonts w:ascii="Calibri" w:hAnsi="Calibri" w:cs="Calibri"/>
          <w:color w:val="000000" w:themeColor="text1"/>
          <w:sz w:val="22"/>
          <w:szCs w:val="22"/>
        </w:rPr>
        <w:t>The Learn or earn Team is responsible for monitoring and supporting young people in the participation phase.</w:t>
      </w:r>
    </w:p>
    <w:p w:rsidR="00A97D02" w:rsidRPr="002216EA" w:rsidRDefault="00A97D02" w:rsidP="00A97D02">
      <w:pPr>
        <w:pStyle w:val="Default"/>
        <w:spacing w:before="120"/>
        <w:rPr>
          <w:rFonts w:asciiTheme="minorHAnsi" w:hAnsiTheme="minorHAnsi" w:cstheme="minorHAnsi"/>
          <w:b/>
          <w:color w:val="auto"/>
          <w:sz w:val="22"/>
          <w:szCs w:val="22"/>
        </w:rPr>
      </w:pPr>
      <w:r>
        <w:rPr>
          <w:rFonts w:ascii="Calibri" w:hAnsi="Calibri" w:cs="Calibri"/>
          <w:color w:val="auto"/>
          <w:sz w:val="22"/>
          <w:szCs w:val="22"/>
        </w:rPr>
        <w:t xml:space="preserve">They are also responsible for </w:t>
      </w:r>
      <w:r>
        <w:rPr>
          <w:rFonts w:asciiTheme="minorHAnsi" w:hAnsiTheme="minorHAnsi" w:cstheme="minorHAnsi"/>
          <w:color w:val="auto"/>
          <w:sz w:val="22"/>
          <w:szCs w:val="22"/>
        </w:rPr>
        <w:t xml:space="preserve">the </w:t>
      </w:r>
      <w:r w:rsidRPr="002216EA">
        <w:rPr>
          <w:rFonts w:asciiTheme="minorHAnsi" w:hAnsiTheme="minorHAnsi" w:cstheme="minorHAnsi"/>
          <w:i/>
          <w:color w:val="auto"/>
          <w:sz w:val="22"/>
          <w:szCs w:val="22"/>
        </w:rPr>
        <w:t>Jobs Guarantee</w:t>
      </w:r>
      <w:r w:rsidRPr="002216EA">
        <w:rPr>
          <w:rFonts w:ascii="Calibri" w:hAnsi="Calibri" w:cs="Calibri"/>
          <w:color w:val="auto"/>
          <w:sz w:val="22"/>
          <w:szCs w:val="22"/>
        </w:rPr>
        <w:t>.</w:t>
      </w:r>
      <w:r>
        <w:rPr>
          <w:rFonts w:ascii="Calibri" w:hAnsi="Calibri" w:cs="Calibri"/>
          <w:color w:val="auto"/>
          <w:sz w:val="22"/>
          <w:szCs w:val="22"/>
        </w:rPr>
        <w:t xml:space="preserve"> </w:t>
      </w:r>
      <w:r w:rsidRPr="002216EA">
        <w:rPr>
          <w:rFonts w:ascii="Calibri" w:hAnsi="Calibri" w:cs="Calibri"/>
          <w:color w:val="auto"/>
          <w:sz w:val="22"/>
          <w:szCs w:val="22"/>
        </w:rPr>
        <w:t>Through this initiative,</w:t>
      </w:r>
      <w:r>
        <w:rPr>
          <w:rFonts w:asciiTheme="minorHAnsi" w:hAnsiTheme="minorHAnsi" w:cstheme="minorHAnsi"/>
          <w:b/>
          <w:color w:val="auto"/>
          <w:sz w:val="22"/>
          <w:szCs w:val="22"/>
        </w:rPr>
        <w:t xml:space="preserve"> </w:t>
      </w:r>
      <w:proofErr w:type="spellStart"/>
      <w:r w:rsidRPr="003316C8">
        <w:rPr>
          <w:rFonts w:ascii="Calibri" w:hAnsi="Calibri" w:cs="Calibri"/>
          <w:color w:val="auto"/>
          <w:sz w:val="22"/>
          <w:szCs w:val="22"/>
        </w:rPr>
        <w:t>NTCET</w:t>
      </w:r>
      <w:proofErr w:type="spellEnd"/>
      <w:r w:rsidRPr="003316C8">
        <w:rPr>
          <w:rFonts w:ascii="Calibri" w:hAnsi="Calibri" w:cs="Calibri"/>
          <w:color w:val="auto"/>
          <w:sz w:val="22"/>
          <w:szCs w:val="22"/>
        </w:rPr>
        <w:t xml:space="preserve"> graduates from Territory Growth Towns </w:t>
      </w:r>
      <w:r>
        <w:rPr>
          <w:rFonts w:ascii="Calibri" w:hAnsi="Calibri" w:cs="Calibri"/>
          <w:color w:val="auto"/>
          <w:sz w:val="22"/>
          <w:szCs w:val="22"/>
        </w:rPr>
        <w:t>are guaranteed a pathway to an a</w:t>
      </w:r>
      <w:r w:rsidRPr="003316C8">
        <w:rPr>
          <w:rFonts w:ascii="Calibri" w:hAnsi="Calibri" w:cs="Calibri"/>
          <w:color w:val="auto"/>
          <w:sz w:val="22"/>
          <w:szCs w:val="22"/>
        </w:rPr>
        <w:t xml:space="preserve">pprenticeship or base-grade employment in a Northern Territory Government Agency. </w:t>
      </w:r>
    </w:p>
    <w:p w:rsidR="00A97D02" w:rsidRDefault="00A97D02" w:rsidP="00A97D02">
      <w:pPr>
        <w:pStyle w:val="Default"/>
        <w:spacing w:before="120"/>
        <w:rPr>
          <w:rFonts w:ascii="Calibri" w:hAnsi="Calibri" w:cs="Calibri"/>
          <w:color w:val="auto"/>
          <w:sz w:val="22"/>
          <w:szCs w:val="22"/>
        </w:rPr>
      </w:pPr>
      <w:r w:rsidRPr="003316C8">
        <w:rPr>
          <w:rFonts w:ascii="Calibri" w:hAnsi="Calibri" w:cs="Calibri"/>
          <w:color w:val="auto"/>
          <w:sz w:val="22"/>
          <w:szCs w:val="22"/>
        </w:rPr>
        <w:t xml:space="preserve">The </w:t>
      </w:r>
      <w:r w:rsidRPr="003316C8">
        <w:rPr>
          <w:rFonts w:ascii="Calibri" w:hAnsi="Calibri" w:cs="Calibri"/>
          <w:i/>
          <w:color w:val="auto"/>
          <w:sz w:val="22"/>
          <w:szCs w:val="22"/>
        </w:rPr>
        <w:t>Jobs Guarantee</w:t>
      </w:r>
      <w:r w:rsidRPr="003316C8">
        <w:rPr>
          <w:rFonts w:ascii="Calibri" w:hAnsi="Calibri" w:cs="Calibri"/>
          <w:color w:val="auto"/>
          <w:sz w:val="22"/>
          <w:szCs w:val="22"/>
        </w:rPr>
        <w:t xml:space="preserve"> may involve participants being offered work outside of their home town, but the priority is on ‘local jobs for local people’.</w:t>
      </w:r>
    </w:p>
    <w:p w:rsidR="00A97D02"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T</w:t>
      </w:r>
      <w:r w:rsidRPr="003316C8">
        <w:rPr>
          <w:rFonts w:ascii="Calibri" w:hAnsi="Calibri" w:cs="Calibri"/>
          <w:color w:val="auto"/>
          <w:sz w:val="22"/>
          <w:szCs w:val="22"/>
        </w:rPr>
        <w:t xml:space="preserve">here is no compulsion for </w:t>
      </w:r>
      <w:proofErr w:type="spellStart"/>
      <w:r w:rsidRPr="003316C8">
        <w:rPr>
          <w:rFonts w:ascii="Calibri" w:hAnsi="Calibri" w:cs="Calibri"/>
          <w:color w:val="auto"/>
          <w:sz w:val="22"/>
          <w:szCs w:val="22"/>
        </w:rPr>
        <w:t>NTCET</w:t>
      </w:r>
      <w:proofErr w:type="spellEnd"/>
      <w:r w:rsidRPr="003316C8">
        <w:rPr>
          <w:rFonts w:ascii="Calibri" w:hAnsi="Calibri" w:cs="Calibri"/>
          <w:color w:val="auto"/>
          <w:sz w:val="22"/>
          <w:szCs w:val="22"/>
        </w:rPr>
        <w:t xml:space="preserve"> graduates to take up the offer of the Jobs Guarantee.</w:t>
      </w:r>
    </w:p>
    <w:p w:rsidR="00A97D02" w:rsidRPr="002216EA" w:rsidRDefault="00A97D02" w:rsidP="00A97D02">
      <w:pPr>
        <w:pStyle w:val="Default"/>
        <w:widowControl w:val="0"/>
        <w:numPr>
          <w:ilvl w:val="0"/>
          <w:numId w:val="13"/>
        </w:numPr>
        <w:spacing w:before="120"/>
        <w:jc w:val="both"/>
        <w:textAlignment w:val="baseline"/>
        <w:rPr>
          <w:rFonts w:ascii="Calibri" w:hAnsi="Calibri" w:cs="Calibri"/>
          <w:color w:val="auto"/>
          <w:sz w:val="22"/>
          <w:szCs w:val="22"/>
        </w:rPr>
      </w:pPr>
      <w:r w:rsidRPr="002216EA">
        <w:rPr>
          <w:rFonts w:ascii="Calibri" w:hAnsi="Calibri" w:cs="Calibri"/>
          <w:color w:val="auto"/>
          <w:sz w:val="22"/>
          <w:szCs w:val="22"/>
        </w:rPr>
        <w:t>In 2010</w:t>
      </w:r>
      <w:r>
        <w:rPr>
          <w:rFonts w:ascii="Calibri" w:hAnsi="Calibri" w:cs="Calibri"/>
          <w:color w:val="auto"/>
          <w:sz w:val="22"/>
          <w:szCs w:val="22"/>
        </w:rPr>
        <w:t xml:space="preserve"> t</w:t>
      </w:r>
      <w:r w:rsidRPr="002216EA">
        <w:rPr>
          <w:rFonts w:ascii="Calibri" w:hAnsi="Calibri" w:cs="Calibri"/>
          <w:color w:val="auto"/>
          <w:sz w:val="22"/>
          <w:szCs w:val="22"/>
        </w:rPr>
        <w:t xml:space="preserve">here were 25 </w:t>
      </w:r>
      <w:proofErr w:type="spellStart"/>
      <w:r w:rsidRPr="002216EA">
        <w:rPr>
          <w:rFonts w:ascii="Calibri" w:hAnsi="Calibri" w:cs="Calibri"/>
          <w:color w:val="auto"/>
          <w:sz w:val="22"/>
          <w:szCs w:val="22"/>
        </w:rPr>
        <w:t>NTCET</w:t>
      </w:r>
      <w:proofErr w:type="spellEnd"/>
      <w:r w:rsidRPr="002216EA">
        <w:rPr>
          <w:rFonts w:ascii="Calibri" w:hAnsi="Calibri" w:cs="Calibri"/>
          <w:color w:val="auto"/>
          <w:sz w:val="22"/>
          <w:szCs w:val="22"/>
        </w:rPr>
        <w:t xml:space="preserve"> completers from 10 of the 20 growth towns. </w:t>
      </w:r>
    </w:p>
    <w:p w:rsidR="00A97D02" w:rsidRPr="00697D36" w:rsidRDefault="00A97D02" w:rsidP="00A97D02">
      <w:pPr>
        <w:pStyle w:val="ListParagraph"/>
        <w:numPr>
          <w:ilvl w:val="0"/>
          <w:numId w:val="10"/>
        </w:numPr>
        <w:autoSpaceDE w:val="0"/>
        <w:autoSpaceDN w:val="0"/>
        <w:adjustRightInd w:val="0"/>
        <w:rPr>
          <w:rFonts w:cs="Arial"/>
          <w:bCs/>
        </w:rPr>
      </w:pPr>
      <w:r w:rsidRPr="00697D36">
        <w:rPr>
          <w:rFonts w:cs="Arial"/>
          <w:bCs/>
        </w:rPr>
        <w:t>20 NT</w:t>
      </w:r>
      <w:r>
        <w:rPr>
          <w:rFonts w:cs="Arial"/>
          <w:bCs/>
        </w:rPr>
        <w:t xml:space="preserve"> </w:t>
      </w:r>
      <w:r w:rsidRPr="00697D36">
        <w:rPr>
          <w:rFonts w:cs="Arial"/>
          <w:bCs/>
        </w:rPr>
        <w:t>P</w:t>
      </w:r>
      <w:r>
        <w:rPr>
          <w:rFonts w:cs="Arial"/>
          <w:bCs/>
        </w:rPr>
        <w:t xml:space="preserve">ublic </w:t>
      </w:r>
      <w:r w:rsidRPr="00697D36">
        <w:rPr>
          <w:rFonts w:cs="Arial"/>
          <w:bCs/>
        </w:rPr>
        <w:t>S</w:t>
      </w:r>
      <w:r>
        <w:rPr>
          <w:rFonts w:cs="Arial"/>
          <w:bCs/>
        </w:rPr>
        <w:t xml:space="preserve">ervice </w:t>
      </w:r>
      <w:r w:rsidRPr="00697D36">
        <w:rPr>
          <w:rFonts w:cs="Arial"/>
          <w:bCs/>
        </w:rPr>
        <w:t xml:space="preserve">positions were offered to the completers in 9 of the 10 growth towns. </w:t>
      </w:r>
    </w:p>
    <w:p w:rsidR="00A97D02" w:rsidRDefault="00A97D02" w:rsidP="00A97D02">
      <w:pPr>
        <w:pStyle w:val="ListParagraph"/>
        <w:numPr>
          <w:ilvl w:val="0"/>
          <w:numId w:val="10"/>
        </w:numPr>
        <w:autoSpaceDE w:val="0"/>
        <w:autoSpaceDN w:val="0"/>
        <w:adjustRightInd w:val="0"/>
        <w:rPr>
          <w:rFonts w:cs="Arial"/>
          <w:bCs/>
        </w:rPr>
      </w:pPr>
      <w:r>
        <w:rPr>
          <w:rFonts w:cs="Arial"/>
          <w:bCs/>
        </w:rPr>
        <w:t>Positions included:</w:t>
      </w:r>
    </w:p>
    <w:p w:rsidR="00A97D02" w:rsidRDefault="00A97D02" w:rsidP="00A97D02">
      <w:pPr>
        <w:pStyle w:val="ListParagraph"/>
        <w:numPr>
          <w:ilvl w:val="1"/>
          <w:numId w:val="10"/>
        </w:numPr>
        <w:autoSpaceDE w:val="0"/>
        <w:autoSpaceDN w:val="0"/>
        <w:adjustRightInd w:val="0"/>
        <w:rPr>
          <w:rFonts w:cs="Arial"/>
          <w:bCs/>
        </w:rPr>
      </w:pPr>
      <w:r>
        <w:rPr>
          <w:rFonts w:cs="Arial"/>
          <w:bCs/>
        </w:rPr>
        <w:t>A</w:t>
      </w:r>
      <w:r w:rsidRPr="00C02CBD">
        <w:rPr>
          <w:rFonts w:cs="Arial"/>
          <w:bCs/>
        </w:rPr>
        <w:t xml:space="preserve">ssistant </w:t>
      </w:r>
      <w:r>
        <w:rPr>
          <w:rFonts w:cs="Arial"/>
          <w:bCs/>
        </w:rPr>
        <w:t>T</w:t>
      </w:r>
      <w:r w:rsidRPr="00C02CBD">
        <w:rPr>
          <w:rFonts w:cs="Arial"/>
          <w:bCs/>
        </w:rPr>
        <w:t>eacher</w:t>
      </w:r>
      <w:r>
        <w:rPr>
          <w:rFonts w:cs="Arial"/>
          <w:bCs/>
        </w:rPr>
        <w:t xml:space="preserve"> traineeships;</w:t>
      </w:r>
    </w:p>
    <w:p w:rsidR="00A97D02" w:rsidRPr="00C02CBD" w:rsidRDefault="00A97D02" w:rsidP="00A97D02">
      <w:pPr>
        <w:pStyle w:val="ListParagraph"/>
        <w:numPr>
          <w:ilvl w:val="1"/>
          <w:numId w:val="10"/>
        </w:numPr>
        <w:autoSpaceDE w:val="0"/>
        <w:autoSpaceDN w:val="0"/>
        <w:adjustRightInd w:val="0"/>
        <w:rPr>
          <w:rFonts w:cs="Arial"/>
          <w:bCs/>
        </w:rPr>
      </w:pPr>
      <w:r>
        <w:rPr>
          <w:rFonts w:cs="Arial"/>
          <w:bCs/>
        </w:rPr>
        <w:t>Aboriginal Health Worker Apprenticeships; and</w:t>
      </w:r>
    </w:p>
    <w:p w:rsidR="00A97D02" w:rsidRDefault="00A97D02" w:rsidP="00A97D02">
      <w:pPr>
        <w:pStyle w:val="ListParagraph"/>
        <w:numPr>
          <w:ilvl w:val="1"/>
          <w:numId w:val="10"/>
        </w:numPr>
        <w:autoSpaceDE w:val="0"/>
        <w:autoSpaceDN w:val="0"/>
        <w:adjustRightInd w:val="0"/>
        <w:rPr>
          <w:rFonts w:cs="Arial"/>
          <w:bCs/>
        </w:rPr>
      </w:pPr>
      <w:proofErr w:type="gramStart"/>
      <w:r>
        <w:rPr>
          <w:rFonts w:cs="Arial"/>
          <w:bCs/>
        </w:rPr>
        <w:t>remote</w:t>
      </w:r>
      <w:proofErr w:type="gramEnd"/>
      <w:r>
        <w:rPr>
          <w:rFonts w:cs="Arial"/>
          <w:bCs/>
        </w:rPr>
        <w:t xml:space="preserve"> housing administration.</w:t>
      </w:r>
    </w:p>
    <w:p w:rsidR="00A97D02" w:rsidRDefault="00A97D02" w:rsidP="00A97D02">
      <w:pPr>
        <w:pStyle w:val="Default"/>
        <w:spacing w:before="120"/>
        <w:rPr>
          <w:rFonts w:ascii="Calibri" w:hAnsi="Calibri" w:cs="Calibri"/>
          <w:color w:val="auto"/>
          <w:sz w:val="22"/>
          <w:szCs w:val="22"/>
        </w:rPr>
      </w:pPr>
      <w:r w:rsidRPr="003316C8">
        <w:rPr>
          <w:rFonts w:ascii="Calibri" w:hAnsi="Calibri" w:cs="Calibri"/>
          <w:color w:val="auto"/>
          <w:sz w:val="22"/>
          <w:szCs w:val="22"/>
        </w:rPr>
        <w:t xml:space="preserve">The Jobs Guarantee </w:t>
      </w:r>
      <w:r>
        <w:rPr>
          <w:rFonts w:ascii="Calibri" w:hAnsi="Calibri" w:cs="Calibri"/>
          <w:color w:val="auto"/>
          <w:sz w:val="22"/>
          <w:szCs w:val="22"/>
        </w:rPr>
        <w:t>initiative</w:t>
      </w:r>
      <w:r w:rsidRPr="003316C8">
        <w:rPr>
          <w:rFonts w:ascii="Calibri" w:hAnsi="Calibri" w:cs="Calibri"/>
          <w:color w:val="auto"/>
          <w:sz w:val="22"/>
          <w:szCs w:val="22"/>
        </w:rPr>
        <w:t xml:space="preserve"> complements </w:t>
      </w:r>
      <w:proofErr w:type="spellStart"/>
      <w:r w:rsidRPr="003316C8">
        <w:rPr>
          <w:rFonts w:ascii="Calibri" w:hAnsi="Calibri" w:cs="Calibri"/>
          <w:color w:val="auto"/>
          <w:sz w:val="22"/>
          <w:szCs w:val="22"/>
        </w:rPr>
        <w:t>DET</w:t>
      </w:r>
      <w:r>
        <w:rPr>
          <w:rFonts w:ascii="Calibri" w:hAnsi="Calibri" w:cs="Calibri"/>
          <w:color w:val="auto"/>
          <w:sz w:val="22"/>
          <w:szCs w:val="22"/>
        </w:rPr>
        <w:t>’s</w:t>
      </w:r>
      <w:proofErr w:type="spellEnd"/>
      <w:r w:rsidRPr="003316C8">
        <w:rPr>
          <w:rFonts w:ascii="Calibri" w:hAnsi="Calibri" w:cs="Calibri"/>
          <w:color w:val="auto"/>
          <w:sz w:val="22"/>
          <w:szCs w:val="22"/>
        </w:rPr>
        <w:t xml:space="preserve"> Beyond School Guarantee (</w:t>
      </w:r>
      <w:proofErr w:type="spellStart"/>
      <w:r w:rsidRPr="003316C8">
        <w:rPr>
          <w:rFonts w:ascii="Calibri" w:hAnsi="Calibri" w:cs="Calibri"/>
          <w:color w:val="auto"/>
          <w:sz w:val="22"/>
          <w:szCs w:val="22"/>
        </w:rPr>
        <w:t>BSG</w:t>
      </w:r>
      <w:proofErr w:type="spellEnd"/>
      <w:r w:rsidRPr="003316C8">
        <w:rPr>
          <w:rFonts w:ascii="Calibri" w:hAnsi="Calibri" w:cs="Calibri"/>
          <w:color w:val="auto"/>
          <w:sz w:val="22"/>
          <w:szCs w:val="22"/>
        </w:rPr>
        <w:t xml:space="preserve">).  </w:t>
      </w:r>
      <w:r>
        <w:rPr>
          <w:rFonts w:ascii="Calibri" w:hAnsi="Calibri" w:cs="Calibri"/>
          <w:color w:val="auto"/>
          <w:sz w:val="22"/>
          <w:szCs w:val="22"/>
        </w:rPr>
        <w:t>Through t</w:t>
      </w:r>
      <w:r w:rsidRPr="003316C8">
        <w:rPr>
          <w:rFonts w:ascii="Calibri" w:hAnsi="Calibri" w:cs="Calibri"/>
          <w:color w:val="auto"/>
          <w:sz w:val="22"/>
          <w:szCs w:val="22"/>
        </w:rPr>
        <w:t xml:space="preserve">he </w:t>
      </w:r>
      <w:proofErr w:type="spellStart"/>
      <w:r w:rsidRPr="003316C8">
        <w:rPr>
          <w:rFonts w:ascii="Calibri" w:hAnsi="Calibri" w:cs="Calibri"/>
          <w:color w:val="auto"/>
          <w:sz w:val="22"/>
          <w:szCs w:val="22"/>
        </w:rPr>
        <w:t>BSG</w:t>
      </w:r>
      <w:proofErr w:type="spellEnd"/>
      <w:r>
        <w:rPr>
          <w:rFonts w:ascii="Calibri" w:hAnsi="Calibri" w:cs="Calibri"/>
          <w:color w:val="auto"/>
          <w:sz w:val="22"/>
          <w:szCs w:val="22"/>
        </w:rPr>
        <w:t>,</w:t>
      </w:r>
      <w:r w:rsidRPr="003316C8">
        <w:rPr>
          <w:rFonts w:ascii="Calibri" w:hAnsi="Calibri" w:cs="Calibri"/>
          <w:color w:val="auto"/>
          <w:sz w:val="22"/>
          <w:szCs w:val="22"/>
        </w:rPr>
        <w:t xml:space="preserve"> </w:t>
      </w:r>
      <w:proofErr w:type="spellStart"/>
      <w:r>
        <w:rPr>
          <w:rFonts w:ascii="Calibri" w:hAnsi="Calibri" w:cs="Calibri"/>
          <w:color w:val="auto"/>
          <w:sz w:val="22"/>
          <w:szCs w:val="22"/>
        </w:rPr>
        <w:t>DET</w:t>
      </w:r>
      <w:proofErr w:type="spellEnd"/>
      <w:r>
        <w:rPr>
          <w:rFonts w:ascii="Calibri" w:hAnsi="Calibri" w:cs="Calibri"/>
          <w:color w:val="auto"/>
          <w:sz w:val="22"/>
          <w:szCs w:val="22"/>
        </w:rPr>
        <w:t xml:space="preserve"> undertakes to help a young person who needs assistance to get back on track with an education or employment pathway for up to two years after they complete their </w:t>
      </w:r>
      <w:proofErr w:type="spellStart"/>
      <w:r>
        <w:rPr>
          <w:rFonts w:ascii="Calibri" w:hAnsi="Calibri" w:cs="Calibri"/>
          <w:color w:val="auto"/>
          <w:sz w:val="22"/>
          <w:szCs w:val="22"/>
        </w:rPr>
        <w:t>NTCET</w:t>
      </w:r>
      <w:proofErr w:type="spellEnd"/>
      <w:r>
        <w:rPr>
          <w:rFonts w:ascii="Calibri" w:hAnsi="Calibri" w:cs="Calibri"/>
          <w:color w:val="auto"/>
          <w:sz w:val="22"/>
          <w:szCs w:val="22"/>
        </w:rPr>
        <w:t xml:space="preserve">. </w:t>
      </w:r>
    </w:p>
    <w:p w:rsidR="00A97D02" w:rsidRPr="00A02FFC"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 xml:space="preserve">The team is also responsible for conducting and managing a </w:t>
      </w:r>
      <w:r w:rsidRPr="007759E2">
        <w:rPr>
          <w:rFonts w:ascii="Calibri" w:hAnsi="Calibri" w:cs="Calibri"/>
          <w:i/>
          <w:color w:val="auto"/>
          <w:sz w:val="22"/>
          <w:szCs w:val="22"/>
        </w:rPr>
        <w:t>student destination survey</w:t>
      </w:r>
      <w:r>
        <w:rPr>
          <w:rFonts w:ascii="Calibri" w:hAnsi="Calibri" w:cs="Calibri"/>
          <w:color w:val="auto"/>
          <w:sz w:val="22"/>
          <w:szCs w:val="22"/>
        </w:rPr>
        <w:t xml:space="preserve">.  </w:t>
      </w:r>
      <w:r w:rsidRPr="00A02FFC">
        <w:rPr>
          <w:rFonts w:ascii="Calibri" w:hAnsi="Calibri" w:cs="Calibri"/>
          <w:color w:val="auto"/>
          <w:sz w:val="22"/>
          <w:szCs w:val="22"/>
        </w:rPr>
        <w:t xml:space="preserve">An online survey was carried out in April and May 2011. The purpose of the survey was to gather data on </w:t>
      </w:r>
      <w:r>
        <w:rPr>
          <w:rFonts w:ascii="Calibri" w:hAnsi="Calibri" w:cs="Calibri"/>
          <w:color w:val="auto"/>
          <w:sz w:val="22"/>
          <w:szCs w:val="22"/>
        </w:rPr>
        <w:t xml:space="preserve">the destinations of </w:t>
      </w:r>
      <w:r w:rsidRPr="00A02FFC">
        <w:rPr>
          <w:rFonts w:ascii="Calibri" w:hAnsi="Calibri" w:cs="Calibri"/>
          <w:color w:val="auto"/>
          <w:sz w:val="22"/>
          <w:szCs w:val="22"/>
        </w:rPr>
        <w:t xml:space="preserve">students who completed </w:t>
      </w:r>
      <w:r>
        <w:rPr>
          <w:rFonts w:ascii="Calibri" w:hAnsi="Calibri" w:cs="Calibri"/>
          <w:color w:val="auto"/>
          <w:sz w:val="22"/>
          <w:szCs w:val="22"/>
        </w:rPr>
        <w:t xml:space="preserve">the </w:t>
      </w:r>
      <w:proofErr w:type="spellStart"/>
      <w:r>
        <w:rPr>
          <w:rFonts w:ascii="Calibri" w:hAnsi="Calibri" w:cs="Calibri"/>
          <w:color w:val="auto"/>
          <w:sz w:val="22"/>
          <w:szCs w:val="22"/>
        </w:rPr>
        <w:t>NTCE</w:t>
      </w:r>
      <w:proofErr w:type="spellEnd"/>
      <w:r w:rsidRPr="00A02FFC">
        <w:rPr>
          <w:rFonts w:ascii="Calibri" w:hAnsi="Calibri" w:cs="Calibri"/>
          <w:color w:val="auto"/>
          <w:sz w:val="22"/>
          <w:szCs w:val="22"/>
        </w:rPr>
        <w:t xml:space="preserve"> in 2010.</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This is the first year that this type of survey has been carried out</w:t>
      </w:r>
      <w:r>
        <w:rPr>
          <w:rFonts w:ascii="Calibri" w:hAnsi="Calibri" w:cs="Calibri"/>
          <w:color w:val="auto"/>
          <w:sz w:val="22"/>
          <w:szCs w:val="22"/>
        </w:rPr>
        <w:t xml:space="preserve"> on the destinations of </w:t>
      </w:r>
      <w:proofErr w:type="spellStart"/>
      <w:r>
        <w:rPr>
          <w:rFonts w:ascii="Calibri" w:hAnsi="Calibri" w:cs="Calibri"/>
          <w:color w:val="auto"/>
          <w:sz w:val="22"/>
          <w:szCs w:val="22"/>
        </w:rPr>
        <w:t>NTCE</w:t>
      </w:r>
      <w:proofErr w:type="spellEnd"/>
      <w:r>
        <w:rPr>
          <w:rFonts w:ascii="Calibri" w:hAnsi="Calibri" w:cs="Calibri"/>
          <w:color w:val="auto"/>
          <w:sz w:val="22"/>
          <w:szCs w:val="22"/>
        </w:rPr>
        <w:t xml:space="preserve"> </w:t>
      </w:r>
      <w:proofErr w:type="gramStart"/>
      <w:r w:rsidRPr="00A02FFC">
        <w:rPr>
          <w:rFonts w:ascii="Calibri" w:hAnsi="Calibri" w:cs="Calibri"/>
          <w:color w:val="auto"/>
          <w:sz w:val="22"/>
          <w:szCs w:val="22"/>
        </w:rPr>
        <w:t>completers,</w:t>
      </w:r>
      <w:proofErr w:type="gramEnd"/>
      <w:r w:rsidRPr="00A02FFC">
        <w:rPr>
          <w:rFonts w:ascii="Calibri" w:hAnsi="Calibri" w:cs="Calibri"/>
          <w:color w:val="auto"/>
          <w:sz w:val="22"/>
          <w:szCs w:val="22"/>
        </w:rPr>
        <w:t xml:space="preserve"> </w:t>
      </w:r>
      <w:r>
        <w:rPr>
          <w:rFonts w:ascii="Calibri" w:hAnsi="Calibri" w:cs="Calibri"/>
          <w:color w:val="auto"/>
          <w:sz w:val="22"/>
          <w:szCs w:val="22"/>
        </w:rPr>
        <w:t>therefor</w:t>
      </w:r>
      <w:r w:rsidRPr="00A02FFC">
        <w:rPr>
          <w:rFonts w:ascii="Calibri" w:hAnsi="Calibri" w:cs="Calibri"/>
          <w:color w:val="auto"/>
          <w:sz w:val="22"/>
          <w:szCs w:val="22"/>
        </w:rPr>
        <w:t xml:space="preserve"> there is no data from previous years with which to make comparisons or conclusions regarding trends.</w:t>
      </w:r>
    </w:p>
    <w:p w:rsidR="00A97D02" w:rsidRPr="00A02FFC" w:rsidRDefault="00A97D02" w:rsidP="00A97D02">
      <w:pPr>
        <w:pStyle w:val="Default"/>
        <w:spacing w:before="120"/>
        <w:rPr>
          <w:rFonts w:ascii="Calibri" w:hAnsi="Calibri" w:cs="Calibri"/>
          <w:color w:val="auto"/>
          <w:sz w:val="22"/>
          <w:szCs w:val="22"/>
        </w:rPr>
      </w:pPr>
      <w:r w:rsidRPr="00A02FFC">
        <w:rPr>
          <w:rFonts w:ascii="Calibri" w:hAnsi="Calibri" w:cs="Calibri"/>
          <w:color w:val="auto"/>
          <w:sz w:val="22"/>
          <w:szCs w:val="22"/>
        </w:rPr>
        <w:t xml:space="preserve">In 2010, 1039 students in the Northern Territory completed </w:t>
      </w:r>
      <w:r>
        <w:rPr>
          <w:rFonts w:ascii="Calibri" w:hAnsi="Calibri" w:cs="Calibri"/>
          <w:color w:val="auto"/>
          <w:sz w:val="22"/>
          <w:szCs w:val="22"/>
        </w:rPr>
        <w:t xml:space="preserve">the </w:t>
      </w:r>
      <w:proofErr w:type="spellStart"/>
      <w:r w:rsidRPr="00A02FFC">
        <w:rPr>
          <w:rFonts w:ascii="Calibri" w:hAnsi="Calibri" w:cs="Calibri"/>
          <w:color w:val="auto"/>
          <w:sz w:val="22"/>
          <w:szCs w:val="22"/>
        </w:rPr>
        <w:t>NTCE</w:t>
      </w:r>
      <w:proofErr w:type="spellEnd"/>
      <w:r w:rsidRPr="00A02FFC">
        <w:rPr>
          <w:rFonts w:ascii="Calibri" w:hAnsi="Calibri" w:cs="Calibri"/>
          <w:color w:val="auto"/>
          <w:sz w:val="22"/>
          <w:szCs w:val="22"/>
        </w:rPr>
        <w:t xml:space="preserve"> (plus 3 International Students who have returned home so were excluded from the survey).  The </w:t>
      </w:r>
      <w:r>
        <w:rPr>
          <w:rFonts w:ascii="Calibri" w:hAnsi="Calibri" w:cs="Calibri"/>
          <w:color w:val="auto"/>
          <w:sz w:val="22"/>
          <w:szCs w:val="22"/>
        </w:rPr>
        <w:t>response rate to the survey was approximately 30 per cent.</w:t>
      </w:r>
    </w:p>
    <w:p w:rsidR="00A97D02" w:rsidRPr="00A02FFC"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D</w:t>
      </w:r>
      <w:r w:rsidRPr="00A02FFC">
        <w:rPr>
          <w:rFonts w:ascii="Calibri" w:hAnsi="Calibri" w:cs="Calibri"/>
          <w:color w:val="auto"/>
          <w:sz w:val="22"/>
          <w:szCs w:val="22"/>
        </w:rPr>
        <w:t>ata</w:t>
      </w:r>
      <w:r>
        <w:rPr>
          <w:rFonts w:ascii="Calibri" w:hAnsi="Calibri" w:cs="Calibri"/>
          <w:color w:val="auto"/>
          <w:sz w:val="22"/>
          <w:szCs w:val="22"/>
        </w:rPr>
        <w:t xml:space="preserve"> indicated that:</w:t>
      </w:r>
      <w:r w:rsidRPr="00A02FFC">
        <w:rPr>
          <w:rFonts w:ascii="Calibri" w:hAnsi="Calibri" w:cs="Calibri"/>
          <w:color w:val="auto"/>
          <w:sz w:val="22"/>
          <w:szCs w:val="22"/>
        </w:rPr>
        <w:t xml:space="preserve"> </w:t>
      </w:r>
    </w:p>
    <w:p w:rsidR="00A97D02" w:rsidRPr="00A02FFC" w:rsidRDefault="00A97D02" w:rsidP="00A97D02">
      <w:pPr>
        <w:pStyle w:val="Default"/>
        <w:widowControl w:val="0"/>
        <w:numPr>
          <w:ilvl w:val="0"/>
          <w:numId w:val="11"/>
        </w:numPr>
        <w:spacing w:before="120"/>
        <w:jc w:val="both"/>
        <w:textAlignment w:val="baseline"/>
        <w:rPr>
          <w:rFonts w:ascii="Calibri" w:hAnsi="Calibri" w:cs="Calibri"/>
          <w:color w:val="auto"/>
          <w:sz w:val="22"/>
          <w:szCs w:val="22"/>
        </w:rPr>
      </w:pPr>
      <w:r>
        <w:rPr>
          <w:rFonts w:ascii="Calibri" w:hAnsi="Calibri" w:cs="Calibri"/>
          <w:color w:val="auto"/>
          <w:sz w:val="22"/>
          <w:szCs w:val="22"/>
        </w:rPr>
        <w:t>62 per cent</w:t>
      </w:r>
      <w:r w:rsidRPr="00A02FFC">
        <w:rPr>
          <w:rFonts w:ascii="Calibri" w:hAnsi="Calibri" w:cs="Calibri"/>
          <w:color w:val="auto"/>
          <w:sz w:val="22"/>
          <w:szCs w:val="22"/>
        </w:rPr>
        <w:t xml:space="preserve"> </w:t>
      </w:r>
      <w:r>
        <w:rPr>
          <w:rFonts w:ascii="Calibri" w:hAnsi="Calibri" w:cs="Calibri"/>
          <w:color w:val="auto"/>
          <w:sz w:val="22"/>
          <w:szCs w:val="22"/>
        </w:rPr>
        <w:t>of respondents moved into employment; of the</w:t>
      </w:r>
      <w:r w:rsidRPr="00A02FFC">
        <w:rPr>
          <w:rFonts w:ascii="Calibri" w:hAnsi="Calibri" w:cs="Calibri"/>
          <w:color w:val="auto"/>
          <w:sz w:val="22"/>
          <w:szCs w:val="22"/>
        </w:rPr>
        <w:t>s</w:t>
      </w:r>
      <w:r>
        <w:rPr>
          <w:rFonts w:ascii="Calibri" w:hAnsi="Calibri" w:cs="Calibri"/>
          <w:color w:val="auto"/>
          <w:sz w:val="22"/>
          <w:szCs w:val="22"/>
        </w:rPr>
        <w:t>e</w:t>
      </w:r>
      <w:r w:rsidRPr="00A02FFC">
        <w:rPr>
          <w:rFonts w:ascii="Calibri" w:hAnsi="Calibri" w:cs="Calibri"/>
          <w:color w:val="auto"/>
          <w:sz w:val="22"/>
          <w:szCs w:val="22"/>
        </w:rPr>
        <w:t xml:space="preserve"> 40</w:t>
      </w:r>
      <w:r>
        <w:rPr>
          <w:rFonts w:ascii="Calibri" w:hAnsi="Calibri" w:cs="Calibri"/>
          <w:color w:val="auto"/>
          <w:sz w:val="22"/>
          <w:szCs w:val="22"/>
        </w:rPr>
        <w:t xml:space="preserve"> per cent</w:t>
      </w:r>
      <w:r w:rsidRPr="00A02FFC">
        <w:rPr>
          <w:rFonts w:ascii="Calibri" w:hAnsi="Calibri" w:cs="Calibri"/>
          <w:color w:val="auto"/>
          <w:sz w:val="22"/>
          <w:szCs w:val="22"/>
        </w:rPr>
        <w:t xml:space="preserve"> </w:t>
      </w:r>
      <w:r>
        <w:rPr>
          <w:rFonts w:ascii="Calibri" w:hAnsi="Calibri" w:cs="Calibri"/>
          <w:color w:val="auto"/>
          <w:sz w:val="22"/>
          <w:szCs w:val="22"/>
        </w:rPr>
        <w:t xml:space="preserve">were in </w:t>
      </w:r>
      <w:r w:rsidRPr="00A02FFC">
        <w:rPr>
          <w:rFonts w:ascii="Calibri" w:hAnsi="Calibri" w:cs="Calibri"/>
          <w:color w:val="auto"/>
          <w:sz w:val="22"/>
          <w:szCs w:val="22"/>
        </w:rPr>
        <w:t>full time</w:t>
      </w:r>
      <w:r>
        <w:rPr>
          <w:rFonts w:ascii="Calibri" w:hAnsi="Calibri" w:cs="Calibri"/>
          <w:color w:val="auto"/>
          <w:sz w:val="22"/>
          <w:szCs w:val="22"/>
        </w:rPr>
        <w:t xml:space="preserve"> employment, 27 per cent in</w:t>
      </w:r>
      <w:r w:rsidRPr="00A02FFC">
        <w:rPr>
          <w:rFonts w:ascii="Calibri" w:hAnsi="Calibri" w:cs="Calibri"/>
          <w:color w:val="auto"/>
          <w:sz w:val="22"/>
          <w:szCs w:val="22"/>
        </w:rPr>
        <w:t xml:space="preserve"> part time </w:t>
      </w:r>
      <w:r>
        <w:rPr>
          <w:rFonts w:ascii="Calibri" w:hAnsi="Calibri" w:cs="Calibri"/>
          <w:color w:val="auto"/>
          <w:sz w:val="22"/>
          <w:szCs w:val="22"/>
        </w:rPr>
        <w:t>employment and 33 per cent in</w:t>
      </w:r>
      <w:r w:rsidRPr="00A02FFC">
        <w:rPr>
          <w:rFonts w:ascii="Calibri" w:hAnsi="Calibri" w:cs="Calibri"/>
          <w:color w:val="auto"/>
          <w:sz w:val="22"/>
          <w:szCs w:val="22"/>
        </w:rPr>
        <w:t xml:space="preserve"> casual employment. The main areas of emplo</w:t>
      </w:r>
      <w:r>
        <w:rPr>
          <w:rFonts w:ascii="Calibri" w:hAnsi="Calibri" w:cs="Calibri"/>
          <w:color w:val="auto"/>
          <w:sz w:val="22"/>
          <w:szCs w:val="22"/>
        </w:rPr>
        <w:t>yment are retail</w:t>
      </w:r>
      <w:r w:rsidRPr="00A02FFC">
        <w:rPr>
          <w:rFonts w:ascii="Calibri" w:hAnsi="Calibri" w:cs="Calibri"/>
          <w:color w:val="auto"/>
          <w:sz w:val="22"/>
          <w:szCs w:val="22"/>
        </w:rPr>
        <w:t xml:space="preserve"> </w:t>
      </w:r>
      <w:r>
        <w:rPr>
          <w:rFonts w:ascii="Calibri" w:hAnsi="Calibri" w:cs="Calibri"/>
          <w:color w:val="auto"/>
          <w:sz w:val="22"/>
          <w:szCs w:val="22"/>
        </w:rPr>
        <w:t>(24 per cent),</w:t>
      </w:r>
      <w:r w:rsidRPr="00A02FFC">
        <w:rPr>
          <w:rFonts w:ascii="Calibri" w:hAnsi="Calibri" w:cs="Calibri"/>
          <w:color w:val="auto"/>
          <w:sz w:val="22"/>
          <w:szCs w:val="22"/>
        </w:rPr>
        <w:t xml:space="preserve"> </w:t>
      </w:r>
      <w:r>
        <w:rPr>
          <w:rFonts w:ascii="Calibri" w:hAnsi="Calibri" w:cs="Calibri"/>
          <w:color w:val="auto"/>
          <w:sz w:val="22"/>
          <w:szCs w:val="22"/>
        </w:rPr>
        <w:t>h</w:t>
      </w:r>
      <w:r w:rsidRPr="00A02FFC">
        <w:rPr>
          <w:rFonts w:ascii="Calibri" w:hAnsi="Calibri" w:cs="Calibri"/>
          <w:color w:val="auto"/>
          <w:sz w:val="22"/>
          <w:szCs w:val="22"/>
        </w:rPr>
        <w:t xml:space="preserve">ospitality </w:t>
      </w:r>
      <w:r>
        <w:rPr>
          <w:rFonts w:ascii="Calibri" w:hAnsi="Calibri" w:cs="Calibri"/>
          <w:color w:val="auto"/>
          <w:sz w:val="22"/>
          <w:szCs w:val="22"/>
        </w:rPr>
        <w:t>(</w:t>
      </w:r>
      <w:r w:rsidRPr="00A02FFC">
        <w:rPr>
          <w:rFonts w:ascii="Calibri" w:hAnsi="Calibri" w:cs="Calibri"/>
          <w:color w:val="auto"/>
          <w:sz w:val="22"/>
          <w:szCs w:val="22"/>
        </w:rPr>
        <w:t>17</w:t>
      </w:r>
      <w:r>
        <w:rPr>
          <w:rFonts w:ascii="Calibri" w:hAnsi="Calibri" w:cs="Calibri"/>
          <w:color w:val="auto"/>
          <w:sz w:val="22"/>
          <w:szCs w:val="22"/>
        </w:rPr>
        <w:t xml:space="preserve"> per cent)</w:t>
      </w:r>
      <w:r w:rsidRPr="00A02FFC">
        <w:rPr>
          <w:rFonts w:ascii="Calibri" w:hAnsi="Calibri" w:cs="Calibri"/>
          <w:color w:val="auto"/>
          <w:sz w:val="22"/>
          <w:szCs w:val="22"/>
        </w:rPr>
        <w:t xml:space="preserve"> and </w:t>
      </w:r>
      <w:r>
        <w:rPr>
          <w:rFonts w:ascii="Calibri" w:hAnsi="Calibri" w:cs="Calibri"/>
          <w:color w:val="auto"/>
          <w:sz w:val="22"/>
          <w:szCs w:val="22"/>
        </w:rPr>
        <w:t>c</w:t>
      </w:r>
      <w:r w:rsidRPr="00A02FFC">
        <w:rPr>
          <w:rFonts w:ascii="Calibri" w:hAnsi="Calibri" w:cs="Calibri"/>
          <w:color w:val="auto"/>
          <w:sz w:val="22"/>
          <w:szCs w:val="22"/>
        </w:rPr>
        <w:t>lerical</w:t>
      </w:r>
      <w:r>
        <w:rPr>
          <w:rFonts w:ascii="Calibri" w:hAnsi="Calibri" w:cs="Calibri"/>
          <w:color w:val="auto"/>
          <w:sz w:val="22"/>
          <w:szCs w:val="22"/>
        </w:rPr>
        <w:t>/administration (</w:t>
      </w:r>
      <w:r w:rsidRPr="00A02FFC">
        <w:rPr>
          <w:rFonts w:ascii="Calibri" w:hAnsi="Calibri" w:cs="Calibri"/>
          <w:color w:val="auto"/>
          <w:sz w:val="22"/>
          <w:szCs w:val="22"/>
        </w:rPr>
        <w:t>15</w:t>
      </w:r>
      <w:r>
        <w:rPr>
          <w:rFonts w:ascii="Calibri" w:hAnsi="Calibri" w:cs="Calibri"/>
          <w:color w:val="auto"/>
          <w:sz w:val="22"/>
          <w:szCs w:val="22"/>
        </w:rPr>
        <w:t xml:space="preserve"> per cent)</w:t>
      </w:r>
      <w:r w:rsidRPr="00A02FFC">
        <w:rPr>
          <w:rFonts w:ascii="Calibri" w:hAnsi="Calibri" w:cs="Calibri"/>
          <w:color w:val="auto"/>
          <w:sz w:val="22"/>
          <w:szCs w:val="22"/>
        </w:rPr>
        <w:t>.</w:t>
      </w:r>
    </w:p>
    <w:p w:rsidR="00A97D02" w:rsidRPr="00A02FFC" w:rsidRDefault="00A97D02" w:rsidP="00A97D02">
      <w:pPr>
        <w:pStyle w:val="Default"/>
        <w:widowControl w:val="0"/>
        <w:numPr>
          <w:ilvl w:val="0"/>
          <w:numId w:val="11"/>
        </w:numPr>
        <w:spacing w:before="120"/>
        <w:jc w:val="both"/>
        <w:textAlignment w:val="baseline"/>
        <w:rPr>
          <w:rFonts w:ascii="Calibri" w:hAnsi="Calibri" w:cs="Calibri"/>
          <w:color w:val="auto"/>
          <w:sz w:val="22"/>
          <w:szCs w:val="22"/>
        </w:rPr>
      </w:pPr>
      <w:r>
        <w:rPr>
          <w:rFonts w:ascii="Calibri" w:hAnsi="Calibri" w:cs="Calibri"/>
          <w:color w:val="auto"/>
          <w:sz w:val="22"/>
          <w:szCs w:val="22"/>
        </w:rPr>
        <w:t>47 per cent of the respondents are doing further study. O</w:t>
      </w:r>
      <w:r w:rsidRPr="00A02FFC">
        <w:rPr>
          <w:rFonts w:ascii="Calibri" w:hAnsi="Calibri" w:cs="Calibri"/>
          <w:color w:val="auto"/>
          <w:sz w:val="22"/>
          <w:szCs w:val="22"/>
        </w:rPr>
        <w:t>f th</w:t>
      </w:r>
      <w:r>
        <w:rPr>
          <w:rFonts w:ascii="Calibri" w:hAnsi="Calibri" w:cs="Calibri"/>
          <w:color w:val="auto"/>
          <w:sz w:val="22"/>
          <w:szCs w:val="22"/>
        </w:rPr>
        <w:t>e</w:t>
      </w:r>
      <w:r w:rsidRPr="00A02FFC">
        <w:rPr>
          <w:rFonts w:ascii="Calibri" w:hAnsi="Calibri" w:cs="Calibri"/>
          <w:color w:val="auto"/>
          <w:sz w:val="22"/>
          <w:szCs w:val="22"/>
        </w:rPr>
        <w:t>s</w:t>
      </w:r>
      <w:r>
        <w:rPr>
          <w:rFonts w:ascii="Calibri" w:hAnsi="Calibri" w:cs="Calibri"/>
          <w:color w:val="auto"/>
          <w:sz w:val="22"/>
          <w:szCs w:val="22"/>
        </w:rPr>
        <w:t>e 82 per cent are studying full time and 18 per cent</w:t>
      </w:r>
      <w:r w:rsidRPr="00A02FFC">
        <w:rPr>
          <w:rFonts w:ascii="Calibri" w:hAnsi="Calibri" w:cs="Calibri"/>
          <w:color w:val="auto"/>
          <w:sz w:val="22"/>
          <w:szCs w:val="22"/>
        </w:rPr>
        <w:t xml:space="preserve"> </w:t>
      </w:r>
      <w:r>
        <w:rPr>
          <w:rFonts w:ascii="Calibri" w:hAnsi="Calibri" w:cs="Calibri"/>
          <w:color w:val="auto"/>
          <w:sz w:val="22"/>
          <w:szCs w:val="22"/>
        </w:rPr>
        <w:t xml:space="preserve">are </w:t>
      </w:r>
      <w:r w:rsidRPr="00A02FFC">
        <w:rPr>
          <w:rFonts w:ascii="Calibri" w:hAnsi="Calibri" w:cs="Calibri"/>
          <w:color w:val="auto"/>
          <w:sz w:val="22"/>
          <w:szCs w:val="22"/>
        </w:rPr>
        <w:t>in</w:t>
      </w:r>
      <w:r>
        <w:rPr>
          <w:rFonts w:ascii="Calibri" w:hAnsi="Calibri" w:cs="Calibri"/>
          <w:color w:val="auto"/>
          <w:sz w:val="22"/>
          <w:szCs w:val="22"/>
        </w:rPr>
        <w:t xml:space="preserve"> part time s</w:t>
      </w:r>
      <w:r w:rsidRPr="00A02FFC">
        <w:rPr>
          <w:rFonts w:ascii="Calibri" w:hAnsi="Calibri" w:cs="Calibri"/>
          <w:color w:val="auto"/>
          <w:sz w:val="22"/>
          <w:szCs w:val="22"/>
        </w:rPr>
        <w:t xml:space="preserve">tudy. </w:t>
      </w:r>
      <w:r>
        <w:rPr>
          <w:rFonts w:ascii="Calibri" w:hAnsi="Calibri" w:cs="Calibri"/>
          <w:color w:val="auto"/>
          <w:sz w:val="22"/>
          <w:szCs w:val="22"/>
        </w:rPr>
        <w:t>S</w:t>
      </w:r>
      <w:r w:rsidRPr="00A02FFC">
        <w:rPr>
          <w:rFonts w:ascii="Calibri" w:hAnsi="Calibri" w:cs="Calibri"/>
          <w:color w:val="auto"/>
          <w:sz w:val="22"/>
          <w:szCs w:val="22"/>
        </w:rPr>
        <w:t>ome responde</w:t>
      </w:r>
      <w:r>
        <w:rPr>
          <w:rFonts w:ascii="Calibri" w:hAnsi="Calibri" w:cs="Calibri"/>
          <w:color w:val="auto"/>
          <w:sz w:val="22"/>
          <w:szCs w:val="22"/>
        </w:rPr>
        <w:t>nts are doing a combination of</w:t>
      </w:r>
      <w:r w:rsidRPr="00A02FFC">
        <w:rPr>
          <w:rFonts w:ascii="Calibri" w:hAnsi="Calibri" w:cs="Calibri"/>
          <w:color w:val="auto"/>
          <w:sz w:val="22"/>
          <w:szCs w:val="22"/>
        </w:rPr>
        <w:t xml:space="preserve"> work and study.</w:t>
      </w:r>
    </w:p>
    <w:p w:rsidR="00A97D02" w:rsidRPr="00A02FFC" w:rsidRDefault="00A97D02" w:rsidP="00A97D02">
      <w:pPr>
        <w:pStyle w:val="Default"/>
        <w:widowControl w:val="0"/>
        <w:numPr>
          <w:ilvl w:val="0"/>
          <w:numId w:val="11"/>
        </w:numPr>
        <w:spacing w:before="120"/>
        <w:jc w:val="both"/>
        <w:textAlignment w:val="baseline"/>
        <w:rPr>
          <w:rFonts w:ascii="Calibri" w:hAnsi="Calibri" w:cs="Calibri"/>
          <w:color w:val="auto"/>
          <w:sz w:val="22"/>
          <w:szCs w:val="22"/>
        </w:rPr>
      </w:pPr>
      <w:r w:rsidRPr="00A02FFC">
        <w:rPr>
          <w:rFonts w:ascii="Calibri" w:hAnsi="Calibri" w:cs="Calibri"/>
          <w:color w:val="auto"/>
          <w:sz w:val="22"/>
          <w:szCs w:val="22"/>
        </w:rPr>
        <w:t xml:space="preserve">The main areas of further study are Medicine and Health </w:t>
      </w:r>
      <w:r>
        <w:rPr>
          <w:rFonts w:ascii="Calibri" w:hAnsi="Calibri" w:cs="Calibri"/>
          <w:color w:val="auto"/>
          <w:sz w:val="22"/>
          <w:szCs w:val="22"/>
        </w:rPr>
        <w:t>(</w:t>
      </w:r>
      <w:r w:rsidRPr="00A02FFC">
        <w:rPr>
          <w:rFonts w:ascii="Calibri" w:hAnsi="Calibri" w:cs="Calibri"/>
          <w:color w:val="auto"/>
          <w:sz w:val="22"/>
          <w:szCs w:val="22"/>
        </w:rPr>
        <w:t>23</w:t>
      </w:r>
      <w:r>
        <w:rPr>
          <w:rFonts w:ascii="Calibri" w:hAnsi="Calibri" w:cs="Calibri"/>
          <w:color w:val="auto"/>
          <w:sz w:val="22"/>
          <w:szCs w:val="22"/>
        </w:rPr>
        <w:t xml:space="preserve"> per cent)</w:t>
      </w:r>
      <w:r w:rsidRPr="00A02FFC">
        <w:rPr>
          <w:rFonts w:ascii="Calibri" w:hAnsi="Calibri" w:cs="Calibri"/>
          <w:color w:val="auto"/>
          <w:sz w:val="22"/>
          <w:szCs w:val="22"/>
        </w:rPr>
        <w:t xml:space="preserve">, Education </w:t>
      </w:r>
      <w:r>
        <w:rPr>
          <w:rFonts w:ascii="Calibri" w:hAnsi="Calibri" w:cs="Calibri"/>
          <w:color w:val="auto"/>
          <w:sz w:val="22"/>
          <w:szCs w:val="22"/>
        </w:rPr>
        <w:t>(</w:t>
      </w:r>
      <w:r w:rsidRPr="00A02FFC">
        <w:rPr>
          <w:rFonts w:ascii="Calibri" w:hAnsi="Calibri" w:cs="Calibri"/>
          <w:color w:val="auto"/>
          <w:sz w:val="22"/>
          <w:szCs w:val="22"/>
        </w:rPr>
        <w:t>15</w:t>
      </w:r>
      <w:r>
        <w:rPr>
          <w:rFonts w:ascii="Calibri" w:hAnsi="Calibri" w:cs="Calibri"/>
          <w:color w:val="auto"/>
          <w:sz w:val="22"/>
          <w:szCs w:val="22"/>
        </w:rPr>
        <w:t xml:space="preserve"> per cent)</w:t>
      </w:r>
      <w:r w:rsidRPr="00A02FFC">
        <w:rPr>
          <w:rFonts w:ascii="Calibri" w:hAnsi="Calibri" w:cs="Calibri"/>
          <w:color w:val="auto"/>
          <w:sz w:val="22"/>
          <w:szCs w:val="22"/>
        </w:rPr>
        <w:t xml:space="preserve">, Business and Economics </w:t>
      </w:r>
      <w:r>
        <w:rPr>
          <w:rFonts w:ascii="Calibri" w:hAnsi="Calibri" w:cs="Calibri"/>
          <w:color w:val="auto"/>
          <w:sz w:val="22"/>
          <w:szCs w:val="22"/>
        </w:rPr>
        <w:t>(</w:t>
      </w:r>
      <w:r w:rsidRPr="00A02FFC">
        <w:rPr>
          <w:rFonts w:ascii="Calibri" w:hAnsi="Calibri" w:cs="Calibri"/>
          <w:color w:val="auto"/>
          <w:sz w:val="22"/>
          <w:szCs w:val="22"/>
        </w:rPr>
        <w:t>12</w:t>
      </w:r>
      <w:r>
        <w:rPr>
          <w:rFonts w:ascii="Calibri" w:hAnsi="Calibri" w:cs="Calibri"/>
          <w:color w:val="auto"/>
          <w:sz w:val="22"/>
          <w:szCs w:val="22"/>
        </w:rPr>
        <w:t xml:space="preserve"> per cent)</w:t>
      </w:r>
      <w:r w:rsidRPr="00A02FFC">
        <w:rPr>
          <w:rFonts w:ascii="Calibri" w:hAnsi="Calibri" w:cs="Calibri"/>
          <w:color w:val="auto"/>
          <w:sz w:val="22"/>
          <w:szCs w:val="22"/>
        </w:rPr>
        <w:t>,</w:t>
      </w:r>
      <w:r>
        <w:rPr>
          <w:rFonts w:ascii="Calibri" w:hAnsi="Calibri" w:cs="Calibri"/>
          <w:color w:val="auto"/>
          <w:sz w:val="22"/>
          <w:szCs w:val="22"/>
        </w:rPr>
        <w:t xml:space="preserve"> and Computing</w:t>
      </w:r>
      <w:r w:rsidRPr="00A02FFC">
        <w:rPr>
          <w:rFonts w:ascii="Calibri" w:hAnsi="Calibri" w:cs="Calibri"/>
          <w:color w:val="auto"/>
          <w:sz w:val="22"/>
          <w:szCs w:val="22"/>
        </w:rPr>
        <w:t xml:space="preserve"> Studies </w:t>
      </w:r>
      <w:r>
        <w:rPr>
          <w:rFonts w:ascii="Calibri" w:hAnsi="Calibri" w:cs="Calibri"/>
          <w:color w:val="auto"/>
          <w:sz w:val="22"/>
          <w:szCs w:val="22"/>
        </w:rPr>
        <w:t>(</w:t>
      </w:r>
      <w:r w:rsidRPr="00A02FFC">
        <w:rPr>
          <w:rFonts w:ascii="Calibri" w:hAnsi="Calibri" w:cs="Calibri"/>
          <w:color w:val="auto"/>
          <w:sz w:val="22"/>
          <w:szCs w:val="22"/>
        </w:rPr>
        <w:t>10</w:t>
      </w:r>
      <w:r>
        <w:rPr>
          <w:rFonts w:ascii="Calibri" w:hAnsi="Calibri" w:cs="Calibri"/>
          <w:color w:val="auto"/>
          <w:sz w:val="22"/>
          <w:szCs w:val="22"/>
        </w:rPr>
        <w:t xml:space="preserve"> per cent)</w:t>
      </w:r>
      <w:r w:rsidRPr="00A02FFC">
        <w:rPr>
          <w:rFonts w:ascii="Calibri" w:hAnsi="Calibri" w:cs="Calibri"/>
          <w:color w:val="auto"/>
          <w:sz w:val="22"/>
          <w:szCs w:val="22"/>
        </w:rPr>
        <w:t>.</w:t>
      </w:r>
    </w:p>
    <w:p w:rsidR="00816862" w:rsidRDefault="00A97D02" w:rsidP="00A97D02">
      <w:pPr>
        <w:pStyle w:val="Default"/>
        <w:widowControl w:val="0"/>
        <w:numPr>
          <w:ilvl w:val="0"/>
          <w:numId w:val="11"/>
        </w:numPr>
        <w:spacing w:before="120"/>
        <w:jc w:val="both"/>
        <w:textAlignment w:val="baseline"/>
        <w:rPr>
          <w:rFonts w:ascii="Calibri" w:hAnsi="Calibri" w:cs="Calibri"/>
          <w:color w:val="auto"/>
          <w:sz w:val="22"/>
          <w:szCs w:val="22"/>
        </w:rPr>
      </w:pPr>
      <w:r w:rsidRPr="00816862">
        <w:rPr>
          <w:rFonts w:ascii="Calibri" w:hAnsi="Calibri" w:cs="Calibri"/>
          <w:color w:val="auto"/>
          <w:sz w:val="22"/>
          <w:szCs w:val="22"/>
        </w:rPr>
        <w:t>64 per cent of the respondents remained in the Northern Territory and 36 per cent went interstate for further study.</w:t>
      </w:r>
    </w:p>
    <w:p w:rsidR="00A97D02" w:rsidRDefault="00A97D02" w:rsidP="00A97D02">
      <w:pPr>
        <w:pStyle w:val="Default"/>
        <w:widowControl w:val="0"/>
        <w:numPr>
          <w:ilvl w:val="0"/>
          <w:numId w:val="11"/>
        </w:numPr>
        <w:spacing w:before="120"/>
        <w:jc w:val="both"/>
        <w:textAlignment w:val="baseline"/>
        <w:rPr>
          <w:rFonts w:ascii="Calibri" w:hAnsi="Calibri" w:cs="Calibri"/>
          <w:color w:val="auto"/>
          <w:sz w:val="22"/>
          <w:szCs w:val="22"/>
        </w:rPr>
      </w:pPr>
      <w:r w:rsidRPr="00816862">
        <w:rPr>
          <w:rFonts w:ascii="Calibri" w:hAnsi="Calibri" w:cs="Calibri"/>
          <w:color w:val="auto"/>
          <w:sz w:val="22"/>
          <w:szCs w:val="22"/>
        </w:rPr>
        <w:t xml:space="preserve">The respondents to this year’s survey will also be followed up as part of the 2012 destination survey. </w:t>
      </w:r>
    </w:p>
    <w:p w:rsidR="00A97D02" w:rsidRPr="001F7BDA" w:rsidRDefault="00A97D02" w:rsidP="00A97D02">
      <w:pPr>
        <w:pStyle w:val="Default"/>
        <w:widowControl w:val="0"/>
        <w:numPr>
          <w:ilvl w:val="0"/>
          <w:numId w:val="12"/>
        </w:numPr>
        <w:spacing w:before="120"/>
        <w:jc w:val="both"/>
        <w:textAlignment w:val="baseline"/>
        <w:rPr>
          <w:rFonts w:asciiTheme="minorHAnsi" w:hAnsiTheme="minorHAnsi" w:cstheme="minorHAnsi"/>
          <w:b/>
          <w:i/>
          <w:color w:val="auto"/>
          <w:sz w:val="22"/>
          <w:szCs w:val="22"/>
        </w:rPr>
      </w:pPr>
      <w:r>
        <w:rPr>
          <w:rFonts w:asciiTheme="minorHAnsi" w:hAnsiTheme="minorHAnsi" w:cstheme="minorHAnsi"/>
          <w:b/>
          <w:i/>
          <w:color w:val="auto"/>
          <w:sz w:val="22"/>
          <w:szCs w:val="22"/>
        </w:rPr>
        <w:t>The VET in Schools Team</w:t>
      </w:r>
    </w:p>
    <w:p w:rsidR="00A97D02" w:rsidRDefault="00A97D02" w:rsidP="00A97D02">
      <w:pPr>
        <w:pStyle w:val="Default"/>
        <w:spacing w:before="120"/>
        <w:rPr>
          <w:rFonts w:ascii="Calibri" w:hAnsi="Calibri" w:cs="Calibri"/>
          <w:color w:val="auto"/>
          <w:sz w:val="22"/>
          <w:szCs w:val="22"/>
        </w:rPr>
      </w:pPr>
      <w:r>
        <w:rPr>
          <w:rFonts w:ascii="Calibri" w:hAnsi="Calibri" w:cs="Calibri"/>
          <w:color w:val="auto"/>
          <w:sz w:val="22"/>
          <w:szCs w:val="22"/>
        </w:rPr>
        <w:t>As well as coordinating VET in Schools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and the targeting and allocation of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funding across the NT, t</w:t>
      </w:r>
      <w:r w:rsidRPr="00A27DFD">
        <w:rPr>
          <w:rFonts w:ascii="Calibri" w:hAnsi="Calibri" w:cs="Calibri"/>
          <w:color w:val="auto"/>
          <w:sz w:val="22"/>
          <w:szCs w:val="22"/>
        </w:rPr>
        <w:t xml:space="preserve">he VET in Schools Team is responsible for </w:t>
      </w:r>
      <w:r>
        <w:rPr>
          <w:rFonts w:ascii="Calibri" w:hAnsi="Calibri" w:cs="Calibri"/>
          <w:color w:val="auto"/>
          <w:sz w:val="22"/>
          <w:szCs w:val="22"/>
        </w:rPr>
        <w:t xml:space="preserve">the implementation of the NT’s Maximising </w:t>
      </w:r>
      <w:r w:rsidRPr="00A27DFD">
        <w:rPr>
          <w:rFonts w:ascii="Calibri" w:hAnsi="Calibri" w:cs="Calibri"/>
          <w:color w:val="auto"/>
          <w:sz w:val="22"/>
          <w:szCs w:val="22"/>
        </w:rPr>
        <w:t xml:space="preserve">Engagement, Attainment and Successful </w:t>
      </w:r>
      <w:r w:rsidRPr="00A27DFD">
        <w:rPr>
          <w:rFonts w:ascii="Calibri" w:hAnsi="Calibri" w:cs="Calibri"/>
          <w:color w:val="auto"/>
          <w:sz w:val="22"/>
          <w:szCs w:val="22"/>
        </w:rPr>
        <w:lastRenderedPageBreak/>
        <w:t>Transitions (</w:t>
      </w:r>
      <w:proofErr w:type="spellStart"/>
      <w:r w:rsidRPr="00A27DFD">
        <w:rPr>
          <w:rFonts w:ascii="Calibri" w:hAnsi="Calibri" w:cs="Calibri"/>
          <w:color w:val="auto"/>
          <w:sz w:val="22"/>
          <w:szCs w:val="22"/>
        </w:rPr>
        <w:t>MEAST</w:t>
      </w:r>
      <w:proofErr w:type="spellEnd"/>
      <w:r w:rsidRPr="00A27DFD">
        <w:rPr>
          <w:rFonts w:ascii="Calibri" w:hAnsi="Calibri" w:cs="Calibri"/>
          <w:color w:val="auto"/>
          <w:sz w:val="22"/>
          <w:szCs w:val="22"/>
        </w:rPr>
        <w:t>)</w:t>
      </w:r>
      <w:r>
        <w:rPr>
          <w:rFonts w:ascii="Calibri" w:hAnsi="Calibri" w:cs="Calibri"/>
          <w:color w:val="auto"/>
          <w:sz w:val="22"/>
          <w:szCs w:val="22"/>
        </w:rPr>
        <w:t xml:space="preserve"> initiative.  Through this initiative </w:t>
      </w:r>
      <w:proofErr w:type="spellStart"/>
      <w:r>
        <w:rPr>
          <w:rFonts w:ascii="Calibri" w:hAnsi="Calibri" w:cs="Calibri"/>
          <w:color w:val="auto"/>
          <w:sz w:val="22"/>
          <w:szCs w:val="22"/>
        </w:rPr>
        <w:t>DET</w:t>
      </w:r>
      <w:proofErr w:type="spellEnd"/>
      <w:r>
        <w:rPr>
          <w:rFonts w:ascii="Calibri" w:hAnsi="Calibri" w:cs="Calibri"/>
          <w:color w:val="auto"/>
          <w:sz w:val="22"/>
          <w:szCs w:val="22"/>
        </w:rPr>
        <w:t xml:space="preserve"> employs officers who coordinate structured workplace learning opportunities for VET in Schools students across all education sectors.</w:t>
      </w:r>
    </w:p>
    <w:p w:rsidR="005D122D" w:rsidRPr="005D122D" w:rsidRDefault="005D122D" w:rsidP="005D122D">
      <w:pPr>
        <w:pStyle w:val="Default"/>
        <w:spacing w:before="120"/>
        <w:rPr>
          <w:rFonts w:asciiTheme="minorHAnsi" w:hAnsiTheme="minorHAnsi" w:cstheme="minorHAnsi"/>
          <w:b/>
          <w:color w:val="auto"/>
          <w:sz w:val="22"/>
          <w:szCs w:val="22"/>
        </w:rPr>
      </w:pPr>
      <w:bookmarkStart w:id="4" w:name="_Toc236478282"/>
      <w:bookmarkStart w:id="5" w:name="_Toc238012270"/>
      <w:bookmarkStart w:id="6" w:name="_Toc241052728"/>
      <w:r>
        <w:rPr>
          <w:rFonts w:asciiTheme="minorHAnsi" w:hAnsiTheme="minorHAnsi" w:cstheme="minorHAnsi"/>
          <w:b/>
          <w:color w:val="auto"/>
          <w:sz w:val="22"/>
          <w:szCs w:val="22"/>
        </w:rPr>
        <w:t xml:space="preserve">Performance against </w:t>
      </w:r>
      <w:r w:rsidRPr="005D122D">
        <w:rPr>
          <w:rFonts w:asciiTheme="minorHAnsi" w:hAnsiTheme="minorHAnsi" w:cstheme="minorHAnsi"/>
          <w:b/>
          <w:color w:val="auto"/>
          <w:sz w:val="22"/>
          <w:szCs w:val="22"/>
        </w:rPr>
        <w:t>Participation and Attainment Targets</w:t>
      </w:r>
      <w:bookmarkEnd w:id="4"/>
      <w:bookmarkEnd w:id="5"/>
      <w:bookmarkEnd w:id="6"/>
    </w:p>
    <w:p w:rsidR="005D122D" w:rsidRPr="005D122D" w:rsidRDefault="005D122D" w:rsidP="005D122D">
      <w:pPr>
        <w:pStyle w:val="Default"/>
        <w:spacing w:before="120"/>
        <w:rPr>
          <w:rFonts w:ascii="Calibri" w:hAnsi="Calibri" w:cs="Calibri"/>
          <w:color w:val="auto"/>
          <w:sz w:val="22"/>
          <w:szCs w:val="22"/>
        </w:rPr>
      </w:pPr>
      <w:r w:rsidRPr="005D122D">
        <w:rPr>
          <w:rFonts w:ascii="Calibri" w:hAnsi="Calibri" w:cs="Calibri"/>
          <w:color w:val="auto"/>
          <w:sz w:val="22"/>
          <w:szCs w:val="22"/>
        </w:rPr>
        <w:t xml:space="preserve">The following targets were agreed for the Northern Territory in the </w:t>
      </w:r>
      <w:r>
        <w:rPr>
          <w:rFonts w:ascii="Calibri" w:hAnsi="Calibri" w:cs="Calibri"/>
          <w:color w:val="auto"/>
          <w:sz w:val="22"/>
          <w:szCs w:val="22"/>
        </w:rPr>
        <w:t xml:space="preserve">YAT </w:t>
      </w:r>
      <w:r w:rsidRPr="005D122D">
        <w:rPr>
          <w:rFonts w:ascii="Calibri" w:hAnsi="Calibri" w:cs="Calibri"/>
          <w:color w:val="auto"/>
          <w:sz w:val="22"/>
          <w:szCs w:val="22"/>
        </w:rPr>
        <w:t xml:space="preserve">National Partnership </w:t>
      </w:r>
      <w:r>
        <w:rPr>
          <w:rFonts w:ascii="Calibri" w:hAnsi="Calibri" w:cs="Calibri"/>
          <w:color w:val="auto"/>
          <w:sz w:val="22"/>
          <w:szCs w:val="22"/>
        </w:rPr>
        <w:t>Agreement</w:t>
      </w:r>
      <w:r w:rsidRPr="005D122D">
        <w:rPr>
          <w:rFonts w:ascii="Calibri" w:hAnsi="Calibri" w:cs="Calibri"/>
          <w:color w:val="auto"/>
          <w:sz w:val="22"/>
          <w:szCs w:val="22"/>
        </w:rPr>
        <w:t>:</w:t>
      </w:r>
    </w:p>
    <w:p w:rsidR="005D122D" w:rsidRDefault="005D122D" w:rsidP="005D122D">
      <w:pPr>
        <w:numPr>
          <w:ilvl w:val="0"/>
          <w:numId w:val="39"/>
        </w:numPr>
        <w:spacing w:line="240" w:lineRule="auto"/>
        <w:rPr>
          <w:bCs/>
          <w:iCs/>
        </w:rPr>
      </w:pPr>
      <w:proofErr w:type="gramStart"/>
      <w:r>
        <w:rPr>
          <w:bCs/>
          <w:iCs/>
        </w:rPr>
        <w:t>f</w:t>
      </w:r>
      <w:r w:rsidRPr="00CE1972">
        <w:rPr>
          <w:bCs/>
          <w:iCs/>
        </w:rPr>
        <w:t>or</w:t>
      </w:r>
      <w:proofErr w:type="gramEnd"/>
      <w:r w:rsidRPr="00CE1972">
        <w:rPr>
          <w:bCs/>
          <w:iCs/>
        </w:rPr>
        <w:t xml:space="preserve"> 2010, the </w:t>
      </w:r>
      <w:r w:rsidRPr="0067782F">
        <w:rPr>
          <w:bCs/>
          <w:i/>
          <w:iCs/>
        </w:rPr>
        <w:t>participation target</w:t>
      </w:r>
      <w:r w:rsidRPr="00CE1972">
        <w:rPr>
          <w:bCs/>
          <w:iCs/>
        </w:rPr>
        <w:t xml:space="preserve"> will be 5,350</w:t>
      </w:r>
      <w:r>
        <w:rPr>
          <w:bCs/>
          <w:iCs/>
        </w:rPr>
        <w:t>, an</w:t>
      </w:r>
      <w:r w:rsidRPr="00CE1972">
        <w:rPr>
          <w:bCs/>
          <w:iCs/>
        </w:rPr>
        <w:t xml:space="preserve"> increase </w:t>
      </w:r>
      <w:r>
        <w:rPr>
          <w:bCs/>
          <w:iCs/>
        </w:rPr>
        <w:t xml:space="preserve">of 253 </w:t>
      </w:r>
      <w:r w:rsidRPr="00CE1972">
        <w:rPr>
          <w:bCs/>
          <w:iCs/>
        </w:rPr>
        <w:t xml:space="preserve">on </w:t>
      </w:r>
      <w:r>
        <w:rPr>
          <w:bCs/>
          <w:iCs/>
        </w:rPr>
        <w:t xml:space="preserve">the number of individuals participating in </w:t>
      </w:r>
      <w:r w:rsidRPr="00CE1972">
        <w:rPr>
          <w:bCs/>
          <w:iCs/>
        </w:rPr>
        <w:t>2008</w:t>
      </w:r>
      <w:r>
        <w:rPr>
          <w:bCs/>
          <w:iCs/>
        </w:rPr>
        <w:t>.;</w:t>
      </w:r>
      <w:r w:rsidRPr="00CE1972">
        <w:rPr>
          <w:bCs/>
          <w:iCs/>
        </w:rPr>
        <w:t xml:space="preserve"> </w:t>
      </w:r>
    </w:p>
    <w:p w:rsidR="005D122D" w:rsidRDefault="005D122D" w:rsidP="005D122D">
      <w:pPr>
        <w:numPr>
          <w:ilvl w:val="0"/>
          <w:numId w:val="39"/>
        </w:numPr>
        <w:spacing w:line="240" w:lineRule="auto"/>
        <w:rPr>
          <w:bCs/>
          <w:iCs/>
        </w:rPr>
      </w:pPr>
      <w:proofErr w:type="gramStart"/>
      <w:r>
        <w:rPr>
          <w:color w:val="000000"/>
        </w:rPr>
        <w:t>f</w:t>
      </w:r>
      <w:r w:rsidRPr="00A1794A">
        <w:rPr>
          <w:color w:val="000000"/>
        </w:rPr>
        <w:t>or</w:t>
      </w:r>
      <w:proofErr w:type="gramEnd"/>
      <w:r w:rsidRPr="00A1794A">
        <w:rPr>
          <w:color w:val="000000"/>
        </w:rPr>
        <w:t xml:space="preserve"> 2012, the </w:t>
      </w:r>
      <w:r w:rsidRPr="0067782F">
        <w:rPr>
          <w:i/>
          <w:color w:val="000000"/>
        </w:rPr>
        <w:t>attainment rate</w:t>
      </w:r>
      <w:r w:rsidRPr="00A1794A">
        <w:rPr>
          <w:color w:val="000000"/>
        </w:rPr>
        <w:t xml:space="preserve"> will be 68.35 per cent, </w:t>
      </w:r>
      <w:r>
        <w:rPr>
          <w:color w:val="000000"/>
        </w:rPr>
        <w:t>an</w:t>
      </w:r>
      <w:r w:rsidRPr="00A1794A">
        <w:rPr>
          <w:color w:val="000000"/>
        </w:rPr>
        <w:t xml:space="preserve"> increase </w:t>
      </w:r>
      <w:r>
        <w:rPr>
          <w:color w:val="000000"/>
        </w:rPr>
        <w:t xml:space="preserve">of </w:t>
      </w:r>
      <w:r w:rsidRPr="00A1794A">
        <w:rPr>
          <w:color w:val="000000"/>
        </w:rPr>
        <w:t>4.99 per cent from 2009</w:t>
      </w:r>
      <w:r>
        <w:rPr>
          <w:color w:val="000000"/>
        </w:rPr>
        <w:t>.  This equates to an increase of</w:t>
      </w:r>
      <w:r w:rsidRPr="00A1794A">
        <w:rPr>
          <w:color w:val="000000"/>
        </w:rPr>
        <w:t xml:space="preserve"> 293 </w:t>
      </w:r>
      <w:r>
        <w:rPr>
          <w:color w:val="000000"/>
        </w:rPr>
        <w:t xml:space="preserve">individuals </w:t>
      </w:r>
      <w:r w:rsidRPr="00A1794A">
        <w:rPr>
          <w:color w:val="000000"/>
        </w:rPr>
        <w:t>from 2009 to 2012</w:t>
      </w:r>
      <w:r>
        <w:rPr>
          <w:color w:val="000000"/>
        </w:rPr>
        <w:t>; and</w:t>
      </w:r>
    </w:p>
    <w:p w:rsidR="005D122D" w:rsidRPr="005D122D" w:rsidRDefault="005D122D" w:rsidP="005D122D">
      <w:pPr>
        <w:numPr>
          <w:ilvl w:val="0"/>
          <w:numId w:val="39"/>
        </w:numPr>
        <w:spacing w:line="240" w:lineRule="auto"/>
        <w:rPr>
          <w:bCs/>
          <w:iCs/>
        </w:rPr>
      </w:pPr>
      <w:proofErr w:type="gramStart"/>
      <w:r>
        <w:rPr>
          <w:color w:val="000000"/>
        </w:rPr>
        <w:t>f</w:t>
      </w:r>
      <w:r w:rsidRPr="00A1794A">
        <w:rPr>
          <w:color w:val="000000"/>
        </w:rPr>
        <w:t>or</w:t>
      </w:r>
      <w:proofErr w:type="gramEnd"/>
      <w:r w:rsidRPr="00A1794A">
        <w:rPr>
          <w:color w:val="000000"/>
        </w:rPr>
        <w:t xml:space="preserve"> 2015, the </w:t>
      </w:r>
      <w:r w:rsidRPr="0067782F">
        <w:rPr>
          <w:i/>
          <w:color w:val="000000"/>
        </w:rPr>
        <w:t>attainment target</w:t>
      </w:r>
      <w:r w:rsidRPr="00A1794A">
        <w:rPr>
          <w:color w:val="000000"/>
        </w:rPr>
        <w:t xml:space="preserve"> will be 71.6 per cent, </w:t>
      </w:r>
      <w:r>
        <w:rPr>
          <w:color w:val="000000"/>
        </w:rPr>
        <w:t xml:space="preserve">an increase of 4.75 per cent from 2012.  This equates to an increase of 293 individuals from </w:t>
      </w:r>
      <w:r w:rsidRPr="00A1794A">
        <w:rPr>
          <w:color w:val="000000"/>
        </w:rPr>
        <w:t xml:space="preserve">2012 to </w:t>
      </w:r>
      <w:r>
        <w:rPr>
          <w:color w:val="000000"/>
        </w:rPr>
        <w:t>2015</w:t>
      </w:r>
      <w:r w:rsidRPr="00A1794A">
        <w:rPr>
          <w:color w:val="000000"/>
        </w:rPr>
        <w:t>.</w:t>
      </w:r>
    </w:p>
    <w:p w:rsidR="005D122D" w:rsidRDefault="005D122D" w:rsidP="005D122D">
      <w:pPr>
        <w:spacing w:line="240" w:lineRule="auto"/>
        <w:rPr>
          <w:bCs/>
          <w:iCs/>
        </w:rPr>
      </w:pPr>
    </w:p>
    <w:p w:rsidR="005D122D" w:rsidRPr="00A1794A" w:rsidRDefault="003B4CC0" w:rsidP="005D122D">
      <w:pPr>
        <w:spacing w:line="240" w:lineRule="auto"/>
        <w:rPr>
          <w:bCs/>
          <w:iCs/>
        </w:rPr>
      </w:pPr>
      <w:r>
        <w:rPr>
          <w:bCs/>
          <w:iCs/>
          <w:noProof/>
          <w:lang w:val="en-US" w:eastAsia="zh-TW"/>
        </w:rPr>
        <w:pict>
          <v:shapetype id="_x0000_t202" coordsize="21600,21600" o:spt="202" path="m,l,21600r21600,l21600,xe">
            <v:stroke joinstyle="miter"/>
            <v:path gradientshapeok="t" o:connecttype="rect"/>
          </v:shapetype>
          <v:shape id="_x0000_s1030" type="#_x0000_t202" style="position:absolute;margin-left:0;margin-top:0;width:496.8pt;height:82.4pt;z-index:251670528;mso-position-horizontal:center;mso-width-relative:margin;mso-height-relative:margin" strokeweight="1pt">
            <v:textbox>
              <w:txbxContent>
                <w:p w:rsidR="00527695" w:rsidRDefault="00527695" w:rsidP="004643B7">
                  <w:pPr>
                    <w:pStyle w:val="Default"/>
                    <w:spacing w:before="120"/>
                    <w:jc w:val="center"/>
                    <w:rPr>
                      <w:rFonts w:ascii="Calibri" w:hAnsi="Calibri" w:cs="Calibri"/>
                      <w:b/>
                      <w:color w:val="auto"/>
                      <w:sz w:val="22"/>
                      <w:szCs w:val="22"/>
                    </w:rPr>
                  </w:pPr>
                  <w:r>
                    <w:rPr>
                      <w:rFonts w:ascii="Calibri" w:hAnsi="Calibri" w:cs="Calibri"/>
                      <w:b/>
                      <w:color w:val="auto"/>
                      <w:sz w:val="22"/>
                      <w:szCs w:val="22"/>
                    </w:rPr>
                    <w:t>2015 ATTAINMENT TARGET - ACHIEVED</w:t>
                  </w:r>
                </w:p>
                <w:p w:rsidR="00527695" w:rsidRPr="005D122D" w:rsidRDefault="00527695" w:rsidP="004643B7">
                  <w:pPr>
                    <w:pStyle w:val="Default"/>
                    <w:spacing w:before="120"/>
                    <w:jc w:val="center"/>
                    <w:rPr>
                      <w:rFonts w:ascii="Calibri" w:hAnsi="Calibri" w:cs="Calibri"/>
                      <w:b/>
                      <w:i/>
                      <w:color w:val="auto"/>
                      <w:sz w:val="22"/>
                      <w:szCs w:val="22"/>
                    </w:rPr>
                  </w:pPr>
                  <w:r w:rsidRPr="005D122D">
                    <w:rPr>
                      <w:rFonts w:ascii="Calibri" w:hAnsi="Calibri" w:cs="Calibri"/>
                      <w:b/>
                      <w:i/>
                      <w:color w:val="auto"/>
                      <w:sz w:val="22"/>
                      <w:szCs w:val="22"/>
                    </w:rPr>
                    <w:t>On the basis of data collected through the Survey of Education and Work, the Northern Territory has already achieved its 2015 attainment target, with 73.1 per cent of young people aged 20‐24 having attained Year 12 or Certificate II or above.</w:t>
                  </w:r>
                </w:p>
                <w:p w:rsidR="00527695" w:rsidRDefault="00527695" w:rsidP="004643B7">
                  <w:pPr>
                    <w:jc w:val="center"/>
                  </w:pPr>
                </w:p>
              </w:txbxContent>
            </v:textbox>
          </v:shape>
        </w:pict>
      </w:r>
    </w:p>
    <w:p w:rsidR="005D122D" w:rsidRDefault="005D122D" w:rsidP="005D122D">
      <w:pPr>
        <w:pStyle w:val="Default"/>
        <w:spacing w:before="120"/>
        <w:rPr>
          <w:rFonts w:ascii="Calibri" w:hAnsi="Calibri" w:cs="Calibri"/>
          <w:b/>
          <w:color w:val="auto"/>
          <w:sz w:val="22"/>
          <w:szCs w:val="22"/>
        </w:rPr>
      </w:pPr>
    </w:p>
    <w:p w:rsidR="005D122D" w:rsidRDefault="005D122D" w:rsidP="005D122D">
      <w:pPr>
        <w:pStyle w:val="Default"/>
        <w:spacing w:before="120"/>
        <w:rPr>
          <w:rFonts w:ascii="Calibri" w:hAnsi="Calibri" w:cs="Calibri"/>
          <w:b/>
          <w:color w:val="auto"/>
          <w:sz w:val="22"/>
          <w:szCs w:val="22"/>
        </w:rPr>
      </w:pPr>
    </w:p>
    <w:p w:rsidR="005D122D" w:rsidRDefault="005D122D" w:rsidP="005D122D">
      <w:pPr>
        <w:pStyle w:val="Default"/>
        <w:spacing w:before="120"/>
        <w:rPr>
          <w:rFonts w:ascii="Calibri" w:hAnsi="Calibri" w:cs="Calibri"/>
          <w:b/>
          <w:color w:val="auto"/>
          <w:sz w:val="22"/>
          <w:szCs w:val="22"/>
        </w:rPr>
      </w:pPr>
    </w:p>
    <w:p w:rsidR="005D122D" w:rsidRDefault="005D122D" w:rsidP="00A97D02">
      <w:pPr>
        <w:pStyle w:val="Default"/>
        <w:spacing w:before="120"/>
        <w:rPr>
          <w:rFonts w:asciiTheme="minorHAnsi" w:eastAsia="Times New Roman" w:hAnsiTheme="minorHAnsi" w:cstheme="minorHAnsi"/>
          <w:b/>
          <w:color w:val="auto"/>
          <w:sz w:val="22"/>
          <w:szCs w:val="22"/>
        </w:rPr>
      </w:pPr>
    </w:p>
    <w:p w:rsidR="005D122D" w:rsidRDefault="003B4CC0" w:rsidP="00A97D02">
      <w:pPr>
        <w:pStyle w:val="Default"/>
        <w:spacing w:before="120"/>
        <w:rPr>
          <w:rFonts w:asciiTheme="minorHAnsi" w:eastAsia="Times New Roman" w:hAnsiTheme="minorHAnsi" w:cstheme="minorHAnsi"/>
          <w:b/>
          <w:color w:val="auto"/>
          <w:sz w:val="22"/>
          <w:szCs w:val="22"/>
        </w:rPr>
      </w:pPr>
      <w:r>
        <w:rPr>
          <w:rFonts w:asciiTheme="minorHAnsi" w:eastAsia="Times New Roman" w:hAnsiTheme="minorHAnsi" w:cstheme="minorHAnsi"/>
          <w:b/>
          <w:noProof/>
          <w:color w:val="auto"/>
          <w:sz w:val="22"/>
          <w:szCs w:val="22"/>
          <w:lang w:eastAsia="en-AU"/>
        </w:rPr>
        <w:pict>
          <v:shape id="_x0000_s1031" type="#_x0000_t202" style="position:absolute;margin-left:24.5pt;margin-top:3.25pt;width:496.8pt;height:71.9pt;z-index:251671552;mso-width-relative:margin;mso-height-relative:margin" strokeweight="1pt">
            <v:textbox>
              <w:txbxContent>
                <w:p w:rsidR="00527695" w:rsidRPr="000A3660" w:rsidRDefault="00527695" w:rsidP="004643B7">
                  <w:pPr>
                    <w:pStyle w:val="Default"/>
                    <w:spacing w:before="120"/>
                    <w:jc w:val="center"/>
                    <w:rPr>
                      <w:rFonts w:ascii="Calibri" w:hAnsi="Calibri" w:cs="Calibri"/>
                      <w:b/>
                      <w:color w:val="C00000"/>
                      <w:sz w:val="22"/>
                      <w:szCs w:val="22"/>
                    </w:rPr>
                  </w:pPr>
                  <w:r>
                    <w:rPr>
                      <w:rFonts w:ascii="Calibri" w:hAnsi="Calibri" w:cs="Calibri"/>
                      <w:b/>
                      <w:color w:val="auto"/>
                      <w:sz w:val="22"/>
                      <w:szCs w:val="22"/>
                    </w:rPr>
                    <w:t xml:space="preserve">PARTICIPATION TARGET </w:t>
                  </w:r>
                </w:p>
                <w:p w:rsidR="00527695" w:rsidRPr="00090045" w:rsidRDefault="00527695" w:rsidP="004643B7">
                  <w:pPr>
                    <w:pStyle w:val="Default"/>
                    <w:spacing w:before="120"/>
                    <w:jc w:val="center"/>
                    <w:rPr>
                      <w:rFonts w:ascii="Calibri" w:hAnsi="Calibri" w:cs="Calibri"/>
                      <w:b/>
                      <w:i/>
                      <w:color w:val="000000" w:themeColor="text1"/>
                      <w:sz w:val="22"/>
                      <w:szCs w:val="22"/>
                    </w:rPr>
                  </w:pPr>
                  <w:r w:rsidRPr="00090045">
                    <w:rPr>
                      <w:rFonts w:ascii="Calibri" w:hAnsi="Calibri" w:cs="Calibri"/>
                      <w:b/>
                      <w:i/>
                      <w:color w:val="000000" w:themeColor="text1"/>
                      <w:sz w:val="22"/>
                      <w:szCs w:val="22"/>
                    </w:rPr>
                    <w:t xml:space="preserve">It is not yet possible to determine whether the NT has achieved its 2010 participation </w:t>
                  </w:r>
                  <w:r>
                    <w:rPr>
                      <w:rFonts w:ascii="Calibri" w:hAnsi="Calibri" w:cs="Calibri"/>
                      <w:b/>
                      <w:i/>
                      <w:color w:val="000000" w:themeColor="text1"/>
                      <w:sz w:val="22"/>
                      <w:szCs w:val="22"/>
                    </w:rPr>
                    <w:t>target</w:t>
                  </w:r>
                  <w:r w:rsidRPr="00090045">
                    <w:rPr>
                      <w:rFonts w:ascii="Calibri" w:hAnsi="Calibri" w:cs="Calibri"/>
                      <w:b/>
                      <w:i/>
                      <w:color w:val="000000" w:themeColor="text1"/>
                      <w:sz w:val="22"/>
                      <w:szCs w:val="22"/>
                    </w:rPr>
                    <w:t>.</w:t>
                  </w:r>
                </w:p>
                <w:p w:rsidR="00527695" w:rsidRPr="00090045" w:rsidRDefault="00527695" w:rsidP="004643B7">
                  <w:pPr>
                    <w:pStyle w:val="Default"/>
                    <w:spacing w:before="120"/>
                    <w:jc w:val="center"/>
                    <w:rPr>
                      <w:rFonts w:ascii="Calibri" w:hAnsi="Calibri" w:cs="Calibri"/>
                      <w:b/>
                      <w:i/>
                      <w:color w:val="000000" w:themeColor="text1"/>
                      <w:sz w:val="22"/>
                      <w:szCs w:val="22"/>
                    </w:rPr>
                  </w:pPr>
                  <w:r w:rsidRPr="00090045">
                    <w:rPr>
                      <w:rFonts w:ascii="Calibri" w:hAnsi="Calibri" w:cs="Calibri"/>
                      <w:b/>
                      <w:i/>
                      <w:color w:val="000000" w:themeColor="text1"/>
                      <w:sz w:val="22"/>
                      <w:szCs w:val="22"/>
                    </w:rPr>
                    <w:t>Not all relevant data sets are available.</w:t>
                  </w:r>
                </w:p>
                <w:p w:rsidR="00527695" w:rsidRDefault="00527695" w:rsidP="004643B7">
                  <w:pPr>
                    <w:jc w:val="center"/>
                  </w:pPr>
                </w:p>
              </w:txbxContent>
            </v:textbox>
          </v:shape>
        </w:pict>
      </w:r>
    </w:p>
    <w:p w:rsidR="005D122D" w:rsidRDefault="005D122D" w:rsidP="00A97D02">
      <w:pPr>
        <w:pStyle w:val="Default"/>
        <w:spacing w:before="120"/>
        <w:rPr>
          <w:rFonts w:asciiTheme="minorHAnsi" w:eastAsia="Times New Roman" w:hAnsiTheme="minorHAnsi" w:cstheme="minorHAnsi"/>
          <w:b/>
          <w:color w:val="auto"/>
          <w:sz w:val="22"/>
          <w:szCs w:val="22"/>
        </w:rPr>
      </w:pPr>
    </w:p>
    <w:p w:rsidR="005D122D" w:rsidRDefault="005D122D" w:rsidP="00A97D02">
      <w:pPr>
        <w:pStyle w:val="Default"/>
        <w:spacing w:before="120"/>
        <w:rPr>
          <w:rFonts w:asciiTheme="minorHAnsi" w:eastAsia="Times New Roman" w:hAnsiTheme="minorHAnsi" w:cstheme="minorHAnsi"/>
          <w:b/>
          <w:color w:val="auto"/>
          <w:sz w:val="22"/>
          <w:szCs w:val="22"/>
        </w:rPr>
      </w:pPr>
    </w:p>
    <w:p w:rsidR="005D122D" w:rsidRDefault="005D122D" w:rsidP="00A97D02">
      <w:pPr>
        <w:pStyle w:val="Default"/>
        <w:spacing w:before="120"/>
        <w:rPr>
          <w:rFonts w:asciiTheme="minorHAnsi" w:eastAsia="Times New Roman" w:hAnsiTheme="minorHAnsi" w:cstheme="minorHAnsi"/>
          <w:b/>
          <w:color w:val="auto"/>
          <w:sz w:val="22"/>
          <w:szCs w:val="22"/>
        </w:rPr>
      </w:pPr>
    </w:p>
    <w:p w:rsidR="00B74085" w:rsidRDefault="00B74085" w:rsidP="00A97D02">
      <w:pPr>
        <w:pStyle w:val="Default"/>
        <w:spacing w:before="120"/>
        <w:rPr>
          <w:rFonts w:asciiTheme="minorHAnsi" w:eastAsia="Times New Roman" w:hAnsiTheme="minorHAnsi" w:cstheme="minorHAnsi"/>
          <w:b/>
          <w:color w:val="auto"/>
          <w:sz w:val="22"/>
          <w:szCs w:val="22"/>
        </w:rPr>
      </w:pPr>
    </w:p>
    <w:p w:rsidR="00A97D02" w:rsidRPr="00BD2463" w:rsidRDefault="00A97D02" w:rsidP="00A97D02">
      <w:pPr>
        <w:pStyle w:val="Default"/>
        <w:spacing w:before="120"/>
        <w:rPr>
          <w:rFonts w:asciiTheme="minorHAnsi" w:eastAsia="Times New Roman" w:hAnsiTheme="minorHAnsi" w:cstheme="minorHAnsi"/>
          <w:b/>
          <w:color w:val="auto"/>
          <w:sz w:val="22"/>
          <w:szCs w:val="22"/>
        </w:rPr>
      </w:pPr>
      <w:r w:rsidRPr="00BD2463">
        <w:rPr>
          <w:rFonts w:asciiTheme="minorHAnsi" w:eastAsia="Times New Roman" w:hAnsiTheme="minorHAnsi" w:cstheme="minorHAnsi"/>
          <w:b/>
          <w:color w:val="auto"/>
          <w:sz w:val="22"/>
          <w:szCs w:val="22"/>
        </w:rPr>
        <w:t xml:space="preserve">Board of Studies </w:t>
      </w:r>
      <w:proofErr w:type="spellStart"/>
      <w:r w:rsidR="00B57EF9">
        <w:rPr>
          <w:rFonts w:asciiTheme="minorHAnsi" w:eastAsia="Times New Roman" w:hAnsiTheme="minorHAnsi" w:cstheme="minorHAnsi"/>
          <w:b/>
          <w:color w:val="auto"/>
          <w:sz w:val="22"/>
          <w:szCs w:val="22"/>
        </w:rPr>
        <w:t>NTCE</w:t>
      </w:r>
      <w:proofErr w:type="spellEnd"/>
      <w:r w:rsidR="00B57EF9">
        <w:rPr>
          <w:rFonts w:asciiTheme="minorHAnsi" w:eastAsia="Times New Roman" w:hAnsiTheme="minorHAnsi" w:cstheme="minorHAnsi"/>
          <w:b/>
          <w:color w:val="auto"/>
          <w:sz w:val="22"/>
          <w:szCs w:val="22"/>
        </w:rPr>
        <w:t xml:space="preserve"> </w:t>
      </w:r>
      <w:r w:rsidRPr="00BD2463">
        <w:rPr>
          <w:rFonts w:asciiTheme="minorHAnsi" w:eastAsia="Times New Roman" w:hAnsiTheme="minorHAnsi" w:cstheme="minorHAnsi"/>
          <w:b/>
          <w:color w:val="auto"/>
          <w:sz w:val="22"/>
          <w:szCs w:val="22"/>
        </w:rPr>
        <w:t>attainment rate</w:t>
      </w:r>
      <w:r w:rsidR="00B57EF9">
        <w:rPr>
          <w:rFonts w:asciiTheme="minorHAnsi" w:eastAsia="Times New Roman" w:hAnsiTheme="minorHAnsi" w:cstheme="minorHAnsi"/>
          <w:b/>
          <w:color w:val="auto"/>
          <w:sz w:val="22"/>
          <w:szCs w:val="22"/>
        </w:rPr>
        <w:t xml:space="preserve"> data shows a very small decrease from 2009 to 2010</w:t>
      </w:r>
      <w:r w:rsidRPr="00BD2463">
        <w:rPr>
          <w:rFonts w:asciiTheme="minorHAnsi" w:eastAsia="Times New Roman" w:hAnsiTheme="minorHAnsi" w:cstheme="minorHAnsi"/>
          <w:b/>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1"/>
        <w:gridCol w:w="1778"/>
        <w:gridCol w:w="1559"/>
        <w:gridCol w:w="1913"/>
      </w:tblGrid>
      <w:tr w:rsidR="00B57EF9" w:rsidRPr="00114D7C" w:rsidTr="00B57EF9">
        <w:trPr>
          <w:trHeight w:val="309"/>
        </w:trPr>
        <w:tc>
          <w:tcPr>
            <w:tcW w:w="10281" w:type="dxa"/>
            <w:gridSpan w:val="4"/>
            <w:tcMar>
              <w:top w:w="0" w:type="dxa"/>
              <w:left w:w="108" w:type="dxa"/>
              <w:bottom w:w="0" w:type="dxa"/>
              <w:right w:w="108" w:type="dxa"/>
            </w:tcMar>
            <w:hideMark/>
          </w:tcPr>
          <w:p w:rsidR="00B57EF9" w:rsidRPr="009D6511" w:rsidRDefault="00B57EF9" w:rsidP="009C0CFA">
            <w:pPr>
              <w:pStyle w:val="Default"/>
              <w:spacing w:before="120"/>
              <w:rPr>
                <w:rFonts w:ascii="Calibri" w:hAnsi="Calibri" w:cs="Calibri"/>
                <w:b/>
                <w:color w:val="auto"/>
                <w:sz w:val="18"/>
                <w:szCs w:val="18"/>
              </w:rPr>
            </w:pPr>
            <w:proofErr w:type="spellStart"/>
            <w:r w:rsidRPr="009D6511">
              <w:rPr>
                <w:rFonts w:ascii="Calibri" w:hAnsi="Calibri" w:cs="Calibri"/>
                <w:b/>
                <w:color w:val="auto"/>
                <w:sz w:val="18"/>
                <w:szCs w:val="18"/>
              </w:rPr>
              <w:t>NTCE</w:t>
            </w:r>
            <w:proofErr w:type="spellEnd"/>
            <w:r w:rsidRPr="009D6511">
              <w:rPr>
                <w:rFonts w:ascii="Calibri" w:hAnsi="Calibri" w:cs="Calibri"/>
                <w:b/>
                <w:color w:val="auto"/>
                <w:sz w:val="18"/>
                <w:szCs w:val="18"/>
              </w:rPr>
              <w:t xml:space="preserve"> Summary, 2010 compared to 2009</w:t>
            </w:r>
          </w:p>
        </w:tc>
      </w:tr>
      <w:tr w:rsidR="00A97D02" w:rsidRPr="00114D7C" w:rsidTr="00B57EF9">
        <w:trPr>
          <w:trHeight w:val="488"/>
        </w:trPr>
        <w:tc>
          <w:tcPr>
            <w:tcW w:w="5031" w:type="dxa"/>
            <w:shd w:val="clear" w:color="auto" w:fill="D9D9D9" w:themeFill="background1" w:themeFillShade="D9"/>
            <w:tcMar>
              <w:top w:w="0" w:type="dxa"/>
              <w:left w:w="108" w:type="dxa"/>
              <w:bottom w:w="0" w:type="dxa"/>
              <w:right w:w="108" w:type="dxa"/>
            </w:tcMar>
          </w:tcPr>
          <w:p w:rsidR="00A97D02" w:rsidRPr="009D6511" w:rsidRDefault="00A97D02" w:rsidP="009C0CFA">
            <w:pPr>
              <w:pStyle w:val="Default"/>
              <w:spacing w:before="120"/>
              <w:rPr>
                <w:rFonts w:ascii="Calibri" w:hAnsi="Calibri" w:cs="Calibri"/>
                <w:b/>
                <w:color w:val="auto"/>
                <w:sz w:val="18"/>
                <w:szCs w:val="18"/>
              </w:rPr>
            </w:pPr>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b/>
                <w:color w:val="auto"/>
                <w:sz w:val="18"/>
                <w:szCs w:val="18"/>
              </w:rPr>
            </w:pPr>
            <w:r w:rsidRPr="009D6511">
              <w:rPr>
                <w:rFonts w:ascii="Calibri" w:hAnsi="Calibri" w:cs="Calibri"/>
                <w:b/>
                <w:color w:val="auto"/>
                <w:sz w:val="18"/>
                <w:szCs w:val="18"/>
              </w:rPr>
              <w:t>2010</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b/>
                <w:color w:val="auto"/>
                <w:sz w:val="18"/>
                <w:szCs w:val="18"/>
              </w:rPr>
            </w:pPr>
            <w:r w:rsidRPr="009D6511">
              <w:rPr>
                <w:rFonts w:ascii="Calibri" w:hAnsi="Calibri" w:cs="Calibri"/>
                <w:b/>
                <w:color w:val="auto"/>
                <w:sz w:val="18"/>
                <w:szCs w:val="18"/>
              </w:rPr>
              <w:t>2009</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b/>
                <w:color w:val="auto"/>
                <w:sz w:val="18"/>
                <w:szCs w:val="18"/>
              </w:rPr>
            </w:pPr>
            <w:r>
              <w:rPr>
                <w:rFonts w:ascii="Calibri" w:hAnsi="Calibri" w:cs="Calibri"/>
                <w:b/>
                <w:color w:val="auto"/>
                <w:sz w:val="18"/>
                <w:szCs w:val="18"/>
              </w:rPr>
              <w:t xml:space="preserve">Increase </w:t>
            </w:r>
            <w:r w:rsidRPr="009D6511">
              <w:rPr>
                <w:rFonts w:ascii="Calibri" w:hAnsi="Calibri" w:cs="Calibri"/>
                <w:b/>
                <w:color w:val="auto"/>
                <w:sz w:val="18"/>
                <w:szCs w:val="18"/>
              </w:rPr>
              <w:t>or Decrease</w:t>
            </w:r>
          </w:p>
        </w:tc>
      </w:tr>
      <w:tr w:rsidR="00A97D02" w:rsidRPr="00114D7C" w:rsidTr="00B57EF9">
        <w:trPr>
          <w:trHeight w:val="309"/>
        </w:trPr>
        <w:tc>
          <w:tcPr>
            <w:tcW w:w="5031"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1,041</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1,049</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-8</w:t>
            </w:r>
          </w:p>
        </w:tc>
      </w:tr>
      <w:tr w:rsidR="00A97D02" w:rsidRPr="00114D7C" w:rsidTr="00B57EF9">
        <w:trPr>
          <w:trHeight w:val="309"/>
        </w:trPr>
        <w:tc>
          <w:tcPr>
            <w:tcW w:w="5031"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males</w:t>
            </w:r>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463</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476</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-13</w:t>
            </w:r>
          </w:p>
        </w:tc>
      </w:tr>
      <w:tr w:rsidR="00A97D02" w:rsidRPr="00114D7C" w:rsidTr="00B57EF9">
        <w:trPr>
          <w:trHeight w:val="309"/>
        </w:trPr>
        <w:tc>
          <w:tcPr>
            <w:tcW w:w="5031"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females</w:t>
            </w:r>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578</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573</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5</w:t>
            </w:r>
          </w:p>
        </w:tc>
      </w:tr>
      <w:tr w:rsidR="00A97D02" w:rsidRPr="00114D7C" w:rsidTr="00B57EF9">
        <w:trPr>
          <w:trHeight w:val="309"/>
        </w:trPr>
        <w:tc>
          <w:tcPr>
            <w:tcW w:w="5031"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Indigenous</w:t>
            </w:r>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139</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154</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-15</w:t>
            </w:r>
          </w:p>
        </w:tc>
      </w:tr>
      <w:tr w:rsidR="00A97D02" w:rsidRPr="00114D7C" w:rsidTr="00B57EF9">
        <w:trPr>
          <w:trHeight w:val="309"/>
        </w:trPr>
        <w:tc>
          <w:tcPr>
            <w:tcW w:w="5031"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non-Indigenous</w:t>
            </w:r>
          </w:p>
        </w:tc>
        <w:tc>
          <w:tcPr>
            <w:tcW w:w="1778"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902</w:t>
            </w:r>
          </w:p>
        </w:tc>
        <w:tc>
          <w:tcPr>
            <w:tcW w:w="1559"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895</w:t>
            </w:r>
          </w:p>
        </w:tc>
        <w:tc>
          <w:tcPr>
            <w:tcW w:w="1913" w:type="dxa"/>
            <w:tcMar>
              <w:top w:w="0" w:type="dxa"/>
              <w:left w:w="108" w:type="dxa"/>
              <w:bottom w:w="0" w:type="dxa"/>
              <w:right w:w="108" w:type="dxa"/>
            </w:tcMar>
            <w:hideMark/>
          </w:tcPr>
          <w:p w:rsidR="00A97D02" w:rsidRPr="009D6511" w:rsidRDefault="00A97D02" w:rsidP="009C0CFA">
            <w:pPr>
              <w:pStyle w:val="Default"/>
              <w:spacing w:before="120"/>
              <w:rPr>
                <w:rFonts w:ascii="Calibri" w:hAnsi="Calibri" w:cs="Calibri"/>
                <w:color w:val="auto"/>
                <w:sz w:val="18"/>
                <w:szCs w:val="18"/>
              </w:rPr>
            </w:pPr>
            <w:r w:rsidRPr="009D6511">
              <w:rPr>
                <w:rFonts w:ascii="Calibri" w:hAnsi="Calibri" w:cs="Calibri"/>
                <w:color w:val="auto"/>
                <w:sz w:val="18"/>
                <w:szCs w:val="18"/>
              </w:rPr>
              <w:t>7</w:t>
            </w:r>
          </w:p>
        </w:tc>
      </w:tr>
    </w:tbl>
    <w:p w:rsidR="00B57EF9" w:rsidRDefault="00B57EF9" w:rsidP="00B57EF9">
      <w:pPr>
        <w:pStyle w:val="Default"/>
        <w:spacing w:before="120"/>
        <w:rPr>
          <w:rFonts w:ascii="Calibri" w:hAnsi="Calibri" w:cs="Calibri"/>
          <w:color w:val="auto"/>
          <w:sz w:val="16"/>
          <w:szCs w:val="16"/>
        </w:rPr>
      </w:pPr>
      <w:r w:rsidRPr="00170EE6">
        <w:rPr>
          <w:rFonts w:ascii="Calibri" w:hAnsi="Calibri" w:cs="Calibri"/>
          <w:color w:val="auto"/>
          <w:sz w:val="16"/>
          <w:szCs w:val="16"/>
        </w:rPr>
        <w:t xml:space="preserve">(Note that this data cannot be </w:t>
      </w:r>
      <w:r>
        <w:rPr>
          <w:rFonts w:ascii="Calibri" w:hAnsi="Calibri" w:cs="Calibri"/>
          <w:color w:val="auto"/>
          <w:sz w:val="16"/>
          <w:szCs w:val="16"/>
        </w:rPr>
        <w:t xml:space="preserve">used for </w:t>
      </w:r>
      <w:r w:rsidRPr="00170EE6">
        <w:rPr>
          <w:rFonts w:ascii="Calibri" w:hAnsi="Calibri" w:cs="Calibri"/>
          <w:color w:val="auto"/>
          <w:sz w:val="16"/>
          <w:szCs w:val="16"/>
        </w:rPr>
        <w:t>compar</w:t>
      </w:r>
      <w:r>
        <w:rPr>
          <w:rFonts w:ascii="Calibri" w:hAnsi="Calibri" w:cs="Calibri"/>
          <w:color w:val="auto"/>
          <w:sz w:val="16"/>
          <w:szCs w:val="16"/>
        </w:rPr>
        <w:t>isons</w:t>
      </w:r>
      <w:r w:rsidRPr="00170EE6">
        <w:rPr>
          <w:rFonts w:ascii="Calibri" w:hAnsi="Calibri" w:cs="Calibri"/>
          <w:color w:val="auto"/>
          <w:sz w:val="16"/>
          <w:szCs w:val="16"/>
        </w:rPr>
        <w:t xml:space="preserve"> across States and Territories and that this data cannot be used to measure change against the agreed </w:t>
      </w:r>
    </w:p>
    <w:p w:rsidR="00B57EF9" w:rsidRPr="00170EE6" w:rsidRDefault="00B57EF9" w:rsidP="00B57EF9">
      <w:pPr>
        <w:pStyle w:val="Default"/>
        <w:rPr>
          <w:rFonts w:ascii="Calibri" w:hAnsi="Calibri" w:cs="Calibri"/>
          <w:color w:val="auto"/>
          <w:sz w:val="16"/>
          <w:szCs w:val="16"/>
        </w:rPr>
      </w:pPr>
      <w:proofErr w:type="gramStart"/>
      <w:r w:rsidRPr="00170EE6">
        <w:rPr>
          <w:rFonts w:ascii="Calibri" w:hAnsi="Calibri" w:cs="Calibri"/>
          <w:color w:val="auto"/>
          <w:sz w:val="16"/>
          <w:szCs w:val="16"/>
        </w:rPr>
        <w:t>indicator</w:t>
      </w:r>
      <w:proofErr w:type="gramEnd"/>
      <w:r w:rsidRPr="00170EE6">
        <w:rPr>
          <w:rFonts w:ascii="Calibri" w:hAnsi="Calibri" w:cs="Calibri"/>
          <w:color w:val="auto"/>
          <w:sz w:val="16"/>
          <w:szCs w:val="16"/>
        </w:rPr>
        <w:t xml:space="preserve"> for Year 12 or equivalent attainment)     </w:t>
      </w:r>
    </w:p>
    <w:p w:rsidR="00A97D02" w:rsidRDefault="00A97D02" w:rsidP="00A97D02">
      <w:pPr>
        <w:rPr>
          <w:rFonts w:cs="Arial"/>
          <w:bCs/>
        </w:rPr>
      </w:pPr>
    </w:p>
    <w:p w:rsidR="00B74085" w:rsidRPr="007267F1" w:rsidRDefault="00B74085" w:rsidP="00B74085">
      <w:pPr>
        <w:autoSpaceDE w:val="0"/>
        <w:autoSpaceDN w:val="0"/>
        <w:adjustRightInd w:val="0"/>
        <w:spacing w:before="240" w:line="240" w:lineRule="auto"/>
        <w:rPr>
          <w:rFonts w:eastAsia="Times New Roman" w:cstheme="minorHAnsi"/>
          <w:b/>
          <w:bCs/>
          <w:color w:val="000000"/>
          <w:lang w:eastAsia="en-AU"/>
        </w:rPr>
      </w:pPr>
      <w:r w:rsidRPr="007267F1">
        <w:rPr>
          <w:rFonts w:eastAsia="Times New Roman" w:cstheme="minorHAnsi"/>
          <w:b/>
          <w:bCs/>
          <w:color w:val="000000"/>
          <w:lang w:eastAsia="en-AU"/>
        </w:rPr>
        <w:t>15 – 19 Year old enrolled in VET – 2009 &amp; 2010</w:t>
      </w:r>
    </w:p>
    <w:tbl>
      <w:tblPr>
        <w:tblW w:w="7232" w:type="dxa"/>
        <w:tblInd w:w="-13" w:type="dxa"/>
        <w:tblCellMar>
          <w:left w:w="0" w:type="dxa"/>
          <w:right w:w="0" w:type="dxa"/>
        </w:tblCellMar>
        <w:tblLook w:val="04A0" w:firstRow="1" w:lastRow="0" w:firstColumn="1" w:lastColumn="0" w:noHBand="0" w:noVBand="1"/>
      </w:tblPr>
      <w:tblGrid>
        <w:gridCol w:w="1380"/>
        <w:gridCol w:w="1771"/>
        <w:gridCol w:w="1229"/>
        <w:gridCol w:w="1629"/>
        <w:gridCol w:w="1223"/>
      </w:tblGrid>
      <w:tr w:rsidR="006240FC" w:rsidTr="006240FC">
        <w:trPr>
          <w:trHeight w:val="300"/>
        </w:trPr>
        <w:tc>
          <w:tcPr>
            <w:tcW w:w="138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 </w:t>
            </w:r>
          </w:p>
        </w:tc>
        <w:tc>
          <w:tcPr>
            <w:tcW w:w="30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2009</w:t>
            </w:r>
          </w:p>
        </w:tc>
        <w:tc>
          <w:tcPr>
            <w:tcW w:w="285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2010</w:t>
            </w:r>
          </w:p>
        </w:tc>
      </w:tr>
      <w:tr w:rsidR="006240FC" w:rsidTr="006240FC">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40FC" w:rsidRPr="006240FC" w:rsidRDefault="006240FC" w:rsidP="006240FC">
            <w:pPr>
              <w:pStyle w:val="Default"/>
              <w:spacing w:before="120"/>
              <w:rPr>
                <w:rFonts w:ascii="Calibri" w:hAnsi="Calibri" w:cs="Calibri"/>
                <w:color w:val="auto"/>
                <w:sz w:val="18"/>
                <w:szCs w:val="18"/>
              </w:rPr>
            </w:pP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Non-Indigenous</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Indigenous</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Non-Indigenous</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Indigenous</w:t>
            </w:r>
          </w:p>
        </w:tc>
      </w:tr>
      <w:tr w:rsidR="006240FC" w:rsidTr="006240F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Cert I</w:t>
            </w: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705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1080</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583</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878</w:t>
            </w:r>
          </w:p>
        </w:tc>
      </w:tr>
      <w:tr w:rsidR="006240FC" w:rsidTr="006240F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b/>
                <w:color w:val="auto"/>
                <w:sz w:val="18"/>
                <w:szCs w:val="18"/>
              </w:rPr>
            </w:pPr>
            <w:r w:rsidRPr="006240FC">
              <w:rPr>
                <w:rFonts w:ascii="Calibri" w:hAnsi="Calibri" w:cs="Calibri"/>
                <w:b/>
                <w:color w:val="auto"/>
                <w:sz w:val="18"/>
                <w:szCs w:val="18"/>
              </w:rPr>
              <w:t>Cert II &amp; above</w:t>
            </w: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3230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1603</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3068</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40FC" w:rsidRPr="006240FC" w:rsidRDefault="006240FC" w:rsidP="006240FC">
            <w:pPr>
              <w:pStyle w:val="Default"/>
              <w:spacing w:before="120"/>
              <w:rPr>
                <w:rFonts w:ascii="Calibri" w:hAnsi="Calibri" w:cs="Calibri"/>
                <w:color w:val="auto"/>
                <w:sz w:val="18"/>
                <w:szCs w:val="18"/>
              </w:rPr>
            </w:pPr>
            <w:r w:rsidRPr="006240FC">
              <w:rPr>
                <w:rFonts w:ascii="Calibri" w:hAnsi="Calibri" w:cs="Calibri"/>
                <w:color w:val="auto"/>
                <w:sz w:val="18"/>
                <w:szCs w:val="18"/>
              </w:rPr>
              <w:t>1441</w:t>
            </w:r>
          </w:p>
        </w:tc>
      </w:tr>
    </w:tbl>
    <w:p w:rsidR="006240FC" w:rsidRPr="006240FC" w:rsidRDefault="006240FC" w:rsidP="006240FC">
      <w:pPr>
        <w:pStyle w:val="Default"/>
        <w:spacing w:before="120"/>
        <w:rPr>
          <w:rFonts w:ascii="Calibri" w:hAnsi="Calibri" w:cs="Calibri"/>
          <w:color w:val="auto"/>
          <w:sz w:val="16"/>
          <w:szCs w:val="16"/>
        </w:rPr>
      </w:pPr>
      <w:r w:rsidRPr="006240FC">
        <w:rPr>
          <w:rFonts w:ascii="Calibri" w:hAnsi="Calibri" w:cs="Calibri"/>
          <w:color w:val="auto"/>
          <w:sz w:val="16"/>
          <w:szCs w:val="16"/>
        </w:rPr>
        <w:t>Data Source: NT VET Provider data 2009 &amp; 2010</w:t>
      </w:r>
    </w:p>
    <w:p w:rsidR="006240FC" w:rsidRPr="006240FC" w:rsidRDefault="006240FC" w:rsidP="006240FC">
      <w:pPr>
        <w:pStyle w:val="Default"/>
        <w:spacing w:before="120"/>
        <w:rPr>
          <w:rFonts w:ascii="Calibri" w:hAnsi="Calibri" w:cs="Calibri"/>
          <w:color w:val="auto"/>
          <w:sz w:val="16"/>
          <w:szCs w:val="16"/>
        </w:rPr>
      </w:pPr>
      <w:r w:rsidRPr="006240FC">
        <w:rPr>
          <w:rFonts w:ascii="Calibri" w:hAnsi="Calibri" w:cs="Calibri"/>
          <w:color w:val="auto"/>
          <w:sz w:val="16"/>
          <w:szCs w:val="16"/>
        </w:rPr>
        <w:t xml:space="preserve">Data has been filtered based on student’s response to the Indigenous status question on their enrolment form and only counts people who have </w:t>
      </w:r>
      <w:proofErr w:type="spellStart"/>
      <w:r w:rsidRPr="006240FC">
        <w:rPr>
          <w:rFonts w:ascii="Calibri" w:hAnsi="Calibri" w:cs="Calibri"/>
          <w:color w:val="auto"/>
          <w:sz w:val="16"/>
          <w:szCs w:val="16"/>
        </w:rPr>
        <w:t>self identified</w:t>
      </w:r>
      <w:proofErr w:type="spellEnd"/>
      <w:r w:rsidRPr="006240FC">
        <w:rPr>
          <w:rFonts w:ascii="Calibri" w:hAnsi="Calibri" w:cs="Calibri"/>
          <w:color w:val="auto"/>
          <w:sz w:val="16"/>
          <w:szCs w:val="16"/>
        </w:rPr>
        <w:t xml:space="preserve"> themselves as Indigenous.</w:t>
      </w:r>
    </w:p>
    <w:p w:rsidR="006240FC" w:rsidRPr="006240FC" w:rsidRDefault="006240FC" w:rsidP="006240FC">
      <w:pPr>
        <w:pStyle w:val="Default"/>
        <w:spacing w:before="120"/>
        <w:rPr>
          <w:rFonts w:ascii="Calibri" w:hAnsi="Calibri" w:cs="Calibri"/>
          <w:color w:val="auto"/>
          <w:sz w:val="16"/>
          <w:szCs w:val="16"/>
        </w:rPr>
      </w:pPr>
      <w:r w:rsidRPr="006240FC">
        <w:rPr>
          <w:rFonts w:ascii="Calibri" w:hAnsi="Calibri" w:cs="Calibri"/>
          <w:color w:val="auto"/>
          <w:sz w:val="16"/>
          <w:szCs w:val="16"/>
        </w:rPr>
        <w:t>Data includes students that accessed training that may not have been publicly funded.</w:t>
      </w:r>
    </w:p>
    <w:p w:rsidR="006240FC" w:rsidRPr="006240FC" w:rsidRDefault="006240FC" w:rsidP="006240FC">
      <w:pPr>
        <w:pStyle w:val="Default"/>
        <w:spacing w:before="120"/>
        <w:rPr>
          <w:rFonts w:ascii="Calibri" w:hAnsi="Calibri" w:cs="Calibri"/>
          <w:color w:val="auto"/>
          <w:sz w:val="16"/>
          <w:szCs w:val="16"/>
        </w:rPr>
      </w:pPr>
      <w:r w:rsidRPr="006240FC">
        <w:rPr>
          <w:rFonts w:ascii="Calibri" w:hAnsi="Calibri" w:cs="Calibri"/>
          <w:color w:val="auto"/>
          <w:sz w:val="16"/>
          <w:szCs w:val="16"/>
        </w:rPr>
        <w:t>A student may be counted multiple times if they have either undertaken multiple qualifications and/or have undertaken training with multiple providers.</w:t>
      </w:r>
    </w:p>
    <w:p w:rsidR="004D5D53" w:rsidRDefault="004D5D53" w:rsidP="004D5D53">
      <w:pPr>
        <w:pStyle w:val="Heading2"/>
        <w:spacing w:before="360"/>
      </w:pPr>
      <w:bookmarkStart w:id="7" w:name="_Toc294619480"/>
      <w:r>
        <w:lastRenderedPageBreak/>
        <w:t>Maximising Engagement, Attainment and Successful Transitions</w:t>
      </w:r>
      <w:bookmarkEnd w:id="7"/>
      <w:r>
        <w:t xml:space="preserve"> </w:t>
      </w:r>
    </w:p>
    <w:p w:rsidR="009C0CFA" w:rsidRPr="001426B2" w:rsidRDefault="009C0CFA" w:rsidP="00CE3DCE">
      <w:pPr>
        <w:pStyle w:val="Default"/>
        <w:spacing w:before="120"/>
        <w:rPr>
          <w:rFonts w:asciiTheme="minorHAnsi" w:hAnsiTheme="minorHAnsi" w:cstheme="minorHAnsi"/>
          <w:b/>
          <w:color w:val="auto"/>
          <w:sz w:val="22"/>
          <w:szCs w:val="22"/>
        </w:rPr>
      </w:pPr>
      <w:bookmarkStart w:id="8" w:name="_Toc275443696"/>
      <w:r w:rsidRPr="001426B2">
        <w:rPr>
          <w:rFonts w:asciiTheme="minorHAnsi" w:hAnsiTheme="minorHAnsi" w:cstheme="minorHAnsi"/>
          <w:b/>
          <w:color w:val="auto"/>
          <w:sz w:val="22"/>
          <w:szCs w:val="22"/>
        </w:rPr>
        <w:t>Funding</w:t>
      </w:r>
    </w:p>
    <w:p w:rsidR="009C0CFA" w:rsidRDefault="009C0CFA" w:rsidP="00CE3DCE">
      <w:pPr>
        <w:pStyle w:val="Default"/>
        <w:spacing w:before="120"/>
        <w:rPr>
          <w:rFonts w:ascii="Calibri" w:hAnsi="Calibri" w:cs="Calibri"/>
          <w:color w:val="auto"/>
          <w:sz w:val="22"/>
          <w:szCs w:val="22"/>
        </w:rPr>
      </w:pPr>
      <w:r w:rsidRPr="001426B2">
        <w:rPr>
          <w:rFonts w:ascii="Calibri" w:hAnsi="Calibri" w:cs="Calibri"/>
          <w:color w:val="auto"/>
          <w:sz w:val="22"/>
          <w:szCs w:val="22"/>
        </w:rPr>
        <w:t xml:space="preserve">The agreed Northern Territory allocation of project funding for </w:t>
      </w:r>
      <w:r w:rsidRPr="00CE3DCE">
        <w:rPr>
          <w:rFonts w:ascii="Calibri" w:hAnsi="Calibri" w:cs="Calibri"/>
          <w:b/>
          <w:color w:val="auto"/>
          <w:sz w:val="22"/>
          <w:szCs w:val="22"/>
        </w:rPr>
        <w:t>Maximising Engagement, Attainment and Successful Transitions</w:t>
      </w:r>
      <w:r w:rsidRPr="001426B2">
        <w:rPr>
          <w:rFonts w:ascii="Calibri" w:hAnsi="Calibri" w:cs="Calibri"/>
          <w:color w:val="auto"/>
          <w:sz w:val="22"/>
          <w:szCs w:val="22"/>
        </w:rPr>
        <w:t xml:space="preserve"> (</w:t>
      </w:r>
      <w:proofErr w:type="spellStart"/>
      <w:r w:rsidRPr="001426B2">
        <w:rPr>
          <w:rFonts w:ascii="Calibri" w:hAnsi="Calibri" w:cs="Calibri"/>
          <w:color w:val="auto"/>
          <w:sz w:val="22"/>
          <w:szCs w:val="22"/>
        </w:rPr>
        <w:t>MEAST</w:t>
      </w:r>
      <w:proofErr w:type="spellEnd"/>
      <w:r w:rsidRPr="001426B2">
        <w:rPr>
          <w:rFonts w:ascii="Calibri" w:hAnsi="Calibri" w:cs="Calibri"/>
          <w:color w:val="auto"/>
          <w:sz w:val="22"/>
          <w:szCs w:val="22"/>
        </w:rPr>
        <w:t>) is outlined in the table below.</w:t>
      </w:r>
    </w:p>
    <w:p w:rsidR="00CE3DCE" w:rsidRPr="00CE3DCE" w:rsidRDefault="00CE3DCE" w:rsidP="00CE3DCE">
      <w:pPr>
        <w:pStyle w:val="Default"/>
        <w:spacing w:before="120"/>
        <w:rPr>
          <w:rFonts w:ascii="Calibri" w:hAnsi="Calibri" w:cs="Calibri"/>
          <w:color w:val="auto"/>
          <w:sz w:val="4"/>
          <w:szCs w:val="4"/>
        </w:rPr>
      </w:pPr>
    </w:p>
    <w:p w:rsidR="009C0CFA" w:rsidRDefault="00CE3DCE" w:rsidP="009C0CFA">
      <w:pPr>
        <w:autoSpaceDE w:val="0"/>
        <w:autoSpaceDN w:val="0"/>
        <w:adjustRightInd w:val="0"/>
        <w:spacing w:line="240" w:lineRule="auto"/>
        <w:rPr>
          <w:rFonts w:ascii="Calibri-Bold" w:hAnsi="Calibri-Bold" w:cs="Calibri-Bold"/>
          <w:b/>
          <w:bCs/>
        </w:rPr>
      </w:pPr>
      <w:r>
        <w:rPr>
          <w:rFonts w:ascii="Calibri-Bold" w:hAnsi="Calibri-Bold" w:cs="Calibri-Bold"/>
          <w:b/>
          <w:bCs/>
          <w:noProof/>
          <w:lang w:eastAsia="en-AU"/>
        </w:rPr>
        <w:drawing>
          <wp:inline distT="0" distB="0" distL="0" distR="0">
            <wp:extent cx="6257925" cy="624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1941" cy="624833"/>
                    </a:xfrm>
                    <a:prstGeom prst="rect">
                      <a:avLst/>
                    </a:prstGeom>
                    <a:noFill/>
                    <a:ln>
                      <a:noFill/>
                    </a:ln>
                  </pic:spPr>
                </pic:pic>
              </a:graphicData>
            </a:graphic>
          </wp:inline>
        </w:drawing>
      </w:r>
    </w:p>
    <w:p w:rsidR="009C0CFA" w:rsidRPr="001426B2" w:rsidRDefault="009C0CFA" w:rsidP="00CE3DCE">
      <w:pPr>
        <w:pStyle w:val="Default"/>
        <w:spacing w:before="120"/>
        <w:rPr>
          <w:rFonts w:asciiTheme="minorHAnsi" w:hAnsiTheme="minorHAnsi" w:cstheme="minorHAnsi"/>
          <w:b/>
          <w:color w:val="auto"/>
          <w:sz w:val="22"/>
          <w:szCs w:val="22"/>
        </w:rPr>
      </w:pPr>
      <w:r w:rsidRPr="001426B2">
        <w:rPr>
          <w:rFonts w:asciiTheme="minorHAnsi" w:hAnsiTheme="minorHAnsi" w:cstheme="minorHAnsi"/>
          <w:b/>
          <w:color w:val="auto"/>
          <w:sz w:val="22"/>
          <w:szCs w:val="22"/>
        </w:rPr>
        <w:t>Overview</w:t>
      </w:r>
    </w:p>
    <w:p w:rsidR="009C0CFA" w:rsidRPr="001426B2" w:rsidRDefault="009C0CFA" w:rsidP="00CE3DCE">
      <w:pPr>
        <w:pStyle w:val="Default"/>
        <w:spacing w:before="120"/>
        <w:rPr>
          <w:rFonts w:ascii="Calibri" w:hAnsi="Calibri" w:cs="Calibri"/>
          <w:color w:val="auto"/>
          <w:sz w:val="22"/>
          <w:szCs w:val="22"/>
        </w:rPr>
      </w:pPr>
      <w:r w:rsidRPr="001426B2">
        <w:rPr>
          <w:rFonts w:ascii="Calibri" w:hAnsi="Calibri" w:cs="Calibri"/>
          <w:color w:val="auto"/>
          <w:sz w:val="22"/>
          <w:szCs w:val="22"/>
        </w:rPr>
        <w:t>The Maximising Engagement, Attainment and Successful Transitions funding is being used to employ three (3) officers to work cross‐</w:t>
      </w:r>
      <w:proofErr w:type="spellStart"/>
      <w:r w:rsidRPr="001426B2">
        <w:rPr>
          <w:rFonts w:ascii="Calibri" w:hAnsi="Calibri" w:cs="Calibri"/>
          <w:color w:val="auto"/>
          <w:sz w:val="22"/>
          <w:szCs w:val="22"/>
        </w:rPr>
        <w:t>sectorally</w:t>
      </w:r>
      <w:proofErr w:type="spellEnd"/>
      <w:r w:rsidRPr="001426B2">
        <w:rPr>
          <w:rFonts w:ascii="Calibri" w:hAnsi="Calibri" w:cs="Calibri"/>
          <w:color w:val="auto"/>
          <w:sz w:val="22"/>
          <w:szCs w:val="22"/>
        </w:rPr>
        <w:t xml:space="preserve"> to source appropriate structured work‐placement opportunities for Vocational Education and Training in Schools (</w:t>
      </w:r>
      <w:proofErr w:type="spellStart"/>
      <w:r w:rsidRPr="001426B2">
        <w:rPr>
          <w:rFonts w:ascii="Calibri" w:hAnsi="Calibri" w:cs="Calibri"/>
          <w:color w:val="auto"/>
          <w:sz w:val="22"/>
          <w:szCs w:val="22"/>
        </w:rPr>
        <w:t>VETiS</w:t>
      </w:r>
      <w:proofErr w:type="spellEnd"/>
      <w:r w:rsidRPr="001426B2">
        <w:rPr>
          <w:rFonts w:ascii="Calibri" w:hAnsi="Calibri" w:cs="Calibri"/>
          <w:color w:val="auto"/>
          <w:sz w:val="22"/>
          <w:szCs w:val="22"/>
        </w:rPr>
        <w:t>) students as part of the broader Multiple Learning Pathways reform area</w:t>
      </w:r>
      <w:r>
        <w:rPr>
          <w:rFonts w:ascii="Calibri" w:hAnsi="Calibri" w:cs="Calibri"/>
          <w:color w:val="auto"/>
          <w:sz w:val="22"/>
          <w:szCs w:val="22"/>
        </w:rPr>
        <w:t xml:space="preserve"> of the National Partnership Agreement.</w:t>
      </w:r>
      <w:r w:rsidRPr="001426B2">
        <w:rPr>
          <w:rFonts w:ascii="Calibri" w:hAnsi="Calibri" w:cs="Calibri"/>
          <w:color w:val="auto"/>
          <w:sz w:val="22"/>
          <w:szCs w:val="22"/>
        </w:rPr>
        <w:t xml:space="preserve"> Funding is being used for salaries and travel.</w:t>
      </w:r>
    </w:p>
    <w:p w:rsidR="009C0CFA" w:rsidRPr="00951397" w:rsidRDefault="009C0CFA" w:rsidP="00CE3DCE">
      <w:pPr>
        <w:pStyle w:val="Default"/>
        <w:spacing w:before="120"/>
        <w:rPr>
          <w:rFonts w:asciiTheme="minorHAnsi" w:hAnsiTheme="minorHAnsi" w:cstheme="minorHAnsi"/>
          <w:b/>
          <w:color w:val="auto"/>
          <w:sz w:val="22"/>
          <w:szCs w:val="22"/>
        </w:rPr>
      </w:pPr>
      <w:r w:rsidRPr="00951397">
        <w:rPr>
          <w:rFonts w:asciiTheme="minorHAnsi" w:hAnsiTheme="minorHAnsi" w:cstheme="minorHAnsi"/>
          <w:b/>
          <w:color w:val="auto"/>
          <w:sz w:val="22"/>
          <w:szCs w:val="22"/>
        </w:rPr>
        <w:t>Reform Detail</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 xml:space="preserve">The reform that is being delivered under the </w:t>
      </w:r>
      <w:proofErr w:type="spellStart"/>
      <w:r w:rsidRPr="00951397">
        <w:rPr>
          <w:rFonts w:ascii="Calibri" w:hAnsi="Calibri" w:cs="Calibri"/>
          <w:color w:val="auto"/>
          <w:sz w:val="22"/>
          <w:szCs w:val="22"/>
        </w:rPr>
        <w:t>MEAST</w:t>
      </w:r>
      <w:proofErr w:type="spellEnd"/>
      <w:r w:rsidRPr="00951397">
        <w:rPr>
          <w:rFonts w:ascii="Calibri" w:hAnsi="Calibri" w:cs="Calibri"/>
          <w:color w:val="auto"/>
          <w:sz w:val="22"/>
          <w:szCs w:val="22"/>
        </w:rPr>
        <w:t xml:space="preserve"> element of this National Partnership is part of the much wider reform agenda in the NT. At a funding level of $358,000 per annum, only minimal reform specific to this element can be achieved. </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 xml:space="preserve">Some young Indigenous Territorians, and in particular </w:t>
      </w:r>
      <w:proofErr w:type="gramStart"/>
      <w:r w:rsidRPr="00951397">
        <w:rPr>
          <w:rFonts w:ascii="Calibri" w:hAnsi="Calibri" w:cs="Calibri"/>
          <w:color w:val="auto"/>
          <w:sz w:val="22"/>
          <w:szCs w:val="22"/>
        </w:rPr>
        <w:t>Indigenous</w:t>
      </w:r>
      <w:proofErr w:type="gramEnd"/>
      <w:r w:rsidRPr="00951397">
        <w:rPr>
          <w:rFonts w:ascii="Calibri" w:hAnsi="Calibri" w:cs="Calibri"/>
          <w:color w:val="auto"/>
          <w:sz w:val="22"/>
          <w:szCs w:val="22"/>
        </w:rPr>
        <w:t xml:space="preserve"> young people in remote locations, have a poor understanding of the pathways within and between school and post‐school options.  Therefore they drop out of education and training or restrict themselves to one pathway, rather than explore the multiple pathways available to them.</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One difficulty for young people in making a commitment to education is that there is often no clear relationship between formal schooling and employment. Vocational Education and Training in Schools (</w:t>
      </w:r>
      <w:proofErr w:type="spellStart"/>
      <w:r w:rsidRPr="00951397">
        <w:rPr>
          <w:rFonts w:ascii="Calibri" w:hAnsi="Calibri" w:cs="Calibri"/>
          <w:color w:val="auto"/>
          <w:sz w:val="22"/>
          <w:szCs w:val="22"/>
        </w:rPr>
        <w:t>VETiS</w:t>
      </w:r>
      <w:proofErr w:type="spellEnd"/>
      <w:r w:rsidRPr="00951397">
        <w:rPr>
          <w:rFonts w:ascii="Calibri" w:hAnsi="Calibri" w:cs="Calibri"/>
          <w:color w:val="auto"/>
          <w:sz w:val="22"/>
          <w:szCs w:val="22"/>
        </w:rPr>
        <w:t xml:space="preserve">) is one way that schools can meet the increasing challenge of preparing young people for the world of work. There is also evidence that a curriculum that fosters closer links between school and work results in higher levels of student satisfaction. </w:t>
      </w:r>
    </w:p>
    <w:p w:rsidR="00CE3DCE"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 xml:space="preserve">As part of its broader senior years’ reform agenda the Northern Territory is ensuring that more young people have access to flexible and meaningful learning pathways. Expanding access to quality </w:t>
      </w:r>
      <w:proofErr w:type="spellStart"/>
      <w:r w:rsidRPr="00951397">
        <w:rPr>
          <w:rFonts w:ascii="Calibri" w:hAnsi="Calibri" w:cs="Calibri"/>
          <w:color w:val="auto"/>
          <w:sz w:val="22"/>
          <w:szCs w:val="22"/>
        </w:rPr>
        <w:t>VETiS</w:t>
      </w:r>
      <w:proofErr w:type="spellEnd"/>
      <w:r w:rsidRPr="00951397">
        <w:rPr>
          <w:rFonts w:ascii="Calibri" w:hAnsi="Calibri" w:cs="Calibri"/>
          <w:color w:val="auto"/>
          <w:sz w:val="22"/>
          <w:szCs w:val="22"/>
        </w:rPr>
        <w:t xml:space="preserve"> courses that are better aligned with local, regional and Territory labour market priorities and are underpinned by well-focussed Structured Workplace Learning (</w:t>
      </w:r>
      <w:proofErr w:type="spellStart"/>
      <w:r w:rsidRPr="00951397">
        <w:rPr>
          <w:rFonts w:ascii="Calibri" w:hAnsi="Calibri" w:cs="Calibri"/>
          <w:color w:val="auto"/>
          <w:sz w:val="22"/>
          <w:szCs w:val="22"/>
        </w:rPr>
        <w:t>SWL</w:t>
      </w:r>
      <w:proofErr w:type="spellEnd"/>
      <w:r w:rsidRPr="00951397">
        <w:rPr>
          <w:rFonts w:ascii="Calibri" w:hAnsi="Calibri" w:cs="Calibri"/>
          <w:color w:val="auto"/>
          <w:sz w:val="22"/>
          <w:szCs w:val="22"/>
        </w:rPr>
        <w:t xml:space="preserve">) is a key priority.  That is why the </w:t>
      </w:r>
      <w:proofErr w:type="spellStart"/>
      <w:r w:rsidRPr="00951397">
        <w:rPr>
          <w:rFonts w:ascii="Calibri" w:hAnsi="Calibri" w:cs="Calibri"/>
          <w:color w:val="auto"/>
          <w:sz w:val="22"/>
          <w:szCs w:val="22"/>
        </w:rPr>
        <w:t>MEAST</w:t>
      </w:r>
      <w:proofErr w:type="spellEnd"/>
      <w:r w:rsidRPr="00951397">
        <w:rPr>
          <w:rFonts w:ascii="Calibri" w:hAnsi="Calibri" w:cs="Calibri"/>
          <w:color w:val="auto"/>
          <w:sz w:val="22"/>
          <w:szCs w:val="22"/>
        </w:rPr>
        <w:t xml:space="preserve"> initiative is a critical component of the reforms leading to improved youth attainment and transitions outcomes.</w:t>
      </w:r>
      <w:r w:rsidR="00CE3DCE">
        <w:rPr>
          <w:rFonts w:ascii="Calibri" w:hAnsi="Calibri" w:cs="Calibri"/>
          <w:color w:val="auto"/>
          <w:sz w:val="22"/>
          <w:szCs w:val="22"/>
        </w:rPr>
        <w:t xml:space="preserve"> </w:t>
      </w:r>
      <w:r w:rsidRPr="00951397">
        <w:rPr>
          <w:rFonts w:ascii="Calibri" w:hAnsi="Calibri" w:cs="Calibri"/>
          <w:color w:val="auto"/>
          <w:sz w:val="22"/>
          <w:szCs w:val="22"/>
        </w:rPr>
        <w:t xml:space="preserve">The outcomes, performance indicators and targets for this reform area are as </w:t>
      </w:r>
      <w:r w:rsidR="00CE3DCE">
        <w:rPr>
          <w:rFonts w:ascii="Calibri" w:hAnsi="Calibri" w:cs="Calibri"/>
          <w:color w:val="auto"/>
          <w:sz w:val="22"/>
          <w:szCs w:val="22"/>
        </w:rPr>
        <w:t>follows:</w:t>
      </w:r>
    </w:p>
    <w:p w:rsidR="009C0CFA" w:rsidRDefault="009C0CFA" w:rsidP="00CE3DCE">
      <w:pPr>
        <w:pStyle w:val="Default"/>
        <w:spacing w:before="120"/>
        <w:jc w:val="center"/>
        <w:rPr>
          <w:rFonts w:ascii="Calibri" w:hAnsi="Calibri" w:cs="Calibri"/>
          <w:color w:val="auto"/>
          <w:sz w:val="22"/>
          <w:szCs w:val="22"/>
        </w:rPr>
      </w:pPr>
      <w:r>
        <w:rPr>
          <w:rFonts w:ascii="Calibri" w:hAnsi="Calibri" w:cs="Calibri"/>
          <w:noProof/>
          <w:color w:val="auto"/>
          <w:sz w:val="22"/>
          <w:szCs w:val="22"/>
          <w:lang w:eastAsia="en-AU"/>
        </w:rPr>
        <w:drawing>
          <wp:inline distT="0" distB="0" distL="0" distR="0">
            <wp:extent cx="5749787" cy="2552369"/>
            <wp:effectExtent l="19050" t="0" r="331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4697" cy="2550110"/>
                    </a:xfrm>
                    <a:prstGeom prst="rect">
                      <a:avLst/>
                    </a:prstGeom>
                    <a:noFill/>
                    <a:ln>
                      <a:noFill/>
                    </a:ln>
                  </pic:spPr>
                </pic:pic>
              </a:graphicData>
            </a:graphic>
          </wp:inline>
        </w:drawing>
      </w:r>
    </w:p>
    <w:p w:rsidR="009C0CFA" w:rsidRDefault="009C0CFA" w:rsidP="009C0CFA">
      <w:pPr>
        <w:autoSpaceDE w:val="0"/>
        <w:autoSpaceDN w:val="0"/>
        <w:adjustRightInd w:val="0"/>
        <w:spacing w:line="240" w:lineRule="auto"/>
        <w:rPr>
          <w:rFonts w:cstheme="minorHAnsi"/>
          <w:b/>
          <w:bCs/>
        </w:rPr>
      </w:pPr>
    </w:p>
    <w:p w:rsidR="009C0CFA" w:rsidRPr="00951397" w:rsidRDefault="009C0CFA" w:rsidP="00CE3DCE">
      <w:pPr>
        <w:pStyle w:val="Default"/>
        <w:spacing w:before="120"/>
        <w:rPr>
          <w:rFonts w:asciiTheme="minorHAnsi" w:hAnsiTheme="minorHAnsi" w:cstheme="minorHAnsi"/>
          <w:b/>
          <w:color w:val="auto"/>
          <w:sz w:val="22"/>
          <w:szCs w:val="22"/>
        </w:rPr>
      </w:pPr>
      <w:r w:rsidRPr="00951397">
        <w:rPr>
          <w:rFonts w:asciiTheme="minorHAnsi" w:hAnsiTheme="minorHAnsi" w:cstheme="minorHAnsi"/>
          <w:b/>
          <w:color w:val="auto"/>
          <w:sz w:val="22"/>
          <w:szCs w:val="22"/>
        </w:rPr>
        <w:lastRenderedPageBreak/>
        <w:t>What does this reform mean for Young People in the Northern Territory?</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 xml:space="preserve">The employment of officers to source and coordinate </w:t>
      </w:r>
      <w:proofErr w:type="spellStart"/>
      <w:r w:rsidRPr="00951397">
        <w:rPr>
          <w:rFonts w:ascii="Calibri" w:hAnsi="Calibri" w:cs="Calibri"/>
          <w:color w:val="auto"/>
          <w:sz w:val="22"/>
          <w:szCs w:val="22"/>
        </w:rPr>
        <w:t>SWL</w:t>
      </w:r>
      <w:proofErr w:type="spellEnd"/>
      <w:r w:rsidRPr="00951397">
        <w:rPr>
          <w:rFonts w:ascii="Calibri" w:hAnsi="Calibri" w:cs="Calibri"/>
          <w:color w:val="auto"/>
          <w:sz w:val="22"/>
          <w:szCs w:val="22"/>
        </w:rPr>
        <w:t>:</w:t>
      </w:r>
    </w:p>
    <w:p w:rsidR="009C0CFA" w:rsidRPr="00951397" w:rsidRDefault="009C0CFA" w:rsidP="00CE3DCE">
      <w:pPr>
        <w:pStyle w:val="Default"/>
        <w:numPr>
          <w:ilvl w:val="0"/>
          <w:numId w:val="20"/>
        </w:numPr>
        <w:spacing w:before="120"/>
        <w:rPr>
          <w:rFonts w:ascii="Calibri" w:hAnsi="Calibri" w:cs="Calibri"/>
          <w:color w:val="auto"/>
          <w:sz w:val="22"/>
          <w:szCs w:val="22"/>
        </w:rPr>
      </w:pPr>
      <w:r w:rsidRPr="00951397">
        <w:rPr>
          <w:rFonts w:ascii="Calibri" w:hAnsi="Calibri" w:cs="Calibri"/>
          <w:color w:val="auto"/>
          <w:sz w:val="22"/>
          <w:szCs w:val="22"/>
        </w:rPr>
        <w:t>provides higher quality learning pathways for young people leading to better engagement in schooling;</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 xml:space="preserve">provides expanded access to well-targeted </w:t>
      </w:r>
      <w:proofErr w:type="spellStart"/>
      <w:r w:rsidRPr="00CE3DCE">
        <w:rPr>
          <w:rFonts w:ascii="Calibri" w:hAnsi="Calibri" w:cs="Calibri"/>
          <w:color w:val="auto"/>
          <w:sz w:val="22"/>
          <w:szCs w:val="22"/>
        </w:rPr>
        <w:t>SWL</w:t>
      </w:r>
      <w:proofErr w:type="spellEnd"/>
      <w:r w:rsidRPr="00CE3DCE">
        <w:rPr>
          <w:rFonts w:ascii="Calibri" w:hAnsi="Calibri" w:cs="Calibri"/>
          <w:color w:val="auto"/>
          <w:sz w:val="22"/>
          <w:szCs w:val="22"/>
        </w:rPr>
        <w:t xml:space="preserve"> placements;</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 xml:space="preserve">is enhancing the quality of learning and assessment in </w:t>
      </w:r>
      <w:proofErr w:type="spellStart"/>
      <w:r w:rsidRPr="00CE3DCE">
        <w:rPr>
          <w:rFonts w:ascii="Calibri" w:hAnsi="Calibri" w:cs="Calibri"/>
          <w:color w:val="auto"/>
          <w:sz w:val="22"/>
          <w:szCs w:val="22"/>
        </w:rPr>
        <w:t>VETiS</w:t>
      </w:r>
      <w:proofErr w:type="spellEnd"/>
      <w:r w:rsidRPr="00CE3DCE">
        <w:rPr>
          <w:rFonts w:ascii="Calibri" w:hAnsi="Calibri" w:cs="Calibri"/>
          <w:color w:val="auto"/>
          <w:sz w:val="22"/>
          <w:szCs w:val="22"/>
        </w:rPr>
        <w:t xml:space="preserve"> courses, which will lead to higher levels of attainment and more successful transition outcomes for young people;</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 xml:space="preserve">is driving stronger industry engagement in </w:t>
      </w:r>
      <w:proofErr w:type="spellStart"/>
      <w:r w:rsidRPr="00CE3DCE">
        <w:rPr>
          <w:rFonts w:ascii="Calibri" w:hAnsi="Calibri" w:cs="Calibri"/>
          <w:color w:val="auto"/>
          <w:sz w:val="22"/>
          <w:szCs w:val="22"/>
        </w:rPr>
        <w:t>VETiS</w:t>
      </w:r>
      <w:proofErr w:type="spellEnd"/>
      <w:r w:rsidRPr="00CE3DCE">
        <w:rPr>
          <w:rFonts w:ascii="Calibri" w:hAnsi="Calibri" w:cs="Calibri"/>
          <w:color w:val="auto"/>
          <w:sz w:val="22"/>
          <w:szCs w:val="22"/>
        </w:rPr>
        <w:t xml:space="preserve"> by providing a single point of contact for employers; and</w:t>
      </w:r>
    </w:p>
    <w:p w:rsidR="009C0CFA" w:rsidRPr="00CE3DCE" w:rsidRDefault="009C0CFA" w:rsidP="00CE3DCE">
      <w:pPr>
        <w:pStyle w:val="Default"/>
        <w:numPr>
          <w:ilvl w:val="0"/>
          <w:numId w:val="20"/>
        </w:numPr>
        <w:spacing w:before="120"/>
        <w:rPr>
          <w:rFonts w:ascii="Calibri" w:hAnsi="Calibri" w:cs="Calibri"/>
          <w:color w:val="auto"/>
          <w:sz w:val="22"/>
          <w:szCs w:val="22"/>
        </w:rPr>
      </w:pPr>
      <w:proofErr w:type="gramStart"/>
      <w:r w:rsidRPr="00CE3DCE">
        <w:rPr>
          <w:rFonts w:ascii="Calibri" w:hAnsi="Calibri" w:cs="Calibri"/>
          <w:color w:val="auto"/>
          <w:sz w:val="22"/>
          <w:szCs w:val="22"/>
        </w:rPr>
        <w:t>ensures</w:t>
      </w:r>
      <w:proofErr w:type="gramEnd"/>
      <w:r w:rsidRPr="00CE3DCE">
        <w:rPr>
          <w:rFonts w:ascii="Calibri" w:hAnsi="Calibri" w:cs="Calibri"/>
          <w:color w:val="auto"/>
          <w:sz w:val="22"/>
          <w:szCs w:val="22"/>
        </w:rPr>
        <w:t xml:space="preserve"> </w:t>
      </w:r>
      <w:proofErr w:type="spellStart"/>
      <w:r w:rsidRPr="00CE3DCE">
        <w:rPr>
          <w:rFonts w:ascii="Calibri" w:hAnsi="Calibri" w:cs="Calibri"/>
          <w:color w:val="auto"/>
          <w:sz w:val="22"/>
          <w:szCs w:val="22"/>
        </w:rPr>
        <w:t>SWL</w:t>
      </w:r>
      <w:proofErr w:type="spellEnd"/>
      <w:r w:rsidRPr="00CE3DCE">
        <w:rPr>
          <w:rFonts w:ascii="Calibri" w:hAnsi="Calibri" w:cs="Calibri"/>
          <w:color w:val="auto"/>
          <w:sz w:val="22"/>
          <w:szCs w:val="22"/>
        </w:rPr>
        <w:t xml:space="preserve"> is well coordinated across education sectors.</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Over time it is expected that this initiative will:</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 xml:space="preserve">improve industry perception of the qualifications achieved through a </w:t>
      </w:r>
      <w:proofErr w:type="spellStart"/>
      <w:r w:rsidRPr="00CE3DCE">
        <w:rPr>
          <w:rFonts w:ascii="Calibri" w:hAnsi="Calibri" w:cs="Calibri"/>
          <w:color w:val="auto"/>
          <w:sz w:val="22"/>
          <w:szCs w:val="22"/>
        </w:rPr>
        <w:t>VETiS</w:t>
      </w:r>
      <w:proofErr w:type="spellEnd"/>
      <w:r w:rsidRPr="00CE3DCE">
        <w:rPr>
          <w:rFonts w:ascii="Calibri" w:hAnsi="Calibri" w:cs="Calibri"/>
          <w:color w:val="auto"/>
          <w:sz w:val="22"/>
          <w:szCs w:val="22"/>
        </w:rPr>
        <w:t xml:space="preserve"> pathway, particularly for students who complete </w:t>
      </w:r>
      <w:proofErr w:type="spellStart"/>
      <w:r w:rsidRPr="00CE3DCE">
        <w:rPr>
          <w:rFonts w:ascii="Calibri" w:hAnsi="Calibri" w:cs="Calibri"/>
          <w:color w:val="auto"/>
          <w:sz w:val="22"/>
          <w:szCs w:val="22"/>
        </w:rPr>
        <w:t>VETiS</w:t>
      </w:r>
      <w:proofErr w:type="spellEnd"/>
      <w:r w:rsidRPr="00CE3DCE">
        <w:rPr>
          <w:rFonts w:ascii="Calibri" w:hAnsi="Calibri" w:cs="Calibri"/>
          <w:color w:val="auto"/>
          <w:sz w:val="22"/>
          <w:szCs w:val="22"/>
        </w:rPr>
        <w:t xml:space="preserve"> qualifications in remote locations; and</w:t>
      </w:r>
    </w:p>
    <w:p w:rsidR="009C0CFA" w:rsidRPr="00CE3DCE" w:rsidRDefault="009C0CFA" w:rsidP="00CE3DCE">
      <w:pPr>
        <w:pStyle w:val="Default"/>
        <w:numPr>
          <w:ilvl w:val="0"/>
          <w:numId w:val="20"/>
        </w:numPr>
        <w:spacing w:before="120"/>
        <w:rPr>
          <w:rFonts w:ascii="Calibri" w:hAnsi="Calibri" w:cs="Calibri"/>
          <w:color w:val="auto"/>
          <w:sz w:val="22"/>
          <w:szCs w:val="22"/>
        </w:rPr>
      </w:pPr>
      <w:proofErr w:type="gramStart"/>
      <w:r w:rsidRPr="00CE3DCE">
        <w:rPr>
          <w:rFonts w:ascii="Calibri" w:hAnsi="Calibri" w:cs="Calibri"/>
          <w:color w:val="auto"/>
          <w:sz w:val="22"/>
          <w:szCs w:val="22"/>
        </w:rPr>
        <w:t>ensure</w:t>
      </w:r>
      <w:proofErr w:type="gramEnd"/>
      <w:r w:rsidRPr="00CE3DCE">
        <w:rPr>
          <w:rFonts w:ascii="Calibri" w:hAnsi="Calibri" w:cs="Calibri"/>
          <w:color w:val="auto"/>
          <w:sz w:val="22"/>
          <w:szCs w:val="22"/>
        </w:rPr>
        <w:t xml:space="preserve"> </w:t>
      </w:r>
      <w:proofErr w:type="spellStart"/>
      <w:r w:rsidRPr="00CE3DCE">
        <w:rPr>
          <w:rFonts w:ascii="Calibri" w:hAnsi="Calibri" w:cs="Calibri"/>
          <w:color w:val="auto"/>
          <w:sz w:val="22"/>
          <w:szCs w:val="22"/>
        </w:rPr>
        <w:t>VETiS</w:t>
      </w:r>
      <w:proofErr w:type="spellEnd"/>
      <w:r w:rsidRPr="00CE3DCE">
        <w:rPr>
          <w:rFonts w:ascii="Calibri" w:hAnsi="Calibri" w:cs="Calibri"/>
          <w:color w:val="auto"/>
          <w:sz w:val="22"/>
          <w:szCs w:val="22"/>
        </w:rPr>
        <w:t xml:space="preserve"> is seen by industry and the community as a highly valued and valuable pathway for young people.</w:t>
      </w:r>
    </w:p>
    <w:p w:rsidR="009C0CFA" w:rsidRPr="005C2617" w:rsidRDefault="009C0CFA" w:rsidP="00CE3DCE">
      <w:pPr>
        <w:pStyle w:val="Default"/>
        <w:spacing w:before="120"/>
        <w:rPr>
          <w:rFonts w:asciiTheme="minorHAnsi" w:hAnsiTheme="minorHAnsi" w:cstheme="minorHAnsi"/>
          <w:b/>
          <w:color w:val="auto"/>
          <w:sz w:val="22"/>
          <w:szCs w:val="22"/>
        </w:rPr>
      </w:pPr>
      <w:r w:rsidRPr="005C2617">
        <w:rPr>
          <w:rFonts w:asciiTheme="minorHAnsi" w:hAnsiTheme="minorHAnsi" w:cstheme="minorHAnsi"/>
          <w:b/>
          <w:color w:val="auto"/>
          <w:sz w:val="22"/>
          <w:szCs w:val="22"/>
        </w:rPr>
        <w:t>Participation and Pathways Division</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On their own, three</w:t>
      </w:r>
      <w:r>
        <w:rPr>
          <w:rFonts w:ascii="Calibri" w:hAnsi="Calibri" w:cs="Calibri"/>
          <w:color w:val="auto"/>
          <w:sz w:val="22"/>
          <w:szCs w:val="22"/>
        </w:rPr>
        <w:t xml:space="preserve"> (3)</w:t>
      </w:r>
      <w:r w:rsidRPr="00951397">
        <w:rPr>
          <w:rFonts w:ascii="Calibri" w:hAnsi="Calibri" w:cs="Calibri"/>
          <w:color w:val="auto"/>
          <w:sz w:val="22"/>
          <w:szCs w:val="22"/>
        </w:rPr>
        <w:t xml:space="preserve"> officers employed with the funding provided under the </w:t>
      </w:r>
      <w:proofErr w:type="spellStart"/>
      <w:r w:rsidRPr="00951397">
        <w:rPr>
          <w:rFonts w:ascii="Calibri" w:hAnsi="Calibri" w:cs="Calibri"/>
          <w:color w:val="auto"/>
          <w:sz w:val="22"/>
          <w:szCs w:val="22"/>
        </w:rPr>
        <w:t>MEAST</w:t>
      </w:r>
      <w:proofErr w:type="spellEnd"/>
      <w:r w:rsidRPr="00951397">
        <w:rPr>
          <w:rFonts w:ascii="Calibri" w:hAnsi="Calibri" w:cs="Calibri"/>
          <w:color w:val="auto"/>
          <w:sz w:val="22"/>
          <w:szCs w:val="22"/>
        </w:rPr>
        <w:t xml:space="preserve"> element would have been ineffective in achieving the outcomes of the reform.  Therefore the Northern Territory Department of Education and Training (</w:t>
      </w:r>
      <w:proofErr w:type="spellStart"/>
      <w:r w:rsidRPr="00951397">
        <w:rPr>
          <w:rFonts w:ascii="Calibri" w:hAnsi="Calibri" w:cs="Calibri"/>
          <w:color w:val="auto"/>
          <w:sz w:val="22"/>
          <w:szCs w:val="22"/>
        </w:rPr>
        <w:t>DET</w:t>
      </w:r>
      <w:proofErr w:type="spellEnd"/>
      <w:r w:rsidRPr="00951397">
        <w:rPr>
          <w:rFonts w:ascii="Calibri" w:hAnsi="Calibri" w:cs="Calibri"/>
          <w:color w:val="auto"/>
          <w:sz w:val="22"/>
          <w:szCs w:val="22"/>
        </w:rPr>
        <w:t>) has established a Participation and Pathways Division which increases the number of officers performing this role and embeds them in a structure which is focussed on achieving three main objectives:</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getting students to school;</w:t>
      </w:r>
    </w:p>
    <w:p w:rsidR="009C0CFA" w:rsidRPr="00CE3DCE" w:rsidRDefault="009C0CFA" w:rsidP="00CE3DCE">
      <w:pPr>
        <w:pStyle w:val="Default"/>
        <w:numPr>
          <w:ilvl w:val="0"/>
          <w:numId w:val="20"/>
        </w:numPr>
        <w:spacing w:before="120"/>
        <w:rPr>
          <w:rFonts w:ascii="Calibri" w:hAnsi="Calibri" w:cs="Calibri"/>
          <w:color w:val="auto"/>
          <w:sz w:val="22"/>
          <w:szCs w:val="22"/>
        </w:rPr>
      </w:pPr>
      <w:r w:rsidRPr="00CE3DCE">
        <w:rPr>
          <w:rFonts w:ascii="Calibri" w:hAnsi="Calibri" w:cs="Calibri"/>
          <w:color w:val="auto"/>
          <w:sz w:val="22"/>
          <w:szCs w:val="22"/>
        </w:rPr>
        <w:t>engaging them in school; and</w:t>
      </w:r>
    </w:p>
    <w:p w:rsidR="009C0CFA" w:rsidRPr="00CE3DCE" w:rsidRDefault="009C0CFA" w:rsidP="00CE3DCE">
      <w:pPr>
        <w:pStyle w:val="Default"/>
        <w:numPr>
          <w:ilvl w:val="0"/>
          <w:numId w:val="20"/>
        </w:numPr>
        <w:spacing w:before="120"/>
        <w:rPr>
          <w:rFonts w:ascii="Calibri" w:hAnsi="Calibri" w:cs="Calibri"/>
          <w:color w:val="auto"/>
          <w:sz w:val="22"/>
          <w:szCs w:val="22"/>
        </w:rPr>
      </w:pPr>
      <w:proofErr w:type="gramStart"/>
      <w:r w:rsidRPr="00CE3DCE">
        <w:rPr>
          <w:rFonts w:ascii="Calibri" w:hAnsi="Calibri" w:cs="Calibri"/>
          <w:color w:val="auto"/>
          <w:sz w:val="22"/>
          <w:szCs w:val="22"/>
        </w:rPr>
        <w:t>focusing</w:t>
      </w:r>
      <w:proofErr w:type="gramEnd"/>
      <w:r w:rsidRPr="00CE3DCE">
        <w:rPr>
          <w:rFonts w:ascii="Calibri" w:hAnsi="Calibri" w:cs="Calibri"/>
          <w:color w:val="auto"/>
          <w:sz w:val="22"/>
          <w:szCs w:val="22"/>
        </w:rPr>
        <w:t xml:space="preserve"> them on an employment pathway.</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To achieve the second and third objectives the Division is focusing on improving the quality and targeting of Vocational Education and Training in Schools (</w:t>
      </w:r>
      <w:proofErr w:type="spellStart"/>
      <w:r w:rsidRPr="00951397">
        <w:rPr>
          <w:rFonts w:ascii="Calibri" w:hAnsi="Calibri" w:cs="Calibri"/>
          <w:color w:val="auto"/>
          <w:sz w:val="22"/>
          <w:szCs w:val="22"/>
        </w:rPr>
        <w:t>VETiS</w:t>
      </w:r>
      <w:proofErr w:type="spellEnd"/>
      <w:r w:rsidRPr="00951397">
        <w:rPr>
          <w:rFonts w:ascii="Calibri" w:hAnsi="Calibri" w:cs="Calibri"/>
          <w:color w:val="auto"/>
          <w:sz w:val="22"/>
          <w:szCs w:val="22"/>
        </w:rPr>
        <w:t>).  Twelve (12) Industry Engagement and Participation Officers (</w:t>
      </w:r>
      <w:proofErr w:type="spellStart"/>
      <w:r w:rsidRPr="00951397">
        <w:rPr>
          <w:rFonts w:ascii="Calibri" w:hAnsi="Calibri" w:cs="Calibri"/>
          <w:color w:val="auto"/>
          <w:sz w:val="22"/>
          <w:szCs w:val="22"/>
        </w:rPr>
        <w:t>IEPOs</w:t>
      </w:r>
      <w:proofErr w:type="spellEnd"/>
      <w:r w:rsidRPr="00951397">
        <w:rPr>
          <w:rFonts w:ascii="Calibri" w:hAnsi="Calibri" w:cs="Calibri"/>
          <w:color w:val="auto"/>
          <w:sz w:val="22"/>
          <w:szCs w:val="22"/>
        </w:rPr>
        <w:t>) have been employed to work primarily on the coordination of structured work placements</w:t>
      </w:r>
      <w:r>
        <w:rPr>
          <w:rFonts w:ascii="Calibri" w:hAnsi="Calibri" w:cs="Calibri"/>
          <w:color w:val="auto"/>
          <w:sz w:val="22"/>
          <w:szCs w:val="22"/>
        </w:rPr>
        <w:t>,</w:t>
      </w:r>
      <w:r w:rsidRPr="00951397">
        <w:rPr>
          <w:rFonts w:ascii="Calibri" w:hAnsi="Calibri" w:cs="Calibri"/>
          <w:color w:val="auto"/>
          <w:sz w:val="22"/>
          <w:szCs w:val="22"/>
        </w:rPr>
        <w:t xml:space="preserve"> but they have the added responsibilities of building relationships with employers and assisting Learn or Earn officers to support young people who have left school but are in the participation cohort.</w:t>
      </w:r>
    </w:p>
    <w:p w:rsidR="009C0CFA" w:rsidRPr="00951397"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In addition, a Corporate Engagement and Partnerships team has been created to engage major industry groups from across Australia and internationally.</w:t>
      </w:r>
    </w:p>
    <w:p w:rsidR="009C0CFA" w:rsidRPr="00CE3DCE" w:rsidRDefault="009C0CFA" w:rsidP="00CE3DCE">
      <w:pPr>
        <w:pStyle w:val="Default"/>
        <w:spacing w:before="120"/>
        <w:rPr>
          <w:rFonts w:ascii="Calibri" w:hAnsi="Calibri" w:cs="Calibri"/>
          <w:color w:val="auto"/>
          <w:sz w:val="22"/>
          <w:szCs w:val="22"/>
        </w:rPr>
      </w:pPr>
      <w:r w:rsidRPr="00951397">
        <w:rPr>
          <w:rFonts w:ascii="Calibri" w:hAnsi="Calibri" w:cs="Calibri"/>
          <w:color w:val="auto"/>
          <w:sz w:val="22"/>
          <w:szCs w:val="22"/>
        </w:rPr>
        <w:t xml:space="preserve">This Division was established at the beginning of 2010 and </w:t>
      </w:r>
      <w:r>
        <w:rPr>
          <w:rFonts w:ascii="Calibri" w:hAnsi="Calibri" w:cs="Calibri"/>
          <w:color w:val="auto"/>
          <w:sz w:val="22"/>
          <w:szCs w:val="22"/>
        </w:rPr>
        <w:t>was</w:t>
      </w:r>
      <w:r w:rsidRPr="00951397">
        <w:rPr>
          <w:rFonts w:ascii="Calibri" w:hAnsi="Calibri" w:cs="Calibri"/>
          <w:color w:val="auto"/>
          <w:sz w:val="22"/>
          <w:szCs w:val="22"/>
        </w:rPr>
        <w:t xml:space="preserve"> consolidat</w:t>
      </w:r>
      <w:r>
        <w:rPr>
          <w:rFonts w:ascii="Calibri" w:hAnsi="Calibri" w:cs="Calibri"/>
          <w:color w:val="auto"/>
          <w:sz w:val="22"/>
          <w:szCs w:val="22"/>
        </w:rPr>
        <w:t>ing</w:t>
      </w:r>
      <w:r w:rsidRPr="00951397">
        <w:rPr>
          <w:rFonts w:ascii="Calibri" w:hAnsi="Calibri" w:cs="Calibri"/>
          <w:color w:val="auto"/>
          <w:sz w:val="22"/>
          <w:szCs w:val="22"/>
        </w:rPr>
        <w:t xml:space="preserve"> its role </w:t>
      </w:r>
      <w:r>
        <w:rPr>
          <w:rFonts w:ascii="Calibri" w:hAnsi="Calibri" w:cs="Calibri"/>
          <w:color w:val="auto"/>
          <w:sz w:val="22"/>
          <w:szCs w:val="22"/>
        </w:rPr>
        <w:t>in</w:t>
      </w:r>
      <w:r w:rsidRPr="00951397">
        <w:rPr>
          <w:rFonts w:ascii="Calibri" w:hAnsi="Calibri" w:cs="Calibri"/>
          <w:color w:val="auto"/>
          <w:sz w:val="22"/>
          <w:szCs w:val="22"/>
        </w:rPr>
        <w:t xml:space="preserve"> the latter part of that year when</w:t>
      </w:r>
      <w:r w:rsidRPr="00CE3DCE">
        <w:rPr>
          <w:rFonts w:ascii="Calibri" w:hAnsi="Calibri" w:cs="Calibri"/>
          <w:color w:val="auto"/>
          <w:sz w:val="22"/>
          <w:szCs w:val="22"/>
        </w:rPr>
        <w:t xml:space="preserve"> the specific tasks required for effective implementation of the reform became clearer.  As a result, data collection is </w:t>
      </w:r>
      <w:r w:rsidR="006240FC">
        <w:rPr>
          <w:rFonts w:ascii="Calibri" w:hAnsi="Calibri" w:cs="Calibri"/>
          <w:color w:val="auto"/>
          <w:sz w:val="22"/>
          <w:szCs w:val="22"/>
        </w:rPr>
        <w:t>still</w:t>
      </w:r>
      <w:r w:rsidRPr="00CE3DCE">
        <w:rPr>
          <w:rFonts w:ascii="Calibri" w:hAnsi="Calibri" w:cs="Calibri"/>
          <w:color w:val="auto"/>
          <w:sz w:val="22"/>
          <w:szCs w:val="22"/>
        </w:rPr>
        <w:t xml:space="preserve"> in its establishment stages. </w:t>
      </w:r>
    </w:p>
    <w:p w:rsidR="009C0CFA" w:rsidRPr="00CE3DCE" w:rsidRDefault="009C0CFA" w:rsidP="00CE3DCE">
      <w:pPr>
        <w:pStyle w:val="Default"/>
        <w:spacing w:before="120"/>
        <w:rPr>
          <w:rFonts w:ascii="Calibri" w:hAnsi="Calibri" w:cs="Calibri"/>
          <w:color w:val="auto"/>
          <w:sz w:val="22"/>
          <w:szCs w:val="22"/>
        </w:rPr>
      </w:pPr>
      <w:r w:rsidRPr="00CE3DCE">
        <w:rPr>
          <w:rFonts w:ascii="Calibri" w:hAnsi="Calibri" w:cs="Calibri"/>
          <w:color w:val="auto"/>
          <w:sz w:val="22"/>
          <w:szCs w:val="22"/>
        </w:rPr>
        <w:t>In 2011 additional senior roles have been added to the Division and the Organisation Chart is being amended to better align work areas with NT and national priorities.</w:t>
      </w: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color w:val="auto"/>
          <w:sz w:val="22"/>
          <w:szCs w:val="22"/>
        </w:rPr>
        <w:sectPr w:rsidR="009C0CFA" w:rsidSect="004643B7">
          <w:footerReference w:type="default" r:id="rId18"/>
          <w:pgSz w:w="11906" w:h="16838"/>
          <w:pgMar w:top="1276" w:right="426" w:bottom="1440" w:left="568" w:header="709" w:footer="709" w:gutter="0"/>
          <w:cols w:space="708"/>
          <w:docGrid w:linePitch="360"/>
        </w:sectPr>
      </w:pPr>
    </w:p>
    <w:p w:rsidR="009C0CFA" w:rsidRDefault="009C0CFA" w:rsidP="009C0CFA">
      <w:pPr>
        <w:pStyle w:val="Default"/>
        <w:spacing w:before="120"/>
        <w:rPr>
          <w:rFonts w:asciiTheme="minorHAnsi" w:hAnsiTheme="minorHAnsi" w:cstheme="minorHAnsi"/>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r>
        <w:rPr>
          <w:rFonts w:asciiTheme="minorHAnsi" w:hAnsiTheme="minorHAnsi" w:cstheme="minorHAnsi"/>
          <w:b/>
          <w:color w:val="auto"/>
          <w:sz w:val="22"/>
          <w:szCs w:val="22"/>
        </w:rPr>
        <w:t>2010 ORGANISATION CHART FOR THE PARTICIPATION AND PATHWAYS DIVISION</w:t>
      </w:r>
    </w:p>
    <w:p w:rsidR="009C0CFA" w:rsidRDefault="009C0CFA" w:rsidP="009C0CFA">
      <w:pPr>
        <w:pStyle w:val="Default"/>
        <w:spacing w:before="120"/>
        <w:rPr>
          <w:rFonts w:asciiTheme="minorHAnsi" w:hAnsiTheme="minorHAnsi" w:cstheme="minorHAnsi"/>
          <w:b/>
          <w:color w:val="auto"/>
          <w:sz w:val="22"/>
          <w:szCs w:val="22"/>
        </w:rPr>
      </w:pPr>
      <w:r>
        <w:rPr>
          <w:rFonts w:cstheme="minorHAnsi"/>
          <w:b/>
          <w:noProof/>
          <w:lang w:eastAsia="en-AU"/>
        </w:rPr>
        <w:drawing>
          <wp:anchor distT="0" distB="0" distL="114300" distR="114300" simplePos="0" relativeHeight="251663360" behindDoc="0" locked="0" layoutInCell="1" allowOverlap="1">
            <wp:simplePos x="0" y="0"/>
            <wp:positionH relativeFrom="column">
              <wp:posOffset>19050</wp:posOffset>
            </wp:positionH>
            <wp:positionV relativeFrom="paragraph">
              <wp:posOffset>74930</wp:posOffset>
            </wp:positionV>
            <wp:extent cx="9266341" cy="60007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7350" t="26689" r="17004" b="7601"/>
                    <a:stretch>
                      <a:fillRect/>
                    </a:stretch>
                  </pic:blipFill>
                  <pic:spPr bwMode="auto">
                    <a:xfrm>
                      <a:off x="0" y="0"/>
                      <a:ext cx="9283026" cy="6011555"/>
                    </a:xfrm>
                    <a:prstGeom prst="rect">
                      <a:avLst/>
                    </a:prstGeom>
                    <a:noFill/>
                    <a:ln w="9525">
                      <a:noFill/>
                      <a:miter lim="800000"/>
                      <a:headEnd/>
                      <a:tailEnd/>
                    </a:ln>
                  </pic:spPr>
                </pic:pic>
              </a:graphicData>
            </a:graphic>
          </wp:anchor>
        </w:drawing>
      </w: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pPr>
    </w:p>
    <w:p w:rsidR="009C0CFA" w:rsidRDefault="009C0CFA" w:rsidP="009C0CFA">
      <w:pPr>
        <w:pStyle w:val="Default"/>
        <w:spacing w:before="120"/>
        <w:rPr>
          <w:rFonts w:asciiTheme="minorHAnsi" w:hAnsiTheme="minorHAnsi" w:cstheme="minorHAnsi"/>
          <w:b/>
          <w:color w:val="auto"/>
          <w:sz w:val="22"/>
          <w:szCs w:val="22"/>
        </w:rPr>
        <w:sectPr w:rsidR="009C0CFA" w:rsidSect="009C0CFA">
          <w:pgSz w:w="16838" w:h="11906" w:orient="landscape"/>
          <w:pgMar w:top="425" w:right="1440" w:bottom="567" w:left="1440" w:header="709" w:footer="709" w:gutter="0"/>
          <w:cols w:space="708"/>
          <w:docGrid w:linePitch="360"/>
        </w:sectPr>
      </w:pPr>
    </w:p>
    <w:p w:rsidR="009C0CFA" w:rsidRPr="005C2617" w:rsidRDefault="009C0CFA" w:rsidP="00CE3DCE">
      <w:pPr>
        <w:pStyle w:val="Default"/>
        <w:spacing w:before="120"/>
        <w:rPr>
          <w:rFonts w:asciiTheme="minorHAnsi" w:hAnsiTheme="minorHAnsi" w:cstheme="minorHAnsi"/>
          <w:b/>
          <w:color w:val="auto"/>
          <w:sz w:val="22"/>
          <w:szCs w:val="22"/>
        </w:rPr>
      </w:pPr>
      <w:r w:rsidRPr="005C2617">
        <w:rPr>
          <w:rFonts w:asciiTheme="minorHAnsi" w:hAnsiTheme="minorHAnsi" w:cstheme="minorHAnsi"/>
          <w:b/>
          <w:color w:val="auto"/>
          <w:sz w:val="22"/>
          <w:szCs w:val="22"/>
        </w:rPr>
        <w:lastRenderedPageBreak/>
        <w:t>The VET in Schools (</w:t>
      </w:r>
      <w:proofErr w:type="spellStart"/>
      <w:r w:rsidRPr="005C2617">
        <w:rPr>
          <w:rFonts w:asciiTheme="minorHAnsi" w:hAnsiTheme="minorHAnsi" w:cstheme="minorHAnsi"/>
          <w:b/>
          <w:color w:val="auto"/>
          <w:sz w:val="22"/>
          <w:szCs w:val="22"/>
        </w:rPr>
        <w:t>VETiS</w:t>
      </w:r>
      <w:proofErr w:type="spellEnd"/>
      <w:r w:rsidRPr="005C2617">
        <w:rPr>
          <w:rFonts w:asciiTheme="minorHAnsi" w:hAnsiTheme="minorHAnsi" w:cstheme="minorHAnsi"/>
          <w:b/>
          <w:color w:val="auto"/>
          <w:sz w:val="22"/>
          <w:szCs w:val="22"/>
        </w:rPr>
        <w:t>) Team</w:t>
      </w:r>
    </w:p>
    <w:p w:rsidR="009C0CFA"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As well as coordinating VET in Schools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and the targeting and allocation of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funding across the NT, t</w:t>
      </w:r>
      <w:r w:rsidRPr="00A27DFD">
        <w:rPr>
          <w:rFonts w:ascii="Calibri" w:hAnsi="Calibri" w:cs="Calibri"/>
          <w:color w:val="auto"/>
          <w:sz w:val="22"/>
          <w:szCs w:val="22"/>
        </w:rPr>
        <w:t xml:space="preserve">he VET in Schools Team is responsible for </w:t>
      </w:r>
      <w:r>
        <w:rPr>
          <w:rFonts w:ascii="Calibri" w:hAnsi="Calibri" w:cs="Calibri"/>
          <w:color w:val="auto"/>
          <w:sz w:val="22"/>
          <w:szCs w:val="22"/>
        </w:rPr>
        <w:t xml:space="preserve">the implementation of the NT’s Maximising </w:t>
      </w:r>
      <w:r w:rsidRPr="00A27DFD">
        <w:rPr>
          <w:rFonts w:ascii="Calibri" w:hAnsi="Calibri" w:cs="Calibri"/>
          <w:color w:val="auto"/>
          <w:sz w:val="22"/>
          <w:szCs w:val="22"/>
        </w:rPr>
        <w:t>Engagement, Attainment and Successful Transitions (</w:t>
      </w:r>
      <w:proofErr w:type="spellStart"/>
      <w:r w:rsidRPr="00A27DFD">
        <w:rPr>
          <w:rFonts w:ascii="Calibri" w:hAnsi="Calibri" w:cs="Calibri"/>
          <w:color w:val="auto"/>
          <w:sz w:val="22"/>
          <w:szCs w:val="22"/>
        </w:rPr>
        <w:t>MEAST</w:t>
      </w:r>
      <w:proofErr w:type="spellEnd"/>
      <w:r w:rsidRPr="00A27DFD">
        <w:rPr>
          <w:rFonts w:ascii="Calibri" w:hAnsi="Calibri" w:cs="Calibri"/>
          <w:color w:val="auto"/>
          <w:sz w:val="22"/>
          <w:szCs w:val="22"/>
        </w:rPr>
        <w:t>)</w:t>
      </w:r>
      <w:r>
        <w:rPr>
          <w:rFonts w:ascii="Calibri" w:hAnsi="Calibri" w:cs="Calibri"/>
          <w:color w:val="auto"/>
          <w:sz w:val="22"/>
          <w:szCs w:val="22"/>
        </w:rPr>
        <w:t xml:space="preserve"> initiative.  Through this initiative </w:t>
      </w:r>
      <w:proofErr w:type="spellStart"/>
      <w:r>
        <w:rPr>
          <w:rFonts w:ascii="Calibri" w:hAnsi="Calibri" w:cs="Calibri"/>
          <w:color w:val="auto"/>
          <w:sz w:val="22"/>
          <w:szCs w:val="22"/>
        </w:rPr>
        <w:t>DET</w:t>
      </w:r>
      <w:proofErr w:type="spellEnd"/>
      <w:r>
        <w:rPr>
          <w:rFonts w:ascii="Calibri" w:hAnsi="Calibri" w:cs="Calibri"/>
          <w:color w:val="auto"/>
          <w:sz w:val="22"/>
          <w:szCs w:val="22"/>
        </w:rPr>
        <w:t xml:space="preserve"> employs officers who coordinate structured workplace learning opportunities for VET in Schools students across all education sectors.</w:t>
      </w:r>
    </w:p>
    <w:p w:rsidR="009C0CFA"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 xml:space="preserve">The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team coordinates the delivery of VET in Schools across the Northern Territory.  This includes advice to schools on managing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programs in their school context, working with Registered Training Organisations to ensure quality delivery and working with industry to ensure relevance of the training to the world of real work.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w:t>
      </w:r>
      <w:proofErr w:type="gramStart"/>
      <w:r>
        <w:rPr>
          <w:rFonts w:ascii="Calibri" w:hAnsi="Calibri" w:cs="Calibri"/>
          <w:color w:val="auto"/>
          <w:sz w:val="22"/>
          <w:szCs w:val="22"/>
        </w:rPr>
        <w:t>staff have</w:t>
      </w:r>
      <w:proofErr w:type="gramEnd"/>
      <w:r>
        <w:rPr>
          <w:rFonts w:ascii="Calibri" w:hAnsi="Calibri" w:cs="Calibri"/>
          <w:color w:val="auto"/>
          <w:sz w:val="22"/>
          <w:szCs w:val="22"/>
        </w:rPr>
        <w:t xml:space="preserve"> a role in determining the funding for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programs across the Territory and do so in a way which ensure that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funding is relevant to the needs of the local area and tied as closely as possible to the twin outcomes of boosting student engagement and providing a clear employment pathway.</w:t>
      </w:r>
    </w:p>
    <w:p w:rsidR="009C0CFA"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This has seen the reduction in programs which do not have a real job attached to them and a greater focus on funds being directed to pathways that lead to further training and employment.</w:t>
      </w:r>
    </w:p>
    <w:p w:rsidR="009C0CFA"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 xml:space="preserve">The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Team works with the Participation Team and the </w:t>
      </w:r>
      <w:proofErr w:type="spellStart"/>
      <w:r>
        <w:rPr>
          <w:rFonts w:ascii="Calibri" w:hAnsi="Calibri" w:cs="Calibri"/>
          <w:color w:val="auto"/>
          <w:sz w:val="22"/>
          <w:szCs w:val="22"/>
        </w:rPr>
        <w:t>IEPOs</w:t>
      </w:r>
      <w:proofErr w:type="spellEnd"/>
      <w:r>
        <w:rPr>
          <w:rFonts w:ascii="Calibri" w:hAnsi="Calibri" w:cs="Calibri"/>
          <w:color w:val="auto"/>
          <w:sz w:val="22"/>
          <w:szCs w:val="22"/>
        </w:rPr>
        <w:t xml:space="preserve"> to ensure that structured work placements occur in an efficient and focussed manner.</w:t>
      </w:r>
    </w:p>
    <w:p w:rsidR="009C0CFA" w:rsidRPr="00A71C95" w:rsidRDefault="009C0CFA" w:rsidP="00CE3DCE">
      <w:pPr>
        <w:pStyle w:val="Default"/>
        <w:spacing w:before="120"/>
        <w:rPr>
          <w:rFonts w:ascii="Calibri" w:hAnsi="Calibri" w:cs="Calibri"/>
          <w:color w:val="auto"/>
          <w:sz w:val="22"/>
          <w:szCs w:val="22"/>
        </w:rPr>
      </w:pPr>
      <w:r w:rsidRPr="00A71C95">
        <w:rPr>
          <w:rFonts w:ascii="Calibri" w:hAnsi="Calibri" w:cs="Calibri"/>
          <w:color w:val="auto"/>
          <w:sz w:val="22"/>
          <w:szCs w:val="22"/>
        </w:rPr>
        <w:t xml:space="preserve">To ensure that the delivery of </w:t>
      </w:r>
      <w:proofErr w:type="spellStart"/>
      <w:r w:rsidRPr="00A71C95">
        <w:rPr>
          <w:rFonts w:ascii="Calibri" w:hAnsi="Calibri" w:cs="Calibri"/>
          <w:color w:val="auto"/>
          <w:sz w:val="22"/>
          <w:szCs w:val="22"/>
        </w:rPr>
        <w:t>VETiS</w:t>
      </w:r>
      <w:proofErr w:type="spellEnd"/>
      <w:r w:rsidRPr="00A71C95">
        <w:rPr>
          <w:rFonts w:ascii="Calibri" w:hAnsi="Calibri" w:cs="Calibri"/>
          <w:color w:val="auto"/>
          <w:sz w:val="22"/>
          <w:szCs w:val="22"/>
        </w:rPr>
        <w:t xml:space="preserve"> remains current and modernised and that quality programs accommodate the very remote nature of the Northern Territory</w:t>
      </w:r>
      <w:r>
        <w:rPr>
          <w:rFonts w:ascii="Calibri" w:hAnsi="Calibri" w:cs="Calibri"/>
          <w:color w:val="auto"/>
          <w:sz w:val="22"/>
          <w:szCs w:val="22"/>
        </w:rPr>
        <w:t>,</w:t>
      </w:r>
      <w:r w:rsidRPr="00A71C95">
        <w:rPr>
          <w:rFonts w:ascii="Calibri" w:hAnsi="Calibri" w:cs="Calibri"/>
          <w:color w:val="auto"/>
          <w:sz w:val="22"/>
          <w:szCs w:val="22"/>
        </w:rPr>
        <w:t xml:space="preserve"> the </w:t>
      </w:r>
      <w:proofErr w:type="spellStart"/>
      <w:r w:rsidRPr="00A71C95">
        <w:rPr>
          <w:rFonts w:ascii="Calibri" w:hAnsi="Calibri" w:cs="Calibri"/>
          <w:color w:val="auto"/>
          <w:sz w:val="22"/>
          <w:szCs w:val="22"/>
        </w:rPr>
        <w:t>VETiS</w:t>
      </w:r>
      <w:proofErr w:type="spellEnd"/>
      <w:r w:rsidRPr="00A71C95">
        <w:rPr>
          <w:rFonts w:ascii="Calibri" w:hAnsi="Calibri" w:cs="Calibri"/>
          <w:color w:val="auto"/>
          <w:sz w:val="22"/>
          <w:szCs w:val="22"/>
        </w:rPr>
        <w:t xml:space="preserve"> </w:t>
      </w:r>
      <w:r>
        <w:rPr>
          <w:rFonts w:ascii="Calibri" w:hAnsi="Calibri" w:cs="Calibri"/>
          <w:color w:val="auto"/>
          <w:sz w:val="22"/>
          <w:szCs w:val="22"/>
        </w:rPr>
        <w:t xml:space="preserve">team </w:t>
      </w:r>
      <w:r w:rsidRPr="00A71C95">
        <w:rPr>
          <w:rFonts w:ascii="Calibri" w:hAnsi="Calibri" w:cs="Calibri"/>
          <w:color w:val="auto"/>
          <w:sz w:val="22"/>
          <w:szCs w:val="22"/>
        </w:rPr>
        <w:t>initially funded and employ</w:t>
      </w:r>
      <w:r>
        <w:rPr>
          <w:rFonts w:ascii="Calibri" w:hAnsi="Calibri" w:cs="Calibri"/>
          <w:color w:val="auto"/>
          <w:sz w:val="22"/>
          <w:szCs w:val="22"/>
        </w:rPr>
        <w:t>ed staff focussed on writing on</w:t>
      </w:r>
      <w:r w:rsidRPr="00A71C95">
        <w:rPr>
          <w:rFonts w:ascii="Calibri" w:hAnsi="Calibri" w:cs="Calibri"/>
          <w:color w:val="auto"/>
          <w:sz w:val="22"/>
          <w:szCs w:val="22"/>
        </w:rPr>
        <w:t>line programs for the delivery of VET to students in remote communities. These</w:t>
      </w:r>
      <w:r>
        <w:rPr>
          <w:rFonts w:ascii="Calibri" w:hAnsi="Calibri" w:cs="Calibri"/>
          <w:color w:val="auto"/>
          <w:sz w:val="22"/>
          <w:szCs w:val="22"/>
        </w:rPr>
        <w:t xml:space="preserve"> roles</w:t>
      </w:r>
      <w:r w:rsidRPr="00A71C95">
        <w:rPr>
          <w:rFonts w:ascii="Calibri" w:hAnsi="Calibri" w:cs="Calibri"/>
          <w:color w:val="auto"/>
          <w:sz w:val="22"/>
          <w:szCs w:val="22"/>
        </w:rPr>
        <w:t xml:space="preserve"> are now funde</w:t>
      </w:r>
      <w:r>
        <w:rPr>
          <w:rFonts w:ascii="Calibri" w:hAnsi="Calibri" w:cs="Calibri"/>
          <w:color w:val="auto"/>
          <w:sz w:val="22"/>
          <w:szCs w:val="22"/>
        </w:rPr>
        <w:t>d through a Department of Educa</w:t>
      </w:r>
      <w:r w:rsidRPr="00A71C95">
        <w:rPr>
          <w:rFonts w:ascii="Calibri" w:hAnsi="Calibri" w:cs="Calibri"/>
          <w:color w:val="auto"/>
          <w:sz w:val="22"/>
          <w:szCs w:val="22"/>
        </w:rPr>
        <w:t>t</w:t>
      </w:r>
      <w:r>
        <w:rPr>
          <w:rFonts w:ascii="Calibri" w:hAnsi="Calibri" w:cs="Calibri"/>
          <w:color w:val="auto"/>
          <w:sz w:val="22"/>
          <w:szCs w:val="22"/>
        </w:rPr>
        <w:t>i</w:t>
      </w:r>
      <w:r w:rsidRPr="00A71C95">
        <w:rPr>
          <w:rFonts w:ascii="Calibri" w:hAnsi="Calibri" w:cs="Calibri"/>
          <w:color w:val="auto"/>
          <w:sz w:val="22"/>
          <w:szCs w:val="22"/>
        </w:rPr>
        <w:t>on, Employment and Work Relations grant.</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Industry Engagement and Participation Officers</w:t>
      </w:r>
    </w:p>
    <w:p w:rsidR="009C0CFA" w:rsidRDefault="009C0CFA" w:rsidP="00CE3DCE">
      <w:pPr>
        <w:pStyle w:val="Default"/>
        <w:spacing w:before="120"/>
        <w:rPr>
          <w:rFonts w:ascii="Calibri" w:hAnsi="Calibri" w:cs="Calibri"/>
          <w:color w:val="auto"/>
          <w:sz w:val="22"/>
          <w:szCs w:val="22"/>
        </w:rPr>
      </w:pPr>
      <w:r w:rsidRPr="00002C40">
        <w:rPr>
          <w:rFonts w:ascii="Calibri" w:hAnsi="Calibri" w:cs="Calibri"/>
          <w:color w:val="auto"/>
          <w:sz w:val="22"/>
          <w:szCs w:val="22"/>
        </w:rPr>
        <w:t xml:space="preserve">Industry Engagement and Participation Officers play a lead role in the NT’s </w:t>
      </w:r>
      <w:proofErr w:type="spellStart"/>
      <w:r w:rsidRPr="00002C40">
        <w:rPr>
          <w:rFonts w:ascii="Calibri" w:hAnsi="Calibri" w:cs="Calibri"/>
          <w:color w:val="auto"/>
          <w:sz w:val="22"/>
          <w:szCs w:val="22"/>
        </w:rPr>
        <w:t>MEAST</w:t>
      </w:r>
      <w:proofErr w:type="spellEnd"/>
      <w:r w:rsidRPr="00002C40">
        <w:rPr>
          <w:rFonts w:ascii="Calibri" w:hAnsi="Calibri" w:cs="Calibri"/>
          <w:color w:val="auto"/>
          <w:sz w:val="22"/>
          <w:szCs w:val="22"/>
        </w:rPr>
        <w:t xml:space="preserve"> reform initiative.   Their role involves</w:t>
      </w:r>
      <w:r>
        <w:rPr>
          <w:rFonts w:ascii="Calibri" w:hAnsi="Calibri" w:cs="Calibri"/>
          <w:color w:val="auto"/>
          <w:sz w:val="22"/>
          <w:szCs w:val="22"/>
        </w:rPr>
        <w:t>:</w:t>
      </w:r>
    </w:p>
    <w:p w:rsidR="009C0CFA" w:rsidRPr="00CE3DCE" w:rsidRDefault="009C0CFA" w:rsidP="00CE3DCE">
      <w:pPr>
        <w:pStyle w:val="Default"/>
        <w:spacing w:before="120"/>
        <w:rPr>
          <w:rFonts w:ascii="Calibri" w:hAnsi="Calibri" w:cs="Calibri"/>
          <w:color w:val="auto"/>
          <w:sz w:val="22"/>
          <w:szCs w:val="22"/>
          <w:u w:val="single"/>
        </w:rPr>
      </w:pPr>
      <w:r w:rsidRPr="00CE3DCE">
        <w:rPr>
          <w:rFonts w:ascii="Calibri" w:hAnsi="Calibri" w:cs="Calibri"/>
          <w:color w:val="auto"/>
          <w:sz w:val="22"/>
          <w:szCs w:val="22"/>
          <w:u w:val="single"/>
        </w:rPr>
        <w:t>Employment Brokerage</w:t>
      </w:r>
    </w:p>
    <w:p w:rsidR="009C0CFA" w:rsidRPr="00002C40"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b</w:t>
      </w:r>
      <w:r w:rsidRPr="00002C40">
        <w:rPr>
          <w:rFonts w:ascii="Calibri" w:hAnsi="Calibri" w:cs="Calibri"/>
          <w:color w:val="auto"/>
          <w:sz w:val="22"/>
          <w:szCs w:val="22"/>
        </w:rPr>
        <w:t>roker</w:t>
      </w:r>
      <w:r>
        <w:rPr>
          <w:rFonts w:ascii="Calibri" w:hAnsi="Calibri" w:cs="Calibri"/>
          <w:color w:val="auto"/>
          <w:sz w:val="22"/>
          <w:szCs w:val="22"/>
        </w:rPr>
        <w:t>ing</w:t>
      </w:r>
      <w:r w:rsidRPr="00002C40">
        <w:rPr>
          <w:rFonts w:ascii="Calibri" w:hAnsi="Calibri" w:cs="Calibri"/>
          <w:color w:val="auto"/>
          <w:sz w:val="22"/>
          <w:szCs w:val="22"/>
        </w:rPr>
        <w:t xml:space="preserve"> partnerships with industry to identify a</w:t>
      </w:r>
      <w:r>
        <w:rPr>
          <w:rFonts w:ascii="Calibri" w:hAnsi="Calibri" w:cs="Calibri"/>
          <w:color w:val="auto"/>
          <w:sz w:val="22"/>
          <w:szCs w:val="22"/>
        </w:rPr>
        <w:t>nd secure jobs for young people,</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coordinating Structured Workplace Learning placements;</w:t>
      </w:r>
    </w:p>
    <w:p w:rsidR="009C0CFA" w:rsidRPr="00002C40" w:rsidRDefault="009C0CFA" w:rsidP="00CE3DCE">
      <w:pPr>
        <w:pStyle w:val="Default"/>
        <w:spacing w:before="120"/>
        <w:rPr>
          <w:rFonts w:ascii="Calibri" w:hAnsi="Calibri" w:cs="Calibri"/>
          <w:color w:val="auto"/>
          <w:sz w:val="22"/>
          <w:szCs w:val="22"/>
          <w:u w:val="single"/>
        </w:rPr>
      </w:pPr>
      <w:r w:rsidRPr="00002C40">
        <w:rPr>
          <w:rFonts w:ascii="Calibri" w:hAnsi="Calibri" w:cs="Calibri"/>
          <w:color w:val="auto"/>
          <w:sz w:val="22"/>
          <w:szCs w:val="22"/>
          <w:u w:val="single"/>
        </w:rPr>
        <w:t>Industry Relationship Management</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working with local businesses and industry to raise the profile and credibility of VET in Schools programs,</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brokering  Structured Workplace Learning placements and ensuring a good match between student and placement,</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work with local industry and training providers to ensure VET in Schools courses are aligned to job opportunities and are meeting the needs of employers;</w:t>
      </w:r>
    </w:p>
    <w:p w:rsidR="009C0CFA" w:rsidRDefault="009C0CFA" w:rsidP="00CE3DCE">
      <w:pPr>
        <w:pStyle w:val="Default"/>
        <w:spacing w:before="120"/>
        <w:rPr>
          <w:rFonts w:ascii="Calibri" w:hAnsi="Calibri" w:cs="Calibri"/>
          <w:color w:val="auto"/>
          <w:sz w:val="22"/>
          <w:szCs w:val="22"/>
          <w:u w:val="single"/>
        </w:rPr>
      </w:pPr>
      <w:r w:rsidRPr="00002C40">
        <w:rPr>
          <w:rFonts w:ascii="Calibri" w:hAnsi="Calibri" w:cs="Calibri"/>
          <w:color w:val="auto"/>
          <w:sz w:val="22"/>
          <w:szCs w:val="22"/>
          <w:u w:val="single"/>
        </w:rPr>
        <w:t>Youth Participation Support</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Assisting with monitori</w:t>
      </w:r>
      <w:r>
        <w:rPr>
          <w:rFonts w:ascii="Calibri" w:hAnsi="Calibri" w:cs="Calibri"/>
          <w:color w:val="auto"/>
          <w:sz w:val="22"/>
          <w:szCs w:val="22"/>
        </w:rPr>
        <w:t>ng youth participation pathways,</w:t>
      </w:r>
    </w:p>
    <w:p w:rsidR="009C0CFA" w:rsidRPr="00002C40" w:rsidRDefault="009C0CFA" w:rsidP="00CE3DCE">
      <w:pPr>
        <w:pStyle w:val="Default"/>
        <w:numPr>
          <w:ilvl w:val="0"/>
          <w:numId w:val="18"/>
        </w:numPr>
        <w:spacing w:before="120"/>
        <w:rPr>
          <w:rFonts w:ascii="Calibri" w:hAnsi="Calibri" w:cs="Calibri"/>
          <w:color w:val="auto"/>
          <w:sz w:val="22"/>
          <w:szCs w:val="22"/>
        </w:rPr>
      </w:pPr>
      <w:r w:rsidRPr="00002C40">
        <w:rPr>
          <w:rFonts w:ascii="Calibri" w:hAnsi="Calibri" w:cs="Calibri"/>
          <w:color w:val="auto"/>
          <w:sz w:val="22"/>
          <w:szCs w:val="22"/>
        </w:rPr>
        <w:t>Working with Learn or Earn Officers, Attendance and Truancy Officers and Alternate Education Officers to ensure coordinated support for disengaged young people in the participation phase.</w:t>
      </w:r>
    </w:p>
    <w:p w:rsidR="009C0CFA" w:rsidRPr="00DA31B5" w:rsidRDefault="009C0CFA" w:rsidP="00CE3DCE">
      <w:pPr>
        <w:pStyle w:val="Default"/>
        <w:spacing w:before="120"/>
        <w:rPr>
          <w:rFonts w:ascii="Calibri" w:hAnsi="Calibri" w:cs="Calibri"/>
          <w:color w:val="auto"/>
          <w:sz w:val="22"/>
          <w:szCs w:val="22"/>
        </w:rPr>
      </w:pPr>
      <w:proofErr w:type="spellStart"/>
      <w:r w:rsidRPr="00DA31B5">
        <w:rPr>
          <w:rFonts w:ascii="Calibri" w:hAnsi="Calibri" w:cs="Calibri"/>
          <w:color w:val="auto"/>
          <w:sz w:val="22"/>
          <w:szCs w:val="22"/>
        </w:rPr>
        <w:t>IEPOs</w:t>
      </w:r>
      <w:proofErr w:type="spellEnd"/>
      <w:r w:rsidRPr="00DA31B5">
        <w:rPr>
          <w:rFonts w:ascii="Calibri" w:hAnsi="Calibri" w:cs="Calibri"/>
          <w:color w:val="auto"/>
          <w:sz w:val="22"/>
          <w:szCs w:val="22"/>
        </w:rPr>
        <w:t xml:space="preserve"> </w:t>
      </w:r>
      <w:r>
        <w:rPr>
          <w:rFonts w:ascii="Calibri" w:hAnsi="Calibri" w:cs="Calibri"/>
          <w:color w:val="auto"/>
          <w:sz w:val="22"/>
          <w:szCs w:val="22"/>
        </w:rPr>
        <w:t xml:space="preserve">work in </w:t>
      </w:r>
      <w:r w:rsidRPr="00DA31B5">
        <w:rPr>
          <w:rFonts w:ascii="Calibri" w:hAnsi="Calibri" w:cs="Calibri"/>
          <w:color w:val="auto"/>
          <w:sz w:val="22"/>
          <w:szCs w:val="22"/>
        </w:rPr>
        <w:t xml:space="preserve">industry </w:t>
      </w:r>
      <w:r>
        <w:rPr>
          <w:rFonts w:ascii="Calibri" w:hAnsi="Calibri" w:cs="Calibri"/>
          <w:color w:val="auto"/>
          <w:sz w:val="22"/>
          <w:szCs w:val="22"/>
        </w:rPr>
        <w:t>area</w:t>
      </w:r>
      <w:r w:rsidRPr="00DA31B5">
        <w:rPr>
          <w:rFonts w:ascii="Calibri" w:hAnsi="Calibri" w:cs="Calibri"/>
          <w:color w:val="auto"/>
          <w:sz w:val="22"/>
          <w:szCs w:val="22"/>
        </w:rPr>
        <w:t xml:space="preserve">s. They are tasked with structured work placements within those industry groups. They are required to </w:t>
      </w:r>
      <w:r>
        <w:rPr>
          <w:rFonts w:ascii="Calibri" w:hAnsi="Calibri" w:cs="Calibri"/>
          <w:color w:val="auto"/>
          <w:sz w:val="22"/>
          <w:szCs w:val="22"/>
        </w:rPr>
        <w:t xml:space="preserve">work with </w:t>
      </w:r>
      <w:r w:rsidRPr="00DA31B5">
        <w:rPr>
          <w:rFonts w:ascii="Calibri" w:hAnsi="Calibri" w:cs="Calibri"/>
          <w:color w:val="auto"/>
          <w:sz w:val="22"/>
          <w:szCs w:val="22"/>
        </w:rPr>
        <w:t>VET Coordinators and Careers Counsellors in both Government and non</w:t>
      </w:r>
      <w:r>
        <w:rPr>
          <w:rFonts w:ascii="Calibri" w:hAnsi="Calibri" w:cs="Calibri"/>
          <w:color w:val="auto"/>
          <w:sz w:val="22"/>
          <w:szCs w:val="22"/>
        </w:rPr>
        <w:t>-</w:t>
      </w:r>
      <w:r w:rsidRPr="00DA31B5">
        <w:rPr>
          <w:rFonts w:ascii="Calibri" w:hAnsi="Calibri" w:cs="Calibri"/>
          <w:color w:val="auto"/>
          <w:sz w:val="22"/>
          <w:szCs w:val="22"/>
        </w:rPr>
        <w:t xml:space="preserve"> Government schools, Training Advisory Councils and industry to assess industry needs and student interest. They then match students </w:t>
      </w:r>
      <w:r>
        <w:rPr>
          <w:rFonts w:ascii="Calibri" w:hAnsi="Calibri" w:cs="Calibri"/>
          <w:color w:val="auto"/>
          <w:sz w:val="22"/>
          <w:szCs w:val="22"/>
        </w:rPr>
        <w:t>with employers and work placements</w:t>
      </w:r>
      <w:r w:rsidRPr="00DA31B5">
        <w:rPr>
          <w:rFonts w:ascii="Calibri" w:hAnsi="Calibri" w:cs="Calibri"/>
          <w:color w:val="auto"/>
          <w:sz w:val="22"/>
          <w:szCs w:val="22"/>
        </w:rPr>
        <w:t>.</w:t>
      </w:r>
    </w:p>
    <w:p w:rsidR="009C0CFA" w:rsidRPr="00DA31B5" w:rsidRDefault="009C0CFA" w:rsidP="00CE3DCE">
      <w:pPr>
        <w:pStyle w:val="Default"/>
        <w:spacing w:before="120"/>
        <w:rPr>
          <w:rFonts w:ascii="Calibri" w:hAnsi="Calibri" w:cs="Calibri"/>
          <w:color w:val="auto"/>
          <w:sz w:val="22"/>
          <w:szCs w:val="22"/>
        </w:rPr>
      </w:pPr>
      <w:r w:rsidRPr="00DA31B5">
        <w:rPr>
          <w:rFonts w:ascii="Calibri" w:hAnsi="Calibri" w:cs="Calibri"/>
          <w:color w:val="auto"/>
          <w:sz w:val="22"/>
          <w:szCs w:val="22"/>
        </w:rPr>
        <w:lastRenderedPageBreak/>
        <w:t>This provides the student with a clear path from their school based learning through to potential employment. It helps establish if the student is interested in this career and it exposes the student to potential employers.</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Corporate Engagement</w:t>
      </w:r>
    </w:p>
    <w:p w:rsidR="009C0CFA" w:rsidRPr="00D05CA4"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 xml:space="preserve">The Corporate Engagement and Partnerships Team </w:t>
      </w:r>
      <w:proofErr w:type="gramStart"/>
      <w:r w:rsidRPr="00570889">
        <w:rPr>
          <w:rFonts w:ascii="Calibri" w:hAnsi="Calibri" w:cs="Calibri"/>
          <w:color w:val="auto"/>
          <w:sz w:val="22"/>
          <w:szCs w:val="22"/>
        </w:rPr>
        <w:t>has</w:t>
      </w:r>
      <w:proofErr w:type="gramEnd"/>
      <w:r w:rsidRPr="00570889">
        <w:rPr>
          <w:rFonts w:ascii="Calibri" w:hAnsi="Calibri" w:cs="Calibri"/>
          <w:color w:val="auto"/>
          <w:sz w:val="22"/>
          <w:szCs w:val="22"/>
        </w:rPr>
        <w:t xml:space="preserve"> </w:t>
      </w:r>
      <w:r>
        <w:rPr>
          <w:rFonts w:ascii="Calibri" w:hAnsi="Calibri" w:cs="Calibri"/>
          <w:color w:val="auto"/>
          <w:sz w:val="22"/>
          <w:szCs w:val="22"/>
        </w:rPr>
        <w:t>been</w:t>
      </w:r>
      <w:r w:rsidRPr="00570889">
        <w:rPr>
          <w:rFonts w:ascii="Calibri" w:hAnsi="Calibri" w:cs="Calibri"/>
          <w:color w:val="auto"/>
          <w:sz w:val="22"/>
          <w:szCs w:val="22"/>
        </w:rPr>
        <w:t xml:space="preserve"> established </w:t>
      </w:r>
      <w:r>
        <w:rPr>
          <w:rFonts w:ascii="Calibri" w:hAnsi="Calibri" w:cs="Calibri"/>
          <w:color w:val="auto"/>
          <w:sz w:val="22"/>
          <w:szCs w:val="22"/>
        </w:rPr>
        <w:t xml:space="preserve">to focus on major industry engagement. The team </w:t>
      </w:r>
      <w:r w:rsidRPr="00D05CA4">
        <w:rPr>
          <w:rFonts w:ascii="Calibri" w:hAnsi="Calibri" w:cs="Calibri"/>
          <w:color w:val="auto"/>
          <w:sz w:val="22"/>
          <w:szCs w:val="22"/>
        </w:rPr>
        <w:t>engage</w:t>
      </w:r>
      <w:r>
        <w:rPr>
          <w:rFonts w:ascii="Calibri" w:hAnsi="Calibri" w:cs="Calibri"/>
          <w:color w:val="auto"/>
          <w:sz w:val="22"/>
          <w:szCs w:val="22"/>
        </w:rPr>
        <w:t>s</w:t>
      </w:r>
      <w:r w:rsidRPr="00D05CA4">
        <w:rPr>
          <w:rFonts w:ascii="Calibri" w:hAnsi="Calibri" w:cs="Calibri"/>
          <w:color w:val="auto"/>
          <w:sz w:val="22"/>
          <w:szCs w:val="22"/>
        </w:rPr>
        <w:t xml:space="preserve"> major industry groups from across </w:t>
      </w:r>
      <w:r>
        <w:rPr>
          <w:rFonts w:ascii="Calibri" w:hAnsi="Calibri" w:cs="Calibri"/>
          <w:color w:val="auto"/>
          <w:sz w:val="22"/>
          <w:szCs w:val="22"/>
        </w:rPr>
        <w:t>Australia and internationally to support</w:t>
      </w:r>
      <w:r w:rsidRPr="00D05CA4">
        <w:rPr>
          <w:rFonts w:ascii="Calibri" w:hAnsi="Calibri" w:cs="Calibri"/>
          <w:color w:val="auto"/>
          <w:sz w:val="22"/>
          <w:szCs w:val="22"/>
        </w:rPr>
        <w:t xml:space="preserve"> the education and training system</w:t>
      </w:r>
      <w:r>
        <w:rPr>
          <w:rFonts w:ascii="Calibri" w:hAnsi="Calibri" w:cs="Calibri"/>
          <w:color w:val="auto"/>
          <w:sz w:val="22"/>
          <w:szCs w:val="22"/>
        </w:rPr>
        <w:t xml:space="preserve"> in the NT</w:t>
      </w:r>
      <w:r w:rsidRPr="00D05CA4">
        <w:rPr>
          <w:rFonts w:ascii="Calibri" w:hAnsi="Calibri" w:cs="Calibri"/>
          <w:color w:val="auto"/>
          <w:sz w:val="22"/>
          <w:szCs w:val="22"/>
        </w:rPr>
        <w:t>.</w:t>
      </w:r>
    </w:p>
    <w:p w:rsidR="009C0CFA" w:rsidRPr="00D05CA4" w:rsidRDefault="009C0CFA" w:rsidP="00CE3DCE">
      <w:pPr>
        <w:pStyle w:val="Default"/>
        <w:spacing w:before="120"/>
        <w:rPr>
          <w:rFonts w:ascii="Calibri" w:hAnsi="Calibri" w:cs="Calibri"/>
          <w:color w:val="auto"/>
          <w:sz w:val="22"/>
          <w:szCs w:val="22"/>
        </w:rPr>
      </w:pPr>
      <w:r w:rsidRPr="00D05CA4">
        <w:rPr>
          <w:rFonts w:ascii="Calibri" w:hAnsi="Calibri" w:cs="Calibri"/>
          <w:color w:val="auto"/>
          <w:sz w:val="22"/>
          <w:szCs w:val="22"/>
        </w:rPr>
        <w:t xml:space="preserve">An example of the work being done by </w:t>
      </w:r>
      <w:r>
        <w:rPr>
          <w:rFonts w:ascii="Calibri" w:hAnsi="Calibri" w:cs="Calibri"/>
          <w:color w:val="auto"/>
          <w:sz w:val="22"/>
          <w:szCs w:val="22"/>
        </w:rPr>
        <w:t>the team</w:t>
      </w:r>
      <w:r w:rsidRPr="00D05CA4">
        <w:rPr>
          <w:rFonts w:ascii="Calibri" w:hAnsi="Calibri" w:cs="Calibri"/>
          <w:color w:val="auto"/>
          <w:sz w:val="22"/>
          <w:szCs w:val="22"/>
        </w:rPr>
        <w:t xml:space="preserve"> is a $1 million grant from the MacArthur Mines Community Benefit Trust to Borroloola , </w:t>
      </w:r>
      <w:proofErr w:type="spellStart"/>
      <w:r w:rsidRPr="00D05CA4">
        <w:rPr>
          <w:rFonts w:ascii="Calibri" w:hAnsi="Calibri" w:cs="Calibri"/>
          <w:color w:val="auto"/>
          <w:sz w:val="22"/>
          <w:szCs w:val="22"/>
        </w:rPr>
        <w:t>Kiana</w:t>
      </w:r>
      <w:proofErr w:type="spellEnd"/>
      <w:r w:rsidRPr="00D05CA4">
        <w:rPr>
          <w:rFonts w:ascii="Calibri" w:hAnsi="Calibri" w:cs="Calibri"/>
          <w:color w:val="auto"/>
          <w:sz w:val="22"/>
          <w:szCs w:val="22"/>
        </w:rPr>
        <w:t xml:space="preserve"> and Robinson River School that is engaging senior students in training and in a work pathway to the MacArthur River Mine. </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‘P’ Plate Program</w:t>
      </w:r>
    </w:p>
    <w:p w:rsidR="009C0CFA" w:rsidRPr="00D05CA4" w:rsidRDefault="009C0CFA" w:rsidP="00CE3DCE">
      <w:pPr>
        <w:pStyle w:val="Default"/>
        <w:spacing w:before="120"/>
        <w:rPr>
          <w:rFonts w:ascii="Calibri" w:hAnsi="Calibri" w:cs="Calibri"/>
          <w:color w:val="auto"/>
          <w:sz w:val="22"/>
          <w:szCs w:val="22"/>
        </w:rPr>
      </w:pPr>
      <w:r w:rsidRPr="00D05CA4">
        <w:rPr>
          <w:rFonts w:ascii="Calibri" w:hAnsi="Calibri" w:cs="Calibri"/>
          <w:color w:val="auto"/>
          <w:sz w:val="22"/>
          <w:szCs w:val="22"/>
        </w:rPr>
        <w:t xml:space="preserve">The Australian Employment Covenant’s ‘P’ Plate Program is </w:t>
      </w:r>
      <w:r>
        <w:rPr>
          <w:rFonts w:ascii="Calibri" w:hAnsi="Calibri" w:cs="Calibri"/>
          <w:color w:val="auto"/>
          <w:sz w:val="22"/>
          <w:szCs w:val="22"/>
        </w:rPr>
        <w:t xml:space="preserve">also </w:t>
      </w:r>
      <w:r w:rsidRPr="00D05CA4">
        <w:rPr>
          <w:rFonts w:ascii="Calibri" w:hAnsi="Calibri" w:cs="Calibri"/>
          <w:color w:val="auto"/>
          <w:sz w:val="22"/>
          <w:szCs w:val="22"/>
        </w:rPr>
        <w:t xml:space="preserve">embedded in the Participation </w:t>
      </w:r>
      <w:r>
        <w:rPr>
          <w:rFonts w:ascii="Calibri" w:hAnsi="Calibri" w:cs="Calibri"/>
          <w:color w:val="auto"/>
          <w:sz w:val="22"/>
          <w:szCs w:val="22"/>
        </w:rPr>
        <w:t>and Pathways Division</w:t>
      </w:r>
      <w:r w:rsidRPr="00D05CA4">
        <w:rPr>
          <w:rFonts w:ascii="Calibri" w:hAnsi="Calibri" w:cs="Calibri"/>
          <w:color w:val="auto"/>
          <w:sz w:val="22"/>
          <w:szCs w:val="22"/>
        </w:rPr>
        <w:t xml:space="preserve">.  </w:t>
      </w:r>
      <w:r>
        <w:rPr>
          <w:rFonts w:ascii="Calibri" w:hAnsi="Calibri" w:cs="Calibri"/>
          <w:color w:val="auto"/>
          <w:sz w:val="22"/>
          <w:szCs w:val="22"/>
        </w:rPr>
        <w:t>Embedding this program enhances youth and transitions outcomes</w:t>
      </w:r>
      <w:r w:rsidRPr="00D05CA4">
        <w:rPr>
          <w:rFonts w:ascii="Calibri" w:hAnsi="Calibri" w:cs="Calibri"/>
          <w:color w:val="auto"/>
          <w:sz w:val="22"/>
          <w:szCs w:val="22"/>
        </w:rPr>
        <w:t xml:space="preserve"> through:</w:t>
      </w:r>
    </w:p>
    <w:p w:rsidR="009C0CFA" w:rsidRPr="00CE3DCE" w:rsidRDefault="009C0CFA" w:rsidP="00CE3DCE">
      <w:pPr>
        <w:pStyle w:val="Default"/>
        <w:numPr>
          <w:ilvl w:val="0"/>
          <w:numId w:val="18"/>
        </w:numPr>
        <w:spacing w:before="120"/>
        <w:rPr>
          <w:rFonts w:ascii="Calibri" w:hAnsi="Calibri" w:cs="Calibri"/>
          <w:color w:val="auto"/>
          <w:sz w:val="22"/>
          <w:szCs w:val="22"/>
        </w:rPr>
      </w:pPr>
      <w:r w:rsidRPr="00CE3DCE">
        <w:rPr>
          <w:rFonts w:ascii="Calibri" w:hAnsi="Calibri" w:cs="Calibri"/>
          <w:color w:val="auto"/>
          <w:sz w:val="22"/>
          <w:szCs w:val="22"/>
        </w:rPr>
        <w:t xml:space="preserve">access to established relationships with industry, </w:t>
      </w:r>
    </w:p>
    <w:p w:rsidR="009C0CFA" w:rsidRPr="00CE3DCE" w:rsidRDefault="009C0CFA" w:rsidP="00CE3DCE">
      <w:pPr>
        <w:pStyle w:val="Default"/>
        <w:numPr>
          <w:ilvl w:val="0"/>
          <w:numId w:val="18"/>
        </w:numPr>
        <w:spacing w:before="120"/>
        <w:rPr>
          <w:rFonts w:ascii="Calibri" w:hAnsi="Calibri" w:cs="Calibri"/>
          <w:color w:val="auto"/>
          <w:sz w:val="22"/>
          <w:szCs w:val="22"/>
        </w:rPr>
      </w:pPr>
      <w:r w:rsidRPr="00CE3DCE">
        <w:rPr>
          <w:rFonts w:ascii="Calibri" w:hAnsi="Calibri" w:cs="Calibri"/>
          <w:color w:val="auto"/>
          <w:sz w:val="22"/>
          <w:szCs w:val="22"/>
        </w:rPr>
        <w:t xml:space="preserve">an expanded range of employers, and </w:t>
      </w:r>
    </w:p>
    <w:p w:rsidR="009C0CFA" w:rsidRPr="00CE3DCE" w:rsidRDefault="009C0CFA" w:rsidP="00CE3DCE">
      <w:pPr>
        <w:pStyle w:val="Default"/>
        <w:numPr>
          <w:ilvl w:val="0"/>
          <w:numId w:val="18"/>
        </w:numPr>
        <w:spacing w:before="120"/>
        <w:rPr>
          <w:rFonts w:ascii="Calibri" w:hAnsi="Calibri" w:cs="Calibri"/>
          <w:color w:val="auto"/>
          <w:sz w:val="22"/>
          <w:szCs w:val="22"/>
        </w:rPr>
      </w:pPr>
      <w:proofErr w:type="gramStart"/>
      <w:r w:rsidRPr="00CE3DCE">
        <w:rPr>
          <w:rFonts w:ascii="Calibri" w:hAnsi="Calibri" w:cs="Calibri"/>
          <w:color w:val="auto"/>
          <w:sz w:val="22"/>
          <w:szCs w:val="22"/>
        </w:rPr>
        <w:t>more</w:t>
      </w:r>
      <w:proofErr w:type="gramEnd"/>
      <w:r w:rsidRPr="00CE3DCE">
        <w:rPr>
          <w:rFonts w:ascii="Calibri" w:hAnsi="Calibri" w:cs="Calibri"/>
          <w:color w:val="auto"/>
          <w:sz w:val="22"/>
          <w:szCs w:val="22"/>
        </w:rPr>
        <w:t xml:space="preserve"> support for Indigenous students and school leavers . </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The Outcomes to Date</w:t>
      </w:r>
    </w:p>
    <w:p w:rsidR="009C0CFA" w:rsidRPr="005C2617"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There have</w:t>
      </w:r>
      <w:r w:rsidRPr="005C2617">
        <w:rPr>
          <w:rFonts w:ascii="Calibri" w:hAnsi="Calibri" w:cs="Calibri"/>
          <w:color w:val="auto"/>
          <w:sz w:val="22"/>
          <w:szCs w:val="22"/>
        </w:rPr>
        <w:t xml:space="preserve"> been significant</w:t>
      </w:r>
      <w:r>
        <w:rPr>
          <w:rFonts w:ascii="Calibri" w:hAnsi="Calibri" w:cs="Calibri"/>
          <w:color w:val="auto"/>
          <w:sz w:val="22"/>
          <w:szCs w:val="22"/>
        </w:rPr>
        <w:t xml:space="preserve"> improvements in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outcomes as a result of the work of these teams.  While Official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completions (sourced from </w:t>
      </w:r>
      <w:proofErr w:type="spellStart"/>
      <w:r>
        <w:rPr>
          <w:rFonts w:ascii="Calibri" w:hAnsi="Calibri" w:cs="Calibri"/>
          <w:color w:val="auto"/>
          <w:sz w:val="22"/>
          <w:szCs w:val="22"/>
        </w:rPr>
        <w:t>DATEX</w:t>
      </w:r>
      <w:proofErr w:type="spellEnd"/>
      <w:r>
        <w:rPr>
          <w:rFonts w:ascii="Calibri" w:hAnsi="Calibri" w:cs="Calibri"/>
          <w:color w:val="auto"/>
          <w:sz w:val="22"/>
          <w:szCs w:val="22"/>
        </w:rPr>
        <w:t>) [see Figure 1 below] show a decrease in completions from 2009 to 2010, data sourced directly from Registered Training Organisations (</w:t>
      </w:r>
      <w:proofErr w:type="spellStart"/>
      <w:r>
        <w:rPr>
          <w:rFonts w:ascii="Calibri" w:hAnsi="Calibri" w:cs="Calibri"/>
          <w:color w:val="auto"/>
          <w:sz w:val="22"/>
          <w:szCs w:val="22"/>
        </w:rPr>
        <w:t>RTOs</w:t>
      </w:r>
      <w:proofErr w:type="spellEnd"/>
      <w:r>
        <w:rPr>
          <w:rFonts w:ascii="Calibri" w:hAnsi="Calibri" w:cs="Calibri"/>
          <w:color w:val="auto"/>
          <w:sz w:val="22"/>
          <w:szCs w:val="22"/>
        </w:rPr>
        <w:t>) indicates a 29.5 per cent increase in completions over the same time frame [see Figure 2 below].</w:t>
      </w:r>
    </w:p>
    <w:p w:rsidR="009C0CFA" w:rsidRDefault="009C0CFA" w:rsidP="009C0CFA">
      <w:pPr>
        <w:pStyle w:val="Default"/>
        <w:spacing w:before="120"/>
        <w:ind w:left="720"/>
        <w:rPr>
          <w:rFonts w:ascii="Calibri" w:hAnsi="Calibri" w:cs="Calibri"/>
          <w:b/>
          <w:color w:val="auto"/>
          <w:sz w:val="22"/>
          <w:szCs w:val="22"/>
        </w:rPr>
      </w:pPr>
      <w:r>
        <w:rPr>
          <w:rFonts w:ascii="Calibri" w:hAnsi="Calibri" w:cs="Calibri"/>
          <w:b/>
          <w:color w:val="auto"/>
          <w:sz w:val="22"/>
          <w:szCs w:val="22"/>
        </w:rPr>
        <w:t xml:space="preserve">Figure 1: </w:t>
      </w:r>
      <w:r w:rsidRPr="00DC7376">
        <w:rPr>
          <w:rFonts w:ascii="Calibri" w:hAnsi="Calibri" w:cs="Calibri"/>
          <w:b/>
          <w:color w:val="auto"/>
          <w:sz w:val="22"/>
          <w:szCs w:val="22"/>
        </w:rPr>
        <w:t xml:space="preserve">OFFICIAL </w:t>
      </w:r>
      <w:proofErr w:type="spellStart"/>
      <w:r w:rsidRPr="00DC7376">
        <w:rPr>
          <w:rFonts w:ascii="Calibri" w:hAnsi="Calibri" w:cs="Calibri"/>
          <w:b/>
          <w:color w:val="auto"/>
          <w:sz w:val="22"/>
          <w:szCs w:val="22"/>
        </w:rPr>
        <w:t>VET</w:t>
      </w:r>
      <w:r w:rsidR="00B446B3">
        <w:rPr>
          <w:rFonts w:ascii="Calibri" w:hAnsi="Calibri" w:cs="Calibri"/>
          <w:b/>
          <w:color w:val="auto"/>
          <w:sz w:val="22"/>
          <w:szCs w:val="22"/>
        </w:rPr>
        <w:t>iS</w:t>
      </w:r>
      <w:proofErr w:type="spellEnd"/>
      <w:r w:rsidRPr="00DC7376">
        <w:rPr>
          <w:rFonts w:ascii="Calibri" w:hAnsi="Calibri" w:cs="Calibri"/>
          <w:b/>
          <w:color w:val="auto"/>
          <w:sz w:val="22"/>
          <w:szCs w:val="22"/>
        </w:rPr>
        <w:t xml:space="preserve"> COMPLETIONS SUMMARY</w:t>
      </w:r>
      <w:r>
        <w:rPr>
          <w:rFonts w:ascii="Calibri" w:hAnsi="Calibri" w:cs="Calibri"/>
          <w:b/>
          <w:color w:val="auto"/>
          <w:sz w:val="22"/>
          <w:szCs w:val="22"/>
        </w:rPr>
        <w:t xml:space="preserve"> (data sourced from </w:t>
      </w:r>
      <w:proofErr w:type="spellStart"/>
      <w:r>
        <w:rPr>
          <w:rFonts w:ascii="Calibri" w:hAnsi="Calibri" w:cs="Calibri"/>
          <w:b/>
          <w:color w:val="auto"/>
          <w:sz w:val="22"/>
          <w:szCs w:val="22"/>
        </w:rPr>
        <w:t>DATEX</w:t>
      </w:r>
      <w:proofErr w:type="spellEnd"/>
      <w:r>
        <w:rPr>
          <w:rFonts w:ascii="Calibri" w:hAnsi="Calibri" w:cs="Calibri"/>
          <w:b/>
          <w:color w:val="auto"/>
          <w:sz w:val="22"/>
          <w:szCs w:val="22"/>
        </w:rPr>
        <w:t>)</w:t>
      </w:r>
    </w:p>
    <w:p w:rsidR="00CE3DCE" w:rsidRPr="00CE3DCE" w:rsidRDefault="00CE3DCE" w:rsidP="009C0CFA">
      <w:pPr>
        <w:pStyle w:val="Default"/>
        <w:spacing w:before="120"/>
        <w:ind w:left="720"/>
        <w:rPr>
          <w:rFonts w:ascii="Calibri" w:hAnsi="Calibri" w:cs="Calibri"/>
          <w:b/>
          <w:color w:val="auto"/>
          <w:sz w:val="4"/>
          <w:szCs w:val="4"/>
        </w:rPr>
      </w:pPr>
    </w:p>
    <w:tbl>
      <w:tblPr>
        <w:tblW w:w="0" w:type="auto"/>
        <w:jc w:val="center"/>
        <w:tblInd w:w="-38" w:type="dxa"/>
        <w:tblCellMar>
          <w:left w:w="0" w:type="dxa"/>
          <w:right w:w="0" w:type="dxa"/>
        </w:tblCellMar>
        <w:tblLook w:val="04A0" w:firstRow="1" w:lastRow="0" w:firstColumn="1" w:lastColumn="0" w:noHBand="0" w:noVBand="1"/>
      </w:tblPr>
      <w:tblGrid>
        <w:gridCol w:w="4178"/>
        <w:gridCol w:w="717"/>
        <w:gridCol w:w="839"/>
        <w:gridCol w:w="1097"/>
        <w:gridCol w:w="1181"/>
        <w:gridCol w:w="1170"/>
      </w:tblGrid>
      <w:tr w:rsidR="009C0CFA" w:rsidRPr="00784070" w:rsidTr="009C0CFA">
        <w:trPr>
          <w:trHeight w:val="290"/>
          <w:jc w:val="center"/>
        </w:trPr>
        <w:tc>
          <w:tcPr>
            <w:tcW w:w="918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C0CFA" w:rsidRPr="00624528" w:rsidRDefault="009C0CFA" w:rsidP="009C0CFA">
            <w:pPr>
              <w:autoSpaceDE w:val="0"/>
              <w:autoSpaceDN w:val="0"/>
              <w:rPr>
                <w:rFonts w:ascii="Calibri" w:hAnsi="Calibri"/>
                <w:caps/>
              </w:rPr>
            </w:pPr>
            <w:proofErr w:type="spellStart"/>
            <w:r w:rsidRPr="00624528">
              <w:rPr>
                <w:b/>
                <w:bCs/>
                <w:caps/>
              </w:rPr>
              <w:t>VETiS</w:t>
            </w:r>
            <w:proofErr w:type="spellEnd"/>
            <w:r w:rsidRPr="00624528">
              <w:rPr>
                <w:b/>
                <w:bCs/>
                <w:caps/>
              </w:rPr>
              <w:t xml:space="preserve"> Summary</w:t>
            </w:r>
            <w:r>
              <w:rPr>
                <w:b/>
                <w:bCs/>
                <w:caps/>
              </w:rPr>
              <w:t>:</w:t>
            </w:r>
            <w:r w:rsidRPr="00624528">
              <w:rPr>
                <w:b/>
                <w:bCs/>
                <w:caps/>
              </w:rPr>
              <w:t xml:space="preserve"> 2010 compared to 2009</w:t>
            </w:r>
          </w:p>
        </w:tc>
      </w:tr>
      <w:tr w:rsidR="009C0CFA" w:rsidRPr="00784070" w:rsidTr="00CE3DCE">
        <w:trPr>
          <w:trHeight w:val="886"/>
          <w:jc w:val="center"/>
        </w:trPr>
        <w:tc>
          <w:tcPr>
            <w:tcW w:w="4178"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9C0CFA" w:rsidRPr="00CE3DCE" w:rsidRDefault="009C0CFA" w:rsidP="009C0CFA">
            <w:pPr>
              <w:autoSpaceDE w:val="0"/>
              <w:autoSpaceDN w:val="0"/>
              <w:jc w:val="center"/>
              <w:rPr>
                <w:rFonts w:ascii="Calibri" w:hAnsi="Calibri"/>
                <w:sz w:val="18"/>
                <w:szCs w:val="18"/>
              </w:rPr>
            </w:pPr>
          </w:p>
        </w:tc>
        <w:tc>
          <w:tcPr>
            <w:tcW w:w="717" w:type="dxa"/>
            <w:tcBorders>
              <w:top w:val="nil"/>
              <w:left w:val="nil"/>
              <w:bottom w:val="single" w:sz="12" w:space="0" w:color="auto"/>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b/>
                <w:bCs/>
                <w:sz w:val="18"/>
                <w:szCs w:val="18"/>
              </w:rPr>
            </w:pPr>
            <w:r w:rsidRPr="00CE3DCE">
              <w:rPr>
                <w:b/>
                <w:bCs/>
                <w:sz w:val="18"/>
                <w:szCs w:val="18"/>
              </w:rPr>
              <w:t>2010</w:t>
            </w:r>
          </w:p>
        </w:tc>
        <w:tc>
          <w:tcPr>
            <w:tcW w:w="839"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b/>
                <w:bCs/>
                <w:sz w:val="18"/>
                <w:szCs w:val="18"/>
              </w:rPr>
            </w:pPr>
            <w:r w:rsidRPr="00CE3DCE">
              <w:rPr>
                <w:b/>
                <w:bCs/>
                <w:sz w:val="18"/>
                <w:szCs w:val="18"/>
              </w:rPr>
              <w:t>2009</w:t>
            </w:r>
          </w:p>
        </w:tc>
        <w:tc>
          <w:tcPr>
            <w:tcW w:w="1097"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b/>
                <w:bCs/>
                <w:sz w:val="18"/>
                <w:szCs w:val="18"/>
              </w:rPr>
            </w:pPr>
            <w:r w:rsidRPr="00CE3DCE">
              <w:rPr>
                <w:b/>
                <w:bCs/>
                <w:sz w:val="18"/>
                <w:szCs w:val="18"/>
              </w:rPr>
              <w:t>Increase or Decrease</w:t>
            </w:r>
          </w:p>
        </w:tc>
        <w:tc>
          <w:tcPr>
            <w:tcW w:w="1181" w:type="dxa"/>
            <w:tcBorders>
              <w:top w:val="nil"/>
              <w:left w:val="nil"/>
              <w:bottom w:val="single" w:sz="12" w:space="0" w:color="auto"/>
              <w:right w:val="single" w:sz="12" w:space="0" w:color="auto"/>
            </w:tcBorders>
            <w:vAlign w:val="center"/>
          </w:tcPr>
          <w:p w:rsidR="009C0CFA" w:rsidRPr="00CE3DCE" w:rsidRDefault="009C0CFA" w:rsidP="009C0CFA">
            <w:pPr>
              <w:autoSpaceDE w:val="0"/>
              <w:autoSpaceDN w:val="0"/>
              <w:jc w:val="center"/>
              <w:rPr>
                <w:b/>
                <w:bCs/>
                <w:sz w:val="18"/>
                <w:szCs w:val="18"/>
              </w:rPr>
            </w:pPr>
            <w:r w:rsidRPr="00CE3DCE">
              <w:rPr>
                <w:b/>
                <w:bCs/>
                <w:sz w:val="18"/>
                <w:szCs w:val="18"/>
              </w:rPr>
              <w:t>Percentage Completions</w:t>
            </w:r>
          </w:p>
          <w:p w:rsidR="009C0CFA" w:rsidRPr="00CE3DCE" w:rsidRDefault="009C0CFA" w:rsidP="009C0CFA">
            <w:pPr>
              <w:autoSpaceDE w:val="0"/>
              <w:autoSpaceDN w:val="0"/>
              <w:jc w:val="center"/>
              <w:rPr>
                <w:b/>
                <w:bCs/>
                <w:sz w:val="18"/>
                <w:szCs w:val="18"/>
              </w:rPr>
            </w:pPr>
            <w:r w:rsidRPr="00CE3DCE">
              <w:rPr>
                <w:b/>
                <w:bCs/>
                <w:sz w:val="18"/>
                <w:szCs w:val="18"/>
              </w:rPr>
              <w:t>2009</w:t>
            </w:r>
          </w:p>
        </w:tc>
        <w:tc>
          <w:tcPr>
            <w:tcW w:w="1170" w:type="dxa"/>
            <w:tcBorders>
              <w:top w:val="nil"/>
              <w:left w:val="nil"/>
              <w:bottom w:val="single" w:sz="12" w:space="0" w:color="auto"/>
              <w:right w:val="single" w:sz="12" w:space="0" w:color="auto"/>
            </w:tcBorders>
            <w:vAlign w:val="center"/>
          </w:tcPr>
          <w:p w:rsidR="009C0CFA" w:rsidRPr="00CE3DCE" w:rsidRDefault="009C0CFA" w:rsidP="009C0CFA">
            <w:pPr>
              <w:autoSpaceDE w:val="0"/>
              <w:autoSpaceDN w:val="0"/>
              <w:jc w:val="center"/>
              <w:rPr>
                <w:b/>
                <w:bCs/>
                <w:sz w:val="18"/>
                <w:szCs w:val="18"/>
              </w:rPr>
            </w:pPr>
            <w:r w:rsidRPr="00CE3DCE">
              <w:rPr>
                <w:b/>
                <w:bCs/>
                <w:sz w:val="18"/>
                <w:szCs w:val="18"/>
              </w:rPr>
              <w:t>Percentage completions 2010</w:t>
            </w:r>
          </w:p>
        </w:tc>
      </w:tr>
      <w:tr w:rsidR="009C0CFA" w:rsidRPr="00784070" w:rsidTr="00CE3DCE">
        <w:trPr>
          <w:trHeight w:val="290"/>
          <w:jc w:val="center"/>
        </w:trPr>
        <w:tc>
          <w:tcPr>
            <w:tcW w:w="4178"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rPr>
                <w:rFonts w:ascii="Calibri" w:hAnsi="Calibri"/>
                <w:sz w:val="18"/>
                <w:szCs w:val="18"/>
              </w:rPr>
            </w:pPr>
            <w:r w:rsidRPr="00CE3DCE">
              <w:rPr>
                <w:sz w:val="18"/>
                <w:szCs w:val="18"/>
              </w:rPr>
              <w:t>No. of students who received a VET Certificate (1), (2)</w:t>
            </w:r>
          </w:p>
        </w:tc>
        <w:tc>
          <w:tcPr>
            <w:tcW w:w="71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369</w:t>
            </w:r>
          </w:p>
        </w:tc>
        <w:tc>
          <w:tcPr>
            <w:tcW w:w="83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384</w:t>
            </w:r>
          </w:p>
        </w:tc>
        <w:tc>
          <w:tcPr>
            <w:tcW w:w="109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-15</w:t>
            </w:r>
          </w:p>
        </w:tc>
        <w:tc>
          <w:tcPr>
            <w:tcW w:w="1181" w:type="dxa"/>
            <w:tcBorders>
              <w:top w:val="nil"/>
              <w:left w:val="nil"/>
              <w:bottom w:val="single" w:sz="8" w:space="0" w:color="auto"/>
              <w:right w:val="single" w:sz="12" w:space="0" w:color="auto"/>
            </w:tcBorders>
            <w:vAlign w:val="center"/>
          </w:tcPr>
          <w:p w:rsidR="009C0CFA" w:rsidRPr="00CE3DCE" w:rsidRDefault="009C0CFA" w:rsidP="009C0CFA">
            <w:pPr>
              <w:autoSpaceDE w:val="0"/>
              <w:autoSpaceDN w:val="0"/>
              <w:jc w:val="center"/>
              <w:rPr>
                <w:sz w:val="18"/>
                <w:szCs w:val="18"/>
              </w:rPr>
            </w:pPr>
            <w:r w:rsidRPr="00CE3DCE">
              <w:rPr>
                <w:sz w:val="18"/>
                <w:szCs w:val="18"/>
              </w:rPr>
              <w:t>14</w:t>
            </w:r>
          </w:p>
        </w:tc>
        <w:tc>
          <w:tcPr>
            <w:tcW w:w="1170" w:type="dxa"/>
            <w:tcBorders>
              <w:top w:val="nil"/>
              <w:left w:val="nil"/>
              <w:bottom w:val="single" w:sz="8" w:space="0" w:color="auto"/>
              <w:right w:val="single" w:sz="12" w:space="0" w:color="auto"/>
            </w:tcBorders>
            <w:vAlign w:val="center"/>
          </w:tcPr>
          <w:p w:rsidR="009C0CFA" w:rsidRPr="00CE3DCE" w:rsidRDefault="009C0CFA" w:rsidP="009C0CFA">
            <w:pPr>
              <w:autoSpaceDE w:val="0"/>
              <w:autoSpaceDN w:val="0"/>
              <w:jc w:val="center"/>
              <w:rPr>
                <w:sz w:val="18"/>
                <w:szCs w:val="18"/>
              </w:rPr>
            </w:pPr>
            <w:r w:rsidRPr="00CE3DCE">
              <w:rPr>
                <w:sz w:val="18"/>
                <w:szCs w:val="18"/>
              </w:rPr>
              <w:t>19.04</w:t>
            </w:r>
          </w:p>
        </w:tc>
      </w:tr>
      <w:tr w:rsidR="009C0CFA" w:rsidRPr="00784070" w:rsidTr="00CE3DCE">
        <w:trPr>
          <w:trHeight w:val="290"/>
          <w:jc w:val="center"/>
        </w:trPr>
        <w:tc>
          <w:tcPr>
            <w:tcW w:w="4178" w:type="dxa"/>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rPr>
                <w:rFonts w:ascii="Calibri" w:hAnsi="Calibri"/>
                <w:sz w:val="18"/>
                <w:szCs w:val="18"/>
              </w:rPr>
            </w:pPr>
            <w:r w:rsidRPr="00CE3DCE">
              <w:rPr>
                <w:sz w:val="18"/>
                <w:szCs w:val="18"/>
              </w:rPr>
              <w:t>No. of students who received a VET Certificate - males</w:t>
            </w:r>
          </w:p>
        </w:tc>
        <w:tc>
          <w:tcPr>
            <w:tcW w:w="7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191</w:t>
            </w:r>
          </w:p>
        </w:tc>
        <w:tc>
          <w:tcPr>
            <w:tcW w:w="839" w:type="dxa"/>
            <w:tcBorders>
              <w:top w:val="nil"/>
              <w:left w:val="nil"/>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203</w:t>
            </w:r>
          </w:p>
        </w:tc>
        <w:tc>
          <w:tcPr>
            <w:tcW w:w="1097" w:type="dxa"/>
            <w:tcBorders>
              <w:top w:val="nil"/>
              <w:left w:val="nil"/>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-12</w:t>
            </w:r>
          </w:p>
        </w:tc>
        <w:tc>
          <w:tcPr>
            <w:tcW w:w="1181" w:type="dxa"/>
            <w:tcBorders>
              <w:top w:val="nil"/>
              <w:left w:val="nil"/>
              <w:bottom w:val="single" w:sz="8" w:space="0" w:color="000000"/>
              <w:right w:val="single" w:sz="12" w:space="0" w:color="auto"/>
            </w:tcBorders>
            <w:vAlign w:val="center"/>
          </w:tcPr>
          <w:p w:rsidR="009C0CFA" w:rsidRPr="00CE3DCE" w:rsidRDefault="009C0CFA" w:rsidP="009C0CFA">
            <w:pPr>
              <w:autoSpaceDE w:val="0"/>
              <w:autoSpaceDN w:val="0"/>
              <w:jc w:val="center"/>
              <w:rPr>
                <w:sz w:val="18"/>
                <w:szCs w:val="18"/>
              </w:rPr>
            </w:pPr>
          </w:p>
        </w:tc>
        <w:tc>
          <w:tcPr>
            <w:tcW w:w="1170" w:type="dxa"/>
            <w:tcBorders>
              <w:top w:val="nil"/>
              <w:left w:val="nil"/>
              <w:bottom w:val="single" w:sz="8" w:space="0" w:color="000000"/>
              <w:right w:val="single" w:sz="12" w:space="0" w:color="auto"/>
            </w:tcBorders>
            <w:vAlign w:val="center"/>
          </w:tcPr>
          <w:p w:rsidR="009C0CFA" w:rsidRPr="00CE3DCE" w:rsidRDefault="009C0CFA" w:rsidP="009C0CFA">
            <w:pPr>
              <w:autoSpaceDE w:val="0"/>
              <w:autoSpaceDN w:val="0"/>
              <w:jc w:val="center"/>
              <w:rPr>
                <w:sz w:val="18"/>
                <w:szCs w:val="18"/>
              </w:rPr>
            </w:pPr>
          </w:p>
        </w:tc>
      </w:tr>
      <w:tr w:rsidR="009C0CFA" w:rsidRPr="00784070" w:rsidTr="00CE3DCE">
        <w:trPr>
          <w:trHeight w:val="290"/>
          <w:jc w:val="center"/>
        </w:trPr>
        <w:tc>
          <w:tcPr>
            <w:tcW w:w="4178"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rPr>
                <w:rFonts w:ascii="Calibri" w:hAnsi="Calibri"/>
                <w:sz w:val="18"/>
                <w:szCs w:val="18"/>
              </w:rPr>
            </w:pPr>
            <w:r w:rsidRPr="00CE3DCE">
              <w:rPr>
                <w:sz w:val="18"/>
                <w:szCs w:val="18"/>
              </w:rPr>
              <w:t>No. of students who received a VET Certificate - females</w:t>
            </w:r>
          </w:p>
        </w:tc>
        <w:tc>
          <w:tcPr>
            <w:tcW w:w="71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178</w:t>
            </w:r>
          </w:p>
        </w:tc>
        <w:tc>
          <w:tcPr>
            <w:tcW w:w="83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181</w:t>
            </w:r>
          </w:p>
        </w:tc>
        <w:tc>
          <w:tcPr>
            <w:tcW w:w="109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-3</w:t>
            </w:r>
          </w:p>
        </w:tc>
        <w:tc>
          <w:tcPr>
            <w:tcW w:w="1181" w:type="dxa"/>
            <w:tcBorders>
              <w:top w:val="nil"/>
              <w:left w:val="nil"/>
              <w:bottom w:val="single" w:sz="8" w:space="0" w:color="auto"/>
              <w:right w:val="single" w:sz="12" w:space="0" w:color="auto"/>
            </w:tcBorders>
            <w:vAlign w:val="center"/>
          </w:tcPr>
          <w:p w:rsidR="009C0CFA" w:rsidRPr="00CE3DCE" w:rsidRDefault="009C0CFA" w:rsidP="009C0CFA">
            <w:pPr>
              <w:autoSpaceDE w:val="0"/>
              <w:autoSpaceDN w:val="0"/>
              <w:jc w:val="center"/>
              <w:rPr>
                <w:sz w:val="18"/>
                <w:szCs w:val="18"/>
              </w:rPr>
            </w:pPr>
          </w:p>
        </w:tc>
        <w:tc>
          <w:tcPr>
            <w:tcW w:w="1170" w:type="dxa"/>
            <w:tcBorders>
              <w:top w:val="nil"/>
              <w:left w:val="nil"/>
              <w:bottom w:val="single" w:sz="8" w:space="0" w:color="auto"/>
              <w:right w:val="single" w:sz="12" w:space="0" w:color="auto"/>
            </w:tcBorders>
            <w:vAlign w:val="center"/>
          </w:tcPr>
          <w:p w:rsidR="009C0CFA" w:rsidRPr="00CE3DCE" w:rsidRDefault="009C0CFA" w:rsidP="009C0CFA">
            <w:pPr>
              <w:autoSpaceDE w:val="0"/>
              <w:autoSpaceDN w:val="0"/>
              <w:jc w:val="center"/>
              <w:rPr>
                <w:sz w:val="18"/>
                <w:szCs w:val="18"/>
              </w:rPr>
            </w:pPr>
          </w:p>
        </w:tc>
      </w:tr>
      <w:tr w:rsidR="009C0CFA" w:rsidRPr="00784070" w:rsidTr="00CE3DCE">
        <w:trPr>
          <w:trHeight w:val="290"/>
          <w:jc w:val="center"/>
        </w:trPr>
        <w:tc>
          <w:tcPr>
            <w:tcW w:w="4178" w:type="dxa"/>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rPr>
                <w:rFonts w:ascii="Calibri" w:hAnsi="Calibri"/>
                <w:sz w:val="18"/>
                <w:szCs w:val="18"/>
              </w:rPr>
            </w:pPr>
            <w:r w:rsidRPr="00CE3DCE">
              <w:rPr>
                <w:sz w:val="18"/>
                <w:szCs w:val="18"/>
              </w:rPr>
              <w:t>No. of students who received a VET Certificate - Indigenous</w:t>
            </w:r>
          </w:p>
        </w:tc>
        <w:tc>
          <w:tcPr>
            <w:tcW w:w="7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84</w:t>
            </w:r>
          </w:p>
        </w:tc>
        <w:tc>
          <w:tcPr>
            <w:tcW w:w="839" w:type="dxa"/>
            <w:tcBorders>
              <w:top w:val="nil"/>
              <w:left w:val="nil"/>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143</w:t>
            </w:r>
          </w:p>
        </w:tc>
        <w:tc>
          <w:tcPr>
            <w:tcW w:w="1097" w:type="dxa"/>
            <w:tcBorders>
              <w:top w:val="nil"/>
              <w:left w:val="nil"/>
              <w:bottom w:val="single" w:sz="8" w:space="0" w:color="000000"/>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-59</w:t>
            </w:r>
          </w:p>
        </w:tc>
        <w:tc>
          <w:tcPr>
            <w:tcW w:w="1181" w:type="dxa"/>
            <w:tcBorders>
              <w:top w:val="nil"/>
              <w:left w:val="nil"/>
              <w:bottom w:val="single" w:sz="8" w:space="0" w:color="000000"/>
              <w:right w:val="single" w:sz="12" w:space="0" w:color="auto"/>
            </w:tcBorders>
            <w:vAlign w:val="center"/>
          </w:tcPr>
          <w:p w:rsidR="009C0CFA" w:rsidRPr="00CE3DCE" w:rsidRDefault="009C0CFA" w:rsidP="009C0CFA">
            <w:pPr>
              <w:autoSpaceDE w:val="0"/>
              <w:autoSpaceDN w:val="0"/>
              <w:jc w:val="center"/>
              <w:rPr>
                <w:sz w:val="18"/>
                <w:szCs w:val="18"/>
              </w:rPr>
            </w:pPr>
          </w:p>
        </w:tc>
        <w:tc>
          <w:tcPr>
            <w:tcW w:w="1170" w:type="dxa"/>
            <w:tcBorders>
              <w:top w:val="nil"/>
              <w:left w:val="nil"/>
              <w:bottom w:val="single" w:sz="8" w:space="0" w:color="000000"/>
              <w:right w:val="single" w:sz="12" w:space="0" w:color="auto"/>
            </w:tcBorders>
            <w:vAlign w:val="center"/>
          </w:tcPr>
          <w:p w:rsidR="009C0CFA" w:rsidRPr="00CE3DCE" w:rsidRDefault="009C0CFA" w:rsidP="009C0CFA">
            <w:pPr>
              <w:autoSpaceDE w:val="0"/>
              <w:autoSpaceDN w:val="0"/>
              <w:jc w:val="center"/>
              <w:rPr>
                <w:sz w:val="18"/>
                <w:szCs w:val="18"/>
              </w:rPr>
            </w:pPr>
          </w:p>
        </w:tc>
      </w:tr>
      <w:tr w:rsidR="009C0CFA" w:rsidRPr="00784070" w:rsidTr="00CE3DCE">
        <w:trPr>
          <w:trHeight w:val="305"/>
          <w:jc w:val="center"/>
        </w:trPr>
        <w:tc>
          <w:tcPr>
            <w:tcW w:w="4178"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rPr>
                <w:rFonts w:ascii="Calibri" w:hAnsi="Calibri"/>
                <w:sz w:val="18"/>
                <w:szCs w:val="18"/>
              </w:rPr>
            </w:pPr>
            <w:r w:rsidRPr="00CE3DCE">
              <w:rPr>
                <w:sz w:val="18"/>
                <w:szCs w:val="18"/>
              </w:rPr>
              <w:t>No. of students who received a VET Certificate - non-Indigenous</w:t>
            </w:r>
          </w:p>
        </w:tc>
        <w:tc>
          <w:tcPr>
            <w:tcW w:w="717" w:type="dxa"/>
            <w:tcBorders>
              <w:top w:val="nil"/>
              <w:left w:val="nil"/>
              <w:bottom w:val="single" w:sz="12" w:space="0" w:color="auto"/>
              <w:right w:val="single" w:sz="8" w:space="0" w:color="000000"/>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285</w:t>
            </w:r>
          </w:p>
        </w:tc>
        <w:tc>
          <w:tcPr>
            <w:tcW w:w="839"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241</w:t>
            </w:r>
          </w:p>
        </w:tc>
        <w:tc>
          <w:tcPr>
            <w:tcW w:w="1097"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C0CFA" w:rsidRPr="00CE3DCE" w:rsidRDefault="009C0CFA" w:rsidP="009C0CFA">
            <w:pPr>
              <w:autoSpaceDE w:val="0"/>
              <w:autoSpaceDN w:val="0"/>
              <w:jc w:val="center"/>
              <w:rPr>
                <w:rFonts w:ascii="Calibri" w:hAnsi="Calibri"/>
                <w:sz w:val="18"/>
                <w:szCs w:val="18"/>
              </w:rPr>
            </w:pPr>
            <w:r w:rsidRPr="00CE3DCE">
              <w:rPr>
                <w:sz w:val="18"/>
                <w:szCs w:val="18"/>
              </w:rPr>
              <w:t>44</w:t>
            </w:r>
          </w:p>
        </w:tc>
        <w:tc>
          <w:tcPr>
            <w:tcW w:w="1181" w:type="dxa"/>
            <w:tcBorders>
              <w:top w:val="nil"/>
              <w:left w:val="nil"/>
              <w:bottom w:val="single" w:sz="12" w:space="0" w:color="auto"/>
              <w:right w:val="single" w:sz="12" w:space="0" w:color="auto"/>
            </w:tcBorders>
            <w:vAlign w:val="center"/>
          </w:tcPr>
          <w:p w:rsidR="009C0CFA" w:rsidRPr="00CE3DCE" w:rsidRDefault="009C0CFA" w:rsidP="009C0CFA">
            <w:pPr>
              <w:autoSpaceDE w:val="0"/>
              <w:autoSpaceDN w:val="0"/>
              <w:jc w:val="center"/>
              <w:rPr>
                <w:sz w:val="18"/>
                <w:szCs w:val="18"/>
              </w:rPr>
            </w:pPr>
          </w:p>
        </w:tc>
        <w:tc>
          <w:tcPr>
            <w:tcW w:w="1170" w:type="dxa"/>
            <w:tcBorders>
              <w:top w:val="nil"/>
              <w:left w:val="nil"/>
              <w:bottom w:val="single" w:sz="12" w:space="0" w:color="auto"/>
              <w:right w:val="single" w:sz="12" w:space="0" w:color="auto"/>
            </w:tcBorders>
            <w:vAlign w:val="center"/>
          </w:tcPr>
          <w:p w:rsidR="009C0CFA" w:rsidRPr="00CE3DCE" w:rsidRDefault="009C0CFA" w:rsidP="009C0CFA">
            <w:pPr>
              <w:autoSpaceDE w:val="0"/>
              <w:autoSpaceDN w:val="0"/>
              <w:jc w:val="center"/>
              <w:rPr>
                <w:sz w:val="18"/>
                <w:szCs w:val="18"/>
              </w:rPr>
            </w:pPr>
          </w:p>
        </w:tc>
      </w:tr>
      <w:tr w:rsidR="009C0CFA" w:rsidRPr="00784070" w:rsidTr="009C0CFA">
        <w:trPr>
          <w:trHeight w:val="1049"/>
          <w:jc w:val="center"/>
        </w:trPr>
        <w:tc>
          <w:tcPr>
            <w:tcW w:w="918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0CFA" w:rsidRPr="00624528" w:rsidRDefault="009C0CFA" w:rsidP="009C0CFA">
            <w:pPr>
              <w:autoSpaceDE w:val="0"/>
              <w:autoSpaceDN w:val="0"/>
              <w:rPr>
                <w:rFonts w:ascii="Calibri" w:hAnsi="Calibri"/>
                <w:b/>
                <w:bCs/>
                <w:sz w:val="16"/>
                <w:szCs w:val="16"/>
              </w:rPr>
            </w:pPr>
            <w:r w:rsidRPr="00624528">
              <w:rPr>
                <w:b/>
                <w:bCs/>
                <w:sz w:val="16"/>
                <w:szCs w:val="16"/>
              </w:rPr>
              <w:t>Note:</w:t>
            </w:r>
          </w:p>
          <w:p w:rsidR="009C0CFA" w:rsidRPr="00624528" w:rsidRDefault="009C0CFA" w:rsidP="009C0CFA">
            <w:pPr>
              <w:autoSpaceDE w:val="0"/>
              <w:autoSpaceDN w:val="0"/>
              <w:rPr>
                <w:rFonts w:ascii="Calibri" w:hAnsi="Calibri"/>
                <w:sz w:val="16"/>
                <w:szCs w:val="16"/>
              </w:rPr>
            </w:pPr>
            <w:r w:rsidRPr="00624528">
              <w:rPr>
                <w:sz w:val="16"/>
                <w:szCs w:val="16"/>
              </w:rPr>
              <w:t>1.  VET Certificate at Certificate Level I or above.</w:t>
            </w:r>
          </w:p>
          <w:p w:rsidR="009C0CFA" w:rsidRPr="00624528" w:rsidRDefault="009C0CFA" w:rsidP="009C0CFA">
            <w:pPr>
              <w:autoSpaceDE w:val="0"/>
              <w:autoSpaceDN w:val="0"/>
              <w:rPr>
                <w:rFonts w:ascii="Calibri" w:hAnsi="Calibri"/>
                <w:sz w:val="16"/>
                <w:szCs w:val="16"/>
              </w:rPr>
            </w:pPr>
            <w:r w:rsidRPr="00624528">
              <w:rPr>
                <w:sz w:val="16"/>
                <w:szCs w:val="16"/>
              </w:rPr>
              <w:t>2.  A student may have received more than one VET Certificate.</w:t>
            </w:r>
          </w:p>
        </w:tc>
      </w:tr>
    </w:tbl>
    <w:p w:rsidR="000F1DAC" w:rsidRDefault="000F1DAC" w:rsidP="009C0CFA">
      <w:pPr>
        <w:pStyle w:val="Default"/>
        <w:spacing w:before="120"/>
        <w:ind w:left="720"/>
        <w:rPr>
          <w:rFonts w:ascii="Calibri" w:hAnsi="Calibri" w:cs="Calibri"/>
          <w:b/>
          <w:color w:val="auto"/>
          <w:sz w:val="22"/>
          <w:szCs w:val="22"/>
        </w:rPr>
      </w:pPr>
    </w:p>
    <w:p w:rsidR="000F1DAC" w:rsidRDefault="000F1DAC" w:rsidP="009C0CFA">
      <w:pPr>
        <w:pStyle w:val="Default"/>
        <w:spacing w:before="120"/>
        <w:ind w:left="720"/>
        <w:rPr>
          <w:rFonts w:ascii="Calibri" w:hAnsi="Calibri" w:cs="Calibri"/>
          <w:b/>
          <w:color w:val="auto"/>
          <w:sz w:val="22"/>
          <w:szCs w:val="22"/>
        </w:rPr>
      </w:pPr>
    </w:p>
    <w:p w:rsidR="000F1DAC" w:rsidRDefault="000F1DAC" w:rsidP="009C0CFA">
      <w:pPr>
        <w:pStyle w:val="Default"/>
        <w:spacing w:before="120"/>
        <w:ind w:left="720"/>
        <w:rPr>
          <w:rFonts w:ascii="Calibri" w:hAnsi="Calibri" w:cs="Calibri"/>
          <w:b/>
          <w:color w:val="auto"/>
          <w:sz w:val="22"/>
          <w:szCs w:val="22"/>
        </w:rPr>
      </w:pPr>
    </w:p>
    <w:p w:rsidR="000F1DAC" w:rsidRDefault="000F1DAC" w:rsidP="009C0CFA">
      <w:pPr>
        <w:pStyle w:val="Default"/>
        <w:spacing w:before="120"/>
        <w:ind w:left="720"/>
        <w:rPr>
          <w:rFonts w:ascii="Calibri" w:hAnsi="Calibri" w:cs="Calibri"/>
          <w:b/>
          <w:color w:val="auto"/>
          <w:sz w:val="22"/>
          <w:szCs w:val="22"/>
        </w:rPr>
      </w:pPr>
    </w:p>
    <w:p w:rsidR="000F1DAC" w:rsidRDefault="000F1DAC" w:rsidP="009C0CFA">
      <w:pPr>
        <w:pStyle w:val="Default"/>
        <w:spacing w:before="120"/>
        <w:ind w:left="720"/>
        <w:rPr>
          <w:rFonts w:ascii="Calibri" w:hAnsi="Calibri" w:cs="Calibri"/>
          <w:b/>
          <w:color w:val="auto"/>
          <w:sz w:val="22"/>
          <w:szCs w:val="22"/>
        </w:rPr>
      </w:pPr>
    </w:p>
    <w:p w:rsidR="000F1DAC" w:rsidRDefault="000F1DAC" w:rsidP="009C0CFA">
      <w:pPr>
        <w:pStyle w:val="Default"/>
        <w:spacing w:before="120"/>
        <w:ind w:left="720"/>
        <w:rPr>
          <w:rFonts w:ascii="Calibri" w:hAnsi="Calibri" w:cs="Calibri"/>
          <w:b/>
          <w:color w:val="auto"/>
          <w:sz w:val="22"/>
          <w:szCs w:val="22"/>
        </w:rPr>
      </w:pPr>
    </w:p>
    <w:p w:rsidR="009C0CFA" w:rsidRDefault="009C0CFA" w:rsidP="009C0CFA">
      <w:pPr>
        <w:pStyle w:val="Default"/>
        <w:spacing w:before="120"/>
        <w:ind w:left="720"/>
        <w:rPr>
          <w:rFonts w:ascii="Calibri" w:hAnsi="Calibri" w:cs="Calibri"/>
          <w:b/>
          <w:color w:val="auto"/>
          <w:sz w:val="22"/>
          <w:szCs w:val="22"/>
        </w:rPr>
      </w:pPr>
      <w:r>
        <w:rPr>
          <w:rFonts w:ascii="Calibri" w:hAnsi="Calibri" w:cs="Calibri"/>
          <w:b/>
          <w:color w:val="auto"/>
          <w:sz w:val="22"/>
          <w:szCs w:val="22"/>
        </w:rPr>
        <w:lastRenderedPageBreak/>
        <w:t>Figure 2: DATA COLLECTED FROM REGISTERED TRAINING ORGANISATIONS (</w:t>
      </w:r>
      <w:proofErr w:type="spellStart"/>
      <w:r>
        <w:rPr>
          <w:rFonts w:ascii="Calibri" w:hAnsi="Calibri" w:cs="Calibri"/>
          <w:b/>
          <w:color w:val="auto"/>
          <w:sz w:val="22"/>
          <w:szCs w:val="22"/>
        </w:rPr>
        <w:t>RTOs</w:t>
      </w:r>
      <w:proofErr w:type="spellEnd"/>
      <w:r>
        <w:rPr>
          <w:rFonts w:ascii="Calibri" w:hAnsi="Calibri" w:cs="Calibri"/>
          <w:b/>
          <w:color w:val="auto"/>
          <w:sz w:val="22"/>
          <w:szCs w:val="22"/>
        </w:rPr>
        <w:t>)</w:t>
      </w:r>
    </w:p>
    <w:tbl>
      <w:tblPr>
        <w:tblStyle w:val="TableGrid"/>
        <w:tblW w:w="0" w:type="auto"/>
        <w:tblInd w:w="720" w:type="dxa"/>
        <w:tblLook w:val="04A0" w:firstRow="1" w:lastRow="0" w:firstColumn="1" w:lastColumn="0" w:noHBand="0" w:noVBand="1"/>
      </w:tblPr>
      <w:tblGrid>
        <w:gridCol w:w="3100"/>
        <w:gridCol w:w="1916"/>
        <w:gridCol w:w="2116"/>
        <w:gridCol w:w="2116"/>
      </w:tblGrid>
      <w:tr w:rsidR="009C0CFA" w:rsidTr="009C0CFA">
        <w:trPr>
          <w:trHeight w:val="376"/>
        </w:trPr>
        <w:tc>
          <w:tcPr>
            <w:tcW w:w="10410" w:type="dxa"/>
            <w:gridSpan w:val="4"/>
          </w:tcPr>
          <w:p w:rsidR="009C0CFA" w:rsidRPr="00264783" w:rsidRDefault="00B446B3" w:rsidP="009C0CFA">
            <w:pPr>
              <w:pStyle w:val="Default"/>
              <w:spacing w:before="120"/>
              <w:rPr>
                <w:rFonts w:ascii="Calibri" w:hAnsi="Calibri" w:cs="Calibri"/>
                <w:b/>
                <w:color w:val="auto"/>
                <w:sz w:val="22"/>
                <w:szCs w:val="22"/>
              </w:rPr>
            </w:pPr>
            <w:proofErr w:type="spellStart"/>
            <w:r>
              <w:rPr>
                <w:rFonts w:ascii="Calibri" w:hAnsi="Calibri" w:cs="Calibri"/>
                <w:b/>
                <w:color w:val="auto"/>
                <w:sz w:val="22"/>
                <w:szCs w:val="22"/>
              </w:rPr>
              <w:t>VETiS</w:t>
            </w:r>
            <w:proofErr w:type="spellEnd"/>
            <w:r>
              <w:rPr>
                <w:rFonts w:ascii="Calibri" w:hAnsi="Calibri" w:cs="Calibri"/>
                <w:b/>
                <w:color w:val="auto"/>
                <w:sz w:val="22"/>
                <w:szCs w:val="22"/>
              </w:rPr>
              <w:t xml:space="preserve"> </w:t>
            </w:r>
            <w:r w:rsidR="009C0CFA" w:rsidRPr="00264783">
              <w:rPr>
                <w:rFonts w:ascii="Calibri" w:hAnsi="Calibri" w:cs="Calibri"/>
                <w:b/>
                <w:color w:val="auto"/>
                <w:sz w:val="22"/>
                <w:szCs w:val="22"/>
              </w:rPr>
              <w:t>DATA COLLECTION 2010</w:t>
            </w:r>
          </w:p>
        </w:tc>
      </w:tr>
      <w:tr w:rsidR="009C0CFA" w:rsidTr="009C0CFA">
        <w:trPr>
          <w:trHeight w:val="391"/>
        </w:trPr>
        <w:tc>
          <w:tcPr>
            <w:tcW w:w="3628" w:type="dxa"/>
            <w:vAlign w:val="center"/>
          </w:tcPr>
          <w:p w:rsidR="009C0CFA" w:rsidRPr="00CE3DCE" w:rsidRDefault="009C0CFA" w:rsidP="009C0CFA">
            <w:pPr>
              <w:autoSpaceDE w:val="0"/>
              <w:autoSpaceDN w:val="0"/>
              <w:rPr>
                <w:rFonts w:ascii="Calibri" w:hAnsi="Calibri" w:cs="Calibri"/>
                <w:b/>
                <w:sz w:val="18"/>
                <w:szCs w:val="18"/>
              </w:rPr>
            </w:pPr>
            <w:r w:rsidRPr="00CE3DCE">
              <w:rPr>
                <w:b/>
                <w:sz w:val="18"/>
                <w:szCs w:val="18"/>
              </w:rPr>
              <w:t>Registered Training Organisation</w:t>
            </w:r>
            <w:r w:rsidRPr="00CE3DCE">
              <w:rPr>
                <w:rFonts w:ascii="Calibri" w:hAnsi="Calibri" w:cs="Calibri"/>
                <w:b/>
                <w:sz w:val="18"/>
                <w:szCs w:val="18"/>
              </w:rPr>
              <w:t xml:space="preserve"> </w:t>
            </w:r>
          </w:p>
        </w:tc>
        <w:tc>
          <w:tcPr>
            <w:tcW w:w="2024" w:type="dxa"/>
            <w:vAlign w:val="center"/>
          </w:tcPr>
          <w:p w:rsidR="009C0CFA" w:rsidRPr="00CE3DCE" w:rsidRDefault="009C0CFA" w:rsidP="009C0CFA">
            <w:pPr>
              <w:autoSpaceDE w:val="0"/>
              <w:autoSpaceDN w:val="0"/>
              <w:jc w:val="center"/>
              <w:rPr>
                <w:b/>
                <w:sz w:val="18"/>
                <w:szCs w:val="18"/>
              </w:rPr>
            </w:pPr>
            <w:r w:rsidRPr="00CE3DCE">
              <w:rPr>
                <w:b/>
                <w:sz w:val="18"/>
                <w:szCs w:val="18"/>
              </w:rPr>
              <w:t>Total Commencements</w:t>
            </w:r>
          </w:p>
        </w:tc>
        <w:tc>
          <w:tcPr>
            <w:tcW w:w="2379" w:type="dxa"/>
            <w:vAlign w:val="center"/>
          </w:tcPr>
          <w:p w:rsidR="009C0CFA" w:rsidRPr="00CE3DCE" w:rsidRDefault="009C0CFA" w:rsidP="009C0CFA">
            <w:pPr>
              <w:autoSpaceDE w:val="0"/>
              <w:autoSpaceDN w:val="0"/>
              <w:jc w:val="center"/>
              <w:rPr>
                <w:b/>
                <w:sz w:val="18"/>
                <w:szCs w:val="18"/>
              </w:rPr>
            </w:pPr>
            <w:r w:rsidRPr="00CE3DCE">
              <w:rPr>
                <w:b/>
                <w:sz w:val="18"/>
                <w:szCs w:val="18"/>
              </w:rPr>
              <w:t>Total Completions</w:t>
            </w:r>
          </w:p>
        </w:tc>
        <w:tc>
          <w:tcPr>
            <w:tcW w:w="2379" w:type="dxa"/>
            <w:vAlign w:val="center"/>
          </w:tcPr>
          <w:p w:rsidR="009C0CFA" w:rsidRPr="00CE3DCE" w:rsidRDefault="009C0CFA" w:rsidP="009C0CFA">
            <w:pPr>
              <w:autoSpaceDE w:val="0"/>
              <w:autoSpaceDN w:val="0"/>
              <w:jc w:val="center"/>
              <w:rPr>
                <w:b/>
                <w:sz w:val="18"/>
                <w:szCs w:val="18"/>
              </w:rPr>
            </w:pPr>
            <w:r w:rsidRPr="00CE3DCE">
              <w:rPr>
                <w:b/>
                <w:sz w:val="18"/>
                <w:szCs w:val="18"/>
              </w:rPr>
              <w:t>Percentage Completions</w:t>
            </w: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ABLE Pty Ltd</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38</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33</w:t>
            </w:r>
          </w:p>
        </w:tc>
        <w:tc>
          <w:tcPr>
            <w:tcW w:w="2379" w:type="dxa"/>
          </w:tcPr>
          <w:p w:rsidR="009C0CFA" w:rsidRPr="00CE3DCE" w:rsidRDefault="009C0CFA" w:rsidP="009C0CFA">
            <w:pPr>
              <w:autoSpaceDE w:val="0"/>
              <w:autoSpaceDN w:val="0"/>
              <w:adjustRightInd w:val="0"/>
              <w:jc w:val="center"/>
              <w:rPr>
                <w:rFonts w:ascii="Arial" w:hAnsi="Arial" w:cs="Arial"/>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ATI</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116</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61</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proofErr w:type="spellStart"/>
            <w:r w:rsidRPr="00CE3DCE">
              <w:rPr>
                <w:sz w:val="18"/>
                <w:szCs w:val="18"/>
              </w:rPr>
              <w:t>BIITE</w:t>
            </w:r>
            <w:proofErr w:type="spellEnd"/>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28</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Casuarina Senior College</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44</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26</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CAT</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12</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0</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Chamber of Commerce</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0</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0</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Charles Darwin University</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1828</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365</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Darwin High School</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36</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20</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proofErr w:type="spellStart"/>
            <w:r w:rsidRPr="00CE3DCE">
              <w:rPr>
                <w:sz w:val="18"/>
                <w:szCs w:val="18"/>
              </w:rPr>
              <w:t>Kormilda</w:t>
            </w:r>
            <w:proofErr w:type="spellEnd"/>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47</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0</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r w:rsidRPr="00CE3DCE">
              <w:rPr>
                <w:sz w:val="18"/>
                <w:szCs w:val="18"/>
              </w:rPr>
              <w:t>Nhulunbuy High</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120</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55</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proofErr w:type="spellStart"/>
            <w:r w:rsidRPr="00CE3DCE">
              <w:rPr>
                <w:sz w:val="18"/>
                <w:szCs w:val="18"/>
              </w:rPr>
              <w:t>NTCSA</w:t>
            </w:r>
            <w:proofErr w:type="spellEnd"/>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94</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23</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proofErr w:type="spellStart"/>
            <w:r w:rsidRPr="00CE3DCE">
              <w:rPr>
                <w:sz w:val="18"/>
                <w:szCs w:val="18"/>
              </w:rPr>
              <w:t>NTOEC</w:t>
            </w:r>
            <w:proofErr w:type="spellEnd"/>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77</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2</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226"/>
        </w:trPr>
        <w:tc>
          <w:tcPr>
            <w:tcW w:w="3628" w:type="dxa"/>
            <w:vAlign w:val="center"/>
          </w:tcPr>
          <w:p w:rsidR="009C0CFA" w:rsidRPr="00CE3DCE" w:rsidRDefault="009C0CFA" w:rsidP="009C0CFA">
            <w:pPr>
              <w:autoSpaceDE w:val="0"/>
              <w:autoSpaceDN w:val="0"/>
              <w:spacing w:line="276" w:lineRule="auto"/>
              <w:rPr>
                <w:sz w:val="18"/>
                <w:szCs w:val="18"/>
              </w:rPr>
            </w:pPr>
            <w:proofErr w:type="spellStart"/>
            <w:r w:rsidRPr="00CE3DCE">
              <w:rPr>
                <w:sz w:val="18"/>
                <w:szCs w:val="18"/>
              </w:rPr>
              <w:t>Taminmin</w:t>
            </w:r>
            <w:proofErr w:type="spellEnd"/>
            <w:r w:rsidRPr="00CE3DCE">
              <w:rPr>
                <w:sz w:val="18"/>
                <w:szCs w:val="18"/>
              </w:rPr>
              <w:t xml:space="preserve"> College</w:t>
            </w:r>
          </w:p>
        </w:tc>
        <w:tc>
          <w:tcPr>
            <w:tcW w:w="2024"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619</w:t>
            </w:r>
          </w:p>
        </w:tc>
        <w:tc>
          <w:tcPr>
            <w:tcW w:w="2379" w:type="dxa"/>
            <w:vAlign w:val="center"/>
          </w:tcPr>
          <w:p w:rsidR="009C0CFA" w:rsidRPr="00CE3DCE" w:rsidRDefault="009C0CFA" w:rsidP="009C0CFA">
            <w:pPr>
              <w:autoSpaceDE w:val="0"/>
              <w:autoSpaceDN w:val="0"/>
              <w:spacing w:line="276" w:lineRule="auto"/>
              <w:jc w:val="center"/>
              <w:rPr>
                <w:sz w:val="18"/>
                <w:szCs w:val="18"/>
              </w:rPr>
            </w:pPr>
            <w:r w:rsidRPr="00CE3DCE">
              <w:rPr>
                <w:sz w:val="18"/>
                <w:szCs w:val="18"/>
              </w:rPr>
              <w:t>317</w:t>
            </w:r>
          </w:p>
        </w:tc>
        <w:tc>
          <w:tcPr>
            <w:tcW w:w="2379" w:type="dxa"/>
          </w:tcPr>
          <w:p w:rsidR="009C0CFA" w:rsidRPr="00CE3DCE" w:rsidRDefault="009C0CFA" w:rsidP="009C0CFA">
            <w:pPr>
              <w:autoSpaceDE w:val="0"/>
              <w:autoSpaceDN w:val="0"/>
              <w:spacing w:line="276" w:lineRule="auto"/>
              <w:jc w:val="center"/>
              <w:rPr>
                <w:sz w:val="18"/>
                <w:szCs w:val="18"/>
              </w:rPr>
            </w:pPr>
          </w:p>
        </w:tc>
      </w:tr>
      <w:tr w:rsidR="009C0CFA" w:rsidTr="009C0CFA">
        <w:trPr>
          <w:trHeight w:val="391"/>
        </w:trPr>
        <w:tc>
          <w:tcPr>
            <w:tcW w:w="3628" w:type="dxa"/>
            <w:vAlign w:val="center"/>
          </w:tcPr>
          <w:p w:rsidR="009C0CFA" w:rsidRPr="00CE3DCE" w:rsidRDefault="009C0CFA" w:rsidP="009C0CFA">
            <w:pPr>
              <w:autoSpaceDE w:val="0"/>
              <w:autoSpaceDN w:val="0"/>
              <w:rPr>
                <w:b/>
                <w:sz w:val="18"/>
                <w:szCs w:val="18"/>
              </w:rPr>
            </w:pPr>
            <w:r w:rsidRPr="00CE3DCE">
              <w:rPr>
                <w:b/>
                <w:sz w:val="18"/>
                <w:szCs w:val="18"/>
              </w:rPr>
              <w:t>TOTAL</w:t>
            </w:r>
          </w:p>
        </w:tc>
        <w:tc>
          <w:tcPr>
            <w:tcW w:w="2024" w:type="dxa"/>
            <w:vAlign w:val="center"/>
          </w:tcPr>
          <w:p w:rsidR="009C0CFA" w:rsidRPr="00CE3DCE" w:rsidRDefault="009C0CFA" w:rsidP="009C0CFA">
            <w:pPr>
              <w:autoSpaceDE w:val="0"/>
              <w:autoSpaceDN w:val="0"/>
              <w:spacing w:line="276" w:lineRule="auto"/>
              <w:jc w:val="center"/>
              <w:rPr>
                <w:b/>
                <w:sz w:val="18"/>
                <w:szCs w:val="18"/>
              </w:rPr>
            </w:pPr>
            <w:r w:rsidRPr="00CE3DCE">
              <w:rPr>
                <w:b/>
                <w:sz w:val="18"/>
                <w:szCs w:val="18"/>
              </w:rPr>
              <w:t>3059</w:t>
            </w:r>
          </w:p>
        </w:tc>
        <w:tc>
          <w:tcPr>
            <w:tcW w:w="2379" w:type="dxa"/>
            <w:vAlign w:val="center"/>
          </w:tcPr>
          <w:p w:rsidR="009C0CFA" w:rsidRPr="00CE3DCE" w:rsidRDefault="009C0CFA" w:rsidP="009C0CFA">
            <w:pPr>
              <w:autoSpaceDE w:val="0"/>
              <w:autoSpaceDN w:val="0"/>
              <w:spacing w:line="276" w:lineRule="auto"/>
              <w:jc w:val="center"/>
              <w:rPr>
                <w:b/>
                <w:sz w:val="18"/>
                <w:szCs w:val="18"/>
              </w:rPr>
            </w:pPr>
            <w:r w:rsidRPr="00CE3DCE">
              <w:rPr>
                <w:b/>
                <w:sz w:val="18"/>
                <w:szCs w:val="18"/>
              </w:rPr>
              <w:t>904</w:t>
            </w:r>
          </w:p>
        </w:tc>
        <w:tc>
          <w:tcPr>
            <w:tcW w:w="2379" w:type="dxa"/>
            <w:vAlign w:val="center"/>
          </w:tcPr>
          <w:p w:rsidR="009C0CFA" w:rsidRPr="00CE3DCE" w:rsidRDefault="009C0CFA" w:rsidP="009C0CFA">
            <w:pPr>
              <w:autoSpaceDE w:val="0"/>
              <w:autoSpaceDN w:val="0"/>
              <w:spacing w:line="276" w:lineRule="auto"/>
              <w:jc w:val="center"/>
              <w:rPr>
                <w:b/>
                <w:sz w:val="18"/>
                <w:szCs w:val="18"/>
              </w:rPr>
            </w:pPr>
            <w:r w:rsidRPr="00CE3DCE">
              <w:rPr>
                <w:b/>
                <w:sz w:val="18"/>
                <w:szCs w:val="18"/>
              </w:rPr>
              <w:t>29.5</w:t>
            </w:r>
          </w:p>
        </w:tc>
      </w:tr>
    </w:tbl>
    <w:p w:rsidR="009C0CFA" w:rsidRDefault="009C0CFA" w:rsidP="00CE3DCE">
      <w:pPr>
        <w:pStyle w:val="Default"/>
        <w:spacing w:before="120"/>
        <w:rPr>
          <w:rFonts w:ascii="Calibri" w:hAnsi="Calibri" w:cs="Calibri"/>
          <w:color w:val="auto"/>
          <w:sz w:val="22"/>
          <w:szCs w:val="22"/>
        </w:rPr>
      </w:pPr>
      <w:r>
        <w:rPr>
          <w:rFonts w:ascii="Calibri" w:hAnsi="Calibri" w:cs="Calibri"/>
          <w:color w:val="auto"/>
          <w:sz w:val="22"/>
          <w:szCs w:val="22"/>
        </w:rPr>
        <w:t>Several</w:t>
      </w:r>
      <w:r w:rsidRPr="00862EC9">
        <w:rPr>
          <w:rFonts w:ascii="Calibri" w:hAnsi="Calibri" w:cs="Calibri"/>
          <w:color w:val="auto"/>
          <w:sz w:val="22"/>
          <w:szCs w:val="22"/>
        </w:rPr>
        <w:t xml:space="preserve"> issues impact on the Official Data</w:t>
      </w:r>
      <w:r>
        <w:rPr>
          <w:rFonts w:ascii="Calibri" w:hAnsi="Calibri" w:cs="Calibri"/>
          <w:color w:val="auto"/>
          <w:sz w:val="22"/>
          <w:szCs w:val="22"/>
        </w:rPr>
        <w:t xml:space="preserve"> Se</w:t>
      </w:r>
      <w:r w:rsidRPr="00862EC9">
        <w:rPr>
          <w:rFonts w:ascii="Calibri" w:hAnsi="Calibri" w:cs="Calibri"/>
          <w:color w:val="auto"/>
          <w:sz w:val="22"/>
          <w:szCs w:val="22"/>
        </w:rPr>
        <w:t xml:space="preserve">t that </w:t>
      </w:r>
      <w:proofErr w:type="gramStart"/>
      <w:r w:rsidRPr="00862EC9">
        <w:rPr>
          <w:rFonts w:ascii="Calibri" w:hAnsi="Calibri" w:cs="Calibri"/>
          <w:color w:val="auto"/>
          <w:sz w:val="22"/>
          <w:szCs w:val="22"/>
        </w:rPr>
        <w:t>result</w:t>
      </w:r>
      <w:proofErr w:type="gramEnd"/>
      <w:r>
        <w:rPr>
          <w:rFonts w:ascii="Calibri" w:hAnsi="Calibri" w:cs="Calibri"/>
          <w:color w:val="auto"/>
          <w:sz w:val="22"/>
          <w:szCs w:val="22"/>
        </w:rPr>
        <w:t xml:space="preserve"> </w:t>
      </w:r>
      <w:r w:rsidRPr="00862EC9">
        <w:rPr>
          <w:rFonts w:ascii="Calibri" w:hAnsi="Calibri" w:cs="Calibri"/>
          <w:color w:val="auto"/>
          <w:sz w:val="22"/>
          <w:szCs w:val="22"/>
        </w:rPr>
        <w:t>in the discrepancy between reporting sources</w:t>
      </w:r>
      <w:r>
        <w:rPr>
          <w:rFonts w:ascii="Calibri" w:hAnsi="Calibri" w:cs="Calibri"/>
          <w:color w:val="auto"/>
          <w:sz w:val="22"/>
          <w:szCs w:val="22"/>
        </w:rPr>
        <w:t xml:space="preserve">.  These issues relate to misalignment of reporting timeframes and requirements for </w:t>
      </w:r>
      <w:proofErr w:type="spellStart"/>
      <w:r>
        <w:rPr>
          <w:rFonts w:ascii="Calibri" w:hAnsi="Calibri" w:cs="Calibri"/>
          <w:color w:val="auto"/>
          <w:sz w:val="22"/>
          <w:szCs w:val="22"/>
        </w:rPr>
        <w:t>RTOs</w:t>
      </w:r>
      <w:proofErr w:type="spellEnd"/>
      <w:r>
        <w:rPr>
          <w:rFonts w:ascii="Calibri" w:hAnsi="Calibri" w:cs="Calibri"/>
          <w:color w:val="auto"/>
          <w:sz w:val="22"/>
          <w:szCs w:val="22"/>
        </w:rPr>
        <w:t xml:space="preserve"> and schools.  </w:t>
      </w:r>
    </w:p>
    <w:p w:rsidR="009C0CFA" w:rsidRDefault="009C0CFA" w:rsidP="00CE3DCE">
      <w:pPr>
        <w:pStyle w:val="Default"/>
        <w:spacing w:before="120"/>
        <w:rPr>
          <w:rFonts w:ascii="Calibri" w:hAnsi="Calibri" w:cs="Calibri"/>
          <w:color w:val="auto"/>
          <w:sz w:val="22"/>
          <w:szCs w:val="22"/>
        </w:rPr>
      </w:pPr>
      <w:r w:rsidRPr="00862EC9">
        <w:rPr>
          <w:rFonts w:ascii="Calibri" w:hAnsi="Calibri" w:cs="Calibri"/>
          <w:color w:val="auto"/>
          <w:sz w:val="22"/>
          <w:szCs w:val="22"/>
        </w:rPr>
        <w:t>It is a major project</w:t>
      </w:r>
      <w:r>
        <w:rPr>
          <w:rFonts w:ascii="Calibri" w:hAnsi="Calibri" w:cs="Calibri"/>
          <w:color w:val="auto"/>
          <w:sz w:val="22"/>
          <w:szCs w:val="22"/>
        </w:rPr>
        <w:t xml:space="preserve"> of the </w:t>
      </w:r>
      <w:proofErr w:type="spellStart"/>
      <w:r>
        <w:rPr>
          <w:rFonts w:ascii="Calibri" w:hAnsi="Calibri" w:cs="Calibri"/>
          <w:color w:val="auto"/>
          <w:sz w:val="22"/>
          <w:szCs w:val="22"/>
        </w:rPr>
        <w:t>VETiS</w:t>
      </w:r>
      <w:proofErr w:type="spellEnd"/>
      <w:r>
        <w:rPr>
          <w:rFonts w:ascii="Calibri" w:hAnsi="Calibri" w:cs="Calibri"/>
          <w:color w:val="auto"/>
          <w:sz w:val="22"/>
          <w:szCs w:val="22"/>
        </w:rPr>
        <w:t xml:space="preserve"> team to improve the systems and processes for data collection so that requirements and timeframes are better aligned</w:t>
      </w:r>
      <w:r w:rsidR="00B446B3">
        <w:rPr>
          <w:rFonts w:ascii="Calibri" w:hAnsi="Calibri" w:cs="Calibri"/>
          <w:color w:val="auto"/>
          <w:sz w:val="22"/>
          <w:szCs w:val="22"/>
        </w:rPr>
        <w:t>,</w:t>
      </w:r>
      <w:r>
        <w:rPr>
          <w:rFonts w:ascii="Calibri" w:hAnsi="Calibri" w:cs="Calibri"/>
          <w:color w:val="auto"/>
          <w:sz w:val="22"/>
          <w:szCs w:val="22"/>
        </w:rPr>
        <w:t xml:space="preserve"> and more accurate and timely data is available.</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 xml:space="preserve">Funding to support </w:t>
      </w:r>
      <w:proofErr w:type="spellStart"/>
      <w:r w:rsidRPr="00CE3DCE">
        <w:rPr>
          <w:rFonts w:asciiTheme="minorHAnsi" w:hAnsiTheme="minorHAnsi" w:cstheme="minorHAnsi"/>
          <w:b/>
          <w:color w:val="auto"/>
          <w:sz w:val="22"/>
          <w:szCs w:val="22"/>
        </w:rPr>
        <w:t>VETiS</w:t>
      </w:r>
      <w:proofErr w:type="spellEnd"/>
      <w:r w:rsidRPr="00CE3DCE">
        <w:rPr>
          <w:rFonts w:asciiTheme="minorHAnsi" w:hAnsiTheme="minorHAnsi" w:cstheme="minorHAnsi"/>
          <w:b/>
          <w:color w:val="auto"/>
          <w:sz w:val="22"/>
          <w:szCs w:val="22"/>
        </w:rPr>
        <w:t xml:space="preserve"> delivery in Government and Non-Government S</w:t>
      </w:r>
      <w:r w:rsidR="00CE3DCE">
        <w:rPr>
          <w:rFonts w:asciiTheme="minorHAnsi" w:hAnsiTheme="minorHAnsi" w:cstheme="minorHAnsi"/>
          <w:b/>
          <w:color w:val="auto"/>
          <w:sz w:val="22"/>
          <w:szCs w:val="22"/>
        </w:rPr>
        <w:t>chools</w:t>
      </w:r>
    </w:p>
    <w:p w:rsidR="009C0CFA" w:rsidRPr="00862EC9" w:rsidRDefault="009C0CFA" w:rsidP="00CE3DCE">
      <w:pPr>
        <w:pStyle w:val="Default"/>
        <w:spacing w:before="120"/>
        <w:rPr>
          <w:rFonts w:ascii="Calibri" w:hAnsi="Calibri" w:cs="Calibri"/>
          <w:color w:val="auto"/>
          <w:sz w:val="22"/>
          <w:szCs w:val="22"/>
        </w:rPr>
      </w:pPr>
      <w:r w:rsidRPr="00862EC9">
        <w:rPr>
          <w:rFonts w:ascii="Calibri" w:hAnsi="Calibri" w:cs="Calibri"/>
          <w:color w:val="auto"/>
          <w:sz w:val="22"/>
          <w:szCs w:val="22"/>
        </w:rPr>
        <w:t xml:space="preserve">Funding provided to </w:t>
      </w:r>
      <w:proofErr w:type="spellStart"/>
      <w:r w:rsidRPr="00862EC9">
        <w:rPr>
          <w:rFonts w:ascii="Calibri" w:hAnsi="Calibri" w:cs="Calibri"/>
          <w:color w:val="auto"/>
          <w:sz w:val="22"/>
          <w:szCs w:val="22"/>
        </w:rPr>
        <w:t>RTOs</w:t>
      </w:r>
      <w:proofErr w:type="spellEnd"/>
      <w:r w:rsidRPr="00862EC9">
        <w:rPr>
          <w:rFonts w:ascii="Calibri" w:hAnsi="Calibri" w:cs="Calibri"/>
          <w:color w:val="auto"/>
          <w:sz w:val="22"/>
          <w:szCs w:val="22"/>
        </w:rPr>
        <w:t xml:space="preserve"> to support VET delivery to school students as part of their school program</w:t>
      </w:r>
      <w:r>
        <w:rPr>
          <w:rFonts w:ascii="Calibri" w:hAnsi="Calibri" w:cs="Calibri"/>
          <w:color w:val="auto"/>
          <w:sz w:val="22"/>
          <w:szCs w:val="22"/>
        </w:rPr>
        <w:t xml:space="preserve"> in 2010 </w:t>
      </w:r>
      <w:r w:rsidRPr="00862EC9">
        <w:rPr>
          <w:rFonts w:ascii="Calibri" w:hAnsi="Calibri" w:cs="Calibri"/>
          <w:color w:val="auto"/>
          <w:sz w:val="22"/>
          <w:szCs w:val="22"/>
        </w:rPr>
        <w:t>was</w:t>
      </w:r>
      <w:r>
        <w:rPr>
          <w:rFonts w:ascii="Calibri" w:hAnsi="Calibri" w:cs="Calibri"/>
          <w:color w:val="auto"/>
          <w:sz w:val="22"/>
          <w:szCs w:val="22"/>
        </w:rPr>
        <w:t>:</w:t>
      </w:r>
    </w:p>
    <w:p w:rsidR="009C0CFA" w:rsidRPr="00862EC9" w:rsidRDefault="009C0CFA" w:rsidP="00CE3DCE">
      <w:pPr>
        <w:pStyle w:val="Default"/>
        <w:numPr>
          <w:ilvl w:val="0"/>
          <w:numId w:val="18"/>
        </w:numPr>
        <w:spacing w:before="120"/>
        <w:rPr>
          <w:rFonts w:ascii="Calibri" w:hAnsi="Calibri" w:cs="Calibri"/>
          <w:color w:val="auto"/>
          <w:sz w:val="22"/>
          <w:szCs w:val="22"/>
        </w:rPr>
      </w:pPr>
      <w:r w:rsidRPr="00862EC9">
        <w:rPr>
          <w:rFonts w:ascii="Calibri" w:hAnsi="Calibri" w:cs="Calibri"/>
          <w:color w:val="auto"/>
          <w:sz w:val="22"/>
          <w:szCs w:val="22"/>
        </w:rPr>
        <w:t>$1.1 million dollars for Urban schools</w:t>
      </w:r>
      <w:r>
        <w:rPr>
          <w:rFonts w:ascii="Calibri" w:hAnsi="Calibri" w:cs="Calibri"/>
          <w:color w:val="auto"/>
          <w:sz w:val="22"/>
          <w:szCs w:val="22"/>
        </w:rPr>
        <w:t>;</w:t>
      </w:r>
    </w:p>
    <w:p w:rsidR="009C0CFA" w:rsidRPr="00862EC9" w:rsidRDefault="009C0CFA" w:rsidP="00CE3DCE">
      <w:pPr>
        <w:pStyle w:val="Default"/>
        <w:numPr>
          <w:ilvl w:val="0"/>
          <w:numId w:val="18"/>
        </w:numPr>
        <w:spacing w:before="120"/>
        <w:rPr>
          <w:rFonts w:ascii="Calibri" w:hAnsi="Calibri" w:cs="Calibri"/>
          <w:color w:val="auto"/>
          <w:sz w:val="22"/>
          <w:szCs w:val="22"/>
        </w:rPr>
      </w:pPr>
      <w:r w:rsidRPr="00862EC9">
        <w:rPr>
          <w:rFonts w:ascii="Calibri" w:hAnsi="Calibri" w:cs="Calibri"/>
          <w:color w:val="auto"/>
          <w:sz w:val="22"/>
          <w:szCs w:val="22"/>
        </w:rPr>
        <w:t>$900,000 for Remote delivery</w:t>
      </w:r>
      <w:r>
        <w:rPr>
          <w:rFonts w:ascii="Calibri" w:hAnsi="Calibri" w:cs="Calibri"/>
          <w:color w:val="auto"/>
          <w:sz w:val="22"/>
          <w:szCs w:val="22"/>
        </w:rPr>
        <w:t>;</w:t>
      </w:r>
      <w:r w:rsidRPr="00862EC9">
        <w:rPr>
          <w:rFonts w:ascii="Calibri" w:hAnsi="Calibri" w:cs="Calibri"/>
          <w:color w:val="auto"/>
          <w:sz w:val="22"/>
          <w:szCs w:val="22"/>
        </w:rPr>
        <w:t xml:space="preserve"> and</w:t>
      </w:r>
    </w:p>
    <w:p w:rsidR="009C0CFA" w:rsidRPr="00862EC9" w:rsidRDefault="009C0CFA" w:rsidP="00CE3DCE">
      <w:pPr>
        <w:pStyle w:val="Default"/>
        <w:numPr>
          <w:ilvl w:val="0"/>
          <w:numId w:val="18"/>
        </w:numPr>
        <w:spacing w:before="120"/>
        <w:rPr>
          <w:rFonts w:ascii="Calibri" w:hAnsi="Calibri" w:cs="Calibri"/>
          <w:color w:val="auto"/>
          <w:sz w:val="22"/>
          <w:szCs w:val="22"/>
        </w:rPr>
      </w:pPr>
      <w:r w:rsidRPr="00862EC9">
        <w:rPr>
          <w:rFonts w:ascii="Calibri" w:hAnsi="Calibri" w:cs="Calibri"/>
          <w:color w:val="auto"/>
          <w:sz w:val="22"/>
          <w:szCs w:val="22"/>
        </w:rPr>
        <w:t>$250,000 for VET delivery in the middle years</w:t>
      </w:r>
      <w:r>
        <w:rPr>
          <w:rFonts w:ascii="Calibri" w:hAnsi="Calibri" w:cs="Calibri"/>
          <w:color w:val="auto"/>
          <w:sz w:val="22"/>
          <w:szCs w:val="22"/>
        </w:rPr>
        <w:t>.</w:t>
      </w:r>
    </w:p>
    <w:p w:rsidR="009C0CFA" w:rsidRPr="001E0C2D" w:rsidRDefault="009C0CFA" w:rsidP="00CE3DCE">
      <w:pPr>
        <w:pStyle w:val="Default"/>
        <w:spacing w:before="120"/>
        <w:rPr>
          <w:rFonts w:ascii="Calibri" w:hAnsi="Calibri" w:cs="Calibri"/>
          <w:color w:val="auto"/>
          <w:sz w:val="22"/>
          <w:szCs w:val="22"/>
        </w:rPr>
      </w:pPr>
      <w:r w:rsidRPr="001E0C2D">
        <w:rPr>
          <w:rFonts w:ascii="Calibri" w:hAnsi="Calibri" w:cs="Calibri"/>
          <w:color w:val="auto"/>
          <w:sz w:val="22"/>
          <w:szCs w:val="22"/>
        </w:rPr>
        <w:t>The VET in School funding ($</w:t>
      </w:r>
      <w:proofErr w:type="spellStart"/>
      <w:r w:rsidRPr="001E0C2D">
        <w:rPr>
          <w:rFonts w:ascii="Calibri" w:hAnsi="Calibri" w:cs="Calibri"/>
          <w:color w:val="auto"/>
          <w:sz w:val="22"/>
          <w:szCs w:val="22"/>
        </w:rPr>
        <w:t>2M</w:t>
      </w:r>
      <w:proofErr w:type="spellEnd"/>
      <w:r w:rsidRPr="001E0C2D">
        <w:rPr>
          <w:rFonts w:ascii="Calibri" w:hAnsi="Calibri" w:cs="Calibri"/>
          <w:color w:val="auto"/>
          <w:sz w:val="22"/>
          <w:szCs w:val="22"/>
        </w:rPr>
        <w:t xml:space="preserve">) is used by </w:t>
      </w:r>
      <w:proofErr w:type="spellStart"/>
      <w:r>
        <w:rPr>
          <w:rFonts w:ascii="Calibri" w:hAnsi="Calibri" w:cs="Calibri"/>
          <w:color w:val="auto"/>
          <w:sz w:val="22"/>
          <w:szCs w:val="22"/>
        </w:rPr>
        <w:t>RTOs</w:t>
      </w:r>
      <w:proofErr w:type="spellEnd"/>
      <w:r w:rsidRPr="001E0C2D">
        <w:rPr>
          <w:rFonts w:ascii="Calibri" w:hAnsi="Calibri" w:cs="Calibri"/>
          <w:color w:val="auto"/>
          <w:sz w:val="22"/>
          <w:szCs w:val="22"/>
        </w:rPr>
        <w:t xml:space="preserve"> to deliver vocational programs to schools throughout the NT. Under a competitive tender process, funding is allocated to those programs that satisfy specific criteria</w:t>
      </w:r>
      <w:r w:rsidR="00CE3DCE">
        <w:rPr>
          <w:rFonts w:ascii="Calibri" w:hAnsi="Calibri" w:cs="Calibri"/>
          <w:color w:val="auto"/>
          <w:sz w:val="22"/>
          <w:szCs w:val="22"/>
        </w:rPr>
        <w:t>; that is:</w:t>
      </w:r>
    </w:p>
    <w:p w:rsidR="009C0CFA" w:rsidRPr="001E0C2D"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relates to a n</w:t>
      </w:r>
      <w:r w:rsidRPr="001E0C2D">
        <w:rPr>
          <w:rFonts w:ascii="Calibri" w:hAnsi="Calibri" w:cs="Calibri"/>
          <w:color w:val="auto"/>
          <w:sz w:val="22"/>
          <w:szCs w:val="22"/>
        </w:rPr>
        <w:t>ational, NT and local skill needs list</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provides a job p</w:t>
      </w:r>
      <w:r w:rsidRPr="001E0C2D">
        <w:rPr>
          <w:rFonts w:ascii="Calibri" w:hAnsi="Calibri" w:cs="Calibri"/>
          <w:color w:val="auto"/>
          <w:sz w:val="22"/>
          <w:szCs w:val="22"/>
        </w:rPr>
        <w:t>athways</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allows for f</w:t>
      </w:r>
      <w:r w:rsidRPr="001E0C2D">
        <w:rPr>
          <w:rFonts w:ascii="Calibri" w:hAnsi="Calibri" w:cs="Calibri"/>
          <w:color w:val="auto"/>
          <w:sz w:val="22"/>
          <w:szCs w:val="22"/>
        </w:rPr>
        <w:t>ull and higher qualifications</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pr</w:t>
      </w:r>
      <w:r w:rsidRPr="001E0C2D">
        <w:rPr>
          <w:rFonts w:ascii="Calibri" w:hAnsi="Calibri" w:cs="Calibri"/>
          <w:color w:val="auto"/>
          <w:sz w:val="22"/>
          <w:szCs w:val="22"/>
        </w:rPr>
        <w:t>evious training results;</w:t>
      </w:r>
    </w:p>
    <w:p w:rsidR="009C0CFA" w:rsidRPr="001E0C2D" w:rsidRDefault="009C0CFA" w:rsidP="00CE3DCE">
      <w:pPr>
        <w:pStyle w:val="Default"/>
        <w:numPr>
          <w:ilvl w:val="0"/>
          <w:numId w:val="18"/>
        </w:numPr>
        <w:spacing w:before="120"/>
        <w:rPr>
          <w:rFonts w:ascii="Calibri" w:hAnsi="Calibri" w:cs="Calibri"/>
          <w:color w:val="auto"/>
          <w:sz w:val="22"/>
          <w:szCs w:val="22"/>
        </w:rPr>
      </w:pPr>
      <w:proofErr w:type="gramStart"/>
      <w:r w:rsidRPr="001E0C2D">
        <w:rPr>
          <w:rFonts w:ascii="Calibri" w:hAnsi="Calibri" w:cs="Calibri"/>
          <w:color w:val="auto"/>
          <w:sz w:val="22"/>
          <w:szCs w:val="22"/>
        </w:rPr>
        <w:t>the</w:t>
      </w:r>
      <w:proofErr w:type="gramEnd"/>
      <w:r w:rsidRPr="001E0C2D">
        <w:rPr>
          <w:rFonts w:ascii="Calibri" w:hAnsi="Calibri" w:cs="Calibri"/>
          <w:color w:val="auto"/>
          <w:sz w:val="22"/>
          <w:szCs w:val="22"/>
        </w:rPr>
        <w:t xml:space="preserve"> </w:t>
      </w:r>
      <w:proofErr w:type="spellStart"/>
      <w:r w:rsidRPr="001E0C2D">
        <w:rPr>
          <w:rFonts w:ascii="Calibri" w:hAnsi="Calibri" w:cs="Calibri"/>
          <w:color w:val="auto"/>
          <w:sz w:val="22"/>
          <w:szCs w:val="22"/>
        </w:rPr>
        <w:t>RTO</w:t>
      </w:r>
      <w:proofErr w:type="spellEnd"/>
      <w:r w:rsidRPr="001E0C2D">
        <w:rPr>
          <w:rFonts w:ascii="Calibri" w:hAnsi="Calibri" w:cs="Calibri"/>
          <w:color w:val="auto"/>
          <w:sz w:val="22"/>
          <w:szCs w:val="22"/>
        </w:rPr>
        <w:t xml:space="preserve"> and the school </w:t>
      </w:r>
      <w:r>
        <w:rPr>
          <w:rFonts w:ascii="Calibri" w:hAnsi="Calibri" w:cs="Calibri"/>
          <w:color w:val="auto"/>
          <w:sz w:val="22"/>
          <w:szCs w:val="22"/>
        </w:rPr>
        <w:t>can</w:t>
      </w:r>
      <w:r w:rsidRPr="001E0C2D">
        <w:rPr>
          <w:rFonts w:ascii="Calibri" w:hAnsi="Calibri" w:cs="Calibri"/>
          <w:color w:val="auto"/>
          <w:sz w:val="22"/>
          <w:szCs w:val="22"/>
        </w:rPr>
        <w:t xml:space="preserve"> provide a viable number of students for the program</w:t>
      </w:r>
      <w:r>
        <w:rPr>
          <w:rFonts w:ascii="Calibri" w:hAnsi="Calibri" w:cs="Calibri"/>
          <w:color w:val="auto"/>
          <w:sz w:val="22"/>
          <w:szCs w:val="22"/>
        </w:rPr>
        <w:t>.</w:t>
      </w:r>
    </w:p>
    <w:p w:rsidR="009C0CFA" w:rsidRDefault="009C0CFA" w:rsidP="00CE3DCE">
      <w:pPr>
        <w:pStyle w:val="Default"/>
        <w:spacing w:before="120"/>
        <w:rPr>
          <w:rFonts w:ascii="Calibri" w:hAnsi="Calibri" w:cs="Calibri"/>
          <w:color w:val="auto"/>
          <w:sz w:val="22"/>
          <w:szCs w:val="22"/>
        </w:rPr>
      </w:pPr>
      <w:r w:rsidRPr="001E0C2D">
        <w:rPr>
          <w:rFonts w:ascii="Calibri" w:hAnsi="Calibri" w:cs="Calibri"/>
          <w:color w:val="auto"/>
          <w:sz w:val="22"/>
          <w:szCs w:val="22"/>
        </w:rPr>
        <w:t>Examples of programs delivered include</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I/II Automotive</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I/II Engineering</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 in Resource and Infrastructure</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I/II Construction</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I/II/III Agriculture or Rural Operations or Horticulture or CALM</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I/II Hospitality</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 in Hairdressing or Beauty</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lastRenderedPageBreak/>
        <w:t>Certificate II in Retail or Beauty</w:t>
      </w:r>
      <w:r>
        <w:rPr>
          <w:rFonts w:ascii="Calibri" w:hAnsi="Calibri" w:cs="Calibri"/>
          <w:color w:val="auto"/>
          <w:sz w:val="22"/>
          <w:szCs w:val="22"/>
        </w:rPr>
        <w:t>;</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II in Racing</w:t>
      </w:r>
      <w:r>
        <w:rPr>
          <w:rFonts w:ascii="Calibri" w:hAnsi="Calibri" w:cs="Calibri"/>
          <w:color w:val="auto"/>
          <w:sz w:val="22"/>
          <w:szCs w:val="22"/>
        </w:rPr>
        <w:t>.</w:t>
      </w:r>
    </w:p>
    <w:p w:rsidR="009C0CFA" w:rsidRPr="001E0C2D" w:rsidRDefault="009C0CFA" w:rsidP="00CE3DCE">
      <w:pPr>
        <w:pStyle w:val="Default"/>
        <w:spacing w:before="120"/>
        <w:rPr>
          <w:rFonts w:ascii="Calibri" w:hAnsi="Calibri" w:cs="Calibri"/>
          <w:color w:val="auto"/>
          <w:sz w:val="22"/>
          <w:szCs w:val="22"/>
        </w:rPr>
      </w:pPr>
      <w:r w:rsidRPr="001E0C2D">
        <w:rPr>
          <w:rFonts w:ascii="Calibri" w:hAnsi="Calibri" w:cs="Calibri"/>
          <w:color w:val="auto"/>
          <w:sz w:val="22"/>
          <w:szCs w:val="22"/>
        </w:rPr>
        <w:t>VET in the Middle has been delivered at 9 remote schools. Approximately 72 students received a Statement of Attainment for competencies achieved. The qualifications that st</w:t>
      </w:r>
      <w:r w:rsidR="00CE3DCE">
        <w:rPr>
          <w:rFonts w:ascii="Calibri" w:hAnsi="Calibri" w:cs="Calibri"/>
          <w:color w:val="auto"/>
          <w:sz w:val="22"/>
          <w:szCs w:val="22"/>
        </w:rPr>
        <w:t>udents have been trained in are:</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 Engineering;</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Certificate I Manufacturing Pathways;</w:t>
      </w:r>
    </w:p>
    <w:p w:rsidR="009C0CFA" w:rsidRPr="001E0C2D" w:rsidRDefault="009C0CFA" w:rsidP="00CE3DCE">
      <w:pPr>
        <w:pStyle w:val="Default"/>
        <w:numPr>
          <w:ilvl w:val="0"/>
          <w:numId w:val="18"/>
        </w:numPr>
        <w:spacing w:before="120"/>
        <w:rPr>
          <w:rFonts w:ascii="Calibri" w:hAnsi="Calibri" w:cs="Calibri"/>
          <w:color w:val="auto"/>
          <w:sz w:val="22"/>
          <w:szCs w:val="22"/>
        </w:rPr>
      </w:pPr>
      <w:r w:rsidRPr="001E0C2D">
        <w:rPr>
          <w:rFonts w:ascii="Calibri" w:hAnsi="Calibri" w:cs="Calibri"/>
          <w:color w:val="auto"/>
          <w:sz w:val="22"/>
          <w:szCs w:val="22"/>
        </w:rPr>
        <w:t xml:space="preserve">Certificate </w:t>
      </w:r>
      <w:proofErr w:type="gramStart"/>
      <w:r w:rsidRPr="001E0C2D">
        <w:rPr>
          <w:rFonts w:ascii="Calibri" w:hAnsi="Calibri" w:cs="Calibri"/>
          <w:color w:val="auto"/>
          <w:sz w:val="22"/>
          <w:szCs w:val="22"/>
        </w:rPr>
        <w:t>I</w:t>
      </w:r>
      <w:proofErr w:type="gramEnd"/>
      <w:r w:rsidRPr="001E0C2D">
        <w:rPr>
          <w:rFonts w:ascii="Calibri" w:hAnsi="Calibri" w:cs="Calibri"/>
          <w:color w:val="auto"/>
          <w:sz w:val="22"/>
          <w:szCs w:val="22"/>
        </w:rPr>
        <w:t xml:space="preserve"> Hospitality</w:t>
      </w:r>
      <w:r>
        <w:rPr>
          <w:rFonts w:ascii="Calibri" w:hAnsi="Calibri" w:cs="Calibri"/>
          <w:color w:val="auto"/>
          <w:sz w:val="22"/>
          <w:szCs w:val="22"/>
        </w:rPr>
        <w:t>.</w:t>
      </w:r>
    </w:p>
    <w:p w:rsidR="009C0CFA" w:rsidRPr="001E0C2D" w:rsidRDefault="009C0CFA" w:rsidP="00CE3DCE">
      <w:pPr>
        <w:pStyle w:val="Default"/>
        <w:spacing w:before="120"/>
        <w:rPr>
          <w:rFonts w:ascii="Calibri" w:hAnsi="Calibri" w:cs="Calibri"/>
          <w:color w:val="auto"/>
          <w:sz w:val="22"/>
          <w:szCs w:val="22"/>
        </w:rPr>
      </w:pPr>
      <w:r w:rsidRPr="001E0C2D">
        <w:rPr>
          <w:rFonts w:ascii="Calibri" w:hAnsi="Calibri" w:cs="Calibri"/>
          <w:color w:val="auto"/>
          <w:sz w:val="22"/>
          <w:szCs w:val="22"/>
        </w:rPr>
        <w:t xml:space="preserve">A critical component of VET in Schools is Structured Work Placement. The opportunity for students to work in a particular industry and be assessed while working on-job is very important. Accessing employers who are willing to take on students in </w:t>
      </w:r>
      <w:proofErr w:type="spellStart"/>
      <w:r w:rsidRPr="001E0C2D">
        <w:rPr>
          <w:rFonts w:ascii="Calibri" w:hAnsi="Calibri" w:cs="Calibri"/>
          <w:color w:val="auto"/>
          <w:sz w:val="22"/>
          <w:szCs w:val="22"/>
        </w:rPr>
        <w:t>SWP</w:t>
      </w:r>
      <w:proofErr w:type="spellEnd"/>
      <w:r w:rsidRPr="001E0C2D">
        <w:rPr>
          <w:rFonts w:ascii="Calibri" w:hAnsi="Calibri" w:cs="Calibri"/>
          <w:color w:val="auto"/>
          <w:sz w:val="22"/>
          <w:szCs w:val="22"/>
        </w:rPr>
        <w:t xml:space="preserve"> is a major component of making sure that </w:t>
      </w:r>
      <w:proofErr w:type="spellStart"/>
      <w:r w:rsidRPr="001E0C2D">
        <w:rPr>
          <w:rFonts w:ascii="Calibri" w:hAnsi="Calibri" w:cs="Calibri"/>
          <w:color w:val="auto"/>
          <w:sz w:val="22"/>
          <w:szCs w:val="22"/>
        </w:rPr>
        <w:t>VETiS</w:t>
      </w:r>
      <w:proofErr w:type="spellEnd"/>
      <w:r w:rsidRPr="001E0C2D">
        <w:rPr>
          <w:rFonts w:ascii="Calibri" w:hAnsi="Calibri" w:cs="Calibri"/>
          <w:color w:val="auto"/>
          <w:sz w:val="22"/>
          <w:szCs w:val="22"/>
        </w:rPr>
        <w:t xml:space="preserve"> is considered worthwhile and relevant by industry. The employment of Industry Placement and Employment officers has facilitated the link between the school and local industry.</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Structured Work Placement Data</w:t>
      </w:r>
    </w:p>
    <w:p w:rsidR="006463C6" w:rsidRDefault="009C0CFA" w:rsidP="006463C6">
      <w:pPr>
        <w:pStyle w:val="Default"/>
        <w:spacing w:before="120"/>
        <w:rPr>
          <w:rFonts w:ascii="Calibri" w:hAnsi="Calibri" w:cs="Calibri"/>
          <w:color w:val="auto"/>
          <w:sz w:val="22"/>
          <w:szCs w:val="22"/>
        </w:rPr>
      </w:pPr>
      <w:r>
        <w:rPr>
          <w:rFonts w:ascii="Calibri" w:hAnsi="Calibri" w:cs="Calibri"/>
          <w:color w:val="auto"/>
          <w:sz w:val="22"/>
          <w:szCs w:val="22"/>
        </w:rPr>
        <w:t>I</w:t>
      </w:r>
      <w:r w:rsidRPr="006B182A">
        <w:rPr>
          <w:rFonts w:ascii="Calibri" w:hAnsi="Calibri" w:cs="Calibri"/>
          <w:color w:val="auto"/>
          <w:sz w:val="22"/>
          <w:szCs w:val="22"/>
        </w:rPr>
        <w:t xml:space="preserve">n 2009 </w:t>
      </w:r>
      <w:r>
        <w:rPr>
          <w:rFonts w:ascii="Calibri" w:hAnsi="Calibri" w:cs="Calibri"/>
          <w:color w:val="auto"/>
          <w:sz w:val="22"/>
          <w:szCs w:val="22"/>
        </w:rPr>
        <w:t>work placements</w:t>
      </w:r>
      <w:r w:rsidRPr="006B182A">
        <w:rPr>
          <w:rFonts w:ascii="Calibri" w:hAnsi="Calibri" w:cs="Calibri"/>
          <w:color w:val="auto"/>
          <w:sz w:val="22"/>
          <w:szCs w:val="22"/>
        </w:rPr>
        <w:t xml:space="preserve"> were </w:t>
      </w:r>
      <w:r>
        <w:rPr>
          <w:rFonts w:ascii="Calibri" w:hAnsi="Calibri" w:cs="Calibri"/>
          <w:color w:val="auto"/>
          <w:sz w:val="22"/>
          <w:szCs w:val="22"/>
        </w:rPr>
        <w:t>facilitated</w:t>
      </w:r>
      <w:r w:rsidRPr="006B182A">
        <w:rPr>
          <w:rFonts w:ascii="Calibri" w:hAnsi="Calibri" w:cs="Calibri"/>
          <w:color w:val="auto"/>
          <w:sz w:val="22"/>
          <w:szCs w:val="22"/>
        </w:rPr>
        <w:t xml:space="preserve"> by </w:t>
      </w:r>
      <w:r>
        <w:rPr>
          <w:rFonts w:ascii="Calibri" w:hAnsi="Calibri" w:cs="Calibri"/>
          <w:color w:val="auto"/>
          <w:sz w:val="22"/>
          <w:szCs w:val="22"/>
        </w:rPr>
        <w:t>an organisation funded by the Australian Government</w:t>
      </w:r>
      <w:r w:rsidRPr="006B182A">
        <w:rPr>
          <w:rFonts w:ascii="Calibri" w:hAnsi="Calibri" w:cs="Calibri"/>
          <w:color w:val="auto"/>
          <w:sz w:val="22"/>
          <w:szCs w:val="22"/>
        </w:rPr>
        <w:t xml:space="preserve">. Following establishment of the </w:t>
      </w:r>
      <w:proofErr w:type="spellStart"/>
      <w:r w:rsidRPr="006B182A">
        <w:rPr>
          <w:rFonts w:ascii="Calibri" w:hAnsi="Calibri" w:cs="Calibri"/>
          <w:color w:val="auto"/>
          <w:sz w:val="22"/>
          <w:szCs w:val="22"/>
        </w:rPr>
        <w:t>IEPO</w:t>
      </w:r>
      <w:proofErr w:type="spellEnd"/>
      <w:r w:rsidRPr="006B182A">
        <w:rPr>
          <w:rFonts w:ascii="Calibri" w:hAnsi="Calibri" w:cs="Calibri"/>
          <w:color w:val="auto"/>
          <w:sz w:val="22"/>
          <w:szCs w:val="22"/>
        </w:rPr>
        <w:t xml:space="preserve"> positions</w:t>
      </w:r>
      <w:r>
        <w:rPr>
          <w:rFonts w:ascii="Calibri" w:hAnsi="Calibri" w:cs="Calibri"/>
          <w:color w:val="auto"/>
          <w:sz w:val="22"/>
          <w:szCs w:val="22"/>
        </w:rPr>
        <w:t xml:space="preserve"> in 2010,</w:t>
      </w:r>
      <w:r w:rsidRPr="006B182A">
        <w:rPr>
          <w:rFonts w:ascii="Calibri" w:hAnsi="Calibri" w:cs="Calibri"/>
          <w:color w:val="auto"/>
          <w:sz w:val="22"/>
          <w:szCs w:val="22"/>
        </w:rPr>
        <w:t xml:space="preserve"> </w:t>
      </w:r>
      <w:proofErr w:type="spellStart"/>
      <w:r>
        <w:rPr>
          <w:rFonts w:ascii="Calibri" w:hAnsi="Calibri" w:cs="Calibri"/>
          <w:color w:val="auto"/>
          <w:sz w:val="22"/>
          <w:szCs w:val="22"/>
        </w:rPr>
        <w:t>DET</w:t>
      </w:r>
      <w:proofErr w:type="spellEnd"/>
      <w:r>
        <w:rPr>
          <w:rFonts w:ascii="Calibri" w:hAnsi="Calibri" w:cs="Calibri"/>
          <w:color w:val="auto"/>
          <w:sz w:val="22"/>
          <w:szCs w:val="22"/>
        </w:rPr>
        <w:t xml:space="preserve"> began </w:t>
      </w:r>
      <w:r w:rsidRPr="006B182A">
        <w:rPr>
          <w:rFonts w:ascii="Calibri" w:hAnsi="Calibri" w:cs="Calibri"/>
          <w:color w:val="auto"/>
          <w:sz w:val="22"/>
          <w:szCs w:val="22"/>
        </w:rPr>
        <w:t xml:space="preserve">the process of </w:t>
      </w:r>
      <w:r>
        <w:rPr>
          <w:rFonts w:ascii="Calibri" w:hAnsi="Calibri" w:cs="Calibri"/>
          <w:color w:val="auto"/>
          <w:sz w:val="22"/>
          <w:szCs w:val="22"/>
        </w:rPr>
        <w:t>creating</w:t>
      </w:r>
      <w:r w:rsidRPr="006B182A">
        <w:rPr>
          <w:rFonts w:ascii="Calibri" w:hAnsi="Calibri" w:cs="Calibri"/>
          <w:color w:val="auto"/>
          <w:sz w:val="22"/>
          <w:szCs w:val="22"/>
        </w:rPr>
        <w:t xml:space="preserve"> an accurate and transparent data base</w:t>
      </w:r>
      <w:r>
        <w:rPr>
          <w:rFonts w:ascii="Calibri" w:hAnsi="Calibri" w:cs="Calibri"/>
          <w:color w:val="auto"/>
          <w:sz w:val="22"/>
          <w:szCs w:val="22"/>
        </w:rPr>
        <w:t xml:space="preserve"> for collection of </w:t>
      </w:r>
      <w:r w:rsidR="006463C6" w:rsidRPr="00B446B3">
        <w:rPr>
          <w:rFonts w:ascii="Calibri" w:hAnsi="Calibri" w:cs="Calibri"/>
          <w:color w:val="auto"/>
          <w:sz w:val="22"/>
          <w:szCs w:val="22"/>
          <w:u w:val="single"/>
        </w:rPr>
        <w:t xml:space="preserve">structured </w:t>
      </w:r>
      <w:r w:rsidRPr="00B446B3">
        <w:rPr>
          <w:rFonts w:ascii="Calibri" w:hAnsi="Calibri" w:cs="Calibri"/>
          <w:color w:val="auto"/>
          <w:sz w:val="22"/>
          <w:szCs w:val="22"/>
          <w:u w:val="single"/>
        </w:rPr>
        <w:t>work placement</w:t>
      </w:r>
      <w:r>
        <w:rPr>
          <w:rFonts w:ascii="Calibri" w:hAnsi="Calibri" w:cs="Calibri"/>
          <w:color w:val="auto"/>
          <w:sz w:val="22"/>
          <w:szCs w:val="22"/>
        </w:rPr>
        <w:t xml:space="preserve"> information</w:t>
      </w:r>
      <w:r w:rsidR="006463C6">
        <w:rPr>
          <w:rFonts w:ascii="Calibri" w:hAnsi="Calibri" w:cs="Calibri"/>
          <w:color w:val="auto"/>
          <w:sz w:val="22"/>
          <w:szCs w:val="22"/>
        </w:rPr>
        <w:t>, as distinct from information about work experience placements</w:t>
      </w:r>
      <w:r>
        <w:rPr>
          <w:rFonts w:ascii="Calibri" w:hAnsi="Calibri" w:cs="Calibri"/>
          <w:color w:val="auto"/>
          <w:sz w:val="22"/>
          <w:szCs w:val="22"/>
        </w:rPr>
        <w:t>.</w:t>
      </w:r>
      <w:r w:rsidRPr="006B182A">
        <w:rPr>
          <w:rFonts w:ascii="Calibri" w:hAnsi="Calibri" w:cs="Calibri"/>
          <w:color w:val="auto"/>
          <w:sz w:val="22"/>
          <w:szCs w:val="22"/>
        </w:rPr>
        <w:t xml:space="preserve"> </w:t>
      </w:r>
    </w:p>
    <w:p w:rsidR="006463C6" w:rsidRDefault="006463C6" w:rsidP="006463C6">
      <w:pPr>
        <w:pStyle w:val="Default"/>
        <w:spacing w:before="120"/>
        <w:rPr>
          <w:rFonts w:ascii="Calibri" w:hAnsi="Calibri" w:cs="Calibri"/>
          <w:color w:val="auto"/>
          <w:sz w:val="22"/>
          <w:szCs w:val="22"/>
        </w:rPr>
      </w:pPr>
      <w:r>
        <w:rPr>
          <w:rFonts w:ascii="Calibri" w:hAnsi="Calibri" w:cs="Calibri"/>
          <w:color w:val="auto"/>
          <w:sz w:val="22"/>
          <w:szCs w:val="22"/>
        </w:rPr>
        <w:t xml:space="preserve">Data is now collected on numbers of work placements by school, region, qualification and industry grouping.  Employers are also surveyed about their level of satisfaction with the administrative arrangements surrounding each work placement and the preparedness of students for work placement. </w:t>
      </w:r>
    </w:p>
    <w:p w:rsidR="009C0CFA" w:rsidRDefault="006463C6" w:rsidP="00CE3DCE">
      <w:pPr>
        <w:pStyle w:val="Default"/>
        <w:spacing w:before="120"/>
        <w:rPr>
          <w:rFonts w:ascii="Calibri" w:hAnsi="Calibri" w:cs="Calibri"/>
          <w:color w:val="auto"/>
          <w:sz w:val="22"/>
          <w:szCs w:val="22"/>
        </w:rPr>
      </w:pPr>
      <w:r>
        <w:rPr>
          <w:rFonts w:ascii="Calibri" w:hAnsi="Calibri" w:cs="Calibri"/>
          <w:color w:val="auto"/>
          <w:sz w:val="22"/>
          <w:szCs w:val="22"/>
        </w:rPr>
        <w:t>In 2010, all</w:t>
      </w:r>
      <w:r w:rsidR="009C0CFA">
        <w:rPr>
          <w:rFonts w:ascii="Calibri" w:hAnsi="Calibri" w:cs="Calibri"/>
          <w:color w:val="auto"/>
          <w:sz w:val="22"/>
          <w:szCs w:val="22"/>
        </w:rPr>
        <w:t xml:space="preserve"> </w:t>
      </w:r>
      <w:proofErr w:type="spellStart"/>
      <w:r w:rsidR="009C0CFA">
        <w:rPr>
          <w:rFonts w:ascii="Calibri" w:hAnsi="Calibri" w:cs="Calibri"/>
          <w:color w:val="auto"/>
          <w:sz w:val="22"/>
          <w:szCs w:val="22"/>
        </w:rPr>
        <w:t>VETiS</w:t>
      </w:r>
      <w:proofErr w:type="spellEnd"/>
      <w:r w:rsidR="009C0CFA">
        <w:rPr>
          <w:rFonts w:ascii="Calibri" w:hAnsi="Calibri" w:cs="Calibri"/>
          <w:color w:val="auto"/>
          <w:sz w:val="22"/>
          <w:szCs w:val="22"/>
        </w:rPr>
        <w:t xml:space="preserve"> students who required a structured work placement, and who were adequately prepared to undertake one, completed a work placement.</w:t>
      </w:r>
    </w:p>
    <w:p w:rsidR="00432B84" w:rsidRPr="00432B84" w:rsidRDefault="00432B84" w:rsidP="00CE3DCE">
      <w:pPr>
        <w:pStyle w:val="Default"/>
        <w:spacing w:before="120"/>
        <w:rPr>
          <w:rFonts w:ascii="Calibri" w:hAnsi="Calibri" w:cs="Calibri"/>
          <w:b/>
          <w:i/>
          <w:color w:val="auto"/>
          <w:sz w:val="22"/>
          <w:szCs w:val="22"/>
        </w:rPr>
      </w:pPr>
      <w:r w:rsidRPr="00432B84">
        <w:rPr>
          <w:rFonts w:ascii="Calibri" w:eastAsia="Times New Roman" w:hAnsi="Calibri" w:cs="Calibri"/>
          <w:b/>
          <w:i/>
          <w:sz w:val="22"/>
          <w:szCs w:val="22"/>
          <w:lang w:eastAsia="en-AU"/>
        </w:rPr>
        <w:t>2010 Placement by School</w:t>
      </w:r>
    </w:p>
    <w:tbl>
      <w:tblPr>
        <w:tblW w:w="11283" w:type="dxa"/>
        <w:tblInd w:w="95" w:type="dxa"/>
        <w:tblLayout w:type="fixed"/>
        <w:tblLook w:val="04A0" w:firstRow="1" w:lastRow="0" w:firstColumn="1" w:lastColumn="0" w:noHBand="0" w:noVBand="1"/>
      </w:tblPr>
      <w:tblGrid>
        <w:gridCol w:w="1006"/>
        <w:gridCol w:w="2693"/>
        <w:gridCol w:w="1222"/>
        <w:gridCol w:w="1223"/>
        <w:gridCol w:w="1223"/>
        <w:gridCol w:w="1223"/>
        <w:gridCol w:w="921"/>
        <w:gridCol w:w="1772"/>
      </w:tblGrid>
      <w:tr w:rsidR="00A0568D" w:rsidRPr="006463C6" w:rsidTr="00E04AF1">
        <w:trPr>
          <w:trHeight w:val="300"/>
        </w:trPr>
        <w:tc>
          <w:tcPr>
            <w:tcW w:w="100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jc w:val="center"/>
              <w:rPr>
                <w:rFonts w:eastAsia="Times New Roman" w:cstheme="minorHAnsi"/>
                <w:color w:val="000000"/>
                <w:sz w:val="18"/>
                <w:szCs w:val="18"/>
                <w:lang w:eastAsia="en-AU"/>
              </w:rPr>
            </w:pPr>
            <w:r w:rsidRPr="00A0568D">
              <w:rPr>
                <w:rFonts w:eastAsia="Times New Roman" w:cstheme="minorHAnsi"/>
                <w:color w:val="000000"/>
                <w:sz w:val="18"/>
                <w:szCs w:val="18"/>
                <w:lang w:eastAsia="en-AU"/>
              </w:rPr>
              <w:t xml:space="preserve">Year of </w:t>
            </w:r>
            <w:r w:rsidRPr="006463C6">
              <w:rPr>
                <w:rFonts w:eastAsia="Times New Roman" w:cstheme="minorHAnsi"/>
                <w:color w:val="000000"/>
                <w:sz w:val="18"/>
                <w:szCs w:val="18"/>
                <w:lang w:eastAsia="en-AU"/>
              </w:rPr>
              <w:t>placement</w:t>
            </w:r>
          </w:p>
        </w:tc>
        <w:tc>
          <w:tcPr>
            <w:tcW w:w="269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jc w:val="center"/>
              <w:rPr>
                <w:rFonts w:eastAsia="Times New Roman" w:cstheme="minorHAnsi"/>
                <w:color w:val="000000"/>
                <w:sz w:val="18"/>
                <w:szCs w:val="18"/>
                <w:lang w:eastAsia="en-AU"/>
              </w:rPr>
            </w:pPr>
            <w:r w:rsidRPr="006463C6">
              <w:rPr>
                <w:rFonts w:eastAsia="Times New Roman" w:cstheme="minorHAnsi"/>
                <w:color w:val="000000"/>
                <w:sz w:val="18"/>
                <w:szCs w:val="18"/>
                <w:lang w:eastAsia="en-AU"/>
              </w:rPr>
              <w:t>School</w:t>
            </w:r>
          </w:p>
        </w:tc>
        <w:tc>
          <w:tcPr>
            <w:tcW w:w="122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Term 1 placements</w:t>
            </w:r>
          </w:p>
        </w:tc>
        <w:tc>
          <w:tcPr>
            <w:tcW w:w="122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jc w:val="center"/>
              <w:rPr>
                <w:rFonts w:eastAsia="Times New Roman" w:cstheme="minorHAnsi"/>
                <w:color w:val="000000"/>
                <w:sz w:val="18"/>
                <w:szCs w:val="18"/>
                <w:lang w:eastAsia="en-AU"/>
              </w:rPr>
            </w:pPr>
            <w:r w:rsidRPr="006463C6">
              <w:rPr>
                <w:rFonts w:eastAsia="Times New Roman" w:cstheme="minorHAnsi"/>
                <w:color w:val="000000"/>
                <w:sz w:val="18"/>
                <w:szCs w:val="18"/>
                <w:lang w:eastAsia="en-AU"/>
              </w:rPr>
              <w:t>Term 2 placements</w:t>
            </w:r>
          </w:p>
        </w:tc>
        <w:tc>
          <w:tcPr>
            <w:tcW w:w="122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jc w:val="center"/>
              <w:rPr>
                <w:rFonts w:eastAsia="Times New Roman" w:cstheme="minorHAnsi"/>
                <w:color w:val="000000"/>
                <w:sz w:val="18"/>
                <w:szCs w:val="18"/>
                <w:lang w:eastAsia="en-AU"/>
              </w:rPr>
            </w:pPr>
            <w:r w:rsidRPr="006463C6">
              <w:rPr>
                <w:rFonts w:eastAsia="Times New Roman" w:cstheme="minorHAnsi"/>
                <w:color w:val="000000"/>
                <w:sz w:val="18"/>
                <w:szCs w:val="18"/>
                <w:lang w:eastAsia="en-AU"/>
              </w:rPr>
              <w:t>Term 3 placements</w:t>
            </w:r>
          </w:p>
        </w:tc>
        <w:tc>
          <w:tcPr>
            <w:tcW w:w="122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463C6" w:rsidRPr="006463C6" w:rsidRDefault="006463C6" w:rsidP="006463C6">
            <w:pPr>
              <w:spacing w:line="240" w:lineRule="auto"/>
              <w:jc w:val="center"/>
              <w:rPr>
                <w:rFonts w:eastAsia="Times New Roman" w:cstheme="minorHAnsi"/>
                <w:color w:val="000000"/>
                <w:sz w:val="18"/>
                <w:szCs w:val="18"/>
                <w:lang w:eastAsia="en-AU"/>
              </w:rPr>
            </w:pPr>
            <w:r w:rsidRPr="006463C6">
              <w:rPr>
                <w:rFonts w:eastAsia="Times New Roman" w:cstheme="minorHAnsi"/>
                <w:color w:val="000000"/>
                <w:sz w:val="18"/>
                <w:szCs w:val="18"/>
                <w:lang w:eastAsia="en-AU"/>
              </w:rPr>
              <w:t>Term 4 placements</w:t>
            </w:r>
          </w:p>
        </w:tc>
        <w:tc>
          <w:tcPr>
            <w:tcW w:w="2693" w:type="dxa"/>
            <w:gridSpan w:val="2"/>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Alcoota</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Alcoota</w:t>
            </w:r>
            <w:proofErr w:type="spellEnd"/>
            <w:r w:rsidRPr="006463C6">
              <w:rPr>
                <w:rFonts w:eastAsia="Times New Roman" w:cstheme="minorHAnsi"/>
                <w:color w:val="000000"/>
                <w:sz w:val="18"/>
                <w:szCs w:val="18"/>
                <w:lang w:eastAsia="en-AU"/>
              </w:rPr>
              <w:t xml:space="preserve">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Barkly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5</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BIITE</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Casuarina Senior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1"/>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Centralian</w:t>
            </w:r>
            <w:proofErr w:type="spellEnd"/>
            <w:r w:rsidRPr="006463C6">
              <w:rPr>
                <w:rFonts w:eastAsia="Times New Roman" w:cstheme="minorHAnsi"/>
                <w:color w:val="000000"/>
                <w:sz w:val="18"/>
                <w:szCs w:val="18"/>
                <w:lang w:eastAsia="en-AU"/>
              </w:rPr>
              <w:t xml:space="preserve"> Secondary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401"/>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Centralian</w:t>
            </w:r>
            <w:proofErr w:type="spellEnd"/>
            <w:r w:rsidRPr="006463C6">
              <w:rPr>
                <w:rFonts w:eastAsia="Times New Roman" w:cstheme="minorHAnsi"/>
                <w:color w:val="000000"/>
                <w:sz w:val="18"/>
                <w:szCs w:val="18"/>
                <w:lang w:eastAsia="en-AU"/>
              </w:rPr>
              <w:t xml:space="preserve"> Senior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5</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CSC</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Darwin High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35</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Dripstone Middle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Dripstone Middle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24"/>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Good Shepherd Lutheran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Katherine High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Kormilda</w:t>
            </w:r>
            <w:proofErr w:type="spellEnd"/>
            <w:r w:rsidRPr="006463C6">
              <w:rPr>
                <w:rFonts w:eastAsia="Times New Roman" w:cstheme="minorHAnsi"/>
                <w:color w:val="000000"/>
                <w:sz w:val="18"/>
                <w:szCs w:val="18"/>
                <w:lang w:eastAsia="en-AU"/>
              </w:rPr>
              <w:t xml:space="preserve">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63"/>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Marrara Christian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Nhulunbuy High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5</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5</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NTOEC</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73"/>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O'Loughlin</w:t>
            </w:r>
            <w:proofErr w:type="spellEnd"/>
            <w:r w:rsidRPr="006463C6">
              <w:rPr>
                <w:rFonts w:eastAsia="Times New Roman" w:cstheme="minorHAnsi"/>
                <w:color w:val="000000"/>
                <w:sz w:val="18"/>
                <w:szCs w:val="18"/>
                <w:lang w:eastAsia="en-AU"/>
              </w:rPr>
              <w:t xml:space="preserve"> Catholic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O'Loughlin</w:t>
            </w:r>
            <w:proofErr w:type="spellEnd"/>
            <w:r w:rsidRPr="006463C6">
              <w:rPr>
                <w:rFonts w:eastAsia="Times New Roman" w:cstheme="minorHAnsi"/>
                <w:color w:val="000000"/>
                <w:sz w:val="18"/>
                <w:szCs w:val="18"/>
                <w:lang w:eastAsia="en-AU"/>
              </w:rPr>
              <w:t xml:space="preserve">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73"/>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Our Lady Of The Sacred Heart</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Palmerston</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7"/>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lastRenderedPageBreak/>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Palmerston High</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bottom w:val="nil"/>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7"/>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Palmerston High School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top w:val="nil"/>
              <w:left w:val="single" w:sz="4" w:space="0" w:color="auto"/>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7"/>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3C6" w:rsidRPr="006463C6" w:rsidRDefault="006463C6" w:rsidP="00E04AF1">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1" w:rsidRPr="006463C6" w:rsidRDefault="006463C6" w:rsidP="00E04AF1">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Taminmin</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3C6" w:rsidRPr="006463C6" w:rsidRDefault="00E04AF1" w:rsidP="00E04AF1">
            <w:pPr>
              <w:spacing w:line="240" w:lineRule="auto"/>
              <w:jc w:val="right"/>
              <w:rPr>
                <w:rFonts w:eastAsia="Times New Roman" w:cstheme="minorHAnsi"/>
                <w:color w:val="000000"/>
                <w:sz w:val="18"/>
                <w:szCs w:val="18"/>
                <w:lang w:eastAsia="en-AU"/>
              </w:rPr>
            </w:pPr>
            <w:r>
              <w:rPr>
                <w:rFonts w:eastAsia="Times New Roman" w:cstheme="minorHAnsi"/>
                <w:color w:val="000000"/>
                <w:sz w:val="18"/>
                <w:szCs w:val="18"/>
                <w:lang w:eastAsia="en-AU"/>
              </w:rPr>
              <w:t>73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3C6" w:rsidRPr="006463C6" w:rsidRDefault="006463C6" w:rsidP="00E04AF1">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3C6" w:rsidRPr="006463C6" w:rsidRDefault="006463C6" w:rsidP="00E04AF1">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3C6" w:rsidRPr="006463C6" w:rsidRDefault="006463C6" w:rsidP="00E04AF1">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6</w:t>
            </w:r>
          </w:p>
        </w:tc>
        <w:tc>
          <w:tcPr>
            <w:tcW w:w="921" w:type="dxa"/>
            <w:tcBorders>
              <w:left w:val="single" w:sz="4" w:space="0" w:color="auto"/>
            </w:tcBorders>
            <w:shd w:val="clear" w:color="auto" w:fill="FFFFFF" w:themeFill="background1"/>
            <w:vAlign w:val="bottom"/>
            <w:hideMark/>
          </w:tcPr>
          <w:p w:rsidR="006463C6" w:rsidRPr="00586292" w:rsidRDefault="006463C6" w:rsidP="00E04AF1">
            <w:pPr>
              <w:spacing w:line="240" w:lineRule="auto"/>
              <w:rPr>
                <w:rFonts w:eastAsia="Times New Roman" w:cstheme="minorHAnsi"/>
                <w:color w:val="000000" w:themeColor="text1"/>
                <w:sz w:val="18"/>
                <w:szCs w:val="18"/>
                <w:lang w:eastAsia="en-AU"/>
              </w:rPr>
            </w:pPr>
          </w:p>
        </w:tc>
      </w:tr>
      <w:tr w:rsidR="00A0568D" w:rsidRPr="006463C6" w:rsidTr="00E04AF1">
        <w:trPr>
          <w:gridAfter w:val="1"/>
          <w:wAfter w:w="1772" w:type="dxa"/>
          <w:trHeight w:val="287"/>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proofErr w:type="spellStart"/>
            <w:r w:rsidRPr="006463C6">
              <w:rPr>
                <w:rFonts w:eastAsia="Times New Roman" w:cstheme="minorHAnsi"/>
                <w:color w:val="000000"/>
                <w:sz w:val="18"/>
                <w:szCs w:val="18"/>
                <w:lang w:eastAsia="en-AU"/>
              </w:rPr>
              <w:t>Taminmin</w:t>
            </w:r>
            <w:proofErr w:type="spellEnd"/>
            <w:r w:rsidRPr="006463C6">
              <w:rPr>
                <w:rFonts w:eastAsia="Times New Roman" w:cstheme="minorHAnsi"/>
                <w:color w:val="000000"/>
                <w:sz w:val="18"/>
                <w:szCs w:val="18"/>
                <w:lang w:eastAsia="en-AU"/>
              </w:rPr>
              <w:t xml:space="preserve"> College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11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68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921" w:type="dxa"/>
            <w:tcBorders>
              <w:left w:val="single" w:sz="4" w:space="0" w:color="auto"/>
              <w:right w:val="nil"/>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7"/>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rPr>
                <w:rFonts w:eastAsia="Times New Roman" w:cstheme="minorHAnsi"/>
                <w:color w:val="000000"/>
                <w:sz w:val="18"/>
                <w:szCs w:val="18"/>
                <w:lang w:eastAsia="en-AU"/>
              </w:rPr>
            </w:pPr>
            <w:r w:rsidRPr="006463C6">
              <w:rPr>
                <w:rFonts w:eastAsia="Times New Roman" w:cstheme="minorHAnsi"/>
                <w:color w:val="000000"/>
                <w:sz w:val="18"/>
                <w:szCs w:val="18"/>
                <w:lang w:eastAsia="en-AU"/>
              </w:rPr>
              <w:t>Yirrkala CEC</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3C6" w:rsidRPr="006463C6" w:rsidRDefault="006463C6" w:rsidP="006463C6">
            <w:pPr>
              <w:spacing w:line="240" w:lineRule="auto"/>
              <w:jc w:val="right"/>
              <w:rPr>
                <w:rFonts w:eastAsia="Times New Roman" w:cstheme="minorHAnsi"/>
                <w:color w:val="000000"/>
                <w:sz w:val="18"/>
                <w:szCs w:val="18"/>
                <w:lang w:eastAsia="en-AU"/>
              </w:rPr>
            </w:pPr>
            <w:r w:rsidRPr="006463C6">
              <w:rPr>
                <w:rFonts w:eastAsia="Times New Roman" w:cstheme="minorHAnsi"/>
                <w:color w:val="000000"/>
                <w:sz w:val="18"/>
                <w:szCs w:val="18"/>
                <w:lang w:eastAsia="en-AU"/>
              </w:rPr>
              <w:t>0</w:t>
            </w:r>
          </w:p>
        </w:tc>
        <w:tc>
          <w:tcPr>
            <w:tcW w:w="921" w:type="dxa"/>
            <w:tcBorders>
              <w:left w:val="single" w:sz="4" w:space="0" w:color="auto"/>
              <w:bottom w:val="single" w:sz="4" w:space="0" w:color="auto"/>
            </w:tcBorders>
            <w:shd w:val="clear" w:color="auto" w:fill="auto"/>
            <w:noWrap/>
            <w:vAlign w:val="bottom"/>
            <w:hideMark/>
          </w:tcPr>
          <w:p w:rsidR="006463C6" w:rsidRPr="006463C6" w:rsidRDefault="006463C6" w:rsidP="006463C6">
            <w:pPr>
              <w:spacing w:line="240" w:lineRule="auto"/>
              <w:rPr>
                <w:rFonts w:eastAsia="Times New Roman" w:cstheme="minorHAnsi"/>
                <w:color w:val="000000"/>
                <w:sz w:val="18"/>
                <w:szCs w:val="18"/>
                <w:lang w:eastAsia="en-AU"/>
              </w:rPr>
            </w:pPr>
          </w:p>
        </w:tc>
      </w:tr>
      <w:tr w:rsidR="00A0568D" w:rsidRPr="006463C6" w:rsidTr="00E04AF1">
        <w:trPr>
          <w:gridAfter w:val="1"/>
          <w:wAfter w:w="1772" w:type="dxa"/>
          <w:trHeight w:val="287"/>
        </w:trPr>
        <w:tc>
          <w:tcPr>
            <w:tcW w:w="85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68D" w:rsidRPr="00E04AF1" w:rsidRDefault="00A0568D" w:rsidP="00E04AF1">
            <w:pPr>
              <w:spacing w:line="240" w:lineRule="auto"/>
              <w:rPr>
                <w:rFonts w:eastAsia="Times New Roman" w:cstheme="minorHAnsi"/>
                <w:b/>
                <w:color w:val="000000"/>
                <w:sz w:val="24"/>
                <w:szCs w:val="24"/>
                <w:lang w:eastAsia="en-AU"/>
              </w:rPr>
            </w:pPr>
            <w:r w:rsidRPr="00E04AF1">
              <w:rPr>
                <w:rFonts w:eastAsia="Times New Roman" w:cstheme="minorHAnsi"/>
                <w:b/>
                <w:color w:val="000000"/>
                <w:sz w:val="24"/>
                <w:szCs w:val="24"/>
                <w:lang w:eastAsia="en-AU"/>
              </w:rPr>
              <w:t>TOTAL</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68D" w:rsidRPr="007B2674" w:rsidRDefault="00A0568D" w:rsidP="00E04AF1">
            <w:pPr>
              <w:spacing w:line="240" w:lineRule="auto"/>
              <w:jc w:val="right"/>
              <w:rPr>
                <w:rFonts w:eastAsia="Times New Roman" w:cstheme="minorHAnsi"/>
                <w:b/>
                <w:color w:val="000000"/>
                <w:sz w:val="24"/>
                <w:szCs w:val="24"/>
                <w:u w:val="single"/>
                <w:lang w:eastAsia="en-AU"/>
              </w:rPr>
            </w:pPr>
            <w:r w:rsidRPr="007B2674">
              <w:rPr>
                <w:rFonts w:eastAsia="Times New Roman" w:cstheme="minorHAnsi"/>
                <w:b/>
                <w:color w:val="000000"/>
                <w:sz w:val="24"/>
                <w:szCs w:val="24"/>
                <w:u w:val="single"/>
                <w:lang w:eastAsia="en-AU"/>
              </w:rPr>
              <w:t>497</w:t>
            </w:r>
          </w:p>
        </w:tc>
      </w:tr>
    </w:tbl>
    <w:p w:rsidR="008C6DBA" w:rsidRDefault="008C6DBA" w:rsidP="00CE3DCE">
      <w:pPr>
        <w:pStyle w:val="Default"/>
        <w:spacing w:before="120"/>
        <w:rPr>
          <w:rFonts w:asciiTheme="minorHAnsi" w:hAnsiTheme="minorHAnsi" w:cstheme="minorHAnsi"/>
          <w:b/>
          <w:color w:val="auto"/>
          <w:sz w:val="22"/>
          <w:szCs w:val="22"/>
        </w:rPr>
      </w:pPr>
      <w:r w:rsidRPr="008C6DBA">
        <w:rPr>
          <w:rFonts w:asciiTheme="minorHAnsi" w:hAnsiTheme="minorHAnsi" w:cstheme="minorHAnsi"/>
          <w:b/>
          <w:color w:val="auto"/>
          <w:sz w:val="22"/>
          <w:szCs w:val="22"/>
        </w:rPr>
        <w:t>Employer Surveys</w:t>
      </w:r>
    </w:p>
    <w:p w:rsidR="008C6DBA" w:rsidRDefault="008C6DBA" w:rsidP="008C6DBA">
      <w:r>
        <w:t>After each Structured Work Placement (</w:t>
      </w:r>
      <w:proofErr w:type="spellStart"/>
      <w:r>
        <w:t>SWP</w:t>
      </w:r>
      <w:proofErr w:type="spellEnd"/>
      <w:r>
        <w:t xml:space="preserve">) employers complete an Employer Survey. Responses indicate that students are well prepared for their work placement. Employers rated the students’ performance as very good to excellent across a range of criteria, including willingness to learn new skills, ability to work as part of a team, appropriate use of industry equipment and tools; communication skills, and understanding of the importance of productivity in the workplace. </w:t>
      </w:r>
    </w:p>
    <w:p w:rsidR="008C6DBA" w:rsidRDefault="008C6DBA" w:rsidP="00E04AF1">
      <w:pPr>
        <w:spacing w:before="120"/>
      </w:pPr>
      <w:r>
        <w:t>Employers also report satisfaction with the administrative processes surround work placements</w:t>
      </w:r>
      <w:r w:rsidR="00E04AF1">
        <w:t>.</w:t>
      </w:r>
    </w:p>
    <w:p w:rsidR="009C0CFA" w:rsidRPr="00CE3DCE" w:rsidRDefault="009C0CFA" w:rsidP="00CE3DCE">
      <w:pPr>
        <w:pStyle w:val="Default"/>
        <w:spacing w:before="120"/>
        <w:rPr>
          <w:rFonts w:asciiTheme="minorHAnsi" w:hAnsiTheme="minorHAnsi" w:cstheme="minorHAnsi"/>
          <w:b/>
          <w:color w:val="auto"/>
          <w:sz w:val="22"/>
          <w:szCs w:val="22"/>
        </w:rPr>
      </w:pPr>
      <w:r w:rsidRPr="00CE3DCE">
        <w:rPr>
          <w:rFonts w:asciiTheme="minorHAnsi" w:hAnsiTheme="minorHAnsi" w:cstheme="minorHAnsi"/>
          <w:b/>
          <w:color w:val="auto"/>
          <w:sz w:val="22"/>
          <w:szCs w:val="22"/>
        </w:rPr>
        <w:t>The Next Steps</w:t>
      </w:r>
    </w:p>
    <w:p w:rsidR="009C0CFA" w:rsidRPr="009D268C" w:rsidRDefault="009C0CFA" w:rsidP="00CE3DCE">
      <w:pPr>
        <w:pStyle w:val="Default"/>
        <w:spacing w:before="120"/>
        <w:rPr>
          <w:rFonts w:ascii="Calibri" w:hAnsi="Calibri" w:cs="Calibri"/>
          <w:color w:val="auto"/>
          <w:sz w:val="22"/>
          <w:szCs w:val="22"/>
        </w:rPr>
      </w:pPr>
      <w:r w:rsidRPr="009D268C">
        <w:rPr>
          <w:rFonts w:ascii="Calibri" w:hAnsi="Calibri" w:cs="Calibri"/>
          <w:color w:val="auto"/>
          <w:sz w:val="22"/>
          <w:szCs w:val="22"/>
        </w:rPr>
        <w:t xml:space="preserve">The </w:t>
      </w:r>
      <w:r>
        <w:rPr>
          <w:rFonts w:ascii="Calibri" w:hAnsi="Calibri" w:cs="Calibri"/>
          <w:color w:val="auto"/>
          <w:sz w:val="22"/>
          <w:szCs w:val="22"/>
        </w:rPr>
        <w:t xml:space="preserve">Participation and Pathways </w:t>
      </w:r>
      <w:r w:rsidRPr="009D268C">
        <w:rPr>
          <w:rFonts w:ascii="Calibri" w:hAnsi="Calibri" w:cs="Calibri"/>
          <w:color w:val="auto"/>
          <w:sz w:val="22"/>
          <w:szCs w:val="22"/>
        </w:rPr>
        <w:t>Division</w:t>
      </w:r>
      <w:r>
        <w:rPr>
          <w:rFonts w:ascii="Calibri" w:hAnsi="Calibri" w:cs="Calibri"/>
          <w:color w:val="auto"/>
          <w:sz w:val="22"/>
          <w:szCs w:val="22"/>
        </w:rPr>
        <w:t xml:space="preserve"> </w:t>
      </w:r>
      <w:r w:rsidRPr="009D268C">
        <w:rPr>
          <w:rFonts w:ascii="Calibri" w:hAnsi="Calibri" w:cs="Calibri"/>
          <w:color w:val="auto"/>
          <w:sz w:val="22"/>
          <w:szCs w:val="22"/>
        </w:rPr>
        <w:t xml:space="preserve">will evolve further in 2011 as we establish best practice for the </w:t>
      </w:r>
      <w:r>
        <w:rPr>
          <w:rFonts w:ascii="Calibri" w:hAnsi="Calibri" w:cs="Calibri"/>
          <w:color w:val="auto"/>
          <w:sz w:val="22"/>
          <w:szCs w:val="22"/>
        </w:rPr>
        <w:t>various areas of responsibility.</w:t>
      </w:r>
    </w:p>
    <w:p w:rsidR="009C0CFA" w:rsidRPr="009D268C" w:rsidRDefault="009C0CFA" w:rsidP="00CE3DCE">
      <w:pPr>
        <w:pStyle w:val="Default"/>
        <w:spacing w:before="120"/>
        <w:rPr>
          <w:rFonts w:ascii="Calibri" w:hAnsi="Calibri" w:cs="Calibri"/>
          <w:color w:val="auto"/>
          <w:sz w:val="22"/>
          <w:szCs w:val="22"/>
        </w:rPr>
      </w:pPr>
      <w:r w:rsidRPr="009D268C">
        <w:rPr>
          <w:rFonts w:ascii="Calibri" w:hAnsi="Calibri" w:cs="Calibri"/>
          <w:color w:val="auto"/>
          <w:sz w:val="22"/>
          <w:szCs w:val="22"/>
        </w:rPr>
        <w:t xml:space="preserve">In 2011 the Division will be refocused. This will see the </w:t>
      </w:r>
      <w:r>
        <w:rPr>
          <w:rFonts w:ascii="Calibri" w:hAnsi="Calibri" w:cs="Calibri"/>
          <w:color w:val="auto"/>
          <w:sz w:val="22"/>
          <w:szCs w:val="22"/>
        </w:rPr>
        <w:t>division take two specific foci:</w:t>
      </w:r>
      <w:r w:rsidRPr="009D268C">
        <w:rPr>
          <w:rFonts w:ascii="Calibri" w:hAnsi="Calibri" w:cs="Calibri"/>
          <w:color w:val="auto"/>
          <w:sz w:val="22"/>
          <w:szCs w:val="22"/>
        </w:rPr>
        <w:t xml:space="preserve"> </w:t>
      </w:r>
    </w:p>
    <w:p w:rsidR="009C0CFA" w:rsidRPr="009D268C" w:rsidRDefault="009C0CFA" w:rsidP="00CE3DCE">
      <w:pPr>
        <w:pStyle w:val="Default"/>
        <w:numPr>
          <w:ilvl w:val="0"/>
          <w:numId w:val="18"/>
        </w:numPr>
        <w:spacing w:before="120"/>
        <w:rPr>
          <w:rFonts w:ascii="Calibri" w:hAnsi="Calibri" w:cs="Calibri"/>
          <w:color w:val="auto"/>
          <w:sz w:val="22"/>
          <w:szCs w:val="22"/>
        </w:rPr>
      </w:pPr>
      <w:r w:rsidRPr="009D268C">
        <w:rPr>
          <w:rFonts w:ascii="Calibri" w:hAnsi="Calibri" w:cs="Calibri"/>
          <w:color w:val="auto"/>
          <w:sz w:val="22"/>
          <w:szCs w:val="22"/>
        </w:rPr>
        <w:t>Industry Engagement and Employment Pathways</w:t>
      </w:r>
      <w:r>
        <w:rPr>
          <w:rFonts w:ascii="Calibri" w:hAnsi="Calibri" w:cs="Calibri"/>
          <w:color w:val="auto"/>
          <w:sz w:val="22"/>
          <w:szCs w:val="22"/>
        </w:rPr>
        <w:t>;</w:t>
      </w:r>
    </w:p>
    <w:p w:rsidR="009C0CFA" w:rsidRPr="009D268C" w:rsidRDefault="009C0CFA" w:rsidP="00CE3DCE">
      <w:pPr>
        <w:pStyle w:val="Default"/>
        <w:numPr>
          <w:ilvl w:val="0"/>
          <w:numId w:val="18"/>
        </w:numPr>
        <w:spacing w:before="120"/>
        <w:rPr>
          <w:rFonts w:ascii="Calibri" w:hAnsi="Calibri" w:cs="Calibri"/>
          <w:color w:val="auto"/>
          <w:sz w:val="22"/>
          <w:szCs w:val="22"/>
        </w:rPr>
      </w:pPr>
      <w:r>
        <w:rPr>
          <w:rFonts w:ascii="Calibri" w:hAnsi="Calibri" w:cs="Calibri"/>
          <w:color w:val="auto"/>
          <w:sz w:val="22"/>
          <w:szCs w:val="22"/>
        </w:rPr>
        <w:t xml:space="preserve">Enrolment, Attendance and Youth </w:t>
      </w:r>
      <w:r w:rsidRPr="009D268C">
        <w:rPr>
          <w:rFonts w:ascii="Calibri" w:hAnsi="Calibri" w:cs="Calibri"/>
          <w:color w:val="auto"/>
          <w:sz w:val="22"/>
          <w:szCs w:val="22"/>
        </w:rPr>
        <w:t>Participation</w:t>
      </w:r>
      <w:r>
        <w:rPr>
          <w:rFonts w:ascii="Calibri" w:hAnsi="Calibri" w:cs="Calibri"/>
          <w:color w:val="auto"/>
          <w:sz w:val="22"/>
          <w:szCs w:val="22"/>
        </w:rPr>
        <w:t>.</w:t>
      </w:r>
    </w:p>
    <w:p w:rsidR="009C0CFA" w:rsidRPr="009D268C" w:rsidRDefault="009C0CFA" w:rsidP="00CE3DCE">
      <w:pPr>
        <w:pStyle w:val="Default"/>
        <w:spacing w:before="120"/>
        <w:rPr>
          <w:rFonts w:ascii="Calibri" w:hAnsi="Calibri" w:cs="Calibri"/>
          <w:color w:val="auto"/>
          <w:sz w:val="22"/>
          <w:szCs w:val="22"/>
        </w:rPr>
      </w:pPr>
      <w:r w:rsidRPr="009D268C">
        <w:rPr>
          <w:rFonts w:ascii="Calibri" w:hAnsi="Calibri" w:cs="Calibri"/>
          <w:color w:val="auto"/>
          <w:sz w:val="22"/>
          <w:szCs w:val="22"/>
        </w:rPr>
        <w:t>Work has also commenced on the establishment of a Northern Territory Schools Industry Academy.</w:t>
      </w:r>
    </w:p>
    <w:p w:rsidR="009E0A28" w:rsidRDefault="009E0A28" w:rsidP="009E0A28">
      <w:pPr>
        <w:pStyle w:val="Heading2"/>
        <w:spacing w:before="360"/>
      </w:pPr>
      <w:bookmarkStart w:id="9" w:name="_Toc294619481"/>
      <w:r>
        <w:t>Indigenous</w:t>
      </w:r>
      <w:bookmarkEnd w:id="8"/>
      <w:r w:rsidR="0029015A">
        <w:t xml:space="preserve"> Reporting</w:t>
      </w:r>
      <w:bookmarkEnd w:id="9"/>
    </w:p>
    <w:p w:rsidR="004B0FFC" w:rsidRPr="004B0FFC" w:rsidRDefault="004B0FFC" w:rsidP="004B0FFC">
      <w:pPr>
        <w:pBdr>
          <w:top w:val="single" w:sz="4" w:space="1" w:color="auto"/>
          <w:left w:val="single" w:sz="4" w:space="4" w:color="auto"/>
          <w:bottom w:val="single" w:sz="4" w:space="1" w:color="auto"/>
          <w:right w:val="single" w:sz="4" w:space="4" w:color="auto"/>
        </w:pBdr>
        <w:rPr>
          <w:b/>
        </w:rPr>
      </w:pPr>
      <w:r w:rsidRPr="004B0FFC">
        <w:rPr>
          <w:b/>
        </w:rPr>
        <w:t>From Schedule B:</w:t>
      </w:r>
    </w:p>
    <w:p w:rsidR="004B0FFC" w:rsidRPr="004B0FFC" w:rsidRDefault="004B0FFC" w:rsidP="004B0FFC">
      <w:pPr>
        <w:pBdr>
          <w:top w:val="single" w:sz="4" w:space="1" w:color="auto"/>
          <w:left w:val="single" w:sz="4" w:space="4" w:color="auto"/>
          <w:bottom w:val="single" w:sz="4" w:space="1" w:color="auto"/>
          <w:right w:val="single" w:sz="4" w:space="4" w:color="auto"/>
        </w:pBdr>
        <w:spacing w:after="120"/>
      </w:pPr>
      <w:r w:rsidRPr="004B0FFC">
        <w:t>States and Territories will monitor and report on Indigenous participation annually, noting that this will not be taken into account for reward payments but as a progress measure toward achieving the halving the gap target.</w:t>
      </w:r>
    </w:p>
    <w:p w:rsidR="004B0FFC" w:rsidRPr="004B0FFC" w:rsidRDefault="004B0FFC" w:rsidP="004B0FFC">
      <w:pPr>
        <w:pBdr>
          <w:top w:val="single" w:sz="4" w:space="1" w:color="auto"/>
          <w:left w:val="single" w:sz="4" w:space="4" w:color="auto"/>
          <w:bottom w:val="single" w:sz="4" w:space="1" w:color="auto"/>
          <w:right w:val="single" w:sz="4" w:space="4" w:color="auto"/>
        </w:pBdr>
        <w:spacing w:after="120"/>
      </w:pPr>
      <w:r w:rsidRPr="004B0FFC">
        <w:t>Annual monitoring and reporting of participation of Indigenous students will be the total enrolment of full-time students in Years 11 and 12, and 15-19 year olds without a Year 12 Certificate and not enrolled in school who are enrolled in a VET course (full-time or part time) at Certificate II level or higher.</w:t>
      </w:r>
    </w:p>
    <w:p w:rsidR="004B0FFC" w:rsidRPr="004B0FFC" w:rsidRDefault="004B0FFC" w:rsidP="004B0FFC">
      <w:pPr>
        <w:pBdr>
          <w:top w:val="single" w:sz="4" w:space="1" w:color="auto"/>
          <w:left w:val="single" w:sz="4" w:space="4" w:color="auto"/>
          <w:bottom w:val="single" w:sz="4" w:space="1" w:color="auto"/>
          <w:right w:val="single" w:sz="4" w:space="4" w:color="auto"/>
        </w:pBdr>
        <w:spacing w:after="120"/>
      </w:pPr>
      <w:r w:rsidRPr="004B0FFC">
        <w:t>Annual monitoring and reporting of Indigenous students will also include a separate category of the total enrolment of full-time students in Years 9 and 10, and 15-19 year olds without a Year 12 Certificate and not enrolled in school who are enrolled in a VET course (full -time or part time) at Certificate I level.</w:t>
      </w:r>
    </w:p>
    <w:p w:rsidR="004B0FFC" w:rsidRPr="004B0FFC" w:rsidRDefault="004B0FFC" w:rsidP="004B0FFC">
      <w:pPr>
        <w:pBdr>
          <w:top w:val="single" w:sz="4" w:space="1" w:color="auto"/>
          <w:left w:val="single" w:sz="4" w:space="4" w:color="auto"/>
          <w:bottom w:val="single" w:sz="4" w:space="1" w:color="auto"/>
          <w:right w:val="single" w:sz="4" w:space="4" w:color="auto"/>
        </w:pBdr>
        <w:spacing w:after="120"/>
      </w:pPr>
      <w:r w:rsidRPr="004B0FFC">
        <w:t>States and Territories will monitor and report annually on a range of leading indicators in addition to participation, such as attendance, retention and trends in administrative data.  This information will also be used to determine the 20-24 year old Indigenous attainment rate in non-Census years, including 2015 and 2020.</w:t>
      </w:r>
    </w:p>
    <w:p w:rsidR="004B0FFC" w:rsidRPr="004B0FFC" w:rsidRDefault="004B0FFC" w:rsidP="004B0FFC">
      <w:pPr>
        <w:pBdr>
          <w:top w:val="single" w:sz="4" w:space="1" w:color="auto"/>
          <w:left w:val="single" w:sz="4" w:space="4" w:color="auto"/>
          <w:bottom w:val="single" w:sz="4" w:space="1" w:color="auto"/>
          <w:right w:val="single" w:sz="4" w:space="4" w:color="auto"/>
        </w:pBdr>
      </w:pPr>
      <w:r w:rsidRPr="004B0FFC">
        <w:t>States and Territories will also monitor and report on: school level strategies; leading indicators (participation, attendance and retention); and Year 12 attainment; initially for schools with 30 or more Indigenous students where this equates to 10 per cent or more of total enrolments, to be expanded over time as agreed through State and Territory implementation plans, to schools with 10 per cent or more Indigenous enrolments or more than 30 Indigenous students.</w:t>
      </w:r>
    </w:p>
    <w:p w:rsidR="00432B84" w:rsidRDefault="00432B84" w:rsidP="00D21EC5">
      <w:pPr>
        <w:autoSpaceDE w:val="0"/>
        <w:autoSpaceDN w:val="0"/>
        <w:adjustRightInd w:val="0"/>
        <w:spacing w:line="240" w:lineRule="auto"/>
        <w:rPr>
          <w:rFonts w:ascii="Calibri" w:hAnsi="Calibri" w:cs="Calibri"/>
        </w:rPr>
      </w:pPr>
    </w:p>
    <w:p w:rsidR="00D21EC5" w:rsidRDefault="00D21EC5" w:rsidP="00D21EC5">
      <w:pPr>
        <w:autoSpaceDE w:val="0"/>
        <w:autoSpaceDN w:val="0"/>
        <w:adjustRightInd w:val="0"/>
        <w:spacing w:line="240" w:lineRule="auto"/>
        <w:rPr>
          <w:rFonts w:ascii="Calibri" w:hAnsi="Calibri" w:cs="Calibri"/>
        </w:rPr>
      </w:pPr>
      <w:r>
        <w:rPr>
          <w:rFonts w:ascii="Calibri" w:hAnsi="Calibri" w:cs="Calibri"/>
        </w:rPr>
        <w:lastRenderedPageBreak/>
        <w:t>As agreed in the Implementation Plan, the Northern Territory will use existing data sources to report against its halving the Indigenous Year 12 or Equivalent attainment trajectory.</w:t>
      </w:r>
    </w:p>
    <w:p w:rsidR="00D21EC5" w:rsidRPr="00E62E9F" w:rsidRDefault="00D21EC5" w:rsidP="00D21EC5">
      <w:pPr>
        <w:autoSpaceDE w:val="0"/>
        <w:autoSpaceDN w:val="0"/>
        <w:adjustRightInd w:val="0"/>
        <w:spacing w:before="120" w:line="240" w:lineRule="auto"/>
        <w:rPr>
          <w:rFonts w:ascii="Calibri" w:hAnsi="Calibri" w:cs="Calibri"/>
        </w:rPr>
      </w:pPr>
      <w:r w:rsidRPr="00E62E9F">
        <w:rPr>
          <w:rFonts w:ascii="Calibri" w:hAnsi="Calibri" w:cs="Calibri"/>
        </w:rPr>
        <w:t>Reporting required against the Smarter Schools National Partnerships will provide school level strategies and progress towards achievement of targets agreed as part of the Youth Attainment and Transitions National Partnership; specifically:</w:t>
      </w:r>
    </w:p>
    <w:p w:rsidR="00D21EC5" w:rsidRDefault="00D21EC5" w:rsidP="00D21EC5">
      <w:pPr>
        <w:pStyle w:val="ListParagraph"/>
        <w:numPr>
          <w:ilvl w:val="0"/>
          <w:numId w:val="26"/>
        </w:numPr>
        <w:autoSpaceDE w:val="0"/>
        <w:autoSpaceDN w:val="0"/>
        <w:adjustRightInd w:val="0"/>
        <w:spacing w:after="200" w:line="240" w:lineRule="auto"/>
        <w:rPr>
          <w:rFonts w:ascii="Calibri" w:hAnsi="Calibri" w:cs="Calibri"/>
        </w:rPr>
      </w:pPr>
      <w:r>
        <w:rPr>
          <w:rFonts w:ascii="Calibri" w:hAnsi="Calibri" w:cs="Calibri"/>
        </w:rPr>
        <w:t>School level strategies ‐ s</w:t>
      </w:r>
      <w:r w:rsidRPr="00D310C7">
        <w:rPr>
          <w:rFonts w:ascii="Calibri" w:hAnsi="Calibri" w:cs="Calibri"/>
        </w:rPr>
        <w:t>chool improvement plans will be published in line with the milestones</w:t>
      </w:r>
      <w:r>
        <w:rPr>
          <w:rFonts w:ascii="Calibri" w:hAnsi="Calibri" w:cs="Calibri"/>
        </w:rPr>
        <w:t xml:space="preserve"> </w:t>
      </w:r>
      <w:r w:rsidRPr="00D310C7">
        <w:rPr>
          <w:rFonts w:ascii="Calibri" w:hAnsi="Calibri" w:cs="Calibri"/>
        </w:rPr>
        <w:t>stated in the Smarter Schools and Closing the Gap Bilateral Agreement. Schools will be required to</w:t>
      </w:r>
      <w:r>
        <w:rPr>
          <w:rFonts w:ascii="Calibri" w:hAnsi="Calibri" w:cs="Calibri"/>
        </w:rPr>
        <w:t xml:space="preserve"> </w:t>
      </w:r>
      <w:r w:rsidRPr="00D310C7">
        <w:rPr>
          <w:rFonts w:ascii="Calibri" w:hAnsi="Calibri" w:cs="Calibri"/>
        </w:rPr>
        <w:t>focus their planning and effort on three key areas:</w:t>
      </w:r>
      <w:r>
        <w:rPr>
          <w:rFonts w:ascii="Calibri" w:hAnsi="Calibri" w:cs="Calibri"/>
        </w:rPr>
        <w:t xml:space="preserve"> </w:t>
      </w:r>
    </w:p>
    <w:p w:rsidR="00D21EC5" w:rsidRPr="00D310C7" w:rsidRDefault="00D21EC5" w:rsidP="00D21EC5">
      <w:pPr>
        <w:pStyle w:val="ListParagraph"/>
        <w:numPr>
          <w:ilvl w:val="2"/>
          <w:numId w:val="26"/>
        </w:numPr>
        <w:autoSpaceDE w:val="0"/>
        <w:autoSpaceDN w:val="0"/>
        <w:adjustRightInd w:val="0"/>
        <w:spacing w:after="200" w:line="240" w:lineRule="auto"/>
        <w:rPr>
          <w:rFonts w:ascii="Calibri" w:hAnsi="Calibri" w:cs="Calibri"/>
        </w:rPr>
      </w:pPr>
      <w:r w:rsidRPr="00D310C7">
        <w:rPr>
          <w:rFonts w:ascii="Calibri" w:hAnsi="Calibri" w:cs="Calibri"/>
        </w:rPr>
        <w:t>early childhood,</w:t>
      </w:r>
    </w:p>
    <w:p w:rsidR="00D21EC5" w:rsidRDefault="00D21EC5" w:rsidP="00D21EC5">
      <w:pPr>
        <w:pStyle w:val="ListParagraph"/>
        <w:numPr>
          <w:ilvl w:val="2"/>
          <w:numId w:val="26"/>
        </w:numPr>
        <w:autoSpaceDE w:val="0"/>
        <w:autoSpaceDN w:val="0"/>
        <w:adjustRightInd w:val="0"/>
        <w:spacing w:after="200" w:line="240" w:lineRule="auto"/>
        <w:rPr>
          <w:rFonts w:ascii="Calibri" w:hAnsi="Calibri" w:cs="Calibri"/>
        </w:rPr>
      </w:pPr>
      <w:r>
        <w:rPr>
          <w:rFonts w:ascii="Calibri" w:hAnsi="Calibri" w:cs="Calibri"/>
        </w:rPr>
        <w:t>schooling, and</w:t>
      </w:r>
    </w:p>
    <w:p w:rsidR="00D21EC5" w:rsidRDefault="00D21EC5" w:rsidP="00D21EC5">
      <w:pPr>
        <w:pStyle w:val="ListParagraph"/>
        <w:numPr>
          <w:ilvl w:val="2"/>
          <w:numId w:val="26"/>
        </w:numPr>
        <w:autoSpaceDE w:val="0"/>
        <w:autoSpaceDN w:val="0"/>
        <w:adjustRightInd w:val="0"/>
        <w:spacing w:after="200" w:line="240" w:lineRule="auto"/>
        <w:rPr>
          <w:rFonts w:ascii="Calibri" w:hAnsi="Calibri" w:cs="Calibri"/>
        </w:rPr>
      </w:pPr>
      <w:r>
        <w:rPr>
          <w:rFonts w:ascii="Calibri" w:hAnsi="Calibri" w:cs="Calibri"/>
        </w:rPr>
        <w:t>post-schooling;</w:t>
      </w:r>
    </w:p>
    <w:p w:rsidR="00D21EC5" w:rsidRDefault="00D21EC5" w:rsidP="00D21EC5">
      <w:pPr>
        <w:pStyle w:val="ListParagraph"/>
        <w:numPr>
          <w:ilvl w:val="0"/>
          <w:numId w:val="26"/>
        </w:numPr>
        <w:autoSpaceDE w:val="0"/>
        <w:autoSpaceDN w:val="0"/>
        <w:adjustRightInd w:val="0"/>
        <w:spacing w:after="200" w:line="240" w:lineRule="auto"/>
        <w:rPr>
          <w:rFonts w:ascii="Calibri" w:hAnsi="Calibri" w:cs="Calibri"/>
        </w:rPr>
      </w:pPr>
      <w:r>
        <w:rPr>
          <w:rFonts w:ascii="Calibri" w:hAnsi="Calibri" w:cs="Calibri"/>
        </w:rPr>
        <w:t>Performance outcomes and relevant measures will be:</w:t>
      </w:r>
    </w:p>
    <w:p w:rsidR="00D21EC5" w:rsidRDefault="00D21EC5" w:rsidP="00D21EC5">
      <w:pPr>
        <w:autoSpaceDE w:val="0"/>
        <w:autoSpaceDN w:val="0"/>
        <w:adjustRightInd w:val="0"/>
        <w:spacing w:line="240" w:lineRule="auto"/>
        <w:rPr>
          <w:rFonts w:ascii="Calibri" w:hAnsi="Calibri" w:cs="Calibri"/>
        </w:rPr>
      </w:pPr>
      <w:r>
        <w:rPr>
          <w:rFonts w:ascii="Calibri" w:hAnsi="Calibri" w:cs="Calibri"/>
          <w:noProof/>
          <w:lang w:eastAsia="en-AU"/>
        </w:rPr>
        <w:drawing>
          <wp:inline distT="0" distB="0" distL="0" distR="0">
            <wp:extent cx="6188524" cy="595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2520" cy="5956969"/>
                    </a:xfrm>
                    <a:prstGeom prst="rect">
                      <a:avLst/>
                    </a:prstGeom>
                    <a:noFill/>
                    <a:ln>
                      <a:noFill/>
                    </a:ln>
                  </pic:spPr>
                </pic:pic>
              </a:graphicData>
            </a:graphic>
          </wp:inline>
        </w:drawing>
      </w:r>
    </w:p>
    <w:p w:rsidR="00D21EC5" w:rsidRPr="009F61C0" w:rsidRDefault="00D21EC5" w:rsidP="00D21EC5">
      <w:pPr>
        <w:pStyle w:val="Default"/>
        <w:spacing w:before="120"/>
        <w:rPr>
          <w:rFonts w:ascii="Calibri" w:hAnsi="Calibri" w:cs="Calibri"/>
          <w:color w:val="auto"/>
          <w:sz w:val="22"/>
          <w:szCs w:val="22"/>
        </w:rPr>
      </w:pPr>
      <w:r>
        <w:rPr>
          <w:rFonts w:ascii="Calibri" w:hAnsi="Calibri" w:cs="Calibri"/>
          <w:color w:val="auto"/>
          <w:sz w:val="22"/>
          <w:szCs w:val="22"/>
        </w:rPr>
        <w:t>The outcomes of the Youth Attainment and Transitions National Partnership are closely aligned with those of the Smarter Schools National Partnership.</w:t>
      </w:r>
      <w:r w:rsidRPr="00B54068">
        <w:rPr>
          <w:rFonts w:ascii="Calibri" w:hAnsi="Calibri" w:cs="Calibri"/>
          <w:color w:val="auto"/>
          <w:sz w:val="22"/>
          <w:szCs w:val="22"/>
        </w:rPr>
        <w:t xml:space="preserve"> </w:t>
      </w:r>
      <w:r>
        <w:rPr>
          <w:rFonts w:ascii="Calibri" w:hAnsi="Calibri" w:cs="Calibri"/>
          <w:color w:val="auto"/>
          <w:sz w:val="22"/>
          <w:szCs w:val="22"/>
        </w:rPr>
        <w:t xml:space="preserve"> </w:t>
      </w:r>
      <w:r w:rsidRPr="009F61C0">
        <w:rPr>
          <w:rFonts w:ascii="Calibri" w:hAnsi="Calibri" w:cs="Calibri"/>
          <w:color w:val="auto"/>
          <w:sz w:val="22"/>
          <w:szCs w:val="22"/>
        </w:rPr>
        <w:t>The Smarter Schools reforms expand on existing good practice and provide the opportunity to trial innovative ways to address the challenges of delivering education in the NT. Existing school i</w:t>
      </w:r>
      <w:r>
        <w:rPr>
          <w:rFonts w:ascii="Calibri" w:hAnsi="Calibri" w:cs="Calibri"/>
          <w:color w:val="auto"/>
          <w:sz w:val="22"/>
          <w:szCs w:val="22"/>
        </w:rPr>
        <w:t>mprovement planning processes are</w:t>
      </w:r>
      <w:r w:rsidRPr="009F61C0">
        <w:rPr>
          <w:rFonts w:ascii="Calibri" w:hAnsi="Calibri" w:cs="Calibri"/>
          <w:color w:val="auto"/>
          <w:sz w:val="22"/>
          <w:szCs w:val="22"/>
        </w:rPr>
        <w:t xml:space="preserve"> being used to ensure these reforms complement </w:t>
      </w:r>
      <w:r w:rsidRPr="009F61C0">
        <w:rPr>
          <w:rFonts w:ascii="Calibri" w:hAnsi="Calibri" w:cs="Calibri"/>
          <w:color w:val="auto"/>
          <w:sz w:val="22"/>
          <w:szCs w:val="22"/>
        </w:rPr>
        <w:lastRenderedPageBreak/>
        <w:t>and align with core business and other Territory and national reforms, such as those under the Closing the Gap and Youth Attainment and Transitions National Partnerships.</w:t>
      </w:r>
    </w:p>
    <w:p w:rsidR="00D21EC5" w:rsidRDefault="00D21EC5" w:rsidP="00D21EC5">
      <w:pPr>
        <w:pStyle w:val="Default"/>
        <w:spacing w:before="120"/>
        <w:rPr>
          <w:rFonts w:ascii="Calibri" w:hAnsi="Calibri" w:cs="Calibri"/>
          <w:color w:val="auto"/>
          <w:sz w:val="22"/>
          <w:szCs w:val="22"/>
        </w:rPr>
      </w:pPr>
      <w:r w:rsidRPr="008F13AC">
        <w:rPr>
          <w:rFonts w:ascii="Calibri" w:hAnsi="Calibri" w:cs="Calibri"/>
          <w:color w:val="auto"/>
          <w:sz w:val="22"/>
          <w:szCs w:val="22"/>
        </w:rPr>
        <w:t xml:space="preserve">All schools that have received funding through the Smarter Schools National Partnership </w:t>
      </w:r>
      <w:r>
        <w:rPr>
          <w:rFonts w:ascii="Calibri" w:hAnsi="Calibri" w:cs="Calibri"/>
          <w:color w:val="auto"/>
          <w:sz w:val="22"/>
          <w:szCs w:val="22"/>
        </w:rPr>
        <w:t>(</w:t>
      </w:r>
      <w:proofErr w:type="spellStart"/>
      <w:r>
        <w:rPr>
          <w:rFonts w:ascii="Calibri" w:hAnsi="Calibri" w:cs="Calibri"/>
          <w:color w:val="auto"/>
          <w:sz w:val="22"/>
          <w:szCs w:val="22"/>
        </w:rPr>
        <w:t>SSNP</w:t>
      </w:r>
      <w:proofErr w:type="spellEnd"/>
      <w:r>
        <w:rPr>
          <w:rFonts w:ascii="Calibri" w:hAnsi="Calibri" w:cs="Calibri"/>
          <w:color w:val="auto"/>
          <w:sz w:val="22"/>
          <w:szCs w:val="22"/>
        </w:rPr>
        <w:t xml:space="preserve">) </w:t>
      </w:r>
      <w:r w:rsidRPr="008F13AC">
        <w:rPr>
          <w:rFonts w:ascii="Calibri" w:hAnsi="Calibri" w:cs="Calibri"/>
          <w:color w:val="auto"/>
          <w:sz w:val="22"/>
          <w:szCs w:val="22"/>
        </w:rPr>
        <w:t xml:space="preserve">are expected to publish annual </w:t>
      </w:r>
      <w:r>
        <w:rPr>
          <w:rFonts w:ascii="Calibri" w:hAnsi="Calibri" w:cs="Calibri"/>
          <w:color w:val="auto"/>
          <w:sz w:val="22"/>
          <w:szCs w:val="22"/>
        </w:rPr>
        <w:t>school improvement plans online</w:t>
      </w:r>
      <w:r w:rsidRPr="008F13AC">
        <w:rPr>
          <w:rFonts w:ascii="Calibri" w:hAnsi="Calibri" w:cs="Calibri"/>
          <w:color w:val="auto"/>
          <w:sz w:val="22"/>
          <w:szCs w:val="22"/>
        </w:rPr>
        <w:t>.  These plans provide an insight into the</w:t>
      </w:r>
      <w:r>
        <w:rPr>
          <w:rFonts w:ascii="Calibri" w:hAnsi="Calibri" w:cs="Calibri"/>
          <w:color w:val="auto"/>
          <w:sz w:val="22"/>
          <w:szCs w:val="22"/>
        </w:rPr>
        <w:t xml:space="preserve"> school level </w:t>
      </w:r>
      <w:r w:rsidRPr="008F13AC">
        <w:rPr>
          <w:rFonts w:ascii="Calibri" w:hAnsi="Calibri" w:cs="Calibri"/>
          <w:color w:val="auto"/>
          <w:sz w:val="22"/>
          <w:szCs w:val="22"/>
        </w:rPr>
        <w:t>strategies and approaches being im</w:t>
      </w:r>
      <w:r>
        <w:rPr>
          <w:rFonts w:ascii="Calibri" w:hAnsi="Calibri" w:cs="Calibri"/>
          <w:color w:val="auto"/>
          <w:sz w:val="22"/>
          <w:szCs w:val="22"/>
        </w:rPr>
        <w:t>plemented to improve</w:t>
      </w:r>
      <w:r w:rsidRPr="008F13AC">
        <w:rPr>
          <w:rFonts w:ascii="Calibri" w:hAnsi="Calibri" w:cs="Calibri"/>
          <w:color w:val="auto"/>
          <w:sz w:val="22"/>
          <w:szCs w:val="22"/>
        </w:rPr>
        <w:t xml:space="preserve"> student outcomes</w:t>
      </w:r>
      <w:r>
        <w:rPr>
          <w:rFonts w:ascii="Calibri" w:hAnsi="Calibri" w:cs="Calibri"/>
          <w:color w:val="auto"/>
          <w:sz w:val="22"/>
          <w:szCs w:val="22"/>
        </w:rPr>
        <w:t>, including youth attainment and transition outcomes</w:t>
      </w:r>
      <w:r w:rsidRPr="008F13AC">
        <w:rPr>
          <w:rFonts w:ascii="Calibri" w:hAnsi="Calibri" w:cs="Calibri"/>
          <w:color w:val="auto"/>
          <w:sz w:val="22"/>
          <w:szCs w:val="22"/>
        </w:rPr>
        <w:t>.</w:t>
      </w:r>
      <w:r>
        <w:rPr>
          <w:rFonts w:ascii="Calibri" w:hAnsi="Calibri" w:cs="Calibri"/>
          <w:color w:val="auto"/>
          <w:sz w:val="22"/>
          <w:szCs w:val="22"/>
        </w:rPr>
        <w:t xml:space="preserve">  These School Plans can be access through the </w:t>
      </w:r>
      <w:proofErr w:type="spellStart"/>
      <w:r>
        <w:rPr>
          <w:rFonts w:ascii="Calibri" w:hAnsi="Calibri" w:cs="Calibri"/>
          <w:color w:val="auto"/>
          <w:sz w:val="22"/>
          <w:szCs w:val="22"/>
        </w:rPr>
        <w:t>SSNP</w:t>
      </w:r>
      <w:proofErr w:type="spellEnd"/>
      <w:r>
        <w:rPr>
          <w:rFonts w:ascii="Calibri" w:hAnsi="Calibri" w:cs="Calibri"/>
          <w:color w:val="auto"/>
          <w:sz w:val="22"/>
          <w:szCs w:val="22"/>
        </w:rPr>
        <w:t xml:space="preserve"> website at </w:t>
      </w:r>
      <w:hyperlink r:id="rId21" w:history="1">
        <w:r w:rsidRPr="00686AAD">
          <w:rPr>
            <w:rStyle w:val="Hyperlink"/>
            <w:rFonts w:ascii="Calibri" w:hAnsi="Calibri" w:cs="Calibri"/>
            <w:sz w:val="22"/>
            <w:szCs w:val="22"/>
          </w:rPr>
          <w:t>www.det.nt.gov,au/smarterschools</w:t>
        </w:r>
      </w:hyperlink>
      <w:r>
        <w:rPr>
          <w:rFonts w:ascii="Calibri" w:hAnsi="Calibri" w:cs="Calibri"/>
          <w:color w:val="auto"/>
          <w:sz w:val="22"/>
          <w:szCs w:val="22"/>
        </w:rPr>
        <w:t>.</w:t>
      </w:r>
    </w:p>
    <w:p w:rsidR="00D21EC5" w:rsidRDefault="00D21EC5" w:rsidP="00D21EC5">
      <w:pPr>
        <w:pStyle w:val="Default"/>
        <w:spacing w:before="120"/>
        <w:rPr>
          <w:rFonts w:ascii="Calibri" w:hAnsi="Calibri" w:cs="Calibri"/>
          <w:color w:val="auto"/>
          <w:sz w:val="22"/>
          <w:szCs w:val="22"/>
        </w:rPr>
      </w:pPr>
      <w:r>
        <w:rPr>
          <w:rFonts w:ascii="Calibri" w:hAnsi="Calibri" w:cs="Calibri"/>
          <w:color w:val="auto"/>
          <w:sz w:val="22"/>
          <w:szCs w:val="22"/>
        </w:rPr>
        <w:t xml:space="preserve">There is a strong correlation between the </w:t>
      </w:r>
      <w:proofErr w:type="spellStart"/>
      <w:r>
        <w:rPr>
          <w:rFonts w:ascii="Calibri" w:hAnsi="Calibri" w:cs="Calibri"/>
          <w:color w:val="auto"/>
          <w:sz w:val="22"/>
          <w:szCs w:val="22"/>
        </w:rPr>
        <w:t>SSNP</w:t>
      </w:r>
      <w:proofErr w:type="spellEnd"/>
      <w:r>
        <w:rPr>
          <w:rFonts w:ascii="Calibri" w:hAnsi="Calibri" w:cs="Calibri"/>
          <w:color w:val="auto"/>
          <w:sz w:val="22"/>
          <w:szCs w:val="22"/>
        </w:rPr>
        <w:t xml:space="preserve"> schools and the schools that have </w:t>
      </w:r>
      <w:r w:rsidRPr="00666E7E">
        <w:rPr>
          <w:rFonts w:ascii="Calibri" w:hAnsi="Calibri" w:cs="Calibri"/>
          <w:color w:val="auto"/>
          <w:sz w:val="22"/>
          <w:szCs w:val="22"/>
        </w:rPr>
        <w:t>30 or more Indigenous students where this equates to 10 per cent or more of total enrolments</w:t>
      </w:r>
      <w:r>
        <w:rPr>
          <w:rFonts w:ascii="Calibri" w:hAnsi="Calibri" w:cs="Calibri"/>
          <w:color w:val="auto"/>
          <w:sz w:val="22"/>
          <w:szCs w:val="22"/>
        </w:rPr>
        <w:t xml:space="preserve">.  Given the high proportion of Indigenous students, the schools participating in the </w:t>
      </w:r>
      <w:proofErr w:type="spellStart"/>
      <w:r>
        <w:rPr>
          <w:rFonts w:ascii="Calibri" w:hAnsi="Calibri" w:cs="Calibri"/>
          <w:color w:val="auto"/>
          <w:sz w:val="22"/>
          <w:szCs w:val="22"/>
        </w:rPr>
        <w:t>SSNP</w:t>
      </w:r>
      <w:proofErr w:type="spellEnd"/>
      <w:r>
        <w:rPr>
          <w:rFonts w:ascii="Calibri" w:hAnsi="Calibri" w:cs="Calibri"/>
          <w:color w:val="auto"/>
          <w:sz w:val="22"/>
          <w:szCs w:val="22"/>
        </w:rPr>
        <w:t xml:space="preserve"> account for 80.6 per cent of the total number of Indigenous students in the NT.  For the purpose of demonstrating improvement in Indigenous outcomes, it is therefore relevant in the NT to consider the </w:t>
      </w:r>
      <w:proofErr w:type="spellStart"/>
      <w:r>
        <w:rPr>
          <w:rFonts w:ascii="Calibri" w:hAnsi="Calibri" w:cs="Calibri"/>
          <w:color w:val="auto"/>
          <w:sz w:val="22"/>
          <w:szCs w:val="22"/>
        </w:rPr>
        <w:t>SSNP</w:t>
      </w:r>
      <w:proofErr w:type="spellEnd"/>
      <w:r>
        <w:rPr>
          <w:rFonts w:ascii="Calibri" w:hAnsi="Calibri" w:cs="Calibri"/>
          <w:color w:val="auto"/>
          <w:sz w:val="22"/>
          <w:szCs w:val="22"/>
        </w:rPr>
        <w:t xml:space="preserve"> schools in the first year, as these schools have a higher proportion of Indigenous students, often over 90 per cent of the total school cohort.   As agreed, this will be expanded over time to include schools with 10 per cent or more Indigenous enrolments or more than 30 students.</w:t>
      </w:r>
      <w:r w:rsidRPr="001E7A39">
        <w:rPr>
          <w:rFonts w:ascii="Calibri" w:hAnsi="Calibri" w:cs="Calibri"/>
          <w:color w:val="auto"/>
          <w:sz w:val="22"/>
          <w:szCs w:val="22"/>
        </w:rPr>
        <w:t xml:space="preserve"> </w:t>
      </w:r>
      <w:r>
        <w:rPr>
          <w:rFonts w:ascii="Calibri" w:hAnsi="Calibri" w:cs="Calibri"/>
          <w:color w:val="auto"/>
          <w:sz w:val="22"/>
          <w:szCs w:val="22"/>
        </w:rPr>
        <w:t>This will cover almost all schools in the NT.  While some large urban schools meet the criterion for this May 2010 reporting period, they will be reported on during the next reporting period.</w:t>
      </w:r>
    </w:p>
    <w:p w:rsidR="00D21EC5" w:rsidRDefault="00D21EC5" w:rsidP="00D21EC5">
      <w:pPr>
        <w:pStyle w:val="Default"/>
        <w:spacing w:before="120"/>
        <w:rPr>
          <w:rFonts w:ascii="Calibri" w:hAnsi="Calibri" w:cs="Calibri"/>
          <w:color w:val="auto"/>
          <w:sz w:val="22"/>
          <w:szCs w:val="22"/>
        </w:rPr>
      </w:pPr>
      <w:r>
        <w:rPr>
          <w:rFonts w:ascii="Calibri" w:hAnsi="Calibri" w:cs="Calibri"/>
          <w:noProof/>
          <w:color w:val="auto"/>
          <w:sz w:val="22"/>
          <w:szCs w:val="22"/>
          <w:lang w:eastAsia="en-AU"/>
        </w:rPr>
        <w:drawing>
          <wp:inline distT="0" distB="0" distL="0" distR="0">
            <wp:extent cx="6192520" cy="26147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2520" cy="2614794"/>
                    </a:xfrm>
                    <a:prstGeom prst="rect">
                      <a:avLst/>
                    </a:prstGeom>
                    <a:noFill/>
                    <a:ln>
                      <a:noFill/>
                    </a:ln>
                  </pic:spPr>
                </pic:pic>
              </a:graphicData>
            </a:graphic>
          </wp:inline>
        </w:drawing>
      </w:r>
    </w:p>
    <w:p w:rsidR="00D21EC5" w:rsidRDefault="00D21EC5" w:rsidP="00D21EC5">
      <w:pPr>
        <w:autoSpaceDE w:val="0"/>
        <w:autoSpaceDN w:val="0"/>
        <w:adjustRightInd w:val="0"/>
        <w:spacing w:before="120" w:line="240" w:lineRule="auto"/>
        <w:rPr>
          <w:rFonts w:ascii="Calibri" w:hAnsi="Calibri" w:cs="Calibri"/>
        </w:rPr>
      </w:pPr>
      <w:r>
        <w:rPr>
          <w:rFonts w:ascii="Calibri" w:hAnsi="Calibri" w:cs="Calibri"/>
        </w:rPr>
        <w:t>Also, as initiatives have been developed and rolled out it has become apparent that it is more appropriate to report on school level strategies, leading indicators, and Year 12 attainment from T – 12, rather than only for secondary schools.</w:t>
      </w:r>
    </w:p>
    <w:p w:rsidR="00D21EC5" w:rsidRDefault="00D21EC5" w:rsidP="00D21EC5">
      <w:pPr>
        <w:autoSpaceDE w:val="0"/>
        <w:autoSpaceDN w:val="0"/>
        <w:adjustRightInd w:val="0"/>
        <w:spacing w:before="120" w:line="240" w:lineRule="auto"/>
        <w:rPr>
          <w:rFonts w:ascii="Calibri" w:hAnsi="Calibri" w:cs="Calibri"/>
        </w:rPr>
      </w:pPr>
      <w:r>
        <w:rPr>
          <w:rFonts w:ascii="Calibri" w:hAnsi="Calibri" w:cs="Calibri"/>
        </w:rPr>
        <w:t>In addition to the School Improvement Plans which show school level strategies and initiatives, a number of system wide innovations are in place to improve outcomes for indigenous students.  These include:</w:t>
      </w:r>
    </w:p>
    <w:p w:rsidR="00D21EC5" w:rsidRDefault="00D21EC5" w:rsidP="00D21EC5">
      <w:pPr>
        <w:pStyle w:val="ListParagraph"/>
        <w:numPr>
          <w:ilvl w:val="0"/>
          <w:numId w:val="27"/>
        </w:numPr>
        <w:autoSpaceDE w:val="0"/>
        <w:autoSpaceDN w:val="0"/>
        <w:adjustRightInd w:val="0"/>
        <w:spacing w:before="120" w:line="240" w:lineRule="auto"/>
        <w:ind w:left="714" w:hanging="357"/>
        <w:rPr>
          <w:rFonts w:ascii="Calibri" w:hAnsi="Calibri" w:cs="Calibri"/>
        </w:rPr>
      </w:pPr>
      <w:r>
        <w:rPr>
          <w:rFonts w:ascii="Calibri" w:hAnsi="Calibri" w:cs="Calibri"/>
        </w:rPr>
        <w:t>Strong Start, Bright Future;</w:t>
      </w:r>
    </w:p>
    <w:p w:rsidR="00D21EC5" w:rsidRDefault="00D21EC5" w:rsidP="00D21EC5">
      <w:pPr>
        <w:pStyle w:val="ListParagraph"/>
        <w:numPr>
          <w:ilvl w:val="0"/>
          <w:numId w:val="27"/>
        </w:numPr>
        <w:autoSpaceDE w:val="0"/>
        <w:autoSpaceDN w:val="0"/>
        <w:adjustRightInd w:val="0"/>
        <w:spacing w:after="200" w:line="240" w:lineRule="auto"/>
        <w:rPr>
          <w:rFonts w:ascii="Calibri" w:hAnsi="Calibri" w:cs="Calibri"/>
        </w:rPr>
      </w:pPr>
      <w:r>
        <w:rPr>
          <w:rFonts w:ascii="Calibri" w:hAnsi="Calibri" w:cs="Calibri"/>
        </w:rPr>
        <w:t>Jobs Guarantee;</w:t>
      </w:r>
    </w:p>
    <w:p w:rsidR="00D21EC5" w:rsidRDefault="00D21EC5" w:rsidP="00D21EC5">
      <w:pPr>
        <w:pStyle w:val="ListParagraph"/>
        <w:numPr>
          <w:ilvl w:val="0"/>
          <w:numId w:val="27"/>
        </w:numPr>
        <w:autoSpaceDE w:val="0"/>
        <w:autoSpaceDN w:val="0"/>
        <w:adjustRightInd w:val="0"/>
        <w:spacing w:after="200" w:line="240" w:lineRule="auto"/>
        <w:rPr>
          <w:rFonts w:ascii="Calibri" w:hAnsi="Calibri" w:cs="Calibri"/>
        </w:rPr>
      </w:pPr>
      <w:r>
        <w:rPr>
          <w:rFonts w:ascii="Calibri" w:hAnsi="Calibri" w:cs="Calibri"/>
        </w:rPr>
        <w:t>Clontarf Academies;</w:t>
      </w:r>
    </w:p>
    <w:p w:rsidR="00D21EC5" w:rsidRDefault="00D21EC5" w:rsidP="00D21EC5">
      <w:pPr>
        <w:pStyle w:val="ListParagraph"/>
        <w:numPr>
          <w:ilvl w:val="0"/>
          <w:numId w:val="27"/>
        </w:numPr>
        <w:autoSpaceDE w:val="0"/>
        <w:autoSpaceDN w:val="0"/>
        <w:adjustRightInd w:val="0"/>
        <w:spacing w:line="240" w:lineRule="auto"/>
        <w:ind w:left="714" w:hanging="357"/>
        <w:rPr>
          <w:rFonts w:ascii="Calibri" w:hAnsi="Calibri" w:cs="Calibri"/>
        </w:rPr>
      </w:pPr>
      <w:r>
        <w:rPr>
          <w:rFonts w:ascii="Calibri" w:hAnsi="Calibri" w:cs="Calibri"/>
        </w:rPr>
        <w:t>Corporate Partnerships.</w:t>
      </w:r>
    </w:p>
    <w:p w:rsidR="00D21EC5" w:rsidRDefault="0094246D" w:rsidP="00D21EC5">
      <w:pPr>
        <w:autoSpaceDE w:val="0"/>
        <w:autoSpaceDN w:val="0"/>
        <w:adjustRightInd w:val="0"/>
        <w:spacing w:before="120" w:line="240" w:lineRule="auto"/>
        <w:rPr>
          <w:rFonts w:ascii="Calibri" w:hAnsi="Calibri" w:cs="Calibri"/>
        </w:rPr>
      </w:pPr>
      <w:r>
        <w:rPr>
          <w:rFonts w:ascii="Calibri" w:hAnsi="Calibri" w:cs="Calibri"/>
        </w:rPr>
        <w:t>N</w:t>
      </w:r>
      <w:r w:rsidR="00D21EC5">
        <w:rPr>
          <w:rFonts w:ascii="Calibri" w:hAnsi="Calibri" w:cs="Calibri"/>
        </w:rPr>
        <w:t xml:space="preserve">on-government schools are </w:t>
      </w:r>
      <w:r>
        <w:rPr>
          <w:rFonts w:ascii="Calibri" w:hAnsi="Calibri" w:cs="Calibri"/>
        </w:rPr>
        <w:t xml:space="preserve">also </w:t>
      </w:r>
      <w:r w:rsidR="00D21EC5">
        <w:rPr>
          <w:rFonts w:ascii="Calibri" w:hAnsi="Calibri" w:cs="Calibri"/>
        </w:rPr>
        <w:t>pursuing a range of programs and initiatives to improve participation and attainment outcomes for Indigenous young people.</w:t>
      </w:r>
    </w:p>
    <w:p w:rsidR="00D21EC5" w:rsidRDefault="00D21EC5" w:rsidP="00D21EC5">
      <w:pPr>
        <w:pStyle w:val="ListParagraph"/>
        <w:numPr>
          <w:ilvl w:val="0"/>
          <w:numId w:val="28"/>
        </w:numPr>
        <w:autoSpaceDE w:val="0"/>
        <w:autoSpaceDN w:val="0"/>
        <w:adjustRightInd w:val="0"/>
        <w:spacing w:after="200" w:line="240" w:lineRule="auto"/>
        <w:rPr>
          <w:lang w:val="en-US"/>
        </w:rPr>
      </w:pPr>
      <w:r>
        <w:rPr>
          <w:rFonts w:ascii="Calibri" w:hAnsi="Calibri" w:cs="Calibri"/>
        </w:rPr>
        <w:t>The Catholic Education Office has a</w:t>
      </w:r>
      <w:r w:rsidRPr="000A767E">
        <w:rPr>
          <w:rFonts w:ascii="Calibri" w:hAnsi="Calibri" w:cs="Calibri"/>
        </w:rPr>
        <w:t>ppointment an Education Officer – Curriculum:</w:t>
      </w:r>
      <w:r>
        <w:rPr>
          <w:rFonts w:ascii="Calibri" w:hAnsi="Calibri" w:cs="Calibri"/>
        </w:rPr>
        <w:t xml:space="preserve"> Student Pathways</w:t>
      </w:r>
      <w:r w:rsidRPr="000A767E">
        <w:rPr>
          <w:rFonts w:ascii="Calibri" w:hAnsi="Calibri" w:cs="Calibri"/>
        </w:rPr>
        <w:t xml:space="preserve"> to support schools in </w:t>
      </w:r>
      <w:r w:rsidRPr="000A767E">
        <w:rPr>
          <w:lang w:val="en-US"/>
        </w:rPr>
        <w:t xml:space="preserve">senior secondary education and in particular to support the expansion of VET in schools, Trade Training Centres and flexible learning and to support schools to increase the numbers of students gaining their </w:t>
      </w:r>
      <w:proofErr w:type="spellStart"/>
      <w:r w:rsidRPr="000A767E">
        <w:rPr>
          <w:lang w:val="en-US"/>
        </w:rPr>
        <w:t>NTCET</w:t>
      </w:r>
      <w:proofErr w:type="spellEnd"/>
      <w:r w:rsidRPr="000A767E">
        <w:rPr>
          <w:lang w:val="en-US"/>
        </w:rPr>
        <w:t xml:space="preserve">. The Education Officer works primarily with remote schools, where the student cohort is Indigenous. There are a number of projects in </w:t>
      </w:r>
      <w:r>
        <w:rPr>
          <w:lang w:val="en-US"/>
        </w:rPr>
        <w:t xml:space="preserve">the </w:t>
      </w:r>
      <w:r w:rsidRPr="000A767E">
        <w:rPr>
          <w:lang w:val="en-US"/>
        </w:rPr>
        <w:t xml:space="preserve">planning phase </w:t>
      </w:r>
      <w:r>
        <w:rPr>
          <w:lang w:val="en-US"/>
        </w:rPr>
        <w:t xml:space="preserve">for </w:t>
      </w:r>
      <w:r w:rsidRPr="000A767E">
        <w:rPr>
          <w:lang w:val="en-US"/>
        </w:rPr>
        <w:t>which the sector anticipates having reportable outcomes by the end of 2011.  </w:t>
      </w:r>
    </w:p>
    <w:p w:rsidR="00D21EC5" w:rsidRPr="00B507FA" w:rsidRDefault="00D21EC5" w:rsidP="00D21EC5">
      <w:pPr>
        <w:pStyle w:val="ListParagraph"/>
        <w:numPr>
          <w:ilvl w:val="0"/>
          <w:numId w:val="28"/>
        </w:numPr>
        <w:autoSpaceDE w:val="0"/>
        <w:autoSpaceDN w:val="0"/>
        <w:adjustRightInd w:val="0"/>
        <w:spacing w:after="200" w:line="240" w:lineRule="auto"/>
        <w:rPr>
          <w:rFonts w:ascii="Calibri" w:hAnsi="Calibri" w:cs="Calibri"/>
        </w:rPr>
      </w:pPr>
      <w:r w:rsidRPr="00B507FA">
        <w:rPr>
          <w:rFonts w:ascii="Calibri" w:hAnsi="Calibri" w:cs="Calibri"/>
        </w:rPr>
        <w:t>The Northern Territory Christian Schools Association provides support for indigenous young people in a wide variety of ways including:</w:t>
      </w:r>
    </w:p>
    <w:p w:rsidR="00D21EC5" w:rsidRPr="00B507FA"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B507FA">
        <w:rPr>
          <w:rFonts w:ascii="Calibri" w:hAnsi="Calibri" w:cs="Calibri"/>
        </w:rPr>
        <w:lastRenderedPageBreak/>
        <w:t>Running 2 remote indigenous homeland schools registered up to Year 10 (</w:t>
      </w:r>
      <w:proofErr w:type="spellStart"/>
      <w:r w:rsidRPr="00B507FA">
        <w:rPr>
          <w:rFonts w:ascii="Calibri" w:hAnsi="Calibri" w:cs="Calibri"/>
        </w:rPr>
        <w:t>Gäwa</w:t>
      </w:r>
      <w:proofErr w:type="spellEnd"/>
      <w:r w:rsidRPr="00B507FA">
        <w:rPr>
          <w:rFonts w:ascii="Calibri" w:hAnsi="Calibri" w:cs="Calibri"/>
        </w:rPr>
        <w:t xml:space="preserve"> Christian School – Elcho Island and </w:t>
      </w:r>
      <w:proofErr w:type="spellStart"/>
      <w:r w:rsidRPr="00B507FA">
        <w:rPr>
          <w:rFonts w:ascii="Calibri" w:hAnsi="Calibri" w:cs="Calibri"/>
        </w:rPr>
        <w:t>Mäpuru</w:t>
      </w:r>
      <w:proofErr w:type="spellEnd"/>
      <w:r w:rsidRPr="00B507FA">
        <w:rPr>
          <w:rFonts w:ascii="Calibri" w:hAnsi="Calibri" w:cs="Calibri"/>
        </w:rPr>
        <w:t xml:space="preserve"> Christian School – north east Arnhem Land);</w:t>
      </w:r>
    </w:p>
    <w:p w:rsidR="00D21EC5" w:rsidRPr="00B507FA"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B507FA">
        <w:rPr>
          <w:rFonts w:ascii="Calibri" w:hAnsi="Calibri" w:cs="Calibri"/>
        </w:rPr>
        <w:t>Running 2 Family Group Home programs for residential indigenous students enrolled in secondary education;</w:t>
      </w:r>
    </w:p>
    <w:p w:rsidR="00D21EC5" w:rsidRPr="00B507FA"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B507FA">
        <w:rPr>
          <w:rFonts w:ascii="Calibri" w:hAnsi="Calibri" w:cs="Calibri"/>
        </w:rPr>
        <w:t xml:space="preserve">Running an </w:t>
      </w:r>
      <w:proofErr w:type="spellStart"/>
      <w:r w:rsidRPr="00B507FA">
        <w:rPr>
          <w:rFonts w:ascii="Calibri" w:hAnsi="Calibri" w:cs="Calibri"/>
        </w:rPr>
        <w:t>RTO</w:t>
      </w:r>
      <w:proofErr w:type="spellEnd"/>
      <w:r w:rsidRPr="00B507FA">
        <w:rPr>
          <w:rFonts w:ascii="Calibri" w:hAnsi="Calibri" w:cs="Calibri"/>
        </w:rPr>
        <w:t xml:space="preserve"> which provides training opportunities for Indigenous young people with the following number of Indigenous 15‐19 </w:t>
      </w:r>
      <w:proofErr w:type="spellStart"/>
      <w:r w:rsidRPr="00B507FA">
        <w:rPr>
          <w:rFonts w:ascii="Calibri" w:hAnsi="Calibri" w:cs="Calibri"/>
        </w:rPr>
        <w:t>yr</w:t>
      </w:r>
      <w:proofErr w:type="spellEnd"/>
      <w:r w:rsidRPr="00B507FA">
        <w:rPr>
          <w:rFonts w:ascii="Calibri" w:hAnsi="Calibri" w:cs="Calibri"/>
        </w:rPr>
        <w:t xml:space="preserve"> olds enrolled:</w:t>
      </w:r>
    </w:p>
    <w:p w:rsidR="00D21EC5" w:rsidRPr="00B507FA" w:rsidRDefault="00D21EC5" w:rsidP="00D21EC5">
      <w:pPr>
        <w:pStyle w:val="ListParagraph"/>
        <w:numPr>
          <w:ilvl w:val="1"/>
          <w:numId w:val="25"/>
        </w:numPr>
        <w:autoSpaceDE w:val="0"/>
        <w:autoSpaceDN w:val="0"/>
        <w:adjustRightInd w:val="0"/>
        <w:spacing w:after="200" w:line="240" w:lineRule="auto"/>
        <w:rPr>
          <w:rFonts w:ascii="Calibri" w:hAnsi="Calibri" w:cs="Calibri"/>
        </w:rPr>
      </w:pPr>
      <w:r w:rsidRPr="00B507FA">
        <w:rPr>
          <w:rFonts w:ascii="Calibri" w:hAnsi="Calibri" w:cs="Calibri"/>
        </w:rPr>
        <w:t>Cert II in Engineering – 18 students,</w:t>
      </w:r>
    </w:p>
    <w:p w:rsidR="00D21EC5" w:rsidRPr="00B507FA" w:rsidRDefault="00D21EC5" w:rsidP="00D21EC5">
      <w:pPr>
        <w:pStyle w:val="ListParagraph"/>
        <w:numPr>
          <w:ilvl w:val="1"/>
          <w:numId w:val="25"/>
        </w:numPr>
        <w:autoSpaceDE w:val="0"/>
        <w:autoSpaceDN w:val="0"/>
        <w:adjustRightInd w:val="0"/>
        <w:spacing w:after="200" w:line="240" w:lineRule="auto"/>
        <w:rPr>
          <w:rFonts w:ascii="Calibri" w:hAnsi="Calibri" w:cs="Calibri"/>
        </w:rPr>
      </w:pPr>
      <w:r w:rsidRPr="00B507FA">
        <w:rPr>
          <w:rFonts w:ascii="Calibri" w:hAnsi="Calibri" w:cs="Calibri"/>
        </w:rPr>
        <w:t>Cert II Construction – 15 students,</w:t>
      </w:r>
    </w:p>
    <w:p w:rsidR="00D21EC5" w:rsidRPr="00B507FA" w:rsidRDefault="00D21EC5" w:rsidP="00D21EC5">
      <w:pPr>
        <w:pStyle w:val="ListParagraph"/>
        <w:numPr>
          <w:ilvl w:val="1"/>
          <w:numId w:val="25"/>
        </w:numPr>
        <w:autoSpaceDE w:val="0"/>
        <w:autoSpaceDN w:val="0"/>
        <w:adjustRightInd w:val="0"/>
        <w:spacing w:after="200" w:line="240" w:lineRule="auto"/>
        <w:rPr>
          <w:rFonts w:ascii="Calibri" w:hAnsi="Calibri" w:cs="Calibri"/>
        </w:rPr>
      </w:pPr>
      <w:r w:rsidRPr="00B507FA">
        <w:rPr>
          <w:rFonts w:ascii="Calibri" w:hAnsi="Calibri" w:cs="Calibri"/>
        </w:rPr>
        <w:t>Cert II Community Services – 7 students,</w:t>
      </w:r>
    </w:p>
    <w:p w:rsidR="00D21EC5" w:rsidRPr="00B507FA" w:rsidRDefault="00D21EC5" w:rsidP="00D21EC5">
      <w:pPr>
        <w:pStyle w:val="ListParagraph"/>
        <w:numPr>
          <w:ilvl w:val="1"/>
          <w:numId w:val="25"/>
        </w:numPr>
        <w:autoSpaceDE w:val="0"/>
        <w:autoSpaceDN w:val="0"/>
        <w:adjustRightInd w:val="0"/>
        <w:spacing w:after="200" w:line="240" w:lineRule="auto"/>
        <w:rPr>
          <w:rFonts w:ascii="Calibri" w:hAnsi="Calibri" w:cs="Calibri"/>
        </w:rPr>
      </w:pPr>
      <w:r w:rsidRPr="00B507FA">
        <w:rPr>
          <w:rFonts w:ascii="Calibri" w:hAnsi="Calibri" w:cs="Calibri"/>
        </w:rPr>
        <w:t>Cert IV Education Support ‐ 2 students.</w:t>
      </w:r>
    </w:p>
    <w:p w:rsidR="00D21EC5" w:rsidRPr="00B507FA" w:rsidRDefault="00D21EC5" w:rsidP="00D21EC5">
      <w:pPr>
        <w:autoSpaceDE w:val="0"/>
        <w:autoSpaceDN w:val="0"/>
        <w:adjustRightInd w:val="0"/>
        <w:spacing w:line="240" w:lineRule="auto"/>
        <w:ind w:left="720"/>
        <w:rPr>
          <w:rFonts w:ascii="Calibri" w:hAnsi="Calibri" w:cs="Calibri"/>
        </w:rPr>
      </w:pPr>
      <w:r w:rsidRPr="00B507FA">
        <w:rPr>
          <w:rFonts w:ascii="Calibri" w:hAnsi="Calibri" w:cs="Calibri"/>
        </w:rPr>
        <w:t xml:space="preserve">The cost of providing education, training and care to Indigenous young people in both remote and non‐remote areas across the NT is extraordinarily large. As an organisation, </w:t>
      </w:r>
      <w:proofErr w:type="spellStart"/>
      <w:r w:rsidRPr="00B507FA">
        <w:rPr>
          <w:rFonts w:ascii="Calibri" w:hAnsi="Calibri" w:cs="Calibri"/>
        </w:rPr>
        <w:t>NTCSA</w:t>
      </w:r>
      <w:proofErr w:type="spellEnd"/>
      <w:r w:rsidRPr="00B507FA">
        <w:rPr>
          <w:rFonts w:ascii="Calibri" w:hAnsi="Calibri" w:cs="Calibri"/>
        </w:rPr>
        <w:t xml:space="preserve"> achieves a high level of activity and support for indigenous young people within limited amounts of funding. Sourcing Christian staff (teachers, house parents, other support staff) with a calling to serve indigenous young people in both remote and non‐remote areas provides an ongoing challenge to the organisation.</w:t>
      </w:r>
    </w:p>
    <w:p w:rsidR="00D21EC5" w:rsidRDefault="00D21EC5" w:rsidP="00D21EC5">
      <w:pPr>
        <w:pStyle w:val="Default"/>
        <w:spacing w:before="120"/>
        <w:rPr>
          <w:rFonts w:asciiTheme="minorHAnsi" w:hAnsiTheme="minorHAnsi" w:cstheme="minorHAnsi"/>
          <w:b/>
          <w:color w:val="auto"/>
          <w:sz w:val="22"/>
          <w:szCs w:val="22"/>
        </w:rPr>
      </w:pPr>
      <w:r w:rsidRPr="00E07F19">
        <w:rPr>
          <w:rFonts w:asciiTheme="minorHAnsi" w:hAnsiTheme="minorHAnsi" w:cstheme="minorHAnsi"/>
          <w:b/>
          <w:color w:val="auto"/>
          <w:sz w:val="22"/>
          <w:szCs w:val="22"/>
        </w:rPr>
        <w:t>S</w:t>
      </w:r>
      <w:r>
        <w:rPr>
          <w:rFonts w:asciiTheme="minorHAnsi" w:hAnsiTheme="minorHAnsi" w:cstheme="minorHAnsi"/>
          <w:b/>
          <w:color w:val="auto"/>
          <w:sz w:val="22"/>
          <w:szCs w:val="22"/>
        </w:rPr>
        <w:t>ystem-</w:t>
      </w:r>
      <w:r w:rsidRPr="00E07F19">
        <w:rPr>
          <w:rFonts w:asciiTheme="minorHAnsi" w:hAnsiTheme="minorHAnsi" w:cstheme="minorHAnsi"/>
          <w:b/>
          <w:color w:val="auto"/>
          <w:sz w:val="22"/>
          <w:szCs w:val="22"/>
        </w:rPr>
        <w:t xml:space="preserve">wide </w:t>
      </w:r>
      <w:r>
        <w:rPr>
          <w:rFonts w:asciiTheme="minorHAnsi" w:hAnsiTheme="minorHAnsi" w:cstheme="minorHAnsi"/>
          <w:b/>
          <w:color w:val="auto"/>
          <w:sz w:val="22"/>
          <w:szCs w:val="22"/>
        </w:rPr>
        <w:t>Strategies</w:t>
      </w:r>
    </w:p>
    <w:p w:rsidR="00D21EC5" w:rsidRDefault="00D21EC5" w:rsidP="00D21EC5">
      <w:pPr>
        <w:pStyle w:val="Default"/>
        <w:numPr>
          <w:ilvl w:val="0"/>
          <w:numId w:val="29"/>
        </w:numPr>
        <w:spacing w:before="120"/>
        <w:rPr>
          <w:rFonts w:asciiTheme="minorHAnsi" w:hAnsiTheme="minorHAnsi" w:cstheme="minorHAnsi"/>
          <w:b/>
          <w:i/>
          <w:color w:val="auto"/>
          <w:sz w:val="22"/>
          <w:szCs w:val="22"/>
        </w:rPr>
      </w:pPr>
      <w:r w:rsidRPr="00C66D4B">
        <w:rPr>
          <w:rFonts w:asciiTheme="minorHAnsi" w:hAnsiTheme="minorHAnsi" w:cstheme="minorHAnsi"/>
          <w:b/>
          <w:i/>
          <w:color w:val="auto"/>
          <w:sz w:val="22"/>
          <w:szCs w:val="22"/>
        </w:rPr>
        <w:t>Strong Start Bright Future</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Community Whole School Engagement</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Strong local education governance representative of community stakeholders; augmented leadership; and integrated service delivery.</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 xml:space="preserve">An overarching leadership position closely aligned with </w:t>
      </w:r>
      <w:proofErr w:type="spellStart"/>
      <w:r w:rsidRPr="00F12019">
        <w:rPr>
          <w:rFonts w:ascii="Calibri" w:hAnsi="Calibri" w:cs="Calibri"/>
        </w:rPr>
        <w:t>DET’s</w:t>
      </w:r>
      <w:proofErr w:type="spellEnd"/>
      <w:r w:rsidRPr="00F12019">
        <w:rPr>
          <w:rFonts w:ascii="Calibri" w:hAnsi="Calibri" w:cs="Calibri"/>
        </w:rPr>
        <w:t xml:space="preserve"> regionalised service delivery model and focussed on engaging with community, building capacity and championing the model. This position works collaboratively with cultural advisors and is supported by a College Advisory Council. </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 xml:space="preserve">Improved business management model. </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 xml:space="preserve">Formalised use of </w:t>
      </w:r>
      <w:proofErr w:type="spellStart"/>
      <w:r w:rsidRPr="00F12019">
        <w:rPr>
          <w:rFonts w:ascii="Calibri" w:hAnsi="Calibri" w:cs="Calibri"/>
        </w:rPr>
        <w:t>DET</w:t>
      </w:r>
      <w:proofErr w:type="spellEnd"/>
      <w:r w:rsidRPr="00F12019">
        <w:rPr>
          <w:rFonts w:ascii="Calibri" w:hAnsi="Calibri" w:cs="Calibri"/>
        </w:rPr>
        <w:t xml:space="preserve"> facilities for after school, evening and weekend programs.</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Early Childhood</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Strong educational leadership focussed on the stages of schooling including an Integrated Child and Family Leader coordinating services to families and children from birth to 8 years old.</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Participation and Pathways</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 xml:space="preserve">Cultural background, perspectives and interests reflected in the learning program. </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Flexible and extended school year arrangements to mitigate the impact of localised cultural related factors that impact on school attendance.</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Engagement programs focussed on secondary students, including enhanced program delivery to encourage student engagement – such as specialist subject areas, boys and girls programs (Clontarf and A Sporting Chance), Vocational Education and Training.</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After hours programs that offer training and alternative education programs for disengaged and at risk students.</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Training and Job Pathways</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Training focussed on pathways and getting real jobs for school leavers.</w:t>
      </w:r>
    </w:p>
    <w:p w:rsidR="00D21EC5" w:rsidRPr="00F12019" w:rsidRDefault="00D21EC5" w:rsidP="00D21EC5">
      <w:pPr>
        <w:pStyle w:val="ListParagraph"/>
        <w:numPr>
          <w:ilvl w:val="0"/>
          <w:numId w:val="25"/>
        </w:numPr>
        <w:autoSpaceDE w:val="0"/>
        <w:autoSpaceDN w:val="0"/>
        <w:adjustRightInd w:val="0"/>
        <w:spacing w:after="200" w:line="240" w:lineRule="auto"/>
        <w:rPr>
          <w:rFonts w:ascii="Calibri" w:hAnsi="Calibri" w:cs="Calibri"/>
        </w:rPr>
      </w:pPr>
      <w:r w:rsidRPr="00F12019">
        <w:rPr>
          <w:rFonts w:ascii="Calibri" w:hAnsi="Calibri" w:cs="Calibri"/>
        </w:rPr>
        <w:t>Strong focus on vocational education and training including a dedicated industry liaison officer and a beyond school guarantee inclusive of work, further training and higher education.</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 xml:space="preserve">Strong Start, Bright Future current sites are: </w:t>
      </w:r>
    </w:p>
    <w:tbl>
      <w:tblPr>
        <w:tblStyle w:val="TableGrid"/>
        <w:tblW w:w="0" w:type="auto"/>
        <w:tblLook w:val="04A0" w:firstRow="1" w:lastRow="0" w:firstColumn="1" w:lastColumn="0" w:noHBand="0" w:noVBand="1"/>
      </w:tblPr>
      <w:tblGrid>
        <w:gridCol w:w="3099"/>
        <w:gridCol w:w="3021"/>
        <w:gridCol w:w="3122"/>
      </w:tblGrid>
      <w:tr w:rsidR="00D21EC5" w:rsidRPr="00533F96" w:rsidTr="005B142B">
        <w:tc>
          <w:tcPr>
            <w:tcW w:w="3099" w:type="dxa"/>
            <w:tcBorders>
              <w:bottom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cs="Arial"/>
                <w:sz w:val="18"/>
                <w:szCs w:val="18"/>
              </w:rPr>
              <w:tab/>
            </w:r>
            <w:r w:rsidRPr="000C4619">
              <w:rPr>
                <w:rFonts w:ascii="Calibri" w:hAnsi="Calibri" w:cs="Calibri"/>
                <w:color w:val="auto"/>
                <w:sz w:val="18"/>
                <w:szCs w:val="18"/>
              </w:rPr>
              <w:t>Commenced in 2010</w:t>
            </w:r>
          </w:p>
        </w:tc>
        <w:tc>
          <w:tcPr>
            <w:tcW w:w="3021" w:type="dxa"/>
            <w:tcBorders>
              <w:bottom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Commenced in 2011</w:t>
            </w:r>
          </w:p>
        </w:tc>
        <w:tc>
          <w:tcPr>
            <w:tcW w:w="3122" w:type="dxa"/>
            <w:tcBorders>
              <w:bottom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 xml:space="preserve">To be commenced in 2011 </w:t>
            </w:r>
          </w:p>
        </w:tc>
      </w:tr>
      <w:tr w:rsidR="00D21EC5" w:rsidTr="005B142B">
        <w:tc>
          <w:tcPr>
            <w:tcW w:w="3099" w:type="dxa"/>
            <w:tcBorders>
              <w:bottom w:val="nil"/>
              <w:right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 xml:space="preserve">Semester 1: </w:t>
            </w:r>
          </w:p>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West Arnhem College</w:t>
            </w:r>
          </w:p>
        </w:tc>
        <w:tc>
          <w:tcPr>
            <w:tcW w:w="3021" w:type="dxa"/>
            <w:tcBorders>
              <w:left w:val="single" w:sz="4" w:space="0" w:color="auto"/>
              <w:bottom w:val="nil"/>
              <w:right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Semester 1:</w:t>
            </w:r>
          </w:p>
          <w:p w:rsidR="00D21EC5" w:rsidRPr="000C4619" w:rsidRDefault="00D21EC5" w:rsidP="005B142B">
            <w:pPr>
              <w:pStyle w:val="Default"/>
              <w:spacing w:before="60"/>
              <w:rPr>
                <w:rFonts w:ascii="Calibri" w:hAnsi="Calibri" w:cs="Calibri"/>
                <w:color w:val="auto"/>
                <w:sz w:val="18"/>
                <w:szCs w:val="18"/>
              </w:rPr>
            </w:pPr>
            <w:proofErr w:type="spellStart"/>
            <w:r w:rsidRPr="000C4619">
              <w:rPr>
                <w:rFonts w:ascii="Calibri" w:hAnsi="Calibri" w:cs="Calibri"/>
                <w:color w:val="auto"/>
                <w:sz w:val="18"/>
                <w:szCs w:val="18"/>
              </w:rPr>
              <w:t>Yambirrpa</w:t>
            </w:r>
            <w:proofErr w:type="spellEnd"/>
            <w:r w:rsidRPr="000C4619">
              <w:rPr>
                <w:rFonts w:ascii="Calibri" w:hAnsi="Calibri" w:cs="Calibri"/>
                <w:color w:val="auto"/>
                <w:sz w:val="18"/>
                <w:szCs w:val="18"/>
              </w:rPr>
              <w:t xml:space="preserve"> (Yirrkala) College </w:t>
            </w:r>
          </w:p>
        </w:tc>
        <w:tc>
          <w:tcPr>
            <w:tcW w:w="3122" w:type="dxa"/>
            <w:tcBorders>
              <w:left w:val="single" w:sz="4" w:space="0" w:color="auto"/>
              <w:bottom w:val="nil"/>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 xml:space="preserve">Semester 2: following recruitment of College Directors </w:t>
            </w:r>
          </w:p>
        </w:tc>
      </w:tr>
      <w:tr w:rsidR="00D21EC5" w:rsidTr="005B142B">
        <w:tc>
          <w:tcPr>
            <w:tcW w:w="3099" w:type="dxa"/>
            <w:tcBorders>
              <w:top w:val="nil"/>
              <w:right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Semester 2:</w:t>
            </w:r>
          </w:p>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Groote Eylandt College</w:t>
            </w:r>
          </w:p>
        </w:tc>
        <w:tc>
          <w:tcPr>
            <w:tcW w:w="3021" w:type="dxa"/>
            <w:tcBorders>
              <w:top w:val="nil"/>
              <w:left w:val="single" w:sz="4" w:space="0" w:color="auto"/>
              <w:right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 xml:space="preserve">Shepherdson College </w:t>
            </w:r>
          </w:p>
        </w:tc>
        <w:tc>
          <w:tcPr>
            <w:tcW w:w="3122" w:type="dxa"/>
            <w:tcBorders>
              <w:top w:val="nil"/>
              <w:left w:val="single" w:sz="4" w:space="0" w:color="auto"/>
            </w:tcBorders>
          </w:tcPr>
          <w:p w:rsidR="00D21EC5" w:rsidRPr="000C4619" w:rsidRDefault="00D21EC5" w:rsidP="005B142B">
            <w:pPr>
              <w:pStyle w:val="Default"/>
              <w:spacing w:before="60"/>
              <w:rPr>
                <w:rFonts w:ascii="Calibri" w:hAnsi="Calibri" w:cs="Calibri"/>
                <w:color w:val="auto"/>
                <w:sz w:val="18"/>
                <w:szCs w:val="18"/>
              </w:rPr>
            </w:pPr>
            <w:r w:rsidRPr="000C4619">
              <w:rPr>
                <w:rFonts w:ascii="Calibri" w:hAnsi="Calibri" w:cs="Calibri"/>
                <w:color w:val="auto"/>
                <w:sz w:val="18"/>
                <w:szCs w:val="18"/>
              </w:rPr>
              <w:t xml:space="preserve">Warlpiri College </w:t>
            </w:r>
          </w:p>
          <w:p w:rsidR="00D21EC5" w:rsidRPr="000C4619" w:rsidRDefault="00D21EC5" w:rsidP="005B142B">
            <w:pPr>
              <w:pStyle w:val="Default"/>
              <w:spacing w:before="60"/>
              <w:rPr>
                <w:rFonts w:ascii="Calibri" w:hAnsi="Calibri" w:cs="Calibri"/>
                <w:color w:val="auto"/>
                <w:sz w:val="18"/>
                <w:szCs w:val="18"/>
              </w:rPr>
            </w:pPr>
            <w:proofErr w:type="spellStart"/>
            <w:r w:rsidRPr="000C4619">
              <w:rPr>
                <w:rFonts w:ascii="Calibri" w:hAnsi="Calibri" w:cs="Calibri"/>
                <w:color w:val="auto"/>
                <w:sz w:val="18"/>
                <w:szCs w:val="18"/>
              </w:rPr>
              <w:t>N’taria</w:t>
            </w:r>
            <w:proofErr w:type="spellEnd"/>
            <w:r w:rsidRPr="000C4619">
              <w:rPr>
                <w:rFonts w:ascii="Calibri" w:hAnsi="Calibri" w:cs="Calibri"/>
                <w:color w:val="auto"/>
                <w:sz w:val="18"/>
                <w:szCs w:val="18"/>
              </w:rPr>
              <w:t xml:space="preserve"> College</w:t>
            </w:r>
          </w:p>
        </w:tc>
      </w:tr>
    </w:tbl>
    <w:p w:rsidR="00D21EC5" w:rsidRPr="003316C8" w:rsidRDefault="00D21EC5" w:rsidP="00D21EC5">
      <w:pPr>
        <w:autoSpaceDE w:val="0"/>
        <w:autoSpaceDN w:val="0"/>
        <w:adjustRightInd w:val="0"/>
        <w:spacing w:before="120" w:line="240" w:lineRule="auto"/>
        <w:rPr>
          <w:rFonts w:ascii="Calibri" w:hAnsi="Calibri" w:cs="Calibri"/>
        </w:rPr>
      </w:pPr>
      <w:r w:rsidRPr="003316C8">
        <w:rPr>
          <w:rFonts w:ascii="Calibri" w:hAnsi="Calibri" w:cs="Calibri"/>
        </w:rPr>
        <w:lastRenderedPageBreak/>
        <w:t xml:space="preserve">Work to scope the piloting of a distance education model that improves the support provided by these sites to their associated homeland learning campuses has </w:t>
      </w:r>
      <w:r>
        <w:rPr>
          <w:rFonts w:ascii="Calibri" w:hAnsi="Calibri" w:cs="Calibri"/>
        </w:rPr>
        <w:t>commenced</w:t>
      </w:r>
      <w:r w:rsidRPr="003316C8">
        <w:rPr>
          <w:rFonts w:ascii="Calibri" w:hAnsi="Calibri" w:cs="Calibri"/>
        </w:rPr>
        <w:t xml:space="preserve">. </w:t>
      </w:r>
    </w:p>
    <w:p w:rsidR="00D21EC5" w:rsidRPr="00C66D4B" w:rsidRDefault="00D21EC5" w:rsidP="00D21EC5">
      <w:pPr>
        <w:pStyle w:val="ListParagraph"/>
        <w:numPr>
          <w:ilvl w:val="0"/>
          <w:numId w:val="30"/>
        </w:numPr>
        <w:autoSpaceDE w:val="0"/>
        <w:autoSpaceDN w:val="0"/>
        <w:adjustRightInd w:val="0"/>
        <w:spacing w:before="120" w:line="240" w:lineRule="auto"/>
        <w:rPr>
          <w:rFonts w:ascii="Calibri" w:hAnsi="Calibri" w:cs="Calibri"/>
          <w:u w:val="single"/>
        </w:rPr>
      </w:pPr>
      <w:r w:rsidRPr="00C66D4B">
        <w:rPr>
          <w:rFonts w:ascii="Calibri" w:hAnsi="Calibri" w:cs="Calibri"/>
          <w:u w:val="single"/>
        </w:rPr>
        <w:t>Research and Evaluation</w:t>
      </w:r>
    </w:p>
    <w:p w:rsidR="00D21EC5" w:rsidRPr="00F04B3B" w:rsidRDefault="00D21EC5" w:rsidP="00D21EC5">
      <w:pPr>
        <w:autoSpaceDE w:val="0"/>
        <w:autoSpaceDN w:val="0"/>
        <w:adjustRightInd w:val="0"/>
        <w:rPr>
          <w:rFonts w:cs="Arial"/>
        </w:rPr>
      </w:pPr>
      <w:r w:rsidRPr="00F04B3B">
        <w:rPr>
          <w:rFonts w:cs="Arial"/>
        </w:rPr>
        <w:t xml:space="preserve">The </w:t>
      </w:r>
      <w:r w:rsidRPr="00F04B3B">
        <w:rPr>
          <w:rFonts w:cs="Arial"/>
          <w:i/>
        </w:rPr>
        <w:t>Strong Start, Bright Future</w:t>
      </w:r>
      <w:r w:rsidRPr="00F04B3B">
        <w:rPr>
          <w:rFonts w:cs="Arial"/>
        </w:rPr>
        <w:t xml:space="preserve"> evaluation, being conducted by Menzies School of Health Research, is the evaluative centrepiece to assess the impact of the Northern Territory’s Indigenous education reform agenda in very remote schools. This longitudin</w:t>
      </w:r>
      <w:r>
        <w:rPr>
          <w:rFonts w:cs="Arial"/>
        </w:rPr>
        <w:t>al evaluation</w:t>
      </w:r>
      <w:r w:rsidRPr="00F04B3B">
        <w:rPr>
          <w:rFonts w:cs="Arial"/>
        </w:rPr>
        <w:t xml:space="preserve"> focus</w:t>
      </w:r>
      <w:r>
        <w:rPr>
          <w:rFonts w:cs="Arial"/>
        </w:rPr>
        <w:t>es</w:t>
      </w:r>
      <w:r w:rsidRPr="00F04B3B">
        <w:rPr>
          <w:rFonts w:cs="Arial"/>
        </w:rPr>
        <w:t xml:space="preserve"> not only on place-based reforms, but also on systemic effort and will assist to ensure that effort and resourcing are being targeted to areas that will make the most difference to students as they prepare for and participate in school and transition to further education, employment or training pathways.  This work is longitudinal and has been commenced in three </w:t>
      </w:r>
      <w:proofErr w:type="gramStart"/>
      <w:r w:rsidRPr="00F04B3B">
        <w:rPr>
          <w:rFonts w:cs="Arial"/>
        </w:rPr>
        <w:t>of</w:t>
      </w:r>
      <w:r>
        <w:rPr>
          <w:rFonts w:cs="Arial"/>
        </w:rPr>
        <w:t xml:space="preserve"> </w:t>
      </w:r>
      <w:r w:rsidRPr="00F04B3B">
        <w:rPr>
          <w:rFonts w:cs="Arial"/>
        </w:rPr>
        <w:t xml:space="preserve">the five </w:t>
      </w:r>
      <w:r w:rsidRPr="00F04B3B">
        <w:rPr>
          <w:rFonts w:cs="Arial"/>
          <w:i/>
        </w:rPr>
        <w:t>Strong Start, Bright Future</w:t>
      </w:r>
      <w:r w:rsidRPr="00F04B3B">
        <w:rPr>
          <w:rFonts w:cs="Arial"/>
        </w:rPr>
        <w:t xml:space="preserve"> </w:t>
      </w:r>
      <w:r>
        <w:rPr>
          <w:rFonts w:cs="Arial"/>
        </w:rPr>
        <w:t xml:space="preserve">pilot </w:t>
      </w:r>
      <w:r w:rsidRPr="00F04B3B">
        <w:rPr>
          <w:rFonts w:cs="Arial"/>
        </w:rPr>
        <w:t>sites</w:t>
      </w:r>
      <w:proofErr w:type="gramEnd"/>
      <w:r w:rsidRPr="00F04B3B">
        <w:rPr>
          <w:rFonts w:cs="Arial"/>
        </w:rPr>
        <w:t xml:space="preserve">.  </w:t>
      </w:r>
    </w:p>
    <w:p w:rsidR="00D21EC5" w:rsidRPr="00B507FA" w:rsidRDefault="00D21EC5" w:rsidP="00D21EC5">
      <w:pPr>
        <w:autoSpaceDE w:val="0"/>
        <w:autoSpaceDN w:val="0"/>
        <w:adjustRightInd w:val="0"/>
        <w:spacing w:before="120" w:line="240" w:lineRule="auto"/>
        <w:rPr>
          <w:rFonts w:ascii="Calibri" w:hAnsi="Calibri" w:cs="Calibri"/>
          <w:b/>
          <w:i/>
        </w:rPr>
      </w:pPr>
      <w:r w:rsidRPr="00B507FA">
        <w:rPr>
          <w:rFonts w:ascii="Calibri" w:hAnsi="Calibri" w:cs="Calibri"/>
          <w:b/>
          <w:i/>
        </w:rPr>
        <w:t>Participation and Pathways Strategies in each of the sites include:</w:t>
      </w:r>
    </w:p>
    <w:p w:rsidR="00D21EC5" w:rsidRPr="00EB1C83" w:rsidRDefault="00D21EC5" w:rsidP="00D21EC5">
      <w:pPr>
        <w:autoSpaceDE w:val="0"/>
        <w:autoSpaceDN w:val="0"/>
        <w:adjustRightInd w:val="0"/>
        <w:rPr>
          <w:rFonts w:cs="Arial"/>
          <w:b/>
        </w:rPr>
      </w:pPr>
      <w:r w:rsidRPr="00EB1C83">
        <w:rPr>
          <w:rFonts w:cs="Arial"/>
          <w:b/>
        </w:rPr>
        <w:t>West Arnhem College</w:t>
      </w:r>
    </w:p>
    <w:p w:rsidR="00D21EC5" w:rsidRPr="00EB1C83" w:rsidRDefault="00D21EC5" w:rsidP="00D21EC5">
      <w:pPr>
        <w:pStyle w:val="ListParagraph"/>
        <w:numPr>
          <w:ilvl w:val="0"/>
          <w:numId w:val="31"/>
        </w:numPr>
        <w:autoSpaceDE w:val="0"/>
        <w:autoSpaceDN w:val="0"/>
        <w:adjustRightInd w:val="0"/>
        <w:spacing w:after="200"/>
        <w:rPr>
          <w:rFonts w:cs="Arial"/>
        </w:rPr>
      </w:pPr>
      <w:r w:rsidRPr="00EB1C83">
        <w:rPr>
          <w:rFonts w:cs="Arial"/>
          <w:i/>
        </w:rPr>
        <w:t>Culture First Program</w:t>
      </w:r>
      <w:r w:rsidRPr="00EB1C83">
        <w:rPr>
          <w:rFonts w:cs="Arial"/>
        </w:rPr>
        <w:t xml:space="preserve"> runs as part of curriculum and commenced at Jabiru Area School in partnership with </w:t>
      </w:r>
      <w:proofErr w:type="spellStart"/>
      <w:r w:rsidRPr="00EB1C83">
        <w:rPr>
          <w:rFonts w:cs="Arial"/>
        </w:rPr>
        <w:t>Gundjehmi</w:t>
      </w:r>
      <w:proofErr w:type="spellEnd"/>
      <w:r w:rsidRPr="00EB1C83">
        <w:rPr>
          <w:rFonts w:cs="Arial"/>
        </w:rPr>
        <w:t xml:space="preserve"> Aboriginal Corporation.</w:t>
      </w:r>
    </w:p>
    <w:p w:rsidR="00D21EC5" w:rsidRPr="00EB1C83" w:rsidRDefault="00D21EC5" w:rsidP="00D21EC5">
      <w:pPr>
        <w:pStyle w:val="ListParagraph"/>
        <w:numPr>
          <w:ilvl w:val="0"/>
          <w:numId w:val="31"/>
        </w:numPr>
        <w:autoSpaceDE w:val="0"/>
        <w:autoSpaceDN w:val="0"/>
        <w:adjustRightInd w:val="0"/>
        <w:spacing w:after="200"/>
        <w:rPr>
          <w:rFonts w:cs="Arial"/>
        </w:rPr>
      </w:pPr>
      <w:r w:rsidRPr="00EB1C83">
        <w:rPr>
          <w:rFonts w:cs="Arial"/>
        </w:rPr>
        <w:t xml:space="preserve">An </w:t>
      </w:r>
      <w:r w:rsidRPr="00EB1C83">
        <w:rPr>
          <w:rFonts w:cs="Arial"/>
          <w:i/>
        </w:rPr>
        <w:t>Educational Residential College</w:t>
      </w:r>
      <w:r w:rsidRPr="00EB1C83">
        <w:rPr>
          <w:rFonts w:cs="Arial"/>
        </w:rPr>
        <w:t xml:space="preserve"> is progressing through the strong community relationships with </w:t>
      </w:r>
      <w:proofErr w:type="spellStart"/>
      <w:r w:rsidRPr="00EB1C83">
        <w:rPr>
          <w:rFonts w:cs="Arial"/>
        </w:rPr>
        <w:t>Gunjeihmi</w:t>
      </w:r>
      <w:proofErr w:type="spellEnd"/>
      <w:r w:rsidRPr="00EB1C83">
        <w:rPr>
          <w:rFonts w:cs="Arial"/>
        </w:rPr>
        <w:t xml:space="preserve"> Aboriginal Corporation who designed and funded the development of this facility in Jabiru. </w:t>
      </w:r>
      <w:proofErr w:type="spellStart"/>
      <w:r w:rsidRPr="00EB1C83">
        <w:rPr>
          <w:rFonts w:cs="Arial"/>
        </w:rPr>
        <w:t>DET</w:t>
      </w:r>
      <w:proofErr w:type="spellEnd"/>
      <w:r w:rsidRPr="00EB1C83">
        <w:rPr>
          <w:rFonts w:cs="Arial"/>
        </w:rPr>
        <w:t xml:space="preserve"> has committed to provide onsite recurrent educational human resources. </w:t>
      </w:r>
    </w:p>
    <w:p w:rsidR="00D21EC5" w:rsidRPr="00EB1C83" w:rsidRDefault="00D21EC5" w:rsidP="00D21EC5">
      <w:pPr>
        <w:pStyle w:val="ListParagraph"/>
        <w:numPr>
          <w:ilvl w:val="0"/>
          <w:numId w:val="31"/>
        </w:numPr>
        <w:autoSpaceDE w:val="0"/>
        <w:autoSpaceDN w:val="0"/>
        <w:adjustRightInd w:val="0"/>
        <w:spacing w:after="200"/>
        <w:rPr>
          <w:rFonts w:cs="Arial"/>
        </w:rPr>
      </w:pPr>
      <w:r w:rsidRPr="00EB1C83">
        <w:rPr>
          <w:rFonts w:cs="Arial"/>
          <w:i/>
        </w:rPr>
        <w:t>Frequent Attender Incentive Programs</w:t>
      </w:r>
      <w:r w:rsidRPr="00EB1C83">
        <w:rPr>
          <w:rFonts w:cs="Arial"/>
        </w:rPr>
        <w:t xml:space="preserve"> for student who maintain high level attendance for example </w:t>
      </w:r>
      <w:proofErr w:type="spellStart"/>
      <w:r w:rsidRPr="00EB1C83">
        <w:rPr>
          <w:rFonts w:cs="Arial"/>
        </w:rPr>
        <w:t>Gunbalanya</w:t>
      </w:r>
      <w:proofErr w:type="spellEnd"/>
      <w:r w:rsidRPr="00EB1C83">
        <w:rPr>
          <w:rFonts w:cs="Arial"/>
        </w:rPr>
        <w:t xml:space="preserve"> awarded a student a game and the parent a $100 Power and Water Voucher for 100% attendance during Term 1.</w:t>
      </w:r>
    </w:p>
    <w:p w:rsidR="00D21EC5" w:rsidRPr="00EB1C83" w:rsidRDefault="00D21EC5" w:rsidP="00D21EC5">
      <w:pPr>
        <w:pStyle w:val="ListParagraph"/>
        <w:numPr>
          <w:ilvl w:val="0"/>
          <w:numId w:val="31"/>
        </w:numPr>
        <w:autoSpaceDE w:val="0"/>
        <w:autoSpaceDN w:val="0"/>
        <w:adjustRightInd w:val="0"/>
        <w:spacing w:after="200"/>
        <w:rPr>
          <w:rFonts w:cs="Arial"/>
        </w:rPr>
      </w:pPr>
      <w:r w:rsidRPr="00EB1C83">
        <w:rPr>
          <w:rFonts w:cs="Arial"/>
          <w:i/>
        </w:rPr>
        <w:t>Industry Partnerships</w:t>
      </w:r>
      <w:r w:rsidRPr="00EB1C83">
        <w:rPr>
          <w:rFonts w:cs="Arial"/>
        </w:rPr>
        <w:t xml:space="preserve"> with ERA Ranger Mine, </w:t>
      </w:r>
      <w:proofErr w:type="spellStart"/>
      <w:r w:rsidRPr="00EB1C83">
        <w:rPr>
          <w:rFonts w:cs="Arial"/>
        </w:rPr>
        <w:t>ILC</w:t>
      </w:r>
      <w:proofErr w:type="spellEnd"/>
      <w:r w:rsidRPr="00EB1C83">
        <w:rPr>
          <w:rFonts w:cs="Arial"/>
        </w:rPr>
        <w:t xml:space="preserve"> Meatworks, </w:t>
      </w:r>
      <w:proofErr w:type="spellStart"/>
      <w:proofErr w:type="gramStart"/>
      <w:r w:rsidRPr="00EB1C83">
        <w:rPr>
          <w:rFonts w:cs="Arial"/>
        </w:rPr>
        <w:t>Inalak</w:t>
      </w:r>
      <w:proofErr w:type="spellEnd"/>
      <w:proofErr w:type="gramEnd"/>
      <w:r w:rsidRPr="00EB1C83">
        <w:rPr>
          <w:rFonts w:cs="Arial"/>
        </w:rPr>
        <w:t xml:space="preserve"> Art Centre are creating real job pathways for students. </w:t>
      </w:r>
    </w:p>
    <w:p w:rsidR="00D21EC5" w:rsidRPr="00EB1C83" w:rsidRDefault="00D21EC5" w:rsidP="00D21EC5">
      <w:pPr>
        <w:pStyle w:val="ListParagraph"/>
        <w:numPr>
          <w:ilvl w:val="0"/>
          <w:numId w:val="31"/>
        </w:numPr>
        <w:autoSpaceDE w:val="0"/>
        <w:autoSpaceDN w:val="0"/>
        <w:adjustRightInd w:val="0"/>
        <w:spacing w:after="200"/>
        <w:rPr>
          <w:rFonts w:cs="Arial"/>
        </w:rPr>
      </w:pPr>
      <w:r w:rsidRPr="00EB1C83">
        <w:rPr>
          <w:rFonts w:cs="Arial"/>
          <w:i/>
        </w:rPr>
        <w:t>VET in Schools</w:t>
      </w:r>
      <w:r w:rsidRPr="00EB1C83">
        <w:rPr>
          <w:rFonts w:cs="Arial"/>
        </w:rPr>
        <w:t xml:space="preserve"> programs are expanding with the College Director working with local businesses to identify positions students can move into and build on programs being run by other organisations within the community. </w:t>
      </w:r>
    </w:p>
    <w:p w:rsidR="00D21EC5" w:rsidRPr="00EB1C83" w:rsidRDefault="00D21EC5" w:rsidP="00D21EC5">
      <w:pPr>
        <w:pStyle w:val="ListParagraph"/>
        <w:numPr>
          <w:ilvl w:val="0"/>
          <w:numId w:val="31"/>
        </w:numPr>
        <w:autoSpaceDE w:val="0"/>
        <w:autoSpaceDN w:val="0"/>
        <w:adjustRightInd w:val="0"/>
        <w:spacing w:after="200"/>
        <w:rPr>
          <w:rFonts w:cs="Arial"/>
        </w:rPr>
      </w:pPr>
      <w:r>
        <w:rPr>
          <w:rFonts w:cs="Arial"/>
          <w:i/>
        </w:rPr>
        <w:t>School-b</w:t>
      </w:r>
      <w:r w:rsidRPr="00EB1C83">
        <w:rPr>
          <w:rFonts w:cs="Arial"/>
          <w:i/>
        </w:rPr>
        <w:t>ased Apprenticeships</w:t>
      </w:r>
      <w:r w:rsidRPr="00EB1C83">
        <w:rPr>
          <w:rFonts w:cs="Arial"/>
        </w:rPr>
        <w:t xml:space="preserve"> are being undertaken by six </w:t>
      </w:r>
      <w:proofErr w:type="spellStart"/>
      <w:r w:rsidRPr="00EB1C83">
        <w:rPr>
          <w:rFonts w:cs="Arial"/>
        </w:rPr>
        <w:t>Gunbalanya</w:t>
      </w:r>
      <w:proofErr w:type="spellEnd"/>
      <w:r w:rsidRPr="00EB1C83">
        <w:rPr>
          <w:rFonts w:cs="Arial"/>
        </w:rPr>
        <w:t xml:space="preserve"> students with </w:t>
      </w:r>
      <w:proofErr w:type="spellStart"/>
      <w:r w:rsidRPr="00EB1C83">
        <w:rPr>
          <w:rFonts w:cs="Arial"/>
        </w:rPr>
        <w:t>ILC</w:t>
      </w:r>
      <w:proofErr w:type="spellEnd"/>
      <w:r w:rsidRPr="00EB1C83">
        <w:rPr>
          <w:rFonts w:cs="Arial"/>
        </w:rPr>
        <w:t xml:space="preserve"> Meatworks.</w:t>
      </w:r>
    </w:p>
    <w:p w:rsidR="00D21EC5" w:rsidRDefault="00D21EC5" w:rsidP="00D21EC5">
      <w:pPr>
        <w:pStyle w:val="ListParagraph"/>
        <w:numPr>
          <w:ilvl w:val="0"/>
          <w:numId w:val="31"/>
        </w:numPr>
        <w:autoSpaceDE w:val="0"/>
        <w:autoSpaceDN w:val="0"/>
        <w:adjustRightInd w:val="0"/>
        <w:spacing w:after="120" w:line="240" w:lineRule="auto"/>
        <w:ind w:left="357" w:hanging="357"/>
        <w:rPr>
          <w:rFonts w:cs="Arial"/>
        </w:rPr>
      </w:pPr>
      <w:r w:rsidRPr="0075330C">
        <w:rPr>
          <w:rFonts w:cs="Arial"/>
          <w:i/>
        </w:rPr>
        <w:t>3-9 Programs</w:t>
      </w:r>
      <w:r w:rsidRPr="00EB1C83">
        <w:rPr>
          <w:rFonts w:cs="Arial"/>
        </w:rPr>
        <w:t xml:space="preserve"> </w:t>
      </w:r>
      <w:bookmarkStart w:id="10" w:name="OLE_LINK1"/>
      <w:bookmarkStart w:id="11" w:name="OLE_LINK2"/>
      <w:r w:rsidRPr="00EB1C83">
        <w:rPr>
          <w:rFonts w:cs="Arial"/>
        </w:rPr>
        <w:t>are providing after</w:t>
      </w:r>
      <w:r>
        <w:rPr>
          <w:rFonts w:cs="Arial"/>
        </w:rPr>
        <w:t>-</w:t>
      </w:r>
      <w:r w:rsidRPr="00EB1C83">
        <w:rPr>
          <w:rFonts w:cs="Arial"/>
        </w:rPr>
        <w:t xml:space="preserve">hours access at the </w:t>
      </w:r>
      <w:proofErr w:type="spellStart"/>
      <w:r w:rsidRPr="00EB1C83">
        <w:rPr>
          <w:rFonts w:cs="Arial"/>
        </w:rPr>
        <w:t>Gunbalanya</w:t>
      </w:r>
      <w:proofErr w:type="spellEnd"/>
      <w:r w:rsidRPr="00EB1C83">
        <w:rPr>
          <w:rFonts w:cs="Arial"/>
        </w:rPr>
        <w:t xml:space="preserve"> School and </w:t>
      </w:r>
      <w:proofErr w:type="gramStart"/>
      <w:r w:rsidRPr="00EB1C83">
        <w:rPr>
          <w:rFonts w:cs="Arial"/>
        </w:rPr>
        <w:t>has</w:t>
      </w:r>
      <w:proofErr w:type="gramEnd"/>
      <w:r w:rsidRPr="00EB1C83">
        <w:rPr>
          <w:rFonts w:cs="Arial"/>
        </w:rPr>
        <w:t xml:space="preserve"> seen increased adult confidence and participation in learning. </w:t>
      </w:r>
    </w:p>
    <w:p w:rsidR="00D21EC5" w:rsidRPr="00C020B5" w:rsidRDefault="00D21EC5" w:rsidP="00D21EC5">
      <w:pPr>
        <w:pStyle w:val="ListParagraph"/>
        <w:numPr>
          <w:ilvl w:val="0"/>
          <w:numId w:val="31"/>
        </w:numPr>
        <w:autoSpaceDE w:val="0"/>
        <w:autoSpaceDN w:val="0"/>
        <w:adjustRightInd w:val="0"/>
        <w:spacing w:after="120" w:line="240" w:lineRule="auto"/>
        <w:ind w:left="357" w:hanging="357"/>
        <w:rPr>
          <w:rFonts w:cs="Arial"/>
        </w:rPr>
      </w:pPr>
      <w:r>
        <w:rPr>
          <w:rFonts w:cs="Arial"/>
          <w:i/>
        </w:rPr>
        <w:t xml:space="preserve">Clontarf and Girls Academies </w:t>
      </w:r>
      <w:r w:rsidRPr="00C020B5">
        <w:rPr>
          <w:rFonts w:cs="Arial"/>
        </w:rPr>
        <w:t xml:space="preserve">– over </w:t>
      </w:r>
      <w:r>
        <w:rPr>
          <w:rFonts w:cs="Arial"/>
        </w:rPr>
        <w:t xml:space="preserve">100 Indigenous students </w:t>
      </w:r>
      <w:r w:rsidRPr="00C020B5">
        <w:rPr>
          <w:rFonts w:cs="Arial"/>
        </w:rPr>
        <w:t>a</w:t>
      </w:r>
      <w:r>
        <w:rPr>
          <w:rFonts w:cs="Arial"/>
        </w:rPr>
        <w:t>r</w:t>
      </w:r>
      <w:r w:rsidRPr="00C020B5">
        <w:rPr>
          <w:rFonts w:cs="Arial"/>
        </w:rPr>
        <w:t>e engaged in these programs across both campuse</w:t>
      </w:r>
      <w:r>
        <w:rPr>
          <w:rFonts w:cs="Arial"/>
        </w:rPr>
        <w:t>s of the College.</w:t>
      </w:r>
    </w:p>
    <w:p w:rsidR="00D21EC5" w:rsidRPr="00EB1C83" w:rsidRDefault="00D21EC5" w:rsidP="00D21EC5">
      <w:pPr>
        <w:autoSpaceDE w:val="0"/>
        <w:autoSpaceDN w:val="0"/>
        <w:adjustRightInd w:val="0"/>
        <w:spacing w:line="240" w:lineRule="auto"/>
        <w:ind w:left="357"/>
        <w:rPr>
          <w:rFonts w:cs="Arial"/>
        </w:rPr>
      </w:pPr>
      <w:r w:rsidRPr="00EB1C83">
        <w:rPr>
          <w:rFonts w:cs="Arial"/>
        </w:rPr>
        <w:t xml:space="preserve">Current </w:t>
      </w:r>
      <w:r>
        <w:rPr>
          <w:rFonts w:cs="Arial"/>
        </w:rPr>
        <w:t xml:space="preserve">3 – 9 </w:t>
      </w:r>
      <w:r w:rsidRPr="00EB1C83">
        <w:rPr>
          <w:rFonts w:cs="Arial"/>
        </w:rPr>
        <w:t xml:space="preserve">programs </w:t>
      </w:r>
      <w:r>
        <w:rPr>
          <w:rFonts w:cs="Arial"/>
        </w:rPr>
        <w:t>include</w:t>
      </w:r>
      <w:r w:rsidRPr="00EB1C83">
        <w:rPr>
          <w:rFonts w:cs="Arial"/>
        </w:rPr>
        <w:t>:</w:t>
      </w:r>
      <w:bookmarkEnd w:id="10"/>
      <w:bookmarkEnd w:id="11"/>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r w:rsidRPr="0075330C">
        <w:rPr>
          <w:rFonts w:cs="Arial"/>
        </w:rPr>
        <w:t>Community Library Program wit</w:t>
      </w:r>
      <w:r>
        <w:rPr>
          <w:rFonts w:cs="Arial"/>
        </w:rPr>
        <w:t>h a mixture adults and children;</w:t>
      </w:r>
      <w:r w:rsidRPr="0075330C">
        <w:rPr>
          <w:rFonts w:cs="Arial"/>
        </w:rPr>
        <w:t xml:space="preserve"> </w:t>
      </w:r>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r w:rsidRPr="0075330C">
        <w:rPr>
          <w:rFonts w:cs="Arial"/>
        </w:rPr>
        <w:t>Softball with a range of adults</w:t>
      </w:r>
      <w:r>
        <w:rPr>
          <w:rFonts w:cs="Arial"/>
        </w:rPr>
        <w:t xml:space="preserve"> and older adolescent students;</w:t>
      </w:r>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proofErr w:type="spellStart"/>
      <w:r w:rsidRPr="0075330C">
        <w:rPr>
          <w:rFonts w:cs="Arial"/>
        </w:rPr>
        <w:t>Zumba</w:t>
      </w:r>
      <w:proofErr w:type="spellEnd"/>
      <w:r>
        <w:rPr>
          <w:rFonts w:cs="Arial"/>
        </w:rPr>
        <w:t xml:space="preserve"> is a women’s only program;</w:t>
      </w:r>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r w:rsidRPr="0075330C">
        <w:rPr>
          <w:rFonts w:cs="Arial"/>
        </w:rPr>
        <w:t xml:space="preserve">Drivers Licence Program with Clontarf (secondary boys) on the program currently, to be followed by </w:t>
      </w:r>
      <w:r>
        <w:rPr>
          <w:rFonts w:cs="Arial"/>
        </w:rPr>
        <w:t>Girls Academy;</w:t>
      </w:r>
      <w:r w:rsidRPr="0075330C">
        <w:rPr>
          <w:rFonts w:cs="Arial"/>
        </w:rPr>
        <w:t xml:space="preserve"> </w:t>
      </w:r>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r w:rsidRPr="0075330C">
        <w:rPr>
          <w:rFonts w:cs="Arial"/>
        </w:rPr>
        <w:t>Woodwork is a men’s only program</w:t>
      </w:r>
      <w:r>
        <w:rPr>
          <w:rFonts w:cs="Arial"/>
        </w:rPr>
        <w:t>;</w:t>
      </w:r>
    </w:p>
    <w:p w:rsidR="00D21EC5" w:rsidRPr="0075330C" w:rsidRDefault="00D21EC5" w:rsidP="00D21EC5">
      <w:pPr>
        <w:pStyle w:val="ListParagraph"/>
        <w:numPr>
          <w:ilvl w:val="1"/>
          <w:numId w:val="31"/>
        </w:numPr>
        <w:autoSpaceDE w:val="0"/>
        <w:autoSpaceDN w:val="0"/>
        <w:adjustRightInd w:val="0"/>
        <w:spacing w:after="120" w:line="240" w:lineRule="auto"/>
        <w:rPr>
          <w:rFonts w:cs="Arial"/>
        </w:rPr>
      </w:pPr>
      <w:proofErr w:type="spellStart"/>
      <w:r w:rsidRPr="0075330C">
        <w:rPr>
          <w:rFonts w:cs="Arial"/>
        </w:rPr>
        <w:t>Gunbalanya</w:t>
      </w:r>
      <w:proofErr w:type="spellEnd"/>
      <w:r w:rsidRPr="0075330C">
        <w:rPr>
          <w:rFonts w:cs="Arial"/>
        </w:rPr>
        <w:t xml:space="preserve"> wide sports competition began in May with a number of teams formed from various agencies around </w:t>
      </w:r>
      <w:proofErr w:type="spellStart"/>
      <w:r w:rsidRPr="0075330C">
        <w:rPr>
          <w:rFonts w:cs="Arial"/>
        </w:rPr>
        <w:t>Gunbalanya</w:t>
      </w:r>
      <w:proofErr w:type="spellEnd"/>
      <w:r w:rsidRPr="0075330C">
        <w:rPr>
          <w:rFonts w:cs="Arial"/>
        </w:rPr>
        <w:t xml:space="preserve"> aimed at encouraging more local participation</w:t>
      </w:r>
      <w:r>
        <w:rPr>
          <w:rFonts w:cs="Arial"/>
        </w:rPr>
        <w:t>.</w:t>
      </w:r>
    </w:p>
    <w:p w:rsidR="00D21EC5" w:rsidRDefault="00D21EC5" w:rsidP="00D21EC5">
      <w:pPr>
        <w:autoSpaceDE w:val="0"/>
        <w:autoSpaceDN w:val="0"/>
        <w:adjustRightInd w:val="0"/>
        <w:rPr>
          <w:rFonts w:cs="Arial"/>
          <w:b/>
        </w:rPr>
      </w:pPr>
      <w:r w:rsidRPr="0075330C">
        <w:rPr>
          <w:rFonts w:cs="Arial"/>
          <w:b/>
        </w:rPr>
        <w:t>Groote Eylandt College</w:t>
      </w:r>
    </w:p>
    <w:p w:rsidR="00D21EC5" w:rsidRDefault="00D21EC5" w:rsidP="00D21EC5">
      <w:pPr>
        <w:pStyle w:val="ListParagraph"/>
        <w:numPr>
          <w:ilvl w:val="0"/>
          <w:numId w:val="31"/>
        </w:numPr>
        <w:autoSpaceDE w:val="0"/>
        <w:autoSpaceDN w:val="0"/>
        <w:adjustRightInd w:val="0"/>
        <w:spacing w:after="200"/>
        <w:rPr>
          <w:rFonts w:cs="Arial"/>
        </w:rPr>
      </w:pPr>
      <w:r w:rsidRPr="0075330C">
        <w:rPr>
          <w:rFonts w:cs="Arial"/>
          <w:i/>
        </w:rPr>
        <w:t>Community Partnerships</w:t>
      </w:r>
      <w:r w:rsidRPr="0075330C">
        <w:rPr>
          <w:rFonts w:cs="Arial"/>
        </w:rPr>
        <w:t xml:space="preserve"> like the first Umbakumba School Fair was supported by </w:t>
      </w:r>
      <w:proofErr w:type="spellStart"/>
      <w:r w:rsidRPr="0075330C">
        <w:rPr>
          <w:rFonts w:cs="Arial"/>
        </w:rPr>
        <w:t>GEMCO</w:t>
      </w:r>
      <w:proofErr w:type="spellEnd"/>
      <w:r w:rsidRPr="0075330C">
        <w:rPr>
          <w:rFonts w:cs="Arial"/>
        </w:rPr>
        <w:t xml:space="preserve">, </w:t>
      </w:r>
      <w:proofErr w:type="spellStart"/>
      <w:r w:rsidRPr="0075330C">
        <w:rPr>
          <w:rFonts w:cs="Arial"/>
        </w:rPr>
        <w:t>Kamahl</w:t>
      </w:r>
      <w:proofErr w:type="spellEnd"/>
      <w:r w:rsidRPr="0075330C">
        <w:rPr>
          <w:rFonts w:cs="Arial"/>
        </w:rPr>
        <w:t xml:space="preserve">, </w:t>
      </w:r>
      <w:proofErr w:type="spellStart"/>
      <w:r w:rsidRPr="0075330C">
        <w:rPr>
          <w:rFonts w:cs="Arial"/>
        </w:rPr>
        <w:t>Mikbamurra</w:t>
      </w:r>
      <w:proofErr w:type="spellEnd"/>
      <w:r w:rsidRPr="0075330C">
        <w:rPr>
          <w:rFonts w:cs="Arial"/>
        </w:rPr>
        <w:t xml:space="preserve"> Store and N-</w:t>
      </w:r>
      <w:proofErr w:type="spellStart"/>
      <w:r w:rsidRPr="0075330C">
        <w:rPr>
          <w:rFonts w:cs="Arial"/>
        </w:rPr>
        <w:t>Carta</w:t>
      </w:r>
      <w:proofErr w:type="spellEnd"/>
      <w:r w:rsidRPr="0075330C">
        <w:rPr>
          <w:rFonts w:cs="Arial"/>
        </w:rPr>
        <w:t>. It is these partnerships that made the Fair possible.</w:t>
      </w:r>
    </w:p>
    <w:p w:rsidR="00D21EC5" w:rsidRPr="0075330C" w:rsidRDefault="00D21EC5" w:rsidP="00D21EC5">
      <w:pPr>
        <w:pStyle w:val="ListParagraph"/>
        <w:numPr>
          <w:ilvl w:val="0"/>
          <w:numId w:val="31"/>
        </w:numPr>
        <w:autoSpaceDE w:val="0"/>
        <w:autoSpaceDN w:val="0"/>
        <w:adjustRightInd w:val="0"/>
        <w:spacing w:after="200"/>
        <w:rPr>
          <w:rFonts w:cs="Arial"/>
        </w:rPr>
      </w:pPr>
      <w:r w:rsidRPr="0075330C">
        <w:rPr>
          <w:rFonts w:cs="Arial"/>
          <w:i/>
        </w:rPr>
        <w:t>Saturday School Program</w:t>
      </w:r>
      <w:r w:rsidRPr="0075330C">
        <w:rPr>
          <w:rFonts w:cs="Arial"/>
        </w:rPr>
        <w:t xml:space="preserve"> is currently running at Angurugu School, with a focus on ‘at risk’ middle year boys. </w:t>
      </w:r>
    </w:p>
    <w:p w:rsidR="00D21EC5" w:rsidRPr="0075330C" w:rsidRDefault="00D21EC5" w:rsidP="00D21EC5">
      <w:pPr>
        <w:pStyle w:val="ListParagraph"/>
        <w:numPr>
          <w:ilvl w:val="0"/>
          <w:numId w:val="31"/>
        </w:numPr>
        <w:autoSpaceDE w:val="0"/>
        <w:autoSpaceDN w:val="0"/>
        <w:adjustRightInd w:val="0"/>
        <w:spacing w:after="200"/>
        <w:rPr>
          <w:rFonts w:cs="Arial"/>
        </w:rPr>
      </w:pPr>
      <w:r w:rsidRPr="0075330C">
        <w:rPr>
          <w:rFonts w:cs="Arial"/>
          <w:i/>
        </w:rPr>
        <w:t>Industry partnerships</w:t>
      </w:r>
      <w:r w:rsidRPr="0075330C">
        <w:rPr>
          <w:rFonts w:cs="Arial"/>
        </w:rPr>
        <w:t xml:space="preserve"> - Strong </w:t>
      </w:r>
      <w:proofErr w:type="spellStart"/>
      <w:r w:rsidRPr="0075330C">
        <w:rPr>
          <w:rFonts w:cs="Arial"/>
        </w:rPr>
        <w:t>GEMCO</w:t>
      </w:r>
      <w:proofErr w:type="spellEnd"/>
      <w:r w:rsidRPr="0075330C">
        <w:rPr>
          <w:rFonts w:cs="Arial"/>
        </w:rPr>
        <w:t xml:space="preserve"> partnership with a memorandum of understanding currently being finalised which will focus on supporting all aspects of the Strong Start, Bright Future College, with a </w:t>
      </w:r>
      <w:r w:rsidRPr="0075330C">
        <w:rPr>
          <w:rFonts w:cs="Arial"/>
        </w:rPr>
        <w:lastRenderedPageBreak/>
        <w:t>focus on early childhood, school attendance, VET Training , community wellbeing and employment pathways.</w:t>
      </w:r>
    </w:p>
    <w:p w:rsidR="00D21EC5" w:rsidRPr="0075330C" w:rsidRDefault="00D21EC5" w:rsidP="00D21EC5">
      <w:pPr>
        <w:pStyle w:val="ListParagraph"/>
        <w:numPr>
          <w:ilvl w:val="0"/>
          <w:numId w:val="31"/>
        </w:numPr>
        <w:autoSpaceDE w:val="0"/>
        <w:autoSpaceDN w:val="0"/>
        <w:adjustRightInd w:val="0"/>
        <w:spacing w:after="200"/>
        <w:rPr>
          <w:rFonts w:cs="Arial"/>
        </w:rPr>
      </w:pPr>
      <w:r w:rsidRPr="0075330C">
        <w:rPr>
          <w:rFonts w:cs="Arial"/>
          <w:i/>
        </w:rPr>
        <w:t>Trade Training Centre</w:t>
      </w:r>
      <w:r w:rsidRPr="0075330C">
        <w:rPr>
          <w:rFonts w:cs="Arial"/>
        </w:rPr>
        <w:t xml:space="preserve"> has been approved for the College and is currently in the tender process. </w:t>
      </w:r>
    </w:p>
    <w:p w:rsidR="00D21EC5" w:rsidRPr="0075330C" w:rsidRDefault="00D21EC5" w:rsidP="00D21EC5">
      <w:pPr>
        <w:pStyle w:val="ListParagraph"/>
        <w:numPr>
          <w:ilvl w:val="0"/>
          <w:numId w:val="31"/>
        </w:numPr>
        <w:autoSpaceDE w:val="0"/>
        <w:autoSpaceDN w:val="0"/>
        <w:adjustRightInd w:val="0"/>
        <w:spacing w:after="200"/>
        <w:rPr>
          <w:rFonts w:cs="Arial"/>
        </w:rPr>
      </w:pPr>
      <w:r w:rsidRPr="0075330C">
        <w:rPr>
          <w:rFonts w:cs="Arial"/>
          <w:i/>
        </w:rPr>
        <w:t>School Based Apprentices</w:t>
      </w:r>
      <w:r w:rsidRPr="0075330C">
        <w:rPr>
          <w:rFonts w:cs="Arial"/>
        </w:rPr>
        <w:t xml:space="preserve"> at Angurugu in partnership with </w:t>
      </w:r>
      <w:proofErr w:type="spellStart"/>
      <w:r w:rsidRPr="0075330C">
        <w:rPr>
          <w:rFonts w:cs="Arial"/>
        </w:rPr>
        <w:t>GEBIE</w:t>
      </w:r>
      <w:proofErr w:type="spellEnd"/>
      <w:r w:rsidRPr="0075330C">
        <w:rPr>
          <w:rFonts w:cs="Arial"/>
        </w:rPr>
        <w:t xml:space="preserve"> have commenced. Further, the Training Centre at Angurugu has been set up and the College is in the process of getting funding for training facilitators and mentors. </w:t>
      </w:r>
    </w:p>
    <w:p w:rsidR="00D21EC5" w:rsidRPr="00065207" w:rsidRDefault="00D21EC5" w:rsidP="00D21EC5">
      <w:pPr>
        <w:pStyle w:val="ListParagraph"/>
        <w:numPr>
          <w:ilvl w:val="0"/>
          <w:numId w:val="31"/>
        </w:numPr>
        <w:autoSpaceDE w:val="0"/>
        <w:autoSpaceDN w:val="0"/>
        <w:adjustRightInd w:val="0"/>
        <w:spacing w:after="200" w:line="240" w:lineRule="auto"/>
        <w:rPr>
          <w:rFonts w:cs="Arial"/>
        </w:rPr>
      </w:pPr>
      <w:r w:rsidRPr="00065207">
        <w:rPr>
          <w:rFonts w:cs="Arial"/>
        </w:rPr>
        <w:t>Current 3 – 9 programs include:</w:t>
      </w:r>
    </w:p>
    <w:p w:rsidR="00D21EC5" w:rsidRPr="00065207" w:rsidRDefault="00D21EC5" w:rsidP="00D21EC5">
      <w:pPr>
        <w:pStyle w:val="ListParagraph"/>
        <w:numPr>
          <w:ilvl w:val="1"/>
          <w:numId w:val="31"/>
        </w:numPr>
        <w:autoSpaceDE w:val="0"/>
        <w:autoSpaceDN w:val="0"/>
        <w:adjustRightInd w:val="0"/>
        <w:spacing w:after="200"/>
        <w:rPr>
          <w:rFonts w:cs="Arial"/>
        </w:rPr>
      </w:pPr>
      <w:r w:rsidRPr="00065207">
        <w:rPr>
          <w:rFonts w:cs="Arial"/>
          <w:i/>
        </w:rPr>
        <w:t>Girls Basketball Programs</w:t>
      </w:r>
      <w:r w:rsidRPr="00065207">
        <w:rPr>
          <w:rFonts w:cs="Arial"/>
        </w:rPr>
        <w:t xml:space="preserve"> with eight teams that participated in a recent carnival held at the new Angurugu School court. Over 30 women and girls obtained a Community Basketball Referee Certificate. Fundraising efforts continue to support the teams heading to the </w:t>
      </w:r>
      <w:proofErr w:type="spellStart"/>
      <w:r w:rsidRPr="00065207">
        <w:rPr>
          <w:rFonts w:cs="Arial"/>
        </w:rPr>
        <w:t>Barunga</w:t>
      </w:r>
      <w:proofErr w:type="spellEnd"/>
      <w:r w:rsidRPr="00065207">
        <w:rPr>
          <w:rFonts w:cs="Arial"/>
        </w:rPr>
        <w:t xml:space="preserve"> Festival in June.</w:t>
      </w:r>
    </w:p>
    <w:p w:rsidR="00D21EC5" w:rsidRPr="00065207" w:rsidRDefault="00D21EC5" w:rsidP="00D21EC5">
      <w:pPr>
        <w:pStyle w:val="ListParagraph"/>
        <w:numPr>
          <w:ilvl w:val="1"/>
          <w:numId w:val="31"/>
        </w:numPr>
        <w:autoSpaceDE w:val="0"/>
        <w:autoSpaceDN w:val="0"/>
        <w:adjustRightInd w:val="0"/>
        <w:spacing w:after="200"/>
        <w:rPr>
          <w:rFonts w:cs="Arial"/>
        </w:rPr>
      </w:pPr>
      <w:r w:rsidRPr="00065207">
        <w:rPr>
          <w:rFonts w:cs="Arial"/>
          <w:i/>
        </w:rPr>
        <w:t>Manufacturing pathways in Sewing</w:t>
      </w:r>
      <w:r>
        <w:rPr>
          <w:rFonts w:cs="Arial"/>
        </w:rPr>
        <w:t>.</w:t>
      </w:r>
      <w:r w:rsidRPr="00065207">
        <w:rPr>
          <w:rFonts w:cs="Arial"/>
        </w:rPr>
        <w:t xml:space="preserve"> Mother’s textile program in Certificate 1 Manufacturing is being run in partnership with </w:t>
      </w:r>
      <w:proofErr w:type="spellStart"/>
      <w:r w:rsidRPr="00065207">
        <w:rPr>
          <w:rFonts w:cs="Arial"/>
        </w:rPr>
        <w:t>GEBIE</w:t>
      </w:r>
      <w:proofErr w:type="spellEnd"/>
      <w:r w:rsidRPr="00065207">
        <w:rPr>
          <w:rFonts w:cs="Arial"/>
        </w:rPr>
        <w:t xml:space="preserve"> industries. The products manufactured including zip dresses, shorts and wallets were sold out at Umbakumba’s first fair.</w:t>
      </w:r>
    </w:p>
    <w:p w:rsidR="00D21EC5" w:rsidRDefault="00D21EC5" w:rsidP="00D21EC5">
      <w:pPr>
        <w:autoSpaceDE w:val="0"/>
        <w:autoSpaceDN w:val="0"/>
        <w:adjustRightInd w:val="0"/>
        <w:rPr>
          <w:rFonts w:cs="Arial"/>
          <w:b/>
        </w:rPr>
      </w:pPr>
      <w:r w:rsidRPr="00065207">
        <w:rPr>
          <w:rFonts w:cs="Arial"/>
          <w:b/>
        </w:rPr>
        <w:t>Shepherdson College</w:t>
      </w:r>
    </w:p>
    <w:p w:rsidR="00D21EC5" w:rsidRPr="00065207" w:rsidRDefault="00D21EC5" w:rsidP="00D21EC5">
      <w:pPr>
        <w:pStyle w:val="ListParagraph"/>
        <w:numPr>
          <w:ilvl w:val="0"/>
          <w:numId w:val="31"/>
        </w:numPr>
        <w:autoSpaceDE w:val="0"/>
        <w:autoSpaceDN w:val="0"/>
        <w:adjustRightInd w:val="0"/>
        <w:spacing w:after="200"/>
        <w:rPr>
          <w:rFonts w:cs="Arial"/>
        </w:rPr>
      </w:pPr>
      <w:r w:rsidRPr="00065207">
        <w:rPr>
          <w:rFonts w:cs="Arial"/>
          <w:i/>
        </w:rPr>
        <w:t>Central Arnhem Hub</w:t>
      </w:r>
      <w:r w:rsidRPr="00065207">
        <w:rPr>
          <w:rFonts w:cs="Arial"/>
        </w:rPr>
        <w:t xml:space="preserve"> schools are working with Stronger Smarter Institute on building and growing regional capability through instructional leadership for remote schools leaders. The schools are focused on working together and include Shepherdson, </w:t>
      </w:r>
      <w:proofErr w:type="spellStart"/>
      <w:r w:rsidRPr="00065207">
        <w:rPr>
          <w:rFonts w:cs="Arial"/>
        </w:rPr>
        <w:t>Gapuwiyak</w:t>
      </w:r>
      <w:proofErr w:type="spellEnd"/>
      <w:r w:rsidRPr="00065207">
        <w:rPr>
          <w:rFonts w:cs="Arial"/>
        </w:rPr>
        <w:t xml:space="preserve">, Milingimbi, </w:t>
      </w:r>
      <w:proofErr w:type="spellStart"/>
      <w:r w:rsidRPr="00065207">
        <w:rPr>
          <w:rFonts w:cs="Arial"/>
        </w:rPr>
        <w:t>Warruwi</w:t>
      </w:r>
      <w:proofErr w:type="spellEnd"/>
      <w:r w:rsidRPr="00065207">
        <w:rPr>
          <w:rFonts w:cs="Arial"/>
        </w:rPr>
        <w:t xml:space="preserve">, Maningrida and Ramingining. </w:t>
      </w:r>
    </w:p>
    <w:p w:rsidR="00D21EC5" w:rsidRPr="00065207" w:rsidRDefault="00D21EC5" w:rsidP="00D21EC5">
      <w:pPr>
        <w:pStyle w:val="ListParagraph"/>
        <w:numPr>
          <w:ilvl w:val="0"/>
          <w:numId w:val="31"/>
        </w:numPr>
        <w:autoSpaceDE w:val="0"/>
        <w:autoSpaceDN w:val="0"/>
        <w:adjustRightInd w:val="0"/>
        <w:spacing w:after="200"/>
        <w:rPr>
          <w:rFonts w:cs="Arial"/>
        </w:rPr>
      </w:pPr>
      <w:r w:rsidRPr="00065207">
        <w:rPr>
          <w:rFonts w:cs="Arial"/>
          <w:i/>
        </w:rPr>
        <w:t>Alternative school delivery models</w:t>
      </w:r>
      <w:r w:rsidRPr="00065207">
        <w:rPr>
          <w:rFonts w:cs="Arial"/>
        </w:rPr>
        <w:t xml:space="preserve"> will be investigated in Term 2 and Term 3. These include running dual sessions with morning and afternoon programs for middle and senior years to increase access. </w:t>
      </w:r>
    </w:p>
    <w:p w:rsidR="00D21EC5" w:rsidRPr="00065207" w:rsidRDefault="00D21EC5" w:rsidP="00D21EC5">
      <w:pPr>
        <w:pStyle w:val="ListParagraph"/>
        <w:numPr>
          <w:ilvl w:val="0"/>
          <w:numId w:val="31"/>
        </w:numPr>
        <w:autoSpaceDE w:val="0"/>
        <w:autoSpaceDN w:val="0"/>
        <w:adjustRightInd w:val="0"/>
        <w:spacing w:after="200"/>
        <w:rPr>
          <w:rFonts w:cs="Arial"/>
        </w:rPr>
      </w:pPr>
      <w:r w:rsidRPr="00065207">
        <w:rPr>
          <w:rFonts w:cs="Arial"/>
          <w:i/>
        </w:rPr>
        <w:t>Saturday program</w:t>
      </w:r>
      <w:r w:rsidRPr="00065207">
        <w:rPr>
          <w:rFonts w:cs="Arial"/>
        </w:rPr>
        <w:t xml:space="preserve"> is being run as a joint venture with Youth Health and three school council members. The program works with nine at risk young men and has a focus on undertaking cultural activities. </w:t>
      </w:r>
    </w:p>
    <w:p w:rsidR="00D21EC5" w:rsidRPr="00065207" w:rsidRDefault="00D21EC5" w:rsidP="00D21EC5">
      <w:pPr>
        <w:pStyle w:val="ListParagraph"/>
        <w:numPr>
          <w:ilvl w:val="0"/>
          <w:numId w:val="31"/>
        </w:numPr>
        <w:autoSpaceDE w:val="0"/>
        <w:autoSpaceDN w:val="0"/>
        <w:adjustRightInd w:val="0"/>
        <w:spacing w:after="200"/>
        <w:rPr>
          <w:rFonts w:cs="Arial"/>
        </w:rPr>
      </w:pPr>
      <w:r>
        <w:rPr>
          <w:rFonts w:cs="Arial"/>
          <w:i/>
        </w:rPr>
        <w:t>School-b</w:t>
      </w:r>
      <w:r w:rsidRPr="00065207">
        <w:rPr>
          <w:rFonts w:cs="Arial"/>
          <w:i/>
        </w:rPr>
        <w:t>ased Apprenticeships</w:t>
      </w:r>
      <w:r w:rsidRPr="00065207">
        <w:rPr>
          <w:rFonts w:cs="Arial"/>
        </w:rPr>
        <w:t xml:space="preserve"> are being undertaken by six students.</w:t>
      </w:r>
    </w:p>
    <w:p w:rsidR="00D21EC5" w:rsidRPr="008E3805" w:rsidRDefault="00D21EC5" w:rsidP="00D21EC5">
      <w:pPr>
        <w:pStyle w:val="ListParagraph"/>
        <w:numPr>
          <w:ilvl w:val="0"/>
          <w:numId w:val="31"/>
        </w:numPr>
        <w:autoSpaceDE w:val="0"/>
        <w:autoSpaceDN w:val="0"/>
        <w:adjustRightInd w:val="0"/>
        <w:spacing w:after="200"/>
        <w:rPr>
          <w:rFonts w:cs="Arial"/>
        </w:rPr>
      </w:pPr>
      <w:r w:rsidRPr="00065207">
        <w:rPr>
          <w:rFonts w:cs="Arial"/>
        </w:rPr>
        <w:t>Current 3 – 9 programs include:</w:t>
      </w:r>
    </w:p>
    <w:p w:rsidR="00D21EC5" w:rsidRPr="008E3805" w:rsidRDefault="00D21EC5" w:rsidP="00D21EC5">
      <w:pPr>
        <w:pStyle w:val="ListParagraph"/>
        <w:numPr>
          <w:ilvl w:val="1"/>
          <w:numId w:val="31"/>
        </w:numPr>
        <w:autoSpaceDE w:val="0"/>
        <w:autoSpaceDN w:val="0"/>
        <w:adjustRightInd w:val="0"/>
        <w:spacing w:before="120" w:after="200" w:line="240" w:lineRule="auto"/>
        <w:rPr>
          <w:rFonts w:ascii="Arial" w:hAnsi="Arial" w:cs="Arial"/>
        </w:rPr>
      </w:pPr>
      <w:r w:rsidRPr="008E3805">
        <w:rPr>
          <w:rFonts w:cs="Arial"/>
        </w:rPr>
        <w:t>A range of courses for the community</w:t>
      </w:r>
      <w:r>
        <w:rPr>
          <w:rFonts w:cs="Arial"/>
        </w:rPr>
        <w:t xml:space="preserve">, with </w:t>
      </w:r>
      <w:r w:rsidRPr="008E3805">
        <w:rPr>
          <w:rFonts w:cs="Arial"/>
        </w:rPr>
        <w:t>154 regular attendees. Current courses include</w:t>
      </w:r>
      <w:r>
        <w:rPr>
          <w:rFonts w:cs="Arial"/>
        </w:rPr>
        <w:t>:</w:t>
      </w:r>
      <w:r>
        <w:rPr>
          <w:rFonts w:ascii="Arial" w:hAnsi="Arial" w:cs="Arial"/>
        </w:rPr>
        <w:t xml:space="preserve"> </w:t>
      </w:r>
    </w:p>
    <w:tbl>
      <w:tblPr>
        <w:tblStyle w:val="TableGrid"/>
        <w:tblW w:w="8706" w:type="dxa"/>
        <w:tblInd w:w="435" w:type="dxa"/>
        <w:tblLook w:val="04A0" w:firstRow="1" w:lastRow="0" w:firstColumn="1" w:lastColumn="0" w:noHBand="0" w:noVBand="1"/>
      </w:tblPr>
      <w:tblGrid>
        <w:gridCol w:w="2884"/>
        <w:gridCol w:w="2928"/>
        <w:gridCol w:w="2894"/>
      </w:tblGrid>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Car Maintenance</w:t>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Woodwork</w:t>
            </w:r>
            <w:r w:rsidRPr="002A21D6">
              <w:rPr>
                <w:rFonts w:cs="Arial"/>
                <w:sz w:val="18"/>
                <w:szCs w:val="18"/>
              </w:rPr>
              <w:tab/>
            </w:r>
            <w:r w:rsidRPr="002A21D6">
              <w:rPr>
                <w:rFonts w:cs="Arial"/>
                <w:sz w:val="18"/>
                <w:szCs w:val="18"/>
              </w:rPr>
              <w:tab/>
            </w:r>
          </w:p>
        </w:tc>
        <w:tc>
          <w:tcPr>
            <w:tcW w:w="2894" w:type="dxa"/>
          </w:tcPr>
          <w:p w:rsidR="00D21EC5" w:rsidRPr="002A21D6" w:rsidRDefault="00D21EC5" w:rsidP="005B142B">
            <w:pPr>
              <w:autoSpaceDE w:val="0"/>
              <w:autoSpaceDN w:val="0"/>
              <w:adjustRightInd w:val="0"/>
              <w:spacing w:before="120"/>
              <w:ind w:left="83"/>
              <w:rPr>
                <w:rFonts w:cs="Arial"/>
                <w:sz w:val="18"/>
                <w:szCs w:val="18"/>
              </w:rPr>
            </w:pPr>
            <w:r w:rsidRPr="002A21D6">
              <w:rPr>
                <w:rFonts w:cs="Arial"/>
                <w:sz w:val="18"/>
                <w:szCs w:val="18"/>
              </w:rPr>
              <w:t xml:space="preserve">First Aid </w:t>
            </w:r>
          </w:p>
        </w:tc>
      </w:tr>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Dance and Drama</w:t>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Welding</w:t>
            </w:r>
            <w:r w:rsidRPr="002A21D6">
              <w:rPr>
                <w:rFonts w:cs="Arial"/>
                <w:sz w:val="18"/>
                <w:szCs w:val="18"/>
              </w:rPr>
              <w:tab/>
            </w:r>
          </w:p>
        </w:tc>
        <w:tc>
          <w:tcPr>
            <w:tcW w:w="2894" w:type="dxa"/>
          </w:tcPr>
          <w:p w:rsidR="00D21EC5" w:rsidRPr="002A21D6" w:rsidRDefault="00D21EC5" w:rsidP="005B142B">
            <w:pPr>
              <w:autoSpaceDE w:val="0"/>
              <w:autoSpaceDN w:val="0"/>
              <w:adjustRightInd w:val="0"/>
              <w:spacing w:before="120"/>
              <w:ind w:left="83"/>
              <w:rPr>
                <w:rFonts w:cs="Arial"/>
                <w:sz w:val="18"/>
                <w:szCs w:val="18"/>
              </w:rPr>
            </w:pPr>
            <w:r w:rsidRPr="002A21D6">
              <w:rPr>
                <w:rFonts w:cs="Arial"/>
                <w:sz w:val="18"/>
                <w:szCs w:val="18"/>
              </w:rPr>
              <w:t>Drum Beat</w:t>
            </w:r>
          </w:p>
        </w:tc>
      </w:tr>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 xml:space="preserve">Traditional </w:t>
            </w:r>
            <w:proofErr w:type="spellStart"/>
            <w:r w:rsidRPr="002A21D6">
              <w:rPr>
                <w:rFonts w:cs="Arial"/>
                <w:sz w:val="18"/>
                <w:szCs w:val="18"/>
              </w:rPr>
              <w:t>Yolngu</w:t>
            </w:r>
            <w:proofErr w:type="spellEnd"/>
            <w:r w:rsidRPr="002A21D6">
              <w:rPr>
                <w:rFonts w:cs="Arial"/>
                <w:sz w:val="18"/>
                <w:szCs w:val="18"/>
              </w:rPr>
              <w:t xml:space="preserve"> art</w:t>
            </w:r>
            <w:r w:rsidRPr="002A21D6">
              <w:rPr>
                <w:rFonts w:cs="Arial"/>
                <w:sz w:val="18"/>
                <w:szCs w:val="18"/>
              </w:rPr>
              <w:tab/>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ITC for Life</w:t>
            </w:r>
          </w:p>
        </w:tc>
        <w:tc>
          <w:tcPr>
            <w:tcW w:w="2894" w:type="dxa"/>
          </w:tcPr>
          <w:p w:rsidR="00D21EC5" w:rsidRPr="002A21D6" w:rsidRDefault="00D21EC5" w:rsidP="005B142B">
            <w:pPr>
              <w:autoSpaceDE w:val="0"/>
              <w:autoSpaceDN w:val="0"/>
              <w:adjustRightInd w:val="0"/>
              <w:spacing w:before="120"/>
              <w:ind w:left="83"/>
              <w:rPr>
                <w:rFonts w:cs="Arial"/>
                <w:sz w:val="18"/>
                <w:szCs w:val="18"/>
              </w:rPr>
            </w:pPr>
            <w:r w:rsidRPr="002A21D6">
              <w:rPr>
                <w:rFonts w:cs="Arial"/>
                <w:sz w:val="18"/>
                <w:szCs w:val="18"/>
              </w:rPr>
              <w:t>Fork Lift Ticket</w:t>
            </w:r>
          </w:p>
        </w:tc>
      </w:tr>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Visual Art</w:t>
            </w:r>
            <w:r w:rsidRPr="002A21D6">
              <w:rPr>
                <w:rFonts w:cs="Arial"/>
                <w:sz w:val="18"/>
                <w:szCs w:val="18"/>
              </w:rPr>
              <w:tab/>
            </w:r>
            <w:r w:rsidRPr="002A21D6">
              <w:rPr>
                <w:rFonts w:cs="Arial"/>
                <w:sz w:val="18"/>
                <w:szCs w:val="18"/>
              </w:rPr>
              <w:tab/>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Maths for Men</w:t>
            </w:r>
          </w:p>
        </w:tc>
        <w:tc>
          <w:tcPr>
            <w:tcW w:w="2894" w:type="dxa"/>
          </w:tcPr>
          <w:p w:rsidR="00D21EC5" w:rsidRPr="002A21D6" w:rsidRDefault="00D21EC5" w:rsidP="005B142B">
            <w:pPr>
              <w:autoSpaceDE w:val="0"/>
              <w:autoSpaceDN w:val="0"/>
              <w:adjustRightInd w:val="0"/>
              <w:spacing w:before="120"/>
              <w:ind w:left="83"/>
              <w:rPr>
                <w:rFonts w:cs="Arial"/>
                <w:sz w:val="18"/>
                <w:szCs w:val="18"/>
              </w:rPr>
            </w:pPr>
            <w:proofErr w:type="spellStart"/>
            <w:r w:rsidRPr="002A21D6">
              <w:rPr>
                <w:rFonts w:cs="Arial"/>
                <w:sz w:val="18"/>
                <w:szCs w:val="18"/>
              </w:rPr>
              <w:t>4X4</w:t>
            </w:r>
            <w:proofErr w:type="spellEnd"/>
            <w:r w:rsidRPr="002A21D6">
              <w:rPr>
                <w:rFonts w:cs="Arial"/>
                <w:sz w:val="18"/>
                <w:szCs w:val="18"/>
              </w:rPr>
              <w:t xml:space="preserve"> Driving Training</w:t>
            </w:r>
          </w:p>
        </w:tc>
      </w:tr>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 xml:space="preserve">Traditional </w:t>
            </w:r>
            <w:proofErr w:type="spellStart"/>
            <w:r w:rsidRPr="002A21D6">
              <w:rPr>
                <w:rFonts w:cs="Arial"/>
                <w:sz w:val="18"/>
                <w:szCs w:val="18"/>
              </w:rPr>
              <w:t>Yolngu</w:t>
            </w:r>
            <w:proofErr w:type="spellEnd"/>
            <w:r w:rsidRPr="002A21D6">
              <w:rPr>
                <w:rFonts w:cs="Arial"/>
                <w:sz w:val="18"/>
                <w:szCs w:val="18"/>
              </w:rPr>
              <w:t xml:space="preserve"> Dancing </w:t>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Pathways to Motel Employment</w:t>
            </w:r>
          </w:p>
        </w:tc>
        <w:tc>
          <w:tcPr>
            <w:tcW w:w="2894" w:type="dxa"/>
          </w:tcPr>
          <w:p w:rsidR="00D21EC5" w:rsidRPr="002A21D6" w:rsidRDefault="00D21EC5" w:rsidP="005B142B">
            <w:pPr>
              <w:autoSpaceDE w:val="0"/>
              <w:autoSpaceDN w:val="0"/>
              <w:adjustRightInd w:val="0"/>
              <w:spacing w:before="120"/>
              <w:ind w:left="83"/>
              <w:rPr>
                <w:rFonts w:cs="Arial"/>
                <w:sz w:val="18"/>
                <w:szCs w:val="18"/>
              </w:rPr>
            </w:pPr>
            <w:proofErr w:type="spellStart"/>
            <w:r w:rsidRPr="002A21D6">
              <w:rPr>
                <w:rFonts w:cs="Arial"/>
                <w:sz w:val="18"/>
                <w:szCs w:val="18"/>
              </w:rPr>
              <w:t>Yolngu</w:t>
            </w:r>
            <w:proofErr w:type="spellEnd"/>
            <w:r w:rsidRPr="002A21D6">
              <w:rPr>
                <w:rFonts w:cs="Arial"/>
                <w:sz w:val="18"/>
                <w:szCs w:val="18"/>
              </w:rPr>
              <w:t xml:space="preserve"> Dream Time Stories</w:t>
            </w:r>
          </w:p>
        </w:tc>
      </w:tr>
      <w:tr w:rsidR="00D21EC5" w:rsidRPr="00747608" w:rsidTr="005B142B">
        <w:trPr>
          <w:trHeight w:val="408"/>
        </w:trPr>
        <w:tc>
          <w:tcPr>
            <w:tcW w:w="2884" w:type="dxa"/>
          </w:tcPr>
          <w:p w:rsidR="00D21EC5" w:rsidRPr="002A21D6" w:rsidRDefault="00D21EC5" w:rsidP="005B142B">
            <w:pPr>
              <w:autoSpaceDE w:val="0"/>
              <w:autoSpaceDN w:val="0"/>
              <w:adjustRightInd w:val="0"/>
              <w:spacing w:before="120"/>
              <w:ind w:left="132"/>
              <w:rPr>
                <w:rFonts w:cs="Arial"/>
                <w:sz w:val="18"/>
                <w:szCs w:val="18"/>
              </w:rPr>
            </w:pPr>
            <w:r w:rsidRPr="002A21D6">
              <w:rPr>
                <w:rFonts w:cs="Arial"/>
                <w:sz w:val="18"/>
                <w:szCs w:val="18"/>
              </w:rPr>
              <w:t>Young Women with Babies</w:t>
            </w:r>
          </w:p>
        </w:tc>
        <w:tc>
          <w:tcPr>
            <w:tcW w:w="2928" w:type="dxa"/>
          </w:tcPr>
          <w:p w:rsidR="00D21EC5" w:rsidRPr="002A21D6" w:rsidRDefault="00D21EC5" w:rsidP="005B142B">
            <w:pPr>
              <w:autoSpaceDE w:val="0"/>
              <w:autoSpaceDN w:val="0"/>
              <w:adjustRightInd w:val="0"/>
              <w:spacing w:before="120"/>
              <w:ind w:left="176"/>
              <w:rPr>
                <w:rFonts w:cs="Arial"/>
                <w:sz w:val="18"/>
                <w:szCs w:val="18"/>
              </w:rPr>
            </w:pPr>
            <w:r w:rsidRPr="002A21D6">
              <w:rPr>
                <w:rFonts w:cs="Arial"/>
                <w:sz w:val="18"/>
                <w:szCs w:val="18"/>
              </w:rPr>
              <w:t>AFL Level 1 umpires Certificate</w:t>
            </w:r>
          </w:p>
        </w:tc>
        <w:tc>
          <w:tcPr>
            <w:tcW w:w="2894" w:type="dxa"/>
          </w:tcPr>
          <w:p w:rsidR="00D21EC5" w:rsidRPr="002A21D6" w:rsidRDefault="00D21EC5" w:rsidP="005B142B">
            <w:pPr>
              <w:autoSpaceDE w:val="0"/>
              <w:autoSpaceDN w:val="0"/>
              <w:adjustRightInd w:val="0"/>
              <w:spacing w:before="120"/>
              <w:ind w:left="83"/>
              <w:rPr>
                <w:rFonts w:cs="Arial"/>
                <w:sz w:val="18"/>
                <w:szCs w:val="18"/>
              </w:rPr>
            </w:pPr>
            <w:r w:rsidRPr="002A21D6">
              <w:rPr>
                <w:rFonts w:cs="Arial"/>
                <w:sz w:val="18"/>
                <w:szCs w:val="18"/>
              </w:rPr>
              <w:t>Mental Health Program</w:t>
            </w:r>
          </w:p>
        </w:tc>
      </w:tr>
    </w:tbl>
    <w:p w:rsidR="00D21EC5" w:rsidRPr="00573798" w:rsidRDefault="00D21EC5" w:rsidP="00D21EC5">
      <w:pPr>
        <w:pStyle w:val="ListParagraph"/>
        <w:spacing w:after="120" w:line="240" w:lineRule="auto"/>
        <w:rPr>
          <w:rFonts w:ascii="Arial" w:hAnsi="Arial" w:cs="Arial"/>
        </w:rPr>
      </w:pPr>
    </w:p>
    <w:p w:rsidR="00D21EC5" w:rsidRPr="008E3805" w:rsidRDefault="00D21EC5" w:rsidP="00D21EC5">
      <w:pPr>
        <w:pStyle w:val="ListParagraph"/>
        <w:numPr>
          <w:ilvl w:val="1"/>
          <w:numId w:val="31"/>
        </w:numPr>
        <w:autoSpaceDE w:val="0"/>
        <w:autoSpaceDN w:val="0"/>
        <w:adjustRightInd w:val="0"/>
        <w:spacing w:before="120" w:after="200" w:line="240" w:lineRule="auto"/>
        <w:rPr>
          <w:rFonts w:cs="Arial"/>
        </w:rPr>
      </w:pPr>
      <w:r w:rsidRPr="008E3805">
        <w:rPr>
          <w:rFonts w:cs="Arial"/>
        </w:rPr>
        <w:t xml:space="preserve">Three Drivers Licensing programs have been run, with a 100% success rate. </w:t>
      </w:r>
    </w:p>
    <w:p w:rsidR="00D21EC5" w:rsidRPr="002A21D6" w:rsidRDefault="00D21EC5" w:rsidP="00D21EC5">
      <w:pPr>
        <w:autoSpaceDE w:val="0"/>
        <w:autoSpaceDN w:val="0"/>
        <w:adjustRightInd w:val="0"/>
        <w:rPr>
          <w:rFonts w:cs="Arial"/>
          <w:b/>
        </w:rPr>
      </w:pPr>
      <w:proofErr w:type="spellStart"/>
      <w:r w:rsidRPr="002A21D6">
        <w:rPr>
          <w:rFonts w:cs="Arial"/>
          <w:b/>
        </w:rPr>
        <w:t>Yambirrpa</w:t>
      </w:r>
      <w:proofErr w:type="spellEnd"/>
      <w:r w:rsidRPr="002A21D6">
        <w:rPr>
          <w:rFonts w:cs="Arial"/>
          <w:b/>
        </w:rPr>
        <w:t xml:space="preserve"> (Yirrkala) College</w:t>
      </w:r>
    </w:p>
    <w:p w:rsidR="00D21EC5" w:rsidRDefault="00D21EC5" w:rsidP="00D21EC5">
      <w:pPr>
        <w:pStyle w:val="ListParagraph"/>
        <w:numPr>
          <w:ilvl w:val="0"/>
          <w:numId w:val="31"/>
        </w:numPr>
        <w:autoSpaceDE w:val="0"/>
        <w:autoSpaceDN w:val="0"/>
        <w:adjustRightInd w:val="0"/>
        <w:spacing w:after="200"/>
        <w:rPr>
          <w:rFonts w:cs="Arial"/>
        </w:rPr>
      </w:pPr>
      <w:r w:rsidRPr="002A21D6">
        <w:rPr>
          <w:rFonts w:cs="Arial"/>
          <w:i/>
        </w:rPr>
        <w:t>VET in the Middle</w:t>
      </w:r>
      <w:r w:rsidRPr="002A21D6">
        <w:rPr>
          <w:rFonts w:cs="Arial"/>
        </w:rPr>
        <w:t xml:space="preserve"> programming and recruitment of a trainer have commenced for the delivery of Certificate 1 in Hospitality. </w:t>
      </w:r>
    </w:p>
    <w:p w:rsidR="00D21EC5" w:rsidRPr="002A21D6" w:rsidRDefault="00D21EC5" w:rsidP="00D21EC5">
      <w:pPr>
        <w:pStyle w:val="ListParagraph"/>
        <w:numPr>
          <w:ilvl w:val="0"/>
          <w:numId w:val="31"/>
        </w:numPr>
        <w:autoSpaceDE w:val="0"/>
        <w:autoSpaceDN w:val="0"/>
        <w:adjustRightInd w:val="0"/>
        <w:spacing w:after="200"/>
        <w:rPr>
          <w:rFonts w:cs="Arial"/>
        </w:rPr>
      </w:pPr>
      <w:r w:rsidRPr="002A21D6">
        <w:rPr>
          <w:rFonts w:cs="Arial"/>
          <w:i/>
        </w:rPr>
        <w:t>Enrolment and Attendance</w:t>
      </w:r>
      <w:r w:rsidRPr="002A21D6">
        <w:rPr>
          <w:rFonts w:cs="Arial"/>
        </w:rPr>
        <w:t xml:space="preserve"> </w:t>
      </w:r>
      <w:r>
        <w:rPr>
          <w:rFonts w:cs="Arial"/>
        </w:rPr>
        <w:t xml:space="preserve">- </w:t>
      </w:r>
      <w:r w:rsidRPr="002A21D6">
        <w:rPr>
          <w:rFonts w:cs="Arial"/>
        </w:rPr>
        <w:t>will focus on developing strategies to address the challenges of mobility between homelands and Yirrkala. Current work is about clarifying cultural and environmental impacts on attendance then identifying strategies that support students and families.</w:t>
      </w:r>
    </w:p>
    <w:p w:rsidR="00D21EC5" w:rsidRPr="002A21D6" w:rsidRDefault="00D21EC5" w:rsidP="00D21EC5">
      <w:pPr>
        <w:pStyle w:val="ListParagraph"/>
        <w:numPr>
          <w:ilvl w:val="0"/>
          <w:numId w:val="31"/>
        </w:numPr>
        <w:autoSpaceDE w:val="0"/>
        <w:autoSpaceDN w:val="0"/>
        <w:adjustRightInd w:val="0"/>
        <w:spacing w:after="200"/>
        <w:rPr>
          <w:rFonts w:cs="Arial"/>
        </w:rPr>
      </w:pPr>
      <w:r w:rsidRPr="002A21D6">
        <w:rPr>
          <w:rFonts w:cs="Arial"/>
          <w:i/>
        </w:rPr>
        <w:t>3-9 Programs</w:t>
      </w:r>
      <w:r w:rsidRPr="002A21D6">
        <w:rPr>
          <w:rFonts w:cs="Arial"/>
        </w:rPr>
        <w:t xml:space="preserve"> are providing after</w:t>
      </w:r>
      <w:r>
        <w:rPr>
          <w:rFonts w:cs="Arial"/>
        </w:rPr>
        <w:t>-</w:t>
      </w:r>
      <w:r w:rsidRPr="002A21D6">
        <w:rPr>
          <w:rFonts w:cs="Arial"/>
        </w:rPr>
        <w:t xml:space="preserve">hours access at Yirrkala and </w:t>
      </w:r>
      <w:r>
        <w:rPr>
          <w:rFonts w:cs="Arial"/>
        </w:rPr>
        <w:t xml:space="preserve">have </w:t>
      </w:r>
      <w:r w:rsidRPr="002A21D6">
        <w:rPr>
          <w:rFonts w:cs="Arial"/>
        </w:rPr>
        <w:t xml:space="preserve">seen increased confidence and participation </w:t>
      </w:r>
      <w:r>
        <w:rPr>
          <w:rFonts w:cs="Arial"/>
        </w:rPr>
        <w:t xml:space="preserve">in </w:t>
      </w:r>
      <w:r w:rsidRPr="002A21D6">
        <w:rPr>
          <w:rFonts w:cs="Arial"/>
        </w:rPr>
        <w:t xml:space="preserve">learning. Current programs </w:t>
      </w:r>
      <w:r>
        <w:rPr>
          <w:rFonts w:cs="Arial"/>
        </w:rPr>
        <w:t>include</w:t>
      </w:r>
      <w:r w:rsidRPr="002A21D6">
        <w:rPr>
          <w:rFonts w:cs="Arial"/>
        </w:rPr>
        <w:t>:</w:t>
      </w:r>
    </w:p>
    <w:p w:rsidR="00D21EC5" w:rsidRPr="002A21D6" w:rsidRDefault="00D21EC5" w:rsidP="00D21EC5">
      <w:pPr>
        <w:pStyle w:val="ListParagraph"/>
        <w:numPr>
          <w:ilvl w:val="1"/>
          <w:numId w:val="31"/>
        </w:numPr>
        <w:autoSpaceDE w:val="0"/>
        <w:autoSpaceDN w:val="0"/>
        <w:adjustRightInd w:val="0"/>
        <w:spacing w:before="120" w:after="200" w:line="240" w:lineRule="auto"/>
        <w:rPr>
          <w:rFonts w:cs="Arial"/>
        </w:rPr>
      </w:pPr>
      <w:r w:rsidRPr="002A21D6">
        <w:rPr>
          <w:rFonts w:cs="Arial"/>
        </w:rPr>
        <w:lastRenderedPageBreak/>
        <w:t xml:space="preserve">School leaders and staff currently undertaking consultations with community regarding pre-VET and VET course needs for the 3-9 Programs which will inform decisions about adult training budget. </w:t>
      </w:r>
    </w:p>
    <w:p w:rsidR="00D21EC5" w:rsidRPr="002A21D6" w:rsidRDefault="00D21EC5" w:rsidP="00D21EC5">
      <w:pPr>
        <w:pStyle w:val="ListParagraph"/>
        <w:numPr>
          <w:ilvl w:val="1"/>
          <w:numId w:val="31"/>
        </w:numPr>
        <w:autoSpaceDE w:val="0"/>
        <w:autoSpaceDN w:val="0"/>
        <w:adjustRightInd w:val="0"/>
        <w:spacing w:before="120" w:after="200" w:line="240" w:lineRule="auto"/>
        <w:rPr>
          <w:rFonts w:cs="Arial"/>
        </w:rPr>
      </w:pPr>
      <w:r w:rsidRPr="002A21D6">
        <w:rPr>
          <w:rFonts w:cs="Arial"/>
        </w:rPr>
        <w:t>Negotiation underway for the appointment of a trainer in</w:t>
      </w:r>
      <w:r>
        <w:rPr>
          <w:rFonts w:cs="Arial"/>
        </w:rPr>
        <w:t xml:space="preserve"> </w:t>
      </w:r>
      <w:r w:rsidRPr="002A21D6">
        <w:rPr>
          <w:rFonts w:cs="Arial"/>
        </w:rPr>
        <w:t>11/12 financial year.</w:t>
      </w:r>
    </w:p>
    <w:p w:rsidR="00D21EC5" w:rsidRPr="00890B70" w:rsidRDefault="00D21EC5" w:rsidP="00D21EC5">
      <w:pPr>
        <w:pStyle w:val="Default"/>
        <w:numPr>
          <w:ilvl w:val="0"/>
          <w:numId w:val="29"/>
        </w:numPr>
        <w:spacing w:before="120"/>
        <w:rPr>
          <w:rFonts w:asciiTheme="minorHAnsi" w:hAnsiTheme="minorHAnsi" w:cstheme="minorHAnsi"/>
          <w:b/>
          <w:i/>
          <w:color w:val="auto"/>
          <w:sz w:val="22"/>
          <w:szCs w:val="22"/>
        </w:rPr>
      </w:pPr>
      <w:r w:rsidRPr="00890B70">
        <w:rPr>
          <w:rFonts w:asciiTheme="minorHAnsi" w:hAnsiTheme="minorHAnsi" w:cstheme="minorHAnsi"/>
          <w:b/>
          <w:i/>
          <w:color w:val="auto"/>
          <w:sz w:val="22"/>
          <w:szCs w:val="22"/>
        </w:rPr>
        <w:t>The ‘Jobs Guarantee’</w:t>
      </w:r>
    </w:p>
    <w:p w:rsidR="00D21EC5" w:rsidRPr="00890B70" w:rsidRDefault="00D21EC5" w:rsidP="00D21EC5">
      <w:pPr>
        <w:autoSpaceDE w:val="0"/>
        <w:autoSpaceDN w:val="0"/>
        <w:adjustRightInd w:val="0"/>
        <w:rPr>
          <w:rFonts w:cs="Arial"/>
        </w:rPr>
      </w:pPr>
      <w:r w:rsidRPr="00890B70">
        <w:rPr>
          <w:rFonts w:cs="Arial"/>
        </w:rPr>
        <w:t>Northern Territory Certificate of Education and Training (</w:t>
      </w:r>
      <w:proofErr w:type="spellStart"/>
      <w:r w:rsidRPr="00890B70">
        <w:rPr>
          <w:rFonts w:cs="Arial"/>
        </w:rPr>
        <w:t>NTCET</w:t>
      </w:r>
      <w:proofErr w:type="spellEnd"/>
      <w:r w:rsidRPr="00890B70">
        <w:rPr>
          <w:rFonts w:cs="Arial"/>
        </w:rPr>
        <w:t xml:space="preserve">) graduates from Territory Growth Towns are guaranteed a pathway to an Apprenticeship or base-grade employment in a Northern Territory Government Agency. </w:t>
      </w:r>
    </w:p>
    <w:p w:rsidR="00D21EC5" w:rsidRPr="00CA2D5D" w:rsidRDefault="00D21EC5" w:rsidP="00D21EC5">
      <w:pPr>
        <w:autoSpaceDE w:val="0"/>
        <w:autoSpaceDN w:val="0"/>
        <w:adjustRightInd w:val="0"/>
        <w:spacing w:before="120" w:after="120"/>
        <w:rPr>
          <w:rFonts w:cs="Arial"/>
          <w:bCs/>
        </w:rPr>
      </w:pPr>
      <w:r w:rsidRPr="00CA2D5D">
        <w:rPr>
          <w:rFonts w:cs="Arial"/>
        </w:rPr>
        <w:t xml:space="preserve">The </w:t>
      </w:r>
      <w:r w:rsidRPr="00CA2D5D">
        <w:rPr>
          <w:rFonts w:cs="Arial"/>
          <w:i/>
        </w:rPr>
        <w:t>Jobs Guarantee</w:t>
      </w:r>
      <w:r w:rsidRPr="00CA2D5D">
        <w:rPr>
          <w:rFonts w:cs="Arial"/>
        </w:rPr>
        <w:t xml:space="preserve"> may involve participants being offered work outside of their home town, but the priority </w:t>
      </w:r>
      <w:r>
        <w:rPr>
          <w:rFonts w:cs="Arial"/>
        </w:rPr>
        <w:t>is</w:t>
      </w:r>
      <w:r w:rsidRPr="00CA2D5D">
        <w:rPr>
          <w:rFonts w:cs="Arial"/>
        </w:rPr>
        <w:t xml:space="preserve"> on ‘local jobs for local people’.</w:t>
      </w:r>
    </w:p>
    <w:p w:rsidR="00D21EC5" w:rsidRPr="00890B70" w:rsidRDefault="00D21EC5" w:rsidP="00D21EC5">
      <w:pPr>
        <w:autoSpaceDE w:val="0"/>
        <w:autoSpaceDN w:val="0"/>
        <w:adjustRightInd w:val="0"/>
        <w:rPr>
          <w:rFonts w:cs="Arial"/>
        </w:rPr>
      </w:pPr>
      <w:r w:rsidRPr="00890B70">
        <w:rPr>
          <w:rFonts w:cs="Arial"/>
        </w:rPr>
        <w:t xml:space="preserve">There is no compulsion for </w:t>
      </w:r>
      <w:proofErr w:type="spellStart"/>
      <w:r w:rsidRPr="00890B70">
        <w:rPr>
          <w:rFonts w:cs="Arial"/>
        </w:rPr>
        <w:t>NTCET</w:t>
      </w:r>
      <w:proofErr w:type="spellEnd"/>
      <w:r w:rsidRPr="00890B70">
        <w:rPr>
          <w:rFonts w:cs="Arial"/>
        </w:rPr>
        <w:t xml:space="preserve"> graduates to take up the offer of the Jobs Guarantee.</w:t>
      </w:r>
    </w:p>
    <w:p w:rsidR="00D21EC5" w:rsidRPr="00890B70" w:rsidRDefault="00D21EC5" w:rsidP="00D21EC5">
      <w:pPr>
        <w:autoSpaceDE w:val="0"/>
        <w:autoSpaceDN w:val="0"/>
        <w:adjustRightInd w:val="0"/>
        <w:spacing w:before="120" w:after="120"/>
        <w:rPr>
          <w:rFonts w:cs="Arial"/>
        </w:rPr>
      </w:pPr>
      <w:r w:rsidRPr="00890B70">
        <w:rPr>
          <w:rFonts w:cs="Arial"/>
        </w:rPr>
        <w:t>The Jobs Guarantee program forms part of the overarching Local Jobs for Local People initiative and complements the Department of Education and Training’s (</w:t>
      </w:r>
      <w:proofErr w:type="spellStart"/>
      <w:r w:rsidRPr="00890B70">
        <w:rPr>
          <w:rFonts w:cs="Arial"/>
        </w:rPr>
        <w:t>DET</w:t>
      </w:r>
      <w:proofErr w:type="spellEnd"/>
      <w:r w:rsidRPr="00890B70">
        <w:rPr>
          <w:rFonts w:cs="Arial"/>
        </w:rPr>
        <w:t>) Beyond School Guarantee (</w:t>
      </w:r>
      <w:proofErr w:type="spellStart"/>
      <w:r w:rsidRPr="00890B70">
        <w:rPr>
          <w:rFonts w:cs="Arial"/>
        </w:rPr>
        <w:t>BSG</w:t>
      </w:r>
      <w:proofErr w:type="spellEnd"/>
      <w:r w:rsidRPr="00890B70">
        <w:rPr>
          <w:rFonts w:cs="Arial"/>
        </w:rPr>
        <w:t xml:space="preserve">).  The </w:t>
      </w:r>
      <w:proofErr w:type="spellStart"/>
      <w:r w:rsidRPr="00890B70">
        <w:rPr>
          <w:rFonts w:cs="Arial"/>
        </w:rPr>
        <w:t>BSG</w:t>
      </w:r>
      <w:proofErr w:type="spellEnd"/>
      <w:r w:rsidRPr="00890B70">
        <w:rPr>
          <w:rFonts w:cs="Arial"/>
        </w:rPr>
        <w:t xml:space="preserve"> commits </w:t>
      </w:r>
      <w:proofErr w:type="spellStart"/>
      <w:r w:rsidRPr="00890B70">
        <w:rPr>
          <w:rFonts w:cs="Arial"/>
        </w:rPr>
        <w:t>DET</w:t>
      </w:r>
      <w:proofErr w:type="spellEnd"/>
      <w:r w:rsidRPr="00890B70">
        <w:rPr>
          <w:rFonts w:cs="Arial"/>
        </w:rPr>
        <w:t xml:space="preserve"> to work with senior secondary students to provide pathways to work, university or further training subject to students fulfilling certain requirements. </w:t>
      </w:r>
    </w:p>
    <w:p w:rsidR="00D21EC5" w:rsidRPr="00F12019" w:rsidRDefault="00D21EC5" w:rsidP="00D21EC5">
      <w:pPr>
        <w:autoSpaceDE w:val="0"/>
        <w:autoSpaceDN w:val="0"/>
        <w:adjustRightInd w:val="0"/>
        <w:rPr>
          <w:rFonts w:cs="Arial"/>
          <w:bCs/>
          <w:i/>
        </w:rPr>
      </w:pPr>
      <w:r w:rsidRPr="00F12019">
        <w:rPr>
          <w:rFonts w:cs="Arial"/>
          <w:bCs/>
          <w:i/>
        </w:rPr>
        <w:t>2010 Jobs Guarantee Summary</w:t>
      </w:r>
    </w:p>
    <w:p w:rsidR="00D21EC5" w:rsidRPr="00697D36" w:rsidRDefault="00D21EC5" w:rsidP="00D21EC5">
      <w:pPr>
        <w:pStyle w:val="ListParagraph"/>
        <w:numPr>
          <w:ilvl w:val="0"/>
          <w:numId w:val="21"/>
        </w:numPr>
        <w:autoSpaceDE w:val="0"/>
        <w:autoSpaceDN w:val="0"/>
        <w:adjustRightInd w:val="0"/>
        <w:spacing w:line="240" w:lineRule="auto"/>
        <w:contextualSpacing w:val="0"/>
        <w:rPr>
          <w:rFonts w:cs="Arial"/>
          <w:bCs/>
        </w:rPr>
      </w:pPr>
      <w:r w:rsidRPr="00697D36">
        <w:rPr>
          <w:rFonts w:cs="Arial"/>
          <w:bCs/>
        </w:rPr>
        <w:t xml:space="preserve">There were 25 </w:t>
      </w:r>
      <w:proofErr w:type="spellStart"/>
      <w:r w:rsidRPr="00697D36">
        <w:rPr>
          <w:rFonts w:cs="Arial"/>
          <w:bCs/>
        </w:rPr>
        <w:t>NTCET</w:t>
      </w:r>
      <w:proofErr w:type="spellEnd"/>
      <w:r w:rsidRPr="00697D36">
        <w:rPr>
          <w:rFonts w:cs="Arial"/>
          <w:bCs/>
        </w:rPr>
        <w:t xml:space="preserve"> completers from 10 of the 20 growth towns</w:t>
      </w:r>
      <w:r>
        <w:rPr>
          <w:rFonts w:cs="Arial"/>
          <w:bCs/>
        </w:rPr>
        <w:t>.</w:t>
      </w:r>
      <w:r w:rsidRPr="00697D36">
        <w:rPr>
          <w:rFonts w:cs="Arial"/>
          <w:bCs/>
        </w:rPr>
        <w:t xml:space="preserve"> </w:t>
      </w:r>
    </w:p>
    <w:p w:rsidR="00D21EC5" w:rsidRPr="00697D36" w:rsidRDefault="00D21EC5" w:rsidP="00D21EC5">
      <w:pPr>
        <w:pStyle w:val="ListParagraph"/>
        <w:numPr>
          <w:ilvl w:val="0"/>
          <w:numId w:val="21"/>
        </w:numPr>
        <w:autoSpaceDE w:val="0"/>
        <w:autoSpaceDN w:val="0"/>
        <w:adjustRightInd w:val="0"/>
        <w:spacing w:line="240" w:lineRule="auto"/>
        <w:contextualSpacing w:val="0"/>
        <w:rPr>
          <w:rFonts w:cs="Arial"/>
          <w:bCs/>
        </w:rPr>
      </w:pPr>
      <w:r w:rsidRPr="00697D36">
        <w:rPr>
          <w:rFonts w:cs="Arial"/>
          <w:bCs/>
        </w:rPr>
        <w:t>20 NT</w:t>
      </w:r>
      <w:r>
        <w:rPr>
          <w:rFonts w:cs="Arial"/>
          <w:bCs/>
        </w:rPr>
        <w:t xml:space="preserve"> </w:t>
      </w:r>
      <w:r w:rsidRPr="00697D36">
        <w:rPr>
          <w:rFonts w:cs="Arial"/>
          <w:bCs/>
        </w:rPr>
        <w:t>P</w:t>
      </w:r>
      <w:r>
        <w:rPr>
          <w:rFonts w:cs="Arial"/>
          <w:bCs/>
        </w:rPr>
        <w:t xml:space="preserve">ublic </w:t>
      </w:r>
      <w:r w:rsidRPr="00697D36">
        <w:rPr>
          <w:rFonts w:cs="Arial"/>
          <w:bCs/>
        </w:rPr>
        <w:t>S</w:t>
      </w:r>
      <w:r>
        <w:rPr>
          <w:rFonts w:cs="Arial"/>
          <w:bCs/>
        </w:rPr>
        <w:t>ervice (</w:t>
      </w:r>
      <w:proofErr w:type="spellStart"/>
      <w:r>
        <w:rPr>
          <w:rFonts w:cs="Arial"/>
          <w:bCs/>
        </w:rPr>
        <w:t>NTPS</w:t>
      </w:r>
      <w:proofErr w:type="spellEnd"/>
      <w:r>
        <w:rPr>
          <w:rFonts w:cs="Arial"/>
          <w:bCs/>
        </w:rPr>
        <w:t>)</w:t>
      </w:r>
      <w:r w:rsidRPr="00697D36">
        <w:rPr>
          <w:rFonts w:cs="Arial"/>
          <w:bCs/>
        </w:rPr>
        <w:t xml:space="preserve"> positions were offered to the completers in 9 of the 10 growth towns. </w:t>
      </w:r>
    </w:p>
    <w:p w:rsidR="00D21EC5" w:rsidRDefault="00D21EC5" w:rsidP="00D21EC5">
      <w:pPr>
        <w:pStyle w:val="ListParagraph"/>
        <w:numPr>
          <w:ilvl w:val="0"/>
          <w:numId w:val="21"/>
        </w:numPr>
        <w:autoSpaceDE w:val="0"/>
        <w:autoSpaceDN w:val="0"/>
        <w:adjustRightInd w:val="0"/>
        <w:spacing w:line="240" w:lineRule="auto"/>
        <w:contextualSpacing w:val="0"/>
        <w:rPr>
          <w:rFonts w:cs="Arial"/>
          <w:bCs/>
        </w:rPr>
      </w:pPr>
      <w:proofErr w:type="spellStart"/>
      <w:r>
        <w:rPr>
          <w:rFonts w:cs="Arial"/>
          <w:bCs/>
        </w:rPr>
        <w:t>NTPS</w:t>
      </w:r>
      <w:proofErr w:type="spellEnd"/>
      <w:r>
        <w:rPr>
          <w:rFonts w:cs="Arial"/>
          <w:bCs/>
        </w:rPr>
        <w:t xml:space="preserve"> positions included:</w:t>
      </w:r>
    </w:p>
    <w:p w:rsidR="00D21EC5" w:rsidRDefault="00D21EC5" w:rsidP="00D21EC5">
      <w:pPr>
        <w:pStyle w:val="ListParagraph"/>
        <w:numPr>
          <w:ilvl w:val="1"/>
          <w:numId w:val="21"/>
        </w:numPr>
        <w:autoSpaceDE w:val="0"/>
        <w:autoSpaceDN w:val="0"/>
        <w:adjustRightInd w:val="0"/>
        <w:spacing w:line="240" w:lineRule="auto"/>
        <w:contextualSpacing w:val="0"/>
        <w:rPr>
          <w:rFonts w:cs="Arial"/>
          <w:bCs/>
        </w:rPr>
      </w:pPr>
      <w:r>
        <w:rPr>
          <w:rFonts w:cs="Arial"/>
          <w:bCs/>
        </w:rPr>
        <w:t>A</w:t>
      </w:r>
      <w:r w:rsidRPr="00C02CBD">
        <w:rPr>
          <w:rFonts w:cs="Arial"/>
          <w:bCs/>
        </w:rPr>
        <w:t xml:space="preserve">ssistant </w:t>
      </w:r>
      <w:r>
        <w:rPr>
          <w:rFonts w:cs="Arial"/>
          <w:bCs/>
        </w:rPr>
        <w:t>T</w:t>
      </w:r>
      <w:r w:rsidRPr="00C02CBD">
        <w:rPr>
          <w:rFonts w:cs="Arial"/>
          <w:bCs/>
        </w:rPr>
        <w:t>eacher</w:t>
      </w:r>
      <w:r>
        <w:rPr>
          <w:rFonts w:cs="Arial"/>
          <w:bCs/>
        </w:rPr>
        <w:t xml:space="preserve"> traineeships;</w:t>
      </w:r>
    </w:p>
    <w:p w:rsidR="00D21EC5" w:rsidRPr="00C02CBD" w:rsidRDefault="00D21EC5" w:rsidP="00D21EC5">
      <w:pPr>
        <w:pStyle w:val="ListParagraph"/>
        <w:numPr>
          <w:ilvl w:val="1"/>
          <w:numId w:val="21"/>
        </w:numPr>
        <w:autoSpaceDE w:val="0"/>
        <w:autoSpaceDN w:val="0"/>
        <w:adjustRightInd w:val="0"/>
        <w:spacing w:line="240" w:lineRule="auto"/>
        <w:contextualSpacing w:val="0"/>
        <w:rPr>
          <w:rFonts w:cs="Arial"/>
          <w:bCs/>
        </w:rPr>
      </w:pPr>
      <w:r>
        <w:rPr>
          <w:rFonts w:cs="Arial"/>
          <w:bCs/>
        </w:rPr>
        <w:t>Aboriginal Health Worker Apprenticeships; and</w:t>
      </w:r>
    </w:p>
    <w:p w:rsidR="00D21EC5" w:rsidRDefault="00D21EC5" w:rsidP="00D21EC5">
      <w:pPr>
        <w:pStyle w:val="ListParagraph"/>
        <w:numPr>
          <w:ilvl w:val="1"/>
          <w:numId w:val="21"/>
        </w:numPr>
        <w:autoSpaceDE w:val="0"/>
        <w:autoSpaceDN w:val="0"/>
        <w:adjustRightInd w:val="0"/>
        <w:spacing w:line="240" w:lineRule="auto"/>
        <w:contextualSpacing w:val="0"/>
        <w:rPr>
          <w:rFonts w:cs="Arial"/>
          <w:bCs/>
        </w:rPr>
      </w:pPr>
      <w:proofErr w:type="gramStart"/>
      <w:r>
        <w:rPr>
          <w:rFonts w:cs="Arial"/>
          <w:bCs/>
        </w:rPr>
        <w:t>remote</w:t>
      </w:r>
      <w:proofErr w:type="gramEnd"/>
      <w:r>
        <w:rPr>
          <w:rFonts w:cs="Arial"/>
          <w:bCs/>
        </w:rPr>
        <w:t xml:space="preserve"> housing administration.</w:t>
      </w:r>
    </w:p>
    <w:p w:rsidR="00D21EC5" w:rsidRDefault="00D21EC5" w:rsidP="00D21EC5">
      <w:pPr>
        <w:pStyle w:val="ListParagraph"/>
        <w:numPr>
          <w:ilvl w:val="0"/>
          <w:numId w:val="21"/>
        </w:numPr>
        <w:autoSpaceDE w:val="0"/>
        <w:autoSpaceDN w:val="0"/>
        <w:adjustRightInd w:val="0"/>
        <w:spacing w:line="240" w:lineRule="auto"/>
        <w:contextualSpacing w:val="0"/>
        <w:rPr>
          <w:rFonts w:cs="Arial"/>
          <w:bCs/>
        </w:rPr>
      </w:pPr>
      <w:proofErr w:type="spellStart"/>
      <w:r>
        <w:rPr>
          <w:rFonts w:cs="Arial"/>
          <w:bCs/>
        </w:rPr>
        <w:t>NTPS</w:t>
      </w:r>
      <w:proofErr w:type="spellEnd"/>
      <w:r>
        <w:rPr>
          <w:rFonts w:cs="Arial"/>
          <w:bCs/>
        </w:rPr>
        <w:t xml:space="preserve"> jobs were offered in the following Growth Towns:</w:t>
      </w:r>
    </w:p>
    <w:p w:rsidR="00D21EC5" w:rsidRPr="00667FCF" w:rsidRDefault="00D21EC5" w:rsidP="00D21EC5">
      <w:pPr>
        <w:autoSpaceDE w:val="0"/>
        <w:autoSpaceDN w:val="0"/>
        <w:adjustRightInd w:val="0"/>
        <w:ind w:left="360"/>
        <w:rPr>
          <w:rFonts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311"/>
        <w:gridCol w:w="3258"/>
      </w:tblGrid>
      <w:tr w:rsidR="00D21EC5" w:rsidTr="00F12019">
        <w:trPr>
          <w:trHeight w:val="270"/>
        </w:trPr>
        <w:tc>
          <w:tcPr>
            <w:tcW w:w="3332" w:type="dxa"/>
          </w:tcPr>
          <w:p w:rsidR="00D21EC5" w:rsidRDefault="00D21EC5" w:rsidP="00D21EC5">
            <w:pPr>
              <w:pStyle w:val="ListParagraph"/>
              <w:numPr>
                <w:ilvl w:val="1"/>
                <w:numId w:val="21"/>
              </w:numPr>
              <w:autoSpaceDE w:val="0"/>
              <w:autoSpaceDN w:val="0"/>
              <w:adjustRightInd w:val="0"/>
              <w:contextualSpacing w:val="0"/>
              <w:rPr>
                <w:rFonts w:cs="Arial"/>
                <w:bCs/>
              </w:rPr>
            </w:pPr>
            <w:r>
              <w:rPr>
                <w:rFonts w:cs="Arial"/>
                <w:bCs/>
              </w:rPr>
              <w:t>Umbakumba;</w:t>
            </w:r>
          </w:p>
          <w:p w:rsidR="00D21EC5" w:rsidRPr="00667FCF" w:rsidRDefault="00D21EC5" w:rsidP="005B142B">
            <w:pPr>
              <w:autoSpaceDE w:val="0"/>
              <w:autoSpaceDN w:val="0"/>
              <w:adjustRightInd w:val="0"/>
              <w:rPr>
                <w:rFonts w:cs="Arial"/>
                <w:bCs/>
                <w:sz w:val="10"/>
                <w:szCs w:val="10"/>
              </w:rPr>
            </w:pPr>
          </w:p>
        </w:tc>
        <w:tc>
          <w:tcPr>
            <w:tcW w:w="3294" w:type="dxa"/>
          </w:tcPr>
          <w:p w:rsidR="00D21EC5" w:rsidRDefault="00D21EC5" w:rsidP="00D21EC5">
            <w:pPr>
              <w:pStyle w:val="ListParagraph"/>
              <w:numPr>
                <w:ilvl w:val="1"/>
                <w:numId w:val="21"/>
              </w:numPr>
              <w:autoSpaceDE w:val="0"/>
              <w:autoSpaceDN w:val="0"/>
              <w:adjustRightInd w:val="0"/>
              <w:contextualSpacing w:val="0"/>
              <w:rPr>
                <w:rFonts w:cs="Arial"/>
                <w:bCs/>
              </w:rPr>
            </w:pPr>
            <w:r>
              <w:rPr>
                <w:rFonts w:cs="Arial"/>
                <w:bCs/>
              </w:rPr>
              <w:t>Maningrida;</w:t>
            </w:r>
          </w:p>
          <w:p w:rsidR="00D21EC5" w:rsidRPr="00667FCF" w:rsidRDefault="00D21EC5" w:rsidP="005B142B">
            <w:pPr>
              <w:autoSpaceDE w:val="0"/>
              <w:autoSpaceDN w:val="0"/>
              <w:adjustRightInd w:val="0"/>
              <w:rPr>
                <w:rFonts w:cs="Arial"/>
                <w:bCs/>
                <w:sz w:val="10"/>
                <w:szCs w:val="10"/>
              </w:rPr>
            </w:pPr>
          </w:p>
        </w:tc>
        <w:tc>
          <w:tcPr>
            <w:tcW w:w="3193" w:type="dxa"/>
          </w:tcPr>
          <w:p w:rsidR="00D21EC5" w:rsidRDefault="00D21EC5" w:rsidP="00D21EC5">
            <w:pPr>
              <w:pStyle w:val="ListParagraph"/>
              <w:numPr>
                <w:ilvl w:val="1"/>
                <w:numId w:val="21"/>
              </w:numPr>
              <w:autoSpaceDE w:val="0"/>
              <w:autoSpaceDN w:val="0"/>
              <w:adjustRightInd w:val="0"/>
              <w:contextualSpacing w:val="0"/>
              <w:rPr>
                <w:rFonts w:cs="Arial"/>
                <w:bCs/>
              </w:rPr>
            </w:pPr>
            <w:r>
              <w:rPr>
                <w:rFonts w:cs="Arial"/>
                <w:bCs/>
              </w:rPr>
              <w:t>Nguiu;</w:t>
            </w:r>
          </w:p>
          <w:p w:rsidR="00D21EC5" w:rsidRPr="00667FCF" w:rsidRDefault="00D21EC5" w:rsidP="005B142B">
            <w:pPr>
              <w:autoSpaceDE w:val="0"/>
              <w:autoSpaceDN w:val="0"/>
              <w:adjustRightInd w:val="0"/>
              <w:rPr>
                <w:rFonts w:cs="Arial"/>
                <w:bCs/>
                <w:sz w:val="10"/>
                <w:szCs w:val="10"/>
              </w:rPr>
            </w:pPr>
          </w:p>
        </w:tc>
      </w:tr>
      <w:tr w:rsidR="00D21EC5" w:rsidTr="00F12019">
        <w:trPr>
          <w:trHeight w:val="270"/>
        </w:trPr>
        <w:tc>
          <w:tcPr>
            <w:tcW w:w="3332" w:type="dxa"/>
          </w:tcPr>
          <w:p w:rsidR="00D21EC5" w:rsidRDefault="00D21EC5" w:rsidP="00D21EC5">
            <w:pPr>
              <w:pStyle w:val="ListParagraph"/>
              <w:numPr>
                <w:ilvl w:val="1"/>
                <w:numId w:val="21"/>
              </w:numPr>
              <w:autoSpaceDE w:val="0"/>
              <w:autoSpaceDN w:val="0"/>
              <w:adjustRightInd w:val="0"/>
              <w:contextualSpacing w:val="0"/>
              <w:rPr>
                <w:rFonts w:cs="Arial"/>
                <w:bCs/>
              </w:rPr>
            </w:pPr>
            <w:r>
              <w:rPr>
                <w:rFonts w:cs="Arial"/>
                <w:bCs/>
              </w:rPr>
              <w:t>Yirrkala;</w:t>
            </w:r>
          </w:p>
          <w:p w:rsidR="00D21EC5" w:rsidRPr="00667FCF" w:rsidRDefault="00D21EC5" w:rsidP="005B142B">
            <w:pPr>
              <w:autoSpaceDE w:val="0"/>
              <w:autoSpaceDN w:val="0"/>
              <w:adjustRightInd w:val="0"/>
              <w:rPr>
                <w:rFonts w:cs="Arial"/>
                <w:bCs/>
                <w:sz w:val="10"/>
                <w:szCs w:val="10"/>
              </w:rPr>
            </w:pPr>
          </w:p>
        </w:tc>
        <w:tc>
          <w:tcPr>
            <w:tcW w:w="3294" w:type="dxa"/>
          </w:tcPr>
          <w:p w:rsidR="00D21EC5" w:rsidRDefault="00D21EC5" w:rsidP="00D21EC5">
            <w:pPr>
              <w:pStyle w:val="ListParagraph"/>
              <w:numPr>
                <w:ilvl w:val="1"/>
                <w:numId w:val="21"/>
              </w:numPr>
              <w:autoSpaceDE w:val="0"/>
              <w:autoSpaceDN w:val="0"/>
              <w:adjustRightInd w:val="0"/>
              <w:contextualSpacing w:val="0"/>
              <w:rPr>
                <w:rFonts w:cs="Arial"/>
                <w:bCs/>
              </w:rPr>
            </w:pPr>
            <w:r>
              <w:rPr>
                <w:rFonts w:cs="Arial"/>
                <w:bCs/>
              </w:rPr>
              <w:t>Milingimbi;</w:t>
            </w:r>
          </w:p>
          <w:p w:rsidR="00D21EC5" w:rsidRPr="00667FCF" w:rsidRDefault="00D21EC5" w:rsidP="005B142B">
            <w:pPr>
              <w:autoSpaceDE w:val="0"/>
              <w:autoSpaceDN w:val="0"/>
              <w:adjustRightInd w:val="0"/>
              <w:rPr>
                <w:rFonts w:cs="Arial"/>
                <w:bCs/>
                <w:sz w:val="10"/>
                <w:szCs w:val="10"/>
              </w:rPr>
            </w:pPr>
          </w:p>
        </w:tc>
        <w:tc>
          <w:tcPr>
            <w:tcW w:w="3193" w:type="dxa"/>
          </w:tcPr>
          <w:p w:rsidR="00D21EC5" w:rsidRDefault="00D21EC5" w:rsidP="00D21EC5">
            <w:pPr>
              <w:pStyle w:val="ListParagraph"/>
              <w:numPr>
                <w:ilvl w:val="1"/>
                <w:numId w:val="21"/>
              </w:numPr>
              <w:autoSpaceDE w:val="0"/>
              <w:autoSpaceDN w:val="0"/>
              <w:adjustRightInd w:val="0"/>
              <w:contextualSpacing w:val="0"/>
              <w:rPr>
                <w:rFonts w:cs="Arial"/>
                <w:bCs/>
              </w:rPr>
            </w:pPr>
            <w:proofErr w:type="spellStart"/>
            <w:r>
              <w:rPr>
                <w:rFonts w:cs="Arial"/>
                <w:bCs/>
              </w:rPr>
              <w:t>Galiwin’ku</w:t>
            </w:r>
            <w:proofErr w:type="spellEnd"/>
            <w:r>
              <w:rPr>
                <w:rFonts w:cs="Arial"/>
                <w:bCs/>
              </w:rPr>
              <w:t>;</w:t>
            </w:r>
          </w:p>
          <w:p w:rsidR="00D21EC5" w:rsidRPr="00667FCF" w:rsidRDefault="00D21EC5" w:rsidP="005B142B">
            <w:pPr>
              <w:autoSpaceDE w:val="0"/>
              <w:autoSpaceDN w:val="0"/>
              <w:adjustRightInd w:val="0"/>
              <w:rPr>
                <w:rFonts w:cs="Arial"/>
                <w:bCs/>
                <w:sz w:val="10"/>
                <w:szCs w:val="10"/>
              </w:rPr>
            </w:pPr>
          </w:p>
        </w:tc>
      </w:tr>
      <w:tr w:rsidR="00D21EC5" w:rsidTr="00F12019">
        <w:trPr>
          <w:trHeight w:val="360"/>
        </w:trPr>
        <w:tc>
          <w:tcPr>
            <w:tcW w:w="3332" w:type="dxa"/>
          </w:tcPr>
          <w:p w:rsidR="00D21EC5" w:rsidRPr="00F12019" w:rsidRDefault="00D21EC5" w:rsidP="005B142B">
            <w:pPr>
              <w:pStyle w:val="ListParagraph"/>
              <w:numPr>
                <w:ilvl w:val="1"/>
                <w:numId w:val="21"/>
              </w:numPr>
              <w:autoSpaceDE w:val="0"/>
              <w:autoSpaceDN w:val="0"/>
              <w:adjustRightInd w:val="0"/>
              <w:contextualSpacing w:val="0"/>
              <w:rPr>
                <w:rFonts w:cs="Arial"/>
                <w:bCs/>
              </w:rPr>
            </w:pPr>
            <w:r>
              <w:rPr>
                <w:rFonts w:cs="Arial"/>
                <w:bCs/>
              </w:rPr>
              <w:t>Numbulwar;</w:t>
            </w:r>
          </w:p>
        </w:tc>
        <w:tc>
          <w:tcPr>
            <w:tcW w:w="3294" w:type="dxa"/>
          </w:tcPr>
          <w:p w:rsidR="00D21EC5" w:rsidRPr="00F12019" w:rsidRDefault="00F12019" w:rsidP="005B142B">
            <w:pPr>
              <w:pStyle w:val="ListParagraph"/>
              <w:numPr>
                <w:ilvl w:val="1"/>
                <w:numId w:val="21"/>
              </w:numPr>
              <w:autoSpaceDE w:val="0"/>
              <w:autoSpaceDN w:val="0"/>
              <w:adjustRightInd w:val="0"/>
              <w:contextualSpacing w:val="0"/>
              <w:rPr>
                <w:rFonts w:cs="Arial"/>
                <w:bCs/>
              </w:rPr>
            </w:pPr>
            <w:r>
              <w:rPr>
                <w:rFonts w:cs="Arial"/>
                <w:bCs/>
              </w:rPr>
              <w:t>Ramingining</w:t>
            </w:r>
          </w:p>
        </w:tc>
        <w:tc>
          <w:tcPr>
            <w:tcW w:w="3193" w:type="dxa"/>
          </w:tcPr>
          <w:p w:rsidR="00D21EC5" w:rsidRPr="00F12019" w:rsidRDefault="00D21EC5" w:rsidP="005B142B">
            <w:pPr>
              <w:pStyle w:val="ListParagraph"/>
              <w:numPr>
                <w:ilvl w:val="1"/>
                <w:numId w:val="21"/>
              </w:numPr>
              <w:autoSpaceDE w:val="0"/>
              <w:autoSpaceDN w:val="0"/>
              <w:adjustRightInd w:val="0"/>
              <w:contextualSpacing w:val="0"/>
              <w:rPr>
                <w:rFonts w:cs="Arial"/>
                <w:bCs/>
              </w:rPr>
            </w:pPr>
            <w:proofErr w:type="spellStart"/>
            <w:r>
              <w:rPr>
                <w:rFonts w:cs="Arial"/>
                <w:bCs/>
              </w:rPr>
              <w:t>Gapuwiyak</w:t>
            </w:r>
            <w:proofErr w:type="spellEnd"/>
            <w:r>
              <w:rPr>
                <w:rFonts w:cs="Arial"/>
                <w:bCs/>
              </w:rPr>
              <w:t>.</w:t>
            </w:r>
          </w:p>
        </w:tc>
      </w:tr>
    </w:tbl>
    <w:p w:rsidR="00D21EC5" w:rsidRPr="00C020B5" w:rsidRDefault="00D21EC5" w:rsidP="00F12019">
      <w:pPr>
        <w:pStyle w:val="Default"/>
        <w:numPr>
          <w:ilvl w:val="0"/>
          <w:numId w:val="29"/>
        </w:numPr>
        <w:ind w:left="357" w:hanging="357"/>
        <w:rPr>
          <w:rFonts w:asciiTheme="minorHAnsi" w:hAnsiTheme="minorHAnsi" w:cstheme="minorHAnsi"/>
          <w:b/>
          <w:i/>
          <w:color w:val="auto"/>
          <w:sz w:val="22"/>
          <w:szCs w:val="22"/>
        </w:rPr>
      </w:pPr>
      <w:r w:rsidRPr="00C020B5">
        <w:rPr>
          <w:rFonts w:asciiTheme="minorHAnsi" w:hAnsiTheme="minorHAnsi" w:cstheme="minorHAnsi"/>
          <w:b/>
          <w:i/>
          <w:color w:val="auto"/>
          <w:sz w:val="22"/>
          <w:szCs w:val="22"/>
        </w:rPr>
        <w:t>Clontarf Academies</w:t>
      </w:r>
    </w:p>
    <w:p w:rsidR="00D21EC5" w:rsidRDefault="00D21EC5" w:rsidP="00D21EC5">
      <w:pPr>
        <w:rPr>
          <w:color w:val="000000"/>
        </w:rPr>
      </w:pPr>
      <w:r>
        <w:rPr>
          <w:color w:val="000000"/>
        </w:rPr>
        <w:t>The aim of the Clontarf program is to engage ‘at risk’ young Indigenous male students in mainstream education until they complete Year 12 and then assist them to find employment. Through sport, Clontarf focuses on mentoring and improving the school attendance, retention and suspension rates of participants. Clontarf Academies have been operating in schools across the NT since 2007 and currently provide programs in the following schools;</w:t>
      </w:r>
    </w:p>
    <w:p w:rsidR="00D21EC5" w:rsidRDefault="00D21EC5" w:rsidP="00D21EC5">
      <w:pPr>
        <w:pStyle w:val="ListParagraph"/>
        <w:numPr>
          <w:ilvl w:val="0"/>
          <w:numId w:val="22"/>
        </w:numPr>
        <w:spacing w:line="240" w:lineRule="auto"/>
        <w:contextualSpacing w:val="0"/>
        <w:rPr>
          <w:color w:val="000000"/>
        </w:rPr>
      </w:pPr>
      <w:r>
        <w:rPr>
          <w:color w:val="000000"/>
        </w:rPr>
        <w:t xml:space="preserve">Alice Springs Academy ( </w:t>
      </w:r>
      <w:proofErr w:type="spellStart"/>
      <w:r>
        <w:rPr>
          <w:color w:val="000000"/>
        </w:rPr>
        <w:t>Centralian</w:t>
      </w:r>
      <w:proofErr w:type="spellEnd"/>
      <w:r>
        <w:rPr>
          <w:color w:val="000000"/>
        </w:rPr>
        <w:t xml:space="preserve"> Middle and Senior Schools and </w:t>
      </w:r>
      <w:proofErr w:type="spellStart"/>
      <w:r>
        <w:rPr>
          <w:color w:val="000000"/>
        </w:rPr>
        <w:t>Yirara</w:t>
      </w:r>
      <w:proofErr w:type="spellEnd"/>
      <w:r>
        <w:rPr>
          <w:color w:val="000000"/>
        </w:rPr>
        <w:t xml:space="preserve"> College)</w:t>
      </w:r>
    </w:p>
    <w:p w:rsidR="00D21EC5" w:rsidRDefault="00D21EC5" w:rsidP="00D21EC5">
      <w:pPr>
        <w:pStyle w:val="ListParagraph"/>
        <w:numPr>
          <w:ilvl w:val="0"/>
          <w:numId w:val="22"/>
        </w:numPr>
        <w:spacing w:line="240" w:lineRule="auto"/>
        <w:contextualSpacing w:val="0"/>
        <w:rPr>
          <w:color w:val="000000"/>
        </w:rPr>
      </w:pPr>
      <w:r>
        <w:rPr>
          <w:color w:val="000000"/>
        </w:rPr>
        <w:t>Casuarina Senior College Academy</w:t>
      </w:r>
    </w:p>
    <w:p w:rsidR="00D21EC5" w:rsidRDefault="00D21EC5" w:rsidP="00D21EC5">
      <w:pPr>
        <w:pStyle w:val="ListParagraph"/>
        <w:numPr>
          <w:ilvl w:val="0"/>
          <w:numId w:val="22"/>
        </w:numPr>
        <w:spacing w:line="240" w:lineRule="auto"/>
        <w:contextualSpacing w:val="0"/>
        <w:rPr>
          <w:color w:val="000000"/>
        </w:rPr>
      </w:pPr>
      <w:r>
        <w:rPr>
          <w:color w:val="000000"/>
        </w:rPr>
        <w:t>Dripstone Academy</w:t>
      </w:r>
    </w:p>
    <w:p w:rsidR="00D21EC5" w:rsidRDefault="00D21EC5" w:rsidP="00D21EC5">
      <w:pPr>
        <w:pStyle w:val="ListParagraph"/>
        <w:numPr>
          <w:ilvl w:val="0"/>
          <w:numId w:val="22"/>
        </w:numPr>
        <w:spacing w:line="240" w:lineRule="auto"/>
        <w:contextualSpacing w:val="0"/>
        <w:rPr>
          <w:color w:val="000000"/>
        </w:rPr>
      </w:pPr>
      <w:proofErr w:type="spellStart"/>
      <w:r>
        <w:rPr>
          <w:color w:val="000000"/>
        </w:rPr>
        <w:t>Gunbalunya</w:t>
      </w:r>
      <w:proofErr w:type="spellEnd"/>
      <w:r>
        <w:rPr>
          <w:color w:val="000000"/>
        </w:rPr>
        <w:t xml:space="preserve"> Academy</w:t>
      </w:r>
    </w:p>
    <w:p w:rsidR="00D21EC5" w:rsidRDefault="00D21EC5" w:rsidP="00D21EC5">
      <w:pPr>
        <w:pStyle w:val="ListParagraph"/>
        <w:numPr>
          <w:ilvl w:val="0"/>
          <w:numId w:val="22"/>
        </w:numPr>
        <w:spacing w:line="240" w:lineRule="auto"/>
        <w:contextualSpacing w:val="0"/>
        <w:rPr>
          <w:color w:val="000000"/>
        </w:rPr>
      </w:pPr>
      <w:r>
        <w:rPr>
          <w:color w:val="000000"/>
        </w:rPr>
        <w:t>Jabiru Academy</w:t>
      </w:r>
    </w:p>
    <w:p w:rsidR="00D21EC5" w:rsidRDefault="00D21EC5" w:rsidP="00D21EC5">
      <w:pPr>
        <w:pStyle w:val="ListParagraph"/>
        <w:numPr>
          <w:ilvl w:val="0"/>
          <w:numId w:val="22"/>
        </w:numPr>
        <w:spacing w:line="240" w:lineRule="auto"/>
        <w:contextualSpacing w:val="0"/>
        <w:rPr>
          <w:color w:val="000000"/>
        </w:rPr>
      </w:pPr>
      <w:r>
        <w:rPr>
          <w:color w:val="000000"/>
        </w:rPr>
        <w:t>Katherine Academy</w:t>
      </w:r>
    </w:p>
    <w:p w:rsidR="00D21EC5" w:rsidRDefault="00D21EC5" w:rsidP="00D21EC5">
      <w:pPr>
        <w:pStyle w:val="ListParagraph"/>
        <w:numPr>
          <w:ilvl w:val="0"/>
          <w:numId w:val="22"/>
        </w:numPr>
        <w:spacing w:line="240" w:lineRule="auto"/>
        <w:contextualSpacing w:val="0"/>
        <w:rPr>
          <w:color w:val="000000"/>
        </w:rPr>
      </w:pPr>
      <w:r>
        <w:rPr>
          <w:color w:val="000000"/>
        </w:rPr>
        <w:t>Palmerston Academy</w:t>
      </w:r>
    </w:p>
    <w:p w:rsidR="00D21EC5" w:rsidRDefault="00D21EC5" w:rsidP="00D21EC5">
      <w:pPr>
        <w:pStyle w:val="ListParagraph"/>
        <w:numPr>
          <w:ilvl w:val="0"/>
          <w:numId w:val="22"/>
        </w:numPr>
        <w:spacing w:line="240" w:lineRule="auto"/>
        <w:ind w:right="895"/>
        <w:contextualSpacing w:val="0"/>
        <w:rPr>
          <w:color w:val="000000"/>
        </w:rPr>
      </w:pPr>
      <w:r>
        <w:rPr>
          <w:color w:val="000000"/>
        </w:rPr>
        <w:t xml:space="preserve">Sanderson Academy </w:t>
      </w:r>
    </w:p>
    <w:p w:rsidR="00D21EC5" w:rsidRDefault="00D21EC5" w:rsidP="00D21EC5">
      <w:pPr>
        <w:pStyle w:val="ListParagraph"/>
        <w:numPr>
          <w:ilvl w:val="0"/>
          <w:numId w:val="22"/>
        </w:numPr>
        <w:spacing w:line="240" w:lineRule="auto"/>
        <w:contextualSpacing w:val="0"/>
        <w:rPr>
          <w:color w:val="000000"/>
        </w:rPr>
      </w:pPr>
      <w:r>
        <w:rPr>
          <w:color w:val="000000"/>
        </w:rPr>
        <w:t>Yirrkala Academy</w:t>
      </w:r>
    </w:p>
    <w:p w:rsidR="00D21EC5" w:rsidRDefault="00D21EC5" w:rsidP="00D21EC5">
      <w:pPr>
        <w:pStyle w:val="ListParagraph"/>
        <w:numPr>
          <w:ilvl w:val="0"/>
          <w:numId w:val="22"/>
        </w:numPr>
        <w:spacing w:line="240" w:lineRule="auto"/>
        <w:contextualSpacing w:val="0"/>
        <w:rPr>
          <w:color w:val="000000"/>
        </w:rPr>
      </w:pPr>
      <w:r>
        <w:rPr>
          <w:color w:val="000000"/>
        </w:rPr>
        <w:t>Tennant Creek Academy</w:t>
      </w:r>
    </w:p>
    <w:p w:rsidR="00D21EC5" w:rsidRDefault="00D21EC5" w:rsidP="00D21EC5">
      <w:pPr>
        <w:pStyle w:val="ListParagraph"/>
        <w:numPr>
          <w:ilvl w:val="0"/>
          <w:numId w:val="22"/>
        </w:numPr>
        <w:spacing w:line="240" w:lineRule="auto"/>
        <w:contextualSpacing w:val="0"/>
        <w:rPr>
          <w:color w:val="000000"/>
        </w:rPr>
      </w:pPr>
      <w:r>
        <w:rPr>
          <w:color w:val="000000"/>
        </w:rPr>
        <w:t>Tiwi Academy</w:t>
      </w:r>
    </w:p>
    <w:p w:rsidR="00586292" w:rsidRDefault="00586292" w:rsidP="00D21EC5">
      <w:pPr>
        <w:rPr>
          <w:b/>
          <w:bCs/>
          <w:color w:val="000000"/>
        </w:rPr>
      </w:pPr>
    </w:p>
    <w:p w:rsidR="0094246D" w:rsidRDefault="0094246D" w:rsidP="00586292">
      <w:pPr>
        <w:pStyle w:val="Default"/>
        <w:rPr>
          <w:rFonts w:asciiTheme="minorHAnsi" w:hAnsiTheme="minorHAnsi" w:cstheme="minorHAnsi"/>
          <w:b/>
          <w:color w:val="auto"/>
          <w:sz w:val="22"/>
          <w:szCs w:val="22"/>
        </w:rPr>
      </w:pPr>
    </w:p>
    <w:p w:rsidR="0094246D" w:rsidRDefault="0094246D" w:rsidP="00586292">
      <w:pPr>
        <w:pStyle w:val="Default"/>
        <w:rPr>
          <w:rFonts w:asciiTheme="minorHAnsi" w:hAnsiTheme="minorHAnsi" w:cstheme="minorHAnsi"/>
          <w:b/>
          <w:color w:val="auto"/>
          <w:sz w:val="22"/>
          <w:szCs w:val="22"/>
        </w:rPr>
      </w:pPr>
    </w:p>
    <w:p w:rsidR="00D21EC5" w:rsidRPr="00586292" w:rsidRDefault="00D21EC5" w:rsidP="00586292">
      <w:pPr>
        <w:pStyle w:val="Default"/>
        <w:rPr>
          <w:rFonts w:asciiTheme="minorHAnsi" w:hAnsiTheme="minorHAnsi" w:cstheme="minorHAnsi"/>
          <w:b/>
          <w:color w:val="auto"/>
          <w:sz w:val="22"/>
          <w:szCs w:val="22"/>
        </w:rPr>
      </w:pPr>
      <w:r w:rsidRPr="00586292">
        <w:rPr>
          <w:rFonts w:asciiTheme="minorHAnsi" w:hAnsiTheme="minorHAnsi" w:cstheme="minorHAnsi"/>
          <w:b/>
          <w:color w:val="auto"/>
          <w:sz w:val="22"/>
          <w:szCs w:val="22"/>
        </w:rPr>
        <w:lastRenderedPageBreak/>
        <w:t>Girls Academies</w:t>
      </w:r>
    </w:p>
    <w:p w:rsidR="00D21EC5" w:rsidRDefault="00D21EC5" w:rsidP="00D21EC5">
      <w:pPr>
        <w:rPr>
          <w:color w:val="000000"/>
        </w:rPr>
      </w:pPr>
      <w:r>
        <w:rPr>
          <w:color w:val="000000"/>
        </w:rPr>
        <w:t xml:space="preserve">Since 2010 Role Models and Leaders have been contracted to administer a girls program at the following schools </w:t>
      </w:r>
    </w:p>
    <w:p w:rsidR="00D21EC5" w:rsidRDefault="00D21EC5" w:rsidP="00D21EC5">
      <w:pPr>
        <w:pStyle w:val="ListParagraph"/>
        <w:numPr>
          <w:ilvl w:val="0"/>
          <w:numId w:val="23"/>
        </w:numPr>
        <w:spacing w:line="240" w:lineRule="auto"/>
        <w:contextualSpacing w:val="0"/>
        <w:rPr>
          <w:color w:val="000000"/>
        </w:rPr>
      </w:pPr>
      <w:r>
        <w:rPr>
          <w:color w:val="000000"/>
        </w:rPr>
        <w:t>Palmerston High School</w:t>
      </w:r>
    </w:p>
    <w:p w:rsidR="00D21EC5" w:rsidRDefault="00D21EC5" w:rsidP="00D21EC5">
      <w:pPr>
        <w:pStyle w:val="ListParagraph"/>
        <w:numPr>
          <w:ilvl w:val="0"/>
          <w:numId w:val="23"/>
        </w:numPr>
        <w:spacing w:line="240" w:lineRule="auto"/>
        <w:contextualSpacing w:val="0"/>
        <w:rPr>
          <w:color w:val="000000"/>
        </w:rPr>
      </w:pPr>
      <w:proofErr w:type="spellStart"/>
      <w:r>
        <w:rPr>
          <w:color w:val="000000"/>
        </w:rPr>
        <w:t>Centralian</w:t>
      </w:r>
      <w:proofErr w:type="spellEnd"/>
      <w:r>
        <w:rPr>
          <w:color w:val="000000"/>
        </w:rPr>
        <w:t xml:space="preserve"> Senior and Middle Schools</w:t>
      </w:r>
    </w:p>
    <w:p w:rsidR="00D21EC5" w:rsidRDefault="00D21EC5" w:rsidP="00D21EC5">
      <w:pPr>
        <w:pStyle w:val="ListParagraph"/>
        <w:numPr>
          <w:ilvl w:val="0"/>
          <w:numId w:val="23"/>
        </w:numPr>
        <w:spacing w:line="240" w:lineRule="auto"/>
        <w:contextualSpacing w:val="0"/>
        <w:rPr>
          <w:color w:val="000000"/>
        </w:rPr>
      </w:pPr>
      <w:r>
        <w:rPr>
          <w:color w:val="000000"/>
        </w:rPr>
        <w:t>Rosebery Middle School</w:t>
      </w:r>
    </w:p>
    <w:p w:rsidR="00D21EC5" w:rsidRDefault="00D21EC5" w:rsidP="00D21EC5">
      <w:pPr>
        <w:spacing w:before="120"/>
        <w:rPr>
          <w:color w:val="000000"/>
        </w:rPr>
      </w:pPr>
      <w:r>
        <w:rPr>
          <w:color w:val="000000"/>
        </w:rPr>
        <w:t xml:space="preserve">The Stronger, Smarter Sisters girls program operates at Katherine High school which operates separate to the Role Models and Leaders. </w:t>
      </w:r>
    </w:p>
    <w:p w:rsidR="00D21EC5" w:rsidRDefault="00D21EC5" w:rsidP="00D21EC5">
      <w:pPr>
        <w:spacing w:before="120"/>
        <w:rPr>
          <w:color w:val="000000"/>
        </w:rPr>
      </w:pPr>
      <w:r>
        <w:rPr>
          <w:color w:val="000000"/>
        </w:rPr>
        <w:t xml:space="preserve">Both of these programs offer a range of activities for participants including; </w:t>
      </w:r>
    </w:p>
    <w:p w:rsidR="00D21EC5" w:rsidRDefault="00D21EC5" w:rsidP="00D21EC5">
      <w:pPr>
        <w:pStyle w:val="ListParagraph"/>
        <w:numPr>
          <w:ilvl w:val="0"/>
          <w:numId w:val="24"/>
        </w:numPr>
        <w:spacing w:line="240" w:lineRule="auto"/>
        <w:contextualSpacing w:val="0"/>
        <w:rPr>
          <w:color w:val="000000"/>
        </w:rPr>
      </w:pPr>
      <w:r>
        <w:rPr>
          <w:color w:val="000000"/>
        </w:rPr>
        <w:t xml:space="preserve">Camps and excursions </w:t>
      </w:r>
    </w:p>
    <w:p w:rsidR="00D21EC5" w:rsidRDefault="00D21EC5" w:rsidP="00D21EC5">
      <w:pPr>
        <w:pStyle w:val="ListParagraph"/>
        <w:numPr>
          <w:ilvl w:val="0"/>
          <w:numId w:val="24"/>
        </w:numPr>
        <w:spacing w:line="240" w:lineRule="auto"/>
        <w:contextualSpacing w:val="0"/>
        <w:rPr>
          <w:color w:val="000000"/>
        </w:rPr>
      </w:pPr>
      <w:r>
        <w:rPr>
          <w:color w:val="000000"/>
        </w:rPr>
        <w:t>Mentoring</w:t>
      </w:r>
    </w:p>
    <w:p w:rsidR="00D21EC5" w:rsidRDefault="00D21EC5" w:rsidP="00D21EC5">
      <w:pPr>
        <w:pStyle w:val="ListParagraph"/>
        <w:numPr>
          <w:ilvl w:val="0"/>
          <w:numId w:val="24"/>
        </w:numPr>
        <w:spacing w:line="240" w:lineRule="auto"/>
        <w:contextualSpacing w:val="0"/>
        <w:rPr>
          <w:color w:val="000000"/>
        </w:rPr>
      </w:pPr>
      <w:r>
        <w:rPr>
          <w:color w:val="000000"/>
        </w:rPr>
        <w:t>Sports</w:t>
      </w:r>
    </w:p>
    <w:p w:rsidR="00D21EC5" w:rsidRDefault="00D21EC5" w:rsidP="00D21EC5">
      <w:pPr>
        <w:pStyle w:val="ListParagraph"/>
        <w:numPr>
          <w:ilvl w:val="0"/>
          <w:numId w:val="24"/>
        </w:numPr>
        <w:spacing w:line="240" w:lineRule="auto"/>
        <w:contextualSpacing w:val="0"/>
        <w:rPr>
          <w:color w:val="000000"/>
        </w:rPr>
      </w:pPr>
      <w:r>
        <w:rPr>
          <w:color w:val="000000"/>
        </w:rPr>
        <w:t>Community based activities</w:t>
      </w:r>
    </w:p>
    <w:p w:rsidR="00D21EC5" w:rsidRDefault="00D21EC5" w:rsidP="00D21EC5">
      <w:pPr>
        <w:pStyle w:val="ListParagraph"/>
        <w:numPr>
          <w:ilvl w:val="0"/>
          <w:numId w:val="24"/>
        </w:numPr>
        <w:spacing w:line="240" w:lineRule="auto"/>
        <w:contextualSpacing w:val="0"/>
        <w:rPr>
          <w:color w:val="000000"/>
        </w:rPr>
      </w:pPr>
      <w:r>
        <w:rPr>
          <w:color w:val="000000"/>
        </w:rPr>
        <w:t>Career Opportunities</w:t>
      </w:r>
    </w:p>
    <w:p w:rsidR="00D21EC5" w:rsidRDefault="00D21EC5" w:rsidP="00D21EC5">
      <w:pPr>
        <w:pStyle w:val="ListParagraph"/>
        <w:numPr>
          <w:ilvl w:val="0"/>
          <w:numId w:val="24"/>
        </w:numPr>
        <w:spacing w:line="240" w:lineRule="auto"/>
        <w:contextualSpacing w:val="0"/>
        <w:rPr>
          <w:color w:val="000000"/>
        </w:rPr>
      </w:pPr>
      <w:r>
        <w:rPr>
          <w:color w:val="000000"/>
        </w:rPr>
        <w:t>Health and Wellbeing classes</w:t>
      </w:r>
    </w:p>
    <w:p w:rsidR="00586292" w:rsidRDefault="00586292" w:rsidP="00D21EC5">
      <w:pPr>
        <w:autoSpaceDE w:val="0"/>
        <w:autoSpaceDN w:val="0"/>
        <w:adjustRightInd w:val="0"/>
        <w:spacing w:line="240" w:lineRule="auto"/>
        <w:rPr>
          <w:rFonts w:ascii="Calibri" w:hAnsi="Calibri" w:cs="Calibri"/>
          <w:b/>
        </w:rPr>
      </w:pPr>
    </w:p>
    <w:p w:rsidR="00586292" w:rsidRDefault="00586292" w:rsidP="00586292">
      <w:pPr>
        <w:pStyle w:val="Default"/>
        <w:numPr>
          <w:ilvl w:val="0"/>
          <w:numId w:val="29"/>
        </w:numPr>
        <w:ind w:left="357" w:hanging="357"/>
        <w:rPr>
          <w:rFonts w:asciiTheme="minorHAnsi" w:hAnsiTheme="minorHAnsi" w:cstheme="minorHAnsi"/>
          <w:b/>
          <w:i/>
          <w:color w:val="auto"/>
          <w:sz w:val="22"/>
          <w:szCs w:val="22"/>
        </w:rPr>
      </w:pPr>
      <w:r>
        <w:rPr>
          <w:rFonts w:asciiTheme="minorHAnsi" w:hAnsiTheme="minorHAnsi" w:cstheme="minorHAnsi"/>
          <w:b/>
          <w:i/>
          <w:color w:val="auto"/>
          <w:sz w:val="22"/>
          <w:szCs w:val="22"/>
        </w:rPr>
        <w:t>Corporate Partnerships</w:t>
      </w:r>
    </w:p>
    <w:p w:rsidR="00586292" w:rsidRPr="00586292" w:rsidRDefault="00586292" w:rsidP="00586292">
      <w:pPr>
        <w:pStyle w:val="Default"/>
        <w:numPr>
          <w:ilvl w:val="0"/>
          <w:numId w:val="46"/>
        </w:numPr>
        <w:rPr>
          <w:rFonts w:asciiTheme="minorHAnsi" w:hAnsiTheme="minorHAnsi" w:cstheme="minorHAnsi"/>
          <w:b/>
          <w:i/>
          <w:color w:val="auto"/>
          <w:sz w:val="22"/>
          <w:szCs w:val="22"/>
        </w:rPr>
      </w:pPr>
      <w:r w:rsidRPr="00586292">
        <w:rPr>
          <w:rFonts w:asciiTheme="minorHAnsi" w:hAnsiTheme="minorHAnsi" w:cstheme="minorHAnsi"/>
          <w:b/>
          <w:i/>
          <w:color w:val="auto"/>
          <w:sz w:val="22"/>
          <w:szCs w:val="22"/>
        </w:rPr>
        <w:t>Groote Eylandt Project:</w:t>
      </w:r>
    </w:p>
    <w:p w:rsidR="00586292" w:rsidRPr="00586292" w:rsidRDefault="00586292" w:rsidP="00586292">
      <w:pPr>
        <w:spacing w:before="120"/>
        <w:rPr>
          <w:color w:val="000000"/>
        </w:rPr>
      </w:pPr>
      <w:r w:rsidRPr="00586292">
        <w:rPr>
          <w:color w:val="000000"/>
        </w:rPr>
        <w:t xml:space="preserve">Status: </w:t>
      </w:r>
      <w:r w:rsidRPr="00586292">
        <w:rPr>
          <w:color w:val="000000"/>
        </w:rPr>
        <w:tab/>
        <w:t xml:space="preserve">Well progressed </w:t>
      </w:r>
    </w:p>
    <w:p w:rsidR="00586292" w:rsidRPr="00586292" w:rsidRDefault="00586292" w:rsidP="00586292">
      <w:pPr>
        <w:pStyle w:val="ListParagraph"/>
        <w:numPr>
          <w:ilvl w:val="0"/>
          <w:numId w:val="45"/>
        </w:numPr>
        <w:spacing w:before="120"/>
        <w:rPr>
          <w:color w:val="000000"/>
        </w:rPr>
      </w:pPr>
      <w:r w:rsidRPr="00586292">
        <w:rPr>
          <w:color w:val="000000"/>
        </w:rPr>
        <w:t>Negotiations involve BHP Billiton in an agreement to underwrite various aspects of school programs on the Eylandt.</w:t>
      </w:r>
    </w:p>
    <w:p w:rsidR="00586292" w:rsidRPr="00586292" w:rsidRDefault="00586292" w:rsidP="00586292">
      <w:pPr>
        <w:pStyle w:val="ListParagraph"/>
        <w:numPr>
          <w:ilvl w:val="0"/>
          <w:numId w:val="45"/>
        </w:numPr>
        <w:spacing w:before="120"/>
        <w:rPr>
          <w:color w:val="000000"/>
        </w:rPr>
      </w:pPr>
      <w:r w:rsidRPr="00586292">
        <w:rPr>
          <w:color w:val="000000"/>
        </w:rPr>
        <w:t xml:space="preserve">Negotiations underway with </w:t>
      </w:r>
      <w:proofErr w:type="spellStart"/>
      <w:r w:rsidRPr="00586292">
        <w:rPr>
          <w:color w:val="000000"/>
        </w:rPr>
        <w:t>GEBIE</w:t>
      </w:r>
      <w:proofErr w:type="spellEnd"/>
      <w:r w:rsidRPr="00586292">
        <w:rPr>
          <w:color w:val="000000"/>
        </w:rPr>
        <w:t xml:space="preserve"> to establish work pathways for students.</w:t>
      </w:r>
    </w:p>
    <w:p w:rsidR="00586292" w:rsidRPr="00586292" w:rsidRDefault="00586292" w:rsidP="00586292">
      <w:pPr>
        <w:pStyle w:val="ListParagraph"/>
        <w:numPr>
          <w:ilvl w:val="0"/>
          <w:numId w:val="45"/>
        </w:numPr>
        <w:spacing w:before="120"/>
        <w:rPr>
          <w:color w:val="000000"/>
        </w:rPr>
      </w:pPr>
      <w:r w:rsidRPr="00586292">
        <w:rPr>
          <w:color w:val="000000"/>
        </w:rPr>
        <w:t>Negotiations beginning with the Groote Eylandt Trust fund to underwrite various educational programs.</w:t>
      </w:r>
    </w:p>
    <w:p w:rsidR="00586292" w:rsidRPr="00586292" w:rsidRDefault="00586292" w:rsidP="00586292">
      <w:pPr>
        <w:pStyle w:val="Default"/>
        <w:numPr>
          <w:ilvl w:val="0"/>
          <w:numId w:val="46"/>
        </w:numPr>
        <w:rPr>
          <w:rFonts w:asciiTheme="minorHAnsi" w:hAnsiTheme="minorHAnsi" w:cstheme="minorHAnsi"/>
          <w:b/>
          <w:i/>
          <w:color w:val="auto"/>
          <w:sz w:val="22"/>
          <w:szCs w:val="22"/>
        </w:rPr>
      </w:pPr>
      <w:r w:rsidRPr="00586292">
        <w:rPr>
          <w:rFonts w:asciiTheme="minorHAnsi" w:hAnsiTheme="minorHAnsi" w:cstheme="minorHAnsi"/>
          <w:b/>
          <w:i/>
          <w:color w:val="auto"/>
          <w:sz w:val="22"/>
          <w:szCs w:val="22"/>
        </w:rPr>
        <w:t>Borroloola Project:</w:t>
      </w:r>
    </w:p>
    <w:p w:rsidR="00586292" w:rsidRPr="00586292" w:rsidRDefault="00586292" w:rsidP="00586292">
      <w:pPr>
        <w:spacing w:before="120"/>
        <w:rPr>
          <w:color w:val="000000"/>
        </w:rPr>
      </w:pPr>
      <w:r w:rsidRPr="00586292">
        <w:rPr>
          <w:color w:val="000000"/>
        </w:rPr>
        <w:t xml:space="preserve">Status: </w:t>
      </w:r>
      <w:r w:rsidRPr="00586292">
        <w:rPr>
          <w:color w:val="000000"/>
        </w:rPr>
        <w:tab/>
        <w:t>Agreement complete and implementation underway</w:t>
      </w:r>
    </w:p>
    <w:p w:rsidR="00586292" w:rsidRPr="00586292" w:rsidRDefault="00586292" w:rsidP="00586292">
      <w:pPr>
        <w:pStyle w:val="ListParagraph"/>
        <w:numPr>
          <w:ilvl w:val="0"/>
          <w:numId w:val="45"/>
        </w:numPr>
        <w:spacing w:before="120"/>
        <w:rPr>
          <w:color w:val="000000"/>
        </w:rPr>
      </w:pPr>
      <w:r w:rsidRPr="00586292">
        <w:rPr>
          <w:color w:val="000000"/>
        </w:rPr>
        <w:t>$1 million over 3 years being for:</w:t>
      </w:r>
    </w:p>
    <w:p w:rsidR="00586292" w:rsidRPr="00586292" w:rsidRDefault="00586292" w:rsidP="00586292">
      <w:pPr>
        <w:pStyle w:val="ListParagraph"/>
        <w:numPr>
          <w:ilvl w:val="1"/>
          <w:numId w:val="45"/>
        </w:numPr>
        <w:spacing w:before="120"/>
        <w:rPr>
          <w:color w:val="000000"/>
        </w:rPr>
      </w:pPr>
      <w:r w:rsidRPr="00586292">
        <w:rPr>
          <w:color w:val="000000"/>
        </w:rPr>
        <w:t>$200 000 per annum for a trainer</w:t>
      </w:r>
      <w:r>
        <w:rPr>
          <w:color w:val="000000"/>
        </w:rPr>
        <w:t>,</w:t>
      </w:r>
    </w:p>
    <w:p w:rsidR="00586292" w:rsidRPr="00586292" w:rsidRDefault="00586292" w:rsidP="00586292">
      <w:pPr>
        <w:pStyle w:val="ListParagraph"/>
        <w:numPr>
          <w:ilvl w:val="1"/>
          <w:numId w:val="45"/>
        </w:numPr>
        <w:spacing w:before="120"/>
        <w:rPr>
          <w:color w:val="000000"/>
        </w:rPr>
      </w:pPr>
      <w:r w:rsidRPr="00586292">
        <w:rPr>
          <w:color w:val="000000"/>
        </w:rPr>
        <w:t>$50 000 per annum for transport</w:t>
      </w:r>
      <w:r>
        <w:rPr>
          <w:color w:val="000000"/>
        </w:rPr>
        <w:t>,</w:t>
      </w:r>
    </w:p>
    <w:p w:rsidR="00586292" w:rsidRPr="00586292" w:rsidRDefault="00586292" w:rsidP="00586292">
      <w:pPr>
        <w:pStyle w:val="ListParagraph"/>
        <w:numPr>
          <w:ilvl w:val="1"/>
          <w:numId w:val="45"/>
        </w:numPr>
        <w:spacing w:before="120"/>
        <w:rPr>
          <w:color w:val="000000"/>
        </w:rPr>
      </w:pPr>
      <w:r w:rsidRPr="00586292">
        <w:rPr>
          <w:color w:val="000000"/>
        </w:rPr>
        <w:t>$10 000 per annum for uniforms</w:t>
      </w:r>
      <w:r>
        <w:rPr>
          <w:color w:val="000000"/>
        </w:rPr>
        <w:t>,</w:t>
      </w:r>
    </w:p>
    <w:p w:rsidR="00586292" w:rsidRPr="00586292" w:rsidRDefault="00586292" w:rsidP="00586292">
      <w:pPr>
        <w:pStyle w:val="ListParagraph"/>
        <w:numPr>
          <w:ilvl w:val="1"/>
          <w:numId w:val="45"/>
        </w:numPr>
        <w:spacing w:before="120"/>
        <w:rPr>
          <w:color w:val="000000"/>
        </w:rPr>
      </w:pPr>
      <w:r w:rsidRPr="00586292">
        <w:rPr>
          <w:color w:val="000000"/>
        </w:rPr>
        <w:t>$75 000 per annum for Frequent Attender Program</w:t>
      </w:r>
      <w:r>
        <w:rPr>
          <w:color w:val="000000"/>
        </w:rPr>
        <w:t>;</w:t>
      </w:r>
    </w:p>
    <w:p w:rsidR="00586292" w:rsidRPr="00586292" w:rsidRDefault="00586292" w:rsidP="00586292">
      <w:pPr>
        <w:pStyle w:val="ListParagraph"/>
        <w:numPr>
          <w:ilvl w:val="0"/>
          <w:numId w:val="45"/>
        </w:numPr>
        <w:spacing w:before="120"/>
        <w:rPr>
          <w:color w:val="000000"/>
        </w:rPr>
      </w:pPr>
      <w:r w:rsidRPr="00586292">
        <w:rPr>
          <w:color w:val="000000"/>
        </w:rPr>
        <w:t>Agreement to Structured Work Placements.</w:t>
      </w:r>
    </w:p>
    <w:p w:rsidR="00586292" w:rsidRPr="005E38F0" w:rsidRDefault="00586292" w:rsidP="005E38F0">
      <w:pPr>
        <w:pStyle w:val="Default"/>
        <w:numPr>
          <w:ilvl w:val="0"/>
          <w:numId w:val="46"/>
        </w:numPr>
        <w:rPr>
          <w:rFonts w:asciiTheme="minorHAnsi" w:hAnsiTheme="minorHAnsi" w:cstheme="minorHAnsi"/>
          <w:b/>
          <w:i/>
          <w:color w:val="auto"/>
          <w:sz w:val="22"/>
          <w:szCs w:val="22"/>
        </w:rPr>
      </w:pPr>
      <w:r w:rsidRPr="005E38F0">
        <w:rPr>
          <w:rFonts w:asciiTheme="minorHAnsi" w:hAnsiTheme="minorHAnsi" w:cstheme="minorHAnsi"/>
          <w:b/>
          <w:i/>
          <w:color w:val="auto"/>
          <w:sz w:val="22"/>
          <w:szCs w:val="22"/>
        </w:rPr>
        <w:t>Territory Schools Industries Academy Project</w:t>
      </w:r>
    </w:p>
    <w:p w:rsidR="00586292" w:rsidRPr="005E38F0" w:rsidRDefault="00586292" w:rsidP="005E38F0">
      <w:pPr>
        <w:spacing w:before="120"/>
        <w:rPr>
          <w:color w:val="000000"/>
        </w:rPr>
      </w:pPr>
      <w:r w:rsidRPr="005E38F0">
        <w:rPr>
          <w:color w:val="000000"/>
        </w:rPr>
        <w:t xml:space="preserve">Status: </w:t>
      </w:r>
      <w:r w:rsidRPr="005E38F0">
        <w:rPr>
          <w:color w:val="000000"/>
        </w:rPr>
        <w:tab/>
        <w:t xml:space="preserve">Well Progressed </w:t>
      </w:r>
    </w:p>
    <w:p w:rsidR="00586292" w:rsidRPr="005E38F0" w:rsidRDefault="00586292" w:rsidP="005E38F0">
      <w:pPr>
        <w:pStyle w:val="ListParagraph"/>
        <w:numPr>
          <w:ilvl w:val="0"/>
          <w:numId w:val="45"/>
        </w:numPr>
        <w:spacing w:before="120"/>
        <w:rPr>
          <w:color w:val="000000"/>
        </w:rPr>
      </w:pPr>
      <w:r w:rsidRPr="005E38F0">
        <w:rPr>
          <w:color w:val="000000"/>
        </w:rPr>
        <w:t>This project is designed to establish a system of Industry Academies that provide linkage between business and schools and establish a structure to guide the delivery of VET in Schools and other employment pathways programs into the future.</w:t>
      </w:r>
    </w:p>
    <w:p w:rsidR="00586292" w:rsidRPr="005E38F0" w:rsidRDefault="00586292" w:rsidP="005E38F0">
      <w:pPr>
        <w:pStyle w:val="ListParagraph"/>
        <w:numPr>
          <w:ilvl w:val="0"/>
          <w:numId w:val="45"/>
        </w:numPr>
        <w:spacing w:before="120"/>
        <w:rPr>
          <w:color w:val="000000"/>
        </w:rPr>
      </w:pPr>
      <w:r w:rsidRPr="005E38F0">
        <w:rPr>
          <w:color w:val="000000"/>
        </w:rPr>
        <w:t xml:space="preserve">Currently negotiating </w:t>
      </w:r>
      <w:proofErr w:type="spellStart"/>
      <w:r w:rsidRPr="005E38F0">
        <w:rPr>
          <w:color w:val="000000"/>
        </w:rPr>
        <w:t>MOU</w:t>
      </w:r>
      <w:proofErr w:type="spellEnd"/>
      <w:r w:rsidRPr="005E38F0">
        <w:rPr>
          <w:color w:val="000000"/>
        </w:rPr>
        <w:t xml:space="preserve"> of support with Minerals Council of Australia.</w:t>
      </w:r>
    </w:p>
    <w:p w:rsidR="00586292" w:rsidRPr="005E38F0" w:rsidRDefault="00586292" w:rsidP="005E38F0">
      <w:pPr>
        <w:pStyle w:val="Default"/>
        <w:numPr>
          <w:ilvl w:val="0"/>
          <w:numId w:val="46"/>
        </w:numPr>
        <w:rPr>
          <w:rFonts w:asciiTheme="minorHAnsi" w:hAnsiTheme="minorHAnsi" w:cstheme="minorHAnsi"/>
          <w:b/>
          <w:i/>
          <w:color w:val="auto"/>
          <w:sz w:val="22"/>
          <w:szCs w:val="22"/>
        </w:rPr>
      </w:pPr>
      <w:r w:rsidRPr="005E38F0">
        <w:rPr>
          <w:rFonts w:asciiTheme="minorHAnsi" w:hAnsiTheme="minorHAnsi" w:cstheme="minorHAnsi"/>
          <w:b/>
          <w:i/>
          <w:color w:val="auto"/>
          <w:sz w:val="22"/>
          <w:szCs w:val="22"/>
        </w:rPr>
        <w:t>Frequent Attenders Program</w:t>
      </w:r>
    </w:p>
    <w:p w:rsidR="00586292" w:rsidRPr="005E38F0" w:rsidRDefault="00586292" w:rsidP="005E38F0">
      <w:pPr>
        <w:spacing w:before="120"/>
        <w:rPr>
          <w:color w:val="000000"/>
        </w:rPr>
      </w:pPr>
      <w:r w:rsidRPr="005E38F0">
        <w:rPr>
          <w:color w:val="000000"/>
        </w:rPr>
        <w:t xml:space="preserve">Status: </w:t>
      </w:r>
      <w:r w:rsidRPr="005E38F0">
        <w:rPr>
          <w:color w:val="000000"/>
        </w:rPr>
        <w:tab/>
        <w:t>Launched</w:t>
      </w:r>
    </w:p>
    <w:p w:rsidR="00586292" w:rsidRPr="005E38F0" w:rsidRDefault="00586292" w:rsidP="005E38F0">
      <w:pPr>
        <w:pStyle w:val="ListParagraph"/>
        <w:numPr>
          <w:ilvl w:val="0"/>
          <w:numId w:val="45"/>
        </w:numPr>
        <w:spacing w:before="120"/>
        <w:rPr>
          <w:color w:val="000000"/>
        </w:rPr>
      </w:pPr>
      <w:r w:rsidRPr="005E38F0">
        <w:rPr>
          <w:color w:val="000000"/>
        </w:rPr>
        <w:t>Corp</w:t>
      </w:r>
      <w:r w:rsidR="005E38F0">
        <w:rPr>
          <w:color w:val="000000"/>
        </w:rPr>
        <w:t>o</w:t>
      </w:r>
      <w:r w:rsidRPr="005E38F0">
        <w:rPr>
          <w:color w:val="000000"/>
        </w:rPr>
        <w:t xml:space="preserve">rate support is now </w:t>
      </w:r>
      <w:r w:rsidR="005E38F0">
        <w:rPr>
          <w:color w:val="000000"/>
        </w:rPr>
        <w:t xml:space="preserve">being received </w:t>
      </w:r>
      <w:r w:rsidRPr="005E38F0">
        <w:rPr>
          <w:color w:val="000000"/>
        </w:rPr>
        <w:t xml:space="preserve">from Telstra for 6 Growth Towns, Arnhem Land Progress Association for </w:t>
      </w:r>
      <w:proofErr w:type="spellStart"/>
      <w:r w:rsidRPr="005E38F0">
        <w:rPr>
          <w:color w:val="000000"/>
        </w:rPr>
        <w:t>Gapuwiyak</w:t>
      </w:r>
      <w:proofErr w:type="spellEnd"/>
      <w:r w:rsidR="005E38F0">
        <w:rPr>
          <w:color w:val="000000"/>
        </w:rPr>
        <w:t xml:space="preserve"> and</w:t>
      </w:r>
      <w:r w:rsidRPr="005E38F0">
        <w:rPr>
          <w:color w:val="000000"/>
        </w:rPr>
        <w:t xml:space="preserve"> Outback Stores for Ali </w:t>
      </w:r>
      <w:proofErr w:type="spellStart"/>
      <w:r w:rsidRPr="005E38F0">
        <w:rPr>
          <w:color w:val="000000"/>
        </w:rPr>
        <w:t>Curung</w:t>
      </w:r>
      <w:proofErr w:type="spellEnd"/>
      <w:r w:rsidRPr="005E38F0">
        <w:rPr>
          <w:color w:val="000000"/>
        </w:rPr>
        <w:t>.</w:t>
      </w:r>
    </w:p>
    <w:p w:rsidR="0094246D" w:rsidRDefault="0094246D" w:rsidP="00586292">
      <w:pPr>
        <w:spacing w:line="240" w:lineRule="auto"/>
        <w:rPr>
          <w:rFonts w:cstheme="minorHAnsi"/>
          <w:b/>
          <w:i/>
        </w:rPr>
      </w:pPr>
    </w:p>
    <w:p w:rsidR="0094246D" w:rsidRDefault="0094246D" w:rsidP="00586292">
      <w:pPr>
        <w:spacing w:line="240" w:lineRule="auto"/>
        <w:rPr>
          <w:rFonts w:cstheme="minorHAnsi"/>
          <w:b/>
          <w:i/>
        </w:rPr>
      </w:pPr>
    </w:p>
    <w:p w:rsidR="0094246D" w:rsidRDefault="0094246D" w:rsidP="00586292">
      <w:pPr>
        <w:spacing w:line="240" w:lineRule="auto"/>
        <w:rPr>
          <w:rFonts w:cstheme="minorHAnsi"/>
          <w:b/>
          <w:i/>
        </w:rPr>
      </w:pPr>
    </w:p>
    <w:p w:rsidR="00586292" w:rsidRPr="00527695" w:rsidRDefault="00586292" w:rsidP="00527695">
      <w:pPr>
        <w:pStyle w:val="Default"/>
        <w:numPr>
          <w:ilvl w:val="0"/>
          <w:numId w:val="46"/>
        </w:numPr>
        <w:rPr>
          <w:rFonts w:asciiTheme="minorHAnsi" w:hAnsiTheme="minorHAnsi" w:cstheme="minorHAnsi"/>
          <w:b/>
          <w:i/>
          <w:color w:val="auto"/>
          <w:sz w:val="22"/>
          <w:szCs w:val="22"/>
        </w:rPr>
      </w:pPr>
      <w:r w:rsidRPr="00527695">
        <w:rPr>
          <w:rFonts w:asciiTheme="minorHAnsi" w:hAnsiTheme="minorHAnsi" w:cstheme="minorHAnsi"/>
          <w:b/>
          <w:i/>
          <w:color w:val="auto"/>
          <w:sz w:val="22"/>
          <w:szCs w:val="22"/>
        </w:rPr>
        <w:lastRenderedPageBreak/>
        <w:t>Jabiru Project:</w:t>
      </w:r>
    </w:p>
    <w:p w:rsidR="00586292" w:rsidRPr="005E38F0" w:rsidRDefault="00586292" w:rsidP="005E38F0">
      <w:pPr>
        <w:spacing w:before="120"/>
        <w:rPr>
          <w:color w:val="000000"/>
        </w:rPr>
      </w:pPr>
      <w:r w:rsidRPr="005E38F0">
        <w:rPr>
          <w:color w:val="000000"/>
        </w:rPr>
        <w:t xml:space="preserve">Status: </w:t>
      </w:r>
      <w:r w:rsidRPr="005E38F0">
        <w:rPr>
          <w:color w:val="000000"/>
        </w:rPr>
        <w:tab/>
        <w:t>ERA Project- Agreement signed and work underway</w:t>
      </w:r>
      <w:r w:rsidR="005E38F0">
        <w:rPr>
          <w:color w:val="000000"/>
        </w:rPr>
        <w:t xml:space="preserve"> </w:t>
      </w:r>
      <w:proofErr w:type="spellStart"/>
      <w:r w:rsidRPr="005E38F0">
        <w:rPr>
          <w:color w:val="000000"/>
        </w:rPr>
        <w:t>Gundjeih</w:t>
      </w:r>
      <w:r w:rsidR="005E38F0">
        <w:rPr>
          <w:color w:val="000000"/>
        </w:rPr>
        <w:t>mi</w:t>
      </w:r>
      <w:proofErr w:type="spellEnd"/>
      <w:r w:rsidR="005E38F0">
        <w:rPr>
          <w:color w:val="000000"/>
        </w:rPr>
        <w:t xml:space="preserve"> Aboriginal Corporation (</w:t>
      </w:r>
      <w:proofErr w:type="spellStart"/>
      <w:r w:rsidR="005E38F0">
        <w:rPr>
          <w:color w:val="000000"/>
        </w:rPr>
        <w:t>GAC</w:t>
      </w:r>
      <w:proofErr w:type="spellEnd"/>
      <w:r w:rsidR="005E38F0">
        <w:rPr>
          <w:color w:val="000000"/>
        </w:rPr>
        <w:t xml:space="preserve">) </w:t>
      </w:r>
      <w:r w:rsidRPr="005E38F0">
        <w:rPr>
          <w:color w:val="000000"/>
        </w:rPr>
        <w:t>boarding facility- underway</w:t>
      </w:r>
    </w:p>
    <w:p w:rsidR="00586292" w:rsidRPr="005E38F0" w:rsidRDefault="00586292" w:rsidP="005E38F0">
      <w:pPr>
        <w:pStyle w:val="ListParagraph"/>
        <w:numPr>
          <w:ilvl w:val="0"/>
          <w:numId w:val="45"/>
        </w:numPr>
        <w:spacing w:before="120"/>
        <w:rPr>
          <w:color w:val="000000"/>
        </w:rPr>
      </w:pPr>
      <w:r w:rsidRPr="005E38F0">
        <w:rPr>
          <w:color w:val="000000"/>
        </w:rPr>
        <w:t>Existing agreement with ERA to employ an agreed number of students who get through agreed levels of work.</w:t>
      </w:r>
    </w:p>
    <w:p w:rsidR="00586292" w:rsidRDefault="00586292" w:rsidP="005E38F0">
      <w:pPr>
        <w:pStyle w:val="ListParagraph"/>
        <w:numPr>
          <w:ilvl w:val="0"/>
          <w:numId w:val="45"/>
        </w:numPr>
        <w:spacing w:before="120"/>
        <w:rPr>
          <w:color w:val="000000"/>
        </w:rPr>
      </w:pPr>
      <w:r w:rsidRPr="005E38F0">
        <w:rPr>
          <w:color w:val="000000"/>
        </w:rPr>
        <w:t>Agreement with local indigenous organisation to assist in the employment and training of four young men from the school who do not wish to pursue mining as an option.</w:t>
      </w:r>
    </w:p>
    <w:p w:rsidR="00527695" w:rsidRPr="00A12DD4" w:rsidRDefault="00527695" w:rsidP="00A12DD4">
      <w:pPr>
        <w:pStyle w:val="Default"/>
        <w:numPr>
          <w:ilvl w:val="0"/>
          <w:numId w:val="46"/>
        </w:numPr>
        <w:rPr>
          <w:rFonts w:asciiTheme="minorHAnsi" w:hAnsiTheme="minorHAnsi" w:cstheme="minorHAnsi"/>
          <w:b/>
          <w:i/>
          <w:color w:val="auto"/>
          <w:sz w:val="22"/>
          <w:szCs w:val="22"/>
        </w:rPr>
      </w:pPr>
      <w:r w:rsidRPr="00A12DD4">
        <w:rPr>
          <w:rFonts w:asciiTheme="minorHAnsi" w:hAnsiTheme="minorHAnsi" w:cstheme="minorHAnsi"/>
          <w:b/>
          <w:i/>
          <w:color w:val="auto"/>
          <w:sz w:val="22"/>
          <w:szCs w:val="22"/>
        </w:rPr>
        <w:t>Financial literacy project:</w:t>
      </w:r>
    </w:p>
    <w:p w:rsidR="00527695" w:rsidRPr="00A12DD4" w:rsidRDefault="00527695" w:rsidP="00A12DD4">
      <w:pPr>
        <w:spacing w:before="120"/>
        <w:rPr>
          <w:color w:val="000000"/>
        </w:rPr>
      </w:pPr>
      <w:r w:rsidRPr="00A12DD4">
        <w:rPr>
          <w:color w:val="000000"/>
        </w:rPr>
        <w:t xml:space="preserve">Status: </w:t>
      </w:r>
      <w:r w:rsidRPr="00A12DD4">
        <w:rPr>
          <w:color w:val="000000"/>
        </w:rPr>
        <w:tab/>
        <w:t xml:space="preserve">Well progressed </w:t>
      </w:r>
    </w:p>
    <w:p w:rsidR="00527695" w:rsidRPr="00A12DD4" w:rsidRDefault="00A12DD4" w:rsidP="00A12DD4">
      <w:pPr>
        <w:pStyle w:val="ListParagraph"/>
        <w:numPr>
          <w:ilvl w:val="0"/>
          <w:numId w:val="45"/>
        </w:numPr>
        <w:spacing w:before="120"/>
        <w:rPr>
          <w:color w:val="000000"/>
        </w:rPr>
      </w:pPr>
      <w:r>
        <w:rPr>
          <w:color w:val="000000"/>
        </w:rPr>
        <w:t>The p</w:t>
      </w:r>
      <w:r w:rsidR="00527695" w:rsidRPr="00A12DD4">
        <w:rPr>
          <w:color w:val="000000"/>
        </w:rPr>
        <w:t xml:space="preserve">roject is to roll out </w:t>
      </w:r>
      <w:r w:rsidRPr="00A12DD4">
        <w:rPr>
          <w:color w:val="000000"/>
        </w:rPr>
        <w:t xml:space="preserve">a comprehensive financial literacy project in schools </w:t>
      </w:r>
      <w:r w:rsidR="00527695" w:rsidRPr="00A12DD4">
        <w:rPr>
          <w:color w:val="000000"/>
        </w:rPr>
        <w:t xml:space="preserve">across </w:t>
      </w:r>
      <w:r>
        <w:rPr>
          <w:color w:val="000000"/>
        </w:rPr>
        <w:t xml:space="preserve">the </w:t>
      </w:r>
      <w:r w:rsidR="00527695" w:rsidRPr="00A12DD4">
        <w:rPr>
          <w:color w:val="000000"/>
        </w:rPr>
        <w:t>20 towns</w:t>
      </w:r>
      <w:r>
        <w:rPr>
          <w:color w:val="000000"/>
        </w:rPr>
        <w:t>.  It has three (3) elements:</w:t>
      </w:r>
    </w:p>
    <w:p w:rsidR="00527695" w:rsidRPr="00A12DD4" w:rsidRDefault="00A12DD4" w:rsidP="00A12DD4">
      <w:pPr>
        <w:pStyle w:val="ListParagraph"/>
        <w:numPr>
          <w:ilvl w:val="1"/>
          <w:numId w:val="45"/>
        </w:numPr>
        <w:spacing w:before="120"/>
        <w:rPr>
          <w:color w:val="000000"/>
        </w:rPr>
      </w:pPr>
      <w:proofErr w:type="gramStart"/>
      <w:r>
        <w:rPr>
          <w:color w:val="000000"/>
        </w:rPr>
        <w:t>an</w:t>
      </w:r>
      <w:proofErr w:type="gramEnd"/>
      <w:r>
        <w:rPr>
          <w:color w:val="000000"/>
        </w:rPr>
        <w:t xml:space="preserve"> o</w:t>
      </w:r>
      <w:r w:rsidR="00527695" w:rsidRPr="00A12DD4">
        <w:rPr>
          <w:color w:val="000000"/>
        </w:rPr>
        <w:t xml:space="preserve">nline unit contained within </w:t>
      </w:r>
      <w:r>
        <w:rPr>
          <w:color w:val="000000"/>
        </w:rPr>
        <w:t>‘</w:t>
      </w:r>
      <w:r w:rsidR="00527695" w:rsidRPr="00A12DD4">
        <w:rPr>
          <w:color w:val="000000"/>
        </w:rPr>
        <w:t>Numeracy for Work and Community</w:t>
      </w:r>
      <w:r>
        <w:rPr>
          <w:color w:val="000000"/>
        </w:rPr>
        <w:t>’</w:t>
      </w:r>
      <w:r w:rsidR="00527695" w:rsidRPr="00A12DD4">
        <w:rPr>
          <w:color w:val="000000"/>
        </w:rPr>
        <w:t>. Being written on funds provided by Federal</w:t>
      </w:r>
      <w:r>
        <w:rPr>
          <w:color w:val="000000"/>
        </w:rPr>
        <w:t xml:space="preserve"> Government</w:t>
      </w:r>
      <w:r w:rsidR="00527695" w:rsidRPr="00A12DD4">
        <w:rPr>
          <w:color w:val="000000"/>
        </w:rPr>
        <w:t xml:space="preserve"> grant.</w:t>
      </w:r>
    </w:p>
    <w:p w:rsidR="00527695" w:rsidRPr="00A12DD4" w:rsidRDefault="00527695" w:rsidP="00A12DD4">
      <w:pPr>
        <w:pStyle w:val="ListParagraph"/>
        <w:numPr>
          <w:ilvl w:val="1"/>
          <w:numId w:val="45"/>
        </w:numPr>
        <w:spacing w:before="120"/>
        <w:rPr>
          <w:color w:val="000000"/>
        </w:rPr>
      </w:pPr>
      <w:r w:rsidRPr="00A12DD4">
        <w:rPr>
          <w:color w:val="000000"/>
        </w:rPr>
        <w:t xml:space="preserve">Foundation units for </w:t>
      </w:r>
      <w:proofErr w:type="spellStart"/>
      <w:r w:rsidRPr="00A12DD4">
        <w:rPr>
          <w:color w:val="000000"/>
        </w:rPr>
        <w:t>WorkReady</w:t>
      </w:r>
      <w:proofErr w:type="spellEnd"/>
      <w:r w:rsidRPr="00A12DD4">
        <w:rPr>
          <w:color w:val="000000"/>
        </w:rPr>
        <w:t xml:space="preserve"> and school to work transition years and Pre-VET. Funding being sought from </w:t>
      </w:r>
      <w:proofErr w:type="gramStart"/>
      <w:r w:rsidRPr="00A12DD4">
        <w:rPr>
          <w:color w:val="000000"/>
        </w:rPr>
        <w:t>Corporate</w:t>
      </w:r>
      <w:proofErr w:type="gramEnd"/>
      <w:r w:rsidRPr="00A12DD4">
        <w:rPr>
          <w:color w:val="000000"/>
        </w:rPr>
        <w:t xml:space="preserve"> groups.</w:t>
      </w:r>
    </w:p>
    <w:p w:rsidR="00527695" w:rsidRPr="00A12DD4" w:rsidRDefault="00527695" w:rsidP="00A12DD4">
      <w:pPr>
        <w:pStyle w:val="ListParagraph"/>
        <w:numPr>
          <w:ilvl w:val="1"/>
          <w:numId w:val="45"/>
        </w:numPr>
        <w:spacing w:before="120"/>
        <w:rPr>
          <w:color w:val="000000"/>
        </w:rPr>
      </w:pPr>
      <w:r w:rsidRPr="00A12DD4">
        <w:rPr>
          <w:color w:val="000000"/>
        </w:rPr>
        <w:t xml:space="preserve">Primary school financial literacy projects. Plan to use introduction of </w:t>
      </w:r>
      <w:r w:rsidRPr="00A12DD4">
        <w:rPr>
          <w:i/>
          <w:color w:val="000000"/>
        </w:rPr>
        <w:t>Cash for Containers</w:t>
      </w:r>
      <w:r w:rsidRPr="00A12DD4">
        <w:rPr>
          <w:color w:val="000000"/>
        </w:rPr>
        <w:t xml:space="preserve"> as an opportunity. Also re-introduction of school banking.</w:t>
      </w:r>
    </w:p>
    <w:p w:rsidR="00A12DD4" w:rsidRPr="00A12DD4" w:rsidRDefault="00A12DD4" w:rsidP="00A12DD4">
      <w:pPr>
        <w:pStyle w:val="Default"/>
        <w:numPr>
          <w:ilvl w:val="0"/>
          <w:numId w:val="46"/>
        </w:numPr>
        <w:rPr>
          <w:rFonts w:asciiTheme="minorHAnsi" w:hAnsiTheme="minorHAnsi" w:cstheme="minorHAnsi"/>
          <w:b/>
          <w:i/>
          <w:color w:val="auto"/>
          <w:sz w:val="22"/>
          <w:szCs w:val="22"/>
        </w:rPr>
      </w:pPr>
      <w:r>
        <w:rPr>
          <w:rFonts w:asciiTheme="minorHAnsi" w:hAnsiTheme="minorHAnsi" w:cstheme="minorHAnsi"/>
          <w:b/>
          <w:i/>
          <w:color w:val="auto"/>
          <w:sz w:val="22"/>
          <w:szCs w:val="22"/>
        </w:rPr>
        <w:t>There are a number of other projects in the early stages of development.</w:t>
      </w:r>
    </w:p>
    <w:p w:rsidR="00153F50" w:rsidRDefault="00153F50" w:rsidP="00D21EC5">
      <w:pPr>
        <w:autoSpaceDE w:val="0"/>
        <w:autoSpaceDN w:val="0"/>
        <w:adjustRightInd w:val="0"/>
        <w:spacing w:line="240" w:lineRule="auto"/>
        <w:rPr>
          <w:rFonts w:ascii="Calibri" w:hAnsi="Calibri" w:cs="Calibri"/>
          <w:b/>
        </w:rPr>
      </w:pPr>
    </w:p>
    <w:p w:rsidR="00D21EC5" w:rsidRPr="007F51BF" w:rsidRDefault="00F12019" w:rsidP="00D21EC5">
      <w:pPr>
        <w:autoSpaceDE w:val="0"/>
        <w:autoSpaceDN w:val="0"/>
        <w:adjustRightInd w:val="0"/>
        <w:spacing w:line="240" w:lineRule="auto"/>
        <w:rPr>
          <w:rFonts w:ascii="Calibri" w:hAnsi="Calibri" w:cs="Calibri"/>
          <w:b/>
        </w:rPr>
      </w:pPr>
      <w:r>
        <w:rPr>
          <w:rFonts w:ascii="Calibri" w:hAnsi="Calibri" w:cs="Calibri"/>
          <w:b/>
        </w:rPr>
        <w:t xml:space="preserve">AVAILABLE </w:t>
      </w:r>
      <w:r w:rsidR="00D21EC5" w:rsidRPr="007F51BF">
        <w:rPr>
          <w:rFonts w:ascii="Calibri" w:hAnsi="Calibri" w:cs="Calibri"/>
          <w:b/>
        </w:rPr>
        <w:t>DATA</w:t>
      </w:r>
    </w:p>
    <w:tbl>
      <w:tblPr>
        <w:tblW w:w="10737" w:type="dxa"/>
        <w:tblInd w:w="93" w:type="dxa"/>
        <w:tblLook w:val="04A0" w:firstRow="1" w:lastRow="0" w:firstColumn="1" w:lastColumn="0" w:noHBand="0" w:noVBand="1"/>
      </w:tblPr>
      <w:tblGrid>
        <w:gridCol w:w="1526"/>
        <w:gridCol w:w="1781"/>
        <w:gridCol w:w="470"/>
        <w:gridCol w:w="577"/>
        <w:gridCol w:w="166"/>
        <w:gridCol w:w="84"/>
        <w:gridCol w:w="381"/>
        <w:gridCol w:w="984"/>
        <w:gridCol w:w="567"/>
        <w:gridCol w:w="731"/>
        <w:gridCol w:w="261"/>
        <w:gridCol w:w="286"/>
        <w:gridCol w:w="498"/>
        <w:gridCol w:w="250"/>
        <w:gridCol w:w="482"/>
        <w:gridCol w:w="1278"/>
        <w:gridCol w:w="415"/>
      </w:tblGrid>
      <w:tr w:rsidR="00D21EC5" w:rsidRPr="00C93722" w:rsidTr="00F12019">
        <w:trPr>
          <w:trHeight w:val="632"/>
        </w:trPr>
        <w:tc>
          <w:tcPr>
            <w:tcW w:w="6536" w:type="dxa"/>
            <w:gridSpan w:val="9"/>
            <w:tcBorders>
              <w:top w:val="nil"/>
              <w:left w:val="nil"/>
              <w:bottom w:val="nil"/>
              <w:right w:val="nil"/>
            </w:tcBorders>
            <w:shd w:val="clear" w:color="FFFFFF" w:fill="FFFFFF"/>
            <w:noWrap/>
            <w:vAlign w:val="bottom"/>
            <w:hideMark/>
          </w:tcPr>
          <w:p w:rsidR="00D21EC5" w:rsidRPr="001859CD" w:rsidRDefault="00D21EC5" w:rsidP="005B142B">
            <w:pPr>
              <w:spacing w:line="240" w:lineRule="auto"/>
              <w:rPr>
                <w:rFonts w:eastAsia="Times New Roman" w:cstheme="minorHAnsi"/>
                <w:b/>
                <w:bCs/>
                <w:color w:val="000000"/>
                <w:u w:val="single"/>
                <w:lang w:eastAsia="en-AU"/>
              </w:rPr>
            </w:pPr>
            <w:r w:rsidRPr="001859CD">
              <w:rPr>
                <w:rFonts w:eastAsia="Times New Roman" w:cstheme="minorHAnsi"/>
                <w:b/>
                <w:bCs/>
                <w:color w:val="000000"/>
                <w:u w:val="single"/>
                <w:lang w:eastAsia="en-AU"/>
              </w:rPr>
              <w:t>Year 11 &amp; 12 Full Time Enrolment Summary by Indigenous status</w:t>
            </w:r>
          </w:p>
        </w:tc>
        <w:tc>
          <w:tcPr>
            <w:tcW w:w="1278"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9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732"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F12019">
        <w:trPr>
          <w:trHeight w:val="150"/>
        </w:trPr>
        <w:tc>
          <w:tcPr>
            <w:tcW w:w="1526"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251"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577"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631"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551"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9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732"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F12019">
        <w:trPr>
          <w:trHeight w:val="1234"/>
        </w:trPr>
        <w:tc>
          <w:tcPr>
            <w:tcW w:w="7814" w:type="dxa"/>
            <w:gridSpan w:val="12"/>
            <w:tcBorders>
              <w:top w:val="nil"/>
              <w:left w:val="nil"/>
              <w:bottom w:val="nil"/>
              <w:right w:val="nil"/>
            </w:tcBorders>
            <w:shd w:val="clear" w:color="FFFFFF" w:fill="FFFFFF"/>
            <w:vAlign w:val="bottom"/>
            <w:hideMark/>
          </w:tcPr>
          <w:p w:rsidR="00D21EC5" w:rsidRPr="001859CD" w:rsidRDefault="00D21EC5" w:rsidP="005B142B">
            <w:pPr>
              <w:spacing w:line="240" w:lineRule="auto"/>
              <w:rPr>
                <w:rFonts w:eastAsia="Times New Roman" w:cstheme="minorHAnsi"/>
                <w:color w:val="000000"/>
                <w:sz w:val="18"/>
                <w:szCs w:val="18"/>
                <w:lang w:eastAsia="en-AU"/>
              </w:rPr>
            </w:pPr>
            <w:r w:rsidRPr="001859CD">
              <w:rPr>
                <w:rFonts w:eastAsia="Times New Roman" w:cstheme="minorHAnsi"/>
                <w:color w:val="000000"/>
                <w:sz w:val="18"/>
                <w:szCs w:val="18"/>
                <w:lang w:eastAsia="en-AU"/>
              </w:rPr>
              <w:t xml:space="preserve">This data is sourced from the Age Grade universe and includes Distance Learning Schools which may have dual enrolled students. Please note that the data has been provided for the requested purpose only. This data cannot be used for commercial purposes and the source of this data should be acknowledged in any publication using or referring to this data. </w:t>
            </w:r>
            <w:proofErr w:type="spellStart"/>
            <w:r w:rsidRPr="001859CD">
              <w:rPr>
                <w:rFonts w:eastAsia="Times New Roman" w:cstheme="minorHAnsi"/>
                <w:color w:val="000000"/>
                <w:sz w:val="18"/>
                <w:szCs w:val="18"/>
                <w:lang w:eastAsia="en-AU"/>
              </w:rPr>
              <w:t>DET</w:t>
            </w:r>
            <w:proofErr w:type="spellEnd"/>
            <w:r w:rsidRPr="001859CD">
              <w:rPr>
                <w:rFonts w:eastAsia="Times New Roman" w:cstheme="minorHAnsi"/>
                <w:color w:val="000000"/>
                <w:sz w:val="18"/>
                <w:szCs w:val="18"/>
                <w:lang w:eastAsia="en-AU"/>
              </w:rPr>
              <w:t xml:space="preserve"> will not provide any data externally that can identify individuals as per the Information Privacy Principles of the Northern Territory Information Act.</w:t>
            </w:r>
          </w:p>
        </w:tc>
        <w:tc>
          <w:tcPr>
            <w:tcW w:w="49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732"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3777" w:type="dxa"/>
            <w:gridSpan w:val="3"/>
            <w:tcBorders>
              <w:top w:val="nil"/>
              <w:left w:val="nil"/>
              <w:bottom w:val="nil"/>
              <w:right w:val="nil"/>
            </w:tcBorders>
            <w:shd w:val="clear" w:color="FFFFFF" w:fill="FFFFFF"/>
            <w:noWrap/>
            <w:vAlign w:val="bottom"/>
            <w:hideMark/>
          </w:tcPr>
          <w:p w:rsidR="00D21EC5" w:rsidRPr="001859CD" w:rsidRDefault="00D21EC5" w:rsidP="005B142B">
            <w:pPr>
              <w:spacing w:line="240" w:lineRule="auto"/>
              <w:rPr>
                <w:rFonts w:eastAsia="Times New Roman" w:cstheme="minorHAnsi"/>
                <w:b/>
                <w:bCs/>
                <w:color w:val="000000"/>
                <w:sz w:val="18"/>
                <w:szCs w:val="18"/>
                <w:u w:val="single"/>
                <w:lang w:eastAsia="en-AU"/>
              </w:rPr>
            </w:pPr>
            <w:r w:rsidRPr="001859CD">
              <w:rPr>
                <w:rFonts w:eastAsia="Times New Roman" w:cstheme="minorHAnsi"/>
                <w:b/>
                <w:bCs/>
                <w:color w:val="000000"/>
                <w:sz w:val="18"/>
                <w:szCs w:val="18"/>
                <w:u w:val="single"/>
                <w:lang w:eastAsia="en-AU"/>
              </w:rPr>
              <w:t>Government</w:t>
            </w:r>
          </w:p>
        </w:tc>
        <w:tc>
          <w:tcPr>
            <w:tcW w:w="577"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631"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984"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845" w:type="dxa"/>
            <w:gridSpan w:val="4"/>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9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732"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181"/>
        </w:trPr>
        <w:tc>
          <w:tcPr>
            <w:tcW w:w="1526"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251"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577"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631"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984"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845" w:type="dxa"/>
            <w:gridSpan w:val="4"/>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9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732"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78"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rPr>
                <w:rFonts w:eastAsia="Times New Roman" w:cstheme="minorHAnsi"/>
                <w:color w:val="000000"/>
                <w:sz w:val="24"/>
                <w:szCs w:val="24"/>
                <w:lang w:eastAsia="en-AU"/>
              </w:rPr>
            </w:pPr>
            <w:r w:rsidRPr="001859CD">
              <w:rPr>
                <w:rFonts w:eastAsia="Times New Roman" w:cstheme="minorHAnsi"/>
                <w:color w:val="000000"/>
                <w:sz w:val="24"/>
                <w:szCs w:val="24"/>
                <w:lang w:eastAsia="en-AU"/>
              </w:rPr>
              <w:t> </w:t>
            </w:r>
          </w:p>
        </w:tc>
        <w:tc>
          <w:tcPr>
            <w:tcW w:w="4443" w:type="dxa"/>
            <w:gridSpan w:val="7"/>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2009</w:t>
            </w:r>
          </w:p>
        </w:tc>
        <w:tc>
          <w:tcPr>
            <w:tcW w:w="4353" w:type="dxa"/>
            <w:gridSpan w:val="8"/>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2010</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rPr>
                <w:rFonts w:eastAsia="Times New Roman" w:cstheme="minorHAnsi"/>
                <w:color w:val="000000"/>
                <w:sz w:val="24"/>
                <w:szCs w:val="24"/>
                <w:lang w:eastAsia="en-AU"/>
              </w:rPr>
            </w:pPr>
            <w:r w:rsidRPr="001859CD">
              <w:rPr>
                <w:rFonts w:eastAsia="Times New Roman" w:cstheme="minorHAnsi"/>
                <w:color w:val="000000"/>
                <w:sz w:val="24"/>
                <w:szCs w:val="24"/>
                <w:lang w:eastAsia="en-AU"/>
              </w:rPr>
              <w:t> </w:t>
            </w:r>
          </w:p>
        </w:tc>
        <w:tc>
          <w:tcPr>
            <w:tcW w:w="1781" w:type="dxa"/>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Indigenous</w:t>
            </w:r>
          </w:p>
        </w:tc>
        <w:tc>
          <w:tcPr>
            <w:tcW w:w="1213" w:type="dxa"/>
            <w:gridSpan w:val="3"/>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Non Indigenous</w:t>
            </w:r>
          </w:p>
        </w:tc>
        <w:tc>
          <w:tcPr>
            <w:tcW w:w="1449" w:type="dxa"/>
            <w:gridSpan w:val="3"/>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1298" w:type="dxa"/>
            <w:gridSpan w:val="2"/>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Indigenous</w:t>
            </w:r>
          </w:p>
        </w:tc>
        <w:tc>
          <w:tcPr>
            <w:tcW w:w="1295" w:type="dxa"/>
            <w:gridSpan w:val="4"/>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Non Indigenous</w:t>
            </w:r>
          </w:p>
        </w:tc>
        <w:tc>
          <w:tcPr>
            <w:tcW w:w="1760" w:type="dxa"/>
            <w:gridSpan w:val="2"/>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Year 11</w:t>
            </w:r>
          </w:p>
        </w:tc>
        <w:tc>
          <w:tcPr>
            <w:tcW w:w="1781" w:type="dxa"/>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583</w:t>
            </w:r>
          </w:p>
        </w:tc>
        <w:tc>
          <w:tcPr>
            <w:tcW w:w="1213"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1086</w:t>
            </w:r>
          </w:p>
        </w:tc>
        <w:tc>
          <w:tcPr>
            <w:tcW w:w="1449" w:type="dxa"/>
            <w:gridSpan w:val="3"/>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1669</w:t>
            </w:r>
          </w:p>
        </w:tc>
        <w:tc>
          <w:tcPr>
            <w:tcW w:w="1298" w:type="dxa"/>
            <w:gridSpan w:val="2"/>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618</w:t>
            </w:r>
          </w:p>
        </w:tc>
        <w:tc>
          <w:tcPr>
            <w:tcW w:w="1295"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1134</w:t>
            </w:r>
          </w:p>
        </w:tc>
        <w:tc>
          <w:tcPr>
            <w:tcW w:w="1760" w:type="dxa"/>
            <w:gridSpan w:val="2"/>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1752</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Year 12</w:t>
            </w:r>
          </w:p>
        </w:tc>
        <w:tc>
          <w:tcPr>
            <w:tcW w:w="1781" w:type="dxa"/>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285</w:t>
            </w:r>
          </w:p>
        </w:tc>
        <w:tc>
          <w:tcPr>
            <w:tcW w:w="1213"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891</w:t>
            </w:r>
          </w:p>
        </w:tc>
        <w:tc>
          <w:tcPr>
            <w:tcW w:w="1449" w:type="dxa"/>
            <w:gridSpan w:val="3"/>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1176</w:t>
            </w:r>
          </w:p>
        </w:tc>
        <w:tc>
          <w:tcPr>
            <w:tcW w:w="1298" w:type="dxa"/>
            <w:gridSpan w:val="2"/>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314</w:t>
            </w:r>
          </w:p>
        </w:tc>
        <w:tc>
          <w:tcPr>
            <w:tcW w:w="1295"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right"/>
              <w:rPr>
                <w:rFonts w:eastAsia="Times New Roman" w:cstheme="minorHAnsi"/>
                <w:color w:val="000000"/>
                <w:sz w:val="18"/>
                <w:szCs w:val="18"/>
                <w:lang w:eastAsia="en-AU"/>
              </w:rPr>
            </w:pPr>
            <w:r w:rsidRPr="001859CD">
              <w:rPr>
                <w:rFonts w:eastAsia="Times New Roman" w:cstheme="minorHAnsi"/>
                <w:color w:val="000000"/>
                <w:sz w:val="18"/>
                <w:szCs w:val="18"/>
                <w:lang w:eastAsia="en-AU"/>
              </w:rPr>
              <w:t>888</w:t>
            </w:r>
          </w:p>
        </w:tc>
        <w:tc>
          <w:tcPr>
            <w:tcW w:w="1760" w:type="dxa"/>
            <w:gridSpan w:val="2"/>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1202</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1781"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868</w:t>
            </w:r>
          </w:p>
        </w:tc>
        <w:tc>
          <w:tcPr>
            <w:tcW w:w="1213" w:type="dxa"/>
            <w:gridSpan w:val="3"/>
            <w:tcBorders>
              <w:top w:val="single" w:sz="4" w:space="0" w:color="CCCCFF"/>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1977</w:t>
            </w:r>
          </w:p>
        </w:tc>
        <w:tc>
          <w:tcPr>
            <w:tcW w:w="1449" w:type="dxa"/>
            <w:gridSpan w:val="3"/>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2845</w:t>
            </w:r>
          </w:p>
        </w:tc>
        <w:tc>
          <w:tcPr>
            <w:tcW w:w="1298" w:type="dxa"/>
            <w:gridSpan w:val="2"/>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932</w:t>
            </w:r>
          </w:p>
        </w:tc>
        <w:tc>
          <w:tcPr>
            <w:tcW w:w="1295" w:type="dxa"/>
            <w:gridSpan w:val="4"/>
            <w:tcBorders>
              <w:top w:val="single" w:sz="4" w:space="0" w:color="CCCCFF"/>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2022</w:t>
            </w:r>
          </w:p>
        </w:tc>
        <w:tc>
          <w:tcPr>
            <w:tcW w:w="1760" w:type="dxa"/>
            <w:gridSpan w:val="2"/>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right"/>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2954</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3307" w:type="dxa"/>
            <w:gridSpan w:val="2"/>
            <w:tcBorders>
              <w:top w:val="nil"/>
              <w:left w:val="nil"/>
              <w:bottom w:val="nil"/>
              <w:right w:val="nil"/>
            </w:tcBorders>
            <w:shd w:val="clear" w:color="FFFFFF" w:fill="FFFFFF"/>
            <w:noWrap/>
            <w:vAlign w:val="bottom"/>
            <w:hideMark/>
          </w:tcPr>
          <w:p w:rsidR="00D21EC5" w:rsidRPr="00C93722" w:rsidRDefault="00D21EC5" w:rsidP="005B142B">
            <w:pPr>
              <w:spacing w:line="240" w:lineRule="auto"/>
              <w:rPr>
                <w:rFonts w:ascii="Arial" w:eastAsia="Times New Roman" w:hAnsi="Arial" w:cs="Arial"/>
                <w:b/>
                <w:bCs/>
                <w:color w:val="000000"/>
                <w:sz w:val="24"/>
                <w:szCs w:val="24"/>
                <w:u w:val="single"/>
                <w:lang w:eastAsia="en-AU"/>
              </w:rPr>
            </w:pPr>
            <w:r w:rsidRPr="001859CD">
              <w:rPr>
                <w:rFonts w:eastAsia="Times New Roman" w:cstheme="minorHAnsi"/>
                <w:b/>
                <w:bCs/>
                <w:color w:val="000000"/>
                <w:sz w:val="18"/>
                <w:szCs w:val="18"/>
                <w:u w:val="single"/>
                <w:lang w:eastAsia="en-AU"/>
              </w:rPr>
              <w:t>Non-Government</w:t>
            </w:r>
          </w:p>
        </w:tc>
        <w:tc>
          <w:tcPr>
            <w:tcW w:w="1047"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365"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98"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045"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50"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760"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181"/>
        </w:trPr>
        <w:tc>
          <w:tcPr>
            <w:tcW w:w="1526"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781"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047"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365"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298"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045" w:type="dxa"/>
            <w:gridSpan w:val="3"/>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250"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1760" w:type="dxa"/>
            <w:gridSpan w:val="2"/>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c>
          <w:tcPr>
            <w:tcW w:w="415" w:type="dxa"/>
            <w:tcBorders>
              <w:top w:val="nil"/>
              <w:left w:val="nil"/>
              <w:bottom w:val="nil"/>
              <w:right w:val="nil"/>
            </w:tcBorders>
            <w:shd w:val="clear" w:color="FFFFFF" w:fill="FFFFFF"/>
            <w:noWrap/>
            <w:vAlign w:val="center"/>
            <w:hideMark/>
          </w:tcPr>
          <w:p w:rsidR="00D21EC5" w:rsidRPr="00C93722" w:rsidRDefault="00D21EC5" w:rsidP="005B142B">
            <w:pPr>
              <w:spacing w:line="240" w:lineRule="auto"/>
              <w:rPr>
                <w:rFonts w:ascii="Arial" w:eastAsia="Times New Roman" w:hAnsi="Arial" w:cs="Arial"/>
                <w:color w:val="000000"/>
                <w:sz w:val="12"/>
                <w:szCs w:val="12"/>
                <w:lang w:eastAsia="en-AU"/>
              </w:rPr>
            </w:pPr>
            <w:r w:rsidRPr="00C93722">
              <w:rPr>
                <w:rFonts w:ascii="Arial" w:eastAsia="Times New Roman" w:hAnsi="Arial" w:cs="Arial"/>
                <w:color w:val="000000"/>
                <w:sz w:val="12"/>
                <w:szCs w:val="12"/>
                <w:lang w:eastAsia="en-AU"/>
              </w:rPr>
              <w:t> </w:t>
            </w:r>
          </w:p>
        </w:tc>
      </w:tr>
      <w:tr w:rsidR="00D21EC5" w:rsidRPr="00C93722" w:rsidTr="009E461E">
        <w:trPr>
          <w:trHeight w:val="361"/>
        </w:trPr>
        <w:tc>
          <w:tcPr>
            <w:tcW w:w="1526"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c>
          <w:tcPr>
            <w:tcW w:w="4443" w:type="dxa"/>
            <w:gridSpan w:val="7"/>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2009</w:t>
            </w:r>
          </w:p>
        </w:tc>
        <w:tc>
          <w:tcPr>
            <w:tcW w:w="4353" w:type="dxa"/>
            <w:gridSpan w:val="8"/>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2010</w:t>
            </w:r>
          </w:p>
        </w:tc>
        <w:tc>
          <w:tcPr>
            <w:tcW w:w="415"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r>
      <w:tr w:rsidR="00D21EC5" w:rsidRPr="00C93722" w:rsidTr="009E461E">
        <w:trPr>
          <w:trHeight w:val="361"/>
        </w:trPr>
        <w:tc>
          <w:tcPr>
            <w:tcW w:w="1526"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c>
          <w:tcPr>
            <w:tcW w:w="2251" w:type="dxa"/>
            <w:gridSpan w:val="2"/>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Indigenous</w:t>
            </w:r>
          </w:p>
        </w:tc>
        <w:tc>
          <w:tcPr>
            <w:tcW w:w="1208" w:type="dxa"/>
            <w:gridSpan w:val="4"/>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Non Indigenous</w:t>
            </w:r>
          </w:p>
        </w:tc>
        <w:tc>
          <w:tcPr>
            <w:tcW w:w="984" w:type="dxa"/>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1559" w:type="dxa"/>
            <w:gridSpan w:val="3"/>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Indigenous</w:t>
            </w:r>
          </w:p>
        </w:tc>
        <w:tc>
          <w:tcPr>
            <w:tcW w:w="1516" w:type="dxa"/>
            <w:gridSpan w:val="4"/>
            <w:tcBorders>
              <w:top w:val="single" w:sz="4" w:space="0" w:color="CCCCFF"/>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Non Indigenous</w:t>
            </w:r>
          </w:p>
        </w:tc>
        <w:tc>
          <w:tcPr>
            <w:tcW w:w="1278" w:type="dxa"/>
            <w:tcBorders>
              <w:top w:val="nil"/>
              <w:left w:val="nil"/>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415"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r>
      <w:tr w:rsidR="00D21EC5" w:rsidRPr="00C93722" w:rsidTr="009E461E">
        <w:trPr>
          <w:trHeight w:val="361"/>
        </w:trPr>
        <w:tc>
          <w:tcPr>
            <w:tcW w:w="1526" w:type="dxa"/>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Year 11</w:t>
            </w:r>
          </w:p>
        </w:tc>
        <w:tc>
          <w:tcPr>
            <w:tcW w:w="2251" w:type="dxa"/>
            <w:gridSpan w:val="2"/>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134</w:t>
            </w:r>
          </w:p>
        </w:tc>
        <w:tc>
          <w:tcPr>
            <w:tcW w:w="1208"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367</w:t>
            </w:r>
          </w:p>
        </w:tc>
        <w:tc>
          <w:tcPr>
            <w:tcW w:w="984"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501</w:t>
            </w:r>
          </w:p>
        </w:tc>
        <w:tc>
          <w:tcPr>
            <w:tcW w:w="1559" w:type="dxa"/>
            <w:gridSpan w:val="3"/>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161</w:t>
            </w:r>
          </w:p>
        </w:tc>
        <w:tc>
          <w:tcPr>
            <w:tcW w:w="1516"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390</w:t>
            </w:r>
          </w:p>
        </w:tc>
        <w:tc>
          <w:tcPr>
            <w:tcW w:w="1278"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551</w:t>
            </w:r>
          </w:p>
        </w:tc>
        <w:tc>
          <w:tcPr>
            <w:tcW w:w="415"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r>
      <w:tr w:rsidR="00D21EC5" w:rsidRPr="00C93722" w:rsidTr="009E461E">
        <w:trPr>
          <w:trHeight w:val="361"/>
        </w:trPr>
        <w:tc>
          <w:tcPr>
            <w:tcW w:w="1526" w:type="dxa"/>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Year 12</w:t>
            </w:r>
          </w:p>
        </w:tc>
        <w:tc>
          <w:tcPr>
            <w:tcW w:w="2251" w:type="dxa"/>
            <w:gridSpan w:val="2"/>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82</w:t>
            </w:r>
          </w:p>
        </w:tc>
        <w:tc>
          <w:tcPr>
            <w:tcW w:w="1208"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306</w:t>
            </w:r>
          </w:p>
        </w:tc>
        <w:tc>
          <w:tcPr>
            <w:tcW w:w="984"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388</w:t>
            </w:r>
          </w:p>
        </w:tc>
        <w:tc>
          <w:tcPr>
            <w:tcW w:w="1559" w:type="dxa"/>
            <w:gridSpan w:val="3"/>
            <w:tcBorders>
              <w:top w:val="nil"/>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68</w:t>
            </w:r>
          </w:p>
        </w:tc>
        <w:tc>
          <w:tcPr>
            <w:tcW w:w="1516"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320</w:t>
            </w:r>
          </w:p>
        </w:tc>
        <w:tc>
          <w:tcPr>
            <w:tcW w:w="1278"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388</w:t>
            </w:r>
          </w:p>
        </w:tc>
        <w:tc>
          <w:tcPr>
            <w:tcW w:w="415"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r>
      <w:tr w:rsidR="00D21EC5" w:rsidRPr="00C93722" w:rsidTr="009E461E">
        <w:trPr>
          <w:trHeight w:val="361"/>
        </w:trPr>
        <w:tc>
          <w:tcPr>
            <w:tcW w:w="1526" w:type="dxa"/>
            <w:tcBorders>
              <w:top w:val="nil"/>
              <w:left w:val="single" w:sz="4" w:space="0" w:color="CCCCFF"/>
              <w:bottom w:val="single" w:sz="4" w:space="0" w:color="CCCCFF"/>
              <w:right w:val="single" w:sz="4" w:space="0" w:color="CCCCFF"/>
            </w:tcBorders>
            <w:shd w:val="clear" w:color="FFFFFF" w:fill="C0C0C0"/>
            <w:noWrap/>
            <w:vAlign w:val="bottom"/>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Total</w:t>
            </w:r>
          </w:p>
        </w:tc>
        <w:tc>
          <w:tcPr>
            <w:tcW w:w="2251" w:type="dxa"/>
            <w:gridSpan w:val="2"/>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216</w:t>
            </w:r>
          </w:p>
        </w:tc>
        <w:tc>
          <w:tcPr>
            <w:tcW w:w="1208" w:type="dxa"/>
            <w:gridSpan w:val="4"/>
            <w:tcBorders>
              <w:top w:val="single" w:sz="4" w:space="0" w:color="CCCCFF"/>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673</w:t>
            </w:r>
          </w:p>
        </w:tc>
        <w:tc>
          <w:tcPr>
            <w:tcW w:w="984"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889</w:t>
            </w:r>
          </w:p>
        </w:tc>
        <w:tc>
          <w:tcPr>
            <w:tcW w:w="1559" w:type="dxa"/>
            <w:gridSpan w:val="3"/>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229</w:t>
            </w:r>
          </w:p>
        </w:tc>
        <w:tc>
          <w:tcPr>
            <w:tcW w:w="1516" w:type="dxa"/>
            <w:gridSpan w:val="4"/>
            <w:tcBorders>
              <w:top w:val="single" w:sz="4" w:space="0" w:color="CCCCFF"/>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710</w:t>
            </w:r>
          </w:p>
        </w:tc>
        <w:tc>
          <w:tcPr>
            <w:tcW w:w="1278" w:type="dxa"/>
            <w:tcBorders>
              <w:top w:val="nil"/>
              <w:left w:val="nil"/>
              <w:bottom w:val="single" w:sz="4" w:space="0" w:color="CCCCFF"/>
              <w:right w:val="single" w:sz="4" w:space="0" w:color="CCCCFF"/>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939</w:t>
            </w:r>
          </w:p>
        </w:tc>
        <w:tc>
          <w:tcPr>
            <w:tcW w:w="415" w:type="dxa"/>
            <w:tcBorders>
              <w:top w:val="nil"/>
              <w:left w:val="nil"/>
              <w:bottom w:val="nil"/>
              <w:right w:val="nil"/>
            </w:tcBorders>
            <w:shd w:val="clear" w:color="FFFFFF" w:fill="FFFFFF"/>
            <w:noWrap/>
            <w:vAlign w:val="center"/>
            <w:hideMark/>
          </w:tcPr>
          <w:p w:rsidR="00D21EC5" w:rsidRPr="001859CD" w:rsidRDefault="00D21EC5" w:rsidP="005B142B">
            <w:pPr>
              <w:spacing w:line="240" w:lineRule="auto"/>
              <w:jc w:val="center"/>
              <w:rPr>
                <w:rFonts w:eastAsia="Times New Roman" w:cstheme="minorHAnsi"/>
                <w:b/>
                <w:bCs/>
                <w:color w:val="000000"/>
                <w:sz w:val="18"/>
                <w:szCs w:val="18"/>
                <w:lang w:eastAsia="en-AU"/>
              </w:rPr>
            </w:pPr>
            <w:r w:rsidRPr="001859CD">
              <w:rPr>
                <w:rFonts w:eastAsia="Times New Roman" w:cstheme="minorHAnsi"/>
                <w:b/>
                <w:bCs/>
                <w:color w:val="000000"/>
                <w:sz w:val="18"/>
                <w:szCs w:val="18"/>
                <w:lang w:eastAsia="en-AU"/>
              </w:rPr>
              <w:t> </w:t>
            </w:r>
          </w:p>
        </w:tc>
      </w:tr>
    </w:tbl>
    <w:p w:rsidR="00D21EC5" w:rsidRDefault="00D21EC5" w:rsidP="00D21EC5">
      <w:pPr>
        <w:autoSpaceDE w:val="0"/>
        <w:autoSpaceDN w:val="0"/>
        <w:adjustRightInd w:val="0"/>
        <w:spacing w:line="240" w:lineRule="auto"/>
        <w:rPr>
          <w:rFonts w:ascii="Calibri" w:hAnsi="Calibri" w:cs="Calibri"/>
          <w:sz w:val="23"/>
          <w:szCs w:val="23"/>
        </w:rPr>
      </w:pPr>
    </w:p>
    <w:p w:rsidR="00153F50" w:rsidRDefault="00153F50" w:rsidP="00D21EC5">
      <w:pPr>
        <w:autoSpaceDE w:val="0"/>
        <w:autoSpaceDN w:val="0"/>
        <w:adjustRightInd w:val="0"/>
        <w:spacing w:line="240" w:lineRule="auto"/>
        <w:rPr>
          <w:rFonts w:eastAsia="Times New Roman" w:cstheme="minorHAnsi"/>
          <w:b/>
          <w:bCs/>
          <w:color w:val="000000"/>
          <w:u w:val="single"/>
          <w:lang w:eastAsia="en-AU"/>
        </w:rPr>
      </w:pPr>
    </w:p>
    <w:p w:rsidR="00153F50" w:rsidRDefault="00153F50" w:rsidP="00D21EC5">
      <w:pPr>
        <w:autoSpaceDE w:val="0"/>
        <w:autoSpaceDN w:val="0"/>
        <w:adjustRightInd w:val="0"/>
        <w:spacing w:line="240" w:lineRule="auto"/>
        <w:rPr>
          <w:rFonts w:eastAsia="Times New Roman" w:cstheme="minorHAnsi"/>
          <w:b/>
          <w:bCs/>
          <w:color w:val="000000"/>
          <w:u w:val="single"/>
          <w:lang w:eastAsia="en-AU"/>
        </w:rPr>
      </w:pPr>
    </w:p>
    <w:p w:rsidR="00D21EC5" w:rsidRDefault="00D21EC5" w:rsidP="00D21EC5">
      <w:pPr>
        <w:autoSpaceDE w:val="0"/>
        <w:autoSpaceDN w:val="0"/>
        <w:adjustRightInd w:val="0"/>
        <w:spacing w:line="240" w:lineRule="auto"/>
        <w:rPr>
          <w:rFonts w:eastAsia="Times New Roman" w:cstheme="minorHAnsi"/>
          <w:b/>
          <w:bCs/>
          <w:color w:val="000000"/>
          <w:u w:val="single"/>
          <w:lang w:eastAsia="en-AU"/>
        </w:rPr>
      </w:pPr>
      <w:r>
        <w:rPr>
          <w:rFonts w:eastAsia="Times New Roman" w:cstheme="minorHAnsi"/>
          <w:b/>
          <w:bCs/>
          <w:color w:val="000000"/>
          <w:u w:val="single"/>
          <w:lang w:eastAsia="en-AU"/>
        </w:rPr>
        <w:lastRenderedPageBreak/>
        <w:t>Year 9</w:t>
      </w:r>
      <w:r w:rsidRPr="001859CD">
        <w:rPr>
          <w:rFonts w:eastAsia="Times New Roman" w:cstheme="minorHAnsi"/>
          <w:b/>
          <w:bCs/>
          <w:color w:val="000000"/>
          <w:u w:val="single"/>
          <w:lang w:eastAsia="en-AU"/>
        </w:rPr>
        <w:t xml:space="preserve"> &amp; 1</w:t>
      </w:r>
      <w:r>
        <w:rPr>
          <w:rFonts w:eastAsia="Times New Roman" w:cstheme="minorHAnsi"/>
          <w:b/>
          <w:bCs/>
          <w:color w:val="000000"/>
          <w:u w:val="single"/>
          <w:lang w:eastAsia="en-AU"/>
        </w:rPr>
        <w:t>0</w:t>
      </w:r>
      <w:r w:rsidRPr="001859CD">
        <w:rPr>
          <w:rFonts w:eastAsia="Times New Roman" w:cstheme="minorHAnsi"/>
          <w:b/>
          <w:bCs/>
          <w:color w:val="000000"/>
          <w:u w:val="single"/>
          <w:lang w:eastAsia="en-AU"/>
        </w:rPr>
        <w:t xml:space="preserve"> Full Time Enrolment Summary by Indigenous status</w:t>
      </w:r>
    </w:p>
    <w:tbl>
      <w:tblPr>
        <w:tblW w:w="11262" w:type="dxa"/>
        <w:tblInd w:w="95" w:type="dxa"/>
        <w:tblLook w:val="04A0" w:firstRow="1" w:lastRow="0" w:firstColumn="1" w:lastColumn="0" w:noHBand="0" w:noVBand="1"/>
      </w:tblPr>
      <w:tblGrid>
        <w:gridCol w:w="1568"/>
        <w:gridCol w:w="2131"/>
        <w:gridCol w:w="195"/>
        <w:gridCol w:w="719"/>
        <w:gridCol w:w="262"/>
        <w:gridCol w:w="440"/>
        <w:gridCol w:w="646"/>
        <w:gridCol w:w="1565"/>
        <w:gridCol w:w="284"/>
        <w:gridCol w:w="1174"/>
        <w:gridCol w:w="108"/>
        <w:gridCol w:w="142"/>
        <w:gridCol w:w="985"/>
        <w:gridCol w:w="150"/>
        <w:gridCol w:w="100"/>
        <w:gridCol w:w="543"/>
        <w:gridCol w:w="250"/>
      </w:tblGrid>
      <w:tr w:rsidR="00864435" w:rsidRPr="00864435" w:rsidTr="009E461E">
        <w:trPr>
          <w:trHeight w:val="1410"/>
        </w:trPr>
        <w:tc>
          <w:tcPr>
            <w:tcW w:w="8984" w:type="dxa"/>
            <w:gridSpan w:val="10"/>
            <w:tcBorders>
              <w:top w:val="nil"/>
              <w:left w:val="nil"/>
              <w:bottom w:val="nil"/>
              <w:right w:val="nil"/>
            </w:tcBorders>
            <w:shd w:val="clear" w:color="FFFFFF" w:fill="FFFFFF"/>
            <w:vAlign w:val="bottom"/>
            <w:hideMark/>
          </w:tcPr>
          <w:p w:rsidR="00864435" w:rsidRPr="00864435" w:rsidRDefault="00864435" w:rsidP="00864435">
            <w:pPr>
              <w:spacing w:line="240" w:lineRule="auto"/>
              <w:rPr>
                <w:rFonts w:ascii="Arial" w:eastAsia="Times New Roman" w:hAnsi="Arial" w:cs="Arial"/>
                <w:color w:val="000000"/>
                <w:sz w:val="16"/>
                <w:szCs w:val="16"/>
                <w:lang w:eastAsia="en-AU"/>
              </w:rPr>
            </w:pPr>
            <w:r w:rsidRPr="009E461E">
              <w:rPr>
                <w:rFonts w:eastAsia="Times New Roman" w:cstheme="minorHAnsi"/>
                <w:color w:val="000000"/>
                <w:sz w:val="18"/>
                <w:szCs w:val="18"/>
                <w:lang w:eastAsia="en-AU"/>
              </w:rPr>
              <w:t xml:space="preserve">This data is sourced from the Age Grade universe and includes Distance Learning Schools which may have dual enrolled students. Please note that the data has been provided for the requested purpose only. This data cannot be used for commercial purposes and the source of this data should be acknowledged in any publication using or referring to this data. </w:t>
            </w:r>
            <w:proofErr w:type="spellStart"/>
            <w:r w:rsidRPr="009E461E">
              <w:rPr>
                <w:rFonts w:eastAsia="Times New Roman" w:cstheme="minorHAnsi"/>
                <w:color w:val="000000"/>
                <w:sz w:val="18"/>
                <w:szCs w:val="18"/>
                <w:lang w:eastAsia="en-AU"/>
              </w:rPr>
              <w:t>DET</w:t>
            </w:r>
            <w:proofErr w:type="spellEnd"/>
            <w:r w:rsidRPr="009E461E">
              <w:rPr>
                <w:rFonts w:eastAsia="Times New Roman" w:cstheme="minorHAnsi"/>
                <w:color w:val="000000"/>
                <w:sz w:val="18"/>
                <w:szCs w:val="18"/>
                <w:lang w:eastAsia="en-AU"/>
              </w:rPr>
              <w:t xml:space="preserve"> will not provide any data externally that can identify individuals as per the Information Privacy Principles of the Northern Territory Information Act.</w:t>
            </w:r>
          </w:p>
        </w:tc>
        <w:tc>
          <w:tcPr>
            <w:tcW w:w="250"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778" w:type="dxa"/>
            <w:gridSpan w:val="4"/>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r>
      <w:tr w:rsidR="00864435" w:rsidRPr="00864435" w:rsidTr="009E461E">
        <w:trPr>
          <w:trHeight w:val="360"/>
        </w:trPr>
        <w:tc>
          <w:tcPr>
            <w:tcW w:w="3894" w:type="dxa"/>
            <w:gridSpan w:val="3"/>
            <w:tcBorders>
              <w:top w:val="nil"/>
              <w:left w:val="nil"/>
              <w:bottom w:val="nil"/>
              <w:right w:val="nil"/>
            </w:tcBorders>
            <w:shd w:val="clear" w:color="FFFFFF" w:fill="FFFFFF"/>
            <w:noWrap/>
            <w:vAlign w:val="bottom"/>
            <w:hideMark/>
          </w:tcPr>
          <w:p w:rsidR="00864435" w:rsidRPr="009E461E" w:rsidRDefault="00864435" w:rsidP="00864435">
            <w:pPr>
              <w:spacing w:line="240" w:lineRule="auto"/>
              <w:rPr>
                <w:rFonts w:eastAsia="Times New Roman" w:cstheme="minorHAnsi"/>
                <w:b/>
                <w:bCs/>
                <w:color w:val="000000"/>
                <w:sz w:val="18"/>
                <w:szCs w:val="18"/>
                <w:u w:val="single"/>
                <w:lang w:eastAsia="en-AU"/>
              </w:rPr>
            </w:pPr>
            <w:r w:rsidRPr="009E461E">
              <w:rPr>
                <w:rFonts w:eastAsia="Times New Roman" w:cstheme="minorHAnsi"/>
                <w:b/>
                <w:bCs/>
                <w:color w:val="000000"/>
                <w:sz w:val="18"/>
                <w:szCs w:val="18"/>
                <w:u w:val="single"/>
                <w:lang w:eastAsia="en-AU"/>
              </w:rPr>
              <w:t>Government</w:t>
            </w:r>
          </w:p>
        </w:tc>
        <w:tc>
          <w:tcPr>
            <w:tcW w:w="719"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702"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646"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3023" w:type="dxa"/>
            <w:gridSpan w:val="3"/>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778" w:type="dxa"/>
            <w:gridSpan w:val="4"/>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r>
      <w:tr w:rsidR="00864435" w:rsidRPr="00864435" w:rsidTr="009E461E">
        <w:trPr>
          <w:trHeight w:val="180"/>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326"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719"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702"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646"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3023" w:type="dxa"/>
            <w:gridSpan w:val="3"/>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778" w:type="dxa"/>
            <w:gridSpan w:val="4"/>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r>
      <w:tr w:rsidR="00864435" w:rsidRPr="00864435" w:rsidTr="009E461E">
        <w:trPr>
          <w:gridAfter w:val="3"/>
          <w:wAfter w:w="893" w:type="dxa"/>
          <w:trHeight w:val="360"/>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24"/>
                <w:szCs w:val="24"/>
                <w:lang w:eastAsia="en-AU"/>
              </w:rPr>
            </w:pPr>
            <w:r w:rsidRPr="00864435">
              <w:rPr>
                <w:rFonts w:ascii="Arial" w:eastAsia="Times New Roman" w:hAnsi="Arial" w:cs="Arial"/>
                <w:color w:val="000000"/>
                <w:sz w:val="24"/>
                <w:szCs w:val="24"/>
                <w:lang w:eastAsia="en-AU"/>
              </w:rPr>
              <w:t> </w:t>
            </w:r>
          </w:p>
        </w:tc>
        <w:tc>
          <w:tcPr>
            <w:tcW w:w="4393" w:type="dxa"/>
            <w:gridSpan w:val="6"/>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2009</w:t>
            </w:r>
          </w:p>
        </w:tc>
        <w:tc>
          <w:tcPr>
            <w:tcW w:w="4408" w:type="dxa"/>
            <w:gridSpan w:val="7"/>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2010</w:t>
            </w:r>
          </w:p>
        </w:tc>
      </w:tr>
      <w:tr w:rsidR="00864435" w:rsidRPr="00864435" w:rsidTr="009E461E">
        <w:trPr>
          <w:gridAfter w:val="3"/>
          <w:wAfter w:w="893" w:type="dxa"/>
          <w:trHeight w:val="523"/>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24"/>
                <w:szCs w:val="24"/>
                <w:lang w:eastAsia="en-AU"/>
              </w:rPr>
            </w:pPr>
            <w:r w:rsidRPr="00864435">
              <w:rPr>
                <w:rFonts w:ascii="Arial" w:eastAsia="Times New Roman" w:hAnsi="Arial" w:cs="Arial"/>
                <w:color w:val="000000"/>
                <w:sz w:val="24"/>
                <w:szCs w:val="24"/>
                <w:lang w:eastAsia="en-AU"/>
              </w:rPr>
              <w:t> </w:t>
            </w:r>
          </w:p>
        </w:tc>
        <w:tc>
          <w:tcPr>
            <w:tcW w:w="2131" w:type="dxa"/>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Indigenous</w:t>
            </w:r>
          </w:p>
        </w:tc>
        <w:tc>
          <w:tcPr>
            <w:tcW w:w="1176" w:type="dxa"/>
            <w:gridSpan w:val="3"/>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Non Indigenous</w:t>
            </w:r>
          </w:p>
        </w:tc>
        <w:tc>
          <w:tcPr>
            <w:tcW w:w="1086" w:type="dxa"/>
            <w:gridSpan w:val="2"/>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c>
          <w:tcPr>
            <w:tcW w:w="1565" w:type="dxa"/>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Indigenous</w:t>
            </w:r>
          </w:p>
        </w:tc>
        <w:tc>
          <w:tcPr>
            <w:tcW w:w="1458" w:type="dxa"/>
            <w:gridSpan w:val="2"/>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Non Indigenous</w:t>
            </w:r>
          </w:p>
        </w:tc>
        <w:tc>
          <w:tcPr>
            <w:tcW w:w="1385" w:type="dxa"/>
            <w:gridSpan w:val="4"/>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r>
      <w:tr w:rsidR="00864435" w:rsidRPr="00864435" w:rsidTr="009E461E">
        <w:trPr>
          <w:gridAfter w:val="3"/>
          <w:wAfter w:w="893" w:type="dxa"/>
          <w:trHeight w:val="360"/>
        </w:trPr>
        <w:tc>
          <w:tcPr>
            <w:tcW w:w="1568" w:type="dxa"/>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Year 9</w:t>
            </w:r>
          </w:p>
        </w:tc>
        <w:tc>
          <w:tcPr>
            <w:tcW w:w="2131" w:type="dxa"/>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725</w:t>
            </w:r>
          </w:p>
        </w:tc>
        <w:tc>
          <w:tcPr>
            <w:tcW w:w="1176"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1093</w:t>
            </w:r>
          </w:p>
        </w:tc>
        <w:tc>
          <w:tcPr>
            <w:tcW w:w="1086" w:type="dxa"/>
            <w:gridSpan w:val="2"/>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1818</w:t>
            </w:r>
          </w:p>
        </w:tc>
        <w:tc>
          <w:tcPr>
            <w:tcW w:w="1565" w:type="dxa"/>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753</w:t>
            </w:r>
          </w:p>
        </w:tc>
        <w:tc>
          <w:tcPr>
            <w:tcW w:w="145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1042</w:t>
            </w:r>
          </w:p>
        </w:tc>
        <w:tc>
          <w:tcPr>
            <w:tcW w:w="1385" w:type="dxa"/>
            <w:gridSpan w:val="4"/>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1795</w:t>
            </w:r>
          </w:p>
        </w:tc>
      </w:tr>
      <w:tr w:rsidR="00864435" w:rsidRPr="00864435" w:rsidTr="009E461E">
        <w:trPr>
          <w:gridAfter w:val="3"/>
          <w:wAfter w:w="893" w:type="dxa"/>
          <w:trHeight w:val="360"/>
        </w:trPr>
        <w:tc>
          <w:tcPr>
            <w:tcW w:w="1568" w:type="dxa"/>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Year 10</w:t>
            </w:r>
          </w:p>
        </w:tc>
        <w:tc>
          <w:tcPr>
            <w:tcW w:w="2131" w:type="dxa"/>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654</w:t>
            </w:r>
          </w:p>
        </w:tc>
        <w:tc>
          <w:tcPr>
            <w:tcW w:w="1176"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1137</w:t>
            </w:r>
          </w:p>
        </w:tc>
        <w:tc>
          <w:tcPr>
            <w:tcW w:w="1086" w:type="dxa"/>
            <w:gridSpan w:val="2"/>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1791</w:t>
            </w:r>
          </w:p>
        </w:tc>
        <w:tc>
          <w:tcPr>
            <w:tcW w:w="1565" w:type="dxa"/>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681</w:t>
            </w:r>
          </w:p>
        </w:tc>
        <w:tc>
          <w:tcPr>
            <w:tcW w:w="145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1174</w:t>
            </w:r>
          </w:p>
        </w:tc>
        <w:tc>
          <w:tcPr>
            <w:tcW w:w="1385" w:type="dxa"/>
            <w:gridSpan w:val="4"/>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1855</w:t>
            </w:r>
          </w:p>
        </w:tc>
      </w:tr>
      <w:tr w:rsidR="00864435" w:rsidRPr="00864435" w:rsidTr="009E461E">
        <w:trPr>
          <w:gridAfter w:val="3"/>
          <w:wAfter w:w="893" w:type="dxa"/>
          <w:trHeight w:val="360"/>
        </w:trPr>
        <w:tc>
          <w:tcPr>
            <w:tcW w:w="1568" w:type="dxa"/>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c>
          <w:tcPr>
            <w:tcW w:w="2131" w:type="dxa"/>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1379</w:t>
            </w:r>
          </w:p>
        </w:tc>
        <w:tc>
          <w:tcPr>
            <w:tcW w:w="1176" w:type="dxa"/>
            <w:gridSpan w:val="3"/>
            <w:tcBorders>
              <w:top w:val="single" w:sz="4" w:space="0" w:color="CCCCFF"/>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2230</w:t>
            </w:r>
          </w:p>
        </w:tc>
        <w:tc>
          <w:tcPr>
            <w:tcW w:w="1086" w:type="dxa"/>
            <w:gridSpan w:val="2"/>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3609</w:t>
            </w:r>
          </w:p>
        </w:tc>
        <w:tc>
          <w:tcPr>
            <w:tcW w:w="1565" w:type="dxa"/>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1434</w:t>
            </w:r>
          </w:p>
        </w:tc>
        <w:tc>
          <w:tcPr>
            <w:tcW w:w="1458" w:type="dxa"/>
            <w:gridSpan w:val="2"/>
            <w:tcBorders>
              <w:top w:val="single" w:sz="4" w:space="0" w:color="CCCCFF"/>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2216</w:t>
            </w:r>
          </w:p>
        </w:tc>
        <w:tc>
          <w:tcPr>
            <w:tcW w:w="1385" w:type="dxa"/>
            <w:gridSpan w:val="4"/>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3650</w:t>
            </w:r>
          </w:p>
        </w:tc>
      </w:tr>
      <w:tr w:rsidR="00864435" w:rsidRPr="00864435" w:rsidTr="009E461E">
        <w:trPr>
          <w:gridAfter w:val="2"/>
          <w:wAfter w:w="793" w:type="dxa"/>
          <w:trHeight w:val="360"/>
        </w:trPr>
        <w:tc>
          <w:tcPr>
            <w:tcW w:w="3699" w:type="dxa"/>
            <w:gridSpan w:val="2"/>
            <w:tcBorders>
              <w:top w:val="nil"/>
              <w:left w:val="nil"/>
              <w:bottom w:val="nil"/>
              <w:right w:val="nil"/>
            </w:tcBorders>
            <w:shd w:val="clear" w:color="FFFFFF" w:fill="FFFFFF"/>
            <w:noWrap/>
            <w:vAlign w:val="bottom"/>
            <w:hideMark/>
          </w:tcPr>
          <w:p w:rsidR="005E38F0" w:rsidRDefault="005E38F0" w:rsidP="00864435">
            <w:pPr>
              <w:spacing w:line="240" w:lineRule="auto"/>
              <w:rPr>
                <w:rFonts w:eastAsia="Times New Roman" w:cstheme="minorHAnsi"/>
                <w:b/>
                <w:bCs/>
                <w:color w:val="000000"/>
                <w:sz w:val="18"/>
                <w:szCs w:val="18"/>
                <w:u w:val="single"/>
                <w:lang w:eastAsia="en-AU"/>
              </w:rPr>
            </w:pPr>
          </w:p>
          <w:p w:rsidR="00864435" w:rsidRPr="00864435" w:rsidRDefault="00864435" w:rsidP="00864435">
            <w:pPr>
              <w:spacing w:line="240" w:lineRule="auto"/>
              <w:rPr>
                <w:rFonts w:ascii="Arial" w:eastAsia="Times New Roman" w:hAnsi="Arial" w:cs="Arial"/>
                <w:b/>
                <w:bCs/>
                <w:color w:val="000000"/>
                <w:sz w:val="24"/>
                <w:szCs w:val="24"/>
                <w:u w:val="single"/>
                <w:lang w:eastAsia="en-AU"/>
              </w:rPr>
            </w:pPr>
            <w:r w:rsidRPr="009E461E">
              <w:rPr>
                <w:rFonts w:eastAsia="Times New Roman" w:cstheme="minorHAnsi"/>
                <w:b/>
                <w:bCs/>
                <w:color w:val="000000"/>
                <w:sz w:val="18"/>
                <w:szCs w:val="18"/>
                <w:u w:val="single"/>
                <w:lang w:eastAsia="en-AU"/>
              </w:rPr>
              <w:t>Non-Government</w:t>
            </w:r>
          </w:p>
        </w:tc>
        <w:tc>
          <w:tcPr>
            <w:tcW w:w="914"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62"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086"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565"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458"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235" w:type="dxa"/>
            <w:gridSpan w:val="3"/>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r>
      <w:tr w:rsidR="00864435" w:rsidRPr="00864435" w:rsidTr="009E461E">
        <w:trPr>
          <w:gridAfter w:val="2"/>
          <w:wAfter w:w="793" w:type="dxa"/>
          <w:trHeight w:val="180"/>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131"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914"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62"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086"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565"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458"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1235" w:type="dxa"/>
            <w:gridSpan w:val="3"/>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c>
          <w:tcPr>
            <w:tcW w:w="250" w:type="dxa"/>
            <w:gridSpan w:val="2"/>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12"/>
                <w:szCs w:val="12"/>
                <w:lang w:eastAsia="en-AU"/>
              </w:rPr>
            </w:pPr>
            <w:r w:rsidRPr="00864435">
              <w:rPr>
                <w:rFonts w:ascii="Arial" w:eastAsia="Times New Roman" w:hAnsi="Arial" w:cs="Arial"/>
                <w:color w:val="000000"/>
                <w:sz w:val="12"/>
                <w:szCs w:val="12"/>
                <w:lang w:eastAsia="en-AU"/>
              </w:rPr>
              <w:t> </w:t>
            </w:r>
          </w:p>
        </w:tc>
      </w:tr>
      <w:tr w:rsidR="00864435" w:rsidRPr="00864435" w:rsidTr="009E461E">
        <w:trPr>
          <w:gridAfter w:val="3"/>
          <w:wAfter w:w="893" w:type="dxa"/>
          <w:trHeight w:val="360"/>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24"/>
                <w:szCs w:val="24"/>
                <w:lang w:eastAsia="en-AU"/>
              </w:rPr>
            </w:pPr>
            <w:r w:rsidRPr="00864435">
              <w:rPr>
                <w:rFonts w:ascii="Arial" w:eastAsia="Times New Roman" w:hAnsi="Arial" w:cs="Arial"/>
                <w:color w:val="000000"/>
                <w:sz w:val="24"/>
                <w:szCs w:val="24"/>
                <w:lang w:eastAsia="en-AU"/>
              </w:rPr>
              <w:t> </w:t>
            </w:r>
          </w:p>
        </w:tc>
        <w:tc>
          <w:tcPr>
            <w:tcW w:w="4393" w:type="dxa"/>
            <w:gridSpan w:val="6"/>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2009</w:t>
            </w:r>
          </w:p>
        </w:tc>
        <w:tc>
          <w:tcPr>
            <w:tcW w:w="4408" w:type="dxa"/>
            <w:gridSpan w:val="7"/>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2010</w:t>
            </w:r>
          </w:p>
        </w:tc>
      </w:tr>
      <w:tr w:rsidR="00864435" w:rsidRPr="00864435" w:rsidTr="009E461E">
        <w:trPr>
          <w:gridAfter w:val="3"/>
          <w:wAfter w:w="893" w:type="dxa"/>
          <w:trHeight w:val="360"/>
        </w:trPr>
        <w:tc>
          <w:tcPr>
            <w:tcW w:w="1568" w:type="dxa"/>
            <w:tcBorders>
              <w:top w:val="nil"/>
              <w:left w:val="nil"/>
              <w:bottom w:val="nil"/>
              <w:right w:val="nil"/>
            </w:tcBorders>
            <w:shd w:val="clear" w:color="FFFFFF" w:fill="FFFFFF"/>
            <w:noWrap/>
            <w:vAlign w:val="center"/>
            <w:hideMark/>
          </w:tcPr>
          <w:p w:rsidR="00864435" w:rsidRPr="00864435" w:rsidRDefault="00864435" w:rsidP="00864435">
            <w:pPr>
              <w:spacing w:line="240" w:lineRule="auto"/>
              <w:rPr>
                <w:rFonts w:ascii="Arial" w:eastAsia="Times New Roman" w:hAnsi="Arial" w:cs="Arial"/>
                <w:color w:val="000000"/>
                <w:sz w:val="24"/>
                <w:szCs w:val="24"/>
                <w:lang w:eastAsia="en-AU"/>
              </w:rPr>
            </w:pPr>
            <w:r w:rsidRPr="00864435">
              <w:rPr>
                <w:rFonts w:ascii="Arial" w:eastAsia="Times New Roman" w:hAnsi="Arial" w:cs="Arial"/>
                <w:color w:val="000000"/>
                <w:sz w:val="24"/>
                <w:szCs w:val="24"/>
                <w:lang w:eastAsia="en-AU"/>
              </w:rPr>
              <w:t> </w:t>
            </w:r>
          </w:p>
        </w:tc>
        <w:tc>
          <w:tcPr>
            <w:tcW w:w="2326" w:type="dxa"/>
            <w:gridSpan w:val="2"/>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Indigenous</w:t>
            </w:r>
          </w:p>
        </w:tc>
        <w:tc>
          <w:tcPr>
            <w:tcW w:w="1421" w:type="dxa"/>
            <w:gridSpan w:val="3"/>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Non Indigenous</w:t>
            </w:r>
          </w:p>
        </w:tc>
        <w:tc>
          <w:tcPr>
            <w:tcW w:w="646" w:type="dxa"/>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c>
          <w:tcPr>
            <w:tcW w:w="1849" w:type="dxa"/>
            <w:gridSpan w:val="2"/>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Indigenous</w:t>
            </w:r>
          </w:p>
        </w:tc>
        <w:tc>
          <w:tcPr>
            <w:tcW w:w="1282" w:type="dxa"/>
            <w:gridSpan w:val="2"/>
            <w:tcBorders>
              <w:top w:val="single" w:sz="4" w:space="0" w:color="CCCCFF"/>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Non Indigenous</w:t>
            </w:r>
          </w:p>
        </w:tc>
        <w:tc>
          <w:tcPr>
            <w:tcW w:w="1277" w:type="dxa"/>
            <w:gridSpan w:val="3"/>
            <w:tcBorders>
              <w:top w:val="nil"/>
              <w:left w:val="nil"/>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jc w:val="center"/>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r>
      <w:tr w:rsidR="00864435" w:rsidRPr="00864435" w:rsidTr="009E461E">
        <w:trPr>
          <w:gridAfter w:val="3"/>
          <w:wAfter w:w="893" w:type="dxa"/>
          <w:trHeight w:val="360"/>
        </w:trPr>
        <w:tc>
          <w:tcPr>
            <w:tcW w:w="1568" w:type="dxa"/>
            <w:tcBorders>
              <w:top w:val="single" w:sz="4" w:space="0" w:color="CCCCFF"/>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Year 9</w:t>
            </w:r>
          </w:p>
        </w:tc>
        <w:tc>
          <w:tcPr>
            <w:tcW w:w="2326" w:type="dxa"/>
            <w:gridSpan w:val="2"/>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394</w:t>
            </w:r>
          </w:p>
        </w:tc>
        <w:tc>
          <w:tcPr>
            <w:tcW w:w="142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664</w:t>
            </w:r>
          </w:p>
        </w:tc>
        <w:tc>
          <w:tcPr>
            <w:tcW w:w="646" w:type="dxa"/>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1058</w:t>
            </w:r>
          </w:p>
        </w:tc>
        <w:tc>
          <w:tcPr>
            <w:tcW w:w="1849" w:type="dxa"/>
            <w:gridSpan w:val="2"/>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346</w:t>
            </w:r>
          </w:p>
        </w:tc>
        <w:tc>
          <w:tcPr>
            <w:tcW w:w="128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729</w:t>
            </w:r>
          </w:p>
        </w:tc>
        <w:tc>
          <w:tcPr>
            <w:tcW w:w="1277" w:type="dxa"/>
            <w:gridSpan w:val="3"/>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1075</w:t>
            </w:r>
          </w:p>
        </w:tc>
      </w:tr>
      <w:tr w:rsidR="00864435" w:rsidRPr="00864435" w:rsidTr="009E461E">
        <w:trPr>
          <w:gridAfter w:val="3"/>
          <w:wAfter w:w="893" w:type="dxa"/>
          <w:trHeight w:val="360"/>
        </w:trPr>
        <w:tc>
          <w:tcPr>
            <w:tcW w:w="1568" w:type="dxa"/>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Year 10</w:t>
            </w:r>
          </w:p>
        </w:tc>
        <w:tc>
          <w:tcPr>
            <w:tcW w:w="2326" w:type="dxa"/>
            <w:gridSpan w:val="2"/>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250</w:t>
            </w:r>
          </w:p>
        </w:tc>
        <w:tc>
          <w:tcPr>
            <w:tcW w:w="142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523</w:t>
            </w:r>
          </w:p>
        </w:tc>
        <w:tc>
          <w:tcPr>
            <w:tcW w:w="646" w:type="dxa"/>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773</w:t>
            </w:r>
          </w:p>
        </w:tc>
        <w:tc>
          <w:tcPr>
            <w:tcW w:w="1849" w:type="dxa"/>
            <w:gridSpan w:val="2"/>
            <w:tcBorders>
              <w:top w:val="nil"/>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333</w:t>
            </w:r>
          </w:p>
        </w:tc>
        <w:tc>
          <w:tcPr>
            <w:tcW w:w="128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rsidR="00864435" w:rsidRPr="00864435" w:rsidRDefault="00864435" w:rsidP="00864435">
            <w:pPr>
              <w:spacing w:line="240" w:lineRule="auto"/>
              <w:jc w:val="right"/>
              <w:rPr>
                <w:rFonts w:ascii="Arial" w:eastAsia="Times New Roman" w:hAnsi="Arial" w:cs="Arial"/>
                <w:color w:val="000000"/>
                <w:sz w:val="18"/>
                <w:szCs w:val="18"/>
                <w:lang w:eastAsia="en-AU"/>
              </w:rPr>
            </w:pPr>
            <w:r w:rsidRPr="00864435">
              <w:rPr>
                <w:rFonts w:ascii="Arial" w:eastAsia="Times New Roman" w:hAnsi="Arial" w:cs="Arial"/>
                <w:color w:val="000000"/>
                <w:sz w:val="18"/>
                <w:szCs w:val="18"/>
                <w:lang w:eastAsia="en-AU"/>
              </w:rPr>
              <w:t>543</w:t>
            </w:r>
          </w:p>
        </w:tc>
        <w:tc>
          <w:tcPr>
            <w:tcW w:w="1277" w:type="dxa"/>
            <w:gridSpan w:val="3"/>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876</w:t>
            </w:r>
          </w:p>
        </w:tc>
      </w:tr>
      <w:tr w:rsidR="00864435" w:rsidRPr="00864435" w:rsidTr="009E461E">
        <w:trPr>
          <w:gridAfter w:val="3"/>
          <w:wAfter w:w="893" w:type="dxa"/>
          <w:trHeight w:val="360"/>
        </w:trPr>
        <w:tc>
          <w:tcPr>
            <w:tcW w:w="1568" w:type="dxa"/>
            <w:tcBorders>
              <w:top w:val="nil"/>
              <w:left w:val="single" w:sz="4" w:space="0" w:color="CCCCFF"/>
              <w:bottom w:val="single" w:sz="4" w:space="0" w:color="CCCCFF"/>
              <w:right w:val="single" w:sz="4" w:space="0" w:color="CCCCFF"/>
            </w:tcBorders>
            <w:shd w:val="clear" w:color="FFFFFF" w:fill="C0C0C0"/>
            <w:noWrap/>
            <w:vAlign w:val="bottom"/>
            <w:hideMark/>
          </w:tcPr>
          <w:p w:rsidR="00864435" w:rsidRPr="00864435" w:rsidRDefault="00864435" w:rsidP="00864435">
            <w:pPr>
              <w:spacing w:line="240" w:lineRule="auto"/>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Total</w:t>
            </w:r>
          </w:p>
        </w:tc>
        <w:tc>
          <w:tcPr>
            <w:tcW w:w="2326" w:type="dxa"/>
            <w:gridSpan w:val="2"/>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644</w:t>
            </w:r>
          </w:p>
        </w:tc>
        <w:tc>
          <w:tcPr>
            <w:tcW w:w="1421" w:type="dxa"/>
            <w:gridSpan w:val="3"/>
            <w:tcBorders>
              <w:top w:val="single" w:sz="4" w:space="0" w:color="CCCCFF"/>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1187</w:t>
            </w:r>
          </w:p>
        </w:tc>
        <w:tc>
          <w:tcPr>
            <w:tcW w:w="646" w:type="dxa"/>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1831</w:t>
            </w:r>
          </w:p>
        </w:tc>
        <w:tc>
          <w:tcPr>
            <w:tcW w:w="1849" w:type="dxa"/>
            <w:gridSpan w:val="2"/>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679</w:t>
            </w:r>
          </w:p>
        </w:tc>
        <w:tc>
          <w:tcPr>
            <w:tcW w:w="1282" w:type="dxa"/>
            <w:gridSpan w:val="2"/>
            <w:tcBorders>
              <w:top w:val="single" w:sz="4" w:space="0" w:color="CCCCFF"/>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1272</w:t>
            </w:r>
          </w:p>
        </w:tc>
        <w:tc>
          <w:tcPr>
            <w:tcW w:w="1277" w:type="dxa"/>
            <w:gridSpan w:val="3"/>
            <w:tcBorders>
              <w:top w:val="nil"/>
              <w:left w:val="nil"/>
              <w:bottom w:val="single" w:sz="4" w:space="0" w:color="CCCCFF"/>
              <w:right w:val="single" w:sz="4" w:space="0" w:color="CCCCFF"/>
            </w:tcBorders>
            <w:shd w:val="clear" w:color="FFFFFF" w:fill="FFFFFF"/>
            <w:noWrap/>
            <w:vAlign w:val="center"/>
            <w:hideMark/>
          </w:tcPr>
          <w:p w:rsidR="00864435" w:rsidRPr="00864435" w:rsidRDefault="00864435" w:rsidP="00864435">
            <w:pPr>
              <w:spacing w:line="240" w:lineRule="auto"/>
              <w:jc w:val="right"/>
              <w:rPr>
                <w:rFonts w:ascii="Arial" w:eastAsia="Times New Roman" w:hAnsi="Arial" w:cs="Arial"/>
                <w:b/>
                <w:bCs/>
                <w:color w:val="000000"/>
                <w:sz w:val="18"/>
                <w:szCs w:val="18"/>
                <w:lang w:eastAsia="en-AU"/>
              </w:rPr>
            </w:pPr>
            <w:r w:rsidRPr="00864435">
              <w:rPr>
                <w:rFonts w:ascii="Arial" w:eastAsia="Times New Roman" w:hAnsi="Arial" w:cs="Arial"/>
                <w:b/>
                <w:bCs/>
                <w:color w:val="000000"/>
                <w:sz w:val="18"/>
                <w:szCs w:val="18"/>
                <w:lang w:eastAsia="en-AU"/>
              </w:rPr>
              <w:t>1951</w:t>
            </w:r>
          </w:p>
        </w:tc>
      </w:tr>
    </w:tbl>
    <w:p w:rsidR="006D399C" w:rsidRPr="00904C6F" w:rsidRDefault="006D399C" w:rsidP="006D399C">
      <w:pPr>
        <w:pStyle w:val="Default"/>
        <w:spacing w:before="120"/>
        <w:rPr>
          <w:rFonts w:asciiTheme="minorHAnsi" w:eastAsia="Times New Roman" w:hAnsiTheme="minorHAnsi" w:cstheme="minorHAnsi"/>
          <w:b/>
          <w:color w:val="auto"/>
          <w:sz w:val="16"/>
          <w:szCs w:val="16"/>
        </w:rPr>
      </w:pPr>
    </w:p>
    <w:p w:rsidR="00090045" w:rsidRPr="00BD2463" w:rsidRDefault="00090045" w:rsidP="006D399C">
      <w:pPr>
        <w:pStyle w:val="Default"/>
        <w:spacing w:before="120"/>
        <w:rPr>
          <w:rFonts w:asciiTheme="minorHAnsi" w:eastAsia="Times New Roman" w:hAnsiTheme="minorHAnsi" w:cstheme="minorHAnsi"/>
          <w:b/>
          <w:color w:val="auto"/>
          <w:sz w:val="22"/>
          <w:szCs w:val="22"/>
        </w:rPr>
      </w:pPr>
      <w:r w:rsidRPr="00BD2463">
        <w:rPr>
          <w:rFonts w:asciiTheme="minorHAnsi" w:eastAsia="Times New Roman" w:hAnsiTheme="minorHAnsi" w:cstheme="minorHAnsi"/>
          <w:b/>
          <w:color w:val="auto"/>
          <w:sz w:val="22"/>
          <w:szCs w:val="22"/>
        </w:rPr>
        <w:t xml:space="preserve">Board of Studies </w:t>
      </w:r>
      <w:proofErr w:type="spellStart"/>
      <w:r>
        <w:rPr>
          <w:rFonts w:asciiTheme="minorHAnsi" w:eastAsia="Times New Roman" w:hAnsiTheme="minorHAnsi" w:cstheme="minorHAnsi"/>
          <w:b/>
          <w:color w:val="auto"/>
          <w:sz w:val="22"/>
          <w:szCs w:val="22"/>
        </w:rPr>
        <w:t>NTCE</w:t>
      </w:r>
      <w:proofErr w:type="spellEnd"/>
      <w:r>
        <w:rPr>
          <w:rFonts w:asciiTheme="minorHAnsi" w:eastAsia="Times New Roman" w:hAnsiTheme="minorHAnsi" w:cstheme="minorHAnsi"/>
          <w:b/>
          <w:color w:val="auto"/>
          <w:sz w:val="22"/>
          <w:szCs w:val="22"/>
        </w:rPr>
        <w:t xml:space="preserve"> </w:t>
      </w:r>
      <w:r w:rsidRPr="00BD2463">
        <w:rPr>
          <w:rFonts w:asciiTheme="minorHAnsi" w:eastAsia="Times New Roman" w:hAnsiTheme="minorHAnsi" w:cstheme="minorHAnsi"/>
          <w:b/>
          <w:color w:val="auto"/>
          <w:sz w:val="22"/>
          <w:szCs w:val="22"/>
        </w:rPr>
        <w:t>attainment rate</w:t>
      </w:r>
      <w:r>
        <w:rPr>
          <w:rFonts w:asciiTheme="minorHAnsi" w:eastAsia="Times New Roman" w:hAnsiTheme="minorHAnsi" w:cstheme="minorHAnsi"/>
          <w:b/>
          <w:color w:val="auto"/>
          <w:sz w:val="22"/>
          <w:szCs w:val="22"/>
        </w:rPr>
        <w:t xml:space="preserve"> data shows a very small decrease from 2009 to 2010</w:t>
      </w:r>
      <w:r w:rsidRPr="00BD2463">
        <w:rPr>
          <w:rFonts w:asciiTheme="minorHAnsi" w:eastAsia="Times New Roman" w:hAnsiTheme="minorHAnsi" w:cstheme="minorHAnsi"/>
          <w:b/>
          <w:color w:val="auto"/>
          <w:sz w:val="22"/>
          <w:szCs w:val="22"/>
        </w:rPr>
        <w:t xml:space="preserve"> </w:t>
      </w:r>
    </w:p>
    <w:tbl>
      <w:tblPr>
        <w:tblW w:w="0" w:type="auto"/>
        <w:tblCellMar>
          <w:left w:w="0" w:type="dxa"/>
          <w:right w:w="0" w:type="dxa"/>
        </w:tblCellMar>
        <w:tblLook w:val="04A0" w:firstRow="1" w:lastRow="0" w:firstColumn="1" w:lastColumn="0" w:noHBand="0" w:noVBand="1"/>
      </w:tblPr>
      <w:tblGrid>
        <w:gridCol w:w="4261"/>
        <w:gridCol w:w="1223"/>
        <w:gridCol w:w="1175"/>
        <w:gridCol w:w="2085"/>
      </w:tblGrid>
      <w:tr w:rsidR="00904C6F" w:rsidRPr="009D6511" w:rsidTr="00904C6F">
        <w:trPr>
          <w:trHeight w:val="290"/>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4C6F" w:rsidRPr="009D6511" w:rsidRDefault="00904C6F" w:rsidP="005B142B">
            <w:pPr>
              <w:pStyle w:val="Default"/>
              <w:spacing w:before="120"/>
              <w:rPr>
                <w:rFonts w:ascii="Calibri" w:hAnsi="Calibri" w:cs="Calibri"/>
                <w:b/>
                <w:color w:val="auto"/>
                <w:sz w:val="18"/>
                <w:szCs w:val="18"/>
              </w:rPr>
            </w:pPr>
            <w:proofErr w:type="spellStart"/>
            <w:r w:rsidRPr="009D6511">
              <w:rPr>
                <w:rFonts w:ascii="Calibri" w:hAnsi="Calibri" w:cs="Calibri"/>
                <w:b/>
                <w:color w:val="auto"/>
                <w:sz w:val="18"/>
                <w:szCs w:val="18"/>
              </w:rPr>
              <w:t>NTCE</w:t>
            </w:r>
            <w:proofErr w:type="spellEnd"/>
            <w:r w:rsidRPr="009D6511">
              <w:rPr>
                <w:rFonts w:ascii="Calibri" w:hAnsi="Calibri" w:cs="Calibri"/>
                <w:b/>
                <w:color w:val="auto"/>
                <w:sz w:val="18"/>
                <w:szCs w:val="18"/>
              </w:rPr>
              <w:t xml:space="preserve"> Summary, 2010 compared to 2009</w:t>
            </w:r>
          </w:p>
        </w:tc>
        <w:tc>
          <w:tcPr>
            <w:tcW w:w="1223"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904C6F" w:rsidRPr="009D6511" w:rsidRDefault="00904C6F" w:rsidP="005B142B">
            <w:pPr>
              <w:pStyle w:val="Default"/>
              <w:spacing w:before="120"/>
              <w:rPr>
                <w:rFonts w:ascii="Calibri" w:hAnsi="Calibri" w:cs="Calibri"/>
                <w:b/>
                <w:color w:val="auto"/>
                <w:sz w:val="18"/>
                <w:szCs w:val="18"/>
              </w:rPr>
            </w:pPr>
          </w:p>
        </w:tc>
        <w:tc>
          <w:tcPr>
            <w:tcW w:w="1175" w:type="dxa"/>
            <w:tcBorders>
              <w:top w:val="single" w:sz="4" w:space="0" w:color="auto"/>
              <w:left w:val="single" w:sz="4" w:space="0" w:color="auto"/>
              <w:bottom w:val="single" w:sz="8" w:space="0" w:color="000000"/>
              <w:right w:val="single" w:sz="4" w:space="0" w:color="auto"/>
            </w:tcBorders>
          </w:tcPr>
          <w:p w:rsidR="00904C6F" w:rsidRPr="009D6511" w:rsidRDefault="00904C6F" w:rsidP="005B142B">
            <w:pPr>
              <w:pStyle w:val="Default"/>
              <w:spacing w:before="120"/>
              <w:rPr>
                <w:rFonts w:ascii="Calibri" w:hAnsi="Calibri" w:cs="Calibri"/>
                <w:b/>
                <w:color w:val="auto"/>
                <w:sz w:val="18"/>
                <w:szCs w:val="18"/>
              </w:rPr>
            </w:pPr>
          </w:p>
        </w:tc>
        <w:tc>
          <w:tcPr>
            <w:tcW w:w="20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04C6F" w:rsidRPr="009D6511" w:rsidRDefault="00904C6F" w:rsidP="005B142B">
            <w:pPr>
              <w:pStyle w:val="Default"/>
              <w:spacing w:before="120"/>
              <w:rPr>
                <w:rFonts w:ascii="Calibri" w:hAnsi="Calibri" w:cs="Calibri"/>
                <w:b/>
                <w:color w:val="auto"/>
                <w:sz w:val="18"/>
                <w:szCs w:val="18"/>
              </w:rPr>
            </w:pPr>
          </w:p>
        </w:tc>
      </w:tr>
      <w:tr w:rsidR="00904C6F" w:rsidRPr="009D6511" w:rsidTr="00904C6F">
        <w:trPr>
          <w:trHeight w:val="458"/>
        </w:trPr>
        <w:tc>
          <w:tcPr>
            <w:tcW w:w="4261"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904C6F" w:rsidRPr="009D6511" w:rsidRDefault="00904C6F" w:rsidP="005B142B">
            <w:pPr>
              <w:pStyle w:val="Default"/>
              <w:spacing w:before="120"/>
              <w:rPr>
                <w:rFonts w:ascii="Calibri" w:hAnsi="Calibri" w:cs="Calibri"/>
                <w:b/>
                <w:color w:val="auto"/>
                <w:sz w:val="18"/>
                <w:szCs w:val="18"/>
              </w:rPr>
            </w:pPr>
          </w:p>
        </w:tc>
        <w:tc>
          <w:tcPr>
            <w:tcW w:w="1223" w:type="dxa"/>
            <w:tcBorders>
              <w:top w:val="nil"/>
              <w:left w:val="nil"/>
              <w:bottom w:val="single" w:sz="12" w:space="0" w:color="auto"/>
              <w:right w:val="single" w:sz="4"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b/>
                <w:color w:val="auto"/>
                <w:sz w:val="18"/>
                <w:szCs w:val="18"/>
              </w:rPr>
            </w:pPr>
            <w:r w:rsidRPr="009D6511">
              <w:rPr>
                <w:rFonts w:ascii="Calibri" w:hAnsi="Calibri" w:cs="Calibri"/>
                <w:b/>
                <w:color w:val="auto"/>
                <w:sz w:val="18"/>
                <w:szCs w:val="18"/>
              </w:rPr>
              <w:t>2009</w:t>
            </w:r>
          </w:p>
        </w:tc>
        <w:tc>
          <w:tcPr>
            <w:tcW w:w="1175" w:type="dxa"/>
            <w:tcBorders>
              <w:top w:val="nil"/>
              <w:left w:val="single" w:sz="4" w:space="0" w:color="auto"/>
              <w:bottom w:val="single" w:sz="12" w:space="0" w:color="auto"/>
              <w:right w:val="single" w:sz="4" w:space="0" w:color="auto"/>
            </w:tcBorders>
            <w:vAlign w:val="center"/>
          </w:tcPr>
          <w:p w:rsidR="00904C6F" w:rsidRPr="009D6511" w:rsidRDefault="00904C6F" w:rsidP="00904C6F">
            <w:pPr>
              <w:pStyle w:val="Default"/>
              <w:spacing w:before="120"/>
              <w:jc w:val="center"/>
              <w:rPr>
                <w:rFonts w:ascii="Calibri" w:hAnsi="Calibri" w:cs="Calibri"/>
                <w:b/>
                <w:color w:val="auto"/>
                <w:sz w:val="18"/>
                <w:szCs w:val="18"/>
              </w:rPr>
            </w:pPr>
            <w:r w:rsidRPr="009D6511">
              <w:rPr>
                <w:rFonts w:ascii="Calibri" w:hAnsi="Calibri" w:cs="Calibri"/>
                <w:b/>
                <w:color w:val="auto"/>
                <w:sz w:val="18"/>
                <w:szCs w:val="18"/>
              </w:rPr>
              <w:t>2010</w:t>
            </w:r>
          </w:p>
        </w:tc>
        <w:tc>
          <w:tcPr>
            <w:tcW w:w="2085" w:type="dxa"/>
            <w:tcBorders>
              <w:top w:val="nil"/>
              <w:left w:val="nil"/>
              <w:bottom w:val="single" w:sz="12" w:space="0" w:color="auto"/>
              <w:right w:val="single" w:sz="12" w:space="0" w:color="auto"/>
            </w:tcBorders>
            <w:tcMar>
              <w:top w:w="0" w:type="dxa"/>
              <w:left w:w="108" w:type="dxa"/>
              <w:bottom w:w="0" w:type="dxa"/>
              <w:right w:w="108" w:type="dxa"/>
            </w:tcMar>
            <w:hideMark/>
          </w:tcPr>
          <w:p w:rsidR="00904C6F" w:rsidRPr="009D6511" w:rsidRDefault="00904C6F" w:rsidP="005B142B">
            <w:pPr>
              <w:pStyle w:val="Default"/>
              <w:spacing w:before="120"/>
              <w:rPr>
                <w:rFonts w:ascii="Calibri" w:hAnsi="Calibri" w:cs="Calibri"/>
                <w:b/>
                <w:color w:val="auto"/>
                <w:sz w:val="18"/>
                <w:szCs w:val="18"/>
              </w:rPr>
            </w:pPr>
            <w:r>
              <w:rPr>
                <w:rFonts w:ascii="Calibri" w:hAnsi="Calibri" w:cs="Calibri"/>
                <w:b/>
                <w:color w:val="auto"/>
                <w:sz w:val="18"/>
                <w:szCs w:val="18"/>
              </w:rPr>
              <w:t xml:space="preserve">Increase </w:t>
            </w:r>
            <w:r w:rsidRPr="009D6511">
              <w:rPr>
                <w:rFonts w:ascii="Calibri" w:hAnsi="Calibri" w:cs="Calibri"/>
                <w:b/>
                <w:color w:val="auto"/>
                <w:sz w:val="18"/>
                <w:szCs w:val="18"/>
              </w:rPr>
              <w:t>or Decrease</w:t>
            </w:r>
          </w:p>
        </w:tc>
      </w:tr>
      <w:tr w:rsidR="00904C6F" w:rsidRPr="009D6511" w:rsidTr="00904C6F">
        <w:trPr>
          <w:trHeight w:val="290"/>
        </w:trPr>
        <w:tc>
          <w:tcPr>
            <w:tcW w:w="4261"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904C6F" w:rsidRPr="009D6511" w:rsidRDefault="00904C6F" w:rsidP="005B142B">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p>
        </w:tc>
        <w:tc>
          <w:tcPr>
            <w:tcW w:w="122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1,049</w:t>
            </w:r>
          </w:p>
        </w:tc>
        <w:tc>
          <w:tcPr>
            <w:tcW w:w="1175" w:type="dxa"/>
            <w:tcBorders>
              <w:top w:val="nil"/>
              <w:left w:val="single" w:sz="4" w:space="0" w:color="auto"/>
              <w:bottom w:val="single" w:sz="8" w:space="0" w:color="auto"/>
              <w:right w:val="single" w:sz="4" w:space="0" w:color="auto"/>
            </w:tcBorders>
            <w:vAlign w:val="center"/>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1,041</w:t>
            </w:r>
          </w:p>
        </w:tc>
        <w:tc>
          <w:tcPr>
            <w:tcW w:w="2085"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-8</w:t>
            </w:r>
          </w:p>
        </w:tc>
      </w:tr>
      <w:tr w:rsidR="00904C6F" w:rsidRPr="009D6511" w:rsidTr="00904C6F">
        <w:trPr>
          <w:trHeight w:val="290"/>
        </w:trPr>
        <w:tc>
          <w:tcPr>
            <w:tcW w:w="4261" w:type="dxa"/>
            <w:tcBorders>
              <w:top w:val="nil"/>
              <w:left w:val="single" w:sz="12" w:space="0" w:color="auto"/>
              <w:bottom w:val="single" w:sz="8" w:space="0" w:color="000000"/>
              <w:right w:val="single" w:sz="12" w:space="0" w:color="auto"/>
            </w:tcBorders>
            <w:tcMar>
              <w:top w:w="0" w:type="dxa"/>
              <w:left w:w="108" w:type="dxa"/>
              <w:bottom w:w="0" w:type="dxa"/>
              <w:right w:w="108" w:type="dxa"/>
            </w:tcMar>
            <w:hideMark/>
          </w:tcPr>
          <w:p w:rsidR="00904C6F" w:rsidRPr="009D6511" w:rsidRDefault="00904C6F" w:rsidP="005B142B">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Indigenous</w:t>
            </w:r>
          </w:p>
        </w:tc>
        <w:tc>
          <w:tcPr>
            <w:tcW w:w="122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154</w:t>
            </w:r>
          </w:p>
        </w:tc>
        <w:tc>
          <w:tcPr>
            <w:tcW w:w="1175" w:type="dxa"/>
            <w:tcBorders>
              <w:top w:val="nil"/>
              <w:left w:val="single" w:sz="4" w:space="0" w:color="auto"/>
              <w:bottom w:val="single" w:sz="8" w:space="0" w:color="000000"/>
              <w:right w:val="single" w:sz="4" w:space="0" w:color="auto"/>
            </w:tcBorders>
            <w:vAlign w:val="center"/>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139</w:t>
            </w:r>
          </w:p>
        </w:tc>
        <w:tc>
          <w:tcPr>
            <w:tcW w:w="2085" w:type="dxa"/>
            <w:tcBorders>
              <w:top w:val="nil"/>
              <w:left w:val="nil"/>
              <w:bottom w:val="single" w:sz="8" w:space="0" w:color="000000"/>
              <w:right w:val="single" w:sz="12"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-15</w:t>
            </w:r>
          </w:p>
        </w:tc>
      </w:tr>
      <w:tr w:rsidR="00904C6F" w:rsidRPr="009D6511" w:rsidTr="00904C6F">
        <w:trPr>
          <w:trHeight w:val="290"/>
        </w:trPr>
        <w:tc>
          <w:tcPr>
            <w:tcW w:w="4261"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904C6F" w:rsidRPr="009D6511" w:rsidRDefault="00904C6F" w:rsidP="005B142B">
            <w:pPr>
              <w:pStyle w:val="Default"/>
              <w:spacing w:before="120"/>
              <w:rPr>
                <w:rFonts w:ascii="Calibri" w:hAnsi="Calibri" w:cs="Calibri"/>
                <w:color w:val="auto"/>
                <w:sz w:val="18"/>
                <w:szCs w:val="18"/>
              </w:rPr>
            </w:pPr>
            <w:r w:rsidRPr="009D6511">
              <w:rPr>
                <w:rFonts w:ascii="Calibri" w:hAnsi="Calibri" w:cs="Calibri"/>
                <w:color w:val="auto"/>
                <w:sz w:val="18"/>
                <w:szCs w:val="18"/>
              </w:rPr>
              <w:t xml:space="preserve">No. of students who received an </w:t>
            </w:r>
            <w:proofErr w:type="spellStart"/>
            <w:r w:rsidRPr="009D6511">
              <w:rPr>
                <w:rFonts w:ascii="Calibri" w:hAnsi="Calibri" w:cs="Calibri"/>
                <w:color w:val="auto"/>
                <w:sz w:val="18"/>
                <w:szCs w:val="18"/>
              </w:rPr>
              <w:t>NTCE</w:t>
            </w:r>
            <w:proofErr w:type="spellEnd"/>
            <w:r w:rsidRPr="009D6511">
              <w:rPr>
                <w:rFonts w:ascii="Calibri" w:hAnsi="Calibri" w:cs="Calibri"/>
                <w:color w:val="auto"/>
                <w:sz w:val="18"/>
                <w:szCs w:val="18"/>
              </w:rPr>
              <w:t xml:space="preserve"> - non-Indigenous</w:t>
            </w:r>
          </w:p>
        </w:tc>
        <w:tc>
          <w:tcPr>
            <w:tcW w:w="122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895</w:t>
            </w:r>
          </w:p>
        </w:tc>
        <w:tc>
          <w:tcPr>
            <w:tcW w:w="1175" w:type="dxa"/>
            <w:tcBorders>
              <w:top w:val="nil"/>
              <w:left w:val="single" w:sz="4" w:space="0" w:color="auto"/>
              <w:bottom w:val="single" w:sz="4" w:space="0" w:color="auto"/>
              <w:right w:val="single" w:sz="4" w:space="0" w:color="auto"/>
            </w:tcBorders>
            <w:vAlign w:val="center"/>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902</w:t>
            </w:r>
          </w:p>
        </w:tc>
        <w:tc>
          <w:tcPr>
            <w:tcW w:w="2085"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04C6F" w:rsidRPr="009D6511" w:rsidRDefault="00904C6F" w:rsidP="00904C6F">
            <w:pPr>
              <w:pStyle w:val="Default"/>
              <w:spacing w:before="120"/>
              <w:jc w:val="center"/>
              <w:rPr>
                <w:rFonts w:ascii="Calibri" w:hAnsi="Calibri" w:cs="Calibri"/>
                <w:color w:val="auto"/>
                <w:sz w:val="18"/>
                <w:szCs w:val="18"/>
              </w:rPr>
            </w:pPr>
            <w:r w:rsidRPr="009D6511">
              <w:rPr>
                <w:rFonts w:ascii="Calibri" w:hAnsi="Calibri" w:cs="Calibri"/>
                <w:color w:val="auto"/>
                <w:sz w:val="18"/>
                <w:szCs w:val="18"/>
              </w:rPr>
              <w:t>7</w:t>
            </w:r>
          </w:p>
        </w:tc>
      </w:tr>
    </w:tbl>
    <w:p w:rsidR="00D21EC5" w:rsidRPr="00090045" w:rsidRDefault="00090045" w:rsidP="00090045">
      <w:pPr>
        <w:pStyle w:val="Default"/>
        <w:spacing w:before="120"/>
        <w:rPr>
          <w:rFonts w:ascii="Calibri" w:hAnsi="Calibri" w:cs="Calibri"/>
          <w:color w:val="auto"/>
          <w:sz w:val="16"/>
          <w:szCs w:val="16"/>
        </w:rPr>
      </w:pPr>
      <w:r w:rsidRPr="00170EE6">
        <w:rPr>
          <w:rFonts w:ascii="Calibri" w:hAnsi="Calibri" w:cs="Calibri"/>
          <w:color w:val="auto"/>
          <w:sz w:val="16"/>
          <w:szCs w:val="16"/>
        </w:rPr>
        <w:t xml:space="preserve"> (Note that this data cannot be </w:t>
      </w:r>
      <w:r>
        <w:rPr>
          <w:rFonts w:ascii="Calibri" w:hAnsi="Calibri" w:cs="Calibri"/>
          <w:color w:val="auto"/>
          <w:sz w:val="16"/>
          <w:szCs w:val="16"/>
        </w:rPr>
        <w:t xml:space="preserve">used for </w:t>
      </w:r>
      <w:r w:rsidRPr="00170EE6">
        <w:rPr>
          <w:rFonts w:ascii="Calibri" w:hAnsi="Calibri" w:cs="Calibri"/>
          <w:color w:val="auto"/>
          <w:sz w:val="16"/>
          <w:szCs w:val="16"/>
        </w:rPr>
        <w:t>compar</w:t>
      </w:r>
      <w:r>
        <w:rPr>
          <w:rFonts w:ascii="Calibri" w:hAnsi="Calibri" w:cs="Calibri"/>
          <w:color w:val="auto"/>
          <w:sz w:val="16"/>
          <w:szCs w:val="16"/>
        </w:rPr>
        <w:t>isons</w:t>
      </w:r>
      <w:r w:rsidRPr="00170EE6">
        <w:rPr>
          <w:rFonts w:ascii="Calibri" w:hAnsi="Calibri" w:cs="Calibri"/>
          <w:color w:val="auto"/>
          <w:sz w:val="16"/>
          <w:szCs w:val="16"/>
        </w:rPr>
        <w:t xml:space="preserve"> across States and Territories and that this data cannot be used to measure change against the </w:t>
      </w:r>
      <w:proofErr w:type="gramStart"/>
      <w:r w:rsidRPr="00170EE6">
        <w:rPr>
          <w:rFonts w:ascii="Calibri" w:hAnsi="Calibri" w:cs="Calibri"/>
          <w:color w:val="auto"/>
          <w:sz w:val="16"/>
          <w:szCs w:val="16"/>
        </w:rPr>
        <w:t xml:space="preserve">agreed </w:t>
      </w:r>
      <w:r>
        <w:rPr>
          <w:rFonts w:ascii="Calibri" w:hAnsi="Calibri" w:cs="Calibri"/>
          <w:color w:val="auto"/>
          <w:sz w:val="16"/>
          <w:szCs w:val="16"/>
        </w:rPr>
        <w:t xml:space="preserve"> </w:t>
      </w:r>
      <w:r w:rsidRPr="00170EE6">
        <w:rPr>
          <w:rFonts w:ascii="Calibri" w:hAnsi="Calibri" w:cs="Calibri"/>
          <w:color w:val="auto"/>
          <w:sz w:val="16"/>
          <w:szCs w:val="16"/>
        </w:rPr>
        <w:t>indicator</w:t>
      </w:r>
      <w:proofErr w:type="gramEnd"/>
      <w:r w:rsidRPr="00170EE6">
        <w:rPr>
          <w:rFonts w:ascii="Calibri" w:hAnsi="Calibri" w:cs="Calibri"/>
          <w:color w:val="auto"/>
          <w:sz w:val="16"/>
          <w:szCs w:val="16"/>
        </w:rPr>
        <w:t xml:space="preserve"> for Year 12 or equivalent attainment)     </w:t>
      </w:r>
    </w:p>
    <w:p w:rsidR="009E461E" w:rsidRPr="009E461E" w:rsidRDefault="006D399C" w:rsidP="00153F50">
      <w:pPr>
        <w:autoSpaceDE w:val="0"/>
        <w:autoSpaceDN w:val="0"/>
        <w:adjustRightInd w:val="0"/>
        <w:spacing w:before="240" w:line="240" w:lineRule="auto"/>
        <w:rPr>
          <w:rFonts w:eastAsia="Times New Roman" w:cstheme="minorHAnsi"/>
          <w:b/>
          <w:bCs/>
          <w:color w:val="000000"/>
          <w:u w:val="single"/>
          <w:lang w:eastAsia="en-AU"/>
        </w:rPr>
      </w:pPr>
      <w:r>
        <w:rPr>
          <w:rFonts w:eastAsia="Times New Roman" w:cstheme="minorHAnsi"/>
          <w:b/>
          <w:bCs/>
          <w:color w:val="000000"/>
          <w:u w:val="single"/>
          <w:lang w:eastAsia="en-AU"/>
        </w:rPr>
        <w:t>15 – 19 Year old</w:t>
      </w:r>
      <w:r w:rsidR="00B74085">
        <w:rPr>
          <w:rFonts w:eastAsia="Times New Roman" w:cstheme="minorHAnsi"/>
          <w:b/>
          <w:bCs/>
          <w:color w:val="000000"/>
          <w:u w:val="single"/>
          <w:lang w:eastAsia="en-AU"/>
        </w:rPr>
        <w:t>s</w:t>
      </w:r>
      <w:r>
        <w:rPr>
          <w:rFonts w:eastAsia="Times New Roman" w:cstheme="minorHAnsi"/>
          <w:b/>
          <w:bCs/>
          <w:color w:val="000000"/>
          <w:u w:val="single"/>
          <w:lang w:eastAsia="en-AU"/>
        </w:rPr>
        <w:t xml:space="preserve"> enrolled in VET</w:t>
      </w:r>
      <w:r w:rsidR="00153F50">
        <w:rPr>
          <w:rFonts w:eastAsia="Times New Roman" w:cstheme="minorHAnsi"/>
          <w:b/>
          <w:bCs/>
          <w:color w:val="000000"/>
          <w:u w:val="single"/>
          <w:lang w:eastAsia="en-AU"/>
        </w:rPr>
        <w:t xml:space="preserve"> – 2009 &amp; 2010</w:t>
      </w:r>
    </w:p>
    <w:p w:rsidR="00BF7442" w:rsidRPr="009E461E" w:rsidRDefault="00BF7442" w:rsidP="009E461E">
      <w:pPr>
        <w:pStyle w:val="ListParagraph"/>
        <w:numPr>
          <w:ilvl w:val="0"/>
          <w:numId w:val="43"/>
        </w:numPr>
        <w:spacing w:before="120"/>
        <w:rPr>
          <w:color w:val="000000"/>
        </w:rPr>
      </w:pPr>
      <w:r w:rsidRPr="009E461E">
        <w:rPr>
          <w:color w:val="000000"/>
        </w:rPr>
        <w:t>15-19 year olds enrolled in VET at Certificate I level; and</w:t>
      </w:r>
    </w:p>
    <w:p w:rsidR="00BF7442" w:rsidRPr="009E461E" w:rsidRDefault="00BF7442" w:rsidP="009E461E">
      <w:pPr>
        <w:pStyle w:val="ListParagraph"/>
        <w:numPr>
          <w:ilvl w:val="0"/>
          <w:numId w:val="43"/>
        </w:numPr>
        <w:spacing w:before="120"/>
        <w:rPr>
          <w:color w:val="000000"/>
        </w:rPr>
      </w:pPr>
      <w:r w:rsidRPr="009E461E">
        <w:rPr>
          <w:color w:val="000000"/>
        </w:rPr>
        <w:t>15-19 year olds enrolled in VET at Certificate II level and above</w:t>
      </w:r>
    </w:p>
    <w:tbl>
      <w:tblPr>
        <w:tblW w:w="7140" w:type="dxa"/>
        <w:tblInd w:w="-13" w:type="dxa"/>
        <w:tblCellMar>
          <w:left w:w="0" w:type="dxa"/>
          <w:right w:w="0" w:type="dxa"/>
        </w:tblCellMar>
        <w:tblLook w:val="04A0" w:firstRow="1" w:lastRow="0" w:firstColumn="1" w:lastColumn="0" w:noHBand="0" w:noVBand="1"/>
      </w:tblPr>
      <w:tblGrid>
        <w:gridCol w:w="1380"/>
        <w:gridCol w:w="1771"/>
        <w:gridCol w:w="1229"/>
        <w:gridCol w:w="1629"/>
        <w:gridCol w:w="1131"/>
      </w:tblGrid>
      <w:tr w:rsidR="006D399C" w:rsidTr="00904C6F">
        <w:trPr>
          <w:trHeight w:val="300"/>
        </w:trPr>
        <w:tc>
          <w:tcPr>
            <w:tcW w:w="138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bottom"/>
            <w:hideMark/>
          </w:tcPr>
          <w:p w:rsidR="006D399C" w:rsidRPr="006D399C" w:rsidRDefault="006D399C" w:rsidP="006D399C">
            <w:pPr>
              <w:pStyle w:val="Default"/>
              <w:spacing w:before="120"/>
              <w:rPr>
                <w:rFonts w:ascii="Calibri" w:hAnsi="Calibri" w:cs="Calibri"/>
                <w:color w:val="auto"/>
                <w:sz w:val="18"/>
                <w:szCs w:val="18"/>
              </w:rPr>
            </w:pPr>
            <w:r w:rsidRPr="006D399C">
              <w:rPr>
                <w:rFonts w:ascii="Calibri" w:hAnsi="Calibri" w:cs="Calibri"/>
                <w:color w:val="auto"/>
                <w:sz w:val="18"/>
                <w:szCs w:val="18"/>
              </w:rPr>
              <w:t> </w:t>
            </w:r>
          </w:p>
        </w:tc>
        <w:tc>
          <w:tcPr>
            <w:tcW w:w="30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b/>
                <w:color w:val="auto"/>
                <w:sz w:val="18"/>
                <w:szCs w:val="18"/>
              </w:rPr>
            </w:pPr>
            <w:r w:rsidRPr="006D399C">
              <w:rPr>
                <w:rFonts w:ascii="Calibri" w:hAnsi="Calibri" w:cs="Calibri"/>
                <w:b/>
                <w:color w:val="auto"/>
                <w:sz w:val="18"/>
                <w:szCs w:val="18"/>
              </w:rPr>
              <w:t>2009</w:t>
            </w:r>
          </w:p>
        </w:tc>
        <w:tc>
          <w:tcPr>
            <w:tcW w:w="276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b/>
                <w:color w:val="auto"/>
                <w:sz w:val="18"/>
                <w:szCs w:val="18"/>
              </w:rPr>
            </w:pPr>
            <w:r w:rsidRPr="006D399C">
              <w:rPr>
                <w:rFonts w:ascii="Calibri" w:hAnsi="Calibri" w:cs="Calibri"/>
                <w:b/>
                <w:color w:val="auto"/>
                <w:sz w:val="18"/>
                <w:szCs w:val="18"/>
              </w:rPr>
              <w:t>2010</w:t>
            </w:r>
          </w:p>
        </w:tc>
      </w:tr>
      <w:tr w:rsidR="006D399C" w:rsidTr="00904C6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399C" w:rsidRPr="006D399C" w:rsidRDefault="006D399C" w:rsidP="006D399C">
            <w:pPr>
              <w:pStyle w:val="Default"/>
              <w:spacing w:before="120"/>
              <w:rPr>
                <w:rFonts w:ascii="Calibri" w:hAnsi="Calibri" w:cs="Calibri"/>
                <w:color w:val="auto"/>
                <w:sz w:val="18"/>
                <w:szCs w:val="18"/>
              </w:rPr>
            </w:pP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Non-Indigenous</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Indigenous</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Non-Indigenous</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Indigenous</w:t>
            </w:r>
          </w:p>
        </w:tc>
      </w:tr>
      <w:tr w:rsidR="006D399C" w:rsidTr="00904C6F">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D399C" w:rsidRPr="006D399C" w:rsidRDefault="006D399C" w:rsidP="006D399C">
            <w:pPr>
              <w:pStyle w:val="Default"/>
              <w:spacing w:before="120"/>
              <w:rPr>
                <w:rFonts w:ascii="Calibri" w:hAnsi="Calibri" w:cs="Calibri"/>
                <w:b/>
                <w:color w:val="auto"/>
                <w:sz w:val="18"/>
                <w:szCs w:val="18"/>
              </w:rPr>
            </w:pPr>
            <w:r w:rsidRPr="006D399C">
              <w:rPr>
                <w:rFonts w:ascii="Calibri" w:hAnsi="Calibri" w:cs="Calibri"/>
                <w:b/>
                <w:color w:val="auto"/>
                <w:sz w:val="18"/>
                <w:szCs w:val="18"/>
              </w:rPr>
              <w:t>Cert I</w:t>
            </w: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705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1080</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583</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878</w:t>
            </w:r>
          </w:p>
        </w:tc>
      </w:tr>
      <w:tr w:rsidR="006D399C" w:rsidTr="00904C6F">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D399C" w:rsidRPr="006D399C" w:rsidRDefault="006D399C" w:rsidP="006D399C">
            <w:pPr>
              <w:pStyle w:val="Default"/>
              <w:spacing w:before="120"/>
              <w:rPr>
                <w:rFonts w:ascii="Calibri" w:hAnsi="Calibri" w:cs="Calibri"/>
                <w:b/>
                <w:color w:val="auto"/>
                <w:sz w:val="18"/>
                <w:szCs w:val="18"/>
              </w:rPr>
            </w:pPr>
            <w:r w:rsidRPr="006D399C">
              <w:rPr>
                <w:rFonts w:ascii="Calibri" w:hAnsi="Calibri" w:cs="Calibri"/>
                <w:b/>
                <w:color w:val="auto"/>
                <w:sz w:val="18"/>
                <w:szCs w:val="18"/>
              </w:rPr>
              <w:t>Cert II &amp; above</w:t>
            </w:r>
          </w:p>
        </w:tc>
        <w:tc>
          <w:tcPr>
            <w:tcW w:w="1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3230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1603</w:t>
            </w:r>
          </w:p>
        </w:tc>
        <w:tc>
          <w:tcPr>
            <w:tcW w:w="16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3068</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D399C" w:rsidRPr="006D399C" w:rsidRDefault="006D399C" w:rsidP="00904C6F">
            <w:pPr>
              <w:pStyle w:val="Default"/>
              <w:spacing w:before="120"/>
              <w:jc w:val="center"/>
              <w:rPr>
                <w:rFonts w:ascii="Calibri" w:hAnsi="Calibri" w:cs="Calibri"/>
                <w:color w:val="auto"/>
                <w:sz w:val="18"/>
                <w:szCs w:val="18"/>
              </w:rPr>
            </w:pPr>
            <w:r w:rsidRPr="006D399C">
              <w:rPr>
                <w:rFonts w:ascii="Calibri" w:hAnsi="Calibri" w:cs="Calibri"/>
                <w:color w:val="auto"/>
                <w:sz w:val="18"/>
                <w:szCs w:val="18"/>
              </w:rPr>
              <w:t>1441</w:t>
            </w:r>
          </w:p>
        </w:tc>
      </w:tr>
    </w:tbl>
    <w:p w:rsidR="00BF7442" w:rsidRPr="00270E54" w:rsidRDefault="00BF7442" w:rsidP="00270E54">
      <w:pPr>
        <w:pStyle w:val="Default"/>
        <w:spacing w:before="120"/>
        <w:rPr>
          <w:rFonts w:ascii="Calibri" w:hAnsi="Calibri" w:cs="Calibri"/>
          <w:color w:val="auto"/>
          <w:sz w:val="16"/>
          <w:szCs w:val="16"/>
        </w:rPr>
      </w:pPr>
      <w:r w:rsidRPr="00270E54">
        <w:rPr>
          <w:rFonts w:ascii="Calibri" w:hAnsi="Calibri" w:cs="Calibri"/>
          <w:color w:val="auto"/>
          <w:sz w:val="16"/>
          <w:szCs w:val="16"/>
        </w:rPr>
        <w:t>Data Source: NT VET Provider data 2009</w:t>
      </w:r>
      <w:r w:rsidR="006D399C">
        <w:rPr>
          <w:rFonts w:ascii="Calibri" w:hAnsi="Calibri" w:cs="Calibri"/>
          <w:color w:val="auto"/>
          <w:sz w:val="16"/>
          <w:szCs w:val="16"/>
        </w:rPr>
        <w:t xml:space="preserve"> &amp; 2010</w:t>
      </w:r>
    </w:p>
    <w:p w:rsidR="00BF7442" w:rsidRPr="00270E54" w:rsidRDefault="00BF7442" w:rsidP="00270E54">
      <w:pPr>
        <w:pStyle w:val="Default"/>
        <w:spacing w:before="120"/>
        <w:rPr>
          <w:rFonts w:ascii="Calibri" w:hAnsi="Calibri" w:cs="Calibri"/>
          <w:color w:val="auto"/>
          <w:sz w:val="16"/>
          <w:szCs w:val="16"/>
        </w:rPr>
      </w:pPr>
      <w:r w:rsidRPr="00270E54">
        <w:rPr>
          <w:rFonts w:ascii="Calibri" w:hAnsi="Calibri" w:cs="Calibri"/>
          <w:color w:val="auto"/>
          <w:sz w:val="16"/>
          <w:szCs w:val="16"/>
        </w:rPr>
        <w:t xml:space="preserve">Data has been filtered based on </w:t>
      </w:r>
      <w:proofErr w:type="gramStart"/>
      <w:r w:rsidRPr="00270E54">
        <w:rPr>
          <w:rFonts w:ascii="Calibri" w:hAnsi="Calibri" w:cs="Calibri"/>
          <w:color w:val="auto"/>
          <w:sz w:val="16"/>
          <w:szCs w:val="16"/>
        </w:rPr>
        <w:t>students</w:t>
      </w:r>
      <w:proofErr w:type="gramEnd"/>
      <w:r w:rsidRPr="00270E54">
        <w:rPr>
          <w:rFonts w:ascii="Calibri" w:hAnsi="Calibri" w:cs="Calibri"/>
          <w:color w:val="auto"/>
          <w:sz w:val="16"/>
          <w:szCs w:val="16"/>
        </w:rPr>
        <w:t xml:space="preserve"> response to the Indigenous status question on their enrolment form and only counts people who have </w:t>
      </w:r>
      <w:proofErr w:type="spellStart"/>
      <w:r w:rsidRPr="00270E54">
        <w:rPr>
          <w:rFonts w:ascii="Calibri" w:hAnsi="Calibri" w:cs="Calibri"/>
          <w:color w:val="auto"/>
          <w:sz w:val="16"/>
          <w:szCs w:val="16"/>
        </w:rPr>
        <w:t>self identified</w:t>
      </w:r>
      <w:proofErr w:type="spellEnd"/>
      <w:r w:rsidRPr="00270E54">
        <w:rPr>
          <w:rFonts w:ascii="Calibri" w:hAnsi="Calibri" w:cs="Calibri"/>
          <w:color w:val="auto"/>
          <w:sz w:val="16"/>
          <w:szCs w:val="16"/>
        </w:rPr>
        <w:t xml:space="preserve"> themselves as Indigenous.</w:t>
      </w:r>
    </w:p>
    <w:p w:rsidR="00BF7442" w:rsidRPr="00270E54" w:rsidRDefault="00BF7442" w:rsidP="00270E54">
      <w:pPr>
        <w:pStyle w:val="Default"/>
        <w:spacing w:before="120"/>
        <w:rPr>
          <w:rFonts w:ascii="Calibri" w:hAnsi="Calibri" w:cs="Calibri"/>
          <w:color w:val="auto"/>
          <w:sz w:val="16"/>
          <w:szCs w:val="16"/>
        </w:rPr>
      </w:pPr>
      <w:r w:rsidRPr="00270E54">
        <w:rPr>
          <w:rFonts w:ascii="Calibri" w:hAnsi="Calibri" w:cs="Calibri"/>
          <w:color w:val="auto"/>
          <w:sz w:val="16"/>
          <w:szCs w:val="16"/>
        </w:rPr>
        <w:t>Data includes students that accessed training that may not have been publicly funded.</w:t>
      </w:r>
    </w:p>
    <w:p w:rsidR="00BF7442" w:rsidRPr="00270E54" w:rsidRDefault="00BF7442" w:rsidP="00270E54">
      <w:pPr>
        <w:pStyle w:val="Default"/>
        <w:spacing w:before="120"/>
        <w:rPr>
          <w:rFonts w:ascii="Calibri" w:hAnsi="Calibri" w:cs="Calibri"/>
          <w:color w:val="auto"/>
          <w:sz w:val="16"/>
          <w:szCs w:val="16"/>
        </w:rPr>
      </w:pPr>
      <w:r w:rsidRPr="00270E54">
        <w:rPr>
          <w:rFonts w:ascii="Calibri" w:hAnsi="Calibri" w:cs="Calibri"/>
          <w:color w:val="auto"/>
          <w:sz w:val="16"/>
          <w:szCs w:val="16"/>
        </w:rPr>
        <w:t>A student may be counted multiple times if they have either undertaken multiple qualifications and/or have undertaken training with multiple providers.</w:t>
      </w:r>
    </w:p>
    <w:p w:rsidR="00BF7442" w:rsidRPr="00A918C7" w:rsidRDefault="00BF7442" w:rsidP="00BF7442">
      <w:pPr>
        <w:rPr>
          <w:color w:val="365F91"/>
          <w:sz w:val="16"/>
          <w:szCs w:val="16"/>
        </w:rPr>
      </w:pPr>
    </w:p>
    <w:p w:rsidR="00270E54" w:rsidRPr="00270E54" w:rsidRDefault="00270E54" w:rsidP="00270E54">
      <w:pPr>
        <w:rPr>
          <w:b/>
          <w:bCs/>
          <w:color w:val="000000"/>
        </w:rPr>
      </w:pPr>
      <w:r w:rsidRPr="00270E54">
        <w:rPr>
          <w:b/>
          <w:bCs/>
          <w:color w:val="000000"/>
        </w:rPr>
        <w:t>Northern Territory Indigenous Year 12 or equivalent attainment Trajectory</w:t>
      </w:r>
    </w:p>
    <w:p w:rsidR="00270E54" w:rsidRPr="00270E54" w:rsidRDefault="00270E54" w:rsidP="00270E54">
      <w:pPr>
        <w:spacing w:before="120"/>
        <w:rPr>
          <w:color w:val="000000"/>
        </w:rPr>
      </w:pPr>
      <w:r w:rsidRPr="00270E54">
        <w:rPr>
          <w:color w:val="000000"/>
        </w:rPr>
        <w:t>The estimated Northern Territory target for halving the Indigenous Year 12 or equivalent attainment</w:t>
      </w:r>
      <w:r>
        <w:rPr>
          <w:color w:val="000000"/>
        </w:rPr>
        <w:t xml:space="preserve"> </w:t>
      </w:r>
      <w:r w:rsidRPr="00270E54">
        <w:rPr>
          <w:color w:val="000000"/>
        </w:rPr>
        <w:t>gap for 20‐24 year olds by 2020 is:</w:t>
      </w:r>
    </w:p>
    <w:p w:rsidR="00270E54" w:rsidRDefault="00270E54" w:rsidP="00270E54">
      <w:pPr>
        <w:autoSpaceDE w:val="0"/>
        <w:autoSpaceDN w:val="0"/>
        <w:adjustRightInd w:val="0"/>
        <w:spacing w:line="240" w:lineRule="auto"/>
        <w:rPr>
          <w:rFonts w:ascii="Calibri" w:hAnsi="Calibri" w:cs="Calibri"/>
        </w:rPr>
      </w:pPr>
      <w:r>
        <w:rPr>
          <w:rFonts w:ascii="Calibri" w:hAnsi="Calibri" w:cs="Calibri"/>
          <w:noProof/>
          <w:lang w:eastAsia="en-AU"/>
        </w:rPr>
        <w:drawing>
          <wp:inline distT="0" distB="0" distL="0" distR="0">
            <wp:extent cx="6192520" cy="70241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92520" cy="702411"/>
                    </a:xfrm>
                    <a:prstGeom prst="rect">
                      <a:avLst/>
                    </a:prstGeom>
                    <a:noFill/>
                    <a:ln w="9525">
                      <a:noFill/>
                      <a:miter lim="800000"/>
                      <a:headEnd/>
                      <a:tailEnd/>
                    </a:ln>
                  </pic:spPr>
                </pic:pic>
              </a:graphicData>
            </a:graphic>
          </wp:inline>
        </w:drawing>
      </w:r>
    </w:p>
    <w:p w:rsidR="00A918C7" w:rsidRDefault="00270E54" w:rsidP="00270E54">
      <w:pPr>
        <w:spacing w:before="120"/>
        <w:rPr>
          <w:color w:val="000000"/>
        </w:rPr>
      </w:pPr>
      <w:r w:rsidRPr="00270E54">
        <w:rPr>
          <w:color w:val="000000"/>
        </w:rPr>
        <w:t>This target is the Northern Territory’s contribution share of the national halving the gap target.</w:t>
      </w:r>
    </w:p>
    <w:p w:rsidR="00270E54" w:rsidRPr="00270E54" w:rsidRDefault="00270E54" w:rsidP="00A918C7">
      <w:pPr>
        <w:spacing w:line="240" w:lineRule="auto"/>
        <w:rPr>
          <w:color w:val="000000"/>
        </w:rPr>
      </w:pPr>
      <w:r w:rsidRPr="00270E54">
        <w:rPr>
          <w:color w:val="000000"/>
        </w:rPr>
        <w:t xml:space="preserve"> </w:t>
      </w:r>
    </w:p>
    <w:p w:rsidR="00270E54" w:rsidRDefault="00270E54" w:rsidP="00270E54">
      <w:pPr>
        <w:rPr>
          <w:rFonts w:ascii="Calibri-Bold" w:hAnsi="Calibri-Bold" w:cs="Calibri-Bold"/>
          <w:b/>
          <w:bCs/>
          <w:sz w:val="18"/>
          <w:szCs w:val="18"/>
        </w:rPr>
      </w:pPr>
      <w:r>
        <w:rPr>
          <w:rFonts w:ascii="Calibri-Bold" w:hAnsi="Calibri-Bold" w:cs="Calibri-Bold"/>
          <w:b/>
          <w:bCs/>
          <w:noProof/>
          <w:sz w:val="18"/>
          <w:szCs w:val="18"/>
          <w:lang w:eastAsia="en-AU"/>
        </w:rPr>
        <w:drawing>
          <wp:inline distT="0" distB="0" distL="0" distR="0">
            <wp:extent cx="5880818" cy="2200964"/>
            <wp:effectExtent l="19050" t="0" r="5632"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896587" cy="2206866"/>
                    </a:xfrm>
                    <a:prstGeom prst="rect">
                      <a:avLst/>
                    </a:prstGeom>
                    <a:noFill/>
                    <a:ln w="9525">
                      <a:noFill/>
                      <a:miter lim="800000"/>
                      <a:headEnd/>
                      <a:tailEnd/>
                    </a:ln>
                  </pic:spPr>
                </pic:pic>
              </a:graphicData>
            </a:graphic>
          </wp:inline>
        </w:drawing>
      </w:r>
    </w:p>
    <w:p w:rsidR="00270E54" w:rsidRDefault="00270E54" w:rsidP="00A918C7">
      <w:pPr>
        <w:jc w:val="center"/>
        <w:rPr>
          <w:color w:val="000000"/>
        </w:rPr>
      </w:pPr>
      <w:r>
        <w:rPr>
          <w:rFonts w:ascii="Calibri-Bold" w:hAnsi="Calibri-Bold" w:cs="Calibri-Bold"/>
          <w:b/>
          <w:bCs/>
          <w:sz w:val="18"/>
          <w:szCs w:val="18"/>
        </w:rPr>
        <w:t>NT Indigenous Year 12 or Equivalent Attainment Trajectory</w:t>
      </w:r>
    </w:p>
    <w:p w:rsidR="00133472" w:rsidRDefault="00133472" w:rsidP="00133472">
      <w:pPr>
        <w:pStyle w:val="ListParagraph"/>
        <w:autoSpaceDE w:val="0"/>
        <w:autoSpaceDN w:val="0"/>
        <w:adjustRightInd w:val="0"/>
        <w:spacing w:after="200" w:line="240" w:lineRule="auto"/>
        <w:ind w:left="0"/>
        <w:rPr>
          <w:rFonts w:ascii="Calibri" w:hAnsi="Calibri" w:cs="Calibri"/>
        </w:rPr>
      </w:pPr>
    </w:p>
    <w:p w:rsidR="00D21EC5" w:rsidRDefault="00270E54" w:rsidP="00133472">
      <w:pPr>
        <w:pStyle w:val="ListParagraph"/>
        <w:autoSpaceDE w:val="0"/>
        <w:autoSpaceDN w:val="0"/>
        <w:adjustRightInd w:val="0"/>
        <w:spacing w:after="200" w:line="240" w:lineRule="auto"/>
        <w:ind w:left="0"/>
        <w:rPr>
          <w:rFonts w:ascii="Calibri" w:hAnsi="Calibri" w:cs="Calibri"/>
        </w:rPr>
      </w:pPr>
      <w:r w:rsidRPr="00133472">
        <w:rPr>
          <w:rFonts w:ascii="Calibri" w:hAnsi="Calibri" w:cs="Calibri"/>
        </w:rPr>
        <w:t>The Northern Territory has committed to achieving this very ambiti</w:t>
      </w:r>
      <w:r w:rsidR="00A918C7" w:rsidRPr="00133472">
        <w:rPr>
          <w:rFonts w:ascii="Calibri" w:hAnsi="Calibri" w:cs="Calibri"/>
        </w:rPr>
        <w:t xml:space="preserve">ous target in the spirit of the </w:t>
      </w:r>
      <w:r w:rsidR="000F3743">
        <w:rPr>
          <w:rFonts w:ascii="Calibri" w:hAnsi="Calibri" w:cs="Calibri"/>
        </w:rPr>
        <w:t>National Partnership A</w:t>
      </w:r>
      <w:r w:rsidRPr="00133472">
        <w:rPr>
          <w:rFonts w:ascii="Calibri" w:hAnsi="Calibri" w:cs="Calibri"/>
        </w:rPr>
        <w:t>greement. However, it should be noted that t</w:t>
      </w:r>
      <w:r w:rsidR="00A918C7" w:rsidRPr="00133472">
        <w:rPr>
          <w:rFonts w:ascii="Calibri" w:hAnsi="Calibri" w:cs="Calibri"/>
        </w:rPr>
        <w:t xml:space="preserve">he Northern Territory target of </w:t>
      </w:r>
      <w:r w:rsidRPr="00133472">
        <w:rPr>
          <w:rFonts w:ascii="Calibri" w:hAnsi="Calibri" w:cs="Calibri"/>
        </w:rPr>
        <w:t>27.9 per cent, or 2077 Indigenous persons attaining by 2020, repres</w:t>
      </w:r>
      <w:r w:rsidR="00A918C7" w:rsidRPr="00133472">
        <w:rPr>
          <w:rFonts w:ascii="Calibri" w:hAnsi="Calibri" w:cs="Calibri"/>
        </w:rPr>
        <w:t xml:space="preserve">ents a 125 per cent increase on </w:t>
      </w:r>
      <w:r w:rsidRPr="00133472">
        <w:rPr>
          <w:rFonts w:ascii="Calibri" w:hAnsi="Calibri" w:cs="Calibri"/>
        </w:rPr>
        <w:t>the 2006 baseline of 15.2 per cent, or 924 Indigenous persons attaining.</w:t>
      </w:r>
    </w:p>
    <w:p w:rsidR="00F0211F" w:rsidRPr="00133472" w:rsidRDefault="00F0211F" w:rsidP="00133472">
      <w:pPr>
        <w:pStyle w:val="ListParagraph"/>
        <w:autoSpaceDE w:val="0"/>
        <w:autoSpaceDN w:val="0"/>
        <w:adjustRightInd w:val="0"/>
        <w:spacing w:after="200" w:line="240" w:lineRule="auto"/>
        <w:ind w:left="0"/>
        <w:rPr>
          <w:rFonts w:ascii="Calibri" w:hAnsi="Calibri" w:cs="Calibri"/>
        </w:rPr>
      </w:pPr>
    </w:p>
    <w:p w:rsidR="00F0211F" w:rsidRDefault="003B4CC0" w:rsidP="00133472">
      <w:pPr>
        <w:pStyle w:val="ListParagraph"/>
        <w:autoSpaceDE w:val="0"/>
        <w:autoSpaceDN w:val="0"/>
        <w:adjustRightInd w:val="0"/>
        <w:spacing w:after="200" w:line="240" w:lineRule="auto"/>
        <w:ind w:left="0"/>
        <w:rPr>
          <w:rFonts w:ascii="Calibri" w:hAnsi="Calibri" w:cs="Calibri"/>
        </w:rPr>
      </w:pPr>
      <w:r>
        <w:rPr>
          <w:rFonts w:ascii="Calibri" w:hAnsi="Calibri" w:cs="Calibri"/>
          <w:noProof/>
          <w:lang w:val="en-US" w:eastAsia="zh-TW"/>
        </w:rPr>
        <w:pict>
          <v:shape id="_x0000_s1032" type="#_x0000_t202" style="position:absolute;margin-left:0;margin-top:1.45pt;width:420.3pt;height:113.25pt;z-index:251673600;mso-position-horizontal:center;mso-width-relative:margin;mso-height-relative:margin" strokeweight="1.5pt">
            <v:textbox>
              <w:txbxContent>
                <w:p w:rsidR="00527695" w:rsidRPr="00F0211F" w:rsidRDefault="00527695" w:rsidP="00F0211F">
                  <w:pPr>
                    <w:spacing w:before="120"/>
                    <w:jc w:val="center"/>
                    <w:rPr>
                      <w:rFonts w:ascii="Calibri" w:hAnsi="Calibri" w:cs="Calibri"/>
                      <w:b/>
                    </w:rPr>
                  </w:pPr>
                  <w:r w:rsidRPr="00F0211F">
                    <w:rPr>
                      <w:rFonts w:ascii="Calibri" w:hAnsi="Calibri" w:cs="Calibri"/>
                      <w:b/>
                    </w:rPr>
                    <w:t>PROGRESS AGAINST THE HALVING THE GAP TARGET</w:t>
                  </w:r>
                </w:p>
                <w:p w:rsidR="00527695" w:rsidRPr="00F0211F" w:rsidRDefault="00527695" w:rsidP="00F0211F">
                  <w:r w:rsidRPr="00133472">
                    <w:rPr>
                      <w:rFonts w:ascii="Calibri" w:hAnsi="Calibri" w:cs="Calibri"/>
                    </w:rPr>
                    <w:t xml:space="preserve">The NT is making good progress towards achieving its </w:t>
                  </w:r>
                  <w:r>
                    <w:rPr>
                      <w:rFonts w:ascii="Calibri" w:hAnsi="Calibri" w:cs="Calibri"/>
                    </w:rPr>
                    <w:t>Halving</w:t>
                  </w:r>
                  <w:r w:rsidRPr="00133472">
                    <w:rPr>
                      <w:rFonts w:ascii="Calibri" w:hAnsi="Calibri" w:cs="Calibri"/>
                    </w:rPr>
                    <w:t xml:space="preserve"> the Gap target.  </w:t>
                  </w:r>
                  <w:r>
                    <w:rPr>
                      <w:rFonts w:ascii="Calibri" w:hAnsi="Calibri" w:cs="Calibri"/>
                    </w:rPr>
                    <w:t>The intense focus on</w:t>
                  </w:r>
                  <w:r w:rsidRPr="000C4619">
                    <w:rPr>
                      <w:rFonts w:ascii="Calibri" w:hAnsi="Calibri" w:cs="Calibri"/>
                    </w:rPr>
                    <w:t xml:space="preserve"> issue</w:t>
                  </w:r>
                  <w:r>
                    <w:rPr>
                      <w:rFonts w:ascii="Calibri" w:hAnsi="Calibri" w:cs="Calibri"/>
                    </w:rPr>
                    <w:t>s such as community/whole school engagement,</w:t>
                  </w:r>
                  <w:r w:rsidRPr="000C4619">
                    <w:rPr>
                      <w:rFonts w:ascii="Calibri" w:hAnsi="Calibri" w:cs="Calibri"/>
                    </w:rPr>
                    <w:t xml:space="preserve"> </w:t>
                  </w:r>
                  <w:r>
                    <w:rPr>
                      <w:rFonts w:ascii="Calibri" w:hAnsi="Calibri" w:cs="Calibri"/>
                    </w:rPr>
                    <w:t xml:space="preserve">early childhood, participation and pathways, and training and job pathways </w:t>
                  </w:r>
                  <w:r w:rsidRPr="000C4619">
                    <w:rPr>
                      <w:rFonts w:ascii="Calibri" w:hAnsi="Calibri" w:cs="Calibri"/>
                    </w:rPr>
                    <w:t>at the system,</w:t>
                  </w:r>
                  <w:r w:rsidRPr="00F0211F">
                    <w:rPr>
                      <w:rFonts w:ascii="Calibri" w:hAnsi="Calibri" w:cs="Calibri"/>
                    </w:rPr>
                    <w:t xml:space="preserve"> </w:t>
                  </w:r>
                  <w:r w:rsidRPr="000C4619">
                    <w:rPr>
                      <w:rFonts w:ascii="Calibri" w:hAnsi="Calibri" w:cs="Calibri"/>
                    </w:rPr>
                    <w:t>regional and school levels is beginning</w:t>
                  </w:r>
                  <w:r w:rsidRPr="00F0211F">
                    <w:rPr>
                      <w:rFonts w:ascii="Calibri" w:hAnsi="Calibri" w:cs="Calibri"/>
                    </w:rPr>
                    <w:t xml:space="preserve"> </w:t>
                  </w:r>
                  <w:r w:rsidRPr="000C4619">
                    <w:rPr>
                      <w:rFonts w:ascii="Calibri" w:hAnsi="Calibri" w:cs="Calibri"/>
                    </w:rPr>
                    <w:t>to show a number of schools performing</w:t>
                  </w:r>
                  <w:r w:rsidRPr="00F0211F">
                    <w:rPr>
                      <w:rFonts w:ascii="Calibri" w:hAnsi="Calibri" w:cs="Calibri"/>
                    </w:rPr>
                    <w:t xml:space="preserve"> </w:t>
                  </w:r>
                  <w:r w:rsidRPr="000C4619">
                    <w:rPr>
                      <w:rFonts w:ascii="Calibri" w:hAnsi="Calibri" w:cs="Calibri"/>
                    </w:rPr>
                    <w:t>well as a result of targeted</w:t>
                  </w:r>
                  <w:r w:rsidRPr="00F0211F">
                    <w:rPr>
                      <w:rFonts w:ascii="Calibri" w:hAnsi="Calibri" w:cs="Calibri"/>
                    </w:rPr>
                    <w:t xml:space="preserve"> </w:t>
                  </w:r>
                  <w:r w:rsidRPr="000C4619">
                    <w:rPr>
                      <w:rFonts w:ascii="Calibri" w:hAnsi="Calibri" w:cs="Calibri"/>
                    </w:rPr>
                    <w:t>reform</w:t>
                  </w:r>
                  <w:r w:rsidRPr="00F0211F">
                    <w:rPr>
                      <w:rFonts w:ascii="Calibri" w:hAnsi="Calibri" w:cs="Calibri"/>
                    </w:rPr>
                    <w:t xml:space="preserve"> </w:t>
                  </w:r>
                  <w:r w:rsidRPr="000C4619">
                    <w:rPr>
                      <w:rFonts w:ascii="Calibri" w:hAnsi="Calibri" w:cs="Calibri"/>
                    </w:rPr>
                    <w:t>effort</w:t>
                  </w:r>
                  <w:r>
                    <w:rPr>
                      <w:rFonts w:ascii="Calibri" w:hAnsi="Calibri" w:cs="Calibri"/>
                    </w:rPr>
                    <w:t>.</w:t>
                  </w:r>
                </w:p>
              </w:txbxContent>
            </v:textbox>
          </v:shape>
        </w:pict>
      </w:r>
    </w:p>
    <w:p w:rsidR="00F0211F" w:rsidRPr="00133472" w:rsidRDefault="00F0211F" w:rsidP="00133472">
      <w:pPr>
        <w:pStyle w:val="ListParagraph"/>
        <w:autoSpaceDE w:val="0"/>
        <w:autoSpaceDN w:val="0"/>
        <w:adjustRightInd w:val="0"/>
        <w:spacing w:after="200" w:line="240" w:lineRule="auto"/>
        <w:ind w:left="0"/>
        <w:rPr>
          <w:rFonts w:ascii="Calibri" w:hAnsi="Calibri" w:cs="Calibri"/>
        </w:rPr>
      </w:pPr>
    </w:p>
    <w:p w:rsidR="00F0211F" w:rsidRDefault="00F0211F" w:rsidP="00A918C7">
      <w:pPr>
        <w:pStyle w:val="ListParagraph"/>
        <w:autoSpaceDE w:val="0"/>
        <w:autoSpaceDN w:val="0"/>
        <w:adjustRightInd w:val="0"/>
        <w:spacing w:after="200" w:line="240" w:lineRule="auto"/>
        <w:ind w:left="0"/>
        <w:rPr>
          <w:rFonts w:ascii="Calibri" w:hAnsi="Calibri" w:cs="Calibri"/>
        </w:rPr>
      </w:pPr>
    </w:p>
    <w:p w:rsidR="00F0211F" w:rsidRDefault="00F0211F" w:rsidP="00A918C7">
      <w:pPr>
        <w:pStyle w:val="ListParagraph"/>
        <w:autoSpaceDE w:val="0"/>
        <w:autoSpaceDN w:val="0"/>
        <w:adjustRightInd w:val="0"/>
        <w:spacing w:after="200" w:line="240" w:lineRule="auto"/>
        <w:ind w:left="0"/>
        <w:rPr>
          <w:rFonts w:ascii="Calibri" w:hAnsi="Calibri" w:cs="Calibri"/>
        </w:rPr>
      </w:pPr>
    </w:p>
    <w:p w:rsidR="00F0211F" w:rsidRDefault="00F0211F" w:rsidP="00A918C7">
      <w:pPr>
        <w:pStyle w:val="ListParagraph"/>
        <w:autoSpaceDE w:val="0"/>
        <w:autoSpaceDN w:val="0"/>
        <w:adjustRightInd w:val="0"/>
        <w:spacing w:after="200" w:line="240" w:lineRule="auto"/>
        <w:ind w:left="0"/>
        <w:rPr>
          <w:rFonts w:ascii="Calibri" w:hAnsi="Calibri" w:cs="Calibri"/>
        </w:rPr>
      </w:pPr>
    </w:p>
    <w:p w:rsidR="00D21EC5" w:rsidRPr="00270E54" w:rsidRDefault="00D21EC5" w:rsidP="00A918C7">
      <w:pPr>
        <w:pStyle w:val="ListParagraph"/>
        <w:autoSpaceDE w:val="0"/>
        <w:autoSpaceDN w:val="0"/>
        <w:adjustRightInd w:val="0"/>
        <w:spacing w:after="200" w:line="240" w:lineRule="auto"/>
        <w:ind w:left="0"/>
        <w:rPr>
          <w:rFonts w:ascii="Calibri" w:hAnsi="Calibri" w:cs="Calibri"/>
          <w:color w:val="000000" w:themeColor="text1"/>
        </w:rPr>
        <w:sectPr w:rsidR="00D21EC5" w:rsidRPr="00270E54" w:rsidSect="005B142B">
          <w:pgSz w:w="11906" w:h="16838"/>
          <w:pgMar w:top="1134" w:right="1077" w:bottom="1134" w:left="1077" w:header="709" w:footer="709" w:gutter="0"/>
          <w:cols w:space="708"/>
          <w:docGrid w:linePitch="360"/>
        </w:sect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113"/>
        <w:gridCol w:w="2647"/>
        <w:gridCol w:w="1340"/>
        <w:gridCol w:w="1341"/>
        <w:gridCol w:w="1341"/>
        <w:gridCol w:w="1341"/>
        <w:gridCol w:w="1341"/>
        <w:gridCol w:w="1341"/>
      </w:tblGrid>
      <w:tr w:rsidR="00D21EC5" w:rsidRPr="00BD353F" w:rsidTr="005B142B">
        <w:trPr>
          <w:trHeight w:val="164"/>
        </w:trPr>
        <w:tc>
          <w:tcPr>
            <w:tcW w:w="15026" w:type="dxa"/>
            <w:gridSpan w:val="9"/>
            <w:shd w:val="clear" w:color="auto" w:fill="C00000"/>
          </w:tcPr>
          <w:p w:rsidR="00D21EC5" w:rsidRPr="00BD7952" w:rsidRDefault="00D21EC5" w:rsidP="005B142B">
            <w:pPr>
              <w:spacing w:line="240" w:lineRule="auto"/>
              <w:ind w:left="-142"/>
              <w:rPr>
                <w:rFonts w:ascii="Arial" w:hAnsi="Arial" w:cs="Arial"/>
                <w:bCs/>
                <w:sz w:val="18"/>
                <w:szCs w:val="18"/>
              </w:rPr>
            </w:pPr>
            <w:r w:rsidRPr="00BD7952">
              <w:rPr>
                <w:rFonts w:ascii="Arial" w:hAnsi="Arial" w:cs="Arial"/>
                <w:bCs/>
                <w:sz w:val="18"/>
                <w:szCs w:val="18"/>
              </w:rPr>
              <w:lastRenderedPageBreak/>
              <w:br w:type="page"/>
            </w:r>
            <w:r w:rsidRPr="00BD7952">
              <w:rPr>
                <w:rFonts w:ascii="Arial" w:hAnsi="Arial" w:cs="Arial"/>
                <w:b/>
                <w:bCs/>
                <w:sz w:val="18"/>
                <w:szCs w:val="18"/>
              </w:rPr>
              <w:br w:type="page"/>
            </w:r>
            <w:r w:rsidRPr="00BD7952">
              <w:rPr>
                <w:rFonts w:ascii="Arial" w:hAnsi="Arial" w:cs="Arial"/>
                <w:b/>
                <w:bCs/>
                <w:sz w:val="18"/>
                <w:szCs w:val="18"/>
              </w:rPr>
              <w:br w:type="page"/>
            </w:r>
            <w:r w:rsidRPr="00BD7952">
              <w:rPr>
                <w:rFonts w:ascii="Arial" w:hAnsi="Arial" w:cs="Arial"/>
                <w:sz w:val="18"/>
                <w:szCs w:val="18"/>
              </w:rPr>
              <w:br w:type="page"/>
            </w:r>
            <w:r w:rsidRPr="00BD7952">
              <w:rPr>
                <w:rFonts w:ascii="Arial" w:hAnsi="Arial" w:cs="Arial"/>
                <w:b/>
                <w:sz w:val="18"/>
                <w:szCs w:val="18"/>
              </w:rPr>
              <w:t xml:space="preserve">  </w:t>
            </w:r>
            <w:r w:rsidRPr="00BD7952">
              <w:rPr>
                <w:rFonts w:cstheme="minorHAnsi"/>
                <w:b/>
                <w:sz w:val="18"/>
                <w:szCs w:val="18"/>
              </w:rPr>
              <w:t>Northern Territory Performance Measures</w:t>
            </w:r>
            <w:r w:rsidRPr="00BD7952">
              <w:rPr>
                <w:rFonts w:cstheme="minorHAnsi"/>
                <w:sz w:val="18"/>
                <w:szCs w:val="18"/>
              </w:rPr>
              <w:tab/>
              <w:t xml:space="preserve">-  Schools Participating in the </w:t>
            </w:r>
            <w:r w:rsidRPr="00BD7952">
              <w:rPr>
                <w:rFonts w:ascii="Arial" w:hAnsi="Arial" w:cs="Arial"/>
                <w:b/>
                <w:sz w:val="18"/>
                <w:szCs w:val="18"/>
              </w:rPr>
              <w:t>Low SES School Communities NP</w:t>
            </w:r>
          </w:p>
        </w:tc>
      </w:tr>
      <w:tr w:rsidR="00D21EC5" w:rsidTr="005B142B">
        <w:trPr>
          <w:trHeight w:val="408"/>
        </w:trPr>
        <w:tc>
          <w:tcPr>
            <w:tcW w:w="222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
                <w:bCs/>
                <w:sz w:val="18"/>
                <w:szCs w:val="18"/>
              </w:rPr>
              <w:t>Performance Measure</w:t>
            </w:r>
          </w:p>
        </w:tc>
        <w:tc>
          <w:tcPr>
            <w:tcW w:w="2113"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
                <w:bCs/>
                <w:sz w:val="18"/>
                <w:szCs w:val="18"/>
              </w:rPr>
              <w:t>Cohort</w:t>
            </w:r>
          </w:p>
        </w:tc>
        <w:tc>
          <w:tcPr>
            <w:tcW w:w="2647"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
                <w:bCs/>
                <w:sz w:val="18"/>
                <w:szCs w:val="18"/>
              </w:rPr>
              <w:t>Baseline</w:t>
            </w:r>
          </w:p>
        </w:tc>
        <w:tc>
          <w:tcPr>
            <w:tcW w:w="4022" w:type="dxa"/>
            <w:gridSpan w:val="3"/>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
                <w:bCs/>
                <w:sz w:val="18"/>
                <w:szCs w:val="18"/>
              </w:rPr>
              <w:t>Baseline Year</w:t>
            </w:r>
          </w:p>
        </w:tc>
        <w:tc>
          <w:tcPr>
            <w:tcW w:w="4023" w:type="dxa"/>
            <w:gridSpan w:val="3"/>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
                <w:bCs/>
                <w:sz w:val="18"/>
                <w:szCs w:val="18"/>
              </w:rPr>
              <w:t>Target Year (2010)</w:t>
            </w:r>
          </w:p>
        </w:tc>
      </w:tr>
      <w:tr w:rsidR="00D21EC5" w:rsidRPr="00301189" w:rsidTr="005B142B">
        <w:trPr>
          <w:trHeight w:val="270"/>
        </w:trPr>
        <w:tc>
          <w:tcPr>
            <w:tcW w:w="2221" w:type="dxa"/>
            <w:vMerge w:val="restart"/>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Average attendance</w:t>
            </w: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All</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71.3%</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69.7%</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65.1%</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62.8%</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Non-Indigenous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90.6%</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91.0%</w:t>
            </w:r>
          </w:p>
        </w:tc>
      </w:tr>
      <w:tr w:rsidR="00D21EC5" w:rsidRPr="00301189" w:rsidTr="005B142B">
        <w:trPr>
          <w:trHeight w:val="270"/>
        </w:trPr>
        <w:tc>
          <w:tcPr>
            <w:tcW w:w="2221" w:type="dxa"/>
            <w:vMerge w:val="restart"/>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Proportion of students attending over 80%</w:t>
            </w: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All</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43.1%</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42.7%</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51"/>
              <w:jc w:val="center"/>
              <w:rPr>
                <w:rFonts w:ascii="Arial" w:hAnsi="Arial" w:cs="Arial"/>
                <w:bCs/>
                <w:sz w:val="18"/>
                <w:szCs w:val="18"/>
              </w:rPr>
            </w:pPr>
            <w:r w:rsidRPr="00BD7952">
              <w:rPr>
                <w:rFonts w:ascii="Arial" w:hAnsi="Arial" w:cs="Arial"/>
                <w:bCs/>
                <w:sz w:val="18"/>
                <w:szCs w:val="18"/>
              </w:rPr>
              <w:t>37.6%</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36.9%</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Non-Indigenous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51"/>
              <w:jc w:val="center"/>
              <w:rPr>
                <w:rFonts w:ascii="Arial" w:hAnsi="Arial" w:cs="Arial"/>
                <w:bCs/>
                <w:sz w:val="18"/>
                <w:szCs w:val="18"/>
              </w:rPr>
            </w:pPr>
            <w:r w:rsidRPr="00BD7952">
              <w:rPr>
                <w:rFonts w:ascii="Arial" w:hAnsi="Arial" w:cs="Arial"/>
                <w:bCs/>
                <w:sz w:val="18"/>
                <w:szCs w:val="18"/>
              </w:rPr>
              <w:t>71.5%</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70.0%</w:t>
            </w:r>
          </w:p>
        </w:tc>
      </w:tr>
      <w:tr w:rsidR="00D21EC5" w:rsidRPr="00301189" w:rsidTr="005B142B">
        <w:trPr>
          <w:trHeight w:val="270"/>
        </w:trPr>
        <w:tc>
          <w:tcPr>
            <w:tcW w:w="2221" w:type="dxa"/>
            <w:vMerge w:val="restart"/>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Proportion of ‘at risk’  enrolments</w:t>
            </w: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All</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51"/>
              <w:jc w:val="center"/>
              <w:rPr>
                <w:rFonts w:ascii="Arial" w:hAnsi="Arial" w:cs="Arial"/>
                <w:bCs/>
                <w:sz w:val="18"/>
                <w:szCs w:val="18"/>
              </w:rPr>
            </w:pPr>
            <w:r w:rsidRPr="00BD7952">
              <w:rPr>
                <w:rFonts w:ascii="Arial" w:hAnsi="Arial" w:cs="Arial"/>
                <w:bCs/>
                <w:sz w:val="18"/>
                <w:szCs w:val="18"/>
              </w:rPr>
              <w:t>6.3%</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8.0%</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51"/>
              <w:jc w:val="center"/>
              <w:rPr>
                <w:rFonts w:ascii="Arial" w:hAnsi="Arial" w:cs="Arial"/>
                <w:bCs/>
                <w:sz w:val="18"/>
                <w:szCs w:val="18"/>
              </w:rPr>
            </w:pPr>
            <w:r w:rsidRPr="00BD7952">
              <w:rPr>
                <w:rFonts w:ascii="Arial" w:hAnsi="Arial" w:cs="Arial"/>
                <w:bCs/>
                <w:sz w:val="18"/>
                <w:szCs w:val="18"/>
              </w:rPr>
              <w:t>8.1%</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10.3%</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Non-Indigenous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2009</w:t>
            </w:r>
          </w:p>
        </w:tc>
        <w:tc>
          <w:tcPr>
            <w:tcW w:w="4022" w:type="dxa"/>
            <w:gridSpan w:val="3"/>
            <w:shd w:val="clear" w:color="auto" w:fill="auto"/>
            <w:vAlign w:val="center"/>
          </w:tcPr>
          <w:p w:rsidR="00D21EC5" w:rsidRPr="00BD7952" w:rsidRDefault="00D21EC5" w:rsidP="005B142B">
            <w:pPr>
              <w:spacing w:line="240" w:lineRule="auto"/>
              <w:ind w:left="-151"/>
              <w:jc w:val="center"/>
              <w:rPr>
                <w:rFonts w:ascii="Arial" w:hAnsi="Arial" w:cs="Arial"/>
                <w:bCs/>
                <w:sz w:val="18"/>
                <w:szCs w:val="18"/>
              </w:rPr>
            </w:pPr>
            <w:r w:rsidRPr="00BD7952">
              <w:rPr>
                <w:rFonts w:ascii="Arial" w:hAnsi="Arial" w:cs="Arial"/>
                <w:bCs/>
                <w:sz w:val="18"/>
                <w:szCs w:val="18"/>
              </w:rPr>
              <w:t>0.2%</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0.2%</w:t>
            </w:r>
          </w:p>
        </w:tc>
      </w:tr>
      <w:tr w:rsidR="00D21EC5" w:rsidRPr="00301189" w:rsidTr="005B142B">
        <w:trPr>
          <w:trHeight w:val="270"/>
        </w:trPr>
        <w:tc>
          <w:tcPr>
            <w:tcW w:w="2221" w:type="dxa"/>
            <w:vMerge w:val="restart"/>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Average enrolment</w:t>
            </w: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All</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16,560</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16,984</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12,552</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12,799</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Non-Indigenous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4022"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4,008</w:t>
            </w:r>
          </w:p>
        </w:tc>
        <w:tc>
          <w:tcPr>
            <w:tcW w:w="4023" w:type="dxa"/>
            <w:gridSpan w:val="3"/>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4,186</w:t>
            </w:r>
          </w:p>
        </w:tc>
      </w:tr>
      <w:tr w:rsidR="00D21EC5" w:rsidRPr="00C04535" w:rsidTr="005B142B">
        <w:trPr>
          <w:trHeight w:val="270"/>
        </w:trPr>
        <w:tc>
          <w:tcPr>
            <w:tcW w:w="2221" w:type="dxa"/>
            <w:vMerge w:val="restart"/>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Apparent retention rates  2008</w:t>
            </w:r>
          </w:p>
        </w:tc>
        <w:tc>
          <w:tcPr>
            <w:tcW w:w="2113" w:type="dxa"/>
            <w:shd w:val="clear" w:color="auto" w:fill="D9D9D9" w:themeFill="background1" w:themeFillShade="D9"/>
          </w:tcPr>
          <w:p w:rsidR="00D21EC5" w:rsidRPr="00BD7952" w:rsidRDefault="00D21EC5" w:rsidP="005B142B">
            <w:pPr>
              <w:spacing w:line="240" w:lineRule="auto"/>
              <w:rPr>
                <w:rFonts w:ascii="Arial" w:hAnsi="Arial" w:cs="Arial"/>
                <w:b/>
                <w:bCs/>
                <w:sz w:val="18"/>
                <w:szCs w:val="18"/>
              </w:rPr>
            </w:pPr>
          </w:p>
        </w:tc>
        <w:tc>
          <w:tcPr>
            <w:tcW w:w="2647"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p>
        </w:tc>
        <w:tc>
          <w:tcPr>
            <w:tcW w:w="1340"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T-6</w:t>
            </w:r>
          </w:p>
        </w:tc>
        <w:tc>
          <w:tcPr>
            <w:tcW w:w="134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7-9</w:t>
            </w:r>
          </w:p>
        </w:tc>
        <w:tc>
          <w:tcPr>
            <w:tcW w:w="134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10-12</w:t>
            </w:r>
          </w:p>
        </w:tc>
        <w:tc>
          <w:tcPr>
            <w:tcW w:w="134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T-6</w:t>
            </w:r>
          </w:p>
        </w:tc>
        <w:tc>
          <w:tcPr>
            <w:tcW w:w="134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7-9</w:t>
            </w:r>
          </w:p>
        </w:tc>
        <w:tc>
          <w:tcPr>
            <w:tcW w:w="1341" w:type="dxa"/>
            <w:shd w:val="clear" w:color="auto" w:fill="D9D9D9" w:themeFill="background1" w:themeFillShade="D9"/>
            <w:vAlign w:val="center"/>
          </w:tcPr>
          <w:p w:rsidR="00D21EC5" w:rsidRPr="00BD7952" w:rsidRDefault="00D21EC5" w:rsidP="005B142B">
            <w:pPr>
              <w:spacing w:line="240" w:lineRule="auto"/>
              <w:ind w:left="-142"/>
              <w:jc w:val="center"/>
              <w:rPr>
                <w:rFonts w:ascii="Arial" w:hAnsi="Arial" w:cs="Arial"/>
                <w:b/>
                <w:bCs/>
                <w:sz w:val="18"/>
                <w:szCs w:val="18"/>
              </w:rPr>
            </w:pPr>
            <w:r w:rsidRPr="00BD7952">
              <w:rPr>
                <w:rFonts w:ascii="Arial" w:hAnsi="Arial" w:cs="Arial"/>
                <w:b/>
                <w:bCs/>
                <w:sz w:val="18"/>
                <w:szCs w:val="18"/>
              </w:rPr>
              <w:t>Years 10-12</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All</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1340"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83.8%</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91.3%</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54.5%</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96.7%</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90.4%</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42.7%</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1340"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86.3%</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84.8%</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56.2%</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104.0%</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83.8%</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30.4%</w:t>
            </w:r>
          </w:p>
        </w:tc>
      </w:tr>
      <w:tr w:rsidR="00D21EC5" w:rsidRPr="00301189" w:rsidTr="005B142B">
        <w:trPr>
          <w:trHeight w:val="270"/>
        </w:trPr>
        <w:tc>
          <w:tcPr>
            <w:tcW w:w="2221" w:type="dxa"/>
            <w:vMerge/>
            <w:shd w:val="clear" w:color="auto" w:fill="auto"/>
            <w:vAlign w:val="center"/>
          </w:tcPr>
          <w:p w:rsidR="00D21EC5" w:rsidRPr="00BD7952" w:rsidRDefault="00D21EC5" w:rsidP="005B142B">
            <w:pPr>
              <w:spacing w:line="240" w:lineRule="auto"/>
              <w:rPr>
                <w:rFonts w:ascii="Arial" w:hAnsi="Arial" w:cs="Arial"/>
                <w:bCs/>
                <w:sz w:val="18"/>
                <w:szCs w:val="18"/>
              </w:rPr>
            </w:pPr>
          </w:p>
        </w:tc>
        <w:tc>
          <w:tcPr>
            <w:tcW w:w="2113" w:type="dxa"/>
            <w:shd w:val="clear" w:color="auto" w:fill="auto"/>
            <w:vAlign w:val="center"/>
          </w:tcPr>
          <w:p w:rsidR="00D21EC5" w:rsidRPr="00BD7952" w:rsidRDefault="00D21EC5" w:rsidP="005B142B">
            <w:pPr>
              <w:spacing w:line="240" w:lineRule="auto"/>
              <w:rPr>
                <w:rFonts w:ascii="Arial" w:hAnsi="Arial" w:cs="Arial"/>
                <w:bCs/>
                <w:sz w:val="18"/>
                <w:szCs w:val="18"/>
              </w:rPr>
            </w:pPr>
            <w:r w:rsidRPr="00BD7952">
              <w:rPr>
                <w:rFonts w:ascii="Arial" w:hAnsi="Arial" w:cs="Arial"/>
                <w:bCs/>
                <w:sz w:val="18"/>
                <w:szCs w:val="18"/>
              </w:rPr>
              <w:t>Non-Indigenous</w:t>
            </w:r>
          </w:p>
        </w:tc>
        <w:tc>
          <w:tcPr>
            <w:tcW w:w="2647"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2008</w:t>
            </w:r>
          </w:p>
        </w:tc>
        <w:tc>
          <w:tcPr>
            <w:tcW w:w="1340"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75.8%</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109.4%</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52.2%</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74.8%</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107.2%</w:t>
            </w:r>
          </w:p>
        </w:tc>
        <w:tc>
          <w:tcPr>
            <w:tcW w:w="1341" w:type="dxa"/>
            <w:shd w:val="clear" w:color="auto" w:fill="auto"/>
            <w:vAlign w:val="center"/>
          </w:tcPr>
          <w:p w:rsidR="00D21EC5" w:rsidRPr="00BD7952" w:rsidRDefault="00D21EC5" w:rsidP="005B142B">
            <w:pPr>
              <w:spacing w:line="240" w:lineRule="auto"/>
              <w:ind w:left="-142"/>
              <w:jc w:val="center"/>
              <w:rPr>
                <w:rFonts w:ascii="Arial" w:hAnsi="Arial" w:cs="Arial"/>
                <w:bCs/>
                <w:sz w:val="18"/>
                <w:szCs w:val="18"/>
              </w:rPr>
            </w:pPr>
            <w:r w:rsidRPr="00BD7952">
              <w:rPr>
                <w:rFonts w:ascii="Arial" w:hAnsi="Arial" w:cs="Arial"/>
                <w:bCs/>
                <w:sz w:val="18"/>
                <w:szCs w:val="18"/>
              </w:rPr>
              <w:t>62.4%</w:t>
            </w:r>
          </w:p>
        </w:tc>
      </w:tr>
    </w:tbl>
    <w:p w:rsidR="00D21EC5" w:rsidRDefault="00D21EC5" w:rsidP="00D21EC5">
      <w:pPr>
        <w:autoSpaceDE w:val="0"/>
        <w:autoSpaceDN w:val="0"/>
        <w:adjustRightInd w:val="0"/>
        <w:spacing w:line="240" w:lineRule="auto"/>
        <w:rPr>
          <w:rFonts w:ascii="Calibri" w:hAnsi="Calibri" w:cs="Calibri"/>
          <w:sz w:val="23"/>
          <w:szCs w:val="23"/>
        </w:rPr>
      </w:pPr>
    </w:p>
    <w:tbl>
      <w:tblPr>
        <w:tblW w:w="151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1"/>
        <w:gridCol w:w="1672"/>
        <w:gridCol w:w="330"/>
        <w:gridCol w:w="850"/>
        <w:gridCol w:w="851"/>
        <w:gridCol w:w="107"/>
        <w:gridCol w:w="743"/>
        <w:gridCol w:w="851"/>
        <w:gridCol w:w="850"/>
        <w:gridCol w:w="441"/>
        <w:gridCol w:w="410"/>
        <w:gridCol w:w="851"/>
        <w:gridCol w:w="850"/>
        <w:gridCol w:w="775"/>
        <w:gridCol w:w="76"/>
        <w:gridCol w:w="850"/>
        <w:gridCol w:w="851"/>
        <w:gridCol w:w="851"/>
        <w:gridCol w:w="258"/>
      </w:tblGrid>
      <w:tr w:rsidR="00D21EC5" w:rsidRPr="003D0291" w:rsidTr="00D21EC5">
        <w:trPr>
          <w:gridAfter w:val="1"/>
          <w:wAfter w:w="258" w:type="dxa"/>
          <w:trHeight w:val="137"/>
        </w:trPr>
        <w:tc>
          <w:tcPr>
            <w:tcW w:w="14850" w:type="dxa"/>
            <w:gridSpan w:val="18"/>
            <w:shd w:val="clear" w:color="auto" w:fill="C00000"/>
          </w:tcPr>
          <w:p w:rsidR="00D21EC5" w:rsidRPr="00A607CA" w:rsidRDefault="00D21EC5" w:rsidP="005B142B">
            <w:pPr>
              <w:spacing w:line="240" w:lineRule="auto"/>
              <w:ind w:left="-142"/>
              <w:rPr>
                <w:rFonts w:cstheme="minorHAnsi"/>
                <w:b/>
                <w:sz w:val="18"/>
                <w:szCs w:val="18"/>
              </w:rPr>
            </w:pPr>
            <w:r w:rsidRPr="00A607CA">
              <w:rPr>
                <w:rFonts w:cstheme="minorHAnsi"/>
                <w:b/>
                <w:sz w:val="18"/>
                <w:szCs w:val="18"/>
              </w:rPr>
              <w:br w:type="page"/>
            </w:r>
            <w:r w:rsidRPr="00A607CA">
              <w:rPr>
                <w:rFonts w:cstheme="minorHAnsi"/>
                <w:b/>
                <w:sz w:val="18"/>
                <w:szCs w:val="18"/>
              </w:rPr>
              <w:br w:type="page"/>
              <w:t xml:space="preserve">  Northern Territory Performance Measure   </w:t>
            </w:r>
            <w:r w:rsidRPr="00A607CA">
              <w:rPr>
                <w:rFonts w:cstheme="minorHAnsi"/>
                <w:sz w:val="18"/>
                <w:szCs w:val="18"/>
              </w:rPr>
              <w:t xml:space="preserve">-  Schools Participating in the </w:t>
            </w:r>
            <w:r w:rsidRPr="00A607CA">
              <w:rPr>
                <w:rFonts w:ascii="Arial" w:hAnsi="Arial" w:cs="Arial"/>
                <w:b/>
                <w:sz w:val="18"/>
                <w:szCs w:val="18"/>
              </w:rPr>
              <w:t>Low SES School Communities NP</w:t>
            </w:r>
          </w:p>
        </w:tc>
      </w:tr>
      <w:tr w:rsidR="00D21EC5" w:rsidRPr="00741020" w:rsidTr="00D21EC5">
        <w:trPr>
          <w:gridAfter w:val="1"/>
          <w:wAfter w:w="258" w:type="dxa"/>
          <w:trHeight w:val="547"/>
        </w:trPr>
        <w:tc>
          <w:tcPr>
            <w:tcW w:w="2641" w:type="dxa"/>
            <w:vMerge w:val="restart"/>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Performance Measure</w:t>
            </w:r>
          </w:p>
          <w:p w:rsidR="00D21EC5" w:rsidRPr="00A607CA" w:rsidRDefault="00D21EC5" w:rsidP="005B142B">
            <w:pPr>
              <w:spacing w:line="240" w:lineRule="auto"/>
              <w:ind w:left="-142"/>
              <w:jc w:val="center"/>
              <w:rPr>
                <w:rFonts w:ascii="Arial" w:hAnsi="Arial" w:cs="Arial"/>
                <w:bCs/>
                <w:sz w:val="18"/>
                <w:szCs w:val="18"/>
              </w:rPr>
            </w:pPr>
          </w:p>
        </w:tc>
        <w:tc>
          <w:tcPr>
            <w:tcW w:w="2002" w:type="dxa"/>
            <w:gridSpan w:val="2"/>
            <w:vMerge w:val="restart"/>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Cs/>
                <w:sz w:val="18"/>
                <w:szCs w:val="18"/>
              </w:rPr>
            </w:pPr>
            <w:r w:rsidRPr="00A607CA">
              <w:rPr>
                <w:rFonts w:ascii="Arial" w:hAnsi="Arial" w:cs="Arial"/>
                <w:b/>
                <w:bCs/>
                <w:sz w:val="18"/>
                <w:szCs w:val="18"/>
              </w:rPr>
              <w:t>Cohort</w:t>
            </w:r>
          </w:p>
        </w:tc>
        <w:tc>
          <w:tcPr>
            <w:tcW w:w="1701" w:type="dxa"/>
            <w:gridSpan w:val="2"/>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3</w:t>
            </w:r>
          </w:p>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Reading</w:t>
            </w:r>
          </w:p>
        </w:tc>
        <w:tc>
          <w:tcPr>
            <w:tcW w:w="1701" w:type="dxa"/>
            <w:gridSpan w:val="3"/>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3</w:t>
            </w:r>
          </w:p>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Numeracy</w:t>
            </w:r>
          </w:p>
        </w:tc>
        <w:tc>
          <w:tcPr>
            <w:tcW w:w="1701" w:type="dxa"/>
            <w:gridSpan w:val="3"/>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5</w:t>
            </w:r>
          </w:p>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Reading</w:t>
            </w:r>
          </w:p>
        </w:tc>
        <w:tc>
          <w:tcPr>
            <w:tcW w:w="1701" w:type="dxa"/>
            <w:gridSpan w:val="2"/>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5</w:t>
            </w:r>
          </w:p>
          <w:p w:rsidR="00D21EC5" w:rsidRPr="00A607CA" w:rsidRDefault="00D21EC5" w:rsidP="005B142B">
            <w:pPr>
              <w:spacing w:line="240" w:lineRule="auto"/>
              <w:ind w:left="-142"/>
              <w:jc w:val="center"/>
              <w:rPr>
                <w:rFonts w:ascii="Arial" w:hAnsi="Arial" w:cs="Arial"/>
                <w:bCs/>
                <w:sz w:val="18"/>
                <w:szCs w:val="18"/>
              </w:rPr>
            </w:pPr>
            <w:r w:rsidRPr="00A607CA">
              <w:rPr>
                <w:rFonts w:ascii="Arial" w:hAnsi="Arial" w:cs="Arial"/>
                <w:b/>
                <w:bCs/>
                <w:sz w:val="18"/>
                <w:szCs w:val="18"/>
              </w:rPr>
              <w:t>Numeracy</w:t>
            </w:r>
          </w:p>
        </w:tc>
        <w:tc>
          <w:tcPr>
            <w:tcW w:w="1701" w:type="dxa"/>
            <w:gridSpan w:val="3"/>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7</w:t>
            </w:r>
          </w:p>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Reading</w:t>
            </w:r>
          </w:p>
        </w:tc>
        <w:tc>
          <w:tcPr>
            <w:tcW w:w="1702" w:type="dxa"/>
            <w:gridSpan w:val="2"/>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Year 7</w:t>
            </w:r>
          </w:p>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Numeracy</w:t>
            </w:r>
          </w:p>
        </w:tc>
      </w:tr>
      <w:tr w:rsidR="00D21EC5" w:rsidRPr="00741020" w:rsidTr="00D21EC5">
        <w:trPr>
          <w:gridAfter w:val="1"/>
          <w:wAfter w:w="258" w:type="dxa"/>
          <w:trHeight w:val="234"/>
        </w:trPr>
        <w:tc>
          <w:tcPr>
            <w:tcW w:w="2641" w:type="dxa"/>
            <w:vMerge/>
            <w:shd w:val="clear" w:color="auto" w:fill="D9D9D9" w:themeFill="background1" w:themeFillShade="D9"/>
          </w:tcPr>
          <w:p w:rsidR="00D21EC5" w:rsidRPr="00A607CA" w:rsidRDefault="00D21EC5" w:rsidP="005B142B">
            <w:pPr>
              <w:spacing w:line="240" w:lineRule="auto"/>
              <w:ind w:left="-142"/>
              <w:jc w:val="center"/>
              <w:rPr>
                <w:rFonts w:ascii="Arial" w:hAnsi="Arial" w:cs="Arial"/>
                <w:b/>
                <w:bCs/>
                <w:sz w:val="18"/>
                <w:szCs w:val="18"/>
              </w:rPr>
            </w:pPr>
          </w:p>
        </w:tc>
        <w:tc>
          <w:tcPr>
            <w:tcW w:w="2002" w:type="dxa"/>
            <w:gridSpan w:val="2"/>
            <w:vMerge/>
            <w:shd w:val="clear" w:color="auto" w:fill="D9D9D9" w:themeFill="background1" w:themeFillShade="D9"/>
          </w:tcPr>
          <w:p w:rsidR="00D21EC5" w:rsidRPr="00A607CA" w:rsidRDefault="00D21EC5" w:rsidP="005B142B">
            <w:pPr>
              <w:spacing w:line="240" w:lineRule="auto"/>
              <w:ind w:left="-142"/>
              <w:jc w:val="center"/>
              <w:rPr>
                <w:rFonts w:ascii="Arial" w:hAnsi="Arial" w:cs="Arial"/>
                <w:b/>
                <w:bCs/>
                <w:sz w:val="18"/>
                <w:szCs w:val="18"/>
              </w:rPr>
            </w:pPr>
          </w:p>
        </w:tc>
        <w:tc>
          <w:tcPr>
            <w:tcW w:w="850" w:type="dxa"/>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2008</w:t>
            </w:r>
          </w:p>
        </w:tc>
        <w:tc>
          <w:tcPr>
            <w:tcW w:w="851" w:type="dxa"/>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2010</w:t>
            </w:r>
          </w:p>
        </w:tc>
        <w:tc>
          <w:tcPr>
            <w:tcW w:w="850" w:type="dxa"/>
            <w:gridSpan w:val="2"/>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2008</w:t>
            </w:r>
          </w:p>
        </w:tc>
        <w:tc>
          <w:tcPr>
            <w:tcW w:w="851" w:type="dxa"/>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2010</w:t>
            </w:r>
          </w:p>
        </w:tc>
        <w:tc>
          <w:tcPr>
            <w:tcW w:w="850" w:type="dxa"/>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2008</w:t>
            </w:r>
          </w:p>
        </w:tc>
        <w:tc>
          <w:tcPr>
            <w:tcW w:w="851" w:type="dxa"/>
            <w:gridSpan w:val="2"/>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2010</w:t>
            </w:r>
          </w:p>
        </w:tc>
        <w:tc>
          <w:tcPr>
            <w:tcW w:w="851" w:type="dxa"/>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2008</w:t>
            </w:r>
          </w:p>
        </w:tc>
        <w:tc>
          <w:tcPr>
            <w:tcW w:w="850" w:type="dxa"/>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2010</w:t>
            </w:r>
          </w:p>
        </w:tc>
        <w:tc>
          <w:tcPr>
            <w:tcW w:w="851" w:type="dxa"/>
            <w:gridSpan w:val="2"/>
            <w:shd w:val="clear" w:color="auto" w:fill="D9D9D9" w:themeFill="background1" w:themeFillShade="D9"/>
            <w:vAlign w:val="center"/>
          </w:tcPr>
          <w:p w:rsidR="00D21EC5" w:rsidRPr="00A607CA" w:rsidRDefault="00D21EC5" w:rsidP="005B142B">
            <w:pPr>
              <w:spacing w:line="240" w:lineRule="auto"/>
              <w:ind w:left="-142"/>
              <w:jc w:val="center"/>
              <w:rPr>
                <w:rFonts w:ascii="Arial" w:hAnsi="Arial" w:cs="Arial"/>
                <w:b/>
                <w:bCs/>
                <w:sz w:val="18"/>
                <w:szCs w:val="18"/>
              </w:rPr>
            </w:pPr>
            <w:r w:rsidRPr="00A607CA">
              <w:rPr>
                <w:rFonts w:ascii="Arial" w:hAnsi="Arial" w:cs="Arial"/>
                <w:b/>
                <w:bCs/>
                <w:sz w:val="18"/>
                <w:szCs w:val="18"/>
              </w:rPr>
              <w:t>2008</w:t>
            </w:r>
          </w:p>
        </w:tc>
        <w:tc>
          <w:tcPr>
            <w:tcW w:w="850" w:type="dxa"/>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2010</w:t>
            </w:r>
          </w:p>
        </w:tc>
        <w:tc>
          <w:tcPr>
            <w:tcW w:w="851" w:type="dxa"/>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2008</w:t>
            </w:r>
          </w:p>
        </w:tc>
        <w:tc>
          <w:tcPr>
            <w:tcW w:w="851" w:type="dxa"/>
            <w:shd w:val="clear" w:color="auto" w:fill="D9D9D9" w:themeFill="background1" w:themeFillShade="D9"/>
            <w:vAlign w:val="center"/>
          </w:tcPr>
          <w:p w:rsidR="00D21EC5" w:rsidRPr="00A607CA" w:rsidRDefault="00D21EC5" w:rsidP="005B142B">
            <w:pPr>
              <w:spacing w:line="240" w:lineRule="auto"/>
              <w:jc w:val="center"/>
              <w:rPr>
                <w:rFonts w:ascii="Arial" w:hAnsi="Arial" w:cs="Arial"/>
                <w:b/>
                <w:bCs/>
                <w:sz w:val="18"/>
                <w:szCs w:val="18"/>
              </w:rPr>
            </w:pPr>
            <w:r w:rsidRPr="00A607CA">
              <w:rPr>
                <w:rFonts w:ascii="Arial" w:hAnsi="Arial" w:cs="Arial"/>
                <w:b/>
                <w:bCs/>
                <w:sz w:val="18"/>
                <w:szCs w:val="18"/>
              </w:rPr>
              <w:t>2010</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rPr>
                <w:rFonts w:ascii="Arial" w:hAnsi="Arial" w:cs="Arial"/>
                <w:sz w:val="18"/>
                <w:szCs w:val="18"/>
              </w:rPr>
            </w:pPr>
            <w:proofErr w:type="spellStart"/>
            <w:r w:rsidRPr="00A607CA">
              <w:rPr>
                <w:rFonts w:ascii="Arial" w:hAnsi="Arial" w:cs="Arial"/>
                <w:bCs/>
                <w:sz w:val="18"/>
                <w:szCs w:val="18"/>
              </w:rPr>
              <w:t>NAPLAN</w:t>
            </w:r>
            <w:proofErr w:type="spellEnd"/>
            <w:r w:rsidRPr="00A607CA">
              <w:rPr>
                <w:rFonts w:ascii="Arial" w:hAnsi="Arial" w:cs="Arial"/>
                <w:bCs/>
                <w:sz w:val="18"/>
                <w:szCs w:val="18"/>
              </w:rPr>
              <w:t xml:space="preserve"> MSS</w:t>
            </w: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All</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233.5</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254.3</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288.7</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274.2</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332.4</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336.2</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369.3</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362.3</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423.4</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447.0</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457.1</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440.3</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rPr>
                <w:rFonts w:ascii="Arial" w:hAnsi="Arial" w:cs="Arial"/>
                <w:bCs/>
                <w:sz w:val="18"/>
                <w:szCs w:val="18"/>
              </w:rPr>
            </w:pP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Indigenous</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191.8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221.3</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262.9</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248.8</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290.6</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302.6</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346.1</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335.5</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357.6</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398.7</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412.0</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393.3</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rPr>
                <w:rFonts w:ascii="Arial" w:hAnsi="Arial" w:cs="Arial"/>
                <w:bCs/>
                <w:sz w:val="18"/>
                <w:szCs w:val="18"/>
              </w:rPr>
            </w:pPr>
            <w:r w:rsidRPr="00A607CA">
              <w:rPr>
                <w:rFonts w:ascii="Arial" w:hAnsi="Arial" w:cs="Arial"/>
                <w:sz w:val="18"/>
                <w:szCs w:val="18"/>
              </w:rPr>
              <w:t>Number of students at or above NMS</w:t>
            </w: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All</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340</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591</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498</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558</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301</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368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412</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428</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468</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598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588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616</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rPr>
                <w:rFonts w:ascii="Arial" w:hAnsi="Arial" w:cs="Arial"/>
                <w:bCs/>
                <w:sz w:val="18"/>
                <w:szCs w:val="18"/>
              </w:rPr>
            </w:pP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Indigenous</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167</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390</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295</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346</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111</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179</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217</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234</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132</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226</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241</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242</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rPr>
                <w:rFonts w:ascii="Arial" w:hAnsi="Arial" w:cs="Arial"/>
                <w:bCs/>
                <w:sz w:val="18"/>
                <w:szCs w:val="18"/>
              </w:rPr>
            </w:pPr>
            <w:r w:rsidRPr="00A607CA">
              <w:rPr>
                <w:rFonts w:ascii="Arial" w:hAnsi="Arial" w:cs="Arial"/>
                <w:sz w:val="18"/>
                <w:szCs w:val="18"/>
              </w:rPr>
              <w:t>% students at or above NMS</w:t>
            </w: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All</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36.8%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54.0%</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53.7%</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51.3%</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32.6%</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35.4%</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44.3%</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42.4%</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48.8%</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54.3%</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59.5%</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54.0%</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rPr>
                <w:rFonts w:ascii="Arial" w:hAnsi="Arial" w:cs="Arial"/>
                <w:bCs/>
                <w:sz w:val="18"/>
                <w:szCs w:val="18"/>
              </w:rPr>
            </w:pP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Indigenous</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23.8%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45.7%</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41.7%</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41.0%</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16.2%</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21.9%</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31.2%</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29.5%</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21.7%</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33.0%</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38.0%</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33.2%</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rPr>
                <w:rFonts w:ascii="Arial" w:hAnsi="Arial" w:cs="Arial"/>
                <w:bCs/>
                <w:sz w:val="18"/>
                <w:szCs w:val="18"/>
              </w:rPr>
            </w:pPr>
            <w:r w:rsidRPr="00A607CA">
              <w:rPr>
                <w:rFonts w:ascii="Arial" w:hAnsi="Arial" w:cs="Arial"/>
                <w:bCs/>
                <w:sz w:val="18"/>
                <w:szCs w:val="18"/>
              </w:rPr>
              <w:t>Students above NMS</w:t>
            </w: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 Non-Indigenous</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60.8%</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68.5%</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76.4%</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63.8%</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67.8%</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60.9%</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55.3%</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69.3%</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80.2%</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73.1%</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76.6%</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71.4%</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rPr>
                <w:rFonts w:ascii="Arial" w:hAnsi="Arial" w:cs="Arial"/>
                <w:bCs/>
                <w:sz w:val="18"/>
                <w:szCs w:val="18"/>
              </w:rPr>
            </w:pPr>
          </w:p>
        </w:tc>
        <w:tc>
          <w:tcPr>
            <w:tcW w:w="2002" w:type="dxa"/>
            <w:gridSpan w:val="2"/>
            <w:shd w:val="clear" w:color="auto" w:fill="auto"/>
            <w:vAlign w:val="center"/>
          </w:tcPr>
          <w:p w:rsidR="00D21EC5" w:rsidRPr="00A607CA" w:rsidRDefault="00D21EC5" w:rsidP="005B142B">
            <w:pPr>
              <w:spacing w:line="240" w:lineRule="auto"/>
              <w:ind w:left="55"/>
              <w:rPr>
                <w:rFonts w:ascii="Arial" w:hAnsi="Arial" w:cs="Arial"/>
                <w:bCs/>
                <w:sz w:val="18"/>
                <w:szCs w:val="18"/>
              </w:rPr>
            </w:pPr>
            <w:r w:rsidRPr="00A607CA">
              <w:rPr>
                <w:rFonts w:ascii="Arial" w:hAnsi="Arial" w:cs="Arial"/>
                <w:bCs/>
                <w:sz w:val="18"/>
                <w:szCs w:val="18"/>
              </w:rPr>
              <w:t># Non-Indigenous</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135</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165</w:t>
            </w:r>
          </w:p>
        </w:tc>
        <w:tc>
          <w:tcPr>
            <w:tcW w:w="850"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168</w:t>
            </w:r>
          </w:p>
        </w:tc>
        <w:tc>
          <w:tcPr>
            <w:tcW w:w="851"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155</w:t>
            </w:r>
          </w:p>
        </w:tc>
        <w:tc>
          <w:tcPr>
            <w:tcW w:w="850" w:type="dxa"/>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160</w:t>
            </w:r>
          </w:p>
        </w:tc>
        <w:tc>
          <w:tcPr>
            <w:tcW w:w="851" w:type="dxa"/>
            <w:gridSpan w:val="2"/>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134</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130</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149</w:t>
            </w:r>
          </w:p>
        </w:tc>
        <w:tc>
          <w:tcPr>
            <w:tcW w:w="851" w:type="dxa"/>
            <w:gridSpan w:val="2"/>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283</w:t>
            </w:r>
          </w:p>
        </w:tc>
        <w:tc>
          <w:tcPr>
            <w:tcW w:w="850"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305</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272</w:t>
            </w:r>
          </w:p>
        </w:tc>
        <w:tc>
          <w:tcPr>
            <w:tcW w:w="851" w:type="dxa"/>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295</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rPr>
                <w:rFonts w:ascii="Arial" w:hAnsi="Arial" w:cs="Arial"/>
                <w:bCs/>
                <w:sz w:val="18"/>
                <w:szCs w:val="18"/>
              </w:rPr>
            </w:pPr>
            <w:r w:rsidRPr="00A607CA">
              <w:rPr>
                <w:rFonts w:ascii="Arial" w:hAnsi="Arial" w:cs="Arial"/>
                <w:sz w:val="18"/>
                <w:szCs w:val="18"/>
              </w:rPr>
              <w:t xml:space="preserve">Number students participating in </w:t>
            </w:r>
            <w:proofErr w:type="spellStart"/>
            <w:r w:rsidRPr="00A607CA">
              <w:rPr>
                <w:rFonts w:ascii="Arial" w:hAnsi="Arial" w:cs="Arial"/>
                <w:sz w:val="18"/>
                <w:szCs w:val="18"/>
              </w:rPr>
              <w:t>NAPLAN</w:t>
            </w:r>
            <w:proofErr w:type="spellEnd"/>
            <w:r w:rsidRPr="00A607CA">
              <w:rPr>
                <w:rFonts w:ascii="Arial" w:hAnsi="Arial" w:cs="Arial"/>
                <w:sz w:val="18"/>
                <w:szCs w:val="18"/>
              </w:rPr>
              <w:t xml:space="preserve"> testing</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sz w:val="18"/>
                <w:szCs w:val="18"/>
              </w:rPr>
              <w:t>All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1095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1087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922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1039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1009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1141</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ind w:left="-142"/>
              <w:rPr>
                <w:rFonts w:ascii="Arial" w:hAnsi="Arial" w:cs="Arial"/>
                <w:bCs/>
                <w:sz w:val="18"/>
                <w:szCs w:val="18"/>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sz w:val="18"/>
                <w:szCs w:val="18"/>
              </w:rPr>
              <w:t>Indigenous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686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819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794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728</w:t>
            </w:r>
          </w:p>
        </w:tc>
      </w:tr>
      <w:tr w:rsidR="00D21EC5" w:rsidRPr="005C149C" w:rsidTr="00D21EC5">
        <w:trPr>
          <w:gridAfter w:val="1"/>
          <w:wAfter w:w="258" w:type="dxa"/>
          <w:trHeight w:val="225"/>
        </w:trPr>
        <w:tc>
          <w:tcPr>
            <w:tcW w:w="2641" w:type="dxa"/>
            <w:vMerge/>
            <w:shd w:val="clear" w:color="auto" w:fill="auto"/>
            <w:vAlign w:val="center"/>
          </w:tcPr>
          <w:p w:rsidR="00D21EC5" w:rsidRPr="00A607CA" w:rsidRDefault="00D21EC5" w:rsidP="005B142B">
            <w:pPr>
              <w:spacing w:line="240" w:lineRule="auto"/>
              <w:ind w:left="-142"/>
              <w:rPr>
                <w:rFonts w:ascii="Arial" w:hAnsi="Arial" w:cs="Arial"/>
                <w:bCs/>
                <w:sz w:val="18"/>
                <w:szCs w:val="18"/>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bCs/>
                <w:sz w:val="18"/>
                <w:szCs w:val="18"/>
              </w:rPr>
              <w:t>Non-Indigenous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241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220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215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413</w:t>
            </w:r>
          </w:p>
        </w:tc>
      </w:tr>
      <w:tr w:rsidR="00D21EC5" w:rsidRPr="005C149C" w:rsidTr="00D21EC5">
        <w:trPr>
          <w:gridAfter w:val="1"/>
          <w:wAfter w:w="258" w:type="dxa"/>
          <w:trHeight w:val="225"/>
        </w:trPr>
        <w:tc>
          <w:tcPr>
            <w:tcW w:w="2641" w:type="dxa"/>
            <w:vMerge w:val="restart"/>
            <w:shd w:val="clear" w:color="auto" w:fill="auto"/>
            <w:vAlign w:val="center"/>
          </w:tcPr>
          <w:p w:rsidR="00D21EC5" w:rsidRPr="00A607CA" w:rsidRDefault="00D21EC5" w:rsidP="005B142B">
            <w:pPr>
              <w:spacing w:line="240" w:lineRule="auto"/>
              <w:ind w:left="72"/>
              <w:rPr>
                <w:rFonts w:ascii="Arial" w:hAnsi="Arial" w:cs="Arial"/>
                <w:bCs/>
                <w:sz w:val="18"/>
                <w:szCs w:val="18"/>
              </w:rPr>
            </w:pPr>
            <w:r w:rsidRPr="00A607CA">
              <w:rPr>
                <w:rFonts w:ascii="Arial" w:hAnsi="Arial" w:cs="Arial"/>
                <w:sz w:val="18"/>
                <w:szCs w:val="18"/>
              </w:rPr>
              <w:t xml:space="preserve">% students participating in </w:t>
            </w:r>
            <w:proofErr w:type="spellStart"/>
            <w:r w:rsidRPr="00A607CA">
              <w:rPr>
                <w:rFonts w:ascii="Arial" w:hAnsi="Arial" w:cs="Arial"/>
                <w:sz w:val="18"/>
                <w:szCs w:val="18"/>
              </w:rPr>
              <w:t>NAPLAN</w:t>
            </w:r>
            <w:proofErr w:type="spellEnd"/>
            <w:r w:rsidRPr="00A607CA">
              <w:rPr>
                <w:rFonts w:ascii="Arial" w:hAnsi="Arial" w:cs="Arial"/>
                <w:sz w:val="18"/>
                <w:szCs w:val="18"/>
              </w:rPr>
              <w:t xml:space="preserve"> testing</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sz w:val="18"/>
                <w:szCs w:val="18"/>
              </w:rPr>
              <w:t>All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78.1%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71.7%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80.4%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78.1%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84.0%</w:t>
            </w:r>
          </w:p>
        </w:tc>
      </w:tr>
      <w:tr w:rsidR="00D21EC5" w:rsidRPr="005C149C" w:rsidTr="00D21EC5">
        <w:trPr>
          <w:gridAfter w:val="1"/>
          <w:wAfter w:w="258" w:type="dxa"/>
          <w:trHeight w:val="225"/>
        </w:trPr>
        <w:tc>
          <w:tcPr>
            <w:tcW w:w="2641" w:type="dxa"/>
            <w:vMerge/>
            <w:shd w:val="clear" w:color="auto" w:fill="auto"/>
          </w:tcPr>
          <w:p w:rsidR="00D21EC5" w:rsidRPr="00A607CA" w:rsidRDefault="00D21EC5" w:rsidP="005B142B">
            <w:pPr>
              <w:spacing w:line="240" w:lineRule="auto"/>
              <w:ind w:left="-142"/>
              <w:rPr>
                <w:rFonts w:ascii="Arial" w:hAnsi="Arial" w:cs="Arial"/>
                <w:bCs/>
                <w:sz w:val="18"/>
                <w:szCs w:val="18"/>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sz w:val="18"/>
                <w:szCs w:val="18"/>
              </w:rPr>
              <w:t>Indigenous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74.2%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66.3%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77.5%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58.1%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60.7%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78.5%</w:t>
            </w:r>
          </w:p>
        </w:tc>
      </w:tr>
      <w:tr w:rsidR="00D21EC5" w:rsidRPr="005C149C" w:rsidTr="00D21EC5">
        <w:trPr>
          <w:gridAfter w:val="1"/>
          <w:wAfter w:w="258" w:type="dxa"/>
          <w:trHeight w:val="225"/>
        </w:trPr>
        <w:tc>
          <w:tcPr>
            <w:tcW w:w="2641" w:type="dxa"/>
            <w:vMerge/>
            <w:shd w:val="clear" w:color="auto" w:fill="auto"/>
          </w:tcPr>
          <w:p w:rsidR="00D21EC5" w:rsidRPr="00A607CA" w:rsidRDefault="00D21EC5" w:rsidP="005B142B">
            <w:pPr>
              <w:spacing w:line="240" w:lineRule="auto"/>
              <w:ind w:left="-142"/>
              <w:rPr>
                <w:rFonts w:ascii="Arial" w:hAnsi="Arial" w:cs="Arial"/>
                <w:bCs/>
                <w:sz w:val="18"/>
                <w:szCs w:val="18"/>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ind w:left="55"/>
              <w:rPr>
                <w:rFonts w:ascii="Arial" w:hAnsi="Arial" w:cs="Arial"/>
                <w:sz w:val="18"/>
                <w:szCs w:val="18"/>
              </w:rPr>
            </w:pPr>
            <w:r w:rsidRPr="00A607CA">
              <w:rPr>
                <w:rFonts w:ascii="Arial" w:hAnsi="Arial" w:cs="Arial"/>
                <w:bCs/>
                <w:sz w:val="18"/>
                <w:szCs w:val="18"/>
              </w:rPr>
              <w:t>Non-Indigenous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93.7%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tabs>
                <w:tab w:val="left" w:pos="206"/>
              </w:tabs>
              <w:spacing w:line="240" w:lineRule="auto"/>
              <w:jc w:val="center"/>
              <w:rPr>
                <w:rFonts w:ascii="Arial" w:hAnsi="Arial" w:cs="Arial"/>
                <w:bCs/>
                <w:sz w:val="18"/>
                <w:szCs w:val="18"/>
              </w:rPr>
            </w:pPr>
            <w:r w:rsidRPr="00A607CA">
              <w:rPr>
                <w:rFonts w:ascii="Arial" w:hAnsi="Arial" w:cs="Arial"/>
                <w:bCs/>
                <w:sz w:val="18"/>
                <w:szCs w:val="18"/>
              </w:rPr>
              <w:t>93.6%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87.0%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1EC5" w:rsidRPr="00A607CA" w:rsidRDefault="00D21EC5" w:rsidP="005B142B">
            <w:pPr>
              <w:spacing w:line="240" w:lineRule="auto"/>
              <w:jc w:val="center"/>
              <w:rPr>
                <w:rFonts w:ascii="Arial" w:hAnsi="Arial" w:cs="Arial"/>
                <w:bCs/>
                <w:sz w:val="18"/>
                <w:szCs w:val="18"/>
              </w:rPr>
            </w:pPr>
            <w:r w:rsidRPr="00A607CA">
              <w:rPr>
                <w:rFonts w:ascii="Arial" w:hAnsi="Arial" w:cs="Arial"/>
                <w:bCs/>
                <w:sz w:val="18"/>
                <w:szCs w:val="18"/>
              </w:rPr>
              <w:t>95.8%</w:t>
            </w:r>
          </w:p>
        </w:tc>
      </w:tr>
      <w:tr w:rsidR="00D21EC5" w:rsidRPr="003D0291" w:rsidTr="00D21EC5">
        <w:trPr>
          <w:trHeight w:val="175"/>
        </w:trPr>
        <w:tc>
          <w:tcPr>
            <w:tcW w:w="15108" w:type="dxa"/>
            <w:gridSpan w:val="19"/>
            <w:shd w:val="clear" w:color="auto" w:fill="C00000"/>
          </w:tcPr>
          <w:p w:rsidR="00D21EC5" w:rsidRPr="009C2FCF" w:rsidRDefault="00D21EC5" w:rsidP="005B142B">
            <w:pPr>
              <w:spacing w:line="240" w:lineRule="auto"/>
              <w:ind w:left="-142"/>
              <w:rPr>
                <w:rFonts w:cstheme="minorHAnsi"/>
                <w:b/>
                <w:sz w:val="18"/>
                <w:szCs w:val="18"/>
              </w:rPr>
            </w:pPr>
            <w:r w:rsidRPr="009C2FCF">
              <w:rPr>
                <w:rFonts w:ascii="Arial" w:hAnsi="Arial" w:cs="Arial"/>
                <w:bCs/>
                <w:sz w:val="18"/>
                <w:szCs w:val="18"/>
              </w:rPr>
              <w:lastRenderedPageBreak/>
              <w:br w:type="page"/>
            </w:r>
            <w:r w:rsidRPr="009C2FCF">
              <w:rPr>
                <w:rFonts w:cstheme="minorHAnsi"/>
                <w:b/>
                <w:sz w:val="18"/>
                <w:szCs w:val="18"/>
              </w:rPr>
              <w:br w:type="page"/>
              <w:t xml:space="preserve"> Northern Territory Performance Measure   </w:t>
            </w:r>
            <w:r w:rsidRPr="009C2FCF">
              <w:rPr>
                <w:rFonts w:cstheme="minorHAnsi"/>
                <w:sz w:val="18"/>
                <w:szCs w:val="18"/>
              </w:rPr>
              <w:t xml:space="preserve">-  Schools Participating in the </w:t>
            </w:r>
            <w:r w:rsidRPr="009C2FCF">
              <w:rPr>
                <w:rFonts w:ascii="Arial" w:hAnsi="Arial" w:cs="Arial"/>
                <w:b/>
                <w:sz w:val="18"/>
                <w:szCs w:val="18"/>
              </w:rPr>
              <w:t>Low SES School Communities NP</w:t>
            </w:r>
          </w:p>
        </w:tc>
      </w:tr>
      <w:tr w:rsidR="00D21EC5" w:rsidTr="00D21EC5">
        <w:trPr>
          <w:trHeight w:val="353"/>
        </w:trPr>
        <w:tc>
          <w:tcPr>
            <w:tcW w:w="4313" w:type="dxa"/>
            <w:gridSpan w:val="2"/>
            <w:shd w:val="clear" w:color="auto" w:fill="D9D9D9" w:themeFill="background1" w:themeFillShade="D9"/>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
                <w:bCs/>
                <w:sz w:val="18"/>
                <w:szCs w:val="18"/>
              </w:rPr>
              <w:t>Performance Measure</w:t>
            </w:r>
          </w:p>
        </w:tc>
        <w:tc>
          <w:tcPr>
            <w:tcW w:w="2138" w:type="dxa"/>
            <w:gridSpan w:val="4"/>
            <w:shd w:val="clear" w:color="auto" w:fill="D9D9D9" w:themeFill="background1" w:themeFillShade="D9"/>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
                <w:bCs/>
                <w:sz w:val="18"/>
                <w:szCs w:val="18"/>
              </w:rPr>
              <w:t>Cohort</w:t>
            </w:r>
          </w:p>
        </w:tc>
        <w:tc>
          <w:tcPr>
            <w:tcW w:w="2885" w:type="dxa"/>
            <w:gridSpan w:val="4"/>
            <w:shd w:val="clear" w:color="auto" w:fill="D9D9D9" w:themeFill="background1" w:themeFillShade="D9"/>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
                <w:bCs/>
                <w:sz w:val="18"/>
                <w:szCs w:val="18"/>
              </w:rPr>
              <w:t>Baseline</w:t>
            </w:r>
          </w:p>
        </w:tc>
        <w:tc>
          <w:tcPr>
            <w:tcW w:w="2886" w:type="dxa"/>
            <w:gridSpan w:val="4"/>
            <w:shd w:val="clear" w:color="auto" w:fill="D9D9D9" w:themeFill="background1" w:themeFillShade="D9"/>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
                <w:bCs/>
                <w:sz w:val="18"/>
                <w:szCs w:val="18"/>
              </w:rPr>
              <w:t>Baseline Year</w:t>
            </w:r>
          </w:p>
        </w:tc>
        <w:tc>
          <w:tcPr>
            <w:tcW w:w="2886" w:type="dxa"/>
            <w:gridSpan w:val="5"/>
            <w:shd w:val="clear" w:color="auto" w:fill="D9D9D9" w:themeFill="background1" w:themeFillShade="D9"/>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
                <w:bCs/>
                <w:sz w:val="18"/>
                <w:szCs w:val="18"/>
              </w:rPr>
              <w:t>Target Year (2010)</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Number 15 – 19 year olds participating in school</w:t>
            </w: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p w:rsidR="00D21EC5" w:rsidRPr="009C2FCF" w:rsidRDefault="00D21EC5" w:rsidP="005B142B">
            <w:pPr>
              <w:spacing w:before="60" w:after="60" w:line="240" w:lineRule="auto"/>
              <w:ind w:left="-142"/>
              <w:jc w:val="center"/>
              <w:rPr>
                <w:rFonts w:ascii="Arial" w:hAnsi="Arial" w:cs="Arial"/>
                <w:bCs/>
                <w:sz w:val="18"/>
                <w:szCs w:val="18"/>
              </w:rPr>
            </w:pP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2381</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2198</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1517</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1332</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864</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866</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Number of 15-19 year olds participating in VET</w:t>
            </w: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499</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468</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322</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313</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177</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155</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Proportion of 15-19 year olds participating in VET</w:t>
            </w: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360" w:lineRule="auto"/>
              <w:ind w:left="-142"/>
              <w:jc w:val="center"/>
              <w:rPr>
                <w:rFonts w:ascii="Arial" w:hAnsi="Arial" w:cs="Arial"/>
                <w:bCs/>
                <w:sz w:val="18"/>
                <w:szCs w:val="18"/>
              </w:rPr>
            </w:pPr>
            <w:r w:rsidRPr="009C2FCF">
              <w:rPr>
                <w:rFonts w:ascii="Arial" w:hAnsi="Arial" w:cs="Arial"/>
                <w:bCs/>
                <w:sz w:val="18"/>
                <w:szCs w:val="18"/>
              </w:rPr>
              <w:t>21.0%</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21.3%</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21.2%</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23.5%</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20.5%</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17.9%</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Number of 15-19 year olds participating in school based apprenticeships</w:t>
            </w: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11</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37</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5</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13</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6</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24</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 xml:space="preserve">Number of students completing </w:t>
            </w:r>
            <w:proofErr w:type="spellStart"/>
            <w:r w:rsidRPr="009C2FCF">
              <w:rPr>
                <w:rFonts w:ascii="Arial" w:hAnsi="Arial" w:cs="Arial"/>
                <w:bCs/>
                <w:sz w:val="18"/>
                <w:szCs w:val="18"/>
              </w:rPr>
              <w:t>NTCE</w:t>
            </w:r>
            <w:proofErr w:type="spellEnd"/>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208</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243</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86</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68</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122</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175</w:t>
            </w:r>
          </w:p>
        </w:tc>
      </w:tr>
      <w:tr w:rsidR="00D21EC5" w:rsidRPr="00351EE2" w:rsidTr="00D21EC5">
        <w:trPr>
          <w:trHeight w:hRule="exact" w:val="276"/>
        </w:trPr>
        <w:tc>
          <w:tcPr>
            <w:tcW w:w="4313" w:type="dxa"/>
            <w:gridSpan w:val="2"/>
            <w:vMerge w:val="restart"/>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r w:rsidRPr="009C2FCF">
              <w:rPr>
                <w:rFonts w:ascii="Arial" w:hAnsi="Arial" w:cs="Arial"/>
                <w:bCs/>
                <w:sz w:val="18"/>
                <w:szCs w:val="18"/>
              </w:rPr>
              <w:t>Number of students aged 15-19 completing at least one VET Unit of Competency</w:t>
            </w: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All</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493</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450</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318</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300</w:t>
            </w:r>
          </w:p>
        </w:tc>
      </w:tr>
      <w:tr w:rsidR="00D21EC5" w:rsidRPr="00351EE2" w:rsidTr="00D21EC5">
        <w:trPr>
          <w:trHeight w:hRule="exact" w:val="276"/>
        </w:trPr>
        <w:tc>
          <w:tcPr>
            <w:tcW w:w="4313" w:type="dxa"/>
            <w:gridSpan w:val="2"/>
            <w:vMerge/>
            <w:shd w:val="clear" w:color="auto" w:fill="auto"/>
            <w:vAlign w:val="center"/>
          </w:tcPr>
          <w:p w:rsidR="00D21EC5" w:rsidRPr="009C2FCF" w:rsidRDefault="00D21EC5" w:rsidP="005B142B">
            <w:pPr>
              <w:spacing w:before="60" w:after="60" w:line="240" w:lineRule="auto"/>
              <w:ind w:left="72"/>
              <w:rPr>
                <w:rFonts w:ascii="Arial" w:hAnsi="Arial" w:cs="Arial"/>
                <w:bCs/>
                <w:sz w:val="18"/>
                <w:szCs w:val="18"/>
              </w:rPr>
            </w:pPr>
          </w:p>
        </w:tc>
        <w:tc>
          <w:tcPr>
            <w:tcW w:w="2138" w:type="dxa"/>
            <w:gridSpan w:val="4"/>
            <w:shd w:val="clear" w:color="auto" w:fill="auto"/>
            <w:vAlign w:val="center"/>
          </w:tcPr>
          <w:p w:rsidR="00D21EC5" w:rsidRPr="009C2FCF" w:rsidRDefault="00D21EC5" w:rsidP="005B142B">
            <w:pPr>
              <w:spacing w:before="60" w:after="60" w:line="240" w:lineRule="auto"/>
              <w:rPr>
                <w:rFonts w:ascii="Arial" w:hAnsi="Arial" w:cs="Arial"/>
                <w:bCs/>
                <w:sz w:val="18"/>
                <w:szCs w:val="18"/>
              </w:rPr>
            </w:pPr>
            <w:r w:rsidRPr="009C2FCF">
              <w:rPr>
                <w:rFonts w:ascii="Arial" w:hAnsi="Arial" w:cs="Arial"/>
                <w:bCs/>
                <w:sz w:val="18"/>
                <w:szCs w:val="18"/>
              </w:rPr>
              <w:t>Non-Indigenous</w:t>
            </w:r>
          </w:p>
        </w:tc>
        <w:tc>
          <w:tcPr>
            <w:tcW w:w="2885" w:type="dxa"/>
            <w:gridSpan w:val="4"/>
            <w:shd w:val="clear" w:color="auto" w:fill="auto"/>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2008</w:t>
            </w:r>
          </w:p>
        </w:tc>
        <w:tc>
          <w:tcPr>
            <w:tcW w:w="2886" w:type="dxa"/>
            <w:gridSpan w:val="4"/>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175</w:t>
            </w:r>
          </w:p>
        </w:tc>
        <w:tc>
          <w:tcPr>
            <w:tcW w:w="2886" w:type="dxa"/>
            <w:gridSpan w:val="5"/>
            <w:shd w:val="clear" w:color="auto" w:fill="auto"/>
            <w:vAlign w:val="center"/>
          </w:tcPr>
          <w:p w:rsidR="00D21EC5" w:rsidRPr="009C2FCF" w:rsidRDefault="00D21EC5" w:rsidP="005B142B">
            <w:pPr>
              <w:spacing w:before="60" w:after="60" w:line="240" w:lineRule="auto"/>
              <w:ind w:left="-142"/>
              <w:jc w:val="center"/>
              <w:rPr>
                <w:rFonts w:ascii="Arial" w:hAnsi="Arial" w:cs="Arial"/>
                <w:bCs/>
                <w:sz w:val="18"/>
                <w:szCs w:val="18"/>
              </w:rPr>
            </w:pPr>
            <w:r w:rsidRPr="009C2FCF">
              <w:rPr>
                <w:rFonts w:ascii="Arial" w:hAnsi="Arial" w:cs="Arial"/>
                <w:bCs/>
                <w:sz w:val="18"/>
                <w:szCs w:val="18"/>
              </w:rPr>
              <w:t>150</w:t>
            </w:r>
          </w:p>
        </w:tc>
      </w:tr>
    </w:tbl>
    <w:p w:rsidR="00D21EC5" w:rsidRDefault="00D21EC5" w:rsidP="00D21EC5">
      <w:pPr>
        <w:spacing w:line="240" w:lineRule="auto"/>
        <w:ind w:left="-709"/>
        <w:rPr>
          <w:rFonts w:ascii="Arial" w:hAnsi="Arial" w:cs="Arial"/>
          <w:bCs/>
          <w:i/>
          <w:sz w:val="20"/>
        </w:rPr>
      </w:pPr>
    </w:p>
    <w:p w:rsidR="00D21EC5" w:rsidRPr="009C2FCF" w:rsidRDefault="00D21EC5" w:rsidP="00D21EC5">
      <w:pPr>
        <w:spacing w:line="240" w:lineRule="auto"/>
        <w:ind w:left="-709"/>
        <w:rPr>
          <w:rFonts w:ascii="Arial" w:hAnsi="Arial" w:cs="Arial"/>
          <w:bCs/>
          <w:i/>
          <w:sz w:val="16"/>
          <w:szCs w:val="16"/>
        </w:rPr>
      </w:pPr>
      <w:r w:rsidRPr="009C2FCF">
        <w:rPr>
          <w:rFonts w:ascii="Arial" w:hAnsi="Arial" w:cs="Arial"/>
          <w:bCs/>
          <w:i/>
          <w:sz w:val="16"/>
          <w:szCs w:val="16"/>
        </w:rPr>
        <w:t xml:space="preserve">Note: Source for number of students participating in schools measure is Age Grade Census, a point in time measure.  Number of students participating in VET is a figure reflecting students participating in VET at any point in the year.  Therefore, number of students participating in VET as a proportion of number of students participating in schooling may exceed 100%. </w:t>
      </w:r>
    </w:p>
    <w:p w:rsidR="00D21EC5" w:rsidRDefault="00D21EC5" w:rsidP="00D21EC5">
      <w:pPr>
        <w:spacing w:line="240" w:lineRule="auto"/>
        <w:rPr>
          <w:rFonts w:ascii="Calibri" w:hAnsi="Calibri" w:cs="Calibri"/>
          <w:sz w:val="23"/>
          <w:szCs w:val="23"/>
        </w:rPr>
      </w:pPr>
    </w:p>
    <w:p w:rsidR="00D21EC5" w:rsidRDefault="00D21EC5" w:rsidP="00FD4E73">
      <w:pPr>
        <w:rPr>
          <w:color w:val="FF0000"/>
        </w:rPr>
        <w:sectPr w:rsidR="00D21EC5" w:rsidSect="00D21EC5">
          <w:pgSz w:w="16838" w:h="11906" w:orient="landscape"/>
          <w:pgMar w:top="993" w:right="1134" w:bottom="1077" w:left="1134" w:header="568" w:footer="708" w:gutter="0"/>
          <w:cols w:space="708"/>
          <w:docGrid w:linePitch="360"/>
        </w:sectPr>
      </w:pPr>
    </w:p>
    <w:p w:rsidR="00A75CB7" w:rsidRDefault="00D21EC5" w:rsidP="00175A8D">
      <w:pPr>
        <w:pStyle w:val="Heading2"/>
        <w:spacing w:before="360"/>
      </w:pPr>
      <w:bookmarkStart w:id="12" w:name="_Toc294619482"/>
      <w:r>
        <w:lastRenderedPageBreak/>
        <w:t>T</w:t>
      </w:r>
      <w:r w:rsidR="00A75CB7">
        <w:t>he Compact with Young Australians</w:t>
      </w:r>
      <w:bookmarkEnd w:id="12"/>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 xml:space="preserve">Advice has been provided to </w:t>
      </w:r>
      <w:proofErr w:type="gramStart"/>
      <w:r w:rsidRPr="00C44218">
        <w:rPr>
          <w:color w:val="000000"/>
        </w:rPr>
        <w:t>registered</w:t>
      </w:r>
      <w:proofErr w:type="gramEnd"/>
      <w:r w:rsidRPr="00C44218">
        <w:rPr>
          <w:color w:val="000000"/>
        </w:rPr>
        <w:t xml:space="preserve"> training organisations (</w:t>
      </w:r>
      <w:proofErr w:type="spellStart"/>
      <w:r w:rsidRPr="00C44218">
        <w:rPr>
          <w:color w:val="000000"/>
        </w:rPr>
        <w:t>RTOs</w:t>
      </w:r>
      <w:proofErr w:type="spellEnd"/>
      <w:r w:rsidRPr="00C44218">
        <w:rPr>
          <w:color w:val="000000"/>
        </w:rPr>
        <w:t>) about the Compact and the associated entitlement to a publicly funded training place for 15 to 24 year olds.  They are fully aware of the priority to be given to eligible young people who are seeking a funded training place.</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 xml:space="preserve">Those </w:t>
      </w:r>
      <w:proofErr w:type="spellStart"/>
      <w:r w:rsidRPr="00C44218">
        <w:rPr>
          <w:color w:val="000000"/>
        </w:rPr>
        <w:t>RTOs</w:t>
      </w:r>
      <w:proofErr w:type="spellEnd"/>
      <w:r w:rsidRPr="00C44218">
        <w:rPr>
          <w:color w:val="000000"/>
        </w:rPr>
        <w:t xml:space="preserve"> already in receipt of government funding, particularly the public providers, are encouraged to utilise training places already funded under recurrent funding arrangements between the Department of Education and Training and the provider.</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 xml:space="preserve">These </w:t>
      </w:r>
      <w:proofErr w:type="spellStart"/>
      <w:r w:rsidRPr="00C44218">
        <w:rPr>
          <w:color w:val="000000"/>
        </w:rPr>
        <w:t>RTOs</w:t>
      </w:r>
      <w:proofErr w:type="spellEnd"/>
      <w:r w:rsidRPr="00C44218">
        <w:rPr>
          <w:color w:val="000000"/>
        </w:rPr>
        <w:t xml:space="preserve"> are required to advise the Department of Education and Training if they are not able to accommodate demand within existing funding allocations.</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 xml:space="preserve">During the reporting period, all </w:t>
      </w:r>
      <w:proofErr w:type="spellStart"/>
      <w:r w:rsidRPr="00C44218">
        <w:rPr>
          <w:color w:val="000000"/>
        </w:rPr>
        <w:t>RTOs</w:t>
      </w:r>
      <w:proofErr w:type="spellEnd"/>
      <w:r w:rsidRPr="00C44218">
        <w:rPr>
          <w:color w:val="000000"/>
        </w:rPr>
        <w:t xml:space="preserve"> with existing funding were able to meet demand within existing funding allocations.</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proofErr w:type="spellStart"/>
      <w:r w:rsidRPr="00C44218">
        <w:rPr>
          <w:color w:val="000000"/>
        </w:rPr>
        <w:t>RTOs</w:t>
      </w:r>
      <w:proofErr w:type="spellEnd"/>
      <w:r w:rsidRPr="00C44218">
        <w:rPr>
          <w:color w:val="000000"/>
        </w:rPr>
        <w:t xml:space="preserve"> in receipt of public funds are required to report their training activity through </w:t>
      </w:r>
      <w:proofErr w:type="spellStart"/>
      <w:r w:rsidRPr="00C44218">
        <w:rPr>
          <w:color w:val="000000"/>
        </w:rPr>
        <w:t>AVETMISS</w:t>
      </w:r>
      <w:proofErr w:type="spellEnd"/>
      <w:r w:rsidRPr="00C44218">
        <w:rPr>
          <w:color w:val="000000"/>
        </w:rPr>
        <w:t>.</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Separate data collection for the Compact with Young Australians is not undertaken due to demand being accommodated within existing funding allocations.</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proofErr w:type="spellStart"/>
      <w:r w:rsidRPr="00C44218">
        <w:rPr>
          <w:color w:val="000000"/>
        </w:rPr>
        <w:t>RTOs</w:t>
      </w:r>
      <w:proofErr w:type="spellEnd"/>
      <w:r w:rsidRPr="00C44218">
        <w:rPr>
          <w:color w:val="000000"/>
        </w:rPr>
        <w:t xml:space="preserve"> are advised that funded training places can be accessed under the Productivity Places Program to deliver training to young people.</w:t>
      </w:r>
    </w:p>
    <w:p w:rsidR="00C44218" w:rsidRPr="00C44218" w:rsidRDefault="00C44218" w:rsidP="00C44218">
      <w:pPr>
        <w:spacing w:line="240" w:lineRule="auto"/>
        <w:ind w:left="360"/>
        <w:rPr>
          <w:color w:val="000000"/>
        </w:rPr>
      </w:pPr>
    </w:p>
    <w:p w:rsidR="00C44218" w:rsidRPr="00C44218" w:rsidRDefault="00C44218" w:rsidP="00C44218">
      <w:pPr>
        <w:pStyle w:val="ListParagraph"/>
        <w:numPr>
          <w:ilvl w:val="0"/>
          <w:numId w:val="24"/>
        </w:numPr>
        <w:spacing w:line="240" w:lineRule="auto"/>
        <w:contextualSpacing w:val="0"/>
        <w:rPr>
          <w:color w:val="000000"/>
        </w:rPr>
      </w:pPr>
      <w:r w:rsidRPr="00C44218">
        <w:rPr>
          <w:color w:val="000000"/>
        </w:rPr>
        <w:t>The training entitlement for 15-24 year olds has been fully implemented in the Northern Territory.</w:t>
      </w:r>
    </w:p>
    <w:p w:rsidR="009651B1" w:rsidRPr="009651B1" w:rsidRDefault="00175A8D" w:rsidP="009651B1">
      <w:pPr>
        <w:pStyle w:val="Heading2"/>
        <w:spacing w:before="360"/>
      </w:pPr>
      <w:bookmarkStart w:id="13" w:name="_Toc294619483"/>
      <w:r>
        <w:t xml:space="preserve">Youth Connections and School Business Community Partnership Brokers in </w:t>
      </w:r>
      <w:r w:rsidR="00457274">
        <w:t>the Northern Territory</w:t>
      </w:r>
      <w:bookmarkEnd w:id="13"/>
    </w:p>
    <w:p w:rsidR="001235B4" w:rsidRPr="004B0FFC" w:rsidRDefault="005B142B" w:rsidP="005B142B">
      <w:pPr>
        <w:rPr>
          <w:b/>
          <w:u w:val="single"/>
        </w:rPr>
      </w:pPr>
      <w:r>
        <w:rPr>
          <w:b/>
          <w:u w:val="single"/>
        </w:rPr>
        <w:t xml:space="preserve">School </w:t>
      </w:r>
      <w:r w:rsidR="0045514D" w:rsidRPr="004B0FFC">
        <w:rPr>
          <w:b/>
          <w:u w:val="single"/>
        </w:rPr>
        <w:t>Business Community Partnership Brokers</w:t>
      </w:r>
    </w:p>
    <w:p w:rsidR="005B142B" w:rsidRDefault="005B142B" w:rsidP="005B142B">
      <w:pPr>
        <w:spacing w:before="120"/>
        <w:rPr>
          <w:rFonts w:cstheme="minorHAnsi"/>
        </w:rPr>
      </w:pPr>
      <w:r w:rsidRPr="00740918">
        <w:rPr>
          <w:rFonts w:cstheme="minorHAnsi"/>
        </w:rPr>
        <w:t xml:space="preserve">In the early stages of 2010, </w:t>
      </w:r>
      <w:r>
        <w:rPr>
          <w:rFonts w:cstheme="minorHAnsi"/>
        </w:rPr>
        <w:t xml:space="preserve">the network of a 107 </w:t>
      </w:r>
      <w:r w:rsidRPr="00740918">
        <w:rPr>
          <w:rFonts w:cstheme="minorHAnsi"/>
        </w:rPr>
        <w:t xml:space="preserve">Partnership Brokers focused on engaging with stakeholders, and </w:t>
      </w:r>
      <w:r>
        <w:rPr>
          <w:rFonts w:cstheme="minorHAnsi"/>
        </w:rPr>
        <w:t>developing environmental scans and strategic plans for</w:t>
      </w:r>
      <w:r w:rsidRPr="00740918">
        <w:rPr>
          <w:rFonts w:cstheme="minorHAnsi"/>
        </w:rPr>
        <w:t xml:space="preserve"> their region. As the year progressed, providers’ focus shifted to exploring partnership opportunities and creating or enhancing partnerships to meet their region’s needs. </w:t>
      </w:r>
    </w:p>
    <w:p w:rsidR="005B142B" w:rsidRPr="003607D5" w:rsidRDefault="005B142B" w:rsidP="005B142B">
      <w:pPr>
        <w:spacing w:before="120"/>
        <w:rPr>
          <w:rFonts w:cstheme="minorHAnsi"/>
          <w:b/>
        </w:rPr>
      </w:pPr>
      <w:r w:rsidRPr="003607D5">
        <w:rPr>
          <w:rFonts w:cstheme="minorHAnsi"/>
          <w:b/>
        </w:rPr>
        <w:t xml:space="preserve">Program Status </w:t>
      </w:r>
    </w:p>
    <w:p w:rsidR="005B142B" w:rsidRDefault="005B142B" w:rsidP="005B142B">
      <w:pPr>
        <w:spacing w:before="120"/>
        <w:rPr>
          <w:rFonts w:cstheme="minorHAnsi"/>
        </w:rPr>
      </w:pPr>
      <w:r>
        <w:rPr>
          <w:rFonts w:cstheme="minorHAnsi"/>
        </w:rPr>
        <w:t>By April 2011</w:t>
      </w:r>
      <w:r w:rsidRPr="00740918">
        <w:rPr>
          <w:rFonts w:cstheme="minorHAnsi"/>
        </w:rPr>
        <w:t xml:space="preserve">, there </w:t>
      </w:r>
      <w:r>
        <w:rPr>
          <w:rFonts w:cstheme="minorHAnsi"/>
        </w:rPr>
        <w:t>were</w:t>
      </w:r>
      <w:r w:rsidRPr="00740918">
        <w:rPr>
          <w:rFonts w:cstheme="minorHAnsi"/>
        </w:rPr>
        <w:t xml:space="preserve"> </w:t>
      </w:r>
      <w:r>
        <w:rPr>
          <w:rFonts w:cstheme="minorHAnsi"/>
        </w:rPr>
        <w:t>approximately</w:t>
      </w:r>
      <w:r w:rsidRPr="00740918">
        <w:rPr>
          <w:rFonts w:cstheme="minorHAnsi"/>
        </w:rPr>
        <w:t xml:space="preserve"> 1</w:t>
      </w:r>
      <w:r>
        <w:rPr>
          <w:rFonts w:cstheme="minorHAnsi"/>
        </w:rPr>
        <w:t>2</w:t>
      </w:r>
      <w:r w:rsidRPr="00740918">
        <w:rPr>
          <w:rFonts w:cstheme="minorHAnsi"/>
        </w:rPr>
        <w:t xml:space="preserve">00 active and self-sustaining partnerships </w:t>
      </w:r>
      <w:r>
        <w:rPr>
          <w:rFonts w:cstheme="minorHAnsi"/>
        </w:rPr>
        <w:t>associated with</w:t>
      </w:r>
      <w:r w:rsidRPr="00740918">
        <w:rPr>
          <w:rFonts w:cstheme="minorHAnsi"/>
        </w:rPr>
        <w:t xml:space="preserve"> Partnership Brokers nationally (excludes Victorian data</w:t>
      </w:r>
      <w:r>
        <w:rPr>
          <w:rStyle w:val="FootnoteReference"/>
          <w:rFonts w:cstheme="minorHAnsi"/>
        </w:rPr>
        <w:footnoteReference w:id="14"/>
      </w:r>
      <w:r w:rsidRPr="00740918">
        <w:rPr>
          <w:rFonts w:cstheme="minorHAnsi"/>
        </w:rPr>
        <w:t xml:space="preserve">) involving over </w:t>
      </w:r>
      <w:r>
        <w:rPr>
          <w:rFonts w:cstheme="minorHAnsi"/>
        </w:rPr>
        <w:t>8000</w:t>
      </w:r>
      <w:r w:rsidRPr="00740918">
        <w:rPr>
          <w:rFonts w:cstheme="minorHAnsi"/>
        </w:rPr>
        <w:t xml:space="preserve"> partner organisations. These partnerships are undertaking a range of activity to support the learning and development of young people in their community. Approximately </w:t>
      </w:r>
      <w:r>
        <w:rPr>
          <w:rFonts w:cstheme="minorHAnsi"/>
        </w:rPr>
        <w:t>19 per cent</w:t>
      </w:r>
      <w:r w:rsidRPr="00740918">
        <w:rPr>
          <w:rFonts w:cstheme="minorHAnsi"/>
        </w:rPr>
        <w:t xml:space="preserve"> of these partnerships have an Indigenous focus. There have been approximately </w:t>
      </w:r>
      <w:r w:rsidRPr="00E12A7E">
        <w:rPr>
          <w:rFonts w:cstheme="minorHAnsi"/>
        </w:rPr>
        <w:t>5800 Outcomes Framework Key Performance Measure (</w:t>
      </w:r>
      <w:proofErr w:type="spellStart"/>
      <w:r w:rsidRPr="00E12A7E">
        <w:rPr>
          <w:rFonts w:cstheme="minorHAnsi"/>
        </w:rPr>
        <w:t>KPM</w:t>
      </w:r>
      <w:proofErr w:type="spellEnd"/>
      <w:r w:rsidRPr="00E12A7E">
        <w:rPr>
          <w:rFonts w:cstheme="minorHAnsi"/>
        </w:rPr>
        <w:t xml:space="preserve">) evaluations with approximately 1770 (30%) </w:t>
      </w:r>
      <w:r w:rsidRPr="00740918">
        <w:rPr>
          <w:rFonts w:cstheme="minorHAnsi"/>
        </w:rPr>
        <w:t>of those evaluations rating the partnership’s progress as ‘Considerable’ or ‘Achieved’</w:t>
      </w:r>
      <w:r>
        <w:rPr>
          <w:rStyle w:val="FootnoteReference"/>
          <w:rFonts w:cstheme="minorHAnsi"/>
        </w:rPr>
        <w:footnoteReference w:id="15"/>
      </w:r>
      <w:r w:rsidRPr="00740918">
        <w:rPr>
          <w:rFonts w:cstheme="minorHAnsi"/>
        </w:rPr>
        <w:t xml:space="preserve">. </w:t>
      </w:r>
      <w:r>
        <w:rPr>
          <w:rFonts w:cstheme="minorHAnsi"/>
        </w:rPr>
        <w:t xml:space="preserve"> Approximately 80 per cent of the partnerships being supported by Partnership Brokers are newly created. The remaining 20 per cent are pre-existing partnerships that are being enhanced with support from the Partnership Brokers.</w:t>
      </w:r>
    </w:p>
    <w:p w:rsidR="005B142B" w:rsidRPr="00740918" w:rsidRDefault="005B142B" w:rsidP="005B142B">
      <w:pPr>
        <w:spacing w:before="120"/>
        <w:rPr>
          <w:rFonts w:cstheme="minorHAnsi"/>
        </w:rPr>
      </w:pPr>
      <w:r w:rsidRPr="00740918">
        <w:rPr>
          <w:rFonts w:cstheme="minorHAnsi"/>
        </w:rPr>
        <w:lastRenderedPageBreak/>
        <w:t xml:space="preserve">Providers have submitted their 2010 Case Studies which are currently under review with a number being developed </w:t>
      </w:r>
      <w:r>
        <w:rPr>
          <w:rFonts w:cstheme="minorHAnsi"/>
        </w:rPr>
        <w:t xml:space="preserve">to share good practice as well as </w:t>
      </w:r>
      <w:r w:rsidRPr="00740918">
        <w:rPr>
          <w:rFonts w:cstheme="minorHAnsi"/>
        </w:rPr>
        <w:t xml:space="preserve">for promotional purposes. Case Studies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w:t>
      </w:r>
      <w:r>
        <w:rPr>
          <w:rFonts w:cstheme="minorHAnsi"/>
        </w:rPr>
        <w:t xml:space="preserve">meet the needs of young people. </w:t>
      </w:r>
      <w:r w:rsidRPr="00740918">
        <w:rPr>
          <w:rFonts w:cstheme="minorHAnsi"/>
        </w:rPr>
        <w:t>Case Studies have also highlighted the complex, multifaceted nature of the Partnership Broker role.</w:t>
      </w:r>
    </w:p>
    <w:p w:rsidR="005B142B" w:rsidRPr="00A01A4B" w:rsidRDefault="005B142B" w:rsidP="005B142B">
      <w:pPr>
        <w:spacing w:before="120"/>
        <w:rPr>
          <w:rFonts w:cstheme="minorHAnsi"/>
          <w:b/>
        </w:rPr>
      </w:pPr>
      <w:r w:rsidRPr="00A01A4B">
        <w:rPr>
          <w:rFonts w:cstheme="minorHAnsi"/>
          <w:b/>
        </w:rPr>
        <w:t>Stakeholder engagement</w:t>
      </w:r>
    </w:p>
    <w:p w:rsidR="005B142B" w:rsidRPr="00740918" w:rsidRDefault="005B142B" w:rsidP="005B142B">
      <w:pPr>
        <w:spacing w:before="120"/>
        <w:rPr>
          <w:rFonts w:cstheme="minorHAnsi"/>
        </w:rPr>
      </w:pPr>
      <w:r w:rsidRPr="00740918">
        <w:rPr>
          <w:rFonts w:cstheme="minorHAnsi"/>
        </w:rPr>
        <w:t xml:space="preserve">While these national figures </w:t>
      </w:r>
      <w:r>
        <w:rPr>
          <w:rFonts w:cstheme="minorHAnsi"/>
        </w:rPr>
        <w:t xml:space="preserve">and case studies </w:t>
      </w:r>
      <w:r w:rsidRPr="00740918">
        <w:rPr>
          <w:rFonts w:cstheme="minorHAnsi"/>
        </w:rPr>
        <w:t xml:space="preserve">indicate significant progress, individual providers and the program have also faced some challenges. One of these challenges has been connecting with education authorities in a way that enables Partnership Brokers to align their priorities for partnership development with the priorities for schooling at a systemic level. </w:t>
      </w:r>
    </w:p>
    <w:p w:rsidR="005B142B" w:rsidRPr="0000354D" w:rsidRDefault="005B142B" w:rsidP="005B142B">
      <w:pPr>
        <w:spacing w:before="120"/>
        <w:rPr>
          <w:rFonts w:cstheme="minorHAnsi"/>
        </w:rPr>
      </w:pPr>
      <w:r>
        <w:rPr>
          <w:rFonts w:cstheme="minorHAnsi"/>
        </w:rPr>
        <w:t>Providers</w:t>
      </w:r>
      <w:r w:rsidRPr="00740918">
        <w:rPr>
          <w:rFonts w:cstheme="minorHAnsi"/>
        </w:rPr>
        <w:t xml:space="preserve"> have also reported that </w:t>
      </w:r>
      <w:r>
        <w:rPr>
          <w:rFonts w:cstheme="minorHAnsi"/>
        </w:rPr>
        <w:t>some</w:t>
      </w:r>
      <w:r w:rsidRPr="00740918">
        <w:rPr>
          <w:rFonts w:cstheme="minorHAnsi"/>
        </w:rPr>
        <w:t xml:space="preserve"> school leaders </w:t>
      </w:r>
      <w:r>
        <w:rPr>
          <w:rFonts w:cstheme="minorHAnsi"/>
        </w:rPr>
        <w:t>don’t</w:t>
      </w:r>
      <w:r w:rsidRPr="00740918">
        <w:rPr>
          <w:rFonts w:cstheme="minorHAnsi"/>
        </w:rPr>
        <w:t xml:space="preserve"> understand the role of the Partnership Broker as a facilitator, rather than service delivery provider. </w:t>
      </w:r>
      <w:r>
        <w:rPr>
          <w:rFonts w:cstheme="minorHAnsi"/>
        </w:rPr>
        <w:t xml:space="preserve">For historical reasons, confusion about the Partnership Brokers role is often centred </w:t>
      </w:r>
      <w:proofErr w:type="gramStart"/>
      <w:r>
        <w:rPr>
          <w:rFonts w:cstheme="minorHAnsi"/>
        </w:rPr>
        <w:t>around</w:t>
      </w:r>
      <w:proofErr w:type="gramEnd"/>
      <w:r>
        <w:rPr>
          <w:rFonts w:cstheme="minorHAnsi"/>
        </w:rPr>
        <w:t xml:space="preserve"> expectations that Partnership Brokers should be involved in coordinating Structured Workplace Learning (</w:t>
      </w:r>
      <w:proofErr w:type="spellStart"/>
      <w:r>
        <w:rPr>
          <w:rFonts w:cstheme="minorHAnsi"/>
        </w:rPr>
        <w:t>SWL</w:t>
      </w:r>
      <w:proofErr w:type="spellEnd"/>
      <w:r>
        <w:rPr>
          <w:rFonts w:cstheme="minorHAnsi"/>
        </w:rPr>
        <w:t>) placements. This misunderstanding has resulted in tensions and impacted on some schools’ willingness to consider</w:t>
      </w:r>
      <w:r w:rsidRPr="00740918">
        <w:rPr>
          <w:rFonts w:cstheme="minorHAnsi"/>
        </w:rPr>
        <w:t xml:space="preserve"> how a partnership approach, supported by a Partnership Broker, can assist </w:t>
      </w:r>
      <w:r>
        <w:rPr>
          <w:rFonts w:cstheme="minorHAnsi"/>
        </w:rPr>
        <w:t>them</w:t>
      </w:r>
      <w:r w:rsidRPr="00740918">
        <w:rPr>
          <w:rFonts w:cstheme="minorHAnsi"/>
        </w:rPr>
        <w:t xml:space="preserve"> to achieve </w:t>
      </w:r>
      <w:r>
        <w:rPr>
          <w:rFonts w:cstheme="minorHAnsi"/>
        </w:rPr>
        <w:t>the outcomes</w:t>
      </w:r>
      <w:r w:rsidRPr="00740918">
        <w:rPr>
          <w:rFonts w:cstheme="minorHAnsi"/>
        </w:rPr>
        <w:t xml:space="preserve"> </w:t>
      </w:r>
      <w:r>
        <w:rPr>
          <w:rFonts w:cstheme="minorHAnsi"/>
        </w:rPr>
        <w:t>required under the</w:t>
      </w:r>
      <w:r w:rsidRPr="00740918">
        <w:rPr>
          <w:rFonts w:cstheme="minorHAnsi"/>
        </w:rPr>
        <w:t xml:space="preserve"> Government’s </w:t>
      </w:r>
      <w:r>
        <w:rPr>
          <w:rFonts w:cstheme="minorHAnsi"/>
        </w:rPr>
        <w:t>broad</w:t>
      </w:r>
      <w:r w:rsidRPr="00740918">
        <w:rPr>
          <w:rFonts w:cstheme="minorHAnsi"/>
        </w:rPr>
        <w:t xml:space="preserve"> education reform agenda.</w:t>
      </w:r>
      <w:r w:rsidRPr="00B802FE">
        <w:rPr>
          <w:rFonts w:cstheme="minorHAnsi"/>
        </w:rPr>
        <w:t xml:space="preserve"> </w:t>
      </w:r>
      <w:r w:rsidRPr="00740918">
        <w:rPr>
          <w:rFonts w:cstheme="minorHAnsi"/>
        </w:rPr>
        <w:t>Managing expectations and educating stakeholders about what Partnership Brokers can do, and importantly</w:t>
      </w:r>
      <w:r>
        <w:rPr>
          <w:rFonts w:cstheme="minorHAnsi"/>
        </w:rPr>
        <w:t>,</w:t>
      </w:r>
      <w:r w:rsidRPr="00740918">
        <w:rPr>
          <w:rFonts w:cstheme="minorHAnsi"/>
        </w:rPr>
        <w:t xml:space="preserve"> what they don’t do, has been an ongoing challenge for providers.</w:t>
      </w:r>
      <w:r>
        <w:rPr>
          <w:rFonts w:cstheme="minorHAnsi"/>
        </w:rPr>
        <w:t xml:space="preserve"> </w:t>
      </w:r>
      <w:r w:rsidRPr="0000354D">
        <w:rPr>
          <w:rFonts w:cstheme="minorHAnsi"/>
        </w:rPr>
        <w:t xml:space="preserve">In order to overcome this challenge, there is a need for education authorities to send a clear message to school leaders </w:t>
      </w:r>
      <w:proofErr w:type="gramStart"/>
      <w:r w:rsidRPr="0000354D">
        <w:rPr>
          <w:rFonts w:cstheme="minorHAnsi"/>
        </w:rPr>
        <w:t>about</w:t>
      </w:r>
      <w:proofErr w:type="gramEnd"/>
      <w:r w:rsidRPr="0000354D">
        <w:rPr>
          <w:rFonts w:cstheme="minorHAnsi"/>
        </w:rPr>
        <w:t xml:space="preserve"> the intent of the </w:t>
      </w:r>
      <w:r>
        <w:rPr>
          <w:rFonts w:cstheme="minorHAnsi"/>
        </w:rPr>
        <w:t xml:space="preserve">Partnership Brokers </w:t>
      </w:r>
      <w:r w:rsidRPr="0000354D">
        <w:rPr>
          <w:rFonts w:cstheme="minorHAnsi"/>
        </w:rPr>
        <w:t>program and the benefits of schools partnering with business and community.</w:t>
      </w:r>
    </w:p>
    <w:p w:rsidR="005B142B" w:rsidRPr="0000354D" w:rsidRDefault="005B142B" w:rsidP="005B142B">
      <w:pPr>
        <w:spacing w:before="120"/>
        <w:rPr>
          <w:rFonts w:cstheme="minorHAnsi"/>
        </w:rPr>
      </w:pPr>
      <w:r w:rsidRPr="00740918">
        <w:rPr>
          <w:rFonts w:cstheme="minorHAnsi"/>
        </w:rPr>
        <w:t xml:space="preserve">In terms of key stakeholder engagement, provider reporting has shown that parents and families represent just </w:t>
      </w:r>
      <w:r>
        <w:rPr>
          <w:rFonts w:cstheme="minorHAnsi"/>
        </w:rPr>
        <w:t>one per cent</w:t>
      </w:r>
      <w:r w:rsidRPr="00740918">
        <w:rPr>
          <w:rFonts w:cstheme="minorHAnsi"/>
        </w:rPr>
        <w:t xml:space="preserve"> of the total number of organisations involved in partnerships. This dat</w:t>
      </w:r>
      <w:r>
        <w:rPr>
          <w:rFonts w:cstheme="minorHAnsi"/>
        </w:rPr>
        <w:t>a is supported by results from a</w:t>
      </w:r>
      <w:r w:rsidRPr="00740918">
        <w:rPr>
          <w:rFonts w:cstheme="minorHAnsi"/>
        </w:rPr>
        <w:t xml:space="preserve"> recent provider survey which found that 75</w:t>
      </w:r>
      <w:r>
        <w:rPr>
          <w:rFonts w:cstheme="minorHAnsi"/>
        </w:rPr>
        <w:t xml:space="preserve"> per cent</w:t>
      </w:r>
      <w:r w:rsidRPr="00740918">
        <w:rPr>
          <w:rFonts w:cstheme="minorHAnsi"/>
        </w:rPr>
        <w:t xml:space="preserve"> of Partnership Brokers felt that parents and families were the most challenging stakeholder to work with. </w:t>
      </w:r>
      <w:r>
        <w:rPr>
          <w:rFonts w:cstheme="minorHAnsi"/>
        </w:rPr>
        <w:t xml:space="preserve">While the number of parents in partnerships is low, the data shows that there are some emerging partnerships </w:t>
      </w:r>
      <w:r w:rsidRPr="00740918">
        <w:rPr>
          <w:rFonts w:cstheme="minorHAnsi"/>
        </w:rPr>
        <w:t xml:space="preserve">that involve parent bodies such as </w:t>
      </w:r>
      <w:r w:rsidRPr="0000354D">
        <w:rPr>
          <w:rFonts w:cstheme="minorHAnsi"/>
        </w:rPr>
        <w:t>parent and citizen associations and state parent councils.</w:t>
      </w:r>
      <w:r>
        <w:rPr>
          <w:rFonts w:cstheme="minorHAnsi"/>
        </w:rPr>
        <w:t xml:space="preserve"> There are a number of other partnerships that </w:t>
      </w:r>
      <w:r w:rsidRPr="00740918">
        <w:rPr>
          <w:rFonts w:cstheme="minorHAnsi"/>
        </w:rPr>
        <w:t xml:space="preserve">are focused on supporting parents </w:t>
      </w:r>
      <w:r>
        <w:rPr>
          <w:rFonts w:cstheme="minorHAnsi"/>
        </w:rPr>
        <w:t xml:space="preserve">without including them as formal members of the partnership. </w:t>
      </w:r>
    </w:p>
    <w:p w:rsidR="005B142B" w:rsidRPr="0000354D" w:rsidRDefault="005B142B" w:rsidP="005B142B">
      <w:pPr>
        <w:spacing w:before="120"/>
        <w:rPr>
          <w:rFonts w:cstheme="minorHAnsi"/>
        </w:rPr>
      </w:pPr>
      <w:r w:rsidRPr="0000354D">
        <w:rPr>
          <w:rFonts w:cstheme="minorHAnsi"/>
        </w:rPr>
        <w:t>Another challenge for providers is building cross-sectoral partnerships involving stakeholders that may not</w:t>
      </w:r>
      <w:r>
        <w:rPr>
          <w:rFonts w:cstheme="minorHAnsi"/>
        </w:rPr>
        <w:t xml:space="preserve"> have worked together before. </w:t>
      </w:r>
      <w:r w:rsidRPr="0000354D">
        <w:rPr>
          <w:rFonts w:cstheme="minorHAnsi"/>
        </w:rPr>
        <w:t>Within this context, an important part of the Partnership Brokers</w:t>
      </w:r>
      <w:r>
        <w:rPr>
          <w:rFonts w:cstheme="minorHAnsi"/>
        </w:rPr>
        <w:t>’</w:t>
      </w:r>
      <w:r w:rsidRPr="0000354D">
        <w:rPr>
          <w:rFonts w:cstheme="minorHAnsi"/>
        </w:rPr>
        <w:t xml:space="preserve"> work is building partners’ understanding of each other’s needs, developing trust between partners and securing commitment to a shared goal. To do this effectively, Partnership Brokers need to engage with organisations at a </w:t>
      </w:r>
      <w:r>
        <w:rPr>
          <w:rFonts w:cstheme="minorHAnsi"/>
        </w:rPr>
        <w:t>decision-</w:t>
      </w:r>
      <w:r w:rsidRPr="0000354D">
        <w:rPr>
          <w:rFonts w:cstheme="minorHAnsi"/>
        </w:rPr>
        <w:t xml:space="preserve">making level where there is authority to enter into partnership arrangements and commit resources. Providers report that this is particularly challenging when working with schools and school systems. </w:t>
      </w:r>
    </w:p>
    <w:p w:rsidR="005B142B" w:rsidRPr="00A01A4B" w:rsidRDefault="005B142B" w:rsidP="005B142B">
      <w:pPr>
        <w:spacing w:before="120" w:after="120"/>
        <w:rPr>
          <w:rFonts w:cstheme="minorHAnsi"/>
          <w:b/>
        </w:rPr>
      </w:pPr>
      <w:r w:rsidRPr="00A01A4B">
        <w:rPr>
          <w:rFonts w:cstheme="minorHAnsi"/>
          <w:b/>
        </w:rPr>
        <w:t>Variation in performance</w:t>
      </w:r>
    </w:p>
    <w:p w:rsidR="005B142B" w:rsidRPr="00740918" w:rsidRDefault="005B142B" w:rsidP="005B142B">
      <w:pPr>
        <w:spacing w:before="120" w:after="120"/>
        <w:rPr>
          <w:rFonts w:cstheme="minorHAnsi"/>
        </w:rPr>
      </w:pPr>
      <w:r w:rsidRPr="00740918">
        <w:rPr>
          <w:rFonts w:cstheme="minorHAnsi"/>
        </w:rPr>
        <w:t xml:space="preserve">It is clear that there are varying degrees of success amongst providers and some providers appear to be struggling to deliver the program in line with </w:t>
      </w:r>
      <w:r>
        <w:rPr>
          <w:rFonts w:cstheme="minorHAnsi"/>
        </w:rPr>
        <w:t xml:space="preserve">program </w:t>
      </w:r>
      <w:r w:rsidRPr="00740918">
        <w:rPr>
          <w:rFonts w:cstheme="minorHAnsi"/>
        </w:rPr>
        <w:t xml:space="preserve">expectations. There are a number of reasons for this, including: </w:t>
      </w:r>
    </w:p>
    <w:p w:rsidR="005B142B" w:rsidRPr="0005769A" w:rsidRDefault="005B142B" w:rsidP="005B142B">
      <w:pPr>
        <w:pStyle w:val="dpReclev2"/>
        <w:tabs>
          <w:tab w:val="clear" w:pos="1070"/>
          <w:tab w:val="num" w:pos="426"/>
        </w:tabs>
        <w:spacing w:after="60"/>
        <w:ind w:left="426" w:hanging="357"/>
        <w:contextualSpacing w:val="0"/>
        <w:rPr>
          <w:rFonts w:asciiTheme="minorHAnsi" w:hAnsiTheme="minorHAnsi" w:cstheme="minorHAnsi"/>
        </w:rPr>
      </w:pPr>
      <w:r w:rsidRPr="00740918">
        <w:rPr>
          <w:rFonts w:asciiTheme="minorHAnsi" w:hAnsiTheme="minorHAnsi" w:cstheme="minorHAnsi"/>
        </w:rPr>
        <w:t>Some Partnership Broker organisations were contracted under pre</w:t>
      </w:r>
      <w:r>
        <w:rPr>
          <w:rFonts w:asciiTheme="minorHAnsi" w:hAnsiTheme="minorHAnsi" w:cstheme="minorHAnsi"/>
        </w:rPr>
        <w:t>vious programs in a ‘hands-on’</w:t>
      </w:r>
      <w:r w:rsidRPr="00740918">
        <w:rPr>
          <w:rFonts w:asciiTheme="minorHAnsi" w:hAnsiTheme="minorHAnsi" w:cstheme="minorHAnsi"/>
        </w:rPr>
        <w:t xml:space="preserve"> service delivery role. Some of these organisations have struggled to make the transition to a strategic, facilitation role</w:t>
      </w:r>
      <w:r>
        <w:rPr>
          <w:rFonts w:asciiTheme="minorHAnsi" w:hAnsiTheme="minorHAnsi" w:cstheme="minorHAnsi"/>
        </w:rPr>
        <w:t xml:space="preserve">. </w:t>
      </w:r>
    </w:p>
    <w:p w:rsidR="005B142B" w:rsidRPr="00740918" w:rsidRDefault="005B142B" w:rsidP="005B142B">
      <w:pPr>
        <w:pStyle w:val="dpReclev2"/>
        <w:tabs>
          <w:tab w:val="clear" w:pos="1070"/>
          <w:tab w:val="num" w:pos="426"/>
        </w:tabs>
        <w:spacing w:after="60"/>
        <w:ind w:left="426" w:hanging="357"/>
        <w:contextualSpacing w:val="0"/>
        <w:rPr>
          <w:rFonts w:asciiTheme="minorHAnsi" w:hAnsiTheme="minorHAnsi" w:cstheme="minorHAnsi"/>
        </w:rPr>
      </w:pPr>
      <w:r w:rsidRPr="00740918">
        <w:rPr>
          <w:rFonts w:asciiTheme="minorHAnsi" w:hAnsiTheme="minorHAnsi" w:cstheme="minorHAnsi"/>
        </w:rPr>
        <w:lastRenderedPageBreak/>
        <w:t>The varying nature of infrastructur</w:t>
      </w:r>
      <w:r>
        <w:rPr>
          <w:rFonts w:asciiTheme="minorHAnsi" w:hAnsiTheme="minorHAnsi" w:cstheme="minorHAnsi"/>
        </w:rPr>
        <w:t>e, culture and capacity across Service R</w:t>
      </w:r>
      <w:r w:rsidRPr="00740918">
        <w:rPr>
          <w:rFonts w:asciiTheme="minorHAnsi" w:hAnsiTheme="minorHAnsi" w:cstheme="minorHAnsi"/>
        </w:rPr>
        <w:t>egions. There are different challenges for providers operating in metropolitan</w:t>
      </w:r>
      <w:r>
        <w:rPr>
          <w:rFonts w:asciiTheme="minorHAnsi" w:hAnsiTheme="minorHAnsi" w:cstheme="minorHAnsi"/>
        </w:rPr>
        <w:t>, rural and remote areas. Some Service R</w:t>
      </w:r>
      <w:r w:rsidRPr="00740918">
        <w:rPr>
          <w:rFonts w:asciiTheme="minorHAnsi" w:hAnsiTheme="minorHAnsi" w:cstheme="minorHAnsi"/>
        </w:rPr>
        <w:t xml:space="preserve">egions, and some communities within </w:t>
      </w:r>
      <w:r>
        <w:rPr>
          <w:rFonts w:asciiTheme="minorHAnsi" w:hAnsiTheme="minorHAnsi" w:cstheme="minorHAnsi"/>
        </w:rPr>
        <w:t>S</w:t>
      </w:r>
      <w:r w:rsidRPr="00740918">
        <w:rPr>
          <w:rFonts w:asciiTheme="minorHAnsi" w:hAnsiTheme="minorHAnsi" w:cstheme="minorHAnsi"/>
        </w:rPr>
        <w:t xml:space="preserve">ervice </w:t>
      </w:r>
      <w:r>
        <w:rPr>
          <w:rFonts w:asciiTheme="minorHAnsi" w:hAnsiTheme="minorHAnsi" w:cstheme="minorHAnsi"/>
        </w:rPr>
        <w:t>R</w:t>
      </w:r>
      <w:r w:rsidRPr="00740918">
        <w:rPr>
          <w:rFonts w:asciiTheme="minorHAnsi" w:hAnsiTheme="minorHAnsi" w:cstheme="minorHAnsi"/>
        </w:rPr>
        <w:t xml:space="preserve">egions, are more conducive to partnership development than others. </w:t>
      </w:r>
    </w:p>
    <w:p w:rsidR="005B142B" w:rsidRPr="00B07FB9" w:rsidRDefault="005B142B" w:rsidP="005B142B">
      <w:pPr>
        <w:pStyle w:val="dpReclev2"/>
        <w:tabs>
          <w:tab w:val="clear" w:pos="1070"/>
          <w:tab w:val="num" w:pos="426"/>
          <w:tab w:val="num" w:pos="567"/>
        </w:tabs>
        <w:ind w:left="426"/>
        <w:rPr>
          <w:rFonts w:asciiTheme="minorHAnsi" w:hAnsiTheme="minorHAnsi" w:cstheme="minorHAnsi"/>
        </w:rPr>
      </w:pPr>
      <w:r w:rsidRPr="00740918">
        <w:rPr>
          <w:rFonts w:asciiTheme="minorHAnsi" w:hAnsiTheme="minorHAnsi" w:cstheme="minorHAnsi"/>
        </w:rPr>
        <w:t>The capacity of personnel undertaking the Partnership Broker role also varies across, and within regions. Some providers, particularly those in remote regions, have had difficulty finding people with the necessary skill set</w:t>
      </w:r>
      <w:r>
        <w:rPr>
          <w:rFonts w:asciiTheme="minorHAnsi" w:hAnsiTheme="minorHAnsi" w:cstheme="minorHAnsi"/>
        </w:rPr>
        <w:t xml:space="preserve"> to deliver program outcomes</w:t>
      </w:r>
      <w:r w:rsidRPr="00740918">
        <w:rPr>
          <w:rFonts w:asciiTheme="minorHAnsi" w:hAnsiTheme="minorHAnsi" w:cstheme="minorHAnsi"/>
        </w:rPr>
        <w:t>.</w:t>
      </w:r>
    </w:p>
    <w:p w:rsidR="005B142B" w:rsidRPr="00363409" w:rsidRDefault="005B142B" w:rsidP="005B142B">
      <w:pPr>
        <w:spacing w:after="120"/>
        <w:rPr>
          <w:rFonts w:cstheme="minorHAnsi"/>
          <w:b/>
        </w:rPr>
      </w:pPr>
      <w:r w:rsidRPr="00A01A4B">
        <w:rPr>
          <w:rFonts w:cstheme="minorHAnsi"/>
          <w:b/>
        </w:rPr>
        <w:t xml:space="preserve">Support from </w:t>
      </w:r>
      <w:proofErr w:type="spellStart"/>
      <w:r w:rsidRPr="00A01A4B">
        <w:rPr>
          <w:rFonts w:cstheme="minorHAnsi"/>
          <w:b/>
        </w:rPr>
        <w:t>DEEWR</w:t>
      </w:r>
      <w:proofErr w:type="spellEnd"/>
    </w:p>
    <w:p w:rsidR="005B142B" w:rsidRDefault="005B142B" w:rsidP="005B142B">
      <w:pPr>
        <w:rPr>
          <w:rFonts w:cstheme="minorHAnsi"/>
        </w:rPr>
      </w:pPr>
      <w:proofErr w:type="spellStart"/>
      <w:r w:rsidRPr="00082A8D">
        <w:rPr>
          <w:rFonts w:cstheme="minorHAnsi"/>
        </w:rPr>
        <w:t>DEEWR</w:t>
      </w:r>
      <w:proofErr w:type="spellEnd"/>
      <w:r w:rsidRPr="00082A8D">
        <w:rPr>
          <w:rFonts w:cstheme="minorHAnsi"/>
        </w:rPr>
        <w:t xml:space="preserve"> has supported the achievement of program outcomes through the provision of induction forums, regional forums, training on the information management system, </w:t>
      </w:r>
      <w:r>
        <w:rPr>
          <w:rFonts w:cstheme="minorHAnsi"/>
        </w:rPr>
        <w:t>professional development, support</w:t>
      </w:r>
      <w:r w:rsidRPr="00082A8D">
        <w:rPr>
          <w:rFonts w:cstheme="minorHAnsi"/>
        </w:rPr>
        <w:t xml:space="preserve"> tools </w:t>
      </w:r>
      <w:r>
        <w:rPr>
          <w:rFonts w:cstheme="minorHAnsi"/>
        </w:rPr>
        <w:t>and the funding of jurisdiction-</w:t>
      </w:r>
      <w:r w:rsidRPr="00082A8D">
        <w:rPr>
          <w:rFonts w:cstheme="minorHAnsi"/>
        </w:rPr>
        <w:t>based and national provider networks. The contract management approach in the first year of operation has been intensive</w:t>
      </w:r>
      <w:r>
        <w:rPr>
          <w:rFonts w:cstheme="minorHAnsi"/>
        </w:rPr>
        <w:t xml:space="preserve">, </w:t>
      </w:r>
      <w:r w:rsidRPr="00082A8D">
        <w:rPr>
          <w:rFonts w:cstheme="minorHAnsi"/>
        </w:rPr>
        <w:t xml:space="preserve">focused on reinforcing provider understanding and </w:t>
      </w:r>
      <w:r>
        <w:rPr>
          <w:rFonts w:cstheme="minorHAnsi"/>
        </w:rPr>
        <w:t xml:space="preserve">on </w:t>
      </w:r>
      <w:r w:rsidRPr="00082A8D">
        <w:rPr>
          <w:rFonts w:cstheme="minorHAnsi"/>
        </w:rPr>
        <w:t>developing provid</w:t>
      </w:r>
      <w:r>
        <w:rPr>
          <w:rFonts w:cstheme="minorHAnsi"/>
        </w:rPr>
        <w:t>er</w:t>
      </w:r>
      <w:r w:rsidRPr="00082A8D">
        <w:rPr>
          <w:rFonts w:cstheme="minorHAnsi"/>
        </w:rPr>
        <w:t xml:space="preserve"> capacity. </w:t>
      </w:r>
    </w:p>
    <w:p w:rsidR="005B142B" w:rsidRDefault="005B142B" w:rsidP="005B142B">
      <w:pPr>
        <w:spacing w:before="120"/>
        <w:rPr>
          <w:rFonts w:cstheme="minorHAnsi"/>
        </w:rPr>
      </w:pPr>
      <w:r w:rsidRPr="00740918">
        <w:rPr>
          <w:rFonts w:cstheme="minorHAnsi"/>
        </w:rPr>
        <w:t xml:space="preserve">Provider networks at both a jurisdiction and national level </w:t>
      </w:r>
      <w:r>
        <w:rPr>
          <w:rFonts w:cstheme="minorHAnsi"/>
        </w:rPr>
        <w:t xml:space="preserve">have been established and </w:t>
      </w:r>
      <w:r w:rsidRPr="00740918">
        <w:rPr>
          <w:rFonts w:cstheme="minorHAnsi"/>
        </w:rPr>
        <w:t>are developing and implementing strategies to support improved outcomes for the program. However, performance of the networks has been variable and significant examples of the networks proactively engaging with organisations and peak bodies at a state and/or national level</w:t>
      </w:r>
      <w:r>
        <w:rPr>
          <w:rFonts w:cstheme="minorHAnsi"/>
        </w:rPr>
        <w:t xml:space="preserve"> are yet to be seen.</w:t>
      </w:r>
    </w:p>
    <w:p w:rsidR="005B142B" w:rsidRPr="009C371C" w:rsidRDefault="005B142B" w:rsidP="005B142B">
      <w:pPr>
        <w:pStyle w:val="Heading1"/>
        <w:spacing w:before="120" w:after="120"/>
        <w:rPr>
          <w:rFonts w:asciiTheme="minorHAnsi" w:hAnsiTheme="minorHAnsi" w:cstheme="minorHAnsi"/>
          <w:color w:val="auto"/>
          <w:sz w:val="22"/>
          <w:szCs w:val="22"/>
          <w:lang w:eastAsia="en-AU"/>
        </w:rPr>
      </w:pPr>
      <w:bookmarkStart w:id="14" w:name="_Toc294619484"/>
      <w:r w:rsidRPr="00363409">
        <w:rPr>
          <w:rFonts w:asciiTheme="minorHAnsi" w:hAnsiTheme="minorHAnsi" w:cstheme="minorHAnsi"/>
          <w:color w:val="auto"/>
          <w:sz w:val="22"/>
          <w:szCs w:val="22"/>
          <w:lang w:eastAsia="en-AU"/>
        </w:rPr>
        <w:t>Program Priorities</w:t>
      </w:r>
      <w:bookmarkEnd w:id="14"/>
    </w:p>
    <w:p w:rsidR="005B142B" w:rsidRDefault="005B142B" w:rsidP="005B142B">
      <w:pPr>
        <w:spacing w:after="120"/>
        <w:rPr>
          <w:rFonts w:cstheme="minorHAnsi"/>
        </w:rPr>
      </w:pPr>
      <w:r w:rsidRPr="005B35A0">
        <w:rPr>
          <w:rFonts w:cstheme="minorHAnsi"/>
        </w:rPr>
        <w:t>61 per cent of Partnership Brokers</w:t>
      </w:r>
      <w:r w:rsidRPr="00CB32EC">
        <w:rPr>
          <w:rFonts w:cstheme="minorHAnsi"/>
        </w:rPr>
        <w:t xml:space="preserve"> </w:t>
      </w:r>
      <w:r>
        <w:rPr>
          <w:rFonts w:cstheme="minorHAnsi"/>
        </w:rPr>
        <w:t>reported they we</w:t>
      </w:r>
      <w:r w:rsidRPr="00CB32EC">
        <w:rPr>
          <w:rFonts w:cstheme="minorHAnsi"/>
        </w:rPr>
        <w:t xml:space="preserve">re </w:t>
      </w:r>
      <w:r>
        <w:rPr>
          <w:rFonts w:cstheme="minorHAnsi"/>
        </w:rPr>
        <w:t>‘</w:t>
      </w:r>
      <w:r w:rsidRPr="00CB32EC">
        <w:rPr>
          <w:rFonts w:cstheme="minorHAnsi"/>
        </w:rPr>
        <w:t>very</w:t>
      </w:r>
      <w:r>
        <w:rPr>
          <w:rFonts w:cstheme="minorHAnsi"/>
        </w:rPr>
        <w:t xml:space="preserve"> effective’</w:t>
      </w:r>
      <w:r w:rsidRPr="00CB32EC">
        <w:rPr>
          <w:rFonts w:cstheme="minorHAnsi"/>
        </w:rPr>
        <w:t xml:space="preserve"> or </w:t>
      </w:r>
      <w:r>
        <w:rPr>
          <w:rFonts w:cstheme="minorHAnsi"/>
        </w:rPr>
        <w:t>‘</w:t>
      </w:r>
      <w:r w:rsidRPr="00CB32EC">
        <w:rPr>
          <w:rFonts w:cstheme="minorHAnsi"/>
        </w:rPr>
        <w:t>extremely effective</w:t>
      </w:r>
      <w:r>
        <w:rPr>
          <w:rFonts w:cstheme="minorHAnsi"/>
        </w:rPr>
        <w:t>’</w:t>
      </w:r>
      <w:r w:rsidRPr="00CB32EC">
        <w:rPr>
          <w:rFonts w:cstheme="minorHAnsi"/>
        </w:rPr>
        <w:t xml:space="preserve"> in addressing their top regional priority</w:t>
      </w:r>
      <w:r>
        <w:rPr>
          <w:rFonts w:cstheme="minorHAnsi"/>
        </w:rPr>
        <w:t xml:space="preserve"> for 2010</w:t>
      </w:r>
      <w:r w:rsidRPr="00CB32EC">
        <w:rPr>
          <w:rFonts w:cstheme="minorHAnsi"/>
        </w:rPr>
        <w:t xml:space="preserve">. </w:t>
      </w:r>
      <w:r>
        <w:rPr>
          <w:rFonts w:cstheme="minorHAnsi"/>
        </w:rPr>
        <w:t>Among the most commonly reported priorities were:</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Increasing Indigenous engagement and attainment.</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Addressing regional or industry specific skills shortages.</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Minimising the impact of mental health, drug abuse and homelessness issues on retention and attainment.</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Enhancing parental and family engagement.</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 xml:space="preserve">Improving regional and remote service delivery. </w:t>
      </w:r>
    </w:p>
    <w:p w:rsidR="005B142B" w:rsidRPr="006904B5"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 xml:space="preserve">Engaging and improving outcomes for humanitarian refugees and culturally and linguistically diverse young people. </w:t>
      </w:r>
    </w:p>
    <w:p w:rsidR="005B142B" w:rsidRDefault="005B142B" w:rsidP="005B142B">
      <w:pPr>
        <w:pStyle w:val="ListParagraph"/>
        <w:numPr>
          <w:ilvl w:val="0"/>
          <w:numId w:val="35"/>
        </w:numPr>
        <w:spacing w:line="240" w:lineRule="auto"/>
        <w:contextualSpacing w:val="0"/>
        <w:rPr>
          <w:rFonts w:ascii="Calibri" w:hAnsi="Calibri" w:cs="Calibri"/>
        </w:rPr>
      </w:pPr>
      <w:r>
        <w:rPr>
          <w:rFonts w:ascii="Calibri" w:hAnsi="Calibri" w:cs="Calibri"/>
        </w:rPr>
        <w:t>Improving literacy and numeracy levels across all age groups</w:t>
      </w:r>
    </w:p>
    <w:p w:rsidR="005B142B" w:rsidRPr="00B474F2" w:rsidRDefault="005B142B" w:rsidP="005B142B">
      <w:pPr>
        <w:pStyle w:val="ListParagraph"/>
        <w:numPr>
          <w:ilvl w:val="0"/>
          <w:numId w:val="35"/>
        </w:numPr>
        <w:spacing w:after="240" w:line="240" w:lineRule="auto"/>
        <w:ind w:left="714" w:hanging="357"/>
        <w:contextualSpacing w:val="0"/>
        <w:rPr>
          <w:rFonts w:ascii="Calibri" w:hAnsi="Calibri" w:cs="Calibri"/>
        </w:rPr>
      </w:pPr>
      <w:r>
        <w:rPr>
          <w:rFonts w:ascii="Calibri" w:hAnsi="Calibri" w:cs="Calibri"/>
        </w:rPr>
        <w:t>Supporting youth mentoring arrangements.</w:t>
      </w:r>
    </w:p>
    <w:p w:rsidR="005B142B" w:rsidRPr="00363409" w:rsidRDefault="005B142B" w:rsidP="005B142B">
      <w:pPr>
        <w:spacing w:before="120"/>
        <w:rPr>
          <w:rFonts w:cstheme="minorHAnsi"/>
          <w:b/>
        </w:rPr>
      </w:pPr>
      <w:r w:rsidRPr="00363409">
        <w:rPr>
          <w:rFonts w:cstheme="minorHAnsi"/>
          <w:b/>
        </w:rPr>
        <w:t>Collaboration between Partnership Broker</w:t>
      </w:r>
      <w:r>
        <w:rPr>
          <w:rFonts w:cstheme="minorHAnsi"/>
          <w:b/>
        </w:rPr>
        <w:t>s</w:t>
      </w:r>
      <w:r w:rsidRPr="00363409">
        <w:rPr>
          <w:rFonts w:cstheme="minorHAnsi"/>
          <w:b/>
        </w:rPr>
        <w:t xml:space="preserve"> and Youth Connections providers</w:t>
      </w:r>
    </w:p>
    <w:p w:rsidR="005B142B" w:rsidRDefault="005B142B" w:rsidP="005B142B">
      <w:pPr>
        <w:spacing w:before="120"/>
        <w:rPr>
          <w:rFonts w:cstheme="minorHAnsi"/>
        </w:rPr>
      </w:pPr>
      <w:r w:rsidRPr="00363409">
        <w:rPr>
          <w:rFonts w:cstheme="minorHAnsi"/>
        </w:rPr>
        <w:t>An important feature of the Partnership Brokers and Youth Connections programs is the requirement for providers to work together to identify and address the needs of their region. In some regions, providers are working well together and progressing partnership arrangements to improve support services, however, the level of collaboration in other regions is variable. In regions where collaboration has been limited, Youth Connections providers appear to have concentrated on delivery of case management services and Partnership Brokers have focused on stakeholder engagement and partnership development more broadly.</w:t>
      </w:r>
    </w:p>
    <w:p w:rsidR="005B142B" w:rsidRDefault="005B142B" w:rsidP="005B142B">
      <w:pPr>
        <w:pStyle w:val="Heading1"/>
        <w:spacing w:before="240"/>
        <w:rPr>
          <w:lang w:eastAsia="en-AU"/>
        </w:rPr>
      </w:pPr>
      <w:bookmarkStart w:id="15" w:name="_Toc294619485"/>
      <w:r>
        <w:rPr>
          <w:lang w:eastAsia="en-AU"/>
        </w:rPr>
        <w:t>NORTHERN TERRITORY</w:t>
      </w:r>
      <w:bookmarkEnd w:id="15"/>
    </w:p>
    <w:p w:rsidR="005B142B" w:rsidRPr="001D6AF5" w:rsidRDefault="005B142B" w:rsidP="005B142B">
      <w:pPr>
        <w:spacing w:after="120"/>
        <w:rPr>
          <w:rFonts w:ascii="Calibri" w:hAnsi="Calibri"/>
          <w:b/>
        </w:rPr>
      </w:pPr>
      <w:r w:rsidRPr="001D6AF5">
        <w:rPr>
          <w:rFonts w:ascii="Calibri" w:hAnsi="Calibri"/>
          <w:b/>
        </w:rPr>
        <w:t>Context</w:t>
      </w:r>
    </w:p>
    <w:p w:rsidR="005B142B" w:rsidRPr="00C662C0" w:rsidRDefault="005B142B" w:rsidP="005B142B">
      <w:pPr>
        <w:spacing w:after="120"/>
        <w:rPr>
          <w:rFonts w:cstheme="minorHAnsi"/>
        </w:rPr>
      </w:pPr>
      <w:r w:rsidRPr="00E621F0">
        <w:rPr>
          <w:rFonts w:cstheme="minorHAnsi"/>
        </w:rPr>
        <w:t>The School Business Community Partnerships program is delivered across 5 regions</w:t>
      </w:r>
      <w:r w:rsidRPr="00FA54B8">
        <w:rPr>
          <w:rFonts w:cstheme="minorHAnsi"/>
        </w:rPr>
        <w:t xml:space="preserve"> </w:t>
      </w:r>
      <w:r>
        <w:rPr>
          <w:rFonts w:cstheme="minorHAnsi"/>
        </w:rPr>
        <w:t xml:space="preserve">in the </w:t>
      </w:r>
      <w:r w:rsidRPr="00E621F0">
        <w:rPr>
          <w:rFonts w:cstheme="minorHAnsi"/>
        </w:rPr>
        <w:t>Northern Territory</w:t>
      </w:r>
      <w:r>
        <w:rPr>
          <w:rFonts w:cstheme="minorHAnsi"/>
        </w:rPr>
        <w:t xml:space="preserve"> (NT)</w:t>
      </w:r>
      <w:r w:rsidRPr="00E621F0">
        <w:rPr>
          <w:rFonts w:cstheme="minorHAnsi"/>
        </w:rPr>
        <w:t xml:space="preserve">, which align with the </w:t>
      </w:r>
      <w:r>
        <w:rPr>
          <w:rFonts w:cstheme="minorHAnsi"/>
        </w:rPr>
        <w:t>NT</w:t>
      </w:r>
      <w:r w:rsidRPr="00E621F0">
        <w:rPr>
          <w:rFonts w:cstheme="minorHAnsi"/>
        </w:rPr>
        <w:t xml:space="preserve"> shire and municipality region constructs.  In the</w:t>
      </w:r>
      <w:r w:rsidRPr="00FA54B8">
        <w:rPr>
          <w:rFonts w:cstheme="minorHAnsi"/>
        </w:rPr>
        <w:t xml:space="preserve"> </w:t>
      </w:r>
      <w:r w:rsidRPr="00E621F0">
        <w:rPr>
          <w:rFonts w:cstheme="minorHAnsi"/>
        </w:rPr>
        <w:t>NT, Partnership Broker providers are</w:t>
      </w:r>
      <w:r>
        <w:rPr>
          <w:rFonts w:cstheme="minorHAnsi"/>
        </w:rPr>
        <w:t xml:space="preserve"> required</w:t>
      </w:r>
      <w:r w:rsidRPr="00E621F0">
        <w:rPr>
          <w:rFonts w:cstheme="minorHAnsi"/>
        </w:rPr>
        <w:t xml:space="preserve"> to focus remote service delivery in the 20 Territory Growth Towns identified under the NT Government’s Working Future Initiative and Remote Service Delivery National Partnership.  These towns are all very remote and have limited services when compared to like size towns in </w:t>
      </w:r>
      <w:r>
        <w:rPr>
          <w:rFonts w:cstheme="minorHAnsi"/>
        </w:rPr>
        <w:t xml:space="preserve">other </w:t>
      </w:r>
      <w:r w:rsidRPr="00E621F0">
        <w:rPr>
          <w:rFonts w:cstheme="minorHAnsi"/>
        </w:rPr>
        <w:t xml:space="preserve">rural and remote areas. </w:t>
      </w:r>
    </w:p>
    <w:p w:rsidR="005B142B" w:rsidRPr="00DC1395" w:rsidRDefault="005B142B" w:rsidP="005B142B">
      <w:pPr>
        <w:spacing w:after="120"/>
        <w:rPr>
          <w:rFonts w:cstheme="minorHAnsi"/>
        </w:rPr>
      </w:pPr>
      <w:r>
        <w:rPr>
          <w:rFonts w:cstheme="minorHAnsi"/>
          <w:b/>
        </w:rPr>
        <w:lastRenderedPageBreak/>
        <w:t xml:space="preserve">Program Status </w:t>
      </w:r>
    </w:p>
    <w:p w:rsidR="005B142B" w:rsidRPr="00C662C0" w:rsidRDefault="005B142B" w:rsidP="005B142B">
      <w:pPr>
        <w:spacing w:after="120"/>
        <w:rPr>
          <w:rFonts w:cstheme="minorHAnsi"/>
        </w:rPr>
      </w:pPr>
      <w:r w:rsidRPr="007E09F4">
        <w:rPr>
          <w:rFonts w:cstheme="minorHAnsi"/>
        </w:rPr>
        <w:t xml:space="preserve">By April 2011, there were over 35 active and self-sustaining partnerships </w:t>
      </w:r>
      <w:r>
        <w:rPr>
          <w:rFonts w:cstheme="minorHAnsi"/>
        </w:rPr>
        <w:t xml:space="preserve">associated with </w:t>
      </w:r>
      <w:r w:rsidRPr="007E09F4">
        <w:rPr>
          <w:rFonts w:cstheme="minorHAnsi"/>
        </w:rPr>
        <w:t>Partnership Brokers in Northern Territory involving approximately 200 partner organisations. These partnerships are undertaking a range of activity to support the learning and development of young people in their community. Approximately 60 per cent of these partnerships have an Indigenous focus. There have been approximately 200 Outcomes Framework Key Performance Measure (</w:t>
      </w:r>
      <w:proofErr w:type="spellStart"/>
      <w:r w:rsidRPr="007E09F4">
        <w:rPr>
          <w:rFonts w:cstheme="minorHAnsi"/>
        </w:rPr>
        <w:t>KPM</w:t>
      </w:r>
      <w:proofErr w:type="spellEnd"/>
      <w:r w:rsidRPr="007E09F4">
        <w:rPr>
          <w:rFonts w:cstheme="minorHAnsi"/>
        </w:rPr>
        <w:t xml:space="preserve">) evaluations with around 40 (20%) of those evaluations rating the partnership’s progress as ‘Considerable’ or ‘Achieved’. </w:t>
      </w:r>
    </w:p>
    <w:p w:rsidR="005B142B" w:rsidRPr="001D6AF5" w:rsidRDefault="005B142B" w:rsidP="005B142B">
      <w:pPr>
        <w:spacing w:after="120"/>
        <w:rPr>
          <w:rFonts w:cstheme="minorHAnsi"/>
          <w:b/>
        </w:rPr>
      </w:pPr>
      <w:r>
        <w:rPr>
          <w:rFonts w:cstheme="minorHAnsi"/>
          <w:b/>
        </w:rPr>
        <w:t>Challenges</w:t>
      </w:r>
    </w:p>
    <w:p w:rsidR="005B142B" w:rsidRDefault="005B142B" w:rsidP="005B142B">
      <w:pPr>
        <w:spacing w:after="120"/>
        <w:rPr>
          <w:rFonts w:cstheme="minorHAnsi"/>
        </w:rPr>
      </w:pPr>
      <w:r w:rsidRPr="00511A0B">
        <w:rPr>
          <w:rFonts w:cstheme="minorHAnsi"/>
        </w:rPr>
        <w:t>While the information above indicates progress,</w:t>
      </w:r>
      <w:r w:rsidRPr="00511A0B">
        <w:rPr>
          <w:rFonts w:ascii="Calibri" w:hAnsi="Calibri"/>
        </w:rPr>
        <w:t xml:space="preserve"> </w:t>
      </w:r>
      <w:r w:rsidRPr="00511A0B">
        <w:rPr>
          <w:rFonts w:cstheme="minorHAnsi"/>
        </w:rPr>
        <w:t xml:space="preserve">individual providers and the program </w:t>
      </w:r>
      <w:r>
        <w:rPr>
          <w:rFonts w:cstheme="minorHAnsi"/>
        </w:rPr>
        <w:t xml:space="preserve">in the Northern Territory </w:t>
      </w:r>
      <w:r w:rsidRPr="00511A0B">
        <w:rPr>
          <w:rFonts w:cstheme="minorHAnsi"/>
        </w:rPr>
        <w:t xml:space="preserve">have also faced many of the challenges outlined in the National Summary. In particular, </w:t>
      </w:r>
      <w:r>
        <w:rPr>
          <w:rFonts w:cstheme="minorHAnsi"/>
        </w:rPr>
        <w:t>it is an ongoing challenge for some providers to make the transition from a ‘hands on’ service delivery role to a strategic facilitation role.  The NT Partnerships Brokers have also had some difficulty finding people with the necessary skill set to deliver the program and this has impacted on the achievement of program outcomes. The Partnership Broker providers have also indicated that it has taken a considerable amount of time and effort to educate stakeholders about the role of a Partnership Broker and the assistance they can offer under the program.</w:t>
      </w:r>
    </w:p>
    <w:p w:rsidR="005B142B" w:rsidRDefault="005B142B" w:rsidP="005B142B">
      <w:pPr>
        <w:spacing w:after="120"/>
        <w:rPr>
          <w:rFonts w:cstheme="minorHAnsi"/>
        </w:rPr>
      </w:pPr>
      <w:r>
        <w:rPr>
          <w:rFonts w:cstheme="minorHAnsi"/>
        </w:rPr>
        <w:t>In the Territory Growth Towns,</w:t>
      </w:r>
      <w:r w:rsidRPr="00E621F0">
        <w:rPr>
          <w:rFonts w:cstheme="minorHAnsi"/>
        </w:rPr>
        <w:t xml:space="preserve"> </w:t>
      </w:r>
      <w:r>
        <w:rPr>
          <w:rFonts w:cstheme="minorHAnsi"/>
        </w:rPr>
        <w:t xml:space="preserve">the capacity of </w:t>
      </w:r>
      <w:r w:rsidRPr="00E621F0">
        <w:rPr>
          <w:rFonts w:cstheme="minorHAnsi"/>
        </w:rPr>
        <w:t>stakeholder</w:t>
      </w:r>
      <w:r>
        <w:rPr>
          <w:rFonts w:cstheme="minorHAnsi"/>
        </w:rPr>
        <w:t>s</w:t>
      </w:r>
      <w:r w:rsidRPr="00E621F0">
        <w:rPr>
          <w:rFonts w:cstheme="minorHAnsi"/>
        </w:rPr>
        <w:t xml:space="preserve"> to support Partnership Brokers work is often limited</w:t>
      </w:r>
      <w:r>
        <w:rPr>
          <w:rFonts w:cstheme="minorHAnsi"/>
        </w:rPr>
        <w:t>. B</w:t>
      </w:r>
      <w:r w:rsidRPr="00E621F0">
        <w:rPr>
          <w:rFonts w:cstheme="minorHAnsi"/>
        </w:rPr>
        <w:t xml:space="preserve">ecause of the </w:t>
      </w:r>
      <w:r>
        <w:rPr>
          <w:rFonts w:cstheme="minorHAnsi"/>
        </w:rPr>
        <w:t>attention and resources</w:t>
      </w:r>
      <w:r w:rsidRPr="00E621F0">
        <w:rPr>
          <w:rFonts w:cstheme="minorHAnsi"/>
        </w:rPr>
        <w:t xml:space="preserve"> the Northern Territory Intervention and Remote Service Delivery activities have bought to these communities</w:t>
      </w:r>
      <w:r>
        <w:rPr>
          <w:rFonts w:cstheme="minorHAnsi"/>
        </w:rPr>
        <w:t>,</w:t>
      </w:r>
      <w:r w:rsidRPr="00E621F0">
        <w:rPr>
          <w:rFonts w:cstheme="minorHAnsi"/>
        </w:rPr>
        <w:t xml:space="preserve"> there is a level of fatigue within organisations</w:t>
      </w:r>
      <w:r>
        <w:rPr>
          <w:rFonts w:cstheme="minorHAnsi"/>
        </w:rPr>
        <w:t>,</w:t>
      </w:r>
      <w:r w:rsidRPr="00E621F0">
        <w:rPr>
          <w:rFonts w:cstheme="minorHAnsi"/>
        </w:rPr>
        <w:t xml:space="preserve"> key stakeholder groups and individuals. </w:t>
      </w:r>
      <w:r>
        <w:rPr>
          <w:rFonts w:cstheme="minorHAnsi"/>
        </w:rPr>
        <w:t>The NT Partnership Brokers have also found some Service Regions, and some communities, are more conducive to partnership development than others. A key strategy being employed by Partnership Broker organisations is to leverage off other business they are involved in to develop partnerships.</w:t>
      </w:r>
    </w:p>
    <w:p w:rsidR="005B142B" w:rsidRDefault="005B142B" w:rsidP="005B142B">
      <w:pPr>
        <w:rPr>
          <w:rFonts w:ascii="Calibri" w:hAnsi="Calibri"/>
        </w:rPr>
      </w:pPr>
      <w:r w:rsidRPr="00E621F0">
        <w:rPr>
          <w:rFonts w:cstheme="minorHAnsi"/>
        </w:rPr>
        <w:t>In addition</w:t>
      </w:r>
      <w:r>
        <w:rPr>
          <w:rFonts w:cstheme="minorHAnsi"/>
        </w:rPr>
        <w:t>,</w:t>
      </w:r>
      <w:r w:rsidRPr="00E621F0">
        <w:rPr>
          <w:rFonts w:cstheme="minorHAnsi"/>
        </w:rPr>
        <w:t xml:space="preserve"> Partnership Brokers are re</w:t>
      </w:r>
      <w:r>
        <w:rPr>
          <w:rFonts w:cstheme="minorHAnsi"/>
        </w:rPr>
        <w:t xml:space="preserve">quired to travel long distances and access </w:t>
      </w:r>
      <w:proofErr w:type="gramStart"/>
      <w:r>
        <w:rPr>
          <w:rFonts w:cstheme="minorHAnsi"/>
        </w:rPr>
        <w:t>to</w:t>
      </w:r>
      <w:proofErr w:type="gramEnd"/>
      <w:r>
        <w:rPr>
          <w:rFonts w:cstheme="minorHAnsi"/>
        </w:rPr>
        <w:t xml:space="preserve"> </w:t>
      </w:r>
      <w:r w:rsidRPr="00E621F0">
        <w:rPr>
          <w:rFonts w:cstheme="minorHAnsi"/>
        </w:rPr>
        <w:t>many communities during the w</w:t>
      </w:r>
      <w:r>
        <w:rPr>
          <w:rFonts w:cstheme="minorHAnsi"/>
        </w:rPr>
        <w:t>et season is extremely difficult and</w:t>
      </w:r>
      <w:r w:rsidRPr="00E621F0">
        <w:rPr>
          <w:rFonts w:cstheme="minorHAnsi"/>
        </w:rPr>
        <w:t xml:space="preserve"> communit</w:t>
      </w:r>
      <w:r>
        <w:rPr>
          <w:rFonts w:cstheme="minorHAnsi"/>
        </w:rPr>
        <w:t>ies</w:t>
      </w:r>
      <w:r w:rsidRPr="00E621F0">
        <w:rPr>
          <w:rFonts w:cstheme="minorHAnsi"/>
        </w:rPr>
        <w:t xml:space="preserve"> can</w:t>
      </w:r>
      <w:r>
        <w:rPr>
          <w:rFonts w:cstheme="minorHAnsi"/>
        </w:rPr>
        <w:t xml:space="preserve"> also</w:t>
      </w:r>
      <w:r w:rsidRPr="00E621F0">
        <w:rPr>
          <w:rFonts w:cstheme="minorHAnsi"/>
        </w:rPr>
        <w:t xml:space="preserve"> be closed for cul</w:t>
      </w:r>
      <w:r>
        <w:rPr>
          <w:rFonts w:cstheme="minorHAnsi"/>
        </w:rPr>
        <w:t xml:space="preserve">tural business at short notice. </w:t>
      </w:r>
      <w:r w:rsidRPr="00E621F0">
        <w:rPr>
          <w:rFonts w:cstheme="minorHAnsi"/>
        </w:rPr>
        <w:t>Coordinating key stakeholders to be available concurrently can be a significant challenge to service delivery.</w:t>
      </w:r>
    </w:p>
    <w:p w:rsidR="005B142B" w:rsidRDefault="005B142B" w:rsidP="005B142B">
      <w:pPr>
        <w:autoSpaceDE w:val="0"/>
        <w:autoSpaceDN w:val="0"/>
        <w:adjustRightInd w:val="0"/>
        <w:rPr>
          <w:rFonts w:cstheme="minorHAnsi"/>
          <w:lang w:eastAsia="en-AU"/>
        </w:rPr>
      </w:pPr>
      <w:r>
        <w:rPr>
          <w:rFonts w:cstheme="minorHAnsi"/>
          <w:lang w:eastAsia="en-AU"/>
        </w:rPr>
        <w:t xml:space="preserve"> </w:t>
      </w:r>
    </w:p>
    <w:tbl>
      <w:tblPr>
        <w:tblW w:w="15356" w:type="dxa"/>
        <w:tblLayout w:type="fixed"/>
        <w:tblCellMar>
          <w:left w:w="28" w:type="dxa"/>
          <w:right w:w="28" w:type="dxa"/>
        </w:tblCellMar>
        <w:tblLook w:val="04A0" w:firstRow="1" w:lastRow="0" w:firstColumn="1" w:lastColumn="0" w:noHBand="0" w:noVBand="1"/>
      </w:tblPr>
      <w:tblGrid>
        <w:gridCol w:w="147"/>
        <w:gridCol w:w="2229"/>
        <w:gridCol w:w="1763"/>
        <w:gridCol w:w="1701"/>
        <w:gridCol w:w="1781"/>
        <w:gridCol w:w="1843"/>
        <w:gridCol w:w="5892"/>
      </w:tblGrid>
      <w:tr w:rsidR="005B142B" w:rsidRPr="00BF034D" w:rsidTr="005B142B">
        <w:trPr>
          <w:trHeight w:val="360"/>
        </w:trPr>
        <w:tc>
          <w:tcPr>
            <w:tcW w:w="15356" w:type="dxa"/>
            <w:gridSpan w:val="7"/>
            <w:shd w:val="clear" w:color="auto" w:fill="auto"/>
            <w:hideMark/>
          </w:tcPr>
          <w:p w:rsidR="005B142B" w:rsidRPr="00367DDD" w:rsidRDefault="005B142B" w:rsidP="005B142B">
            <w:pPr>
              <w:pStyle w:val="Heading1"/>
              <w:spacing w:before="120"/>
              <w:rPr>
                <w:rFonts w:asciiTheme="minorHAnsi" w:hAnsiTheme="minorHAnsi" w:cstheme="minorHAnsi"/>
                <w:u w:val="single"/>
                <w:lang w:eastAsia="en-AU"/>
              </w:rPr>
            </w:pPr>
            <w:bookmarkStart w:id="16" w:name="_Toc294619486"/>
            <w:r>
              <w:rPr>
                <w:rFonts w:asciiTheme="minorHAnsi" w:hAnsiTheme="minorHAnsi" w:cstheme="minorHAnsi"/>
                <w:u w:val="single"/>
                <w:lang w:eastAsia="en-AU"/>
              </w:rPr>
              <w:t xml:space="preserve">Table </w:t>
            </w:r>
            <w:proofErr w:type="gramStart"/>
            <w:r>
              <w:rPr>
                <w:rFonts w:asciiTheme="minorHAnsi" w:hAnsiTheme="minorHAnsi" w:cstheme="minorHAnsi"/>
                <w:u w:val="single"/>
                <w:lang w:eastAsia="en-AU"/>
              </w:rPr>
              <w:t>A</w:t>
            </w:r>
            <w:proofErr w:type="gramEnd"/>
            <w:r w:rsidRPr="00367DDD">
              <w:rPr>
                <w:rFonts w:asciiTheme="minorHAnsi" w:hAnsiTheme="minorHAnsi" w:cstheme="minorHAnsi"/>
                <w:u w:val="single"/>
                <w:lang w:eastAsia="en-AU"/>
              </w:rPr>
              <w:t xml:space="preserve"> – Number of Organisations in Partnerships by Stakeholder Group</w:t>
            </w:r>
            <w:r>
              <w:rPr>
                <w:rFonts w:asciiTheme="minorHAnsi" w:hAnsiTheme="minorHAnsi" w:cstheme="minorHAnsi"/>
                <w:u w:val="single"/>
                <w:lang w:eastAsia="en-AU"/>
              </w:rPr>
              <w:t xml:space="preserve"> </w:t>
            </w:r>
            <w:r w:rsidRPr="00CB32EC">
              <w:rPr>
                <w:rFonts w:asciiTheme="minorHAnsi" w:hAnsiTheme="minorHAnsi" w:cstheme="minorHAnsi"/>
                <w:b w:val="0"/>
                <w:sz w:val="24"/>
                <w:szCs w:val="24"/>
                <w:lang w:eastAsia="en-AU"/>
              </w:rPr>
              <w:t>(as at 12 April 2011</w:t>
            </w:r>
            <w:r w:rsidRPr="00CB32EC">
              <w:rPr>
                <w:rFonts w:asciiTheme="minorHAnsi" w:hAnsiTheme="minorHAnsi" w:cstheme="minorHAnsi"/>
                <w:b w:val="0"/>
                <w:lang w:eastAsia="en-AU"/>
              </w:rPr>
              <w:t>)</w:t>
            </w:r>
            <w:bookmarkEnd w:id="16"/>
          </w:p>
        </w:tc>
      </w:tr>
      <w:tr w:rsidR="005B142B" w:rsidRPr="00BF034D" w:rsidTr="005B142B">
        <w:trPr>
          <w:trHeight w:val="263"/>
        </w:trPr>
        <w:tc>
          <w:tcPr>
            <w:tcW w:w="15356" w:type="dxa"/>
            <w:gridSpan w:val="7"/>
            <w:shd w:val="clear" w:color="auto" w:fill="auto"/>
            <w:hideMark/>
          </w:tcPr>
          <w:p w:rsidR="005B142B" w:rsidRPr="002C6CE7" w:rsidRDefault="005B142B" w:rsidP="005B142B">
            <w:pPr>
              <w:rPr>
                <w:rFonts w:ascii="Calibri" w:hAnsi="Calibri" w:cs="Calibri"/>
                <w:color w:val="333333"/>
                <w:sz w:val="16"/>
                <w:szCs w:val="16"/>
                <w:lang w:eastAsia="en-AU"/>
              </w:rPr>
            </w:pPr>
          </w:p>
          <w:p w:rsidR="005B142B" w:rsidRPr="00CB32EC" w:rsidRDefault="005B142B" w:rsidP="005B142B">
            <w:pPr>
              <w:rPr>
                <w:rFonts w:ascii="Calibri" w:hAnsi="Calibri" w:cs="Calibri"/>
                <w:lang w:eastAsia="en-AU"/>
              </w:rPr>
            </w:pPr>
            <w:r w:rsidRPr="00CB32EC">
              <w:rPr>
                <w:rFonts w:ascii="Calibri" w:hAnsi="Calibri" w:cs="Calibri"/>
                <w:lang w:eastAsia="en-AU"/>
              </w:rPr>
              <w:t>This table shows the stakeholder groups represented in partnerships added during the selected reporting period.</w:t>
            </w:r>
          </w:p>
          <w:p w:rsidR="005B142B" w:rsidRPr="002C6CE7" w:rsidRDefault="005B142B" w:rsidP="005B142B">
            <w:pPr>
              <w:rPr>
                <w:rFonts w:cstheme="minorHAnsi"/>
                <w:b/>
                <w:sz w:val="16"/>
                <w:szCs w:val="16"/>
              </w:rPr>
            </w:pPr>
          </w:p>
          <w:p w:rsidR="005B142B" w:rsidRPr="00CB32EC" w:rsidRDefault="005B142B" w:rsidP="005B142B">
            <w:pPr>
              <w:rPr>
                <w:rFonts w:ascii="Calibri" w:hAnsi="Calibri" w:cs="Calibri"/>
              </w:rPr>
            </w:pPr>
            <w:r w:rsidRPr="00CB32EC">
              <w:rPr>
                <w:rFonts w:ascii="Calibri" w:hAnsi="Calibri" w:cs="Calibri"/>
                <w:b/>
              </w:rPr>
              <w:t>Note:</w:t>
            </w:r>
            <w:r w:rsidRPr="00CB32EC">
              <w:rPr>
                <w:rFonts w:ascii="Calibri" w:hAnsi="Calibri" w:cs="Calibri"/>
              </w:rPr>
              <w:t xml:space="preserve"> this data includes organisations in partnerships with status active, self-sustaining, draft, inactive and</w:t>
            </w:r>
            <w:r w:rsidRPr="00CB32EC">
              <w:rPr>
                <w:rFonts w:ascii="Calibri" w:hAnsi="Calibri" w:cs="Calibri"/>
              </w:rPr>
              <w:br/>
              <w:t>terminated. National figures do not include Victoria.</w:t>
            </w:r>
          </w:p>
          <w:p w:rsidR="005B142B" w:rsidRPr="00CB51D1" w:rsidRDefault="005B142B" w:rsidP="005B142B">
            <w:pPr>
              <w:rPr>
                <w:rFonts w:cstheme="minorHAnsi"/>
                <w:sz w:val="16"/>
                <w:szCs w:val="16"/>
              </w:rPr>
            </w:pPr>
          </w:p>
        </w:tc>
      </w:tr>
      <w:tr w:rsidR="005B142B" w:rsidRPr="002113D1" w:rsidTr="005B142B">
        <w:tblPrEx>
          <w:tblLook w:val="0000" w:firstRow="0" w:lastRow="0" w:firstColumn="0" w:lastColumn="0" w:noHBand="0" w:noVBand="0"/>
        </w:tblPrEx>
        <w:trPr>
          <w:gridBefore w:val="1"/>
          <w:gridAfter w:val="1"/>
          <w:wBefore w:w="147" w:type="dxa"/>
          <w:wAfter w:w="5892" w:type="dxa"/>
          <w:trHeight w:val="154"/>
        </w:trPr>
        <w:tc>
          <w:tcPr>
            <w:tcW w:w="2229" w:type="dxa"/>
            <w:vMerge w:val="restart"/>
            <w:tcBorders>
              <w:top w:val="single" w:sz="12" w:space="0" w:color="auto"/>
              <w:left w:val="single" w:sz="12" w:space="0" w:color="auto"/>
              <w:right w:val="single" w:sz="12" w:space="0" w:color="auto"/>
            </w:tcBorders>
            <w:shd w:val="clear" w:color="auto" w:fill="D6E3BC" w:themeFill="accent3" w:themeFillTint="66"/>
            <w:noWrap/>
            <w:vAlign w:val="center"/>
          </w:tcPr>
          <w:p w:rsidR="005B142B" w:rsidRPr="00127E15" w:rsidRDefault="005B142B" w:rsidP="005B142B">
            <w:pPr>
              <w:rPr>
                <w:rFonts w:ascii="Arial" w:hAnsi="Arial" w:cs="Arial"/>
                <w:b/>
                <w:bCs/>
                <w:lang w:eastAsia="en-AU"/>
              </w:rPr>
            </w:pPr>
            <w:r w:rsidRPr="00127E15">
              <w:rPr>
                <w:rFonts w:ascii="Calibri" w:hAnsi="Calibri" w:cs="Calibri"/>
                <w:b/>
                <w:bCs/>
                <w:lang w:eastAsia="en-AU"/>
              </w:rPr>
              <w:t>Stakeholder Group</w:t>
            </w:r>
          </w:p>
        </w:tc>
        <w:tc>
          <w:tcPr>
            <w:tcW w:w="3464" w:type="dxa"/>
            <w:gridSpan w:val="2"/>
            <w:tcBorders>
              <w:top w:val="single" w:sz="12" w:space="0" w:color="auto"/>
              <w:left w:val="single" w:sz="12" w:space="0" w:color="auto"/>
              <w:bottom w:val="single" w:sz="4" w:space="0" w:color="auto"/>
              <w:right w:val="single" w:sz="12"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Pr>
                <w:rFonts w:ascii="Calibri" w:hAnsi="Calibri" w:cs="Calibri"/>
                <w:b/>
                <w:bCs/>
                <w:lang w:eastAsia="en-AU"/>
              </w:rPr>
              <w:t>State (NT</w:t>
            </w:r>
            <w:r w:rsidRPr="00127E15">
              <w:rPr>
                <w:rFonts w:ascii="Calibri" w:hAnsi="Calibri" w:cs="Calibri"/>
                <w:b/>
                <w:bCs/>
                <w:lang w:eastAsia="en-AU"/>
              </w:rPr>
              <w:t>)</w:t>
            </w:r>
          </w:p>
        </w:tc>
        <w:tc>
          <w:tcPr>
            <w:tcW w:w="3624" w:type="dxa"/>
            <w:gridSpan w:val="2"/>
            <w:tcBorders>
              <w:top w:val="single" w:sz="12" w:space="0" w:color="auto"/>
              <w:left w:val="single" w:sz="12" w:space="0" w:color="auto"/>
              <w:bottom w:val="single" w:sz="4" w:space="0" w:color="auto"/>
              <w:right w:val="single" w:sz="12"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sidRPr="00127E15">
              <w:rPr>
                <w:rFonts w:ascii="Calibri" w:hAnsi="Calibri" w:cs="Calibri"/>
                <w:b/>
                <w:bCs/>
                <w:lang w:eastAsia="en-AU"/>
              </w:rPr>
              <w:t>National</w:t>
            </w:r>
          </w:p>
        </w:tc>
      </w:tr>
      <w:tr w:rsidR="005B142B" w:rsidRPr="002113D1" w:rsidTr="005B142B">
        <w:tblPrEx>
          <w:tblLook w:val="0000" w:firstRow="0" w:lastRow="0" w:firstColumn="0" w:lastColumn="0" w:noHBand="0" w:noVBand="0"/>
        </w:tblPrEx>
        <w:trPr>
          <w:gridBefore w:val="1"/>
          <w:gridAfter w:val="1"/>
          <w:wBefore w:w="147" w:type="dxa"/>
          <w:wAfter w:w="5892" w:type="dxa"/>
          <w:trHeight w:val="255"/>
        </w:trPr>
        <w:tc>
          <w:tcPr>
            <w:tcW w:w="2229" w:type="dxa"/>
            <w:vMerge/>
            <w:tcBorders>
              <w:left w:val="single" w:sz="12" w:space="0" w:color="auto"/>
              <w:bottom w:val="single" w:sz="12" w:space="0" w:color="auto"/>
              <w:right w:val="single" w:sz="12" w:space="0" w:color="auto"/>
            </w:tcBorders>
            <w:shd w:val="clear" w:color="auto" w:fill="D6E3BC" w:themeFill="accent3" w:themeFillTint="66"/>
            <w:noWrap/>
            <w:vAlign w:val="center"/>
          </w:tcPr>
          <w:p w:rsidR="005B142B" w:rsidRPr="00127E15" w:rsidRDefault="005B142B" w:rsidP="005B142B">
            <w:pPr>
              <w:rPr>
                <w:rFonts w:ascii="Calibri" w:hAnsi="Calibri" w:cs="Calibri"/>
                <w:b/>
                <w:bCs/>
                <w:lang w:eastAsia="en-AU"/>
              </w:rPr>
            </w:pPr>
          </w:p>
        </w:tc>
        <w:tc>
          <w:tcPr>
            <w:tcW w:w="1763" w:type="dxa"/>
            <w:tcBorders>
              <w:top w:val="single" w:sz="4" w:space="0" w:color="auto"/>
              <w:left w:val="single" w:sz="12" w:space="0" w:color="auto"/>
              <w:bottom w:val="single" w:sz="12" w:space="0" w:color="auto"/>
              <w:right w:val="single" w:sz="4"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sidRPr="00127E15">
              <w:rPr>
                <w:rFonts w:ascii="Calibri" w:hAnsi="Calibri" w:cs="Calibri"/>
                <w:b/>
                <w:bCs/>
                <w:lang w:eastAsia="en-AU"/>
              </w:rPr>
              <w:t>Total</w:t>
            </w:r>
          </w:p>
        </w:tc>
        <w:tc>
          <w:tcPr>
            <w:tcW w:w="1701" w:type="dxa"/>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sidRPr="00127E15">
              <w:rPr>
                <w:rFonts w:ascii="Calibri" w:hAnsi="Calibri" w:cs="Calibri"/>
                <w:b/>
                <w:bCs/>
                <w:lang w:eastAsia="en-AU"/>
              </w:rPr>
              <w:t>% of Total</w:t>
            </w:r>
          </w:p>
        </w:tc>
        <w:tc>
          <w:tcPr>
            <w:tcW w:w="1781" w:type="dxa"/>
            <w:tcBorders>
              <w:top w:val="single" w:sz="4" w:space="0" w:color="auto"/>
              <w:left w:val="single" w:sz="12" w:space="0" w:color="auto"/>
              <w:bottom w:val="single" w:sz="12" w:space="0" w:color="auto"/>
              <w:right w:val="single" w:sz="4"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sidRPr="00127E15">
              <w:rPr>
                <w:rFonts w:ascii="Calibri" w:hAnsi="Calibri" w:cs="Calibri"/>
                <w:b/>
                <w:bCs/>
                <w:lang w:eastAsia="en-AU"/>
              </w:rPr>
              <w:t>Total</w:t>
            </w:r>
          </w:p>
        </w:tc>
        <w:tc>
          <w:tcPr>
            <w:tcW w:w="1843" w:type="dxa"/>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5B142B" w:rsidRPr="00127E15" w:rsidRDefault="005B142B" w:rsidP="005B142B">
            <w:pPr>
              <w:jc w:val="center"/>
              <w:rPr>
                <w:rFonts w:ascii="Calibri" w:hAnsi="Calibri" w:cs="Calibri"/>
                <w:b/>
                <w:bCs/>
                <w:lang w:eastAsia="en-AU"/>
              </w:rPr>
            </w:pPr>
            <w:r w:rsidRPr="00127E15">
              <w:rPr>
                <w:rFonts w:ascii="Calibri" w:hAnsi="Calibri" w:cs="Calibri"/>
                <w:b/>
                <w:bCs/>
                <w:lang w:eastAsia="en-AU"/>
              </w:rPr>
              <w:t>% of Total</w:t>
            </w:r>
          </w:p>
        </w:tc>
      </w:tr>
      <w:tr w:rsidR="005B142B" w:rsidRPr="002113D1" w:rsidTr="005B142B">
        <w:tblPrEx>
          <w:tblLook w:val="0000" w:firstRow="0" w:lastRow="0" w:firstColumn="0" w:lastColumn="0" w:noHBand="0" w:noVBand="0"/>
        </w:tblPrEx>
        <w:trPr>
          <w:gridBefore w:val="1"/>
          <w:gridAfter w:val="1"/>
          <w:wBefore w:w="147" w:type="dxa"/>
          <w:wAfter w:w="5892" w:type="dxa"/>
          <w:trHeight w:val="264"/>
        </w:trPr>
        <w:tc>
          <w:tcPr>
            <w:tcW w:w="222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5B142B" w:rsidRPr="00127E15" w:rsidRDefault="005B142B" w:rsidP="005B142B">
            <w:pPr>
              <w:rPr>
                <w:rFonts w:ascii="Calibri" w:hAnsi="Calibri" w:cs="Calibri"/>
                <w:lang w:eastAsia="en-AU"/>
              </w:rPr>
            </w:pPr>
            <w:r w:rsidRPr="00127E15">
              <w:rPr>
                <w:rFonts w:ascii="Calibri" w:hAnsi="Calibri" w:cs="Calibri"/>
                <w:lang w:eastAsia="en-AU"/>
              </w:rPr>
              <w:t>Business &amp; Industry</w:t>
            </w:r>
          </w:p>
        </w:tc>
        <w:tc>
          <w:tcPr>
            <w:tcW w:w="176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63</w:t>
            </w:r>
          </w:p>
        </w:tc>
        <w:tc>
          <w:tcPr>
            <w:tcW w:w="1701"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31%</w:t>
            </w:r>
          </w:p>
        </w:tc>
        <w:tc>
          <w:tcPr>
            <w:tcW w:w="1781" w:type="dxa"/>
            <w:tcBorders>
              <w:top w:val="single" w:sz="12" w:space="0" w:color="auto"/>
              <w:left w:val="single" w:sz="12"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2475</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29%</w:t>
            </w:r>
          </w:p>
        </w:tc>
      </w:tr>
      <w:tr w:rsidR="005B142B" w:rsidRPr="002113D1" w:rsidTr="005B142B">
        <w:tblPrEx>
          <w:tblLook w:val="0000" w:firstRow="0" w:lastRow="0" w:firstColumn="0" w:lastColumn="0" w:noHBand="0" w:noVBand="0"/>
        </w:tblPrEx>
        <w:trPr>
          <w:gridBefore w:val="1"/>
          <w:gridAfter w:val="1"/>
          <w:wBefore w:w="147" w:type="dxa"/>
          <w:wAfter w:w="5892" w:type="dxa"/>
          <w:trHeight w:val="264"/>
        </w:trPr>
        <w:tc>
          <w:tcPr>
            <w:tcW w:w="222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5B142B" w:rsidRPr="00127E15" w:rsidRDefault="005B142B" w:rsidP="005B142B">
            <w:pPr>
              <w:rPr>
                <w:rFonts w:ascii="Calibri" w:hAnsi="Calibri" w:cs="Calibri"/>
                <w:lang w:eastAsia="en-AU"/>
              </w:rPr>
            </w:pPr>
            <w:r w:rsidRPr="00127E15">
              <w:rPr>
                <w:rFonts w:ascii="Calibri" w:hAnsi="Calibri" w:cs="Calibri"/>
                <w:lang w:eastAsia="en-AU"/>
              </w:rPr>
              <w:t>Community</w:t>
            </w:r>
          </w:p>
        </w:tc>
        <w:tc>
          <w:tcPr>
            <w:tcW w:w="176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63</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31%</w:t>
            </w:r>
          </w:p>
        </w:tc>
        <w:tc>
          <w:tcPr>
            <w:tcW w:w="1781" w:type="dxa"/>
            <w:tcBorders>
              <w:top w:val="single" w:sz="4" w:space="0" w:color="auto"/>
              <w:left w:val="single" w:sz="12"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2297</w:t>
            </w:r>
          </w:p>
        </w:tc>
        <w:tc>
          <w:tcPr>
            <w:tcW w:w="1843" w:type="dxa"/>
            <w:tcBorders>
              <w:top w:val="single" w:sz="4" w:space="0" w:color="auto"/>
              <w:left w:val="single" w:sz="4" w:space="0" w:color="auto"/>
              <w:bottom w:val="single" w:sz="4" w:space="0" w:color="auto"/>
              <w:right w:val="single" w:sz="12"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27%</w:t>
            </w:r>
          </w:p>
        </w:tc>
      </w:tr>
      <w:tr w:rsidR="005B142B" w:rsidRPr="002113D1" w:rsidTr="005B142B">
        <w:tblPrEx>
          <w:tblLook w:val="0000" w:firstRow="0" w:lastRow="0" w:firstColumn="0" w:lastColumn="0" w:noHBand="0" w:noVBand="0"/>
        </w:tblPrEx>
        <w:trPr>
          <w:gridBefore w:val="1"/>
          <w:gridAfter w:val="1"/>
          <w:wBefore w:w="147" w:type="dxa"/>
          <w:wAfter w:w="5892" w:type="dxa"/>
          <w:trHeight w:val="264"/>
        </w:trPr>
        <w:tc>
          <w:tcPr>
            <w:tcW w:w="222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5B142B" w:rsidRPr="00127E15" w:rsidRDefault="005B142B" w:rsidP="005B142B">
            <w:pPr>
              <w:rPr>
                <w:rFonts w:ascii="Calibri" w:hAnsi="Calibri" w:cs="Calibri"/>
                <w:lang w:eastAsia="en-AU"/>
              </w:rPr>
            </w:pPr>
            <w:r w:rsidRPr="00127E15">
              <w:rPr>
                <w:rFonts w:ascii="Calibri" w:hAnsi="Calibri" w:cs="Calibri"/>
                <w:lang w:eastAsia="en-AU"/>
              </w:rPr>
              <w:t>Education</w:t>
            </w:r>
          </w:p>
        </w:tc>
        <w:tc>
          <w:tcPr>
            <w:tcW w:w="176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77</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38%</w:t>
            </w:r>
          </w:p>
        </w:tc>
        <w:tc>
          <w:tcPr>
            <w:tcW w:w="1781" w:type="dxa"/>
            <w:tcBorders>
              <w:top w:val="single" w:sz="4" w:space="0" w:color="auto"/>
              <w:left w:val="single" w:sz="12"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3741</w:t>
            </w:r>
          </w:p>
        </w:tc>
        <w:tc>
          <w:tcPr>
            <w:tcW w:w="1843" w:type="dxa"/>
            <w:tcBorders>
              <w:top w:val="single" w:sz="4" w:space="0" w:color="auto"/>
              <w:left w:val="single" w:sz="4" w:space="0" w:color="auto"/>
              <w:bottom w:val="single" w:sz="4" w:space="0" w:color="auto"/>
              <w:right w:val="single" w:sz="12"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43%</w:t>
            </w:r>
          </w:p>
        </w:tc>
      </w:tr>
      <w:tr w:rsidR="005B142B" w:rsidRPr="002113D1" w:rsidTr="005B142B">
        <w:tblPrEx>
          <w:tblLook w:val="0000" w:firstRow="0" w:lastRow="0" w:firstColumn="0" w:lastColumn="0" w:noHBand="0" w:noVBand="0"/>
        </w:tblPrEx>
        <w:trPr>
          <w:gridBefore w:val="1"/>
          <w:gridAfter w:val="1"/>
          <w:wBefore w:w="147" w:type="dxa"/>
          <w:wAfter w:w="5892" w:type="dxa"/>
          <w:trHeight w:val="264"/>
        </w:trPr>
        <w:tc>
          <w:tcPr>
            <w:tcW w:w="2229"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5B142B" w:rsidRPr="00127E15" w:rsidRDefault="005B142B" w:rsidP="005B142B">
            <w:pPr>
              <w:rPr>
                <w:rFonts w:ascii="Calibri" w:hAnsi="Calibri" w:cs="Calibri"/>
                <w:lang w:eastAsia="en-AU"/>
              </w:rPr>
            </w:pPr>
            <w:r w:rsidRPr="00127E15">
              <w:rPr>
                <w:rFonts w:ascii="Calibri" w:hAnsi="Calibri" w:cs="Calibri"/>
                <w:lang w:eastAsia="en-AU"/>
              </w:rPr>
              <w:t>Parents and Families</w:t>
            </w:r>
          </w:p>
        </w:tc>
        <w:tc>
          <w:tcPr>
            <w:tcW w:w="176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1</w:t>
            </w:r>
          </w:p>
        </w:tc>
        <w:tc>
          <w:tcPr>
            <w:tcW w:w="170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5B142B" w:rsidRDefault="005B142B" w:rsidP="005B142B">
            <w:pPr>
              <w:jc w:val="center"/>
              <w:rPr>
                <w:rFonts w:ascii="Calibri" w:hAnsi="Calibri" w:cs="Calibri"/>
                <w:sz w:val="20"/>
              </w:rPr>
            </w:pPr>
            <w:r>
              <w:rPr>
                <w:rFonts w:ascii="Calibri" w:hAnsi="Calibri" w:cs="Calibri"/>
                <w:sz w:val="20"/>
              </w:rPr>
              <w:t>0%</w:t>
            </w:r>
          </w:p>
        </w:tc>
        <w:tc>
          <w:tcPr>
            <w:tcW w:w="1781" w:type="dxa"/>
            <w:tcBorders>
              <w:top w:val="single" w:sz="4" w:space="0" w:color="auto"/>
              <w:left w:val="single" w:sz="12" w:space="0" w:color="auto"/>
              <w:bottom w:val="single" w:sz="12" w:space="0" w:color="auto"/>
              <w:right w:val="single" w:sz="4"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127</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5B142B" w:rsidRDefault="005B142B" w:rsidP="005B142B">
            <w:pPr>
              <w:jc w:val="center"/>
              <w:rPr>
                <w:rFonts w:ascii="Calibri" w:hAnsi="Calibri" w:cs="Calibri"/>
                <w:b/>
                <w:bCs/>
                <w:sz w:val="20"/>
              </w:rPr>
            </w:pPr>
            <w:r>
              <w:rPr>
                <w:rFonts w:ascii="Calibri" w:hAnsi="Calibri" w:cs="Calibri"/>
                <w:b/>
                <w:bCs/>
                <w:sz w:val="20"/>
              </w:rPr>
              <w:t>1%</w:t>
            </w:r>
          </w:p>
        </w:tc>
      </w:tr>
      <w:tr w:rsidR="005B142B" w:rsidRPr="002113D1" w:rsidTr="005B142B">
        <w:tblPrEx>
          <w:tblLook w:val="0000" w:firstRow="0" w:lastRow="0" w:firstColumn="0" w:lastColumn="0" w:noHBand="0" w:noVBand="0"/>
        </w:tblPrEx>
        <w:trPr>
          <w:gridBefore w:val="1"/>
          <w:gridAfter w:val="1"/>
          <w:wBefore w:w="147" w:type="dxa"/>
          <w:wAfter w:w="5892" w:type="dxa"/>
          <w:trHeight w:val="264"/>
        </w:trPr>
        <w:tc>
          <w:tcPr>
            <w:tcW w:w="222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tcPr>
          <w:p w:rsidR="005B142B" w:rsidRPr="00127E15" w:rsidRDefault="005B142B" w:rsidP="005B142B">
            <w:pPr>
              <w:rPr>
                <w:rFonts w:ascii="Calibri" w:hAnsi="Calibri" w:cs="Calibri"/>
                <w:b/>
                <w:bCs/>
                <w:lang w:eastAsia="en-AU"/>
              </w:rPr>
            </w:pPr>
            <w:r w:rsidRPr="00127E15">
              <w:rPr>
                <w:rFonts w:ascii="Calibri" w:hAnsi="Calibri" w:cs="Calibri"/>
                <w:b/>
                <w:bCs/>
                <w:lang w:eastAsia="en-AU"/>
              </w:rPr>
              <w:t>Total</w:t>
            </w:r>
          </w:p>
        </w:tc>
        <w:tc>
          <w:tcPr>
            <w:tcW w:w="1763" w:type="dxa"/>
            <w:tcBorders>
              <w:top w:val="single" w:sz="12" w:space="0" w:color="auto"/>
              <w:left w:val="single" w:sz="12" w:space="0" w:color="auto"/>
              <w:bottom w:val="single" w:sz="12" w:space="0" w:color="auto"/>
              <w:right w:val="single" w:sz="4" w:space="0" w:color="auto"/>
            </w:tcBorders>
            <w:shd w:val="clear" w:color="auto" w:fill="EAF1DD" w:themeFill="accent3" w:themeFillTint="33"/>
            <w:noWrap/>
            <w:vAlign w:val="center"/>
          </w:tcPr>
          <w:p w:rsidR="005B142B" w:rsidRDefault="005B142B" w:rsidP="005B142B">
            <w:pPr>
              <w:jc w:val="center"/>
              <w:rPr>
                <w:rFonts w:ascii="Calibri" w:hAnsi="Calibri" w:cs="Calibri"/>
                <w:b/>
                <w:bCs/>
                <w:sz w:val="20"/>
              </w:rPr>
            </w:pPr>
            <w:r>
              <w:rPr>
                <w:rFonts w:ascii="Calibri" w:hAnsi="Calibri" w:cs="Calibri"/>
                <w:b/>
                <w:bCs/>
                <w:sz w:val="20"/>
              </w:rPr>
              <w:t>204</w:t>
            </w:r>
          </w:p>
        </w:tc>
        <w:tc>
          <w:tcPr>
            <w:tcW w:w="1701" w:type="dxa"/>
            <w:tcBorders>
              <w:top w:val="single" w:sz="12" w:space="0" w:color="auto"/>
              <w:left w:val="single" w:sz="4" w:space="0" w:color="auto"/>
              <w:bottom w:val="single" w:sz="12" w:space="0" w:color="auto"/>
              <w:right w:val="single" w:sz="12" w:space="0" w:color="auto"/>
            </w:tcBorders>
            <w:shd w:val="clear" w:color="auto" w:fill="EAF1DD" w:themeFill="accent3" w:themeFillTint="33"/>
            <w:noWrap/>
            <w:vAlign w:val="center"/>
          </w:tcPr>
          <w:p w:rsidR="005B142B" w:rsidRDefault="005B142B" w:rsidP="005B142B">
            <w:pPr>
              <w:jc w:val="center"/>
              <w:rPr>
                <w:rFonts w:ascii="Calibri" w:hAnsi="Calibri" w:cs="Calibri"/>
                <w:b/>
                <w:bCs/>
                <w:sz w:val="20"/>
              </w:rPr>
            </w:pPr>
            <w:r>
              <w:rPr>
                <w:rFonts w:ascii="Calibri" w:hAnsi="Calibri" w:cs="Calibri"/>
                <w:b/>
                <w:bCs/>
                <w:sz w:val="20"/>
              </w:rPr>
              <w:t>100%</w:t>
            </w:r>
          </w:p>
        </w:tc>
        <w:tc>
          <w:tcPr>
            <w:tcW w:w="1781" w:type="dxa"/>
            <w:tcBorders>
              <w:top w:val="single" w:sz="12" w:space="0" w:color="auto"/>
              <w:left w:val="single" w:sz="12" w:space="0" w:color="auto"/>
              <w:bottom w:val="single" w:sz="12"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sz w:val="20"/>
              </w:rPr>
            </w:pPr>
            <w:r>
              <w:rPr>
                <w:rFonts w:ascii="Calibri" w:hAnsi="Calibri" w:cs="Calibri"/>
                <w:b/>
                <w:bCs/>
                <w:sz w:val="20"/>
              </w:rPr>
              <w:t>8640</w:t>
            </w:r>
          </w:p>
        </w:tc>
        <w:tc>
          <w:tcPr>
            <w:tcW w:w="1843"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rsidR="005B142B" w:rsidRDefault="005B142B" w:rsidP="005B142B">
            <w:pPr>
              <w:jc w:val="center"/>
              <w:rPr>
                <w:rFonts w:ascii="Calibri" w:hAnsi="Calibri" w:cs="Calibri"/>
                <w:b/>
                <w:bCs/>
                <w:sz w:val="20"/>
              </w:rPr>
            </w:pPr>
            <w:r>
              <w:rPr>
                <w:rFonts w:ascii="Calibri" w:hAnsi="Calibri" w:cs="Calibri"/>
                <w:b/>
                <w:bCs/>
                <w:sz w:val="20"/>
              </w:rPr>
              <w:t>100%</w:t>
            </w:r>
          </w:p>
        </w:tc>
      </w:tr>
    </w:tbl>
    <w:p w:rsidR="005B142B" w:rsidRDefault="005B142B" w:rsidP="005B142B">
      <w:r>
        <w:rPr>
          <w:noProof/>
          <w:lang w:eastAsia="en-AU"/>
        </w:rPr>
        <w:lastRenderedPageBreak/>
        <w:drawing>
          <wp:anchor distT="0" distB="0" distL="114300" distR="114300" simplePos="0" relativeHeight="251666432" behindDoc="1" locked="0" layoutInCell="1" allowOverlap="1">
            <wp:simplePos x="0" y="0"/>
            <wp:positionH relativeFrom="column">
              <wp:posOffset>3156585</wp:posOffset>
            </wp:positionH>
            <wp:positionV relativeFrom="paragraph">
              <wp:posOffset>209550</wp:posOffset>
            </wp:positionV>
            <wp:extent cx="3148965" cy="2724150"/>
            <wp:effectExtent l="19050" t="0" r="13335" b="0"/>
            <wp:wrapTight wrapText="bothSides">
              <wp:wrapPolygon edited="0">
                <wp:start x="131" y="0"/>
                <wp:lineTo x="-131" y="906"/>
                <wp:lineTo x="0" y="21600"/>
                <wp:lineTo x="131" y="21600"/>
                <wp:lineTo x="21430" y="21600"/>
                <wp:lineTo x="21561" y="21600"/>
                <wp:lineTo x="21691" y="20694"/>
                <wp:lineTo x="21691" y="453"/>
                <wp:lineTo x="21299" y="0"/>
                <wp:lineTo x="131"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noProof/>
          <w:lang w:eastAsia="en-AU"/>
        </w:rPr>
        <w:drawing>
          <wp:anchor distT="0" distB="0" distL="114300" distR="114300" simplePos="0" relativeHeight="251665408" behindDoc="1" locked="0" layoutInCell="1" allowOverlap="1">
            <wp:simplePos x="0" y="0"/>
            <wp:positionH relativeFrom="column">
              <wp:posOffset>-272415</wp:posOffset>
            </wp:positionH>
            <wp:positionV relativeFrom="paragraph">
              <wp:posOffset>209550</wp:posOffset>
            </wp:positionV>
            <wp:extent cx="3181350" cy="2724150"/>
            <wp:effectExtent l="19050" t="0" r="19050" b="0"/>
            <wp:wrapTight wrapText="bothSides">
              <wp:wrapPolygon edited="0">
                <wp:start x="129" y="0"/>
                <wp:lineTo x="-129" y="906"/>
                <wp:lineTo x="0" y="21600"/>
                <wp:lineTo x="129" y="21600"/>
                <wp:lineTo x="21471" y="21600"/>
                <wp:lineTo x="21600" y="21600"/>
                <wp:lineTo x="21729" y="20694"/>
                <wp:lineTo x="21729" y="453"/>
                <wp:lineTo x="21341" y="0"/>
                <wp:lineTo x="129" y="0"/>
              </wp:wrapPolygon>
            </wp:wrapTight>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5B142B" w:rsidRPr="009806DC" w:rsidRDefault="005B142B" w:rsidP="005B142B">
      <w:pPr>
        <w:rPr>
          <w:sz w:val="8"/>
          <w:szCs w:val="8"/>
        </w:rPr>
      </w:pPr>
    </w:p>
    <w:p w:rsidR="005B142B" w:rsidRPr="00F943E8" w:rsidRDefault="005B142B" w:rsidP="005B142B">
      <w:pPr>
        <w:pStyle w:val="Heading1"/>
        <w:ind w:right="-142"/>
        <w:rPr>
          <w:rFonts w:asciiTheme="minorHAnsi" w:hAnsiTheme="minorHAnsi" w:cstheme="minorHAnsi"/>
          <w:sz w:val="22"/>
          <w:szCs w:val="22"/>
          <w:lang w:eastAsia="en-AU"/>
        </w:rPr>
      </w:pPr>
      <w:bookmarkStart w:id="17" w:name="_Toc294619487"/>
      <w:r>
        <w:rPr>
          <w:rFonts w:asciiTheme="minorHAnsi" w:hAnsiTheme="minorHAnsi" w:cstheme="minorHAnsi"/>
          <w:u w:val="single"/>
          <w:lang w:eastAsia="en-AU"/>
        </w:rPr>
        <w:t>Table B</w:t>
      </w:r>
      <w:r w:rsidRPr="003E39AE">
        <w:rPr>
          <w:rFonts w:asciiTheme="minorHAnsi" w:hAnsiTheme="minorHAnsi" w:cstheme="minorHAnsi"/>
          <w:u w:val="single"/>
          <w:lang w:eastAsia="en-AU"/>
        </w:rPr>
        <w:t xml:space="preserve"> – Key Performance Measure (</w:t>
      </w:r>
      <w:proofErr w:type="spellStart"/>
      <w:r w:rsidRPr="003E39AE">
        <w:rPr>
          <w:rFonts w:asciiTheme="minorHAnsi" w:hAnsiTheme="minorHAnsi" w:cstheme="minorHAnsi"/>
          <w:u w:val="single"/>
          <w:lang w:eastAsia="en-AU"/>
        </w:rPr>
        <w:t>KPM</w:t>
      </w:r>
      <w:proofErr w:type="spellEnd"/>
      <w:r w:rsidRPr="003E39AE">
        <w:rPr>
          <w:rFonts w:asciiTheme="minorHAnsi" w:hAnsiTheme="minorHAnsi" w:cstheme="minorHAnsi"/>
          <w:u w:val="single"/>
          <w:lang w:eastAsia="en-AU"/>
        </w:rPr>
        <w:t>)</w:t>
      </w:r>
      <w:r>
        <w:rPr>
          <w:rFonts w:asciiTheme="minorHAnsi" w:hAnsiTheme="minorHAnsi" w:cstheme="minorHAnsi"/>
          <w:u w:val="single"/>
          <w:lang w:eastAsia="en-AU"/>
        </w:rPr>
        <w:t xml:space="preserve"> Evaluation Ratings (NT)</w:t>
      </w:r>
      <w:r w:rsidRPr="00CB5F57">
        <w:rPr>
          <w:rFonts w:asciiTheme="minorHAnsi" w:hAnsiTheme="minorHAnsi" w:cstheme="minorHAnsi"/>
          <w:lang w:eastAsia="en-AU"/>
        </w:rPr>
        <w:t xml:space="preserve"> </w:t>
      </w:r>
      <w:r w:rsidRPr="00F943E8">
        <w:rPr>
          <w:rFonts w:asciiTheme="minorHAnsi" w:hAnsiTheme="minorHAnsi" w:cstheme="minorHAnsi"/>
          <w:b w:val="0"/>
          <w:sz w:val="22"/>
          <w:szCs w:val="22"/>
          <w:lang w:eastAsia="en-AU"/>
        </w:rPr>
        <w:t>(data as at 12 April)</w:t>
      </w:r>
      <w:bookmarkEnd w:id="17"/>
    </w:p>
    <w:p w:rsidR="005B142B" w:rsidRPr="00F943E8" w:rsidRDefault="005B142B" w:rsidP="005B142B">
      <w:pPr>
        <w:ind w:left="426"/>
        <w:rPr>
          <w:lang w:eastAsia="en-AU"/>
        </w:rPr>
      </w:pPr>
    </w:p>
    <w:p w:rsidR="005B142B" w:rsidRDefault="005B142B" w:rsidP="005B142B">
      <w:pPr>
        <w:spacing w:after="240"/>
        <w:ind w:left="-142"/>
        <w:rPr>
          <w:rFonts w:cstheme="minorHAnsi"/>
        </w:rPr>
      </w:pPr>
      <w:r>
        <w:rPr>
          <w:rFonts w:cstheme="minorHAnsi"/>
          <w:iCs/>
        </w:rPr>
        <w:t>This table shows t</w:t>
      </w:r>
      <w:r w:rsidRPr="00BC687F">
        <w:rPr>
          <w:rFonts w:cstheme="minorHAnsi"/>
          <w:iCs/>
        </w:rPr>
        <w:t xml:space="preserve">he number of times each </w:t>
      </w:r>
      <w:proofErr w:type="spellStart"/>
      <w:r w:rsidRPr="00BC687F">
        <w:rPr>
          <w:rFonts w:cstheme="minorHAnsi"/>
          <w:iCs/>
        </w:rPr>
        <w:t>KPM</w:t>
      </w:r>
      <w:proofErr w:type="spellEnd"/>
      <w:r w:rsidRPr="00BC687F">
        <w:rPr>
          <w:rFonts w:cstheme="minorHAnsi"/>
          <w:iCs/>
        </w:rPr>
        <w:t xml:space="preserve"> evaluation value (e</w:t>
      </w:r>
      <w:r>
        <w:rPr>
          <w:rFonts w:cstheme="minorHAnsi"/>
          <w:iCs/>
        </w:rPr>
        <w:t>.g.</w:t>
      </w:r>
      <w:r w:rsidRPr="00BC687F">
        <w:rPr>
          <w:rFonts w:cstheme="minorHAnsi"/>
          <w:iCs/>
        </w:rPr>
        <w:t xml:space="preserve"> 1,</w:t>
      </w:r>
      <w:r>
        <w:rPr>
          <w:rFonts w:cstheme="minorHAnsi"/>
          <w:iCs/>
        </w:rPr>
        <w:t xml:space="preserve"> </w:t>
      </w:r>
      <w:r w:rsidRPr="00BC687F">
        <w:rPr>
          <w:rFonts w:cstheme="minorHAnsi"/>
          <w:iCs/>
        </w:rPr>
        <w:t>2,</w:t>
      </w:r>
      <w:r>
        <w:rPr>
          <w:rFonts w:cstheme="minorHAnsi"/>
          <w:iCs/>
        </w:rPr>
        <w:t xml:space="preserve"> </w:t>
      </w:r>
      <w:r w:rsidRPr="00BC687F">
        <w:rPr>
          <w:rFonts w:cstheme="minorHAnsi"/>
          <w:iCs/>
        </w:rPr>
        <w:t>3,</w:t>
      </w:r>
      <w:r>
        <w:rPr>
          <w:rFonts w:cstheme="minorHAnsi"/>
          <w:iCs/>
        </w:rPr>
        <w:t xml:space="preserve"> </w:t>
      </w:r>
      <w:r w:rsidRPr="00BC687F">
        <w:rPr>
          <w:rFonts w:cstheme="minorHAnsi"/>
          <w:iCs/>
        </w:rPr>
        <w:t>4,</w:t>
      </w:r>
      <w:r>
        <w:rPr>
          <w:rFonts w:cstheme="minorHAnsi"/>
          <w:iCs/>
        </w:rPr>
        <w:t xml:space="preserve"> </w:t>
      </w:r>
      <w:r w:rsidRPr="00BC687F">
        <w:rPr>
          <w:rFonts w:cstheme="minorHAnsi"/>
          <w:iCs/>
        </w:rPr>
        <w:t>5) has been selected, based on the latest evaluation rating recorded in the system</w:t>
      </w:r>
      <w:r>
        <w:rPr>
          <w:rFonts w:cstheme="minorHAnsi"/>
          <w:iCs/>
        </w:rPr>
        <w:t xml:space="preserve"> (YATMIS)</w:t>
      </w:r>
      <w:r w:rsidRPr="00BC687F">
        <w:rPr>
          <w:rFonts w:cstheme="minorHAnsi"/>
        </w:rPr>
        <w:t>.</w:t>
      </w:r>
      <w:r>
        <w:rPr>
          <w:rFonts w:cstheme="minorHAnsi"/>
        </w:rPr>
        <w:t xml:space="preserve"> </w:t>
      </w:r>
      <w:proofErr w:type="spellStart"/>
      <w:r>
        <w:rPr>
          <w:rFonts w:cstheme="minorHAnsi"/>
        </w:rPr>
        <w:t>KPMs</w:t>
      </w:r>
      <w:proofErr w:type="spellEnd"/>
      <w:r>
        <w:rPr>
          <w:rFonts w:cstheme="minorHAnsi"/>
        </w:rPr>
        <w:t xml:space="preserve"> map to one of four program outcomes. Each evaluation value corresponds to a descriptor of the progress a partnership has made against a particular </w:t>
      </w:r>
      <w:proofErr w:type="spellStart"/>
      <w:r>
        <w:rPr>
          <w:rFonts w:cstheme="minorHAnsi"/>
        </w:rPr>
        <w:t>KPM</w:t>
      </w:r>
      <w:proofErr w:type="spellEnd"/>
      <w:r>
        <w:rPr>
          <w:rFonts w:cstheme="minorHAnsi"/>
        </w:rPr>
        <w:t xml:space="preserve">. The values and their corresponding descriptors are outlined below:  </w:t>
      </w:r>
    </w:p>
    <w:p w:rsidR="005B142B" w:rsidRDefault="005B142B" w:rsidP="00C26A01">
      <w:pPr>
        <w:ind w:left="-142" w:right="-284"/>
        <w:rPr>
          <w:rFonts w:cstheme="minorHAnsi"/>
          <w:b/>
        </w:rPr>
      </w:pPr>
      <w:r w:rsidRPr="00126AC7">
        <w:rPr>
          <w:rFonts w:cstheme="minorHAnsi"/>
        </w:rPr>
        <w:t>Key: 1 = Limited Progress; 2 = Some Progress; 3 = Satisfactory Progress; 4 = Considerable Progress; 5 = Achieved</w:t>
      </w:r>
    </w:p>
    <w:tbl>
      <w:tblPr>
        <w:tblpPr w:leftFromText="180" w:rightFromText="180" w:vertAnchor="text" w:horzAnchor="margin" w:tblpXSpec="center" w:tblpY="14"/>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98"/>
        <w:gridCol w:w="1239"/>
        <w:gridCol w:w="635"/>
        <w:gridCol w:w="635"/>
        <w:gridCol w:w="635"/>
        <w:gridCol w:w="635"/>
        <w:gridCol w:w="635"/>
      </w:tblGrid>
      <w:tr w:rsidR="005B142B" w:rsidRPr="00693355" w:rsidTr="005B142B">
        <w:trPr>
          <w:trHeight w:val="426"/>
        </w:trPr>
        <w:tc>
          <w:tcPr>
            <w:tcW w:w="6398"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5B142B" w:rsidRPr="007534C0" w:rsidRDefault="005B142B" w:rsidP="005B142B">
            <w:pPr>
              <w:rPr>
                <w:rFonts w:ascii="Arial" w:hAnsi="Arial" w:cs="Arial"/>
                <w:b/>
                <w:bCs/>
                <w:sz w:val="20"/>
                <w:lang w:eastAsia="en-AU"/>
              </w:rPr>
            </w:pPr>
            <w:r w:rsidRPr="007534C0">
              <w:rPr>
                <w:rFonts w:ascii="Arial" w:hAnsi="Arial" w:cs="Arial"/>
                <w:b/>
                <w:bCs/>
                <w:sz w:val="20"/>
                <w:lang w:eastAsia="en-AU"/>
              </w:rPr>
              <w:t>Outcome</w:t>
            </w:r>
          </w:p>
        </w:tc>
        <w:tc>
          <w:tcPr>
            <w:tcW w:w="1239"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5B142B" w:rsidRPr="007534C0" w:rsidRDefault="005B142B" w:rsidP="005B142B">
            <w:pPr>
              <w:jc w:val="center"/>
              <w:rPr>
                <w:rFonts w:ascii="Arial" w:hAnsi="Arial" w:cs="Arial"/>
                <w:b/>
                <w:bCs/>
                <w:sz w:val="20"/>
                <w:lang w:eastAsia="en-AU"/>
              </w:rPr>
            </w:pPr>
            <w:r w:rsidRPr="007534C0">
              <w:rPr>
                <w:rFonts w:ascii="Arial" w:hAnsi="Arial" w:cs="Arial"/>
                <w:b/>
                <w:bCs/>
                <w:sz w:val="20"/>
                <w:lang w:eastAsia="en-AU"/>
              </w:rPr>
              <w:t xml:space="preserve">Total </w:t>
            </w:r>
            <w:proofErr w:type="spellStart"/>
            <w:r>
              <w:rPr>
                <w:rFonts w:ascii="Arial" w:hAnsi="Arial" w:cs="Arial"/>
                <w:b/>
                <w:bCs/>
                <w:sz w:val="20"/>
                <w:lang w:eastAsia="en-AU"/>
              </w:rPr>
              <w:t>KPM</w:t>
            </w:r>
            <w:proofErr w:type="spellEnd"/>
            <w:r>
              <w:rPr>
                <w:rFonts w:ascii="Arial" w:hAnsi="Arial" w:cs="Arial"/>
                <w:b/>
                <w:bCs/>
                <w:sz w:val="20"/>
                <w:lang w:eastAsia="en-AU"/>
              </w:rPr>
              <w:t xml:space="preserve"> </w:t>
            </w:r>
            <w:r w:rsidRPr="007534C0">
              <w:rPr>
                <w:rFonts w:ascii="Arial" w:hAnsi="Arial" w:cs="Arial"/>
                <w:b/>
                <w:bCs/>
                <w:sz w:val="20"/>
                <w:lang w:eastAsia="en-AU"/>
              </w:rPr>
              <w:t>Evaluat</w:t>
            </w:r>
            <w:r>
              <w:rPr>
                <w:rFonts w:ascii="Arial" w:hAnsi="Arial" w:cs="Arial"/>
                <w:b/>
                <w:bCs/>
                <w:sz w:val="20"/>
                <w:lang w:eastAsia="en-AU"/>
              </w:rPr>
              <w:t>ions</w:t>
            </w:r>
          </w:p>
        </w:tc>
        <w:tc>
          <w:tcPr>
            <w:tcW w:w="635" w:type="dxa"/>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hideMark/>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1</w:t>
            </w:r>
          </w:p>
        </w:tc>
        <w:tc>
          <w:tcPr>
            <w:tcW w:w="635" w:type="dxa"/>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2</w:t>
            </w:r>
          </w:p>
        </w:tc>
        <w:tc>
          <w:tcPr>
            <w:tcW w:w="635" w:type="dxa"/>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3</w:t>
            </w:r>
          </w:p>
        </w:tc>
        <w:tc>
          <w:tcPr>
            <w:tcW w:w="635" w:type="dxa"/>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4</w:t>
            </w:r>
          </w:p>
        </w:tc>
        <w:tc>
          <w:tcPr>
            <w:tcW w:w="635" w:type="dxa"/>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5</w:t>
            </w:r>
          </w:p>
        </w:tc>
      </w:tr>
      <w:tr w:rsidR="005B142B" w:rsidRPr="00693355" w:rsidTr="005B142B">
        <w:trPr>
          <w:trHeight w:val="899"/>
        </w:trPr>
        <w:tc>
          <w:tcPr>
            <w:tcW w:w="6398"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Pr="00693355" w:rsidRDefault="005B142B" w:rsidP="005B142B">
            <w:pPr>
              <w:rPr>
                <w:rFonts w:ascii="Calibri" w:hAnsi="Calibri" w:cs="Calibri"/>
                <w:color w:val="333333"/>
                <w:sz w:val="20"/>
                <w:lang w:eastAsia="en-AU"/>
              </w:rPr>
            </w:pPr>
            <w:r w:rsidRPr="00B47227">
              <w:rPr>
                <w:rFonts w:ascii="Calibri" w:hAnsi="Calibri"/>
                <w:b/>
                <w:sz w:val="20"/>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239"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b/>
                <w:bCs/>
                <w:color w:val="000000"/>
              </w:rPr>
            </w:pPr>
            <w:r>
              <w:rPr>
                <w:rFonts w:ascii="Calibri" w:hAnsi="Calibri" w:cs="Calibri"/>
                <w:b/>
                <w:bCs/>
                <w:color w:val="000000"/>
              </w:rPr>
              <w:t>47</w:t>
            </w:r>
          </w:p>
        </w:tc>
        <w:tc>
          <w:tcPr>
            <w:tcW w:w="635" w:type="dxa"/>
            <w:tcBorders>
              <w:top w:val="single" w:sz="12" w:space="0" w:color="auto"/>
              <w:left w:val="single" w:sz="12" w:space="0" w:color="auto"/>
              <w:right w:val="single" w:sz="4" w:space="0" w:color="auto"/>
            </w:tcBorders>
            <w:shd w:val="clear" w:color="auto" w:fill="EAF1DD" w:themeFill="accent3" w:themeFillTint="33"/>
            <w:vAlign w:val="center"/>
            <w:hideMark/>
          </w:tcPr>
          <w:p w:rsidR="005B142B" w:rsidRDefault="005B142B" w:rsidP="005B142B">
            <w:pPr>
              <w:jc w:val="center"/>
              <w:rPr>
                <w:rFonts w:ascii="Calibri" w:hAnsi="Calibri" w:cs="Calibri"/>
                <w:b/>
                <w:bCs/>
                <w:color w:val="000000"/>
              </w:rPr>
            </w:pPr>
            <w:r>
              <w:rPr>
                <w:rFonts w:ascii="Calibri" w:hAnsi="Calibri" w:cs="Calibri"/>
                <w:b/>
                <w:bCs/>
                <w:color w:val="000000"/>
              </w:rPr>
              <w:t>5</w:t>
            </w:r>
          </w:p>
          <w:p w:rsidR="005B142B" w:rsidRDefault="005B142B" w:rsidP="005B142B">
            <w:pPr>
              <w:jc w:val="center"/>
              <w:rPr>
                <w:rFonts w:ascii="Calibri" w:hAnsi="Calibri" w:cs="Calibri"/>
                <w:b/>
                <w:bCs/>
                <w:color w:val="000000"/>
              </w:rPr>
            </w:pPr>
            <w:r>
              <w:rPr>
                <w:rFonts w:ascii="Calibri" w:hAnsi="Calibri" w:cs="Calibri"/>
                <w:b/>
                <w:bCs/>
                <w:color w:val="000000"/>
              </w:rPr>
              <w:t>(11%)</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14</w:t>
            </w:r>
          </w:p>
          <w:p w:rsidR="005B142B" w:rsidRDefault="005B142B" w:rsidP="005B142B">
            <w:pPr>
              <w:jc w:val="center"/>
              <w:rPr>
                <w:rFonts w:ascii="Calibri" w:hAnsi="Calibri" w:cs="Calibri"/>
                <w:b/>
                <w:bCs/>
                <w:color w:val="000000"/>
              </w:rPr>
            </w:pPr>
            <w:r>
              <w:rPr>
                <w:rFonts w:ascii="Calibri" w:hAnsi="Calibri" w:cs="Calibri"/>
                <w:b/>
                <w:bCs/>
                <w:color w:val="000000"/>
              </w:rPr>
              <w:t>(30%)</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11</w:t>
            </w:r>
          </w:p>
          <w:p w:rsidR="005B142B" w:rsidRDefault="005B142B" w:rsidP="005B142B">
            <w:pPr>
              <w:jc w:val="center"/>
              <w:rPr>
                <w:rFonts w:ascii="Calibri" w:hAnsi="Calibri" w:cs="Calibri"/>
                <w:b/>
                <w:bCs/>
                <w:color w:val="000000"/>
              </w:rPr>
            </w:pPr>
            <w:r>
              <w:rPr>
                <w:rFonts w:ascii="Calibri" w:hAnsi="Calibri" w:cs="Calibri"/>
                <w:b/>
                <w:bCs/>
                <w:color w:val="000000"/>
              </w:rPr>
              <w:t>(23%)</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6</w:t>
            </w:r>
          </w:p>
          <w:p w:rsidR="005B142B" w:rsidRDefault="005B142B" w:rsidP="005B142B">
            <w:pPr>
              <w:jc w:val="center"/>
              <w:rPr>
                <w:rFonts w:ascii="Calibri" w:hAnsi="Calibri" w:cs="Calibri"/>
                <w:b/>
                <w:bCs/>
                <w:color w:val="000000"/>
              </w:rPr>
            </w:pPr>
            <w:r>
              <w:rPr>
                <w:rFonts w:ascii="Calibri" w:hAnsi="Calibri" w:cs="Calibri"/>
                <w:b/>
                <w:bCs/>
                <w:color w:val="000000"/>
              </w:rPr>
              <w:t>(23%)</w:t>
            </w:r>
          </w:p>
        </w:tc>
        <w:tc>
          <w:tcPr>
            <w:tcW w:w="635" w:type="dxa"/>
            <w:tcBorders>
              <w:top w:val="single" w:sz="12" w:space="0" w:color="auto"/>
              <w:left w:val="single" w:sz="4" w:space="0" w:color="auto"/>
              <w:right w:val="single" w:sz="12"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11</w:t>
            </w:r>
          </w:p>
          <w:p w:rsidR="005B142B" w:rsidRDefault="005B142B" w:rsidP="005B142B">
            <w:pPr>
              <w:jc w:val="center"/>
              <w:rPr>
                <w:rFonts w:ascii="Calibri" w:hAnsi="Calibri" w:cs="Calibri"/>
                <w:b/>
                <w:bCs/>
                <w:color w:val="000000"/>
              </w:rPr>
            </w:pPr>
            <w:r>
              <w:rPr>
                <w:rFonts w:ascii="Calibri" w:hAnsi="Calibri" w:cs="Calibri"/>
                <w:b/>
                <w:bCs/>
                <w:color w:val="000000"/>
              </w:rPr>
              <w:t>(23%)</w:t>
            </w:r>
          </w:p>
        </w:tc>
      </w:tr>
      <w:tr w:rsidR="005B142B" w:rsidRPr="00693355" w:rsidTr="005B142B">
        <w:trPr>
          <w:trHeight w:val="345"/>
        </w:trPr>
        <w:tc>
          <w:tcPr>
            <w:tcW w:w="10812" w:type="dxa"/>
            <w:gridSpan w:val="7"/>
            <w:tcBorders>
              <w:top w:val="single" w:sz="12" w:space="0" w:color="auto"/>
              <w:left w:val="nil"/>
              <w:right w:val="nil"/>
            </w:tcBorders>
            <w:shd w:val="clear" w:color="000000" w:fill="FFFFFF"/>
            <w:vAlign w:val="center"/>
            <w:hideMark/>
          </w:tcPr>
          <w:p w:rsidR="005B142B" w:rsidRPr="00055CCD" w:rsidRDefault="005B142B" w:rsidP="005B142B">
            <w:pPr>
              <w:rPr>
                <w:rFonts w:cstheme="minorHAnsi"/>
                <w:color w:val="000000"/>
                <w:sz w:val="20"/>
              </w:rPr>
            </w:pPr>
            <w:r>
              <w:rPr>
                <w:rFonts w:ascii="Calibri" w:hAnsi="Calibri"/>
                <w:iCs/>
                <w:sz w:val="20"/>
              </w:rPr>
              <w:t>The following</w:t>
            </w:r>
            <w:r w:rsidRPr="00233A91">
              <w:rPr>
                <w:rFonts w:ascii="Calibri" w:hAnsi="Calibri"/>
                <w:iCs/>
                <w:sz w:val="20"/>
              </w:rPr>
              <w:t xml:space="preserve"> </w:t>
            </w:r>
            <w:proofErr w:type="spellStart"/>
            <w:r w:rsidRPr="00233A91">
              <w:rPr>
                <w:rFonts w:ascii="Calibri" w:hAnsi="Calibri"/>
                <w:iCs/>
                <w:sz w:val="20"/>
              </w:rPr>
              <w:t>KPMs</w:t>
            </w:r>
            <w:proofErr w:type="spellEnd"/>
            <w:r w:rsidRPr="00233A91">
              <w:rPr>
                <w:rFonts w:ascii="Calibri" w:hAnsi="Calibri"/>
                <w:iCs/>
                <w:sz w:val="20"/>
              </w:rPr>
              <w:t xml:space="preserve"> contribute to this outcome</w:t>
            </w:r>
            <w:r w:rsidRPr="0068476E">
              <w:rPr>
                <w:rFonts w:ascii="Calibri" w:hAnsi="Calibri"/>
                <w:iCs/>
                <w:sz w:val="18"/>
                <w:szCs w:val="18"/>
              </w:rPr>
              <w:t>:</w:t>
            </w:r>
          </w:p>
        </w:tc>
      </w:tr>
      <w:tr w:rsidR="005B142B" w:rsidRPr="00693355" w:rsidTr="005B142B">
        <w:trPr>
          <w:trHeight w:val="460"/>
        </w:trPr>
        <w:tc>
          <w:tcPr>
            <w:tcW w:w="6398" w:type="dxa"/>
            <w:tcBorders>
              <w:left w:val="single" w:sz="12" w:space="0" w:color="auto"/>
              <w:right w:val="single" w:sz="12" w:space="0" w:color="auto"/>
            </w:tcBorders>
            <w:shd w:val="clear" w:color="000000" w:fill="FFFFFF"/>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education and training providers who accredit community-based learning</w:t>
            </w:r>
          </w:p>
        </w:tc>
        <w:tc>
          <w:tcPr>
            <w:tcW w:w="1239"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5</w:t>
            </w:r>
          </w:p>
        </w:tc>
        <w:tc>
          <w:tcPr>
            <w:tcW w:w="635" w:type="dxa"/>
            <w:tcBorders>
              <w:left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40%</w:t>
            </w:r>
          </w:p>
        </w:tc>
      </w:tr>
      <w:tr w:rsidR="005B142B" w:rsidRPr="00693355" w:rsidTr="005B142B">
        <w:trPr>
          <w:trHeight w:val="460"/>
        </w:trPr>
        <w:tc>
          <w:tcPr>
            <w:tcW w:w="6398" w:type="dxa"/>
            <w:tcBorders>
              <w:left w:val="single" w:sz="12" w:space="0" w:color="auto"/>
              <w:right w:val="single" w:sz="12" w:space="0" w:color="auto"/>
            </w:tcBorders>
            <w:shd w:val="clear" w:color="000000" w:fill="FFFFFF"/>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education and training providers who have increased opportunities for young people to access trained mentors</w:t>
            </w:r>
          </w:p>
        </w:tc>
        <w:tc>
          <w:tcPr>
            <w:tcW w:w="1239"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11</w:t>
            </w:r>
          </w:p>
        </w:tc>
        <w:tc>
          <w:tcPr>
            <w:tcW w:w="635" w:type="dxa"/>
            <w:tcBorders>
              <w:left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9%</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45%</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36%</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9%</w:t>
            </w:r>
          </w:p>
        </w:tc>
        <w:tc>
          <w:tcPr>
            <w:tcW w:w="635" w:type="dxa"/>
            <w:tcBorders>
              <w:left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60"/>
        </w:trPr>
        <w:tc>
          <w:tcPr>
            <w:tcW w:w="6398" w:type="dxa"/>
            <w:tcBorders>
              <w:left w:val="single" w:sz="12" w:space="0" w:color="auto"/>
              <w:bottom w:val="single" w:sz="4" w:space="0" w:color="auto"/>
              <w:right w:val="single" w:sz="12" w:space="0" w:color="auto"/>
            </w:tcBorders>
            <w:shd w:val="clear" w:color="000000" w:fill="FFFFFF"/>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education and training providers who have increased their career practitioner capacity</w:t>
            </w:r>
          </w:p>
        </w:tc>
        <w:tc>
          <w:tcPr>
            <w:tcW w:w="1239" w:type="dxa"/>
            <w:tcBorders>
              <w:left w:val="single" w:sz="12" w:space="0" w:color="auto"/>
              <w:bottom w:val="single" w:sz="4"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4</w:t>
            </w:r>
          </w:p>
        </w:tc>
        <w:tc>
          <w:tcPr>
            <w:tcW w:w="635" w:type="dxa"/>
            <w:tcBorders>
              <w:left w:val="single" w:sz="12" w:space="0" w:color="auto"/>
              <w:bottom w:val="single" w:sz="4"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0%</w:t>
            </w:r>
          </w:p>
        </w:tc>
        <w:tc>
          <w:tcPr>
            <w:tcW w:w="635" w:type="dxa"/>
            <w:tcBorders>
              <w:left w:val="single" w:sz="4" w:space="0" w:color="auto"/>
              <w:bottom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50%</w:t>
            </w:r>
          </w:p>
        </w:tc>
        <w:tc>
          <w:tcPr>
            <w:tcW w:w="635" w:type="dxa"/>
            <w:tcBorders>
              <w:left w:val="single" w:sz="4" w:space="0" w:color="auto"/>
              <w:bottom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25%</w:t>
            </w:r>
          </w:p>
        </w:tc>
        <w:tc>
          <w:tcPr>
            <w:tcW w:w="635" w:type="dxa"/>
            <w:tcBorders>
              <w:left w:val="single" w:sz="4" w:space="0" w:color="auto"/>
              <w:bottom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25%</w:t>
            </w:r>
          </w:p>
        </w:tc>
        <w:tc>
          <w:tcPr>
            <w:tcW w:w="635" w:type="dxa"/>
            <w:tcBorders>
              <w:left w:val="single" w:sz="4" w:space="0" w:color="auto"/>
              <w:bottom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60"/>
        </w:trPr>
        <w:tc>
          <w:tcPr>
            <w:tcW w:w="6398" w:type="dxa"/>
            <w:tcBorders>
              <w:left w:val="single" w:sz="12" w:space="0" w:color="auto"/>
              <w:bottom w:val="single" w:sz="12" w:space="0" w:color="auto"/>
              <w:right w:val="single" w:sz="12" w:space="0" w:color="auto"/>
            </w:tcBorders>
            <w:shd w:val="clear" w:color="auto" w:fill="EAF1DD" w:themeFill="accent3" w:themeFillTint="33"/>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Opportunities for meaningful learning as a result of education and training providers partnering with other stakeholders</w:t>
            </w:r>
          </w:p>
        </w:tc>
        <w:tc>
          <w:tcPr>
            <w:tcW w:w="1239" w:type="dxa"/>
            <w:tcBorders>
              <w:left w:val="single" w:sz="12" w:space="0" w:color="auto"/>
              <w:bottom w:val="single" w:sz="12" w:space="0" w:color="auto"/>
              <w:right w:val="single" w:sz="12" w:space="0" w:color="auto"/>
            </w:tcBorders>
            <w:shd w:val="clear" w:color="auto" w:fill="D6E3BC" w:themeFill="accent3" w:themeFillTint="66"/>
            <w:vAlign w:val="center"/>
            <w:hideMark/>
          </w:tcPr>
          <w:p w:rsidR="005B142B" w:rsidRDefault="005B142B" w:rsidP="005B142B">
            <w:pPr>
              <w:jc w:val="center"/>
              <w:rPr>
                <w:rFonts w:ascii="Calibri" w:hAnsi="Calibri" w:cs="Calibri"/>
                <w:color w:val="000000"/>
              </w:rPr>
            </w:pPr>
            <w:r>
              <w:rPr>
                <w:rFonts w:ascii="Calibri" w:hAnsi="Calibri" w:cs="Calibri"/>
                <w:color w:val="000000"/>
              </w:rPr>
              <w:t>27</w:t>
            </w:r>
          </w:p>
        </w:tc>
        <w:tc>
          <w:tcPr>
            <w:tcW w:w="635" w:type="dxa"/>
            <w:tcBorders>
              <w:left w:val="single" w:sz="12" w:space="0" w:color="auto"/>
              <w:bottom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11%</w:t>
            </w:r>
          </w:p>
        </w:tc>
        <w:tc>
          <w:tcPr>
            <w:tcW w:w="635" w:type="dxa"/>
            <w:tcBorders>
              <w:left w:val="single" w:sz="4" w:space="0" w:color="auto"/>
              <w:bottom w:val="single" w:sz="12"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22%</w:t>
            </w:r>
          </w:p>
        </w:tc>
        <w:tc>
          <w:tcPr>
            <w:tcW w:w="635" w:type="dxa"/>
            <w:tcBorders>
              <w:left w:val="single" w:sz="4" w:space="0" w:color="auto"/>
              <w:bottom w:val="single" w:sz="12"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22%</w:t>
            </w:r>
          </w:p>
        </w:tc>
        <w:tc>
          <w:tcPr>
            <w:tcW w:w="635" w:type="dxa"/>
            <w:tcBorders>
              <w:left w:val="single" w:sz="4" w:space="0" w:color="auto"/>
              <w:bottom w:val="single" w:sz="12"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11%</w:t>
            </w:r>
          </w:p>
        </w:tc>
        <w:tc>
          <w:tcPr>
            <w:tcW w:w="635" w:type="dxa"/>
            <w:tcBorders>
              <w:left w:val="single" w:sz="4" w:space="0" w:color="auto"/>
              <w:bottom w:val="single" w:sz="12"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33%</w:t>
            </w:r>
          </w:p>
        </w:tc>
      </w:tr>
      <w:tr w:rsidR="005B142B" w:rsidRPr="00693355" w:rsidTr="005B142B">
        <w:trPr>
          <w:trHeight w:val="460"/>
        </w:trPr>
        <w:tc>
          <w:tcPr>
            <w:tcW w:w="10812" w:type="dxa"/>
            <w:gridSpan w:val="7"/>
            <w:tcBorders>
              <w:left w:val="nil"/>
              <w:bottom w:val="single" w:sz="12" w:space="0" w:color="auto"/>
              <w:right w:val="nil"/>
            </w:tcBorders>
            <w:shd w:val="clear" w:color="000000" w:fill="FFFFFF"/>
            <w:vAlign w:val="center"/>
            <w:hideMark/>
          </w:tcPr>
          <w:p w:rsidR="005B142B" w:rsidRDefault="005B142B" w:rsidP="005B142B">
            <w:pPr>
              <w:rPr>
                <w:rFonts w:ascii="Calibri" w:hAnsi="Calibri" w:cs="Calibri"/>
                <w:sz w:val="20"/>
              </w:rPr>
            </w:pPr>
            <w:r>
              <w:rPr>
                <w:rFonts w:ascii="Calibri" w:hAnsi="Calibri" w:cs="Calibri"/>
                <w:sz w:val="20"/>
              </w:rPr>
              <w:t>The data above shows that:</w:t>
            </w:r>
          </w:p>
          <w:p w:rsidR="005B142B" w:rsidRDefault="005B142B" w:rsidP="005B142B">
            <w:pPr>
              <w:pStyle w:val="ListParagraph"/>
              <w:numPr>
                <w:ilvl w:val="0"/>
                <w:numId w:val="36"/>
              </w:numPr>
              <w:spacing w:line="240" w:lineRule="auto"/>
              <w:rPr>
                <w:rFonts w:ascii="Calibri" w:hAnsi="Calibri" w:cs="Calibri"/>
                <w:sz w:val="20"/>
              </w:rPr>
            </w:pPr>
            <w:r w:rsidRPr="006904B5">
              <w:rPr>
                <w:rFonts w:ascii="Calibri" w:hAnsi="Calibri" w:cs="Calibri"/>
                <w:sz w:val="20"/>
              </w:rPr>
              <w:t xml:space="preserve">Providers reported </w:t>
            </w:r>
            <w:r>
              <w:rPr>
                <w:rFonts w:ascii="Calibri" w:hAnsi="Calibri" w:cs="Calibri"/>
                <w:sz w:val="20"/>
              </w:rPr>
              <w:t>46</w:t>
            </w:r>
            <w:r w:rsidRPr="006904B5">
              <w:rPr>
                <w:rFonts w:ascii="Calibri" w:hAnsi="Calibri" w:cs="Calibri"/>
                <w:sz w:val="20"/>
              </w:rPr>
              <w:t>% of partnerships</w:t>
            </w:r>
            <w:r>
              <w:rPr>
                <w:rFonts w:ascii="Calibri" w:hAnsi="Calibri" w:cs="Calibri"/>
                <w:sz w:val="20"/>
              </w:rPr>
              <w:t xml:space="preserve"> that have been evaluated</w:t>
            </w:r>
            <w:r w:rsidRPr="006904B5">
              <w:rPr>
                <w:rFonts w:ascii="Calibri" w:hAnsi="Calibri" w:cs="Calibri"/>
                <w:sz w:val="20"/>
              </w:rPr>
              <w:t xml:space="preserve"> </w:t>
            </w:r>
            <w:r>
              <w:rPr>
                <w:rFonts w:ascii="Calibri" w:hAnsi="Calibri" w:cs="Calibri"/>
                <w:sz w:val="20"/>
              </w:rPr>
              <w:t xml:space="preserve">have </w:t>
            </w:r>
            <w:r w:rsidRPr="00493223">
              <w:rPr>
                <w:rFonts w:ascii="Calibri" w:hAnsi="Calibri" w:cs="Calibri"/>
                <w:i/>
                <w:sz w:val="20"/>
              </w:rPr>
              <w:t>achieved</w:t>
            </w:r>
            <w:r>
              <w:rPr>
                <w:rFonts w:ascii="Calibri" w:hAnsi="Calibri" w:cs="Calibri"/>
                <w:sz w:val="20"/>
              </w:rPr>
              <w:t xml:space="preserve"> or made </w:t>
            </w:r>
            <w:r w:rsidRPr="00493223">
              <w:rPr>
                <w:rFonts w:ascii="Calibri" w:hAnsi="Calibri" w:cs="Calibri"/>
                <w:i/>
                <w:sz w:val="20"/>
              </w:rPr>
              <w:t>considerable progress</w:t>
            </w:r>
            <w:r>
              <w:rPr>
                <w:rFonts w:ascii="Calibri" w:hAnsi="Calibri" w:cs="Calibri"/>
                <w:sz w:val="20"/>
              </w:rPr>
              <w:t xml:space="preserve"> against this outcome.</w:t>
            </w:r>
          </w:p>
          <w:p w:rsidR="005B142B" w:rsidRPr="00623FC9" w:rsidRDefault="005B142B" w:rsidP="005B142B">
            <w:pPr>
              <w:pStyle w:val="ListParagraph"/>
              <w:numPr>
                <w:ilvl w:val="0"/>
                <w:numId w:val="36"/>
              </w:numPr>
              <w:spacing w:line="240" w:lineRule="auto"/>
              <w:rPr>
                <w:rFonts w:ascii="Calibri" w:hAnsi="Calibri" w:cs="Calibri"/>
                <w:sz w:val="20"/>
              </w:rPr>
            </w:pPr>
            <w:r>
              <w:rPr>
                <w:rFonts w:ascii="Calibri" w:hAnsi="Calibri" w:cs="Calibri"/>
                <w:sz w:val="20"/>
              </w:rPr>
              <w:t xml:space="preserve">Providers reported 41% of partnerships that have been evaluated have made </w:t>
            </w:r>
            <w:r w:rsidRPr="00493223">
              <w:rPr>
                <w:rFonts w:ascii="Calibri" w:hAnsi="Calibri" w:cs="Calibri"/>
                <w:i/>
                <w:sz w:val="20"/>
              </w:rPr>
              <w:t>limited</w:t>
            </w:r>
            <w:r>
              <w:rPr>
                <w:rFonts w:ascii="Calibri" w:hAnsi="Calibri" w:cs="Calibri"/>
                <w:sz w:val="20"/>
              </w:rPr>
              <w:t xml:space="preserve"> or </w:t>
            </w:r>
            <w:r w:rsidRPr="00493223">
              <w:rPr>
                <w:rFonts w:ascii="Calibri" w:hAnsi="Calibri" w:cs="Calibri"/>
                <w:i/>
                <w:sz w:val="20"/>
              </w:rPr>
              <w:t xml:space="preserve">some progress </w:t>
            </w:r>
            <w:r>
              <w:rPr>
                <w:rFonts w:ascii="Calibri" w:hAnsi="Calibri" w:cs="Calibri"/>
                <w:sz w:val="20"/>
              </w:rPr>
              <w:t>against this outcome.</w:t>
            </w:r>
          </w:p>
          <w:p w:rsidR="005B142B" w:rsidRDefault="005B142B" w:rsidP="005B142B">
            <w:pPr>
              <w:pStyle w:val="ListParagraph"/>
              <w:numPr>
                <w:ilvl w:val="0"/>
                <w:numId w:val="36"/>
              </w:numPr>
              <w:spacing w:line="240" w:lineRule="auto"/>
              <w:rPr>
                <w:rFonts w:ascii="Calibri" w:hAnsi="Calibri" w:cs="Calibri"/>
                <w:sz w:val="20"/>
              </w:rPr>
            </w:pPr>
            <w:r w:rsidRPr="006904B5">
              <w:rPr>
                <w:rFonts w:ascii="Calibri" w:hAnsi="Calibri" w:cs="Calibri"/>
                <w:sz w:val="20"/>
              </w:rPr>
              <w:t xml:space="preserve">There are </w:t>
            </w:r>
            <w:r>
              <w:rPr>
                <w:rFonts w:ascii="Calibri" w:hAnsi="Calibri" w:cs="Calibri"/>
                <w:sz w:val="20"/>
              </w:rPr>
              <w:t>27</w:t>
            </w:r>
            <w:r w:rsidRPr="006904B5">
              <w:rPr>
                <w:rFonts w:ascii="Calibri" w:hAnsi="Calibri" w:cs="Calibri"/>
                <w:sz w:val="20"/>
              </w:rPr>
              <w:t xml:space="preserve"> </w:t>
            </w:r>
            <w:r>
              <w:rPr>
                <w:rFonts w:ascii="Calibri" w:hAnsi="Calibri" w:cs="Calibri"/>
                <w:sz w:val="20"/>
              </w:rPr>
              <w:t xml:space="preserve">partnerships (77% of the total number of partnerships in NT) that have made progress towards </w:t>
            </w:r>
            <w:r w:rsidRPr="006904B5">
              <w:rPr>
                <w:rFonts w:ascii="Calibri" w:hAnsi="Calibri" w:cs="Calibri"/>
                <w:sz w:val="20"/>
              </w:rPr>
              <w:t xml:space="preserve">providing </w:t>
            </w:r>
            <w:r>
              <w:rPr>
                <w:rFonts w:ascii="Calibri" w:hAnsi="Calibri" w:cs="Calibri"/>
                <w:sz w:val="20"/>
              </w:rPr>
              <w:t>‘</w:t>
            </w:r>
            <w:r w:rsidRPr="00D26E3C">
              <w:rPr>
                <w:rFonts w:ascii="Calibri" w:hAnsi="Calibri" w:cs="Calibri"/>
                <w:i/>
                <w:sz w:val="20"/>
              </w:rPr>
              <w:t>o</w:t>
            </w:r>
            <w:r w:rsidRPr="00D26E3C">
              <w:rPr>
                <w:rFonts w:ascii="Calibri" w:hAnsi="Calibri" w:cs="Calibri"/>
                <w:i/>
                <w:sz w:val="20"/>
                <w:lang w:eastAsia="en-AU"/>
              </w:rPr>
              <w:t>pportunities for meaningful learning as a result of education and training providers partnering with other stakeholders</w:t>
            </w:r>
            <w:r>
              <w:rPr>
                <w:rFonts w:ascii="Calibri" w:hAnsi="Calibri" w:cs="Calibri"/>
                <w:i/>
                <w:sz w:val="20"/>
                <w:lang w:eastAsia="en-AU"/>
              </w:rPr>
              <w:t>’</w:t>
            </w:r>
            <w:r>
              <w:rPr>
                <w:rFonts w:ascii="Calibri" w:hAnsi="Calibri" w:cs="Calibri"/>
                <w:sz w:val="20"/>
                <w:lang w:eastAsia="en-AU"/>
              </w:rPr>
              <w:t xml:space="preserve">. Providers reported that 44% of these partnerships have </w:t>
            </w:r>
            <w:r w:rsidRPr="00EA2034">
              <w:rPr>
                <w:rFonts w:ascii="Calibri" w:hAnsi="Calibri" w:cs="Calibri"/>
                <w:i/>
                <w:sz w:val="20"/>
                <w:lang w:eastAsia="en-AU"/>
              </w:rPr>
              <w:t>achieved</w:t>
            </w:r>
            <w:r>
              <w:rPr>
                <w:rFonts w:ascii="Calibri" w:hAnsi="Calibri" w:cs="Calibri"/>
                <w:sz w:val="20"/>
                <w:lang w:eastAsia="en-AU"/>
              </w:rPr>
              <w:t xml:space="preserve"> or made </w:t>
            </w:r>
            <w:r w:rsidRPr="00EA2034">
              <w:rPr>
                <w:rFonts w:ascii="Calibri" w:hAnsi="Calibri" w:cs="Calibri"/>
                <w:i/>
                <w:sz w:val="20"/>
                <w:lang w:eastAsia="en-AU"/>
              </w:rPr>
              <w:t>considerable progress</w:t>
            </w:r>
            <w:r>
              <w:rPr>
                <w:rFonts w:ascii="Calibri" w:hAnsi="Calibri" w:cs="Calibri"/>
                <w:i/>
                <w:sz w:val="20"/>
                <w:lang w:eastAsia="en-AU"/>
              </w:rPr>
              <w:t xml:space="preserve"> </w:t>
            </w:r>
            <w:r w:rsidRPr="00D26E3C">
              <w:rPr>
                <w:rFonts w:ascii="Calibri" w:hAnsi="Calibri" w:cs="Calibri"/>
                <w:sz w:val="20"/>
                <w:lang w:eastAsia="en-AU"/>
              </w:rPr>
              <w:t xml:space="preserve">against this </w:t>
            </w:r>
            <w:proofErr w:type="spellStart"/>
            <w:r w:rsidRPr="00D26E3C">
              <w:rPr>
                <w:rFonts w:ascii="Calibri" w:hAnsi="Calibri" w:cs="Calibri"/>
                <w:sz w:val="20"/>
                <w:lang w:eastAsia="en-AU"/>
              </w:rPr>
              <w:t>KPM</w:t>
            </w:r>
            <w:proofErr w:type="spellEnd"/>
            <w:r>
              <w:rPr>
                <w:rFonts w:ascii="Calibri" w:hAnsi="Calibri" w:cs="Calibri"/>
                <w:sz w:val="20"/>
                <w:lang w:eastAsia="en-AU"/>
              </w:rPr>
              <w:t>.</w:t>
            </w:r>
          </w:p>
          <w:p w:rsidR="00C26A01" w:rsidRDefault="00C26A01" w:rsidP="00C26A01">
            <w:pPr>
              <w:spacing w:line="240" w:lineRule="auto"/>
              <w:rPr>
                <w:rFonts w:ascii="Calibri" w:hAnsi="Calibri" w:cs="Calibri"/>
                <w:sz w:val="20"/>
              </w:rPr>
            </w:pPr>
          </w:p>
          <w:p w:rsidR="00C26A01" w:rsidRDefault="00C26A01" w:rsidP="00C26A01">
            <w:pPr>
              <w:spacing w:line="240" w:lineRule="auto"/>
              <w:rPr>
                <w:rFonts w:ascii="Calibri" w:hAnsi="Calibri" w:cs="Calibri"/>
                <w:sz w:val="20"/>
              </w:rPr>
            </w:pPr>
          </w:p>
          <w:p w:rsidR="00457274" w:rsidRDefault="00457274" w:rsidP="00C26A01">
            <w:pPr>
              <w:spacing w:line="240" w:lineRule="auto"/>
              <w:rPr>
                <w:rFonts w:ascii="Calibri" w:hAnsi="Calibri" w:cs="Calibri"/>
                <w:sz w:val="20"/>
              </w:rPr>
            </w:pPr>
          </w:p>
          <w:p w:rsidR="00457274" w:rsidRPr="005B142B" w:rsidRDefault="00457274" w:rsidP="00C26A01">
            <w:pPr>
              <w:spacing w:line="240" w:lineRule="auto"/>
              <w:rPr>
                <w:rFonts w:ascii="Calibri" w:hAnsi="Calibri" w:cs="Calibri"/>
                <w:sz w:val="20"/>
              </w:rPr>
            </w:pPr>
          </w:p>
        </w:tc>
      </w:tr>
      <w:tr w:rsidR="005B142B" w:rsidRPr="00693355" w:rsidTr="005B142B">
        <w:trPr>
          <w:trHeight w:val="294"/>
        </w:trPr>
        <w:tc>
          <w:tcPr>
            <w:tcW w:w="6398" w:type="dxa"/>
            <w:tcBorders>
              <w:top w:val="single" w:sz="12" w:space="0" w:color="auto"/>
              <w:left w:val="single" w:sz="12" w:space="0" w:color="auto"/>
              <w:right w:val="single" w:sz="12" w:space="0" w:color="auto"/>
            </w:tcBorders>
            <w:shd w:val="clear" w:color="auto" w:fill="C2D69B" w:themeFill="accent3" w:themeFillTint="99"/>
            <w:vAlign w:val="center"/>
            <w:hideMark/>
          </w:tcPr>
          <w:p w:rsidR="005B142B" w:rsidRPr="007534C0" w:rsidRDefault="005B142B" w:rsidP="005B142B">
            <w:pPr>
              <w:rPr>
                <w:rFonts w:ascii="Arial" w:hAnsi="Arial" w:cs="Arial"/>
                <w:b/>
                <w:bCs/>
                <w:sz w:val="20"/>
                <w:lang w:eastAsia="en-AU"/>
              </w:rPr>
            </w:pPr>
            <w:r w:rsidRPr="007534C0">
              <w:rPr>
                <w:rFonts w:ascii="Arial" w:hAnsi="Arial" w:cs="Arial"/>
                <w:b/>
                <w:bCs/>
                <w:sz w:val="20"/>
                <w:lang w:eastAsia="en-AU"/>
              </w:rPr>
              <w:lastRenderedPageBreak/>
              <w:t>Outcome</w:t>
            </w:r>
          </w:p>
        </w:tc>
        <w:tc>
          <w:tcPr>
            <w:tcW w:w="1239" w:type="dxa"/>
            <w:tcBorders>
              <w:top w:val="single" w:sz="12" w:space="0" w:color="auto"/>
              <w:left w:val="single" w:sz="12" w:space="0" w:color="auto"/>
              <w:right w:val="single" w:sz="12"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sidRPr="007534C0">
              <w:rPr>
                <w:rFonts w:ascii="Arial" w:hAnsi="Arial" w:cs="Arial"/>
                <w:b/>
                <w:bCs/>
                <w:sz w:val="20"/>
                <w:lang w:eastAsia="en-AU"/>
              </w:rPr>
              <w:t xml:space="preserve">Total </w:t>
            </w:r>
            <w:proofErr w:type="spellStart"/>
            <w:r>
              <w:rPr>
                <w:rFonts w:ascii="Arial" w:hAnsi="Arial" w:cs="Arial"/>
                <w:b/>
                <w:bCs/>
                <w:sz w:val="20"/>
                <w:lang w:eastAsia="en-AU"/>
              </w:rPr>
              <w:t>KPM</w:t>
            </w:r>
            <w:proofErr w:type="spellEnd"/>
            <w:r>
              <w:rPr>
                <w:rFonts w:ascii="Arial" w:hAnsi="Arial" w:cs="Arial"/>
                <w:b/>
                <w:bCs/>
                <w:sz w:val="20"/>
                <w:lang w:eastAsia="en-AU"/>
              </w:rPr>
              <w:t xml:space="preserve"> </w:t>
            </w:r>
            <w:r w:rsidRPr="007534C0">
              <w:rPr>
                <w:rFonts w:ascii="Arial" w:hAnsi="Arial" w:cs="Arial"/>
                <w:b/>
                <w:bCs/>
                <w:sz w:val="20"/>
                <w:lang w:eastAsia="en-AU"/>
              </w:rPr>
              <w:t>Evaluat</w:t>
            </w:r>
            <w:r>
              <w:rPr>
                <w:rFonts w:ascii="Arial" w:hAnsi="Arial" w:cs="Arial"/>
                <w:b/>
                <w:bCs/>
                <w:sz w:val="20"/>
                <w:lang w:eastAsia="en-AU"/>
              </w:rPr>
              <w:t>ions</w:t>
            </w:r>
          </w:p>
        </w:tc>
        <w:tc>
          <w:tcPr>
            <w:tcW w:w="635" w:type="dxa"/>
            <w:tcBorders>
              <w:top w:val="single" w:sz="12" w:space="0" w:color="auto"/>
              <w:left w:val="single" w:sz="12"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1</w:t>
            </w:r>
          </w:p>
        </w:tc>
        <w:tc>
          <w:tcPr>
            <w:tcW w:w="635"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2</w:t>
            </w:r>
          </w:p>
        </w:tc>
        <w:tc>
          <w:tcPr>
            <w:tcW w:w="635"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3</w:t>
            </w:r>
          </w:p>
        </w:tc>
        <w:tc>
          <w:tcPr>
            <w:tcW w:w="635"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4</w:t>
            </w:r>
          </w:p>
        </w:tc>
        <w:tc>
          <w:tcPr>
            <w:tcW w:w="635" w:type="dxa"/>
            <w:tcBorders>
              <w:top w:val="single" w:sz="12" w:space="0" w:color="auto"/>
              <w:left w:val="single" w:sz="4" w:space="0" w:color="auto"/>
              <w:right w:val="single" w:sz="12" w:space="0" w:color="auto"/>
            </w:tcBorders>
            <w:shd w:val="clear" w:color="auto" w:fill="C2D69B" w:themeFill="accent3" w:themeFillTint="99"/>
            <w:vAlign w:val="center"/>
          </w:tcPr>
          <w:p w:rsidR="005B142B" w:rsidRPr="007534C0" w:rsidRDefault="005B142B" w:rsidP="005B142B">
            <w:pPr>
              <w:jc w:val="center"/>
              <w:rPr>
                <w:rFonts w:ascii="Arial" w:hAnsi="Arial" w:cs="Arial"/>
                <w:b/>
                <w:bCs/>
                <w:sz w:val="20"/>
                <w:lang w:eastAsia="en-AU"/>
              </w:rPr>
            </w:pPr>
            <w:r>
              <w:rPr>
                <w:rFonts w:ascii="Arial" w:hAnsi="Arial" w:cs="Arial"/>
                <w:b/>
                <w:bCs/>
                <w:sz w:val="20"/>
                <w:lang w:eastAsia="en-AU"/>
              </w:rPr>
              <w:t>5</w:t>
            </w:r>
          </w:p>
        </w:tc>
      </w:tr>
      <w:tr w:rsidR="005B142B" w:rsidRPr="00693355" w:rsidTr="005B142B">
        <w:trPr>
          <w:trHeight w:val="662"/>
        </w:trPr>
        <w:tc>
          <w:tcPr>
            <w:tcW w:w="6398"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Pr="00693355" w:rsidRDefault="005B142B" w:rsidP="005B142B">
            <w:pPr>
              <w:rPr>
                <w:rFonts w:ascii="Calibri" w:hAnsi="Calibri" w:cs="Calibri"/>
                <w:color w:val="333333"/>
                <w:sz w:val="20"/>
                <w:lang w:eastAsia="en-AU"/>
              </w:rPr>
            </w:pPr>
            <w:r w:rsidRPr="00B47227">
              <w:rPr>
                <w:rFonts w:ascii="Calibri" w:hAnsi="Calibri"/>
                <w:b/>
                <w:bCs/>
                <w:sz w:val="20"/>
              </w:rPr>
              <w:t>Business and industry</w:t>
            </w:r>
            <w:r w:rsidRPr="00B47227">
              <w:rPr>
                <w:rFonts w:ascii="Calibri" w:hAnsi="Calibri"/>
                <w:b/>
                <w:sz w:val="20"/>
              </w:rPr>
              <w:t xml:space="preserve"> actively engaged in sustainable partnerships that support the development of young people, contribute to the skills and knowledge of the future workforce and improve young people’s education and transition outcomes</w:t>
            </w:r>
            <w:r w:rsidRPr="00B47227">
              <w:rPr>
                <w:rFonts w:ascii="Calibri" w:hAnsi="Calibri"/>
                <w:b/>
                <w:iCs/>
                <w:sz w:val="20"/>
              </w:rPr>
              <w:t>.</w:t>
            </w:r>
          </w:p>
        </w:tc>
        <w:tc>
          <w:tcPr>
            <w:tcW w:w="1239"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Pr="00126AC7" w:rsidRDefault="005B142B" w:rsidP="005B142B">
            <w:pPr>
              <w:jc w:val="center"/>
              <w:rPr>
                <w:rFonts w:ascii="Calibri" w:hAnsi="Calibri" w:cs="Calibri"/>
                <w:b/>
                <w:color w:val="000000"/>
              </w:rPr>
            </w:pPr>
            <w:r>
              <w:rPr>
                <w:rFonts w:ascii="Calibri" w:hAnsi="Calibri" w:cs="Calibri"/>
                <w:b/>
                <w:color w:val="000000"/>
              </w:rPr>
              <w:t>35</w:t>
            </w:r>
          </w:p>
        </w:tc>
        <w:tc>
          <w:tcPr>
            <w:tcW w:w="635" w:type="dxa"/>
            <w:tcBorders>
              <w:top w:val="single" w:sz="12" w:space="0" w:color="auto"/>
              <w:left w:val="single" w:sz="12" w:space="0" w:color="auto"/>
              <w:right w:val="single" w:sz="4" w:space="0" w:color="auto"/>
            </w:tcBorders>
            <w:shd w:val="clear" w:color="auto" w:fill="EAF1DD" w:themeFill="accent3" w:themeFillTint="33"/>
            <w:vAlign w:val="center"/>
            <w:hideMark/>
          </w:tcPr>
          <w:p w:rsidR="005B142B" w:rsidRDefault="005B142B" w:rsidP="005B142B">
            <w:pPr>
              <w:jc w:val="center"/>
              <w:rPr>
                <w:rFonts w:ascii="Calibri" w:hAnsi="Calibri" w:cs="Calibri"/>
                <w:b/>
                <w:color w:val="000000"/>
              </w:rPr>
            </w:pPr>
            <w:r>
              <w:rPr>
                <w:rFonts w:ascii="Calibri" w:hAnsi="Calibri" w:cs="Calibri"/>
                <w:b/>
                <w:color w:val="000000"/>
              </w:rPr>
              <w:t>10</w:t>
            </w:r>
          </w:p>
          <w:p w:rsidR="005B142B" w:rsidRPr="00126AC7" w:rsidRDefault="005B142B" w:rsidP="005B142B">
            <w:pPr>
              <w:jc w:val="center"/>
              <w:rPr>
                <w:rFonts w:ascii="Calibri" w:hAnsi="Calibri" w:cs="Calibri"/>
                <w:b/>
                <w:color w:val="000000"/>
              </w:rPr>
            </w:pPr>
            <w:r>
              <w:rPr>
                <w:rFonts w:ascii="Calibri" w:hAnsi="Calibri" w:cs="Calibri"/>
                <w:b/>
                <w:color w:val="000000"/>
              </w:rPr>
              <w:t>(29%)</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8</w:t>
            </w:r>
          </w:p>
          <w:p w:rsidR="005B142B" w:rsidRPr="00126AC7" w:rsidRDefault="005B142B" w:rsidP="005B142B">
            <w:pPr>
              <w:jc w:val="center"/>
              <w:rPr>
                <w:rFonts w:ascii="Calibri" w:hAnsi="Calibri" w:cs="Calibri"/>
                <w:b/>
                <w:color w:val="000000"/>
              </w:rPr>
            </w:pPr>
            <w:r>
              <w:rPr>
                <w:rFonts w:ascii="Calibri" w:hAnsi="Calibri" w:cs="Calibri"/>
                <w:b/>
                <w:color w:val="000000"/>
              </w:rPr>
              <w:t>(23%)</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6</w:t>
            </w:r>
          </w:p>
          <w:p w:rsidR="005B142B" w:rsidRPr="00126AC7" w:rsidRDefault="005B142B" w:rsidP="005B142B">
            <w:pPr>
              <w:jc w:val="center"/>
              <w:rPr>
                <w:rFonts w:ascii="Calibri" w:hAnsi="Calibri" w:cs="Calibri"/>
                <w:b/>
                <w:color w:val="000000"/>
              </w:rPr>
            </w:pPr>
            <w:r>
              <w:rPr>
                <w:rFonts w:ascii="Calibri" w:hAnsi="Calibri" w:cs="Calibri"/>
                <w:b/>
                <w:color w:val="000000"/>
              </w:rPr>
              <w:t>(17%)</w:t>
            </w:r>
          </w:p>
        </w:tc>
        <w:tc>
          <w:tcPr>
            <w:tcW w:w="635"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4</w:t>
            </w:r>
          </w:p>
          <w:p w:rsidR="005B142B" w:rsidRPr="00126AC7" w:rsidRDefault="005B142B" w:rsidP="005B142B">
            <w:pPr>
              <w:jc w:val="center"/>
              <w:rPr>
                <w:rFonts w:ascii="Calibri" w:hAnsi="Calibri" w:cs="Calibri"/>
                <w:b/>
                <w:color w:val="000000"/>
              </w:rPr>
            </w:pPr>
            <w:r>
              <w:rPr>
                <w:rFonts w:ascii="Calibri" w:hAnsi="Calibri" w:cs="Calibri"/>
                <w:b/>
                <w:color w:val="000000"/>
              </w:rPr>
              <w:t>(11%)</w:t>
            </w:r>
          </w:p>
        </w:tc>
        <w:tc>
          <w:tcPr>
            <w:tcW w:w="635" w:type="dxa"/>
            <w:tcBorders>
              <w:top w:val="single" w:sz="12" w:space="0" w:color="auto"/>
              <w:left w:val="single" w:sz="4" w:space="0" w:color="auto"/>
              <w:right w:val="single" w:sz="12"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7</w:t>
            </w:r>
          </w:p>
          <w:p w:rsidR="005B142B" w:rsidRPr="00126AC7" w:rsidRDefault="005B142B" w:rsidP="005B142B">
            <w:pPr>
              <w:jc w:val="center"/>
              <w:rPr>
                <w:rFonts w:ascii="Calibri" w:hAnsi="Calibri" w:cs="Calibri"/>
                <w:b/>
                <w:color w:val="000000"/>
              </w:rPr>
            </w:pPr>
            <w:r>
              <w:rPr>
                <w:rFonts w:ascii="Calibri" w:hAnsi="Calibri" w:cs="Calibri"/>
                <w:b/>
                <w:color w:val="000000"/>
              </w:rPr>
              <w:t>(20%)</w:t>
            </w:r>
          </w:p>
        </w:tc>
      </w:tr>
      <w:tr w:rsidR="005B142B" w:rsidRPr="00693355" w:rsidTr="005B142B">
        <w:trPr>
          <w:trHeight w:val="345"/>
        </w:trPr>
        <w:tc>
          <w:tcPr>
            <w:tcW w:w="10812" w:type="dxa"/>
            <w:gridSpan w:val="7"/>
            <w:tcBorders>
              <w:top w:val="single" w:sz="12" w:space="0" w:color="auto"/>
              <w:left w:val="nil"/>
              <w:right w:val="nil"/>
            </w:tcBorders>
            <w:shd w:val="clear" w:color="000000" w:fill="FFFFFF"/>
            <w:vAlign w:val="center"/>
            <w:hideMark/>
          </w:tcPr>
          <w:p w:rsidR="005B142B" w:rsidRPr="00E51DA3" w:rsidRDefault="005B142B" w:rsidP="005B142B">
            <w:pPr>
              <w:spacing w:before="120" w:after="40"/>
              <w:rPr>
                <w:rFonts w:ascii="Calibri" w:hAnsi="Calibri" w:cs="Calibri"/>
                <w:color w:val="333333"/>
                <w:sz w:val="18"/>
                <w:szCs w:val="18"/>
                <w:lang w:eastAsia="en-AU"/>
              </w:rPr>
            </w:pPr>
            <w:r>
              <w:rPr>
                <w:rFonts w:ascii="Calibri" w:hAnsi="Calibri"/>
                <w:iCs/>
                <w:sz w:val="20"/>
              </w:rPr>
              <w:t>The following</w:t>
            </w:r>
            <w:r w:rsidRPr="00233A91">
              <w:rPr>
                <w:rFonts w:ascii="Calibri" w:hAnsi="Calibri"/>
                <w:iCs/>
                <w:sz w:val="20"/>
              </w:rPr>
              <w:t xml:space="preserve"> </w:t>
            </w:r>
            <w:proofErr w:type="spellStart"/>
            <w:r w:rsidRPr="00233A91">
              <w:rPr>
                <w:rFonts w:ascii="Calibri" w:hAnsi="Calibri"/>
                <w:iCs/>
                <w:sz w:val="20"/>
              </w:rPr>
              <w:t>KPMs</w:t>
            </w:r>
            <w:proofErr w:type="spellEnd"/>
            <w:r w:rsidRPr="00233A91">
              <w:rPr>
                <w:rFonts w:ascii="Calibri" w:hAnsi="Calibri"/>
                <w:iCs/>
                <w:sz w:val="20"/>
              </w:rPr>
              <w:t xml:space="preserve"> contribute to this outcome</w:t>
            </w:r>
            <w:r w:rsidRPr="0068476E">
              <w:rPr>
                <w:rFonts w:ascii="Calibri" w:hAnsi="Calibri"/>
                <w:iCs/>
                <w:sz w:val="18"/>
                <w:szCs w:val="18"/>
              </w:rPr>
              <w:t>:</w:t>
            </w:r>
          </w:p>
        </w:tc>
      </w:tr>
      <w:tr w:rsidR="005B142B" w:rsidRPr="00693355" w:rsidTr="005B142B">
        <w:trPr>
          <w:trHeight w:val="460"/>
        </w:trPr>
        <w:tc>
          <w:tcPr>
            <w:tcW w:w="6398" w:type="dxa"/>
            <w:tcBorders>
              <w:left w:val="single" w:sz="12" w:space="0" w:color="auto"/>
              <w:right w:val="single" w:sz="12" w:space="0" w:color="auto"/>
            </w:tcBorders>
            <w:shd w:val="clear" w:color="000000" w:fill="FFFFFF"/>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businesses providing mentoring/coaching opportunities for young people</w:t>
            </w:r>
          </w:p>
        </w:tc>
        <w:tc>
          <w:tcPr>
            <w:tcW w:w="1239"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15</w:t>
            </w:r>
          </w:p>
        </w:tc>
        <w:tc>
          <w:tcPr>
            <w:tcW w:w="635" w:type="dxa"/>
            <w:tcBorders>
              <w:left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40%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27%</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5" w:type="dxa"/>
            <w:tcBorders>
              <w:left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13%</w:t>
            </w:r>
          </w:p>
        </w:tc>
      </w:tr>
      <w:tr w:rsidR="005B142B" w:rsidRPr="00693355" w:rsidTr="005B142B">
        <w:trPr>
          <w:trHeight w:val="460"/>
        </w:trPr>
        <w:tc>
          <w:tcPr>
            <w:tcW w:w="6398" w:type="dxa"/>
            <w:tcBorders>
              <w:left w:val="single" w:sz="12" w:space="0" w:color="auto"/>
              <w:right w:val="single" w:sz="12" w:space="0" w:color="auto"/>
            </w:tcBorders>
            <w:shd w:val="clear" w:color="000000" w:fill="FFFFFF"/>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businesses providing professional development opportunities for teachers and career practitioners</w:t>
            </w:r>
          </w:p>
        </w:tc>
        <w:tc>
          <w:tcPr>
            <w:tcW w:w="1239"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5</w:t>
            </w:r>
          </w:p>
        </w:tc>
        <w:tc>
          <w:tcPr>
            <w:tcW w:w="635" w:type="dxa"/>
            <w:tcBorders>
              <w:left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60%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60"/>
        </w:trPr>
        <w:tc>
          <w:tcPr>
            <w:tcW w:w="6398" w:type="dxa"/>
            <w:tcBorders>
              <w:left w:val="single" w:sz="12" w:space="0" w:color="auto"/>
              <w:right w:val="single" w:sz="12" w:space="0" w:color="auto"/>
            </w:tcBorders>
            <w:shd w:val="clear" w:color="auto" w:fill="EAF1DD" w:themeFill="accent3" w:themeFillTint="33"/>
            <w:vAlign w:val="center"/>
            <w:hideMark/>
          </w:tcPr>
          <w:p w:rsidR="005B142B" w:rsidRPr="00CD7613" w:rsidRDefault="005B142B" w:rsidP="005B142B">
            <w:pPr>
              <w:rPr>
                <w:rFonts w:ascii="Calibri" w:hAnsi="Calibri" w:cs="Calibri"/>
                <w:color w:val="333333"/>
                <w:sz w:val="18"/>
                <w:szCs w:val="18"/>
                <w:lang w:eastAsia="en-AU"/>
              </w:rPr>
            </w:pPr>
            <w:r w:rsidRPr="00CD7613">
              <w:rPr>
                <w:rFonts w:ascii="Calibri" w:hAnsi="Calibri" w:cs="Calibri"/>
                <w:color w:val="333333"/>
                <w:sz w:val="18"/>
                <w:szCs w:val="18"/>
                <w:lang w:eastAsia="en-AU"/>
              </w:rPr>
              <w:t>An increase in the number of businesses providing quality workplace and community learning opportunities for young people</w:t>
            </w:r>
          </w:p>
        </w:tc>
        <w:tc>
          <w:tcPr>
            <w:tcW w:w="1239" w:type="dxa"/>
            <w:tcBorders>
              <w:left w:val="single" w:sz="12" w:space="0" w:color="auto"/>
              <w:right w:val="single" w:sz="12" w:space="0" w:color="auto"/>
            </w:tcBorders>
            <w:shd w:val="clear" w:color="auto" w:fill="D6E3BC" w:themeFill="accent3" w:themeFillTint="66"/>
            <w:vAlign w:val="center"/>
            <w:hideMark/>
          </w:tcPr>
          <w:p w:rsidR="005B142B" w:rsidRDefault="005B142B" w:rsidP="005B142B">
            <w:pPr>
              <w:jc w:val="center"/>
              <w:rPr>
                <w:rFonts w:ascii="Calibri" w:hAnsi="Calibri" w:cs="Calibri"/>
                <w:color w:val="000000"/>
              </w:rPr>
            </w:pPr>
            <w:r>
              <w:rPr>
                <w:rFonts w:ascii="Calibri" w:hAnsi="Calibri" w:cs="Calibri"/>
                <w:color w:val="000000"/>
              </w:rPr>
              <w:t>15</w:t>
            </w:r>
          </w:p>
        </w:tc>
        <w:tc>
          <w:tcPr>
            <w:tcW w:w="635" w:type="dxa"/>
            <w:tcBorders>
              <w:left w:val="single" w:sz="12" w:space="0" w:color="auto"/>
              <w:right w:val="single" w:sz="4" w:space="0" w:color="auto"/>
            </w:tcBorders>
            <w:shd w:val="clear" w:color="000000" w:fill="FFFFFF"/>
            <w:vAlign w:val="center"/>
            <w:hideMark/>
          </w:tcPr>
          <w:p w:rsidR="005B142B" w:rsidRDefault="005B142B" w:rsidP="005B142B">
            <w:pPr>
              <w:jc w:val="center"/>
              <w:rPr>
                <w:rFonts w:ascii="Calibri" w:hAnsi="Calibri" w:cs="Calibri"/>
                <w:color w:val="000000"/>
              </w:rPr>
            </w:pPr>
            <w:r>
              <w:rPr>
                <w:rFonts w:ascii="Calibri" w:hAnsi="Calibri" w:cs="Calibri"/>
                <w:color w:val="000000"/>
              </w:rPr>
              <w:t>7%</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27%</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13%</w:t>
            </w:r>
          </w:p>
        </w:tc>
        <w:tc>
          <w:tcPr>
            <w:tcW w:w="635" w:type="dxa"/>
            <w:tcBorders>
              <w:left w:val="single" w:sz="4" w:space="0" w:color="auto"/>
              <w:right w:val="single" w:sz="4"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5" w:type="dxa"/>
            <w:tcBorders>
              <w:left w:val="single" w:sz="4" w:space="0" w:color="auto"/>
              <w:right w:val="single" w:sz="12" w:space="0" w:color="auto"/>
            </w:tcBorders>
            <w:shd w:val="clear" w:color="000000" w:fill="FFFFFF"/>
            <w:vAlign w:val="center"/>
          </w:tcPr>
          <w:p w:rsidR="005B142B" w:rsidRDefault="005B142B" w:rsidP="005B142B">
            <w:pPr>
              <w:jc w:val="center"/>
              <w:rPr>
                <w:rFonts w:ascii="Calibri" w:hAnsi="Calibri" w:cs="Calibri"/>
                <w:color w:val="000000"/>
              </w:rPr>
            </w:pPr>
            <w:r>
              <w:rPr>
                <w:rFonts w:ascii="Calibri" w:hAnsi="Calibri" w:cs="Calibri"/>
                <w:color w:val="000000"/>
              </w:rPr>
              <w:t>33%</w:t>
            </w:r>
          </w:p>
        </w:tc>
      </w:tr>
    </w:tbl>
    <w:p w:rsidR="005B142B" w:rsidRDefault="005B142B" w:rsidP="005B142B">
      <w:pPr>
        <w:ind w:hanging="709"/>
        <w:rPr>
          <w:rFonts w:ascii="Calibri" w:hAnsi="Calibri" w:cs="Calibri"/>
          <w:sz w:val="20"/>
        </w:rPr>
      </w:pPr>
      <w:r>
        <w:rPr>
          <w:rFonts w:ascii="Calibri" w:hAnsi="Calibri" w:cs="Calibri"/>
          <w:sz w:val="20"/>
        </w:rPr>
        <w:t>The data above shows that:</w:t>
      </w:r>
    </w:p>
    <w:p w:rsidR="005B142B" w:rsidRDefault="005B142B" w:rsidP="005B142B">
      <w:pPr>
        <w:pStyle w:val="ListParagraph"/>
        <w:numPr>
          <w:ilvl w:val="0"/>
          <w:numId w:val="36"/>
        </w:numPr>
        <w:spacing w:line="240" w:lineRule="auto"/>
        <w:ind w:left="142"/>
        <w:rPr>
          <w:rFonts w:ascii="Calibri" w:hAnsi="Calibri" w:cs="Calibri"/>
          <w:sz w:val="20"/>
        </w:rPr>
      </w:pPr>
      <w:r w:rsidRPr="006904B5">
        <w:rPr>
          <w:rFonts w:ascii="Calibri" w:hAnsi="Calibri" w:cs="Calibri"/>
          <w:sz w:val="20"/>
        </w:rPr>
        <w:t xml:space="preserve">Providers reported </w:t>
      </w:r>
      <w:r>
        <w:rPr>
          <w:rFonts w:ascii="Calibri" w:hAnsi="Calibri" w:cs="Calibri"/>
          <w:sz w:val="20"/>
        </w:rPr>
        <w:t>31</w:t>
      </w:r>
      <w:r w:rsidRPr="006904B5">
        <w:rPr>
          <w:rFonts w:ascii="Calibri" w:hAnsi="Calibri" w:cs="Calibri"/>
          <w:sz w:val="20"/>
        </w:rPr>
        <w:t>% of partnerships</w:t>
      </w:r>
      <w:r>
        <w:rPr>
          <w:rFonts w:ascii="Calibri" w:hAnsi="Calibri" w:cs="Calibri"/>
          <w:sz w:val="20"/>
        </w:rPr>
        <w:t xml:space="preserve"> that</w:t>
      </w:r>
      <w:r w:rsidRPr="006904B5">
        <w:rPr>
          <w:rFonts w:ascii="Calibri" w:hAnsi="Calibri" w:cs="Calibri"/>
          <w:sz w:val="20"/>
        </w:rPr>
        <w:t xml:space="preserve"> </w:t>
      </w:r>
      <w:r>
        <w:rPr>
          <w:rFonts w:ascii="Calibri" w:hAnsi="Calibri" w:cs="Calibri"/>
          <w:sz w:val="20"/>
        </w:rPr>
        <w:t xml:space="preserve">have been evaluated have </w:t>
      </w:r>
      <w:r w:rsidRPr="00493223">
        <w:rPr>
          <w:rFonts w:ascii="Calibri" w:hAnsi="Calibri" w:cs="Calibri"/>
          <w:i/>
          <w:sz w:val="20"/>
        </w:rPr>
        <w:t>achieved</w:t>
      </w:r>
      <w:r>
        <w:rPr>
          <w:rFonts w:ascii="Calibri" w:hAnsi="Calibri" w:cs="Calibri"/>
          <w:sz w:val="20"/>
        </w:rPr>
        <w:t xml:space="preserve"> or made </w:t>
      </w:r>
      <w:r w:rsidRPr="00493223">
        <w:rPr>
          <w:rFonts w:ascii="Calibri" w:hAnsi="Calibri" w:cs="Calibri"/>
          <w:i/>
          <w:sz w:val="20"/>
        </w:rPr>
        <w:t>considerable progress</w:t>
      </w:r>
      <w:r>
        <w:rPr>
          <w:rFonts w:ascii="Calibri" w:hAnsi="Calibri" w:cs="Calibri"/>
          <w:sz w:val="20"/>
        </w:rPr>
        <w:t xml:space="preserve"> against this outcome.</w:t>
      </w:r>
    </w:p>
    <w:p w:rsidR="005B142B" w:rsidRPr="00623FC9" w:rsidRDefault="005B142B" w:rsidP="005B142B">
      <w:pPr>
        <w:pStyle w:val="ListParagraph"/>
        <w:numPr>
          <w:ilvl w:val="0"/>
          <w:numId w:val="36"/>
        </w:numPr>
        <w:spacing w:line="240" w:lineRule="auto"/>
        <w:ind w:left="142"/>
        <w:rPr>
          <w:rFonts w:ascii="Calibri" w:hAnsi="Calibri" w:cs="Calibri"/>
          <w:sz w:val="20"/>
        </w:rPr>
      </w:pPr>
      <w:r w:rsidRPr="00623FC9">
        <w:rPr>
          <w:rFonts w:ascii="Calibri" w:hAnsi="Calibri" w:cs="Calibri"/>
          <w:sz w:val="20"/>
        </w:rPr>
        <w:t xml:space="preserve">Providers reported </w:t>
      </w:r>
      <w:r>
        <w:rPr>
          <w:rFonts w:ascii="Calibri" w:hAnsi="Calibri" w:cs="Calibri"/>
          <w:sz w:val="20"/>
        </w:rPr>
        <w:t>52</w:t>
      </w:r>
      <w:r w:rsidRPr="00623FC9">
        <w:rPr>
          <w:rFonts w:ascii="Calibri" w:hAnsi="Calibri" w:cs="Calibri"/>
          <w:sz w:val="20"/>
        </w:rPr>
        <w:t xml:space="preserve">% of partnerships </w:t>
      </w:r>
      <w:r>
        <w:rPr>
          <w:rFonts w:ascii="Calibri" w:hAnsi="Calibri" w:cs="Calibri"/>
          <w:sz w:val="20"/>
        </w:rPr>
        <w:t xml:space="preserve">that </w:t>
      </w:r>
      <w:r w:rsidRPr="00623FC9">
        <w:rPr>
          <w:rFonts w:ascii="Calibri" w:hAnsi="Calibri" w:cs="Calibri"/>
          <w:sz w:val="20"/>
        </w:rPr>
        <w:t>have</w:t>
      </w:r>
      <w:r>
        <w:rPr>
          <w:rFonts w:ascii="Calibri" w:hAnsi="Calibri" w:cs="Calibri"/>
          <w:sz w:val="20"/>
        </w:rPr>
        <w:t xml:space="preserve"> been evaluated have</w:t>
      </w:r>
      <w:r w:rsidRPr="00623FC9">
        <w:rPr>
          <w:rFonts w:ascii="Calibri" w:hAnsi="Calibri" w:cs="Calibri"/>
          <w:sz w:val="20"/>
        </w:rPr>
        <w:t xml:space="preserve"> </w:t>
      </w:r>
      <w:r>
        <w:rPr>
          <w:rFonts w:ascii="Calibri" w:hAnsi="Calibri" w:cs="Calibri"/>
          <w:sz w:val="20"/>
        </w:rPr>
        <w:t xml:space="preserve">made </w:t>
      </w:r>
      <w:r w:rsidRPr="00493223">
        <w:rPr>
          <w:rFonts w:ascii="Calibri" w:hAnsi="Calibri" w:cs="Calibri"/>
          <w:i/>
          <w:sz w:val="20"/>
        </w:rPr>
        <w:t>limited</w:t>
      </w:r>
      <w:r>
        <w:rPr>
          <w:rFonts w:ascii="Calibri" w:hAnsi="Calibri" w:cs="Calibri"/>
          <w:sz w:val="20"/>
        </w:rPr>
        <w:t xml:space="preserve"> or </w:t>
      </w:r>
      <w:r w:rsidRPr="00493223">
        <w:rPr>
          <w:rFonts w:ascii="Calibri" w:hAnsi="Calibri" w:cs="Calibri"/>
          <w:i/>
          <w:sz w:val="20"/>
        </w:rPr>
        <w:t xml:space="preserve">some progress </w:t>
      </w:r>
      <w:r>
        <w:rPr>
          <w:rFonts w:ascii="Calibri" w:hAnsi="Calibri" w:cs="Calibri"/>
          <w:sz w:val="20"/>
        </w:rPr>
        <w:t xml:space="preserve">against </w:t>
      </w:r>
      <w:r w:rsidRPr="00623FC9">
        <w:rPr>
          <w:rFonts w:ascii="Calibri" w:hAnsi="Calibri" w:cs="Calibri"/>
          <w:sz w:val="20"/>
        </w:rPr>
        <w:t>this outcome.</w:t>
      </w:r>
    </w:p>
    <w:p w:rsidR="005B142B" w:rsidRPr="003E2644" w:rsidRDefault="005B142B" w:rsidP="005B142B">
      <w:pPr>
        <w:pStyle w:val="ListParagraph"/>
        <w:numPr>
          <w:ilvl w:val="0"/>
          <w:numId w:val="36"/>
        </w:numPr>
        <w:spacing w:line="240" w:lineRule="auto"/>
        <w:ind w:left="142"/>
        <w:rPr>
          <w:rFonts w:ascii="Calibri" w:hAnsi="Calibri" w:cs="Calibri"/>
          <w:sz w:val="20"/>
        </w:rPr>
      </w:pPr>
      <w:r w:rsidRPr="006904B5">
        <w:rPr>
          <w:rFonts w:ascii="Calibri" w:hAnsi="Calibri" w:cs="Calibri"/>
          <w:sz w:val="20"/>
        </w:rPr>
        <w:t xml:space="preserve">There are </w:t>
      </w:r>
      <w:r>
        <w:rPr>
          <w:rFonts w:ascii="Calibri" w:hAnsi="Calibri" w:cs="Calibri"/>
          <w:sz w:val="20"/>
        </w:rPr>
        <w:t>15</w:t>
      </w:r>
      <w:r w:rsidRPr="006904B5">
        <w:rPr>
          <w:rFonts w:ascii="Calibri" w:hAnsi="Calibri" w:cs="Calibri"/>
          <w:sz w:val="20"/>
        </w:rPr>
        <w:t xml:space="preserve"> </w:t>
      </w:r>
      <w:r>
        <w:rPr>
          <w:rFonts w:ascii="Calibri" w:hAnsi="Calibri" w:cs="Calibri"/>
          <w:sz w:val="20"/>
        </w:rPr>
        <w:t>partnerships (43% of the total number of partnerships in NT) that have made progress towards</w:t>
      </w:r>
      <w:r w:rsidRPr="006904B5">
        <w:rPr>
          <w:rFonts w:ascii="Calibri" w:hAnsi="Calibri" w:cs="Calibri"/>
          <w:sz w:val="20"/>
        </w:rPr>
        <w:t xml:space="preserve"> </w:t>
      </w:r>
      <w:r>
        <w:rPr>
          <w:rFonts w:ascii="Calibri" w:hAnsi="Calibri" w:cs="Calibri"/>
          <w:sz w:val="20"/>
        </w:rPr>
        <w:t>increasing</w:t>
      </w:r>
      <w:r w:rsidRPr="00F11A36">
        <w:rPr>
          <w:rFonts w:ascii="Calibri" w:hAnsi="Calibri" w:cs="Calibri"/>
          <w:sz w:val="20"/>
          <w:lang w:eastAsia="en-AU"/>
        </w:rPr>
        <w:t xml:space="preserve"> </w:t>
      </w:r>
      <w:r w:rsidRPr="002B195F">
        <w:rPr>
          <w:rFonts w:ascii="Calibri" w:hAnsi="Calibri" w:cs="Calibri"/>
          <w:i/>
          <w:sz w:val="20"/>
          <w:lang w:eastAsia="en-AU"/>
        </w:rPr>
        <w:t>‘the number of businesses providing quality workplace and community learning opportunities for young people</w:t>
      </w:r>
      <w:r>
        <w:rPr>
          <w:rFonts w:ascii="Calibri" w:hAnsi="Calibri" w:cs="Calibri"/>
          <w:i/>
          <w:sz w:val="20"/>
          <w:lang w:eastAsia="en-AU"/>
        </w:rPr>
        <w:t>’</w:t>
      </w:r>
      <w:r>
        <w:rPr>
          <w:rFonts w:ascii="Calibri" w:hAnsi="Calibri" w:cs="Calibri"/>
          <w:sz w:val="20"/>
          <w:lang w:eastAsia="en-AU"/>
        </w:rPr>
        <w:t xml:space="preserve">. </w:t>
      </w:r>
      <w:r w:rsidRPr="003E2644">
        <w:rPr>
          <w:rFonts w:ascii="Calibri" w:hAnsi="Calibri" w:cs="Calibri"/>
          <w:sz w:val="20"/>
          <w:lang w:eastAsia="en-AU"/>
        </w:rPr>
        <w:t xml:space="preserve">Providers reported that </w:t>
      </w:r>
      <w:r>
        <w:rPr>
          <w:rFonts w:ascii="Calibri" w:hAnsi="Calibri" w:cs="Calibri"/>
          <w:sz w:val="20"/>
          <w:lang w:eastAsia="en-AU"/>
        </w:rPr>
        <w:t>53</w:t>
      </w:r>
      <w:r w:rsidRPr="003E2644">
        <w:rPr>
          <w:rFonts w:ascii="Calibri" w:hAnsi="Calibri" w:cs="Calibri"/>
          <w:sz w:val="20"/>
          <w:lang w:eastAsia="en-AU"/>
        </w:rPr>
        <w:t xml:space="preserve">% of these partnerships have </w:t>
      </w:r>
      <w:r w:rsidRPr="003E2644">
        <w:rPr>
          <w:rFonts w:ascii="Calibri" w:hAnsi="Calibri" w:cs="Calibri"/>
          <w:i/>
          <w:sz w:val="20"/>
          <w:lang w:eastAsia="en-AU"/>
        </w:rPr>
        <w:t>achieved</w:t>
      </w:r>
      <w:r w:rsidRPr="003E2644">
        <w:rPr>
          <w:rFonts w:ascii="Calibri" w:hAnsi="Calibri" w:cs="Calibri"/>
          <w:sz w:val="20"/>
          <w:lang w:eastAsia="en-AU"/>
        </w:rPr>
        <w:t xml:space="preserve"> or made </w:t>
      </w:r>
      <w:r w:rsidRPr="003E2644">
        <w:rPr>
          <w:rFonts w:ascii="Calibri" w:hAnsi="Calibri" w:cs="Calibri"/>
          <w:i/>
          <w:sz w:val="20"/>
          <w:lang w:eastAsia="en-AU"/>
        </w:rPr>
        <w:t xml:space="preserve">considerable progress </w:t>
      </w:r>
      <w:r w:rsidRPr="003E2644">
        <w:rPr>
          <w:rFonts w:ascii="Calibri" w:hAnsi="Calibri" w:cs="Calibri"/>
          <w:sz w:val="20"/>
          <w:lang w:eastAsia="en-AU"/>
        </w:rPr>
        <w:t xml:space="preserve">against this </w:t>
      </w:r>
      <w:proofErr w:type="spellStart"/>
      <w:r w:rsidRPr="003E2644">
        <w:rPr>
          <w:rFonts w:ascii="Calibri" w:hAnsi="Calibri" w:cs="Calibri"/>
          <w:sz w:val="20"/>
          <w:lang w:eastAsia="en-AU"/>
        </w:rPr>
        <w:t>KPM</w:t>
      </w:r>
      <w:proofErr w:type="spellEnd"/>
      <w:r w:rsidR="00C26A01">
        <w:rPr>
          <w:rFonts w:ascii="Calibri" w:hAnsi="Calibri" w:cs="Calibri"/>
          <w:sz w:val="20"/>
          <w:lang w:eastAsia="en-AU"/>
        </w:rPr>
        <w:t>.</w:t>
      </w:r>
    </w:p>
    <w:p w:rsidR="005B142B" w:rsidRPr="00623FC9" w:rsidRDefault="005B142B" w:rsidP="005B142B">
      <w:pPr>
        <w:rPr>
          <w:rFonts w:ascii="Calibri" w:hAnsi="Calibri" w:cs="Calibri"/>
          <w:sz w:val="20"/>
          <w:lang w:eastAsia="en-AU"/>
        </w:rPr>
        <w:sectPr w:rsidR="005B142B" w:rsidRPr="00623FC9" w:rsidSect="005B142B">
          <w:pgSz w:w="11907" w:h="16839" w:code="9"/>
          <w:pgMar w:top="680" w:right="1134" w:bottom="680" w:left="1134" w:header="709" w:footer="709" w:gutter="0"/>
          <w:cols w:space="708"/>
          <w:docGrid w:linePitch="360"/>
        </w:sectPr>
      </w:pPr>
    </w:p>
    <w:tbl>
      <w:tblPr>
        <w:tblpPr w:leftFromText="180" w:rightFromText="180" w:vertAnchor="text" w:horzAnchor="margin" w:tblpXSpec="center" w:tblpY="14"/>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13"/>
        <w:gridCol w:w="1241"/>
        <w:gridCol w:w="637"/>
        <w:gridCol w:w="637"/>
        <w:gridCol w:w="637"/>
        <w:gridCol w:w="637"/>
        <w:gridCol w:w="637"/>
      </w:tblGrid>
      <w:tr w:rsidR="005B142B" w:rsidRPr="00693355" w:rsidTr="005B142B">
        <w:trPr>
          <w:trHeight w:val="433"/>
        </w:trPr>
        <w:tc>
          <w:tcPr>
            <w:tcW w:w="6413" w:type="dxa"/>
            <w:tcBorders>
              <w:top w:val="single" w:sz="12" w:space="0" w:color="auto"/>
              <w:left w:val="single" w:sz="12" w:space="0" w:color="auto"/>
              <w:right w:val="single" w:sz="12" w:space="0" w:color="auto"/>
            </w:tcBorders>
            <w:shd w:val="clear" w:color="auto" w:fill="C2D69B" w:themeFill="accent3" w:themeFillTint="99"/>
            <w:vAlign w:val="center"/>
            <w:hideMark/>
          </w:tcPr>
          <w:p w:rsidR="005B142B" w:rsidRPr="00954E51" w:rsidRDefault="005B142B" w:rsidP="005B142B">
            <w:pPr>
              <w:rPr>
                <w:rFonts w:ascii="Arial" w:hAnsi="Arial" w:cs="Arial"/>
                <w:b/>
                <w:bCs/>
                <w:sz w:val="18"/>
                <w:szCs w:val="18"/>
                <w:lang w:eastAsia="en-AU"/>
              </w:rPr>
            </w:pPr>
            <w:r w:rsidRPr="00954E51">
              <w:rPr>
                <w:rFonts w:ascii="Arial" w:hAnsi="Arial" w:cs="Arial"/>
                <w:b/>
                <w:bCs/>
                <w:sz w:val="18"/>
                <w:szCs w:val="18"/>
                <w:lang w:eastAsia="en-AU"/>
              </w:rPr>
              <w:lastRenderedPageBreak/>
              <w:t>Outcome</w:t>
            </w:r>
          </w:p>
        </w:tc>
        <w:tc>
          <w:tcPr>
            <w:tcW w:w="1241" w:type="dxa"/>
            <w:tcBorders>
              <w:top w:val="single" w:sz="12" w:space="0" w:color="auto"/>
              <w:left w:val="single" w:sz="12" w:space="0" w:color="auto"/>
              <w:right w:val="single" w:sz="12"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 xml:space="preserve">Total </w:t>
            </w:r>
            <w:proofErr w:type="spellStart"/>
            <w:r w:rsidRPr="00954E51">
              <w:rPr>
                <w:rFonts w:ascii="Arial" w:hAnsi="Arial" w:cs="Arial"/>
                <w:b/>
                <w:bCs/>
                <w:sz w:val="18"/>
                <w:szCs w:val="18"/>
                <w:lang w:eastAsia="en-AU"/>
              </w:rPr>
              <w:t>KPM</w:t>
            </w:r>
            <w:proofErr w:type="spellEnd"/>
            <w:r w:rsidRPr="00954E51">
              <w:rPr>
                <w:rFonts w:ascii="Arial" w:hAnsi="Arial" w:cs="Arial"/>
                <w:b/>
                <w:bCs/>
                <w:sz w:val="18"/>
                <w:szCs w:val="18"/>
                <w:lang w:eastAsia="en-AU"/>
              </w:rPr>
              <w:t xml:space="preserve"> Evaluations</w:t>
            </w:r>
          </w:p>
        </w:tc>
        <w:tc>
          <w:tcPr>
            <w:tcW w:w="637" w:type="dxa"/>
            <w:tcBorders>
              <w:top w:val="single" w:sz="12" w:space="0" w:color="auto"/>
              <w:left w:val="single" w:sz="12" w:space="0" w:color="auto"/>
              <w:right w:val="single" w:sz="4"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1</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2</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3</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4</w:t>
            </w:r>
          </w:p>
        </w:tc>
        <w:tc>
          <w:tcPr>
            <w:tcW w:w="637" w:type="dxa"/>
            <w:tcBorders>
              <w:top w:val="single" w:sz="12" w:space="0" w:color="auto"/>
              <w:left w:val="single" w:sz="4"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5</w:t>
            </w:r>
          </w:p>
        </w:tc>
      </w:tr>
      <w:tr w:rsidR="005B142B" w:rsidRPr="00693355" w:rsidTr="005B142B">
        <w:trPr>
          <w:trHeight w:val="897"/>
        </w:trPr>
        <w:tc>
          <w:tcPr>
            <w:tcW w:w="6413"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Default="005B142B" w:rsidP="005B142B">
            <w:pPr>
              <w:rPr>
                <w:rFonts w:ascii="Calibri" w:hAnsi="Calibri" w:cs="Calibri"/>
                <w:color w:val="333333"/>
                <w:sz w:val="20"/>
                <w:lang w:eastAsia="en-AU"/>
              </w:rPr>
            </w:pPr>
            <w:r>
              <w:rPr>
                <w:rFonts w:ascii="Calibri" w:hAnsi="Calibri"/>
                <w:b/>
                <w:bCs/>
                <w:sz w:val="20"/>
              </w:rPr>
              <w:t>Partnerships that support parents and families to provide an informed and supportive environment for all young people to enable lifelong learning and career and pathway planning, and improve their education and transition outcomes.</w:t>
            </w:r>
            <w:r>
              <w:rPr>
                <w:rStyle w:val="FootnoteReference"/>
                <w:rFonts w:ascii="Calibri" w:hAnsi="Calibri"/>
                <w:b/>
                <w:bCs/>
                <w:sz w:val="20"/>
              </w:rPr>
              <w:footnoteReference w:id="16"/>
            </w:r>
          </w:p>
        </w:tc>
        <w:tc>
          <w:tcPr>
            <w:tcW w:w="1241"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b/>
                <w:bCs/>
                <w:color w:val="000000"/>
              </w:rPr>
            </w:pPr>
            <w:r>
              <w:rPr>
                <w:rFonts w:ascii="Calibri" w:hAnsi="Calibri" w:cs="Calibri"/>
                <w:b/>
                <w:bCs/>
                <w:color w:val="000000"/>
              </w:rPr>
              <w:t>51</w:t>
            </w:r>
          </w:p>
        </w:tc>
        <w:tc>
          <w:tcPr>
            <w:tcW w:w="637" w:type="dxa"/>
            <w:tcBorders>
              <w:top w:val="single" w:sz="12" w:space="0" w:color="auto"/>
              <w:left w:val="single" w:sz="12" w:space="0" w:color="auto"/>
              <w:right w:val="single" w:sz="4" w:space="0" w:color="auto"/>
            </w:tcBorders>
            <w:shd w:val="clear" w:color="auto" w:fill="EAF1DD" w:themeFill="accent3" w:themeFillTint="33"/>
            <w:vAlign w:val="center"/>
            <w:hideMark/>
          </w:tcPr>
          <w:p w:rsidR="005B142B" w:rsidRDefault="005B142B" w:rsidP="005B142B">
            <w:pPr>
              <w:jc w:val="center"/>
              <w:rPr>
                <w:rFonts w:ascii="Calibri" w:hAnsi="Calibri" w:cs="Calibri"/>
                <w:b/>
                <w:bCs/>
                <w:color w:val="000000"/>
              </w:rPr>
            </w:pPr>
            <w:r>
              <w:rPr>
                <w:rFonts w:ascii="Calibri" w:hAnsi="Calibri" w:cs="Calibri"/>
                <w:b/>
                <w:bCs/>
                <w:color w:val="000000"/>
              </w:rPr>
              <w:t>15</w:t>
            </w:r>
          </w:p>
          <w:p w:rsidR="005B142B" w:rsidRDefault="005B142B" w:rsidP="005B142B">
            <w:pPr>
              <w:jc w:val="center"/>
              <w:rPr>
                <w:rFonts w:ascii="Calibri" w:hAnsi="Calibri" w:cs="Calibri"/>
                <w:b/>
                <w:bCs/>
                <w:color w:val="000000"/>
              </w:rPr>
            </w:pPr>
            <w:r>
              <w:rPr>
                <w:rFonts w:ascii="Calibri" w:hAnsi="Calibri" w:cs="Calibri"/>
                <w:b/>
                <w:bCs/>
                <w:color w:val="000000"/>
              </w:rPr>
              <w:t>(29%)</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22</w:t>
            </w:r>
          </w:p>
          <w:p w:rsidR="005B142B" w:rsidRDefault="005B142B" w:rsidP="005B142B">
            <w:pPr>
              <w:jc w:val="center"/>
              <w:rPr>
                <w:rFonts w:ascii="Calibri" w:hAnsi="Calibri" w:cs="Calibri"/>
                <w:b/>
                <w:bCs/>
                <w:color w:val="000000"/>
              </w:rPr>
            </w:pPr>
            <w:r>
              <w:rPr>
                <w:rFonts w:ascii="Calibri" w:hAnsi="Calibri" w:cs="Calibri"/>
                <w:b/>
                <w:bCs/>
                <w:color w:val="000000"/>
              </w:rPr>
              <w:t>(43%)</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6</w:t>
            </w:r>
          </w:p>
          <w:p w:rsidR="005B142B" w:rsidRDefault="005B142B" w:rsidP="005B142B">
            <w:pPr>
              <w:jc w:val="center"/>
              <w:rPr>
                <w:rFonts w:ascii="Calibri" w:hAnsi="Calibri" w:cs="Calibri"/>
                <w:b/>
                <w:bCs/>
                <w:color w:val="000000"/>
              </w:rPr>
            </w:pPr>
            <w:r>
              <w:rPr>
                <w:rFonts w:ascii="Calibri" w:hAnsi="Calibri" w:cs="Calibri"/>
                <w:b/>
                <w:bCs/>
                <w:color w:val="000000"/>
              </w:rPr>
              <w:t>(12%)</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6</w:t>
            </w:r>
          </w:p>
          <w:p w:rsidR="005B142B" w:rsidRDefault="005B142B" w:rsidP="005B142B">
            <w:pPr>
              <w:jc w:val="center"/>
              <w:rPr>
                <w:rFonts w:ascii="Calibri" w:hAnsi="Calibri" w:cs="Calibri"/>
                <w:b/>
                <w:bCs/>
                <w:color w:val="000000"/>
              </w:rPr>
            </w:pPr>
            <w:r>
              <w:rPr>
                <w:rFonts w:ascii="Calibri" w:hAnsi="Calibri" w:cs="Calibri"/>
                <w:b/>
                <w:bCs/>
                <w:color w:val="000000"/>
              </w:rPr>
              <w:t>(12%)</w:t>
            </w:r>
          </w:p>
        </w:tc>
        <w:tc>
          <w:tcPr>
            <w:tcW w:w="637" w:type="dxa"/>
            <w:tcBorders>
              <w:top w:val="single" w:sz="12" w:space="0" w:color="auto"/>
              <w:left w:val="single" w:sz="4" w:space="0" w:color="auto"/>
              <w:right w:val="single" w:sz="12" w:space="0" w:color="auto"/>
            </w:tcBorders>
            <w:shd w:val="clear" w:color="auto" w:fill="EAF1DD" w:themeFill="accent3" w:themeFillTint="33"/>
            <w:vAlign w:val="center"/>
          </w:tcPr>
          <w:p w:rsidR="005B142B" w:rsidRDefault="005B142B" w:rsidP="005B142B">
            <w:pPr>
              <w:jc w:val="center"/>
              <w:rPr>
                <w:rFonts w:ascii="Calibri" w:hAnsi="Calibri" w:cs="Calibri"/>
                <w:b/>
                <w:bCs/>
                <w:color w:val="000000"/>
              </w:rPr>
            </w:pPr>
            <w:r>
              <w:rPr>
                <w:rFonts w:ascii="Calibri" w:hAnsi="Calibri" w:cs="Calibri"/>
                <w:b/>
                <w:bCs/>
                <w:color w:val="000000"/>
              </w:rPr>
              <w:t>2</w:t>
            </w:r>
          </w:p>
          <w:p w:rsidR="005B142B" w:rsidRDefault="005B142B" w:rsidP="005B142B">
            <w:pPr>
              <w:jc w:val="center"/>
              <w:rPr>
                <w:rFonts w:ascii="Calibri" w:hAnsi="Calibri" w:cs="Calibri"/>
                <w:b/>
                <w:bCs/>
                <w:color w:val="000000"/>
              </w:rPr>
            </w:pPr>
            <w:r>
              <w:rPr>
                <w:rFonts w:ascii="Calibri" w:hAnsi="Calibri" w:cs="Calibri"/>
                <w:b/>
                <w:bCs/>
                <w:color w:val="000000"/>
              </w:rPr>
              <w:t>(4%)</w:t>
            </w:r>
          </w:p>
        </w:tc>
      </w:tr>
      <w:tr w:rsidR="005B142B" w:rsidRPr="00693355" w:rsidTr="005B142B">
        <w:trPr>
          <w:trHeight w:val="325"/>
        </w:trPr>
        <w:tc>
          <w:tcPr>
            <w:tcW w:w="10839" w:type="dxa"/>
            <w:gridSpan w:val="7"/>
            <w:tcBorders>
              <w:top w:val="single" w:sz="12" w:space="0" w:color="auto"/>
              <w:left w:val="nil"/>
              <w:right w:val="nil"/>
            </w:tcBorders>
            <w:shd w:val="clear" w:color="000000" w:fill="FFFFFF"/>
            <w:vAlign w:val="center"/>
            <w:hideMark/>
          </w:tcPr>
          <w:p w:rsidR="005B142B" w:rsidRDefault="005B142B" w:rsidP="005B142B">
            <w:pPr>
              <w:rPr>
                <w:rFonts w:ascii="Calibri" w:hAnsi="Calibri" w:cs="Calibri"/>
                <w:color w:val="000000"/>
              </w:rPr>
            </w:pPr>
            <w:r>
              <w:rPr>
                <w:rFonts w:ascii="Calibri" w:hAnsi="Calibri"/>
                <w:iCs/>
                <w:sz w:val="20"/>
              </w:rPr>
              <w:t>The following</w:t>
            </w:r>
            <w:r w:rsidRPr="00233A91">
              <w:rPr>
                <w:rFonts w:ascii="Calibri" w:hAnsi="Calibri"/>
                <w:iCs/>
                <w:sz w:val="20"/>
              </w:rPr>
              <w:t xml:space="preserve"> </w:t>
            </w:r>
            <w:proofErr w:type="spellStart"/>
            <w:r w:rsidRPr="00233A91">
              <w:rPr>
                <w:rFonts w:ascii="Calibri" w:hAnsi="Calibri"/>
                <w:iCs/>
                <w:sz w:val="20"/>
              </w:rPr>
              <w:t>KPMs</w:t>
            </w:r>
            <w:proofErr w:type="spellEnd"/>
            <w:r w:rsidRPr="00233A91">
              <w:rPr>
                <w:rFonts w:ascii="Calibri" w:hAnsi="Calibri"/>
                <w:iCs/>
                <w:sz w:val="20"/>
              </w:rPr>
              <w:t xml:space="preserve"> contribute to this outcome</w:t>
            </w:r>
            <w:r w:rsidRPr="0068476E">
              <w:rPr>
                <w:rFonts w:ascii="Calibri" w:hAnsi="Calibri"/>
                <w:iCs/>
                <w:sz w:val="18"/>
                <w:szCs w:val="18"/>
              </w:rPr>
              <w:t>:</w:t>
            </w:r>
          </w:p>
        </w:tc>
      </w:tr>
      <w:tr w:rsidR="005B142B" w:rsidRPr="00693355" w:rsidTr="005B142B">
        <w:trPr>
          <w:trHeight w:val="433"/>
        </w:trPr>
        <w:tc>
          <w:tcPr>
            <w:tcW w:w="6413" w:type="dxa"/>
            <w:tcBorders>
              <w:left w:val="single" w:sz="12" w:space="0" w:color="auto"/>
              <w:right w:val="single" w:sz="12" w:space="0" w:color="auto"/>
            </w:tcBorders>
            <w:shd w:val="clear" w:color="auto" w:fill="EAF1DD" w:themeFill="accent3" w:themeFillTint="33"/>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parents and families that are actively engaged in supporting learning inside and outside the classroom</w:t>
            </w:r>
          </w:p>
        </w:tc>
        <w:tc>
          <w:tcPr>
            <w:tcW w:w="1241" w:type="dxa"/>
            <w:tcBorders>
              <w:left w:val="single" w:sz="12" w:space="0" w:color="auto"/>
              <w:right w:val="single" w:sz="12" w:space="0" w:color="auto"/>
            </w:tcBorders>
            <w:shd w:val="clear" w:color="auto" w:fill="D6E3BC" w:themeFill="accent3" w:themeFillTint="66"/>
            <w:vAlign w:val="center"/>
            <w:hideMark/>
          </w:tcPr>
          <w:p w:rsidR="005B142B" w:rsidRDefault="005B142B" w:rsidP="005B142B">
            <w:pPr>
              <w:jc w:val="center"/>
              <w:rPr>
                <w:rFonts w:ascii="Calibri" w:hAnsi="Calibri" w:cs="Calibri"/>
                <w:color w:val="000000"/>
              </w:rPr>
            </w:pPr>
            <w:r>
              <w:rPr>
                <w:rFonts w:ascii="Calibri" w:hAnsi="Calibri" w:cs="Calibri"/>
                <w:color w:val="000000"/>
              </w:rPr>
              <w:t>16</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25%</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31%</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19%</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19%</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6%</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parents and families that are actively involved in career transition planning for their children</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5</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60%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right w:val="single" w:sz="12" w:space="0" w:color="auto"/>
            </w:tcBorders>
            <w:shd w:val="clear" w:color="auto" w:fill="auto"/>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parents and families that are better informed about learning and career options</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11</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18%</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55%</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9%</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9%</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9%</w:t>
            </w:r>
          </w:p>
        </w:tc>
      </w:tr>
      <w:tr w:rsidR="005B142B" w:rsidRPr="00693355" w:rsidTr="005B142B">
        <w:trPr>
          <w:trHeight w:val="433"/>
        </w:trPr>
        <w:tc>
          <w:tcPr>
            <w:tcW w:w="6413" w:type="dxa"/>
            <w:tcBorders>
              <w:left w:val="single" w:sz="12" w:space="0" w:color="auto"/>
              <w:bottom w:val="single" w:sz="4"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parents and families that are confident to interact with education and training providers, employers and community groups to support participation and engagement of their children</w:t>
            </w:r>
          </w:p>
        </w:tc>
        <w:tc>
          <w:tcPr>
            <w:tcW w:w="1241" w:type="dxa"/>
            <w:tcBorders>
              <w:left w:val="single" w:sz="12" w:space="0" w:color="auto"/>
              <w:bottom w:val="single" w:sz="4"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12</w:t>
            </w:r>
          </w:p>
        </w:tc>
        <w:tc>
          <w:tcPr>
            <w:tcW w:w="637" w:type="dxa"/>
            <w:tcBorders>
              <w:left w:val="single" w:sz="12" w:space="0" w:color="auto"/>
              <w:bottom w:val="single" w:sz="4"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25%</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50%</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17%</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8%</w:t>
            </w:r>
          </w:p>
        </w:tc>
        <w:tc>
          <w:tcPr>
            <w:tcW w:w="637" w:type="dxa"/>
            <w:tcBorders>
              <w:left w:val="single" w:sz="4" w:space="0" w:color="auto"/>
              <w:bottom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bottom w:val="single" w:sz="4" w:space="0" w:color="auto"/>
              <w:right w:val="single" w:sz="12" w:space="0" w:color="auto"/>
            </w:tcBorders>
            <w:shd w:val="clear" w:color="auto" w:fill="auto"/>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parents and families that have improved understanding of the link between learning and career aspirations</w:t>
            </w:r>
          </w:p>
        </w:tc>
        <w:tc>
          <w:tcPr>
            <w:tcW w:w="1241" w:type="dxa"/>
            <w:tcBorders>
              <w:left w:val="single" w:sz="12" w:space="0" w:color="auto"/>
              <w:bottom w:val="single" w:sz="4"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7</w:t>
            </w:r>
          </w:p>
        </w:tc>
        <w:tc>
          <w:tcPr>
            <w:tcW w:w="637" w:type="dxa"/>
            <w:tcBorders>
              <w:left w:val="single" w:sz="12" w:space="0" w:color="auto"/>
              <w:bottom w:val="single" w:sz="4"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43%</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57%</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bottom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bottom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275"/>
        </w:trPr>
        <w:tc>
          <w:tcPr>
            <w:tcW w:w="10839" w:type="dxa"/>
            <w:gridSpan w:val="7"/>
            <w:tcBorders>
              <w:top w:val="single" w:sz="12" w:space="0" w:color="auto"/>
              <w:left w:val="nil"/>
              <w:right w:val="nil"/>
            </w:tcBorders>
            <w:shd w:val="clear" w:color="auto" w:fill="auto"/>
            <w:vAlign w:val="center"/>
            <w:hideMark/>
          </w:tcPr>
          <w:p w:rsidR="005B142B" w:rsidRDefault="005B142B" w:rsidP="005B142B">
            <w:pPr>
              <w:rPr>
                <w:rFonts w:ascii="Calibri" w:hAnsi="Calibri" w:cs="Calibri"/>
                <w:sz w:val="20"/>
              </w:rPr>
            </w:pPr>
            <w:r>
              <w:rPr>
                <w:rFonts w:ascii="Calibri" w:hAnsi="Calibri" w:cs="Calibri"/>
                <w:sz w:val="20"/>
              </w:rPr>
              <w:t>The data above shows that:</w:t>
            </w:r>
          </w:p>
          <w:p w:rsidR="005B142B" w:rsidRDefault="005B142B" w:rsidP="005B142B">
            <w:pPr>
              <w:pStyle w:val="ListParagraph"/>
              <w:numPr>
                <w:ilvl w:val="0"/>
                <w:numId w:val="36"/>
              </w:numPr>
              <w:spacing w:line="240" w:lineRule="auto"/>
              <w:ind w:left="426" w:right="-217" w:hanging="207"/>
              <w:rPr>
                <w:rFonts w:ascii="Calibri" w:hAnsi="Calibri" w:cs="Calibri"/>
                <w:sz w:val="20"/>
              </w:rPr>
            </w:pPr>
            <w:r w:rsidRPr="006904B5">
              <w:rPr>
                <w:rFonts w:ascii="Calibri" w:hAnsi="Calibri" w:cs="Calibri"/>
                <w:sz w:val="20"/>
              </w:rPr>
              <w:t xml:space="preserve">Providers reported </w:t>
            </w:r>
            <w:r>
              <w:rPr>
                <w:rFonts w:ascii="Calibri" w:hAnsi="Calibri" w:cs="Calibri"/>
                <w:sz w:val="20"/>
              </w:rPr>
              <w:t>16</w:t>
            </w:r>
            <w:r w:rsidRPr="006904B5">
              <w:rPr>
                <w:rFonts w:ascii="Calibri" w:hAnsi="Calibri" w:cs="Calibri"/>
                <w:sz w:val="20"/>
              </w:rPr>
              <w:t>% of partnerships</w:t>
            </w:r>
            <w:r>
              <w:rPr>
                <w:rFonts w:ascii="Calibri" w:hAnsi="Calibri" w:cs="Calibri"/>
                <w:sz w:val="20"/>
              </w:rPr>
              <w:t xml:space="preserve"> that have been evaluated</w:t>
            </w:r>
            <w:r w:rsidRPr="006904B5">
              <w:rPr>
                <w:rFonts w:ascii="Calibri" w:hAnsi="Calibri" w:cs="Calibri"/>
                <w:sz w:val="20"/>
              </w:rPr>
              <w:t xml:space="preserve"> </w:t>
            </w:r>
            <w:r>
              <w:rPr>
                <w:rFonts w:ascii="Calibri" w:hAnsi="Calibri" w:cs="Calibri"/>
                <w:sz w:val="20"/>
              </w:rPr>
              <w:t xml:space="preserve">have </w:t>
            </w:r>
            <w:r w:rsidRPr="00493223">
              <w:rPr>
                <w:rFonts w:ascii="Calibri" w:hAnsi="Calibri" w:cs="Calibri"/>
                <w:i/>
                <w:sz w:val="20"/>
              </w:rPr>
              <w:t>achieved</w:t>
            </w:r>
            <w:r>
              <w:rPr>
                <w:rFonts w:ascii="Calibri" w:hAnsi="Calibri" w:cs="Calibri"/>
                <w:sz w:val="20"/>
              </w:rPr>
              <w:t xml:space="preserve"> or made </w:t>
            </w:r>
            <w:r w:rsidRPr="00493223">
              <w:rPr>
                <w:rFonts w:ascii="Calibri" w:hAnsi="Calibri" w:cs="Calibri"/>
                <w:i/>
                <w:sz w:val="20"/>
              </w:rPr>
              <w:t>considerable progress</w:t>
            </w:r>
            <w:r>
              <w:rPr>
                <w:rFonts w:ascii="Calibri" w:hAnsi="Calibri" w:cs="Calibri"/>
                <w:sz w:val="20"/>
              </w:rPr>
              <w:t xml:space="preserve"> against this outcome.</w:t>
            </w:r>
          </w:p>
          <w:p w:rsidR="005B142B" w:rsidRDefault="005B142B" w:rsidP="005B142B">
            <w:pPr>
              <w:pStyle w:val="ListParagraph"/>
              <w:numPr>
                <w:ilvl w:val="0"/>
                <w:numId w:val="36"/>
              </w:numPr>
              <w:spacing w:line="240" w:lineRule="auto"/>
              <w:ind w:left="426" w:right="-217" w:hanging="207"/>
              <w:rPr>
                <w:rFonts w:ascii="Calibri" w:hAnsi="Calibri" w:cs="Calibri"/>
                <w:sz w:val="20"/>
              </w:rPr>
            </w:pPr>
            <w:r>
              <w:rPr>
                <w:rFonts w:ascii="Calibri" w:hAnsi="Calibri" w:cs="Calibri"/>
                <w:sz w:val="20"/>
              </w:rPr>
              <w:t xml:space="preserve">Providers reported 72% of partnerships that have been evaluated have made </w:t>
            </w:r>
            <w:r w:rsidRPr="00493223">
              <w:rPr>
                <w:rFonts w:ascii="Calibri" w:hAnsi="Calibri" w:cs="Calibri"/>
                <w:i/>
                <w:sz w:val="20"/>
              </w:rPr>
              <w:t>limited</w:t>
            </w:r>
            <w:r>
              <w:rPr>
                <w:rFonts w:ascii="Calibri" w:hAnsi="Calibri" w:cs="Calibri"/>
                <w:sz w:val="20"/>
              </w:rPr>
              <w:t xml:space="preserve"> or </w:t>
            </w:r>
            <w:r w:rsidRPr="00493223">
              <w:rPr>
                <w:rFonts w:ascii="Calibri" w:hAnsi="Calibri" w:cs="Calibri"/>
                <w:i/>
                <w:sz w:val="20"/>
              </w:rPr>
              <w:t xml:space="preserve">some progress </w:t>
            </w:r>
            <w:r>
              <w:rPr>
                <w:rFonts w:ascii="Calibri" w:hAnsi="Calibri" w:cs="Calibri"/>
                <w:sz w:val="20"/>
              </w:rPr>
              <w:t>against this outcome.</w:t>
            </w:r>
          </w:p>
          <w:p w:rsidR="005B142B" w:rsidRPr="005B142B" w:rsidRDefault="005B142B" w:rsidP="005B142B">
            <w:pPr>
              <w:pStyle w:val="ListParagraph"/>
              <w:numPr>
                <w:ilvl w:val="0"/>
                <w:numId w:val="36"/>
              </w:numPr>
              <w:spacing w:line="240" w:lineRule="auto"/>
              <w:ind w:left="426" w:right="-217" w:hanging="207"/>
              <w:rPr>
                <w:rFonts w:ascii="Calibri" w:hAnsi="Calibri" w:cs="Calibri"/>
                <w:sz w:val="20"/>
              </w:rPr>
            </w:pPr>
            <w:r w:rsidRPr="00FD5BB1">
              <w:rPr>
                <w:rFonts w:ascii="Calibri" w:hAnsi="Calibri" w:cs="Calibri"/>
                <w:sz w:val="20"/>
              </w:rPr>
              <w:t xml:space="preserve">There are </w:t>
            </w:r>
            <w:r>
              <w:rPr>
                <w:rFonts w:ascii="Calibri" w:hAnsi="Calibri" w:cs="Calibri"/>
                <w:sz w:val="20"/>
              </w:rPr>
              <w:t>16</w:t>
            </w:r>
            <w:r w:rsidRPr="00FD5BB1">
              <w:rPr>
                <w:rFonts w:ascii="Calibri" w:hAnsi="Calibri" w:cs="Calibri"/>
                <w:sz w:val="20"/>
              </w:rPr>
              <w:t xml:space="preserve"> p</w:t>
            </w:r>
            <w:r>
              <w:rPr>
                <w:rFonts w:ascii="Calibri" w:hAnsi="Calibri" w:cs="Calibri"/>
                <w:sz w:val="20"/>
              </w:rPr>
              <w:t>artnerships (46</w:t>
            </w:r>
            <w:r w:rsidRPr="00FD5BB1">
              <w:rPr>
                <w:rFonts w:ascii="Calibri" w:hAnsi="Calibri" w:cs="Calibri"/>
                <w:sz w:val="20"/>
              </w:rPr>
              <w:t xml:space="preserve">% of the total number of partnerships in </w:t>
            </w:r>
            <w:r>
              <w:rPr>
                <w:rFonts w:ascii="Calibri" w:hAnsi="Calibri" w:cs="Calibri"/>
                <w:sz w:val="20"/>
              </w:rPr>
              <w:t>NT</w:t>
            </w:r>
            <w:r w:rsidRPr="00FD5BB1">
              <w:rPr>
                <w:rFonts w:ascii="Calibri" w:hAnsi="Calibri" w:cs="Calibri"/>
                <w:sz w:val="20"/>
              </w:rPr>
              <w:t>) that have made progress towards providing ‘</w:t>
            </w:r>
            <w:r w:rsidRPr="00331862">
              <w:rPr>
                <w:rFonts w:ascii="Calibri" w:hAnsi="Calibri" w:cs="Calibri"/>
                <w:i/>
                <w:sz w:val="20"/>
              </w:rPr>
              <w:t>a</w:t>
            </w:r>
            <w:r w:rsidRPr="00331862">
              <w:rPr>
                <w:rFonts w:ascii="Calibri" w:hAnsi="Calibri" w:cs="Calibri"/>
                <w:i/>
                <w:sz w:val="20"/>
                <w:lang w:eastAsia="en-AU"/>
              </w:rPr>
              <w:t xml:space="preserve">n increase in the number of parents and families that are </w:t>
            </w:r>
            <w:r w:rsidRPr="008A200C">
              <w:rPr>
                <w:rFonts w:ascii="Calibri" w:hAnsi="Calibri" w:cs="Calibri"/>
                <w:i/>
                <w:sz w:val="20"/>
                <w:lang w:eastAsia="en-AU"/>
              </w:rPr>
              <w:t>actively engaged in supporting learning inside and outside the classroom</w:t>
            </w:r>
            <w:r w:rsidRPr="00FD5BB1">
              <w:rPr>
                <w:rFonts w:ascii="Calibri" w:hAnsi="Calibri" w:cs="Calibri"/>
                <w:i/>
                <w:sz w:val="20"/>
                <w:lang w:eastAsia="en-AU"/>
              </w:rPr>
              <w:t>’</w:t>
            </w:r>
            <w:r w:rsidRPr="00FD5BB1">
              <w:rPr>
                <w:rFonts w:ascii="Calibri" w:hAnsi="Calibri" w:cs="Calibri"/>
                <w:sz w:val="20"/>
                <w:lang w:eastAsia="en-AU"/>
              </w:rPr>
              <w:t>. Providers reported that 2</w:t>
            </w:r>
            <w:r>
              <w:rPr>
                <w:rFonts w:ascii="Calibri" w:hAnsi="Calibri" w:cs="Calibri"/>
                <w:sz w:val="20"/>
                <w:lang w:eastAsia="en-AU"/>
              </w:rPr>
              <w:t>5</w:t>
            </w:r>
            <w:r w:rsidRPr="00FD5BB1">
              <w:rPr>
                <w:rFonts w:ascii="Calibri" w:hAnsi="Calibri" w:cs="Calibri"/>
                <w:sz w:val="20"/>
                <w:lang w:eastAsia="en-AU"/>
              </w:rPr>
              <w:t xml:space="preserve">% of these partnerships have </w:t>
            </w:r>
            <w:r w:rsidRPr="00FD5BB1">
              <w:rPr>
                <w:rFonts w:ascii="Calibri" w:hAnsi="Calibri" w:cs="Calibri"/>
                <w:i/>
                <w:sz w:val="20"/>
                <w:lang w:eastAsia="en-AU"/>
              </w:rPr>
              <w:t>achieved</w:t>
            </w:r>
            <w:r w:rsidRPr="00FD5BB1">
              <w:rPr>
                <w:rFonts w:ascii="Calibri" w:hAnsi="Calibri" w:cs="Calibri"/>
                <w:sz w:val="20"/>
                <w:lang w:eastAsia="en-AU"/>
              </w:rPr>
              <w:t xml:space="preserve"> or made </w:t>
            </w:r>
            <w:r w:rsidRPr="00FD5BB1">
              <w:rPr>
                <w:rFonts w:ascii="Calibri" w:hAnsi="Calibri" w:cs="Calibri"/>
                <w:i/>
                <w:sz w:val="20"/>
                <w:lang w:eastAsia="en-AU"/>
              </w:rPr>
              <w:t xml:space="preserve">considerable progress </w:t>
            </w:r>
            <w:r w:rsidRPr="00FD5BB1">
              <w:rPr>
                <w:rFonts w:ascii="Calibri" w:hAnsi="Calibri" w:cs="Calibri"/>
                <w:sz w:val="20"/>
                <w:lang w:eastAsia="en-AU"/>
              </w:rPr>
              <w:t xml:space="preserve">against this </w:t>
            </w:r>
            <w:proofErr w:type="spellStart"/>
            <w:r w:rsidRPr="00FD5BB1">
              <w:rPr>
                <w:rFonts w:ascii="Calibri" w:hAnsi="Calibri" w:cs="Calibri"/>
                <w:sz w:val="20"/>
                <w:lang w:eastAsia="en-AU"/>
              </w:rPr>
              <w:t>KPM</w:t>
            </w:r>
            <w:proofErr w:type="spellEnd"/>
            <w:r w:rsidRPr="00FD5BB1">
              <w:rPr>
                <w:rFonts w:ascii="Calibri" w:hAnsi="Calibri" w:cs="Calibri"/>
                <w:sz w:val="20"/>
                <w:lang w:eastAsia="en-AU"/>
              </w:rPr>
              <w:t>.</w:t>
            </w:r>
          </w:p>
        </w:tc>
      </w:tr>
      <w:tr w:rsidR="005B142B" w:rsidRPr="00693355" w:rsidTr="005B142B">
        <w:trPr>
          <w:trHeight w:val="433"/>
        </w:trPr>
        <w:tc>
          <w:tcPr>
            <w:tcW w:w="6413" w:type="dxa"/>
            <w:tcBorders>
              <w:top w:val="single" w:sz="12" w:space="0" w:color="auto"/>
              <w:left w:val="single" w:sz="12" w:space="0" w:color="auto"/>
              <w:right w:val="single" w:sz="12" w:space="0" w:color="auto"/>
            </w:tcBorders>
            <w:shd w:val="clear" w:color="auto" w:fill="C2D69B" w:themeFill="accent3" w:themeFillTint="99"/>
            <w:vAlign w:val="center"/>
            <w:hideMark/>
          </w:tcPr>
          <w:p w:rsidR="005B142B" w:rsidRPr="00954E51" w:rsidRDefault="005B142B" w:rsidP="005B142B">
            <w:pPr>
              <w:rPr>
                <w:rFonts w:ascii="Arial" w:hAnsi="Arial" w:cs="Arial"/>
                <w:b/>
                <w:bCs/>
                <w:sz w:val="18"/>
                <w:szCs w:val="18"/>
                <w:lang w:eastAsia="en-AU"/>
              </w:rPr>
            </w:pPr>
            <w:r w:rsidRPr="00954E51">
              <w:rPr>
                <w:rFonts w:ascii="Arial" w:hAnsi="Arial" w:cs="Arial"/>
                <w:b/>
                <w:bCs/>
                <w:sz w:val="18"/>
                <w:szCs w:val="18"/>
                <w:lang w:eastAsia="en-AU"/>
              </w:rPr>
              <w:t>Outcome</w:t>
            </w:r>
          </w:p>
        </w:tc>
        <w:tc>
          <w:tcPr>
            <w:tcW w:w="1241" w:type="dxa"/>
            <w:tcBorders>
              <w:top w:val="single" w:sz="12" w:space="0" w:color="auto"/>
              <w:left w:val="single" w:sz="12" w:space="0" w:color="auto"/>
              <w:right w:val="single" w:sz="12"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 xml:space="preserve">Total </w:t>
            </w:r>
            <w:proofErr w:type="spellStart"/>
            <w:r w:rsidRPr="00954E51">
              <w:rPr>
                <w:rFonts w:ascii="Arial" w:hAnsi="Arial" w:cs="Arial"/>
                <w:b/>
                <w:bCs/>
                <w:sz w:val="18"/>
                <w:szCs w:val="18"/>
                <w:lang w:eastAsia="en-AU"/>
              </w:rPr>
              <w:t>KPM</w:t>
            </w:r>
            <w:proofErr w:type="spellEnd"/>
            <w:r w:rsidRPr="00954E51">
              <w:rPr>
                <w:rFonts w:ascii="Arial" w:hAnsi="Arial" w:cs="Arial"/>
                <w:b/>
                <w:bCs/>
                <w:sz w:val="18"/>
                <w:szCs w:val="18"/>
                <w:lang w:eastAsia="en-AU"/>
              </w:rPr>
              <w:t xml:space="preserve"> Evaluations</w:t>
            </w:r>
          </w:p>
        </w:tc>
        <w:tc>
          <w:tcPr>
            <w:tcW w:w="637" w:type="dxa"/>
            <w:tcBorders>
              <w:top w:val="single" w:sz="12" w:space="0" w:color="auto"/>
              <w:left w:val="single" w:sz="12" w:space="0" w:color="auto"/>
              <w:right w:val="single" w:sz="4"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1</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2</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3</w:t>
            </w:r>
          </w:p>
        </w:tc>
        <w:tc>
          <w:tcPr>
            <w:tcW w:w="637" w:type="dxa"/>
            <w:tcBorders>
              <w:top w:val="single" w:sz="12" w:space="0" w:color="auto"/>
              <w:left w:val="single" w:sz="4" w:space="0" w:color="auto"/>
              <w:right w:val="single" w:sz="4"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4</w:t>
            </w:r>
          </w:p>
        </w:tc>
        <w:tc>
          <w:tcPr>
            <w:tcW w:w="637" w:type="dxa"/>
            <w:tcBorders>
              <w:top w:val="single" w:sz="12" w:space="0" w:color="auto"/>
              <w:left w:val="single" w:sz="4"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5</w:t>
            </w:r>
          </w:p>
        </w:tc>
      </w:tr>
      <w:tr w:rsidR="005B142B" w:rsidRPr="00693355" w:rsidTr="005B142B">
        <w:trPr>
          <w:trHeight w:val="887"/>
        </w:trPr>
        <w:tc>
          <w:tcPr>
            <w:tcW w:w="6413"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Default="005B142B" w:rsidP="005B142B">
            <w:pPr>
              <w:rPr>
                <w:rFonts w:ascii="Calibri" w:hAnsi="Calibri" w:cs="Calibri"/>
                <w:color w:val="333333"/>
                <w:sz w:val="20"/>
                <w:lang w:eastAsia="en-AU"/>
              </w:rPr>
            </w:pPr>
            <w:r>
              <w:rPr>
                <w:rFonts w:ascii="Calibri" w:hAnsi="Calibri"/>
                <w:b/>
                <w:bCs/>
                <w:sz w:val="20"/>
              </w:rPr>
              <w:t>Community groups participating in partnerships that harness resources and build social capital to support young people to identify and achieve their goals and improve their education and transition outcomes.</w:t>
            </w:r>
          </w:p>
        </w:tc>
        <w:tc>
          <w:tcPr>
            <w:tcW w:w="1241" w:type="dxa"/>
            <w:tcBorders>
              <w:top w:val="single" w:sz="12" w:space="0" w:color="auto"/>
              <w:left w:val="single" w:sz="12" w:space="0" w:color="auto"/>
              <w:right w:val="single" w:sz="12" w:space="0" w:color="auto"/>
            </w:tcBorders>
            <w:shd w:val="clear" w:color="auto" w:fill="EAF1DD" w:themeFill="accent3" w:themeFillTint="33"/>
            <w:vAlign w:val="center"/>
            <w:hideMark/>
          </w:tcPr>
          <w:p w:rsidR="005B142B" w:rsidRPr="00126AC7" w:rsidRDefault="005B142B" w:rsidP="005B142B">
            <w:pPr>
              <w:jc w:val="center"/>
              <w:rPr>
                <w:rFonts w:ascii="Calibri" w:hAnsi="Calibri" w:cs="Calibri"/>
                <w:b/>
                <w:color w:val="000000"/>
              </w:rPr>
            </w:pPr>
            <w:r>
              <w:rPr>
                <w:rFonts w:ascii="Calibri" w:hAnsi="Calibri" w:cs="Calibri"/>
                <w:b/>
                <w:color w:val="000000"/>
              </w:rPr>
              <w:t>68</w:t>
            </w:r>
          </w:p>
        </w:tc>
        <w:tc>
          <w:tcPr>
            <w:tcW w:w="637" w:type="dxa"/>
            <w:tcBorders>
              <w:top w:val="single" w:sz="12" w:space="0" w:color="auto"/>
              <w:left w:val="single" w:sz="12" w:space="0" w:color="auto"/>
              <w:right w:val="single" w:sz="4" w:space="0" w:color="auto"/>
            </w:tcBorders>
            <w:shd w:val="clear" w:color="auto" w:fill="EAF1DD" w:themeFill="accent3" w:themeFillTint="33"/>
            <w:vAlign w:val="center"/>
            <w:hideMark/>
          </w:tcPr>
          <w:p w:rsidR="005B142B" w:rsidRDefault="005B142B" w:rsidP="005B142B">
            <w:pPr>
              <w:jc w:val="center"/>
              <w:rPr>
                <w:rFonts w:ascii="Calibri" w:hAnsi="Calibri" w:cs="Calibri"/>
                <w:b/>
                <w:color w:val="000000"/>
              </w:rPr>
            </w:pPr>
            <w:r>
              <w:rPr>
                <w:rFonts w:ascii="Calibri" w:hAnsi="Calibri" w:cs="Calibri"/>
                <w:b/>
                <w:color w:val="000000"/>
              </w:rPr>
              <w:t>20</w:t>
            </w:r>
          </w:p>
          <w:p w:rsidR="005B142B" w:rsidRPr="00126AC7" w:rsidRDefault="005B142B" w:rsidP="005B142B">
            <w:pPr>
              <w:jc w:val="center"/>
              <w:rPr>
                <w:rFonts w:ascii="Calibri" w:hAnsi="Calibri" w:cs="Calibri"/>
                <w:b/>
                <w:color w:val="000000"/>
              </w:rPr>
            </w:pPr>
            <w:r>
              <w:rPr>
                <w:rFonts w:ascii="Calibri" w:hAnsi="Calibri" w:cs="Calibri"/>
                <w:b/>
                <w:color w:val="000000"/>
              </w:rPr>
              <w:t>(29%)</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38</w:t>
            </w:r>
          </w:p>
          <w:p w:rsidR="005B142B" w:rsidRPr="00126AC7" w:rsidRDefault="005B142B" w:rsidP="005B142B">
            <w:pPr>
              <w:jc w:val="center"/>
              <w:rPr>
                <w:rFonts w:ascii="Calibri" w:hAnsi="Calibri" w:cs="Calibri"/>
                <w:b/>
                <w:color w:val="000000"/>
              </w:rPr>
            </w:pPr>
            <w:r>
              <w:rPr>
                <w:rFonts w:ascii="Calibri" w:hAnsi="Calibri" w:cs="Calibri"/>
                <w:b/>
                <w:color w:val="000000"/>
              </w:rPr>
              <w:t>(56%)</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7</w:t>
            </w:r>
          </w:p>
          <w:p w:rsidR="005B142B" w:rsidRPr="00126AC7" w:rsidRDefault="005B142B" w:rsidP="005B142B">
            <w:pPr>
              <w:jc w:val="center"/>
              <w:rPr>
                <w:rFonts w:ascii="Calibri" w:hAnsi="Calibri" w:cs="Calibri"/>
                <w:b/>
                <w:color w:val="000000"/>
              </w:rPr>
            </w:pPr>
            <w:r>
              <w:rPr>
                <w:rFonts w:ascii="Calibri" w:hAnsi="Calibri" w:cs="Calibri"/>
                <w:b/>
                <w:color w:val="000000"/>
              </w:rPr>
              <w:t>(10%)</w:t>
            </w:r>
          </w:p>
        </w:tc>
        <w:tc>
          <w:tcPr>
            <w:tcW w:w="637" w:type="dxa"/>
            <w:tcBorders>
              <w:top w:val="single" w:sz="12" w:space="0" w:color="auto"/>
              <w:left w:val="single" w:sz="4" w:space="0" w:color="auto"/>
              <w:right w:val="single" w:sz="4"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2</w:t>
            </w:r>
          </w:p>
          <w:p w:rsidR="005B142B" w:rsidRPr="00126AC7" w:rsidRDefault="005B142B" w:rsidP="005B142B">
            <w:pPr>
              <w:jc w:val="center"/>
              <w:rPr>
                <w:rFonts w:ascii="Calibri" w:hAnsi="Calibri" w:cs="Calibri"/>
                <w:b/>
                <w:color w:val="000000"/>
              </w:rPr>
            </w:pPr>
            <w:r>
              <w:rPr>
                <w:rFonts w:ascii="Calibri" w:hAnsi="Calibri" w:cs="Calibri"/>
                <w:b/>
                <w:color w:val="000000"/>
              </w:rPr>
              <w:t>(3%)</w:t>
            </w:r>
          </w:p>
        </w:tc>
        <w:tc>
          <w:tcPr>
            <w:tcW w:w="637" w:type="dxa"/>
            <w:tcBorders>
              <w:top w:val="single" w:sz="12" w:space="0" w:color="auto"/>
              <w:left w:val="single" w:sz="4" w:space="0" w:color="auto"/>
              <w:right w:val="single" w:sz="12" w:space="0" w:color="auto"/>
            </w:tcBorders>
            <w:shd w:val="clear" w:color="auto" w:fill="EAF1DD" w:themeFill="accent3" w:themeFillTint="33"/>
            <w:vAlign w:val="center"/>
          </w:tcPr>
          <w:p w:rsidR="005B142B" w:rsidRDefault="005B142B" w:rsidP="005B142B">
            <w:pPr>
              <w:jc w:val="center"/>
              <w:rPr>
                <w:rFonts w:ascii="Calibri" w:hAnsi="Calibri" w:cs="Calibri"/>
                <w:b/>
                <w:color w:val="000000"/>
              </w:rPr>
            </w:pPr>
            <w:r>
              <w:rPr>
                <w:rFonts w:ascii="Calibri" w:hAnsi="Calibri" w:cs="Calibri"/>
                <w:b/>
                <w:color w:val="000000"/>
              </w:rPr>
              <w:t>1</w:t>
            </w:r>
          </w:p>
          <w:p w:rsidR="005B142B" w:rsidRPr="00126AC7" w:rsidRDefault="005B142B" w:rsidP="005B142B">
            <w:pPr>
              <w:jc w:val="center"/>
              <w:rPr>
                <w:rFonts w:ascii="Calibri" w:hAnsi="Calibri" w:cs="Calibri"/>
                <w:b/>
                <w:color w:val="000000"/>
              </w:rPr>
            </w:pPr>
            <w:r>
              <w:rPr>
                <w:rFonts w:ascii="Calibri" w:hAnsi="Calibri" w:cs="Calibri"/>
                <w:b/>
                <w:color w:val="000000"/>
              </w:rPr>
              <w:t>(1%)</w:t>
            </w:r>
          </w:p>
        </w:tc>
      </w:tr>
      <w:tr w:rsidR="005B142B" w:rsidRPr="00693355" w:rsidTr="005B142B">
        <w:trPr>
          <w:trHeight w:val="246"/>
        </w:trPr>
        <w:tc>
          <w:tcPr>
            <w:tcW w:w="10839" w:type="dxa"/>
            <w:gridSpan w:val="7"/>
            <w:tcBorders>
              <w:top w:val="single" w:sz="12" w:space="0" w:color="auto"/>
              <w:left w:val="nil"/>
              <w:right w:val="nil"/>
            </w:tcBorders>
            <w:shd w:val="clear" w:color="000000" w:fill="FFFFFF"/>
            <w:vAlign w:val="center"/>
            <w:hideMark/>
          </w:tcPr>
          <w:p w:rsidR="005B142B" w:rsidRPr="00E51DA3" w:rsidRDefault="005B142B" w:rsidP="005B142B">
            <w:pPr>
              <w:spacing w:before="120" w:after="40"/>
              <w:rPr>
                <w:rFonts w:ascii="Calibri" w:hAnsi="Calibri" w:cs="Calibri"/>
                <w:color w:val="333333"/>
                <w:sz w:val="18"/>
                <w:szCs w:val="18"/>
                <w:lang w:eastAsia="en-AU"/>
              </w:rPr>
            </w:pPr>
            <w:r>
              <w:rPr>
                <w:rFonts w:ascii="Calibri" w:hAnsi="Calibri"/>
                <w:iCs/>
                <w:sz w:val="20"/>
              </w:rPr>
              <w:t>The following</w:t>
            </w:r>
            <w:r w:rsidRPr="00233A91">
              <w:rPr>
                <w:rFonts w:ascii="Calibri" w:hAnsi="Calibri"/>
                <w:iCs/>
                <w:sz w:val="20"/>
              </w:rPr>
              <w:t xml:space="preserve"> </w:t>
            </w:r>
            <w:proofErr w:type="spellStart"/>
            <w:r w:rsidRPr="00233A91">
              <w:rPr>
                <w:rFonts w:ascii="Calibri" w:hAnsi="Calibri"/>
                <w:iCs/>
                <w:sz w:val="20"/>
              </w:rPr>
              <w:t>KPMs</w:t>
            </w:r>
            <w:proofErr w:type="spellEnd"/>
            <w:r w:rsidRPr="00233A91">
              <w:rPr>
                <w:rFonts w:ascii="Calibri" w:hAnsi="Calibri"/>
                <w:iCs/>
                <w:sz w:val="20"/>
              </w:rPr>
              <w:t xml:space="preserve"> contribute to this outcome</w:t>
            </w:r>
            <w:r w:rsidRPr="0068476E">
              <w:rPr>
                <w:rFonts w:ascii="Calibri" w:hAnsi="Calibri"/>
                <w:iCs/>
                <w:sz w:val="18"/>
                <w:szCs w:val="18"/>
              </w:rPr>
              <w:t>:</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align services for young people and reduce service duplication and resource wastage</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7</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71%</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29%</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right w:val="single" w:sz="12" w:space="0" w:color="auto"/>
            </w:tcBorders>
            <w:shd w:val="clear" w:color="auto" w:fill="EAF1DD" w:themeFill="accent3" w:themeFillTint="33"/>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build networks and linkages among agencies to support young people</w:t>
            </w:r>
          </w:p>
        </w:tc>
        <w:tc>
          <w:tcPr>
            <w:tcW w:w="1241" w:type="dxa"/>
            <w:tcBorders>
              <w:left w:val="single" w:sz="12" w:space="0" w:color="auto"/>
              <w:right w:val="single" w:sz="12" w:space="0" w:color="auto"/>
            </w:tcBorders>
            <w:shd w:val="clear" w:color="auto" w:fill="D6E3BC" w:themeFill="accent3" w:themeFillTint="66"/>
            <w:vAlign w:val="center"/>
            <w:hideMark/>
          </w:tcPr>
          <w:p w:rsidR="005B142B" w:rsidRDefault="005B142B" w:rsidP="005B142B">
            <w:pPr>
              <w:jc w:val="center"/>
              <w:rPr>
                <w:rFonts w:ascii="Calibri" w:hAnsi="Calibri" w:cs="Calibri"/>
                <w:color w:val="000000"/>
              </w:rPr>
            </w:pPr>
            <w:r>
              <w:rPr>
                <w:rFonts w:ascii="Calibri" w:hAnsi="Calibri" w:cs="Calibri"/>
                <w:color w:val="000000"/>
              </w:rPr>
              <w:t>14</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21%</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64%</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7%</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7%</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harness and grow community resources for young people</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14</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21%</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71%</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7%</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identify and respond to emerging trends and skill needs with reference to young people</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8</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50%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38%</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13%</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improve young people's employability and life skills</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10</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40%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provide mentoring and coaching opportunities for young people</w:t>
            </w:r>
          </w:p>
        </w:tc>
        <w:tc>
          <w:tcPr>
            <w:tcW w:w="1241" w:type="dxa"/>
            <w:tcBorders>
              <w:left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7</w:t>
            </w:r>
          </w:p>
        </w:tc>
        <w:tc>
          <w:tcPr>
            <w:tcW w:w="637" w:type="dxa"/>
            <w:tcBorders>
              <w:left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14%</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86%</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433"/>
        </w:trPr>
        <w:tc>
          <w:tcPr>
            <w:tcW w:w="6413" w:type="dxa"/>
            <w:tcBorders>
              <w:left w:val="single" w:sz="12" w:space="0" w:color="auto"/>
              <w:bottom w:val="single" w:sz="12" w:space="0" w:color="auto"/>
              <w:right w:val="single" w:sz="12" w:space="0" w:color="auto"/>
            </w:tcBorders>
            <w:shd w:val="clear" w:color="000000" w:fill="FFFFFF"/>
            <w:vAlign w:val="center"/>
            <w:hideMark/>
          </w:tcPr>
          <w:p w:rsidR="005B142B" w:rsidRPr="00954E51" w:rsidRDefault="005B142B" w:rsidP="005B142B">
            <w:pPr>
              <w:rPr>
                <w:rFonts w:ascii="Calibri" w:hAnsi="Calibri" w:cs="Calibri"/>
                <w:color w:val="333333"/>
                <w:sz w:val="18"/>
                <w:szCs w:val="18"/>
                <w:lang w:eastAsia="en-AU"/>
              </w:rPr>
            </w:pPr>
            <w:r w:rsidRPr="00954E51">
              <w:rPr>
                <w:rFonts w:ascii="Calibri" w:hAnsi="Calibri" w:cs="Calibri"/>
                <w:color w:val="333333"/>
                <w:sz w:val="18"/>
                <w:szCs w:val="18"/>
                <w:lang w:eastAsia="en-AU"/>
              </w:rPr>
              <w:t>An increase in the number of community groups that partner with stakeholders to provide young people with opportunities to connect with the community</w:t>
            </w:r>
          </w:p>
        </w:tc>
        <w:tc>
          <w:tcPr>
            <w:tcW w:w="1241" w:type="dxa"/>
            <w:tcBorders>
              <w:left w:val="single" w:sz="12" w:space="0" w:color="auto"/>
              <w:bottom w:val="single" w:sz="12" w:space="0" w:color="auto"/>
              <w:right w:val="single" w:sz="12" w:space="0" w:color="auto"/>
            </w:tcBorders>
            <w:shd w:val="clear" w:color="auto" w:fill="EAF1DD" w:themeFill="accent3" w:themeFillTint="33"/>
            <w:vAlign w:val="center"/>
            <w:hideMark/>
          </w:tcPr>
          <w:p w:rsidR="005B142B" w:rsidRDefault="005B142B" w:rsidP="005B142B">
            <w:pPr>
              <w:jc w:val="center"/>
              <w:rPr>
                <w:rFonts w:ascii="Calibri" w:hAnsi="Calibri" w:cs="Calibri"/>
                <w:color w:val="000000"/>
              </w:rPr>
            </w:pPr>
            <w:r>
              <w:rPr>
                <w:rFonts w:ascii="Calibri" w:hAnsi="Calibri" w:cs="Calibri"/>
                <w:color w:val="000000"/>
              </w:rPr>
              <w:t>8</w:t>
            </w:r>
          </w:p>
        </w:tc>
        <w:tc>
          <w:tcPr>
            <w:tcW w:w="637" w:type="dxa"/>
            <w:tcBorders>
              <w:left w:val="single" w:sz="12" w:space="0" w:color="auto"/>
              <w:bottom w:val="single" w:sz="12" w:space="0" w:color="auto"/>
              <w:right w:val="single" w:sz="4" w:space="0" w:color="auto"/>
            </w:tcBorders>
            <w:shd w:val="clear" w:color="auto" w:fill="auto"/>
            <w:vAlign w:val="center"/>
            <w:hideMark/>
          </w:tcPr>
          <w:p w:rsidR="005B142B" w:rsidRDefault="005B142B" w:rsidP="005B142B">
            <w:pPr>
              <w:jc w:val="center"/>
              <w:rPr>
                <w:rFonts w:ascii="Calibri" w:hAnsi="Calibri" w:cs="Calibri"/>
                <w:color w:val="000000"/>
              </w:rPr>
            </w:pPr>
            <w:r>
              <w:rPr>
                <w:rFonts w:ascii="Calibri" w:hAnsi="Calibri" w:cs="Calibri"/>
                <w:color w:val="000000"/>
              </w:rPr>
              <w:t>25%</w:t>
            </w:r>
          </w:p>
        </w:tc>
        <w:tc>
          <w:tcPr>
            <w:tcW w:w="637" w:type="dxa"/>
            <w:tcBorders>
              <w:left w:val="single" w:sz="4" w:space="0" w:color="auto"/>
              <w:bottom w:val="single" w:sz="12"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50%</w:t>
            </w:r>
          </w:p>
        </w:tc>
        <w:tc>
          <w:tcPr>
            <w:tcW w:w="637" w:type="dxa"/>
            <w:tcBorders>
              <w:left w:val="single" w:sz="4" w:space="0" w:color="auto"/>
              <w:bottom w:val="single" w:sz="12"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25%</w:t>
            </w:r>
          </w:p>
        </w:tc>
        <w:tc>
          <w:tcPr>
            <w:tcW w:w="637" w:type="dxa"/>
            <w:tcBorders>
              <w:left w:val="single" w:sz="4" w:space="0" w:color="auto"/>
              <w:bottom w:val="single" w:sz="12" w:space="0" w:color="auto"/>
              <w:right w:val="single" w:sz="4"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c>
          <w:tcPr>
            <w:tcW w:w="637" w:type="dxa"/>
            <w:tcBorders>
              <w:left w:val="single" w:sz="4" w:space="0" w:color="auto"/>
              <w:bottom w:val="single" w:sz="12" w:space="0" w:color="auto"/>
              <w:right w:val="single" w:sz="12" w:space="0" w:color="auto"/>
            </w:tcBorders>
            <w:shd w:val="clear" w:color="auto" w:fill="auto"/>
            <w:vAlign w:val="center"/>
          </w:tcPr>
          <w:p w:rsidR="005B142B" w:rsidRDefault="005B142B" w:rsidP="005B142B">
            <w:pPr>
              <w:jc w:val="center"/>
              <w:rPr>
                <w:rFonts w:ascii="Calibri" w:hAnsi="Calibri" w:cs="Calibri"/>
                <w:color w:val="000000"/>
              </w:rPr>
            </w:pPr>
            <w:r>
              <w:rPr>
                <w:rFonts w:ascii="Calibri" w:hAnsi="Calibri" w:cs="Calibri"/>
                <w:color w:val="000000"/>
              </w:rPr>
              <w:t>0%</w:t>
            </w:r>
          </w:p>
        </w:tc>
      </w:tr>
      <w:tr w:rsidR="005B142B" w:rsidRPr="00693355" w:rsidTr="005B142B">
        <w:trPr>
          <w:trHeight w:val="246"/>
        </w:trPr>
        <w:tc>
          <w:tcPr>
            <w:tcW w:w="10839" w:type="dxa"/>
            <w:gridSpan w:val="7"/>
            <w:tcBorders>
              <w:top w:val="single" w:sz="12" w:space="0" w:color="auto"/>
              <w:left w:val="nil"/>
              <w:bottom w:val="single" w:sz="12" w:space="0" w:color="auto"/>
              <w:right w:val="nil"/>
            </w:tcBorders>
            <w:shd w:val="clear" w:color="auto" w:fill="auto"/>
            <w:vAlign w:val="center"/>
            <w:hideMark/>
          </w:tcPr>
          <w:p w:rsidR="005B142B" w:rsidRDefault="005B142B" w:rsidP="005B142B">
            <w:pPr>
              <w:rPr>
                <w:rFonts w:ascii="Calibri" w:hAnsi="Calibri" w:cs="Calibri"/>
                <w:b/>
                <w:color w:val="000000"/>
                <w:sz w:val="16"/>
                <w:szCs w:val="16"/>
              </w:rPr>
            </w:pPr>
          </w:p>
          <w:p w:rsidR="005B142B" w:rsidRDefault="005B142B" w:rsidP="005B142B">
            <w:pPr>
              <w:rPr>
                <w:rFonts w:ascii="Calibri" w:hAnsi="Calibri" w:cs="Calibri"/>
                <w:b/>
                <w:color w:val="000000"/>
                <w:sz w:val="16"/>
                <w:szCs w:val="16"/>
              </w:rPr>
            </w:pPr>
          </w:p>
          <w:p w:rsidR="00C26A01" w:rsidRDefault="00C26A01" w:rsidP="005B142B">
            <w:pPr>
              <w:rPr>
                <w:rFonts w:ascii="Calibri" w:hAnsi="Calibri" w:cs="Calibri"/>
                <w:b/>
                <w:color w:val="000000"/>
                <w:sz w:val="16"/>
                <w:szCs w:val="16"/>
              </w:rPr>
            </w:pPr>
          </w:p>
          <w:p w:rsidR="00C26A01" w:rsidRPr="00954E51" w:rsidRDefault="00C26A01" w:rsidP="005B142B">
            <w:pPr>
              <w:rPr>
                <w:rFonts w:ascii="Calibri" w:hAnsi="Calibri" w:cs="Calibri"/>
                <w:b/>
                <w:color w:val="000000"/>
                <w:sz w:val="16"/>
                <w:szCs w:val="16"/>
              </w:rPr>
            </w:pPr>
          </w:p>
        </w:tc>
      </w:tr>
      <w:tr w:rsidR="005B142B" w:rsidRPr="00693355" w:rsidTr="005B142B">
        <w:trPr>
          <w:trHeight w:val="391"/>
        </w:trPr>
        <w:tc>
          <w:tcPr>
            <w:tcW w:w="641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5B142B" w:rsidRPr="00954E51" w:rsidRDefault="005B142B" w:rsidP="005B142B">
            <w:pPr>
              <w:rPr>
                <w:rFonts w:ascii="Calibri" w:hAnsi="Calibri" w:cs="Calibri"/>
                <w:b/>
                <w:bCs/>
                <w:sz w:val="18"/>
                <w:szCs w:val="18"/>
                <w:lang w:eastAsia="en-AU"/>
              </w:rPr>
            </w:pPr>
          </w:p>
        </w:tc>
        <w:tc>
          <w:tcPr>
            <w:tcW w:w="1241"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 xml:space="preserve">Total </w:t>
            </w:r>
            <w:proofErr w:type="spellStart"/>
            <w:r w:rsidRPr="00954E51">
              <w:rPr>
                <w:rFonts w:ascii="Arial" w:hAnsi="Arial" w:cs="Arial"/>
                <w:b/>
                <w:bCs/>
                <w:sz w:val="18"/>
                <w:szCs w:val="18"/>
                <w:lang w:eastAsia="en-AU"/>
              </w:rPr>
              <w:t>KPM</w:t>
            </w:r>
            <w:proofErr w:type="spellEnd"/>
            <w:r w:rsidRPr="00954E51">
              <w:rPr>
                <w:rFonts w:ascii="Arial" w:hAnsi="Arial" w:cs="Arial"/>
                <w:b/>
                <w:bCs/>
                <w:sz w:val="18"/>
                <w:szCs w:val="18"/>
                <w:lang w:eastAsia="en-AU"/>
              </w:rPr>
              <w:t xml:space="preserve"> Evaluations</w:t>
            </w:r>
          </w:p>
        </w:tc>
        <w:tc>
          <w:tcPr>
            <w:tcW w:w="637"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1</w:t>
            </w:r>
          </w:p>
        </w:tc>
        <w:tc>
          <w:tcPr>
            <w:tcW w:w="637"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2</w:t>
            </w:r>
          </w:p>
        </w:tc>
        <w:tc>
          <w:tcPr>
            <w:tcW w:w="637"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3</w:t>
            </w:r>
          </w:p>
        </w:tc>
        <w:tc>
          <w:tcPr>
            <w:tcW w:w="637"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4</w:t>
            </w:r>
          </w:p>
        </w:tc>
        <w:tc>
          <w:tcPr>
            <w:tcW w:w="637"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5B142B" w:rsidRPr="00954E51" w:rsidRDefault="005B142B" w:rsidP="005B142B">
            <w:pPr>
              <w:jc w:val="center"/>
              <w:rPr>
                <w:rFonts w:ascii="Arial" w:hAnsi="Arial" w:cs="Arial"/>
                <w:b/>
                <w:bCs/>
                <w:sz w:val="18"/>
                <w:szCs w:val="18"/>
                <w:lang w:eastAsia="en-AU"/>
              </w:rPr>
            </w:pPr>
            <w:r w:rsidRPr="00954E51">
              <w:rPr>
                <w:rFonts w:ascii="Arial" w:hAnsi="Arial" w:cs="Arial"/>
                <w:b/>
                <w:bCs/>
                <w:sz w:val="18"/>
                <w:szCs w:val="18"/>
                <w:lang w:eastAsia="en-AU"/>
              </w:rPr>
              <w:t>5</w:t>
            </w:r>
          </w:p>
        </w:tc>
      </w:tr>
      <w:tr w:rsidR="005B142B" w:rsidRPr="00693355" w:rsidTr="005B142B">
        <w:trPr>
          <w:trHeight w:val="314"/>
        </w:trPr>
        <w:tc>
          <w:tcPr>
            <w:tcW w:w="6413"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5B142B" w:rsidRPr="00A83F53" w:rsidRDefault="005B142B" w:rsidP="005B142B">
            <w:pPr>
              <w:rPr>
                <w:rFonts w:ascii="Calibri" w:hAnsi="Calibri" w:cs="Calibri"/>
                <w:b/>
                <w:bCs/>
                <w:lang w:eastAsia="en-AU"/>
              </w:rPr>
            </w:pPr>
            <w:r w:rsidRPr="00A83F53">
              <w:rPr>
                <w:rFonts w:ascii="Calibri" w:hAnsi="Calibri" w:cs="Calibri"/>
                <w:b/>
                <w:bCs/>
                <w:lang w:eastAsia="en-AU"/>
              </w:rPr>
              <w:t>Overall Total </w:t>
            </w:r>
          </w:p>
        </w:tc>
        <w:tc>
          <w:tcPr>
            <w:tcW w:w="1241"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201</w:t>
            </w:r>
          </w:p>
        </w:tc>
        <w:tc>
          <w:tcPr>
            <w:tcW w:w="6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50</w:t>
            </w:r>
          </w:p>
        </w:tc>
        <w:tc>
          <w:tcPr>
            <w:tcW w:w="6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82</w:t>
            </w:r>
          </w:p>
        </w:tc>
        <w:tc>
          <w:tcPr>
            <w:tcW w:w="6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30</w:t>
            </w:r>
          </w:p>
        </w:tc>
        <w:tc>
          <w:tcPr>
            <w:tcW w:w="6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18</w:t>
            </w:r>
          </w:p>
        </w:tc>
        <w:tc>
          <w:tcPr>
            <w:tcW w:w="6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B142B" w:rsidRPr="00600B3B" w:rsidRDefault="005B142B" w:rsidP="005B142B">
            <w:pPr>
              <w:jc w:val="center"/>
              <w:rPr>
                <w:rFonts w:ascii="Calibri" w:hAnsi="Calibri" w:cs="Calibri"/>
                <w:b/>
                <w:color w:val="000000"/>
              </w:rPr>
            </w:pPr>
            <w:r w:rsidRPr="00600B3B">
              <w:rPr>
                <w:rFonts w:ascii="Calibri" w:hAnsi="Calibri" w:cs="Calibri"/>
                <w:b/>
                <w:color w:val="000000"/>
              </w:rPr>
              <w:t>21</w:t>
            </w:r>
          </w:p>
        </w:tc>
      </w:tr>
    </w:tbl>
    <w:p w:rsidR="007002AD" w:rsidRPr="007002AD" w:rsidRDefault="007002AD" w:rsidP="007002AD">
      <w:pPr>
        <w:pStyle w:val="ListParagraph"/>
        <w:framePr w:w="11030" w:h="2093" w:hRule="exact" w:hSpace="180" w:wrap="around" w:vAnchor="text" w:hAnchor="page" w:x="501" w:y="1604"/>
        <w:numPr>
          <w:ilvl w:val="0"/>
          <w:numId w:val="36"/>
        </w:numPr>
        <w:spacing w:line="240" w:lineRule="auto"/>
        <w:ind w:left="1440" w:right="-577"/>
        <w:rPr>
          <w:rFonts w:ascii="Calibri" w:hAnsi="Calibri" w:cs="Calibri"/>
          <w:sz w:val="20"/>
        </w:rPr>
      </w:pPr>
      <w:r w:rsidRPr="007002AD">
        <w:rPr>
          <w:rFonts w:ascii="Calibri" w:hAnsi="Calibri" w:cs="Calibri"/>
          <w:sz w:val="20"/>
        </w:rPr>
        <w:t xml:space="preserve">Providers reported 4% of partnerships that have been evaluated have </w:t>
      </w:r>
      <w:r w:rsidRPr="007002AD">
        <w:rPr>
          <w:rFonts w:ascii="Calibri" w:hAnsi="Calibri" w:cs="Calibri"/>
          <w:i/>
          <w:sz w:val="20"/>
        </w:rPr>
        <w:t>achieved</w:t>
      </w:r>
      <w:r w:rsidRPr="007002AD">
        <w:rPr>
          <w:rFonts w:ascii="Calibri" w:hAnsi="Calibri" w:cs="Calibri"/>
          <w:sz w:val="20"/>
        </w:rPr>
        <w:t xml:space="preserve"> or made </w:t>
      </w:r>
      <w:r w:rsidRPr="007002AD">
        <w:rPr>
          <w:rFonts w:ascii="Calibri" w:hAnsi="Calibri" w:cs="Calibri"/>
          <w:i/>
          <w:sz w:val="20"/>
        </w:rPr>
        <w:t>considerable progress</w:t>
      </w:r>
      <w:r w:rsidRPr="007002AD">
        <w:rPr>
          <w:rFonts w:ascii="Calibri" w:hAnsi="Calibri" w:cs="Calibri"/>
          <w:sz w:val="20"/>
        </w:rPr>
        <w:t xml:space="preserve"> against this </w:t>
      </w:r>
    </w:p>
    <w:p w:rsidR="007002AD" w:rsidRDefault="007002AD" w:rsidP="007002AD">
      <w:pPr>
        <w:pStyle w:val="ListParagraph"/>
        <w:framePr w:w="11030" w:h="2093" w:hRule="exact" w:hSpace="180" w:wrap="around" w:vAnchor="text" w:hAnchor="page" w:x="501" w:y="1604"/>
        <w:ind w:left="1440" w:right="-577"/>
        <w:rPr>
          <w:rFonts w:ascii="Calibri" w:hAnsi="Calibri" w:cs="Calibri"/>
          <w:sz w:val="20"/>
        </w:rPr>
      </w:pPr>
      <w:proofErr w:type="gramStart"/>
      <w:r>
        <w:rPr>
          <w:rFonts w:ascii="Calibri" w:hAnsi="Calibri" w:cs="Calibri"/>
          <w:sz w:val="20"/>
        </w:rPr>
        <w:t>outcome</w:t>
      </w:r>
      <w:proofErr w:type="gramEnd"/>
      <w:r>
        <w:rPr>
          <w:rFonts w:ascii="Calibri" w:hAnsi="Calibri" w:cs="Calibri"/>
          <w:sz w:val="20"/>
        </w:rPr>
        <w:t>.</w:t>
      </w:r>
    </w:p>
    <w:p w:rsidR="007002AD" w:rsidRDefault="007002AD" w:rsidP="007002AD">
      <w:pPr>
        <w:pStyle w:val="ListParagraph"/>
        <w:framePr w:w="11030" w:h="2093" w:hRule="exact" w:hSpace="180" w:wrap="around" w:vAnchor="text" w:hAnchor="page" w:x="501" w:y="1604"/>
        <w:numPr>
          <w:ilvl w:val="0"/>
          <w:numId w:val="36"/>
        </w:numPr>
        <w:spacing w:line="240" w:lineRule="auto"/>
        <w:ind w:left="1440"/>
        <w:rPr>
          <w:rFonts w:ascii="Calibri" w:hAnsi="Calibri" w:cs="Calibri"/>
          <w:sz w:val="20"/>
        </w:rPr>
      </w:pPr>
      <w:r>
        <w:rPr>
          <w:rFonts w:ascii="Calibri" w:hAnsi="Calibri" w:cs="Calibri"/>
          <w:sz w:val="20"/>
        </w:rPr>
        <w:t xml:space="preserve">Providers reported 85% of partnerships that have been evaluated have made </w:t>
      </w:r>
      <w:r w:rsidRPr="00493223">
        <w:rPr>
          <w:rFonts w:ascii="Calibri" w:hAnsi="Calibri" w:cs="Calibri"/>
          <w:i/>
          <w:sz w:val="20"/>
        </w:rPr>
        <w:t>limited</w:t>
      </w:r>
      <w:r>
        <w:rPr>
          <w:rFonts w:ascii="Calibri" w:hAnsi="Calibri" w:cs="Calibri"/>
          <w:sz w:val="20"/>
        </w:rPr>
        <w:t xml:space="preserve"> or </w:t>
      </w:r>
      <w:r w:rsidRPr="00493223">
        <w:rPr>
          <w:rFonts w:ascii="Calibri" w:hAnsi="Calibri" w:cs="Calibri"/>
          <w:i/>
          <w:sz w:val="20"/>
        </w:rPr>
        <w:t xml:space="preserve">some progress </w:t>
      </w:r>
      <w:r>
        <w:rPr>
          <w:rFonts w:ascii="Calibri" w:hAnsi="Calibri" w:cs="Calibri"/>
          <w:sz w:val="20"/>
        </w:rPr>
        <w:t>against this outcome.</w:t>
      </w:r>
    </w:p>
    <w:p w:rsidR="007002AD" w:rsidRPr="008333D4" w:rsidRDefault="007002AD" w:rsidP="007002AD">
      <w:pPr>
        <w:pStyle w:val="ListParagraph"/>
        <w:framePr w:w="11030" w:h="2093" w:hRule="exact" w:hSpace="180" w:wrap="around" w:vAnchor="text" w:hAnchor="page" w:x="501" w:y="1604"/>
        <w:numPr>
          <w:ilvl w:val="0"/>
          <w:numId w:val="36"/>
        </w:numPr>
        <w:spacing w:line="240" w:lineRule="auto"/>
        <w:ind w:left="1440"/>
        <w:rPr>
          <w:rFonts w:ascii="Calibri" w:hAnsi="Calibri" w:cs="Calibri"/>
          <w:sz w:val="20"/>
        </w:rPr>
      </w:pPr>
      <w:r>
        <w:rPr>
          <w:rFonts w:ascii="Calibri" w:hAnsi="Calibri" w:cs="Calibri"/>
          <w:sz w:val="20"/>
        </w:rPr>
        <w:t>There are 14</w:t>
      </w:r>
      <w:r w:rsidRPr="008333D4">
        <w:rPr>
          <w:rFonts w:ascii="Calibri" w:hAnsi="Calibri" w:cs="Calibri"/>
          <w:sz w:val="20"/>
        </w:rPr>
        <w:t xml:space="preserve"> </w:t>
      </w:r>
      <w:r>
        <w:rPr>
          <w:rFonts w:ascii="Calibri" w:hAnsi="Calibri" w:cs="Calibri"/>
          <w:sz w:val="20"/>
        </w:rPr>
        <w:t>partnerships (40</w:t>
      </w:r>
      <w:r w:rsidRPr="008333D4">
        <w:rPr>
          <w:rFonts w:ascii="Calibri" w:hAnsi="Calibri" w:cs="Calibri"/>
          <w:sz w:val="20"/>
        </w:rPr>
        <w:t>% of the t</w:t>
      </w:r>
      <w:r>
        <w:rPr>
          <w:rFonts w:ascii="Calibri" w:hAnsi="Calibri" w:cs="Calibri"/>
          <w:sz w:val="20"/>
        </w:rPr>
        <w:t>otal number of partnerships in NT</w:t>
      </w:r>
      <w:r w:rsidRPr="008333D4">
        <w:rPr>
          <w:rFonts w:ascii="Calibri" w:hAnsi="Calibri" w:cs="Calibri"/>
          <w:sz w:val="20"/>
        </w:rPr>
        <w:t>) that have made progress towards providing ‘</w:t>
      </w:r>
      <w:r w:rsidRPr="008333D4">
        <w:rPr>
          <w:rFonts w:ascii="Calibri" w:hAnsi="Calibri" w:cs="Calibri"/>
          <w:i/>
          <w:sz w:val="20"/>
          <w:lang w:eastAsia="en-AU"/>
        </w:rPr>
        <w:t>an increase in the number of community groups that partner with stakeholders to build networks and linkages among agencies to support young people</w:t>
      </w:r>
      <w:r w:rsidRPr="008333D4">
        <w:rPr>
          <w:rFonts w:ascii="Calibri" w:hAnsi="Calibri" w:cs="Calibri"/>
          <w:sz w:val="20"/>
          <w:lang w:eastAsia="en-AU"/>
        </w:rPr>
        <w:t xml:space="preserve">’. Providers reported that </w:t>
      </w:r>
      <w:r>
        <w:rPr>
          <w:rFonts w:ascii="Calibri" w:hAnsi="Calibri" w:cs="Calibri"/>
          <w:sz w:val="20"/>
          <w:lang w:eastAsia="en-AU"/>
        </w:rPr>
        <w:t>7</w:t>
      </w:r>
      <w:r w:rsidRPr="008333D4">
        <w:rPr>
          <w:rFonts w:ascii="Calibri" w:hAnsi="Calibri" w:cs="Calibri"/>
          <w:sz w:val="20"/>
          <w:lang w:eastAsia="en-AU"/>
        </w:rPr>
        <w:t xml:space="preserve">% of these partnerships have </w:t>
      </w:r>
      <w:r w:rsidRPr="008333D4">
        <w:rPr>
          <w:rFonts w:ascii="Calibri" w:hAnsi="Calibri" w:cs="Calibri"/>
          <w:i/>
          <w:sz w:val="20"/>
          <w:lang w:eastAsia="en-AU"/>
        </w:rPr>
        <w:t>achieved</w:t>
      </w:r>
      <w:r w:rsidRPr="008333D4">
        <w:rPr>
          <w:rFonts w:ascii="Calibri" w:hAnsi="Calibri" w:cs="Calibri"/>
          <w:sz w:val="20"/>
          <w:lang w:eastAsia="en-AU"/>
        </w:rPr>
        <w:t xml:space="preserve"> or made </w:t>
      </w:r>
      <w:r w:rsidRPr="008333D4">
        <w:rPr>
          <w:rFonts w:ascii="Calibri" w:hAnsi="Calibri" w:cs="Calibri"/>
          <w:i/>
          <w:sz w:val="20"/>
          <w:lang w:eastAsia="en-AU"/>
        </w:rPr>
        <w:t xml:space="preserve">considerable progress </w:t>
      </w:r>
      <w:r w:rsidRPr="008333D4">
        <w:rPr>
          <w:rFonts w:ascii="Calibri" w:hAnsi="Calibri" w:cs="Calibri"/>
          <w:sz w:val="20"/>
          <w:lang w:eastAsia="en-AU"/>
        </w:rPr>
        <w:t xml:space="preserve">against this </w:t>
      </w:r>
      <w:proofErr w:type="spellStart"/>
      <w:r w:rsidRPr="008333D4">
        <w:rPr>
          <w:rFonts w:ascii="Calibri" w:hAnsi="Calibri" w:cs="Calibri"/>
          <w:sz w:val="20"/>
          <w:lang w:eastAsia="en-AU"/>
        </w:rPr>
        <w:t>KPM</w:t>
      </w:r>
      <w:proofErr w:type="spellEnd"/>
      <w:r w:rsidRPr="008333D4">
        <w:rPr>
          <w:rFonts w:ascii="Calibri" w:hAnsi="Calibri" w:cs="Calibri"/>
          <w:sz w:val="20"/>
          <w:lang w:eastAsia="en-AU"/>
        </w:rPr>
        <w:t>.</w:t>
      </w:r>
    </w:p>
    <w:p w:rsidR="007002AD" w:rsidRDefault="007002AD" w:rsidP="007002AD">
      <w:pPr>
        <w:pStyle w:val="Heading1"/>
        <w:spacing w:before="240"/>
        <w:rPr>
          <w:lang w:eastAsia="en-AU"/>
        </w:rPr>
      </w:pPr>
      <w:bookmarkStart w:id="18" w:name="_Toc294619488"/>
      <w:r>
        <w:rPr>
          <w:lang w:eastAsia="en-AU"/>
        </w:rPr>
        <w:t>Youth Connections – National Summary</w:t>
      </w:r>
      <w:bookmarkEnd w:id="18"/>
    </w:p>
    <w:p w:rsidR="007002AD" w:rsidRDefault="007002AD" w:rsidP="007002AD">
      <w:pPr>
        <w:spacing w:line="240" w:lineRule="auto"/>
      </w:pPr>
      <w:r w:rsidRPr="00AB28F4">
        <w:t xml:space="preserve">In the first 14 months of operation, Youth Connections has provided individual support services to 24,738 young people. </w:t>
      </w:r>
      <w:r>
        <w:t>11,320</w:t>
      </w:r>
      <w:r w:rsidRPr="00AB28F4">
        <w:t xml:space="preserve"> young people have achieved a final outcome in the program, which represents re-engagement or a sustained improvement in a young person’s engagement with education, training or employment. A further 5,090 were assessed as making significant progress in addressing their barriers to full engagem</w:t>
      </w:r>
      <w:r>
        <w:t xml:space="preserve">ent in education. In addition, 3,578 </w:t>
      </w:r>
      <w:r w:rsidRPr="00AB28F4">
        <w:t xml:space="preserve">activities were held to find and connect with at-risk young people, with providers linking with </w:t>
      </w:r>
      <w:r>
        <w:t>125,900</w:t>
      </w:r>
      <w:r w:rsidRPr="00AB28F4">
        <w:t xml:space="preserve"> young people through these activities.  In this period, providers undertook a range of initiatives to strengthen services in the region, with </w:t>
      </w:r>
      <w:r>
        <w:t>3,049</w:t>
      </w:r>
      <w:r w:rsidRPr="00AB28F4">
        <w:t xml:space="preserve"> activities being held.</w:t>
      </w:r>
    </w:p>
    <w:p w:rsidR="007002AD" w:rsidRPr="00AB28F4" w:rsidRDefault="007002AD" w:rsidP="007002AD">
      <w:pPr>
        <w:spacing w:line="240" w:lineRule="auto"/>
      </w:pPr>
    </w:p>
    <w:p w:rsidR="007002AD" w:rsidRDefault="007002AD" w:rsidP="007002AD">
      <w:pPr>
        <w:spacing w:line="240" w:lineRule="auto"/>
      </w:pPr>
      <w:r w:rsidRPr="00AB28F4">
        <w:rPr>
          <w:rFonts w:ascii="Calibri" w:hAnsi="Calibri" w:cs="Calibri"/>
        </w:rPr>
        <w:t>Under ‘</w:t>
      </w:r>
      <w:r w:rsidRPr="00AB28F4">
        <w:rPr>
          <w:rFonts w:ascii="Calibri" w:hAnsi="Calibri" w:cs="Calibri"/>
          <w:i/>
        </w:rPr>
        <w:t>Individual Support Services’</w:t>
      </w:r>
      <w:r w:rsidRPr="00AB28F4">
        <w:rPr>
          <w:rFonts w:ascii="Calibri" w:hAnsi="Calibri" w:cs="Calibri"/>
        </w:rPr>
        <w:t xml:space="preserve">, Youth Connections providers must deliver flexible and individualised services to young people at risk, including those who are most at risk of disengaging from learning or disconnecting from school or education through to those who are severely disconnected from education, family and community. </w:t>
      </w:r>
      <w:r w:rsidRPr="00AB28F4">
        <w:t>Delivering services to individual young people has been a focus for providers in the first year of the program. Many providers had established services and were able to quickly deliver this aspect of the program. While Youth Connections has achieved significant results in 2010, the elements of the program relating to outreach and re</w:t>
      </w:r>
      <w:r>
        <w:t>-</w:t>
      </w:r>
      <w:r w:rsidRPr="00AB28F4">
        <w:t>engagement activities, and activities to strengthen services in the region have been slower to be established and embedded in service delivery.</w:t>
      </w:r>
    </w:p>
    <w:p w:rsidR="007002AD" w:rsidRPr="00AB28F4" w:rsidRDefault="007002AD" w:rsidP="007002AD">
      <w:pPr>
        <w:spacing w:line="240" w:lineRule="auto"/>
      </w:pPr>
    </w:p>
    <w:p w:rsidR="007002AD" w:rsidRDefault="007002AD" w:rsidP="007002AD">
      <w:pPr>
        <w:spacing w:line="240" w:lineRule="auto"/>
        <w:rPr>
          <w:rFonts w:ascii="Calibri" w:hAnsi="Calibri" w:cs="Calibri"/>
        </w:rPr>
      </w:pPr>
      <w:r w:rsidRPr="00AB28F4">
        <w:rPr>
          <w:rFonts w:ascii="Calibri" w:hAnsi="Calibri" w:cs="Calibri"/>
        </w:rPr>
        <w:t>Under ‘</w:t>
      </w:r>
      <w:r w:rsidRPr="00AB28F4">
        <w:rPr>
          <w:rFonts w:ascii="Calibri" w:hAnsi="Calibri" w:cs="Calibri"/>
          <w:i/>
        </w:rPr>
        <w:t>Outreach and Re-engagement Activities</w:t>
      </w:r>
      <w:r w:rsidRPr="00AB28F4">
        <w:rPr>
          <w:rFonts w:ascii="Calibri" w:hAnsi="Calibri" w:cs="Calibri"/>
        </w:rPr>
        <w:t>’, Youth Connections providers must offer proactive, youth focused re-engagement activities and outreach services.  Outreach and re-engagement services aim to find severely disengaged young people, and to connect these young people with activities to support their re-engagement with learning, family and community. In the first 14 months there has been considerable activity in this area, however not all of this activity has been well targeted or outcomes focused.</w:t>
      </w:r>
    </w:p>
    <w:p w:rsidR="007002AD" w:rsidRPr="00AB28F4" w:rsidRDefault="007002AD" w:rsidP="007002AD">
      <w:pPr>
        <w:spacing w:line="240" w:lineRule="auto"/>
        <w:rPr>
          <w:rFonts w:ascii="Calibri" w:hAnsi="Calibri" w:cs="Calibri"/>
        </w:rPr>
      </w:pPr>
    </w:p>
    <w:p w:rsidR="007002AD" w:rsidRDefault="007002AD" w:rsidP="007002AD">
      <w:pPr>
        <w:spacing w:line="240" w:lineRule="auto"/>
        <w:rPr>
          <w:rFonts w:ascii="Calibri" w:hAnsi="Calibri" w:cs="Calibri"/>
        </w:rPr>
      </w:pPr>
      <w:r w:rsidRPr="00AB28F4">
        <w:rPr>
          <w:rFonts w:ascii="Calibri" w:hAnsi="Calibri" w:cs="Calibri"/>
        </w:rPr>
        <w:t>Under ‘</w:t>
      </w:r>
      <w:r w:rsidRPr="00AB28F4">
        <w:rPr>
          <w:rFonts w:ascii="Calibri" w:hAnsi="Calibri" w:cs="Calibri"/>
          <w:i/>
        </w:rPr>
        <w:t>Strengthening Services in the Region Activities</w:t>
      </w:r>
      <w:r w:rsidRPr="00AB28F4">
        <w:rPr>
          <w:rFonts w:ascii="Calibri" w:hAnsi="Calibri" w:cs="Calibri"/>
        </w:rPr>
        <w:t xml:space="preserve">’, Youth Connections providers must work to build capacity and strengthen services for young people at risk and ensure that providers of other services in a region are connected. Again, providers have been reporting effort in this area, however it appears provider understanding and capacity in this area is not strong. Some of this effort has been directed toward awareness raising and promotional activities or attendance at stakeholder group meetings, neither of which would be considered ‘Strengthening Services in the Region Activities’. This area of provider performance is most closely linked with the School Business Community Partnership Brokers program, and providers are expected to work together, where appropriate, to address the needs of their region. In some regions providers are working well </w:t>
      </w:r>
      <w:r w:rsidRPr="00AB28F4">
        <w:rPr>
          <w:rFonts w:ascii="Calibri" w:hAnsi="Calibri" w:cs="Calibri"/>
        </w:rPr>
        <w:lastRenderedPageBreak/>
        <w:t>together and progressing partnership arrangements to improve support services, however, the level of collaboration in other regions is variable.</w:t>
      </w:r>
    </w:p>
    <w:p w:rsidR="007002AD" w:rsidRPr="00AB28F4" w:rsidRDefault="007002AD" w:rsidP="007002AD">
      <w:pPr>
        <w:spacing w:line="240" w:lineRule="auto"/>
        <w:rPr>
          <w:rFonts w:ascii="Calibri" w:hAnsi="Calibri" w:cs="Calibri"/>
        </w:rPr>
      </w:pPr>
    </w:p>
    <w:p w:rsidR="007002AD" w:rsidRDefault="007002AD" w:rsidP="007002AD">
      <w:pPr>
        <w:spacing w:line="240" w:lineRule="auto"/>
      </w:pPr>
      <w:r w:rsidRPr="00AB28F4">
        <w:t>The Youth Connections program includes a focus on Indigenous and humanitarian refugee young people. These two groups are more likely to be at risk, and may require mainstream programs to be tailored to meet their specific needs. The Youth Connections program has had mixed success in supporting these two target cohorts. Indigenous young people represent 18% of the caseload</w:t>
      </w:r>
      <w:r>
        <w:t xml:space="preserve"> (more than 4,300 young people)</w:t>
      </w:r>
      <w:r w:rsidRPr="00AB28F4">
        <w:t xml:space="preserve"> receiving individual support services in the Youth Connections program, and </w:t>
      </w:r>
      <w:r>
        <w:t>27</w:t>
      </w:r>
      <w:r w:rsidRPr="00AB28F4">
        <w:t>% of outreach activitie</w:t>
      </w:r>
      <w:r>
        <w:t>s included an</w:t>
      </w:r>
      <w:r w:rsidRPr="00AB28F4">
        <w:t xml:space="preserve"> Indigenous focus. While the rate of Indigenous young people achieving outcomes is lower than for non-Indigenous, more than 1</w:t>
      </w:r>
      <w:r>
        <w:t>,</w:t>
      </w:r>
      <w:r w:rsidRPr="00AB28F4">
        <w:t>500 Indigenous young people achieved a final outcome in the program, and a further 1</w:t>
      </w:r>
      <w:r>
        <w:t>,</w:t>
      </w:r>
      <w:r w:rsidRPr="00AB28F4">
        <w:t xml:space="preserve">000 made progress in addressing their barriers to engagement. For </w:t>
      </w:r>
      <w:r>
        <w:t>h</w:t>
      </w:r>
      <w:r w:rsidRPr="00AB28F4">
        <w:t xml:space="preserve">umanitarian </w:t>
      </w:r>
      <w:r>
        <w:t>r</w:t>
      </w:r>
      <w:r w:rsidRPr="00AB28F4">
        <w:t xml:space="preserve">efugee participants, the program has been less successful at delivering support and achieving outcomes. Nationally, only 202 young humanitarian refugees have been provided with individual support services in the first 14 months of the program. </w:t>
      </w:r>
    </w:p>
    <w:p w:rsidR="007002AD" w:rsidRPr="00AB28F4" w:rsidRDefault="007002AD" w:rsidP="007002AD">
      <w:pPr>
        <w:spacing w:line="240" w:lineRule="auto"/>
      </w:pPr>
    </w:p>
    <w:p w:rsidR="007002AD" w:rsidRDefault="007002AD" w:rsidP="007002AD">
      <w:pPr>
        <w:spacing w:line="240" w:lineRule="auto"/>
      </w:pPr>
      <w:proofErr w:type="spellStart"/>
      <w:r w:rsidRPr="00AB28F4">
        <w:rPr>
          <w:rFonts w:ascii="Calibri" w:hAnsi="Calibri" w:cs="Calibri"/>
        </w:rPr>
        <w:t>DEEWR</w:t>
      </w:r>
      <w:proofErr w:type="spellEnd"/>
      <w:r w:rsidRPr="00AB28F4">
        <w:rPr>
          <w:rFonts w:ascii="Calibri" w:hAnsi="Calibri" w:cs="Calibri"/>
        </w:rPr>
        <w:t xml:space="preserve"> has supported the achievement of program outcomes through the provision of induction forums, regional forums, training on the information management system, resource tools and the funding of jurisdiction based and national provider networks. The contract management approach in the first year of operation has been intensive and focused on reinforcing provider understanding and developing provider capacity. In February, </w:t>
      </w:r>
      <w:proofErr w:type="spellStart"/>
      <w:r w:rsidRPr="00AB28F4">
        <w:rPr>
          <w:rFonts w:ascii="Calibri" w:hAnsi="Calibri" w:cs="Calibri"/>
        </w:rPr>
        <w:t>DEEWR</w:t>
      </w:r>
      <w:proofErr w:type="spellEnd"/>
      <w:r w:rsidRPr="00AB28F4">
        <w:rPr>
          <w:rFonts w:ascii="Calibri" w:hAnsi="Calibri" w:cs="Calibri"/>
        </w:rPr>
        <w:t xml:space="preserve"> provided a redefinition of the service types, in an effort to clarify the intention of these activities for providers, and to focus their efforts.</w:t>
      </w:r>
      <w:r w:rsidRPr="00AB28F4">
        <w:t xml:space="preserve"> Case studies are being developed to strengthen provider understanding, and to demonstrate effective practice.</w:t>
      </w:r>
    </w:p>
    <w:p w:rsidR="007002AD" w:rsidRPr="00AB28F4" w:rsidRDefault="007002AD" w:rsidP="007002AD">
      <w:pPr>
        <w:spacing w:line="240" w:lineRule="auto"/>
        <w:rPr>
          <w:rFonts w:ascii="Calibri" w:hAnsi="Calibri" w:cs="Calibri"/>
        </w:rPr>
      </w:pPr>
    </w:p>
    <w:p w:rsidR="007002AD" w:rsidRPr="008176D4" w:rsidRDefault="007002AD" w:rsidP="007002AD">
      <w:pPr>
        <w:spacing w:line="240" w:lineRule="auto"/>
        <w:rPr>
          <w:rFonts w:ascii="Calibri" w:hAnsi="Calibri"/>
          <w:b/>
        </w:rPr>
      </w:pPr>
      <w:r w:rsidRPr="008176D4">
        <w:rPr>
          <w:rFonts w:ascii="Calibri" w:hAnsi="Calibri"/>
          <w:b/>
        </w:rPr>
        <w:t>Program Priorities</w:t>
      </w:r>
    </w:p>
    <w:p w:rsidR="007002AD" w:rsidRDefault="007002AD" w:rsidP="007002AD">
      <w:pPr>
        <w:spacing w:line="240" w:lineRule="auto"/>
      </w:pPr>
    </w:p>
    <w:p w:rsidR="007002AD" w:rsidRPr="00AB28F4" w:rsidRDefault="007002AD" w:rsidP="007002AD">
      <w:pPr>
        <w:spacing w:line="240" w:lineRule="auto"/>
      </w:pPr>
      <w:r w:rsidRPr="00AB28F4">
        <w:t xml:space="preserve">In 2011, </w:t>
      </w:r>
      <w:proofErr w:type="spellStart"/>
      <w:r w:rsidRPr="00AB28F4">
        <w:t>DEEWR</w:t>
      </w:r>
      <w:proofErr w:type="spellEnd"/>
      <w:r w:rsidRPr="00AB28F4">
        <w:t xml:space="preserve"> is working, with jurisdictions and provider networks, to improve program and provider performance in a number of areas. These focus areas have been identified based on the quantitative and qualitative data that providers have reported, through contract management activities, and </w:t>
      </w:r>
      <w:r>
        <w:t xml:space="preserve">through </w:t>
      </w:r>
      <w:r w:rsidRPr="00AB28F4">
        <w:t xml:space="preserve">feedback from jurisdictions. These focus areas include: </w:t>
      </w:r>
    </w:p>
    <w:p w:rsidR="007002AD" w:rsidRPr="00AB28F4" w:rsidRDefault="007002AD" w:rsidP="007002AD">
      <w:pPr>
        <w:pStyle w:val="ListParagraph"/>
        <w:numPr>
          <w:ilvl w:val="0"/>
          <w:numId w:val="37"/>
        </w:numPr>
        <w:spacing w:line="240" w:lineRule="auto"/>
        <w:contextualSpacing w:val="0"/>
      </w:pPr>
      <w:r w:rsidRPr="00AB28F4">
        <w:rPr>
          <w:i/>
        </w:rPr>
        <w:t xml:space="preserve">Services to individual young people </w:t>
      </w:r>
      <w:r w:rsidRPr="00AB28F4">
        <w:t xml:space="preserve"> – increasing the number and the quality of outcomes for severely disconnected young people</w:t>
      </w:r>
    </w:p>
    <w:p w:rsidR="007002AD" w:rsidRPr="00AB28F4" w:rsidRDefault="007002AD" w:rsidP="007002AD">
      <w:pPr>
        <w:pStyle w:val="ListParagraph"/>
        <w:numPr>
          <w:ilvl w:val="0"/>
          <w:numId w:val="37"/>
        </w:numPr>
        <w:spacing w:line="240" w:lineRule="auto"/>
        <w:contextualSpacing w:val="0"/>
      </w:pPr>
      <w:r w:rsidRPr="00AB28F4">
        <w:rPr>
          <w:rFonts w:ascii="Calibri" w:hAnsi="Calibri" w:cs="Calibri"/>
          <w:i/>
        </w:rPr>
        <w:t>Outreach and Re-engagement Activities</w:t>
      </w:r>
      <w:r w:rsidRPr="00AB28F4">
        <w:t xml:space="preserve"> – improving provider understanding and increasing the </w:t>
      </w:r>
      <w:r>
        <w:t>number of young people who are referred from</w:t>
      </w:r>
      <w:r w:rsidRPr="00AB28F4">
        <w:t xml:space="preserve"> outreach activities </w:t>
      </w:r>
      <w:r>
        <w:t>in</w:t>
      </w:r>
      <w:r w:rsidRPr="00AB28F4">
        <w:t>to case management</w:t>
      </w:r>
    </w:p>
    <w:p w:rsidR="007002AD" w:rsidRPr="00AB28F4" w:rsidRDefault="007002AD" w:rsidP="007002AD">
      <w:pPr>
        <w:pStyle w:val="ListParagraph"/>
        <w:numPr>
          <w:ilvl w:val="0"/>
          <w:numId w:val="37"/>
        </w:numPr>
        <w:spacing w:line="240" w:lineRule="auto"/>
        <w:contextualSpacing w:val="0"/>
      </w:pPr>
      <w:r w:rsidRPr="00AB28F4">
        <w:rPr>
          <w:rFonts w:ascii="Calibri" w:hAnsi="Calibri" w:cs="Calibri"/>
          <w:i/>
        </w:rPr>
        <w:t>Strengthening Services in the Region Activities</w:t>
      </w:r>
      <w:r w:rsidRPr="00AB28F4">
        <w:t xml:space="preserve"> – improving provider understanding and the effectiveness of activities delivered</w:t>
      </w:r>
    </w:p>
    <w:p w:rsidR="007002AD" w:rsidRPr="00AB28F4" w:rsidRDefault="007002AD" w:rsidP="007002AD">
      <w:pPr>
        <w:pStyle w:val="ListParagraph"/>
        <w:numPr>
          <w:ilvl w:val="0"/>
          <w:numId w:val="37"/>
        </w:numPr>
        <w:spacing w:line="240" w:lineRule="auto"/>
        <w:contextualSpacing w:val="0"/>
      </w:pPr>
      <w:r w:rsidRPr="00AB28F4">
        <w:t xml:space="preserve">Indigenous </w:t>
      </w:r>
      <w:r>
        <w:t xml:space="preserve">young people </w:t>
      </w:r>
      <w:r w:rsidRPr="00AB28F4">
        <w:t xml:space="preserve">and Closing the Gap – continuing the focus on this priority </w:t>
      </w:r>
      <w:r>
        <w:t>area</w:t>
      </w:r>
    </w:p>
    <w:p w:rsidR="007002AD" w:rsidRPr="00AB28F4" w:rsidRDefault="007002AD" w:rsidP="007002AD">
      <w:pPr>
        <w:pStyle w:val="ListParagraph"/>
        <w:numPr>
          <w:ilvl w:val="0"/>
          <w:numId w:val="37"/>
        </w:numPr>
        <w:spacing w:line="240" w:lineRule="auto"/>
        <w:contextualSpacing w:val="0"/>
      </w:pPr>
      <w:r w:rsidRPr="00AB28F4">
        <w:t xml:space="preserve">Humanitarian </w:t>
      </w:r>
      <w:r>
        <w:t>r</w:t>
      </w:r>
      <w:r w:rsidRPr="00AB28F4">
        <w:t>efugees – building provider capacity and focusing effort for this cohort</w:t>
      </w:r>
    </w:p>
    <w:p w:rsidR="007002AD" w:rsidRPr="00AB28F4" w:rsidRDefault="007002AD" w:rsidP="007002AD">
      <w:pPr>
        <w:pStyle w:val="ListParagraph"/>
        <w:numPr>
          <w:ilvl w:val="0"/>
          <w:numId w:val="37"/>
        </w:numPr>
        <w:spacing w:line="240" w:lineRule="auto"/>
        <w:contextualSpacing w:val="0"/>
      </w:pPr>
      <w:r w:rsidRPr="00AB28F4">
        <w:t>Youth Connections and Partnership Brokers – improving their relationships and translating these into outcomes for at risk young people</w:t>
      </w:r>
    </w:p>
    <w:p w:rsidR="007002AD" w:rsidRPr="00AB28F4" w:rsidRDefault="007002AD" w:rsidP="007002AD">
      <w:pPr>
        <w:pStyle w:val="ListParagraph"/>
        <w:numPr>
          <w:ilvl w:val="0"/>
          <w:numId w:val="37"/>
        </w:numPr>
        <w:spacing w:line="240" w:lineRule="auto"/>
        <w:contextualSpacing w:val="0"/>
      </w:pPr>
      <w:r w:rsidRPr="00AB28F4">
        <w:t>Improving the quality of data and reporting from providers.</w:t>
      </w:r>
    </w:p>
    <w:p w:rsidR="007002AD" w:rsidRDefault="007002AD" w:rsidP="007002AD">
      <w:pPr>
        <w:pStyle w:val="Heading1"/>
        <w:spacing w:before="240"/>
        <w:rPr>
          <w:lang w:eastAsia="en-AU"/>
        </w:rPr>
        <w:sectPr w:rsidR="007002AD" w:rsidSect="005D122D">
          <w:pgSz w:w="11906" w:h="16838"/>
          <w:pgMar w:top="1440" w:right="1440" w:bottom="1440" w:left="1440" w:header="708" w:footer="708" w:gutter="0"/>
          <w:cols w:space="708"/>
          <w:docGrid w:linePitch="360"/>
        </w:sectPr>
      </w:pPr>
    </w:p>
    <w:p w:rsidR="007002AD" w:rsidRDefault="007002AD" w:rsidP="007002AD">
      <w:pPr>
        <w:pStyle w:val="Heading1"/>
        <w:spacing w:before="0"/>
        <w:rPr>
          <w:lang w:eastAsia="en-AU"/>
        </w:rPr>
      </w:pPr>
      <w:bookmarkStart w:id="19" w:name="_Toc294619489"/>
      <w:r>
        <w:rPr>
          <w:lang w:eastAsia="en-AU"/>
        </w:rPr>
        <w:lastRenderedPageBreak/>
        <w:t>Northern Territory Summary</w:t>
      </w:r>
      <w:bookmarkEnd w:id="19"/>
    </w:p>
    <w:p w:rsidR="007002AD" w:rsidRDefault="007002AD" w:rsidP="007002AD">
      <w:pPr>
        <w:spacing w:line="240" w:lineRule="auto"/>
        <w:rPr>
          <w:lang w:eastAsia="en-AU"/>
        </w:rPr>
      </w:pPr>
    </w:p>
    <w:p w:rsidR="007002AD" w:rsidRDefault="007002AD" w:rsidP="007002AD">
      <w:pPr>
        <w:spacing w:line="240" w:lineRule="auto"/>
        <w:rPr>
          <w:rFonts w:ascii="Calibri" w:hAnsi="Calibri"/>
          <w:b/>
        </w:rPr>
      </w:pPr>
      <w:r w:rsidRPr="001D6AF5">
        <w:rPr>
          <w:rFonts w:ascii="Calibri" w:hAnsi="Calibri"/>
          <w:b/>
        </w:rPr>
        <w:t>Context</w:t>
      </w:r>
    </w:p>
    <w:p w:rsidR="007002AD" w:rsidRDefault="007002AD" w:rsidP="007002AD">
      <w:pPr>
        <w:spacing w:line="240" w:lineRule="auto"/>
        <w:rPr>
          <w:rFonts w:cstheme="minorHAnsi"/>
        </w:rPr>
      </w:pPr>
      <w:r>
        <w:rPr>
          <w:rFonts w:cstheme="minorHAnsi"/>
        </w:rPr>
        <w:t>The Youth Connections program is delivered across five regions</w:t>
      </w:r>
      <w:r w:rsidRPr="00766FD5">
        <w:rPr>
          <w:rFonts w:cstheme="minorHAnsi"/>
        </w:rPr>
        <w:t xml:space="preserve"> </w:t>
      </w:r>
      <w:r>
        <w:rPr>
          <w:rFonts w:cstheme="minorHAnsi"/>
        </w:rPr>
        <w:t xml:space="preserve">in the Northern Territory (NT), which align with the NT shire and municipality region constructs.  In the NT, the program is aimed at 12 to 19 year old young people at risk of, or disengaged from education and has a strong focus on assisting Indigenous young people.  Youth Connections providers are to focus remote service delivery in the 20 Territory Growth Towns identified under the NT Government’s Working Future Initiative </w:t>
      </w:r>
      <w:r w:rsidRPr="00ED7539">
        <w:rPr>
          <w:rFonts w:cstheme="minorHAnsi"/>
        </w:rPr>
        <w:t>and Remote Service Delivery National Partnership</w:t>
      </w:r>
      <w:r>
        <w:rPr>
          <w:rFonts w:cstheme="minorHAnsi"/>
        </w:rPr>
        <w:t xml:space="preserve">. In these communities access to other youth services and programs can be limited, with their quality variable across communities. Average attendance at school in these communities can be as low as 30%, and there are anecdotally a large number of students who are not enrolled in schools. </w:t>
      </w:r>
    </w:p>
    <w:p w:rsidR="007002AD" w:rsidRDefault="007002AD" w:rsidP="007002AD">
      <w:pPr>
        <w:spacing w:line="240" w:lineRule="auto"/>
        <w:rPr>
          <w:rFonts w:cstheme="minorHAnsi"/>
          <w:b/>
        </w:rPr>
      </w:pPr>
    </w:p>
    <w:p w:rsidR="007002AD" w:rsidRDefault="007002AD" w:rsidP="007002AD">
      <w:pPr>
        <w:spacing w:line="240" w:lineRule="auto"/>
        <w:rPr>
          <w:rFonts w:cstheme="minorHAnsi"/>
        </w:rPr>
      </w:pPr>
      <w:r>
        <w:rPr>
          <w:rFonts w:cstheme="minorHAnsi"/>
          <w:b/>
        </w:rPr>
        <w:t>Program Status</w:t>
      </w:r>
    </w:p>
    <w:p w:rsidR="007002AD" w:rsidRDefault="007002AD" w:rsidP="007002AD">
      <w:pPr>
        <w:spacing w:line="240" w:lineRule="auto"/>
      </w:pPr>
      <w:r>
        <w:t>In the first 14 months of operation in the NT, Youth Connections has provided individual support services to 510 young people. 103 young people in the program achieved a final outcome, which represents re-engagement or a sustained improvement in a young person’s engagement with education, training or employment. A further 131 were assessed as making significant progress in addressing their barriers to full engagement in education. In addition, 73 activities were held to find and connect with at-risk young people, with providers linking with 3,837 young people through these activities.  In this period, providers undertook a range of initiatives to strengthen services in the region, with 37 activities being held.</w:t>
      </w:r>
    </w:p>
    <w:p w:rsidR="007002AD" w:rsidRDefault="007002AD" w:rsidP="007002AD">
      <w:pPr>
        <w:spacing w:line="240" w:lineRule="auto"/>
      </w:pPr>
    </w:p>
    <w:p w:rsidR="007002AD" w:rsidRDefault="007002AD" w:rsidP="007002AD">
      <w:pPr>
        <w:spacing w:line="240" w:lineRule="auto"/>
      </w:pPr>
      <w:r>
        <w:t>In the NT, provider effort has been focused on assisting the most disengaged young people and assisting Indigenous young people.  Of all NT Youth Connections participants, 72% are Indigenous, compared to the national figure of 18%. Twenty-five per cent of Indigenous participants with addresses recorded (264) are from the Territory Growth Towns. Indicating there has been a focus on remote delivery in the Territory Growth Towns.</w:t>
      </w:r>
    </w:p>
    <w:p w:rsidR="007002AD" w:rsidRDefault="007002AD" w:rsidP="007002AD">
      <w:pPr>
        <w:spacing w:line="240" w:lineRule="auto"/>
        <w:rPr>
          <w:rFonts w:cstheme="minorHAnsi"/>
          <w:color w:val="4F81BD" w:themeColor="accent1"/>
        </w:rPr>
      </w:pPr>
    </w:p>
    <w:p w:rsidR="007002AD" w:rsidRDefault="007002AD" w:rsidP="007002AD">
      <w:pPr>
        <w:spacing w:line="240" w:lineRule="auto"/>
        <w:rPr>
          <w:rFonts w:cstheme="minorHAnsi"/>
          <w:b/>
        </w:rPr>
      </w:pPr>
      <w:r w:rsidRPr="001D6AF5">
        <w:rPr>
          <w:rFonts w:cstheme="minorHAnsi"/>
          <w:b/>
        </w:rPr>
        <w:t xml:space="preserve">Challenges </w:t>
      </w:r>
    </w:p>
    <w:p w:rsidR="007002AD" w:rsidRDefault="007002AD" w:rsidP="007002AD">
      <w:pPr>
        <w:spacing w:line="240" w:lineRule="auto"/>
        <w:rPr>
          <w:rFonts w:cstheme="minorHAnsi"/>
        </w:rPr>
      </w:pPr>
      <w:r w:rsidRPr="001A28B2">
        <w:rPr>
          <w:rFonts w:cs="Calibri"/>
        </w:rPr>
        <w:t>While Youth Connections has delivered significant outcomes,</w:t>
      </w:r>
      <w:r w:rsidRPr="001A28B2">
        <w:t xml:space="preserve"> </w:t>
      </w:r>
      <w:r w:rsidRPr="001A28B2">
        <w:rPr>
          <w:rFonts w:cs="Calibri"/>
        </w:rPr>
        <w:t xml:space="preserve">providers have faced many of the challenges outlined in the national summary. </w:t>
      </w:r>
      <w:r>
        <w:rPr>
          <w:rFonts w:cstheme="minorHAnsi"/>
        </w:rPr>
        <w:t xml:space="preserve"> In particular, some providers have been slow to establish and embed outreach and re-engagement activities and activities to strengthen services in the region.  As has been found nationally, Youth Connections providers and Partnership Broker collaboration across the Northern Territory varies, and while there are instances of the providers working collaboratively, for some providers this continues to be an area for development.  </w:t>
      </w:r>
    </w:p>
    <w:p w:rsidR="007002AD" w:rsidRDefault="007002AD" w:rsidP="007002AD">
      <w:pPr>
        <w:spacing w:line="240" w:lineRule="auto"/>
        <w:rPr>
          <w:rFonts w:cstheme="minorHAnsi"/>
        </w:rPr>
      </w:pPr>
    </w:p>
    <w:p w:rsidR="007002AD" w:rsidRDefault="007002AD" w:rsidP="007002AD">
      <w:pPr>
        <w:spacing w:line="240" w:lineRule="auto"/>
      </w:pPr>
      <w:r>
        <w:rPr>
          <w:rFonts w:cstheme="minorHAnsi"/>
        </w:rPr>
        <w:t xml:space="preserve">The delivery of Youth Connections in remote locations in the NT has been affected by a number of issues, such as the ability to </w:t>
      </w:r>
      <w:r w:rsidRPr="00945F87">
        <w:rPr>
          <w:rFonts w:cstheme="minorHAnsi"/>
        </w:rPr>
        <w:t xml:space="preserve">recruit and retain suitable staff, the time and expense for travel and accommodation in remote communities.  A fly in fly out service model is often the only possible model of service delivery available to providers and it is often difficult to build effective relationships as engagement is time limited and not consistently available.  In addition limited access to specialist services and communities in remote areas has slowed the implementation of </w:t>
      </w:r>
      <w:r>
        <w:rPr>
          <w:rFonts w:cstheme="minorHAnsi"/>
        </w:rPr>
        <w:t xml:space="preserve">the </w:t>
      </w:r>
      <w:r w:rsidRPr="00945F87">
        <w:rPr>
          <w:rFonts w:cstheme="minorHAnsi"/>
        </w:rPr>
        <w:t>Youth Connections program</w:t>
      </w:r>
      <w:r>
        <w:rPr>
          <w:rFonts w:cstheme="minorHAnsi"/>
        </w:rPr>
        <w:t xml:space="preserve"> in the NT</w:t>
      </w:r>
      <w:r w:rsidRPr="00945F87">
        <w:rPr>
          <w:rFonts w:cstheme="minorHAnsi"/>
        </w:rPr>
        <w:t>.</w:t>
      </w:r>
    </w:p>
    <w:p w:rsidR="007002AD" w:rsidRDefault="007002AD" w:rsidP="007002AD">
      <w:pPr>
        <w:spacing w:line="240" w:lineRule="auto"/>
        <w:rPr>
          <w:rFonts w:ascii="Calibri" w:hAnsi="Calibri"/>
        </w:rPr>
      </w:pPr>
    </w:p>
    <w:p w:rsidR="007002AD" w:rsidRDefault="007002AD" w:rsidP="007002AD">
      <w:pPr>
        <w:pStyle w:val="Heading1"/>
        <w:spacing w:before="0"/>
        <w:rPr>
          <w:lang w:eastAsia="en-AU"/>
        </w:rPr>
      </w:pPr>
      <w:r>
        <w:rPr>
          <w:noProof/>
          <w:lang w:eastAsia="en-AU"/>
        </w:rPr>
        <w:lastRenderedPageBreak/>
        <w:drawing>
          <wp:inline distT="0" distB="0" distL="0" distR="0">
            <wp:extent cx="6029325" cy="4514850"/>
            <wp:effectExtent l="19050" t="0" r="9525" b="0"/>
            <wp:docPr id="1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en-AU"/>
        </w:rPr>
        <w:drawing>
          <wp:inline distT="0" distB="0" distL="0" distR="0">
            <wp:extent cx="6029325" cy="3943350"/>
            <wp:effectExtent l="19050" t="0" r="9525"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002AD" w:rsidRDefault="007002AD" w:rsidP="007002AD">
      <w:pPr>
        <w:pStyle w:val="Heading1"/>
        <w:spacing w:before="0"/>
        <w:rPr>
          <w:lang w:eastAsia="en-AU"/>
        </w:rPr>
      </w:pPr>
    </w:p>
    <w:p w:rsidR="007002AD" w:rsidRDefault="007002AD" w:rsidP="007002AD">
      <w:pPr>
        <w:pStyle w:val="Heading1"/>
        <w:spacing w:before="0"/>
        <w:rPr>
          <w:lang w:eastAsia="en-AU"/>
        </w:rPr>
        <w:sectPr w:rsidR="007002AD" w:rsidSect="005D122D">
          <w:pgSz w:w="11906" w:h="16838"/>
          <w:pgMar w:top="1440" w:right="1440" w:bottom="1440" w:left="1440" w:header="708" w:footer="708" w:gutter="0"/>
          <w:cols w:space="708"/>
          <w:docGrid w:linePitch="360"/>
        </w:sectPr>
      </w:pPr>
    </w:p>
    <w:tbl>
      <w:tblPr>
        <w:tblW w:w="9073" w:type="dxa"/>
        <w:tblInd w:w="-34" w:type="dxa"/>
        <w:tblLayout w:type="fixed"/>
        <w:tblLook w:val="04A0" w:firstRow="1" w:lastRow="0" w:firstColumn="1" w:lastColumn="0" w:noHBand="0" w:noVBand="1"/>
      </w:tblPr>
      <w:tblGrid>
        <w:gridCol w:w="4038"/>
        <w:gridCol w:w="1258"/>
        <w:gridCol w:w="1259"/>
        <w:gridCol w:w="1259"/>
        <w:gridCol w:w="1259"/>
      </w:tblGrid>
      <w:tr w:rsidR="007002AD" w:rsidRPr="005C2114" w:rsidTr="005D122D">
        <w:trPr>
          <w:trHeight w:val="300"/>
        </w:trPr>
        <w:tc>
          <w:tcPr>
            <w:tcW w:w="4038" w:type="dxa"/>
            <w:tcBorders>
              <w:top w:val="single" w:sz="18" w:space="0" w:color="auto"/>
              <w:left w:val="single" w:sz="18" w:space="0" w:color="auto"/>
              <w:bottom w:val="single" w:sz="4" w:space="0" w:color="auto"/>
              <w:right w:val="single" w:sz="4" w:space="0" w:color="auto"/>
            </w:tcBorders>
            <w:shd w:val="clear" w:color="auto" w:fill="C6D9F1" w:themeFill="text2" w:themeFillTint="33"/>
            <w:noWrap/>
            <w:vAlign w:val="bottom"/>
            <w:hideMark/>
          </w:tcPr>
          <w:p w:rsidR="007002AD" w:rsidRPr="005C2114" w:rsidRDefault="007002AD" w:rsidP="005D122D">
            <w:pPr>
              <w:spacing w:line="240" w:lineRule="auto"/>
              <w:rPr>
                <w:rFonts w:ascii="Calibri" w:eastAsia="Times New Roman" w:hAnsi="Calibri" w:cs="Calibri"/>
                <w:b/>
                <w:color w:val="000000"/>
                <w:lang w:eastAsia="en-AU"/>
              </w:rPr>
            </w:pPr>
            <w:r w:rsidRPr="005C2114">
              <w:rPr>
                <w:rFonts w:ascii="Calibri" w:eastAsia="Times New Roman" w:hAnsi="Calibri" w:cs="Calibri"/>
                <w:b/>
                <w:color w:val="000000"/>
                <w:lang w:eastAsia="en-AU"/>
              </w:rPr>
              <w:lastRenderedPageBreak/>
              <w:t> </w:t>
            </w:r>
          </w:p>
        </w:tc>
        <w:tc>
          <w:tcPr>
            <w:tcW w:w="2517" w:type="dxa"/>
            <w:gridSpan w:val="2"/>
            <w:tcBorders>
              <w:top w:val="single" w:sz="18" w:space="0" w:color="auto"/>
              <w:left w:val="nil"/>
              <w:bottom w:val="single" w:sz="4" w:space="0" w:color="auto"/>
              <w:right w:val="single" w:sz="4" w:space="0" w:color="000000"/>
            </w:tcBorders>
            <w:shd w:val="clear" w:color="auto" w:fill="C6D9F1" w:themeFill="text2" w:themeFillTint="33"/>
            <w:noWrap/>
            <w:vAlign w:val="bottom"/>
            <w:hideMark/>
          </w:tcPr>
          <w:p w:rsidR="007002AD" w:rsidRPr="005C2114" w:rsidRDefault="007002AD" w:rsidP="005D122D">
            <w:pPr>
              <w:spacing w:line="240" w:lineRule="auto"/>
              <w:jc w:val="center"/>
              <w:rPr>
                <w:rFonts w:ascii="Calibri" w:eastAsia="Times New Roman" w:hAnsi="Calibri" w:cs="Calibri"/>
                <w:b/>
                <w:color w:val="000000"/>
                <w:lang w:eastAsia="en-AU"/>
              </w:rPr>
            </w:pPr>
            <w:r w:rsidRPr="005C2114">
              <w:rPr>
                <w:rFonts w:ascii="Calibri" w:eastAsia="Times New Roman" w:hAnsi="Calibri" w:cs="Calibri"/>
                <w:b/>
                <w:color w:val="000000"/>
                <w:lang w:eastAsia="en-AU"/>
              </w:rPr>
              <w:t>National</w:t>
            </w:r>
          </w:p>
        </w:tc>
        <w:tc>
          <w:tcPr>
            <w:tcW w:w="2518" w:type="dxa"/>
            <w:gridSpan w:val="2"/>
            <w:tcBorders>
              <w:top w:val="single" w:sz="18" w:space="0" w:color="auto"/>
              <w:left w:val="nil"/>
              <w:bottom w:val="single" w:sz="4" w:space="0" w:color="auto"/>
              <w:right w:val="single" w:sz="18" w:space="0" w:color="auto"/>
            </w:tcBorders>
            <w:shd w:val="clear" w:color="auto" w:fill="C6D9F1" w:themeFill="text2" w:themeFillTint="33"/>
            <w:noWrap/>
            <w:vAlign w:val="bottom"/>
            <w:hideMark/>
          </w:tcPr>
          <w:p w:rsidR="007002AD" w:rsidRPr="005C2114" w:rsidRDefault="007002AD" w:rsidP="005D122D">
            <w:pPr>
              <w:spacing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Northern Territory</w:t>
            </w:r>
          </w:p>
        </w:tc>
      </w:tr>
      <w:tr w:rsidR="007002AD" w:rsidRPr="005C2114" w:rsidTr="005D122D">
        <w:trPr>
          <w:trHeight w:val="600"/>
        </w:trPr>
        <w:tc>
          <w:tcPr>
            <w:tcW w:w="4038" w:type="dxa"/>
            <w:tcBorders>
              <w:top w:val="nil"/>
              <w:left w:val="single" w:sz="18" w:space="0" w:color="auto"/>
              <w:bottom w:val="single" w:sz="4" w:space="0" w:color="auto"/>
              <w:right w:val="single" w:sz="4" w:space="0" w:color="auto"/>
            </w:tcBorders>
            <w:shd w:val="clear" w:color="auto" w:fill="auto"/>
            <w:vAlign w:val="bottom"/>
            <w:hideMark/>
          </w:tcPr>
          <w:p w:rsidR="007002AD" w:rsidRPr="005C2114" w:rsidRDefault="007002AD" w:rsidP="005D122D">
            <w:pPr>
              <w:spacing w:line="240" w:lineRule="auto"/>
              <w:jc w:val="center"/>
              <w:rPr>
                <w:rFonts w:ascii="Calibri" w:eastAsia="Times New Roman" w:hAnsi="Calibri" w:cs="Calibri"/>
                <w:color w:val="000000"/>
                <w:lang w:eastAsia="en-AU"/>
              </w:rPr>
            </w:pPr>
            <w:r w:rsidRPr="005C2114">
              <w:rPr>
                <w:rFonts w:ascii="Calibri" w:eastAsia="Times New Roman" w:hAnsi="Calibri" w:cs="Calibri"/>
                <w:color w:val="000000"/>
                <w:lang w:eastAsia="en-AU"/>
              </w:rPr>
              <w:t>Young people enrolled in individual support services</w:t>
            </w:r>
            <w:r>
              <w:rPr>
                <w:rFonts w:ascii="Calibri" w:eastAsia="Times New Roman" w:hAnsi="Calibri" w:cs="Calibri"/>
                <w:color w:val="000000"/>
                <w:lang w:eastAsia="en-AU"/>
              </w:rPr>
              <w:t xml:space="preserve"> (current and exited)</w:t>
            </w:r>
          </w:p>
        </w:tc>
        <w:tc>
          <w:tcPr>
            <w:tcW w:w="2517" w:type="dxa"/>
            <w:gridSpan w:val="2"/>
            <w:tcBorders>
              <w:top w:val="nil"/>
              <w:left w:val="nil"/>
              <w:bottom w:val="single" w:sz="4"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24,738</w:t>
            </w:r>
          </w:p>
        </w:tc>
        <w:tc>
          <w:tcPr>
            <w:tcW w:w="2518" w:type="dxa"/>
            <w:gridSpan w:val="2"/>
            <w:tcBorders>
              <w:top w:val="nil"/>
              <w:left w:val="nil"/>
              <w:bottom w:val="single" w:sz="4" w:space="0" w:color="auto"/>
              <w:right w:val="single" w:sz="18"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510</w:t>
            </w:r>
          </w:p>
        </w:tc>
      </w:tr>
      <w:tr w:rsidR="007002AD" w:rsidRPr="005C2114" w:rsidTr="005D122D">
        <w:trPr>
          <w:trHeight w:val="600"/>
        </w:trPr>
        <w:tc>
          <w:tcPr>
            <w:tcW w:w="4038" w:type="dxa"/>
            <w:tcBorders>
              <w:top w:val="nil"/>
              <w:left w:val="single" w:sz="18" w:space="0" w:color="auto"/>
              <w:bottom w:val="single" w:sz="4" w:space="0" w:color="auto"/>
              <w:right w:val="single" w:sz="4" w:space="0" w:color="auto"/>
            </w:tcBorders>
            <w:shd w:val="clear" w:color="auto" w:fill="auto"/>
            <w:vAlign w:val="bottom"/>
            <w:hideMark/>
          </w:tcPr>
          <w:p w:rsidR="007002AD" w:rsidRPr="005C2114" w:rsidRDefault="007002AD" w:rsidP="005D122D">
            <w:pPr>
              <w:spacing w:line="240" w:lineRule="auto"/>
              <w:jc w:val="center"/>
              <w:rPr>
                <w:rFonts w:ascii="Calibri" w:eastAsia="Times New Roman" w:hAnsi="Calibri" w:cs="Calibri"/>
                <w:color w:val="000000"/>
                <w:lang w:eastAsia="en-AU"/>
              </w:rPr>
            </w:pPr>
            <w:r w:rsidRPr="005C2114">
              <w:rPr>
                <w:rFonts w:ascii="Calibri" w:eastAsia="Times New Roman" w:hAnsi="Calibri" w:cs="Calibri"/>
                <w:color w:val="000000"/>
                <w:lang w:eastAsia="en-AU"/>
              </w:rPr>
              <w:t>Young people who have achieved a final outcome</w:t>
            </w:r>
          </w:p>
        </w:tc>
        <w:tc>
          <w:tcPr>
            <w:tcW w:w="1258" w:type="dxa"/>
            <w:tcBorders>
              <w:top w:val="nil"/>
              <w:left w:val="nil"/>
              <w:bottom w:val="single" w:sz="4"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11,320</w:t>
            </w:r>
          </w:p>
        </w:tc>
        <w:tc>
          <w:tcPr>
            <w:tcW w:w="1259" w:type="dxa"/>
            <w:tcBorders>
              <w:top w:val="nil"/>
              <w:left w:val="nil"/>
              <w:bottom w:val="single" w:sz="4"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46%</w:t>
            </w:r>
          </w:p>
        </w:tc>
        <w:tc>
          <w:tcPr>
            <w:tcW w:w="1259" w:type="dxa"/>
            <w:tcBorders>
              <w:top w:val="nil"/>
              <w:left w:val="nil"/>
              <w:bottom w:val="single" w:sz="4"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103</w:t>
            </w:r>
          </w:p>
        </w:tc>
        <w:tc>
          <w:tcPr>
            <w:tcW w:w="1259" w:type="dxa"/>
            <w:tcBorders>
              <w:top w:val="nil"/>
              <w:left w:val="nil"/>
              <w:bottom w:val="single" w:sz="4" w:space="0" w:color="auto"/>
              <w:right w:val="single" w:sz="18"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20%</w:t>
            </w:r>
          </w:p>
        </w:tc>
      </w:tr>
      <w:tr w:rsidR="007002AD" w:rsidRPr="005C2114" w:rsidTr="005D122D">
        <w:trPr>
          <w:trHeight w:val="600"/>
        </w:trPr>
        <w:tc>
          <w:tcPr>
            <w:tcW w:w="4038" w:type="dxa"/>
            <w:tcBorders>
              <w:top w:val="nil"/>
              <w:left w:val="single" w:sz="18" w:space="0" w:color="auto"/>
              <w:bottom w:val="single" w:sz="18" w:space="0" w:color="auto"/>
              <w:right w:val="single" w:sz="4" w:space="0" w:color="auto"/>
            </w:tcBorders>
            <w:shd w:val="clear" w:color="auto" w:fill="auto"/>
            <w:vAlign w:val="bottom"/>
            <w:hideMark/>
          </w:tcPr>
          <w:p w:rsidR="007002AD" w:rsidRDefault="007002AD" w:rsidP="005D122D">
            <w:pPr>
              <w:spacing w:line="240" w:lineRule="auto"/>
              <w:jc w:val="center"/>
              <w:rPr>
                <w:rFonts w:ascii="Calibri" w:eastAsia="Times New Roman" w:hAnsi="Calibri" w:cs="Calibri"/>
                <w:color w:val="000000"/>
                <w:lang w:eastAsia="en-AU"/>
              </w:rPr>
            </w:pPr>
            <w:r w:rsidRPr="005C2114">
              <w:rPr>
                <w:rFonts w:ascii="Calibri" w:eastAsia="Times New Roman" w:hAnsi="Calibri" w:cs="Calibri"/>
                <w:color w:val="000000"/>
                <w:lang w:eastAsia="en-AU"/>
              </w:rPr>
              <w:t>Young people who have achieved a</w:t>
            </w:r>
            <w:r>
              <w:rPr>
                <w:rFonts w:ascii="Calibri" w:eastAsia="Times New Roman" w:hAnsi="Calibri" w:cs="Calibri"/>
                <w:color w:val="000000"/>
                <w:lang w:eastAsia="en-AU"/>
              </w:rPr>
              <w:t>n outcome -</w:t>
            </w:r>
            <w:r w:rsidRPr="005C2114">
              <w:rPr>
                <w:rFonts w:ascii="Calibri" w:eastAsia="Times New Roman" w:hAnsi="Calibri" w:cs="Calibri"/>
                <w:color w:val="000000"/>
                <w:lang w:eastAsia="en-AU"/>
              </w:rPr>
              <w:t xml:space="preserve"> </w:t>
            </w:r>
            <w:r>
              <w:rPr>
                <w:rFonts w:ascii="Calibri" w:eastAsia="Times New Roman" w:hAnsi="Calibri" w:cs="Calibri"/>
                <w:color w:val="000000"/>
                <w:lang w:eastAsia="en-AU"/>
              </w:rPr>
              <w:t>progressive or final</w:t>
            </w:r>
            <w:r>
              <w:rPr>
                <w:rStyle w:val="FootnoteReference"/>
                <w:rFonts w:ascii="Calibri" w:eastAsia="Times New Roman" w:hAnsi="Calibri" w:cs="Calibri"/>
                <w:color w:val="000000"/>
                <w:lang w:eastAsia="en-AU"/>
              </w:rPr>
              <w:footnoteReference w:id="17"/>
            </w:r>
          </w:p>
        </w:tc>
        <w:tc>
          <w:tcPr>
            <w:tcW w:w="1258" w:type="dxa"/>
            <w:tcBorders>
              <w:top w:val="nil"/>
              <w:left w:val="nil"/>
              <w:bottom w:val="single" w:sz="18"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16,410</w:t>
            </w:r>
          </w:p>
        </w:tc>
        <w:tc>
          <w:tcPr>
            <w:tcW w:w="1259" w:type="dxa"/>
            <w:tcBorders>
              <w:top w:val="nil"/>
              <w:left w:val="nil"/>
              <w:bottom w:val="single" w:sz="18"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66%</w:t>
            </w:r>
          </w:p>
        </w:tc>
        <w:tc>
          <w:tcPr>
            <w:tcW w:w="1259" w:type="dxa"/>
            <w:tcBorders>
              <w:top w:val="nil"/>
              <w:left w:val="nil"/>
              <w:bottom w:val="single" w:sz="18" w:space="0" w:color="auto"/>
              <w:right w:val="single" w:sz="4"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234</w:t>
            </w:r>
          </w:p>
        </w:tc>
        <w:tc>
          <w:tcPr>
            <w:tcW w:w="1259" w:type="dxa"/>
            <w:tcBorders>
              <w:top w:val="nil"/>
              <w:left w:val="nil"/>
              <w:bottom w:val="single" w:sz="18" w:space="0" w:color="auto"/>
              <w:right w:val="single" w:sz="18" w:space="0" w:color="auto"/>
            </w:tcBorders>
            <w:shd w:val="clear" w:color="auto" w:fill="auto"/>
            <w:noWrap/>
            <w:vAlign w:val="bottom"/>
            <w:hideMark/>
          </w:tcPr>
          <w:p w:rsidR="007002AD" w:rsidRDefault="007002AD" w:rsidP="005D122D">
            <w:pPr>
              <w:jc w:val="center"/>
              <w:rPr>
                <w:rFonts w:ascii="Calibri" w:hAnsi="Calibri" w:cs="Calibri"/>
                <w:color w:val="000000"/>
              </w:rPr>
            </w:pPr>
            <w:r>
              <w:rPr>
                <w:rFonts w:ascii="Calibri" w:hAnsi="Calibri" w:cs="Calibri"/>
                <w:color w:val="000000"/>
              </w:rPr>
              <w:t>46%</w:t>
            </w:r>
          </w:p>
        </w:tc>
      </w:tr>
    </w:tbl>
    <w:p w:rsidR="007002AD" w:rsidRDefault="007002AD" w:rsidP="007002AD">
      <w:pPr>
        <w:spacing w:line="240" w:lineRule="auto"/>
        <w:rPr>
          <w:lang w:eastAsia="en-AU"/>
        </w:rPr>
      </w:pPr>
    </w:p>
    <w:tbl>
      <w:tblPr>
        <w:tblpPr w:leftFromText="180" w:rightFromText="180" w:vertAnchor="text" w:horzAnchor="margin" w:tblpY="78"/>
        <w:tblW w:w="9073" w:type="dxa"/>
        <w:tblLayout w:type="fixed"/>
        <w:tblLook w:val="04A0" w:firstRow="1" w:lastRow="0" w:firstColumn="1" w:lastColumn="0" w:noHBand="0" w:noVBand="1"/>
      </w:tblPr>
      <w:tblGrid>
        <w:gridCol w:w="6521"/>
        <w:gridCol w:w="1276"/>
        <w:gridCol w:w="1276"/>
      </w:tblGrid>
      <w:tr w:rsidR="007002AD" w:rsidRPr="00DC6D3F" w:rsidTr="005D122D">
        <w:trPr>
          <w:trHeight w:val="300"/>
        </w:trPr>
        <w:tc>
          <w:tcPr>
            <w:tcW w:w="6521" w:type="dxa"/>
            <w:tcBorders>
              <w:top w:val="single" w:sz="18" w:space="0" w:color="auto"/>
              <w:left w:val="single" w:sz="18" w:space="0" w:color="auto"/>
              <w:bottom w:val="single" w:sz="6" w:space="0" w:color="auto"/>
              <w:right w:val="single" w:sz="6" w:space="0" w:color="auto"/>
            </w:tcBorders>
            <w:shd w:val="clear" w:color="auto" w:fill="DBE5F1" w:themeFill="accent1" w:themeFillTint="33"/>
            <w:noWrap/>
            <w:vAlign w:val="bottom"/>
            <w:hideMark/>
          </w:tcPr>
          <w:p w:rsidR="007002AD" w:rsidRPr="00DC6D3F" w:rsidRDefault="007002AD" w:rsidP="005D122D">
            <w:pPr>
              <w:spacing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Final Outcomes Achieved</w:t>
            </w:r>
            <w:r>
              <w:rPr>
                <w:rStyle w:val="FootnoteReference"/>
                <w:rFonts w:ascii="Calibri" w:eastAsia="Times New Roman" w:hAnsi="Calibri" w:cs="Calibri"/>
                <w:b/>
                <w:color w:val="000000"/>
                <w:lang w:eastAsia="en-AU"/>
              </w:rPr>
              <w:footnoteReference w:id="18"/>
            </w:r>
          </w:p>
        </w:tc>
        <w:tc>
          <w:tcPr>
            <w:tcW w:w="1276" w:type="dxa"/>
            <w:tcBorders>
              <w:top w:val="single" w:sz="18" w:space="0" w:color="auto"/>
              <w:left w:val="single" w:sz="6" w:space="0" w:color="auto"/>
              <w:bottom w:val="single" w:sz="6" w:space="0" w:color="auto"/>
              <w:right w:val="single" w:sz="6" w:space="0" w:color="auto"/>
            </w:tcBorders>
            <w:shd w:val="clear" w:color="auto" w:fill="DBE5F1" w:themeFill="accent1" w:themeFillTint="33"/>
            <w:vAlign w:val="bottom"/>
          </w:tcPr>
          <w:p w:rsidR="007002AD" w:rsidRPr="00DC6D3F" w:rsidRDefault="007002AD" w:rsidP="005D122D">
            <w:pPr>
              <w:spacing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National</w:t>
            </w:r>
          </w:p>
        </w:tc>
        <w:tc>
          <w:tcPr>
            <w:tcW w:w="1276" w:type="dxa"/>
            <w:tcBorders>
              <w:top w:val="single" w:sz="18" w:space="0" w:color="auto"/>
              <w:left w:val="single" w:sz="6" w:space="0" w:color="auto"/>
              <w:bottom w:val="single" w:sz="6" w:space="0" w:color="auto"/>
              <w:right w:val="single" w:sz="18" w:space="0" w:color="auto"/>
            </w:tcBorders>
            <w:shd w:val="clear" w:color="auto" w:fill="DBE5F1" w:themeFill="accent1" w:themeFillTint="33"/>
            <w:noWrap/>
            <w:vAlign w:val="bottom"/>
            <w:hideMark/>
          </w:tcPr>
          <w:p w:rsidR="007002AD" w:rsidRPr="00DC6D3F" w:rsidRDefault="007002AD" w:rsidP="005D122D">
            <w:pPr>
              <w:spacing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Northern Territory</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Attendance: The participant's attendance at school or education setting improved consistently over the whole school term, or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2,454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25</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Behaviour: The participant's behaviour at school or education setting improved consistently over the whole school term, or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2,895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34</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Educational performance: The participant's educational performance improved consistently over the whole school term, or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2,463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7</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Strengthened engagement: The participant's engagement was strengthened and they remained engaged in education over the whole school term, or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1,746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2</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Engaged in employment: The participant started employment and remained in that employment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877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12</w:t>
            </w:r>
          </w:p>
        </w:tc>
      </w:tr>
      <w:tr w:rsidR="007002AD" w:rsidRPr="00DC6D3F" w:rsidTr="005D122D">
        <w:trPr>
          <w:trHeight w:val="300"/>
        </w:trPr>
        <w:tc>
          <w:tcPr>
            <w:tcW w:w="6521"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Re-engaged in education: The participant re-engaged in education over the whole school term, or for 13 weeks.</w:t>
            </w:r>
          </w:p>
        </w:tc>
        <w:tc>
          <w:tcPr>
            <w:tcW w:w="1276" w:type="dxa"/>
            <w:tcBorders>
              <w:top w:val="single" w:sz="6" w:space="0" w:color="auto"/>
              <w:left w:val="single" w:sz="6" w:space="0" w:color="auto"/>
              <w:bottom w:val="single" w:sz="6"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2,490 </w:t>
            </w:r>
          </w:p>
        </w:tc>
        <w:tc>
          <w:tcPr>
            <w:tcW w:w="1276"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11</w:t>
            </w:r>
          </w:p>
        </w:tc>
      </w:tr>
      <w:tr w:rsidR="007002AD" w:rsidRPr="00DC6D3F" w:rsidTr="005D122D">
        <w:trPr>
          <w:trHeight w:val="300"/>
        </w:trPr>
        <w:tc>
          <w:tcPr>
            <w:tcW w:w="6521"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7002AD" w:rsidRPr="00DC6D3F" w:rsidRDefault="007002AD" w:rsidP="005D122D">
            <w:pPr>
              <w:spacing w:line="240" w:lineRule="auto"/>
              <w:ind w:firstLineChars="15" w:firstLine="33"/>
              <w:rPr>
                <w:rFonts w:ascii="Calibri" w:eastAsia="Times New Roman" w:hAnsi="Calibri" w:cs="Calibri"/>
                <w:color w:val="000000"/>
                <w:lang w:eastAsia="en-AU"/>
              </w:rPr>
            </w:pPr>
            <w:r w:rsidRPr="00DC6D3F">
              <w:rPr>
                <w:rFonts w:ascii="Calibri" w:eastAsia="Times New Roman" w:hAnsi="Calibri" w:cs="Calibri"/>
                <w:color w:val="000000"/>
                <w:lang w:eastAsia="en-AU"/>
              </w:rPr>
              <w:t>Commenced in education: The participant commenced in education.</w:t>
            </w:r>
          </w:p>
        </w:tc>
        <w:tc>
          <w:tcPr>
            <w:tcW w:w="1276" w:type="dxa"/>
            <w:tcBorders>
              <w:top w:val="single" w:sz="6" w:space="0" w:color="auto"/>
              <w:left w:val="single" w:sz="6" w:space="0" w:color="auto"/>
              <w:bottom w:val="single" w:sz="18" w:space="0" w:color="auto"/>
              <w:right w:val="single" w:sz="6" w:space="0" w:color="auto"/>
            </w:tcBorders>
            <w:vAlign w:val="bottom"/>
          </w:tcPr>
          <w:p w:rsidR="007002AD" w:rsidRDefault="007002AD" w:rsidP="005D122D">
            <w:pPr>
              <w:jc w:val="right"/>
              <w:rPr>
                <w:rFonts w:ascii="Calibri" w:hAnsi="Calibri" w:cs="Calibri"/>
                <w:color w:val="000000"/>
              </w:rPr>
            </w:pPr>
            <w:r>
              <w:rPr>
                <w:rFonts w:ascii="Calibri" w:hAnsi="Calibri" w:cs="Calibri"/>
                <w:color w:val="000000"/>
              </w:rPr>
              <w:t xml:space="preserve">             3,391 </w:t>
            </w:r>
          </w:p>
        </w:tc>
        <w:tc>
          <w:tcPr>
            <w:tcW w:w="1276"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7002AD" w:rsidRDefault="007002AD" w:rsidP="005D122D">
            <w:pPr>
              <w:jc w:val="right"/>
              <w:rPr>
                <w:rFonts w:ascii="Calibri" w:hAnsi="Calibri" w:cs="Calibri"/>
                <w:color w:val="000000"/>
              </w:rPr>
            </w:pPr>
            <w:r>
              <w:rPr>
                <w:rFonts w:ascii="Calibri" w:hAnsi="Calibri" w:cs="Calibri"/>
                <w:color w:val="000000"/>
              </w:rPr>
              <w:t>29</w:t>
            </w:r>
          </w:p>
        </w:tc>
      </w:tr>
    </w:tbl>
    <w:p w:rsidR="007002AD" w:rsidRDefault="007002AD" w:rsidP="007002AD">
      <w:pPr>
        <w:spacing w:line="240" w:lineRule="auto"/>
        <w:rPr>
          <w:lang w:eastAsia="en-AU"/>
        </w:rPr>
      </w:pPr>
    </w:p>
    <w:tbl>
      <w:tblPr>
        <w:tblStyle w:val="TableGrid"/>
        <w:tblW w:w="0" w:type="auto"/>
        <w:tblLayout w:type="fixed"/>
        <w:tblLook w:val="04A0" w:firstRow="1" w:lastRow="0" w:firstColumn="1" w:lastColumn="0" w:noHBand="0" w:noVBand="1"/>
      </w:tblPr>
      <w:tblGrid>
        <w:gridCol w:w="5353"/>
        <w:gridCol w:w="1843"/>
        <w:gridCol w:w="1843"/>
      </w:tblGrid>
      <w:tr w:rsidR="007002AD" w:rsidTr="005D122D">
        <w:tc>
          <w:tcPr>
            <w:tcW w:w="5353" w:type="dxa"/>
            <w:tcBorders>
              <w:top w:val="single" w:sz="18" w:space="0" w:color="auto"/>
              <w:left w:val="single" w:sz="18" w:space="0" w:color="auto"/>
            </w:tcBorders>
            <w:shd w:val="clear" w:color="auto" w:fill="C6D9F1" w:themeFill="text2" w:themeFillTint="33"/>
          </w:tcPr>
          <w:p w:rsidR="007002AD" w:rsidRDefault="007002AD" w:rsidP="005D122D">
            <w:pPr>
              <w:jc w:val="center"/>
              <w:rPr>
                <w:rFonts w:ascii="Calibri" w:eastAsia="Times New Roman" w:hAnsi="Calibri" w:cs="Calibri"/>
                <w:b/>
                <w:color w:val="000000"/>
                <w:lang w:eastAsia="en-AU"/>
              </w:rPr>
            </w:pPr>
          </w:p>
        </w:tc>
        <w:tc>
          <w:tcPr>
            <w:tcW w:w="1843" w:type="dxa"/>
            <w:tcBorders>
              <w:top w:val="single" w:sz="18" w:space="0" w:color="auto"/>
              <w:right w:val="inset" w:sz="6" w:space="0" w:color="auto"/>
            </w:tcBorders>
            <w:shd w:val="clear" w:color="auto" w:fill="C6D9F1" w:themeFill="text2" w:themeFillTint="33"/>
          </w:tcPr>
          <w:p w:rsidR="007002AD" w:rsidRDefault="007002AD" w:rsidP="005D122D">
            <w:pPr>
              <w:jc w:val="center"/>
              <w:rPr>
                <w:rFonts w:ascii="Calibri" w:eastAsia="Times New Roman" w:hAnsi="Calibri" w:cs="Calibri"/>
                <w:b/>
                <w:color w:val="000000"/>
                <w:lang w:eastAsia="en-AU"/>
              </w:rPr>
            </w:pPr>
            <w:r>
              <w:rPr>
                <w:rFonts w:ascii="Calibri" w:eastAsia="Times New Roman" w:hAnsi="Calibri" w:cs="Calibri"/>
                <w:b/>
                <w:color w:val="000000"/>
                <w:lang w:eastAsia="en-AU"/>
              </w:rPr>
              <w:t>National</w:t>
            </w:r>
          </w:p>
        </w:tc>
        <w:tc>
          <w:tcPr>
            <w:tcW w:w="1843" w:type="dxa"/>
            <w:tcBorders>
              <w:top w:val="single" w:sz="18" w:space="0" w:color="auto"/>
              <w:left w:val="inset" w:sz="6" w:space="0" w:color="auto"/>
              <w:right w:val="single" w:sz="18" w:space="0" w:color="auto"/>
            </w:tcBorders>
            <w:shd w:val="clear" w:color="auto" w:fill="C6D9F1" w:themeFill="text2" w:themeFillTint="33"/>
          </w:tcPr>
          <w:p w:rsidR="007002AD" w:rsidRPr="009F703B" w:rsidRDefault="007002AD" w:rsidP="005D122D">
            <w:pPr>
              <w:spacing w:after="200" w:line="276"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Northern Territory</w:t>
            </w:r>
          </w:p>
        </w:tc>
      </w:tr>
      <w:tr w:rsidR="007002AD" w:rsidTr="005D122D">
        <w:tc>
          <w:tcPr>
            <w:tcW w:w="5353" w:type="dxa"/>
            <w:tcBorders>
              <w:left w:val="single" w:sz="18" w:space="0" w:color="auto"/>
            </w:tcBorders>
          </w:tcPr>
          <w:p w:rsidR="007002AD" w:rsidRDefault="007002AD" w:rsidP="005D122D">
            <w:pPr>
              <w:rPr>
                <w:lang w:eastAsia="en-AU"/>
              </w:rPr>
            </w:pPr>
            <w:r>
              <w:rPr>
                <w:lang w:eastAsia="en-AU"/>
              </w:rPr>
              <w:t>Outreach and Re-engagement Activities held</w:t>
            </w:r>
          </w:p>
        </w:tc>
        <w:tc>
          <w:tcPr>
            <w:tcW w:w="1843" w:type="dxa"/>
            <w:tcBorders>
              <w:right w:val="inset" w:sz="6" w:space="0" w:color="auto"/>
            </w:tcBorders>
          </w:tcPr>
          <w:p w:rsidR="007002AD" w:rsidRDefault="007002AD" w:rsidP="005D122D">
            <w:pPr>
              <w:jc w:val="center"/>
              <w:rPr>
                <w:lang w:eastAsia="en-AU"/>
              </w:rPr>
            </w:pPr>
            <w:r>
              <w:rPr>
                <w:lang w:eastAsia="en-AU"/>
              </w:rPr>
              <w:t>3,578</w:t>
            </w:r>
          </w:p>
          <w:p w:rsidR="007002AD" w:rsidRDefault="007002AD" w:rsidP="005D122D">
            <w:pPr>
              <w:jc w:val="center"/>
              <w:rPr>
                <w:lang w:eastAsia="en-AU"/>
              </w:rPr>
            </w:pPr>
            <w:r>
              <w:rPr>
                <w:lang w:eastAsia="en-AU"/>
              </w:rPr>
              <w:t>(125,900 young people attending)</w:t>
            </w:r>
          </w:p>
        </w:tc>
        <w:tc>
          <w:tcPr>
            <w:tcW w:w="1843" w:type="dxa"/>
            <w:tcBorders>
              <w:left w:val="inset" w:sz="6" w:space="0" w:color="auto"/>
              <w:right w:val="single" w:sz="18" w:space="0" w:color="auto"/>
            </w:tcBorders>
          </w:tcPr>
          <w:p w:rsidR="007002AD" w:rsidRDefault="007002AD" w:rsidP="005D122D">
            <w:pPr>
              <w:jc w:val="center"/>
              <w:rPr>
                <w:lang w:eastAsia="en-AU"/>
              </w:rPr>
            </w:pPr>
            <w:r>
              <w:rPr>
                <w:lang w:eastAsia="en-AU"/>
              </w:rPr>
              <w:t>73</w:t>
            </w:r>
          </w:p>
          <w:p w:rsidR="007002AD" w:rsidRDefault="007002AD" w:rsidP="005D122D">
            <w:pPr>
              <w:jc w:val="center"/>
              <w:rPr>
                <w:lang w:eastAsia="en-AU"/>
              </w:rPr>
            </w:pPr>
            <w:r>
              <w:rPr>
                <w:lang w:eastAsia="en-AU"/>
              </w:rPr>
              <w:t>(3,837 young people attending)</w:t>
            </w:r>
          </w:p>
        </w:tc>
      </w:tr>
      <w:tr w:rsidR="007002AD" w:rsidTr="005D122D">
        <w:tc>
          <w:tcPr>
            <w:tcW w:w="5353" w:type="dxa"/>
            <w:tcBorders>
              <w:left w:val="single" w:sz="18" w:space="0" w:color="auto"/>
              <w:bottom w:val="single" w:sz="18" w:space="0" w:color="auto"/>
            </w:tcBorders>
          </w:tcPr>
          <w:p w:rsidR="007002AD" w:rsidRDefault="007002AD" w:rsidP="005D122D">
            <w:pPr>
              <w:rPr>
                <w:lang w:eastAsia="en-AU"/>
              </w:rPr>
            </w:pPr>
            <w:r>
              <w:rPr>
                <w:lang w:eastAsia="en-AU"/>
              </w:rPr>
              <w:t>Strengthening Services in the Region Activities held</w:t>
            </w:r>
          </w:p>
        </w:tc>
        <w:tc>
          <w:tcPr>
            <w:tcW w:w="1843" w:type="dxa"/>
            <w:tcBorders>
              <w:bottom w:val="single" w:sz="18" w:space="0" w:color="auto"/>
              <w:right w:val="inset" w:sz="6" w:space="0" w:color="auto"/>
            </w:tcBorders>
          </w:tcPr>
          <w:p w:rsidR="007002AD" w:rsidRDefault="007002AD" w:rsidP="005D122D">
            <w:pPr>
              <w:jc w:val="center"/>
              <w:rPr>
                <w:lang w:eastAsia="en-AU"/>
              </w:rPr>
            </w:pPr>
            <w:r>
              <w:rPr>
                <w:lang w:eastAsia="en-AU"/>
              </w:rPr>
              <w:t>3,049</w:t>
            </w:r>
          </w:p>
        </w:tc>
        <w:tc>
          <w:tcPr>
            <w:tcW w:w="1843" w:type="dxa"/>
            <w:tcBorders>
              <w:left w:val="inset" w:sz="6" w:space="0" w:color="auto"/>
              <w:bottom w:val="single" w:sz="18" w:space="0" w:color="auto"/>
              <w:right w:val="single" w:sz="18" w:space="0" w:color="auto"/>
            </w:tcBorders>
          </w:tcPr>
          <w:p w:rsidR="007002AD" w:rsidRDefault="007002AD" w:rsidP="005D122D">
            <w:pPr>
              <w:jc w:val="center"/>
              <w:rPr>
                <w:lang w:eastAsia="en-AU"/>
              </w:rPr>
            </w:pPr>
            <w:r>
              <w:rPr>
                <w:lang w:eastAsia="en-AU"/>
              </w:rPr>
              <w:t>37</w:t>
            </w:r>
          </w:p>
        </w:tc>
      </w:tr>
    </w:tbl>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Pr="00BA2B0A" w:rsidRDefault="007002AD" w:rsidP="007002AD">
      <w:pPr>
        <w:pStyle w:val="Heading1"/>
        <w:spacing w:before="120"/>
        <w:rPr>
          <w:rFonts w:asciiTheme="minorHAnsi" w:hAnsiTheme="minorHAnsi" w:cstheme="minorHAnsi"/>
          <w:color w:val="1F497D" w:themeColor="text2"/>
          <w:sz w:val="24"/>
          <w:szCs w:val="24"/>
          <w:u w:val="single"/>
          <w:lang w:eastAsia="en-AU"/>
        </w:rPr>
      </w:pPr>
      <w:bookmarkStart w:id="20" w:name="_Toc294619490"/>
      <w:r w:rsidRPr="00BA2B0A">
        <w:rPr>
          <w:rFonts w:asciiTheme="minorHAnsi" w:hAnsiTheme="minorHAnsi" w:cstheme="minorHAnsi"/>
          <w:color w:val="1F497D" w:themeColor="text2"/>
          <w:sz w:val="24"/>
          <w:szCs w:val="24"/>
          <w:u w:val="single"/>
          <w:lang w:eastAsia="en-AU"/>
        </w:rPr>
        <w:lastRenderedPageBreak/>
        <w:t>Indigenous</w:t>
      </w:r>
      <w:bookmarkEnd w:id="20"/>
    </w:p>
    <w:p w:rsidR="007002AD" w:rsidRDefault="007002AD" w:rsidP="007002AD">
      <w:pPr>
        <w:spacing w:line="240" w:lineRule="auto"/>
        <w:rPr>
          <w:sz w:val="23"/>
          <w:szCs w:val="23"/>
        </w:rPr>
      </w:pPr>
    </w:p>
    <w:p w:rsidR="007002AD" w:rsidRDefault="007002AD" w:rsidP="007002AD">
      <w:pPr>
        <w:spacing w:line="240" w:lineRule="auto"/>
        <w:rPr>
          <w:lang w:eastAsia="en-AU"/>
        </w:rPr>
      </w:pPr>
      <w:r w:rsidRPr="00B348B4">
        <w:rPr>
          <w:noProof/>
          <w:sz w:val="23"/>
          <w:szCs w:val="23"/>
          <w:lang w:eastAsia="en-AU"/>
        </w:rPr>
        <w:drawing>
          <wp:anchor distT="0" distB="0" distL="114300" distR="114300" simplePos="0" relativeHeight="251668480" behindDoc="0" locked="0" layoutInCell="1" allowOverlap="1">
            <wp:simplePos x="0" y="0"/>
            <wp:positionH relativeFrom="column">
              <wp:posOffset>19050</wp:posOffset>
            </wp:positionH>
            <wp:positionV relativeFrom="paragraph">
              <wp:posOffset>-2540</wp:posOffset>
            </wp:positionV>
            <wp:extent cx="3267075" cy="2781300"/>
            <wp:effectExtent l="19050" t="0" r="9525" b="0"/>
            <wp:wrapSquare wrapText="right"/>
            <wp:docPr id="3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Ind w:w="108" w:type="dxa"/>
        <w:tblLayout w:type="fixed"/>
        <w:tblLook w:val="04A0" w:firstRow="1" w:lastRow="0" w:firstColumn="1" w:lastColumn="0" w:noHBand="0" w:noVBand="1"/>
      </w:tblPr>
      <w:tblGrid>
        <w:gridCol w:w="1560"/>
        <w:gridCol w:w="992"/>
        <w:gridCol w:w="1134"/>
      </w:tblGrid>
      <w:tr w:rsidR="007002AD" w:rsidTr="005D122D">
        <w:tc>
          <w:tcPr>
            <w:tcW w:w="1560" w:type="dxa"/>
            <w:shd w:val="clear" w:color="auto" w:fill="C6D9F1" w:themeFill="text2" w:themeFillTint="33"/>
          </w:tcPr>
          <w:p w:rsidR="007002AD" w:rsidRPr="00B4134D" w:rsidRDefault="007002AD" w:rsidP="005D122D">
            <w:pPr>
              <w:ind w:right="-188"/>
              <w:jc w:val="center"/>
              <w:rPr>
                <w:b/>
              </w:rPr>
            </w:pPr>
          </w:p>
        </w:tc>
        <w:tc>
          <w:tcPr>
            <w:tcW w:w="992" w:type="dxa"/>
            <w:shd w:val="clear" w:color="auto" w:fill="C6D9F1" w:themeFill="text2" w:themeFillTint="33"/>
          </w:tcPr>
          <w:p w:rsidR="007002AD" w:rsidRPr="00B4134D" w:rsidRDefault="007002AD" w:rsidP="005D122D">
            <w:pPr>
              <w:ind w:right="-95"/>
              <w:jc w:val="center"/>
              <w:rPr>
                <w:b/>
              </w:rPr>
            </w:pPr>
            <w:r w:rsidRPr="00B4134D">
              <w:rPr>
                <w:b/>
              </w:rPr>
              <w:t>National</w:t>
            </w:r>
          </w:p>
        </w:tc>
        <w:tc>
          <w:tcPr>
            <w:tcW w:w="1134" w:type="dxa"/>
            <w:shd w:val="clear" w:color="auto" w:fill="C6D9F1" w:themeFill="text2" w:themeFillTint="33"/>
          </w:tcPr>
          <w:p w:rsidR="007002AD" w:rsidRPr="00B4134D" w:rsidRDefault="007002AD" w:rsidP="005D122D">
            <w:pPr>
              <w:ind w:left="-125" w:right="-142"/>
              <w:jc w:val="center"/>
              <w:rPr>
                <w:b/>
              </w:rPr>
            </w:pPr>
            <w:r>
              <w:rPr>
                <w:b/>
              </w:rPr>
              <w:t>Northern Territory</w:t>
            </w:r>
          </w:p>
        </w:tc>
      </w:tr>
      <w:tr w:rsidR="007002AD" w:rsidTr="005D122D">
        <w:tc>
          <w:tcPr>
            <w:tcW w:w="1560" w:type="dxa"/>
          </w:tcPr>
          <w:p w:rsidR="007002AD" w:rsidRDefault="007002AD" w:rsidP="005D122D">
            <w:pPr>
              <w:ind w:right="-188"/>
            </w:pPr>
            <w:r>
              <w:t>Indigenous Participants</w:t>
            </w:r>
          </w:p>
        </w:tc>
        <w:tc>
          <w:tcPr>
            <w:tcW w:w="992" w:type="dxa"/>
            <w:vAlign w:val="bottom"/>
          </w:tcPr>
          <w:p w:rsidR="007002AD" w:rsidRDefault="007002AD" w:rsidP="005D122D">
            <w:pPr>
              <w:jc w:val="center"/>
              <w:rPr>
                <w:rFonts w:ascii="Calibri" w:hAnsi="Calibri" w:cs="Calibri"/>
                <w:color w:val="000000"/>
              </w:rPr>
            </w:pPr>
            <w:r>
              <w:rPr>
                <w:rFonts w:ascii="Calibri" w:hAnsi="Calibri" w:cs="Calibri"/>
                <w:color w:val="000000"/>
              </w:rPr>
              <w:t>4,354</w:t>
            </w:r>
          </w:p>
        </w:tc>
        <w:tc>
          <w:tcPr>
            <w:tcW w:w="1134" w:type="dxa"/>
            <w:vAlign w:val="bottom"/>
          </w:tcPr>
          <w:p w:rsidR="007002AD" w:rsidRDefault="007002AD" w:rsidP="005D122D">
            <w:pPr>
              <w:jc w:val="center"/>
              <w:rPr>
                <w:rFonts w:ascii="Calibri" w:hAnsi="Calibri" w:cs="Calibri"/>
                <w:color w:val="000000"/>
              </w:rPr>
            </w:pPr>
            <w:r>
              <w:rPr>
                <w:rFonts w:ascii="Calibri" w:hAnsi="Calibri" w:cs="Calibri"/>
                <w:color w:val="000000"/>
              </w:rPr>
              <w:t>368</w:t>
            </w:r>
          </w:p>
        </w:tc>
      </w:tr>
      <w:tr w:rsidR="007002AD" w:rsidTr="005D122D">
        <w:tc>
          <w:tcPr>
            <w:tcW w:w="1560" w:type="dxa"/>
          </w:tcPr>
          <w:p w:rsidR="007002AD" w:rsidRDefault="007002AD" w:rsidP="005D122D">
            <w:pPr>
              <w:ind w:right="-188"/>
            </w:pPr>
            <w:r>
              <w:t>All Participants</w:t>
            </w:r>
          </w:p>
        </w:tc>
        <w:tc>
          <w:tcPr>
            <w:tcW w:w="992" w:type="dxa"/>
            <w:vAlign w:val="bottom"/>
          </w:tcPr>
          <w:p w:rsidR="007002AD" w:rsidRDefault="007002AD" w:rsidP="005D122D">
            <w:pPr>
              <w:jc w:val="center"/>
              <w:rPr>
                <w:rFonts w:ascii="Calibri" w:hAnsi="Calibri" w:cs="Calibri"/>
                <w:color w:val="000000"/>
              </w:rPr>
            </w:pPr>
            <w:r>
              <w:rPr>
                <w:rFonts w:ascii="Calibri" w:hAnsi="Calibri" w:cs="Calibri"/>
                <w:color w:val="000000"/>
              </w:rPr>
              <w:t>24,738</w:t>
            </w:r>
          </w:p>
        </w:tc>
        <w:tc>
          <w:tcPr>
            <w:tcW w:w="1134" w:type="dxa"/>
            <w:vAlign w:val="bottom"/>
          </w:tcPr>
          <w:p w:rsidR="007002AD" w:rsidRDefault="007002AD" w:rsidP="005D122D">
            <w:pPr>
              <w:jc w:val="center"/>
              <w:rPr>
                <w:rFonts w:ascii="Calibri" w:hAnsi="Calibri" w:cs="Calibri"/>
                <w:color w:val="000000"/>
              </w:rPr>
            </w:pPr>
            <w:r>
              <w:rPr>
                <w:rFonts w:ascii="Calibri" w:hAnsi="Calibri" w:cs="Calibri"/>
                <w:color w:val="000000"/>
              </w:rPr>
              <w:t>510</w:t>
            </w:r>
          </w:p>
        </w:tc>
      </w:tr>
      <w:tr w:rsidR="007002AD" w:rsidTr="005D122D">
        <w:tc>
          <w:tcPr>
            <w:tcW w:w="1560" w:type="dxa"/>
          </w:tcPr>
          <w:p w:rsidR="007002AD" w:rsidRDefault="007002AD" w:rsidP="005D122D">
            <w:pPr>
              <w:ind w:right="-188"/>
            </w:pPr>
            <w:r>
              <w:t>% Indigenous</w:t>
            </w:r>
          </w:p>
        </w:tc>
        <w:tc>
          <w:tcPr>
            <w:tcW w:w="992" w:type="dxa"/>
            <w:vAlign w:val="bottom"/>
          </w:tcPr>
          <w:p w:rsidR="007002AD" w:rsidRDefault="007002AD" w:rsidP="005D122D">
            <w:pPr>
              <w:jc w:val="center"/>
              <w:rPr>
                <w:rFonts w:ascii="Calibri" w:hAnsi="Calibri" w:cs="Calibri"/>
                <w:color w:val="000000"/>
              </w:rPr>
            </w:pPr>
            <w:r>
              <w:rPr>
                <w:rFonts w:ascii="Calibri" w:hAnsi="Calibri" w:cs="Calibri"/>
                <w:color w:val="000000"/>
              </w:rPr>
              <w:t>18%</w:t>
            </w:r>
          </w:p>
        </w:tc>
        <w:tc>
          <w:tcPr>
            <w:tcW w:w="1134" w:type="dxa"/>
            <w:vAlign w:val="bottom"/>
          </w:tcPr>
          <w:p w:rsidR="007002AD" w:rsidRDefault="007002AD" w:rsidP="005D122D">
            <w:pPr>
              <w:jc w:val="center"/>
              <w:rPr>
                <w:rFonts w:ascii="Calibri" w:hAnsi="Calibri" w:cs="Calibri"/>
                <w:color w:val="000000"/>
              </w:rPr>
            </w:pPr>
            <w:r>
              <w:rPr>
                <w:rFonts w:ascii="Calibri" w:hAnsi="Calibri" w:cs="Calibri"/>
                <w:color w:val="000000"/>
              </w:rPr>
              <w:t>72%</w:t>
            </w:r>
          </w:p>
        </w:tc>
      </w:tr>
    </w:tbl>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p>
    <w:p w:rsidR="007002AD" w:rsidRDefault="007002AD" w:rsidP="007002AD">
      <w:pPr>
        <w:spacing w:line="240" w:lineRule="auto"/>
        <w:rPr>
          <w:lang w:eastAsia="en-AU"/>
        </w:rPr>
      </w:pPr>
      <w:r w:rsidRPr="00B348B4">
        <w:rPr>
          <w:noProof/>
          <w:lang w:eastAsia="en-AU"/>
        </w:rPr>
        <w:drawing>
          <wp:inline distT="0" distB="0" distL="0" distR="0">
            <wp:extent cx="5000625" cy="1533525"/>
            <wp:effectExtent l="19050" t="0" r="9525" b="0"/>
            <wp:docPr id="3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002AD" w:rsidRDefault="007002AD" w:rsidP="007002AD">
      <w:pPr>
        <w:spacing w:line="240" w:lineRule="auto"/>
        <w:rPr>
          <w:rFonts w:cstheme="minorHAnsi"/>
        </w:rPr>
      </w:pPr>
    </w:p>
    <w:p w:rsidR="0045514D" w:rsidRPr="004B0FFC" w:rsidRDefault="0045514D" w:rsidP="007002AD">
      <w:pPr>
        <w:pStyle w:val="Heading1"/>
        <w:spacing w:before="240"/>
        <w:rPr>
          <w:b w:val="0"/>
          <w:u w:val="single"/>
        </w:rPr>
      </w:pPr>
    </w:p>
    <w:sectPr w:rsidR="0045514D" w:rsidRPr="004B0FFC" w:rsidSect="00700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95" w:rsidRDefault="00527695" w:rsidP="008F1C21">
      <w:pPr>
        <w:spacing w:line="240" w:lineRule="auto"/>
      </w:pPr>
      <w:r>
        <w:separator/>
      </w:r>
    </w:p>
  </w:endnote>
  <w:endnote w:type="continuationSeparator" w:id="0">
    <w:p w:rsidR="00527695" w:rsidRDefault="00527695"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5" w:rsidRPr="000B0A51" w:rsidRDefault="00527695" w:rsidP="009D48D6">
    <w:pPr>
      <w:pStyle w:val="Footer"/>
    </w:pPr>
    <w:r w:rsidRPr="009D48D6">
      <w:t>Page</w:t>
    </w:r>
    <w:r w:rsidRPr="00C23487">
      <w:t xml:space="preserve"> </w:t>
    </w:r>
    <w:sdt>
      <w:sdtPr>
        <w:id w:val="11230736"/>
        <w:docPartObj>
          <w:docPartGallery w:val="Page Numbers (Bottom of Page)"/>
          <w:docPartUnique/>
        </w:docPartObj>
      </w:sdtPr>
      <w:sdtEndPr/>
      <w:sdtContent>
        <w:r w:rsidR="003B4CC0">
          <w:fldChar w:fldCharType="begin"/>
        </w:r>
        <w:r w:rsidR="003B4CC0">
          <w:instrText xml:space="preserve"> PAGE   \* MERGEFORMAT </w:instrText>
        </w:r>
        <w:r w:rsidR="003B4CC0">
          <w:fldChar w:fldCharType="separate"/>
        </w:r>
        <w:r w:rsidR="003B4CC0">
          <w:rPr>
            <w:noProof/>
          </w:rPr>
          <w:t>42</w:t>
        </w:r>
        <w:r w:rsidR="003B4CC0">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5" w:rsidRDefault="00527695" w:rsidP="008F1C21">
    <w:pPr>
      <w:pStyle w:val="MLWGHeader"/>
      <w:shd w:val="clear" w:color="auto" w:fill="004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5" w:rsidRDefault="00527695">
    <w:pPr>
      <w:pStyle w:val="Footer"/>
    </w:pPr>
    <w:r>
      <w:t xml:space="preserve">Page </w:t>
    </w:r>
    <w:sdt>
      <w:sdtPr>
        <w:id w:val="2703377"/>
        <w:docPartObj>
          <w:docPartGallery w:val="Page Numbers (Bottom of Page)"/>
          <w:docPartUnique/>
        </w:docPartObj>
      </w:sdtPr>
      <w:sdtEndPr/>
      <w:sdtContent>
        <w:r w:rsidR="003B4CC0">
          <w:fldChar w:fldCharType="begin"/>
        </w:r>
        <w:r w:rsidR="003B4CC0">
          <w:instrText xml:space="preserve"> PAGE  \* Arabic  \* MERGEFORMAT </w:instrText>
        </w:r>
        <w:r w:rsidR="003B4CC0">
          <w:fldChar w:fldCharType="separate"/>
        </w:r>
        <w:r w:rsidR="003B4CC0">
          <w:rPr>
            <w:noProof/>
          </w:rPr>
          <w:t>1</w:t>
        </w:r>
        <w:r w:rsidR="003B4CC0">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4172"/>
      <w:docPartObj>
        <w:docPartGallery w:val="Page Numbers (Bottom of Page)"/>
        <w:docPartUnique/>
      </w:docPartObj>
    </w:sdtPr>
    <w:sdtEndPr/>
    <w:sdtContent>
      <w:p w:rsidR="00527695" w:rsidRDefault="003B4CC0">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527695" w:rsidRDefault="00527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95" w:rsidRDefault="00527695" w:rsidP="008F1C21">
      <w:pPr>
        <w:spacing w:line="240" w:lineRule="auto"/>
      </w:pPr>
      <w:r>
        <w:separator/>
      </w:r>
    </w:p>
  </w:footnote>
  <w:footnote w:type="continuationSeparator" w:id="0">
    <w:p w:rsidR="00527695" w:rsidRDefault="00527695" w:rsidP="008F1C21">
      <w:pPr>
        <w:spacing w:line="240" w:lineRule="auto"/>
      </w:pPr>
      <w:r>
        <w:continuationSeparator/>
      </w:r>
    </w:p>
  </w:footnote>
  <w:footnote w:id="1">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2010 Participation target measure</w:t>
      </w:r>
    </w:p>
  </w:footnote>
  <w:footnote w:id="2">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3">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4">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5">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2010 Participation target measure</w:t>
      </w:r>
    </w:p>
  </w:footnote>
  <w:footnote w:id="6">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7">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w:t>
      </w:r>
      <w:proofErr w:type="gramStart"/>
      <w:r w:rsidRPr="0020066C">
        <w:rPr>
          <w:sz w:val="18"/>
          <w:szCs w:val="18"/>
        </w:rPr>
        <w:t>To monitor annual changes – reported for calendar year VET completions, age to be determined.</w:t>
      </w:r>
      <w:proofErr w:type="gramEnd"/>
    </w:p>
  </w:footnote>
  <w:footnote w:id="8">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w:t>
      </w:r>
      <w:proofErr w:type="gramStart"/>
      <w:r w:rsidRPr="0020066C">
        <w:rPr>
          <w:sz w:val="18"/>
          <w:szCs w:val="18"/>
        </w:rPr>
        <w:t>As per Schedule B.</w:t>
      </w:r>
      <w:proofErr w:type="gramEnd"/>
      <w:r w:rsidRPr="0020066C">
        <w:rPr>
          <w:sz w:val="18"/>
          <w:szCs w:val="18"/>
        </w:rPr>
        <w:t xml:space="preserve"> </w:t>
      </w:r>
      <w:proofErr w:type="gramStart"/>
      <w:r w:rsidRPr="0020066C">
        <w:rPr>
          <w:sz w:val="18"/>
          <w:szCs w:val="18"/>
        </w:rPr>
        <w:t>To monitor annual changes – reported for calendar year VET completions, age to be determined.</w:t>
      </w:r>
      <w:proofErr w:type="gramEnd"/>
    </w:p>
  </w:footnote>
  <w:footnote w:id="9">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NP YAT Table 3 (</w:t>
      </w:r>
      <w:proofErr w:type="spellStart"/>
      <w:r w:rsidRPr="0020066C">
        <w:rPr>
          <w:sz w:val="18"/>
          <w:szCs w:val="18"/>
        </w:rPr>
        <w:t>p14</w:t>
      </w:r>
      <w:proofErr w:type="spellEnd"/>
      <w:r w:rsidRPr="0020066C">
        <w:rPr>
          <w:sz w:val="18"/>
          <w:szCs w:val="18"/>
        </w:rPr>
        <w:t>)</w:t>
      </w:r>
    </w:p>
  </w:footnote>
  <w:footnote w:id="10">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Pr>
          <w:sz w:val="18"/>
          <w:szCs w:val="18"/>
        </w:rPr>
        <w:t xml:space="preserve"> </w:t>
      </w:r>
      <w:proofErr w:type="gramStart"/>
      <w:r>
        <w:rPr>
          <w:sz w:val="18"/>
          <w:szCs w:val="18"/>
        </w:rPr>
        <w:t>As per Schedule B.</w:t>
      </w:r>
      <w:proofErr w:type="gramEnd"/>
      <w:r>
        <w:rPr>
          <w:sz w:val="18"/>
          <w:szCs w:val="18"/>
        </w:rPr>
        <w:t xml:space="preserve"> This section will be populated by </w:t>
      </w:r>
      <w:proofErr w:type="spellStart"/>
      <w:r>
        <w:rPr>
          <w:sz w:val="18"/>
          <w:szCs w:val="18"/>
        </w:rPr>
        <w:t>DEEWR</w:t>
      </w:r>
      <w:proofErr w:type="spellEnd"/>
      <w:r>
        <w:rPr>
          <w:sz w:val="18"/>
          <w:szCs w:val="18"/>
        </w:rPr>
        <w:t xml:space="preserve"> pending data availability.  This may result in this information being part of the August addendum. </w:t>
      </w:r>
    </w:p>
  </w:footnote>
  <w:footnote w:id="11">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12">
    <w:p w:rsidR="00527695" w:rsidRPr="0020066C" w:rsidRDefault="00527695" w:rsidP="007002AD">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13">
    <w:p w:rsidR="00527695" w:rsidRDefault="00527695" w:rsidP="007002AD">
      <w:pPr>
        <w:pStyle w:val="FootnoteText"/>
      </w:pPr>
      <w:r w:rsidRPr="0020066C">
        <w:rPr>
          <w:rStyle w:val="FootnoteReference"/>
          <w:rFonts w:eastAsiaTheme="majorEastAsia"/>
          <w:sz w:val="18"/>
          <w:szCs w:val="18"/>
        </w:rPr>
        <w:footnoteRef/>
      </w:r>
      <w:r w:rsidRPr="0020066C">
        <w:rPr>
          <w:sz w:val="18"/>
          <w:szCs w:val="18"/>
        </w:rPr>
        <w:t xml:space="preserve"> As per Schedule B</w:t>
      </w:r>
      <w:r>
        <w:rPr>
          <w:sz w:val="18"/>
          <w:szCs w:val="18"/>
        </w:rPr>
        <w:t xml:space="preserve">- This information is to be provided under Part B – Indigenous Reporting </w:t>
      </w:r>
    </w:p>
  </w:footnote>
  <w:footnote w:id="14">
    <w:p w:rsidR="00527695" w:rsidRPr="00363409" w:rsidRDefault="00527695" w:rsidP="005B142B">
      <w:pPr>
        <w:pStyle w:val="FootnoteText"/>
      </w:pPr>
      <w:r>
        <w:rPr>
          <w:rStyle w:val="FootnoteReference"/>
        </w:rPr>
        <w:footnoteRef/>
      </w:r>
      <w:r>
        <w:t xml:space="preserve"> </w:t>
      </w:r>
      <w:r w:rsidRPr="00E12A7E">
        <w:t>In Victoria, the Partnership Brokers program is delivered through the Victorian Government’s Local Learning and Employment Network (</w:t>
      </w:r>
      <w:proofErr w:type="spellStart"/>
      <w:r w:rsidRPr="00E12A7E">
        <w:t>LLEN</w:t>
      </w:r>
      <w:proofErr w:type="spellEnd"/>
      <w:r w:rsidRPr="00E12A7E">
        <w:t>) and is managed by the Victorian Department o</w:t>
      </w:r>
      <w:r>
        <w:t xml:space="preserve">f Education and Early Childhood </w:t>
      </w:r>
      <w:r w:rsidRPr="0000354D">
        <w:t>Development.</w:t>
      </w:r>
      <w:r w:rsidRPr="00B34977">
        <w:rPr>
          <w:color w:val="0070C0"/>
        </w:rPr>
        <w:t xml:space="preserve"> </w:t>
      </w:r>
    </w:p>
  </w:footnote>
  <w:footnote w:id="15">
    <w:p w:rsidR="00527695" w:rsidRDefault="00527695" w:rsidP="005B142B">
      <w:pPr>
        <w:pStyle w:val="FootnoteText"/>
      </w:pPr>
      <w:r>
        <w:rPr>
          <w:rStyle w:val="FootnoteReference"/>
        </w:rPr>
        <w:footnoteRef/>
      </w:r>
      <w:r>
        <w:t xml:space="preserve"> Data cited is accurate as at 12 April 2011.</w:t>
      </w:r>
    </w:p>
  </w:footnote>
  <w:footnote w:id="16">
    <w:p w:rsidR="00527695" w:rsidRPr="003F2D42" w:rsidRDefault="00527695" w:rsidP="005B142B">
      <w:pPr>
        <w:pStyle w:val="FootnoteText"/>
        <w:rPr>
          <w:rFonts w:ascii="Calibri" w:hAnsi="Calibri" w:cs="Calibri"/>
          <w:sz w:val="16"/>
          <w:szCs w:val="16"/>
        </w:rPr>
      </w:pPr>
      <w:r w:rsidRPr="003F2D42">
        <w:rPr>
          <w:rStyle w:val="FootnoteReference"/>
        </w:rPr>
        <w:footnoteRef/>
      </w:r>
      <w:r w:rsidRPr="003F2D42">
        <w:rPr>
          <w:sz w:val="16"/>
          <w:szCs w:val="16"/>
        </w:rPr>
        <w:t xml:space="preserve"> </w:t>
      </w:r>
      <w:r w:rsidRPr="003F2D42">
        <w:rPr>
          <w:rFonts w:ascii="Calibri" w:hAnsi="Calibri" w:cs="Calibri"/>
          <w:sz w:val="16"/>
          <w:szCs w:val="16"/>
        </w:rPr>
        <w:t xml:space="preserve">In many cases, progress against Parent and Family </w:t>
      </w:r>
      <w:proofErr w:type="spellStart"/>
      <w:r w:rsidRPr="003F2D42">
        <w:rPr>
          <w:rFonts w:ascii="Calibri" w:hAnsi="Calibri" w:cs="Calibri"/>
          <w:sz w:val="16"/>
          <w:szCs w:val="16"/>
        </w:rPr>
        <w:t>KPMs</w:t>
      </w:r>
      <w:proofErr w:type="spellEnd"/>
      <w:r w:rsidRPr="003F2D42">
        <w:rPr>
          <w:rFonts w:ascii="Calibri" w:hAnsi="Calibri" w:cs="Calibri"/>
          <w:sz w:val="16"/>
          <w:szCs w:val="16"/>
        </w:rPr>
        <w:t xml:space="preserve"> has been achieved through partnerships that do not include parent or family groups as members. While there are some partnerships that do involve parent and family groups, these groups represent only one per cent of the total number of organisations in partnerships. </w:t>
      </w:r>
    </w:p>
  </w:footnote>
  <w:footnote w:id="17">
    <w:p w:rsidR="00527695" w:rsidRDefault="00527695" w:rsidP="007002AD">
      <w:pPr>
        <w:spacing w:line="240" w:lineRule="auto"/>
        <w:ind w:right="-187"/>
      </w:pPr>
      <w:r>
        <w:rPr>
          <w:rStyle w:val="FootnoteReference"/>
        </w:rPr>
        <w:footnoteRef/>
      </w:r>
      <w:r>
        <w:t xml:space="preserve"> A final outcome represents re-engagement or a sustained improvement in a young person’s engagement with education, training or employment. </w:t>
      </w:r>
    </w:p>
    <w:p w:rsidR="00527695" w:rsidRDefault="00527695" w:rsidP="007002AD">
      <w:pPr>
        <w:spacing w:line="240" w:lineRule="auto"/>
        <w:ind w:right="-187"/>
        <w:rPr>
          <w:u w:val="single"/>
        </w:rPr>
      </w:pPr>
      <w:r>
        <w:t>A progressive outcome represents a young person making significant progress in addressing their barriers to full engagement in education.</w:t>
      </w:r>
    </w:p>
    <w:p w:rsidR="00527695" w:rsidRDefault="00527695" w:rsidP="007002AD">
      <w:pPr>
        <w:pStyle w:val="FootnoteText"/>
      </w:pPr>
    </w:p>
  </w:footnote>
  <w:footnote w:id="18">
    <w:p w:rsidR="00527695" w:rsidRDefault="00527695" w:rsidP="007002AD">
      <w:pPr>
        <w:pStyle w:val="FootnoteText"/>
      </w:pPr>
      <w:r>
        <w:rPr>
          <w:rStyle w:val="FootnoteReference"/>
        </w:rPr>
        <w:footnoteRef/>
      </w:r>
      <w:r>
        <w:t xml:space="preserve"> </w:t>
      </w:r>
      <w:r w:rsidRPr="001A28B2">
        <w:rPr>
          <w:sz w:val="22"/>
          <w:szCs w:val="22"/>
        </w:rPr>
        <w:t>A young person can achieve more than one final outcome.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5" w:rsidRPr="00A75CB7" w:rsidRDefault="00527695" w:rsidP="00A75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E7A"/>
    <w:multiLevelType w:val="hybridMultilevel"/>
    <w:tmpl w:val="73C02D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3C96067"/>
    <w:multiLevelType w:val="hybridMultilevel"/>
    <w:tmpl w:val="4162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10F97"/>
    <w:multiLevelType w:val="hybridMultilevel"/>
    <w:tmpl w:val="81C4C6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4612905"/>
    <w:multiLevelType w:val="hybridMultilevel"/>
    <w:tmpl w:val="DBD4F1EC"/>
    <w:lvl w:ilvl="0" w:tplc="3D86B2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DB03B3"/>
    <w:multiLevelType w:val="hybridMultilevel"/>
    <w:tmpl w:val="8090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265DA5"/>
    <w:multiLevelType w:val="hybridMultilevel"/>
    <w:tmpl w:val="509275EE"/>
    <w:lvl w:ilvl="0" w:tplc="AA60BDC8">
      <w:start w:val="1"/>
      <w:numFmt w:val="upp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6">
    <w:nsid w:val="081A76F8"/>
    <w:multiLevelType w:val="hybridMultilevel"/>
    <w:tmpl w:val="C1FC51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0B307246"/>
    <w:multiLevelType w:val="hybridMultilevel"/>
    <w:tmpl w:val="8D60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B4715C"/>
    <w:multiLevelType w:val="hybridMultilevel"/>
    <w:tmpl w:val="162E3280"/>
    <w:lvl w:ilvl="0" w:tplc="0568A270">
      <w:start w:val="1"/>
      <w:numFmt w:val="bullet"/>
      <w:lvlText w:val="•"/>
      <w:lvlJc w:val="left"/>
      <w:pPr>
        <w:tabs>
          <w:tab w:val="num" w:pos="720"/>
        </w:tabs>
        <w:ind w:left="720" w:hanging="360"/>
      </w:pPr>
      <w:rPr>
        <w:rFonts w:ascii="Times New Roman" w:hAnsi="Times New Roman" w:hint="default"/>
      </w:rPr>
    </w:lvl>
    <w:lvl w:ilvl="1" w:tplc="421A53C4">
      <w:start w:val="1"/>
      <w:numFmt w:val="bullet"/>
      <w:lvlText w:val="•"/>
      <w:lvlJc w:val="left"/>
      <w:pPr>
        <w:tabs>
          <w:tab w:val="num" w:pos="1440"/>
        </w:tabs>
        <w:ind w:left="1440" w:hanging="360"/>
      </w:pPr>
      <w:rPr>
        <w:rFonts w:ascii="Times New Roman" w:hAnsi="Times New Roman" w:hint="default"/>
      </w:rPr>
    </w:lvl>
    <w:lvl w:ilvl="2" w:tplc="1D0E108C" w:tentative="1">
      <w:start w:val="1"/>
      <w:numFmt w:val="bullet"/>
      <w:lvlText w:val="•"/>
      <w:lvlJc w:val="left"/>
      <w:pPr>
        <w:tabs>
          <w:tab w:val="num" w:pos="2160"/>
        </w:tabs>
        <w:ind w:left="2160" w:hanging="360"/>
      </w:pPr>
      <w:rPr>
        <w:rFonts w:ascii="Times New Roman" w:hAnsi="Times New Roman" w:hint="default"/>
      </w:rPr>
    </w:lvl>
    <w:lvl w:ilvl="3" w:tplc="43A0B9B2" w:tentative="1">
      <w:start w:val="1"/>
      <w:numFmt w:val="bullet"/>
      <w:lvlText w:val="•"/>
      <w:lvlJc w:val="left"/>
      <w:pPr>
        <w:tabs>
          <w:tab w:val="num" w:pos="2880"/>
        </w:tabs>
        <w:ind w:left="2880" w:hanging="360"/>
      </w:pPr>
      <w:rPr>
        <w:rFonts w:ascii="Times New Roman" w:hAnsi="Times New Roman" w:hint="default"/>
      </w:rPr>
    </w:lvl>
    <w:lvl w:ilvl="4" w:tplc="8F66A17A" w:tentative="1">
      <w:start w:val="1"/>
      <w:numFmt w:val="bullet"/>
      <w:lvlText w:val="•"/>
      <w:lvlJc w:val="left"/>
      <w:pPr>
        <w:tabs>
          <w:tab w:val="num" w:pos="3600"/>
        </w:tabs>
        <w:ind w:left="3600" w:hanging="360"/>
      </w:pPr>
      <w:rPr>
        <w:rFonts w:ascii="Times New Roman" w:hAnsi="Times New Roman" w:hint="default"/>
      </w:rPr>
    </w:lvl>
    <w:lvl w:ilvl="5" w:tplc="52446504" w:tentative="1">
      <w:start w:val="1"/>
      <w:numFmt w:val="bullet"/>
      <w:lvlText w:val="•"/>
      <w:lvlJc w:val="left"/>
      <w:pPr>
        <w:tabs>
          <w:tab w:val="num" w:pos="4320"/>
        </w:tabs>
        <w:ind w:left="4320" w:hanging="360"/>
      </w:pPr>
      <w:rPr>
        <w:rFonts w:ascii="Times New Roman" w:hAnsi="Times New Roman" w:hint="default"/>
      </w:rPr>
    </w:lvl>
    <w:lvl w:ilvl="6" w:tplc="BBF42E90" w:tentative="1">
      <w:start w:val="1"/>
      <w:numFmt w:val="bullet"/>
      <w:lvlText w:val="•"/>
      <w:lvlJc w:val="left"/>
      <w:pPr>
        <w:tabs>
          <w:tab w:val="num" w:pos="5040"/>
        </w:tabs>
        <w:ind w:left="5040" w:hanging="360"/>
      </w:pPr>
      <w:rPr>
        <w:rFonts w:ascii="Times New Roman" w:hAnsi="Times New Roman" w:hint="default"/>
      </w:rPr>
    </w:lvl>
    <w:lvl w:ilvl="7" w:tplc="9F4A71D8" w:tentative="1">
      <w:start w:val="1"/>
      <w:numFmt w:val="bullet"/>
      <w:lvlText w:val="•"/>
      <w:lvlJc w:val="left"/>
      <w:pPr>
        <w:tabs>
          <w:tab w:val="num" w:pos="5760"/>
        </w:tabs>
        <w:ind w:left="5760" w:hanging="360"/>
      </w:pPr>
      <w:rPr>
        <w:rFonts w:ascii="Times New Roman" w:hAnsi="Times New Roman" w:hint="default"/>
      </w:rPr>
    </w:lvl>
    <w:lvl w:ilvl="8" w:tplc="039CBE44" w:tentative="1">
      <w:start w:val="1"/>
      <w:numFmt w:val="bullet"/>
      <w:lvlText w:val="•"/>
      <w:lvlJc w:val="left"/>
      <w:pPr>
        <w:tabs>
          <w:tab w:val="num" w:pos="6480"/>
        </w:tabs>
        <w:ind w:left="6480" w:hanging="360"/>
      </w:pPr>
      <w:rPr>
        <w:rFonts w:ascii="Times New Roman" w:hAnsi="Times New Roman" w:hint="default"/>
      </w:rPr>
    </w:lvl>
  </w:abstractNum>
  <w:abstractNum w:abstractNumId="9">
    <w:nsid w:val="0F696777"/>
    <w:multiLevelType w:val="hybridMultilevel"/>
    <w:tmpl w:val="6EE00B58"/>
    <w:lvl w:ilvl="0" w:tplc="BCB03FE4">
      <w:start w:val="1"/>
      <w:numFmt w:val="decimal"/>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nsid w:val="0FC0690B"/>
    <w:multiLevelType w:val="hybridMultilevel"/>
    <w:tmpl w:val="3DDA5E02"/>
    <w:lvl w:ilvl="0" w:tplc="4A3A0510">
      <w:start w:val="1"/>
      <w:numFmt w:val="bullet"/>
      <w:lvlText w:val=""/>
      <w:lvlJc w:val="left"/>
      <w:pPr>
        <w:tabs>
          <w:tab w:val="num" w:pos="170"/>
        </w:tabs>
        <w:ind w:left="170" w:hanging="17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nsid w:val="0FCB2426"/>
    <w:multiLevelType w:val="hybridMultilevel"/>
    <w:tmpl w:val="DFFEC4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14C45733"/>
    <w:multiLevelType w:val="hybridMultilevel"/>
    <w:tmpl w:val="EA08B53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15A0466F"/>
    <w:multiLevelType w:val="hybridMultilevel"/>
    <w:tmpl w:val="A2C85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A459CF"/>
    <w:multiLevelType w:val="hybridMultilevel"/>
    <w:tmpl w:val="5262E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6B1ABD"/>
    <w:multiLevelType w:val="hybridMultilevel"/>
    <w:tmpl w:val="E9A89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A83417"/>
    <w:multiLevelType w:val="hybridMultilevel"/>
    <w:tmpl w:val="94F61D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1BF7063C"/>
    <w:multiLevelType w:val="hybridMultilevel"/>
    <w:tmpl w:val="9280E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FD7907"/>
    <w:multiLevelType w:val="hybridMultilevel"/>
    <w:tmpl w:val="2678468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9">
    <w:nsid w:val="1C6A4E1B"/>
    <w:multiLevelType w:val="hybridMultilevel"/>
    <w:tmpl w:val="510C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2D86638"/>
    <w:multiLevelType w:val="hybridMultilevel"/>
    <w:tmpl w:val="1C16E65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638ECB1A">
      <w:start w:val="1"/>
      <w:numFmt w:val="bullet"/>
      <w:lvlText w:val=""/>
      <w:lvlJc w:val="left"/>
      <w:pPr>
        <w:tabs>
          <w:tab w:val="num" w:pos="2520"/>
        </w:tabs>
        <w:ind w:left="2520" w:hanging="360"/>
      </w:pPr>
      <w:rPr>
        <w:rFonts w:ascii="Symbol" w:hAnsi="Symbol" w:cs="Times New Roman"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8C01B2E"/>
    <w:multiLevelType w:val="hybridMultilevel"/>
    <w:tmpl w:val="EEA02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9A56F4"/>
    <w:multiLevelType w:val="hybridMultilevel"/>
    <w:tmpl w:val="34D427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4282F4E"/>
    <w:multiLevelType w:val="hybridMultilevel"/>
    <w:tmpl w:val="E12A92B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352B7B05"/>
    <w:multiLevelType w:val="hybridMultilevel"/>
    <w:tmpl w:val="903CC5A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655AA4"/>
    <w:multiLevelType w:val="hybridMultilevel"/>
    <w:tmpl w:val="5A34DA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6113107"/>
    <w:multiLevelType w:val="hybridMultilevel"/>
    <w:tmpl w:val="4B741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082023"/>
    <w:multiLevelType w:val="hybridMultilevel"/>
    <w:tmpl w:val="24C2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8E2507"/>
    <w:multiLevelType w:val="hybridMultilevel"/>
    <w:tmpl w:val="867CE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647093"/>
    <w:multiLevelType w:val="hybridMultilevel"/>
    <w:tmpl w:val="188271F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4BC57C9C"/>
    <w:multiLevelType w:val="hybridMultilevel"/>
    <w:tmpl w:val="6A6AD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FC57F0"/>
    <w:multiLevelType w:val="hybridMultilevel"/>
    <w:tmpl w:val="F89CF9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38A1392"/>
    <w:multiLevelType w:val="hybridMultilevel"/>
    <w:tmpl w:val="15909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FD4192"/>
    <w:multiLevelType w:val="hybridMultilevel"/>
    <w:tmpl w:val="DD104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0F72D9"/>
    <w:multiLevelType w:val="hybridMultilevel"/>
    <w:tmpl w:val="88A6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5F5176"/>
    <w:multiLevelType w:val="hybridMultilevel"/>
    <w:tmpl w:val="D1F05C3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B07736C"/>
    <w:multiLevelType w:val="hybridMultilevel"/>
    <w:tmpl w:val="887A1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39">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D1F41A6"/>
    <w:multiLevelType w:val="hybridMultilevel"/>
    <w:tmpl w:val="C9BCC9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2C374C2"/>
    <w:multiLevelType w:val="hybridMultilevel"/>
    <w:tmpl w:val="EE42E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43">
    <w:nsid w:val="7CAC1785"/>
    <w:multiLevelType w:val="hybridMultilevel"/>
    <w:tmpl w:val="486E36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7"/>
  </w:num>
  <w:num w:numId="2">
    <w:abstractNumId w:val="42"/>
  </w:num>
  <w:num w:numId="3">
    <w:abstractNumId w:val="2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7"/>
  </w:num>
  <w:num w:numId="8">
    <w:abstractNumId w:val="39"/>
  </w:num>
  <w:num w:numId="9">
    <w:abstractNumId w:val="29"/>
  </w:num>
  <w:num w:numId="10">
    <w:abstractNumId w:val="31"/>
  </w:num>
  <w:num w:numId="11">
    <w:abstractNumId w:val="1"/>
  </w:num>
  <w:num w:numId="12">
    <w:abstractNumId w:val="25"/>
  </w:num>
  <w:num w:numId="13">
    <w:abstractNumId w:val="35"/>
  </w:num>
  <w:num w:numId="14">
    <w:abstractNumId w:val="28"/>
  </w:num>
  <w:num w:numId="15">
    <w:abstractNumId w:val="43"/>
  </w:num>
  <w:num w:numId="16">
    <w:abstractNumId w:val="13"/>
  </w:num>
  <w:num w:numId="17">
    <w:abstractNumId w:val="16"/>
  </w:num>
  <w:num w:numId="18">
    <w:abstractNumId w:val="8"/>
  </w:num>
  <w:num w:numId="19">
    <w:abstractNumId w:val="2"/>
  </w:num>
  <w:num w:numId="20">
    <w:abstractNumId w:val="7"/>
  </w:num>
  <w:num w:numId="21">
    <w:abstractNumId w:val="11"/>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41"/>
  </w:num>
  <w:num w:numId="28">
    <w:abstractNumId w:val="14"/>
  </w:num>
  <w:num w:numId="29">
    <w:abstractNumId w:val="22"/>
  </w:num>
  <w:num w:numId="30">
    <w:abstractNumId w:val="40"/>
  </w:num>
  <w:num w:numId="31">
    <w:abstractNumId w:val="37"/>
  </w:num>
  <w:num w:numId="32">
    <w:abstractNumId w:val="26"/>
  </w:num>
  <w:num w:numId="33">
    <w:abstractNumId w:val="20"/>
  </w:num>
  <w:num w:numId="34">
    <w:abstractNumId w:val="38"/>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0"/>
  </w:num>
  <w:num w:numId="41">
    <w:abstractNumId w:val="36"/>
  </w:num>
  <w:num w:numId="42">
    <w:abstractNumId w:val="24"/>
  </w:num>
  <w:num w:numId="43">
    <w:abstractNumId w:val="19"/>
  </w:num>
  <w:num w:numId="44">
    <w:abstractNumId w:val="9"/>
  </w:num>
  <w:num w:numId="45">
    <w:abstractNumId w:val="34"/>
  </w:num>
  <w:num w:numId="46">
    <w:abstractNumId w:val="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6255E6"/>
    <w:rsid w:val="00000BB4"/>
    <w:rsid w:val="000167AF"/>
    <w:rsid w:val="00032B47"/>
    <w:rsid w:val="000338EB"/>
    <w:rsid w:val="00041A2A"/>
    <w:rsid w:val="0004214D"/>
    <w:rsid w:val="000536E7"/>
    <w:rsid w:val="000541EE"/>
    <w:rsid w:val="00055DD7"/>
    <w:rsid w:val="000604A4"/>
    <w:rsid w:val="00075FD2"/>
    <w:rsid w:val="00090045"/>
    <w:rsid w:val="0009585A"/>
    <w:rsid w:val="000A2567"/>
    <w:rsid w:val="000A27C0"/>
    <w:rsid w:val="000A3660"/>
    <w:rsid w:val="000B0A51"/>
    <w:rsid w:val="000B3F66"/>
    <w:rsid w:val="000B6578"/>
    <w:rsid w:val="000E180A"/>
    <w:rsid w:val="000E2D8E"/>
    <w:rsid w:val="000F1DAC"/>
    <w:rsid w:val="000F3743"/>
    <w:rsid w:val="001235B4"/>
    <w:rsid w:val="00125724"/>
    <w:rsid w:val="00133472"/>
    <w:rsid w:val="00135133"/>
    <w:rsid w:val="00153F50"/>
    <w:rsid w:val="00167952"/>
    <w:rsid w:val="00175A8D"/>
    <w:rsid w:val="0019404B"/>
    <w:rsid w:val="001C62EE"/>
    <w:rsid w:val="001E19D4"/>
    <w:rsid w:val="001E7AF1"/>
    <w:rsid w:val="002378BE"/>
    <w:rsid w:val="00256F20"/>
    <w:rsid w:val="00270E54"/>
    <w:rsid w:val="00271280"/>
    <w:rsid w:val="00272B0B"/>
    <w:rsid w:val="0029015A"/>
    <w:rsid w:val="002958EF"/>
    <w:rsid w:val="002A0FFC"/>
    <w:rsid w:val="002C527C"/>
    <w:rsid w:val="002E6B94"/>
    <w:rsid w:val="002F2067"/>
    <w:rsid w:val="002F3B0F"/>
    <w:rsid w:val="00314E6F"/>
    <w:rsid w:val="00380158"/>
    <w:rsid w:val="00392191"/>
    <w:rsid w:val="003A191C"/>
    <w:rsid w:val="003A5434"/>
    <w:rsid w:val="003B4CC0"/>
    <w:rsid w:val="003C3554"/>
    <w:rsid w:val="00400C55"/>
    <w:rsid w:val="00432B84"/>
    <w:rsid w:val="00443A84"/>
    <w:rsid w:val="00454FBD"/>
    <w:rsid w:val="0045514D"/>
    <w:rsid w:val="00457274"/>
    <w:rsid w:val="004643B7"/>
    <w:rsid w:val="004767D5"/>
    <w:rsid w:val="00476ABB"/>
    <w:rsid w:val="00490960"/>
    <w:rsid w:val="004A0AAF"/>
    <w:rsid w:val="004A2695"/>
    <w:rsid w:val="004A3B9B"/>
    <w:rsid w:val="004B0FFC"/>
    <w:rsid w:val="004B2F6D"/>
    <w:rsid w:val="004C6EDB"/>
    <w:rsid w:val="004D5D53"/>
    <w:rsid w:val="00527695"/>
    <w:rsid w:val="00556EC0"/>
    <w:rsid w:val="005632C3"/>
    <w:rsid w:val="005641EE"/>
    <w:rsid w:val="00586292"/>
    <w:rsid w:val="005B142B"/>
    <w:rsid w:val="005B3768"/>
    <w:rsid w:val="005C2390"/>
    <w:rsid w:val="005D122D"/>
    <w:rsid w:val="005E38F0"/>
    <w:rsid w:val="0060000C"/>
    <w:rsid w:val="006026B8"/>
    <w:rsid w:val="00605698"/>
    <w:rsid w:val="006240FC"/>
    <w:rsid w:val="006255E6"/>
    <w:rsid w:val="006463C6"/>
    <w:rsid w:val="00655C7E"/>
    <w:rsid w:val="006564E6"/>
    <w:rsid w:val="006840E3"/>
    <w:rsid w:val="006966BA"/>
    <w:rsid w:val="006D399C"/>
    <w:rsid w:val="006F7FFB"/>
    <w:rsid w:val="007002AD"/>
    <w:rsid w:val="007267F1"/>
    <w:rsid w:val="00742598"/>
    <w:rsid w:val="00742D08"/>
    <w:rsid w:val="007912AC"/>
    <w:rsid w:val="007A31AB"/>
    <w:rsid w:val="007A40A6"/>
    <w:rsid w:val="007B2674"/>
    <w:rsid w:val="008014EB"/>
    <w:rsid w:val="00816862"/>
    <w:rsid w:val="00830167"/>
    <w:rsid w:val="00831D4E"/>
    <w:rsid w:val="00833EFF"/>
    <w:rsid w:val="00864435"/>
    <w:rsid w:val="00866E2C"/>
    <w:rsid w:val="008B6934"/>
    <w:rsid w:val="008C6DBA"/>
    <w:rsid w:val="008D7470"/>
    <w:rsid w:val="008E6027"/>
    <w:rsid w:val="008F1C21"/>
    <w:rsid w:val="00904C6F"/>
    <w:rsid w:val="00917252"/>
    <w:rsid w:val="0093128B"/>
    <w:rsid w:val="0094246D"/>
    <w:rsid w:val="0094262B"/>
    <w:rsid w:val="00944C3F"/>
    <w:rsid w:val="00945502"/>
    <w:rsid w:val="0095198F"/>
    <w:rsid w:val="0095346D"/>
    <w:rsid w:val="009651B1"/>
    <w:rsid w:val="00990868"/>
    <w:rsid w:val="009A483B"/>
    <w:rsid w:val="009C0CFA"/>
    <w:rsid w:val="009C3D2A"/>
    <w:rsid w:val="009D060E"/>
    <w:rsid w:val="009D48D6"/>
    <w:rsid w:val="009D7F6B"/>
    <w:rsid w:val="009E0A28"/>
    <w:rsid w:val="009E395A"/>
    <w:rsid w:val="009E461E"/>
    <w:rsid w:val="009F5D56"/>
    <w:rsid w:val="00A0568D"/>
    <w:rsid w:val="00A12DD4"/>
    <w:rsid w:val="00A20849"/>
    <w:rsid w:val="00A21DD1"/>
    <w:rsid w:val="00A34C60"/>
    <w:rsid w:val="00A405C9"/>
    <w:rsid w:val="00A50330"/>
    <w:rsid w:val="00A51E8A"/>
    <w:rsid w:val="00A75CB7"/>
    <w:rsid w:val="00A816F9"/>
    <w:rsid w:val="00A918C7"/>
    <w:rsid w:val="00A97D02"/>
    <w:rsid w:val="00AA1245"/>
    <w:rsid w:val="00AC3C06"/>
    <w:rsid w:val="00AC682F"/>
    <w:rsid w:val="00AD3C22"/>
    <w:rsid w:val="00AE67DB"/>
    <w:rsid w:val="00AF174F"/>
    <w:rsid w:val="00B04937"/>
    <w:rsid w:val="00B1578C"/>
    <w:rsid w:val="00B24649"/>
    <w:rsid w:val="00B260E3"/>
    <w:rsid w:val="00B330C8"/>
    <w:rsid w:val="00B363CF"/>
    <w:rsid w:val="00B446B3"/>
    <w:rsid w:val="00B47ABF"/>
    <w:rsid w:val="00B553AC"/>
    <w:rsid w:val="00B57EF9"/>
    <w:rsid w:val="00B74085"/>
    <w:rsid w:val="00BB43CB"/>
    <w:rsid w:val="00BC0DA7"/>
    <w:rsid w:val="00BD4F4D"/>
    <w:rsid w:val="00BD7C94"/>
    <w:rsid w:val="00BF7442"/>
    <w:rsid w:val="00C04631"/>
    <w:rsid w:val="00C23487"/>
    <w:rsid w:val="00C26A01"/>
    <w:rsid w:val="00C44218"/>
    <w:rsid w:val="00C44548"/>
    <w:rsid w:val="00C44E11"/>
    <w:rsid w:val="00C80016"/>
    <w:rsid w:val="00CB280A"/>
    <w:rsid w:val="00CC372E"/>
    <w:rsid w:val="00CC49FF"/>
    <w:rsid w:val="00CD71F7"/>
    <w:rsid w:val="00CE3DCE"/>
    <w:rsid w:val="00D21A4F"/>
    <w:rsid w:val="00D21EC5"/>
    <w:rsid w:val="00D43B11"/>
    <w:rsid w:val="00D70329"/>
    <w:rsid w:val="00D7081C"/>
    <w:rsid w:val="00D97AE9"/>
    <w:rsid w:val="00DA1F92"/>
    <w:rsid w:val="00DA567B"/>
    <w:rsid w:val="00DA68FC"/>
    <w:rsid w:val="00DC7BE1"/>
    <w:rsid w:val="00DD31E9"/>
    <w:rsid w:val="00E04AF1"/>
    <w:rsid w:val="00E06C5D"/>
    <w:rsid w:val="00E67EE5"/>
    <w:rsid w:val="00EB7DD6"/>
    <w:rsid w:val="00EE40B4"/>
    <w:rsid w:val="00F0200B"/>
    <w:rsid w:val="00F0211F"/>
    <w:rsid w:val="00F07998"/>
    <w:rsid w:val="00F12019"/>
    <w:rsid w:val="00F31222"/>
    <w:rsid w:val="00F63F8F"/>
    <w:rsid w:val="00F91DFF"/>
    <w:rsid w:val="00F93673"/>
    <w:rsid w:val="00FC5F32"/>
    <w:rsid w:val="00FC6FC3"/>
    <w:rsid w:val="00FD088D"/>
    <w:rsid w:val="00FD4E73"/>
    <w:rsid w:val="00FD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CB"/>
    <w:pPr>
      <w:spacing w:after="0"/>
    </w:pPr>
  </w:style>
  <w:style w:type="paragraph" w:styleId="Heading1">
    <w:name w:val="heading 1"/>
    <w:basedOn w:val="Normal"/>
    <w:next w:val="Normal"/>
    <w:link w:val="Heading1Char"/>
    <w:uiPriority w:val="9"/>
    <w:qFormat/>
    <w:rsid w:val="008F1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83B"/>
    <w:pPr>
      <w:keepNext/>
      <w:keepLines/>
      <w:spacing w:before="24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5D1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uiPriority w:val="34"/>
    <w:qFormat/>
    <w:rsid w:val="00BB43CB"/>
    <w:pPr>
      <w:ind w:left="720"/>
      <w:contextualSpacing/>
    </w:pPr>
  </w:style>
  <w:style w:type="paragraph" w:styleId="BalloonText">
    <w:name w:val="Balloon Text"/>
    <w:basedOn w:val="Normal"/>
    <w:link w:val="BalloonTextChar"/>
    <w:uiPriority w:val="99"/>
    <w:semiHidden/>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5E6"/>
    <w:rPr>
      <w:rFonts w:ascii="Tahoma" w:hAnsi="Tahoma" w:cs="Tahoma"/>
      <w:sz w:val="16"/>
      <w:szCs w:val="16"/>
    </w:rPr>
  </w:style>
  <w:style w:type="character" w:customStyle="1" w:styleId="Heading1Char">
    <w:name w:val="Heading 1 Char"/>
    <w:basedOn w:val="DefaultParagraphFont"/>
    <w:link w:val="Heading1"/>
    <w:uiPriority w:val="9"/>
    <w:rsid w:val="008F1C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483B"/>
    <w:rPr>
      <w:rFonts w:ascii="Arial" w:eastAsiaTheme="majorEastAsia" w:hAnsi="Arial" w:cstheme="majorBidi"/>
      <w:b/>
      <w:bCs/>
      <w:color w:val="000000" w:themeColor="text1"/>
      <w:sz w:val="28"/>
      <w:szCs w:val="26"/>
    </w:rPr>
  </w:style>
  <w:style w:type="paragraph" w:styleId="Header">
    <w:name w:val="header"/>
    <w:basedOn w:val="Normal"/>
    <w:link w:val="HeaderChar"/>
    <w:uiPriority w:val="99"/>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uiPriority w:val="99"/>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B553AC"/>
    <w:pPr>
      <w:spacing w:after="100"/>
    </w:pPr>
    <w:rPr>
      <w:rFonts w:eastAsiaTheme="minorEastAsia"/>
      <w:lang w:val="en-US"/>
    </w:rPr>
  </w:style>
  <w:style w:type="paragraph" w:styleId="TOC3">
    <w:name w:val="toc 3"/>
    <w:basedOn w:val="Normal"/>
    <w:next w:val="Normal"/>
    <w:autoRedefine/>
    <w:uiPriority w:val="39"/>
    <w:semiHidden/>
    <w:unhideWhenUsed/>
    <w:qFormat/>
    <w:rsid w:val="00B553AC"/>
    <w:pPr>
      <w:spacing w:after="100"/>
      <w:ind w:left="440"/>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dpReclev2">
    <w:name w:val="dp Rec lev2"/>
    <w:basedOn w:val="Normal"/>
    <w:qFormat/>
    <w:rsid w:val="005B142B"/>
    <w:pPr>
      <w:numPr>
        <w:numId w:val="34"/>
      </w:numPr>
      <w:tabs>
        <w:tab w:val="right" w:leader="dot" w:pos="9639"/>
      </w:tabs>
      <w:spacing w:after="200" w:line="252" w:lineRule="auto"/>
      <w:contextualSpacing/>
    </w:pPr>
    <w:rPr>
      <w:rFonts w:asciiTheme="majorHAnsi" w:eastAsiaTheme="majorEastAsia" w:hAnsiTheme="majorHAnsi" w:cstheme="majorBidi"/>
      <w:noProof/>
    </w:rPr>
  </w:style>
  <w:style w:type="character" w:customStyle="1" w:styleId="Heading3Char">
    <w:name w:val="Heading 3 Char"/>
    <w:basedOn w:val="DefaultParagraphFont"/>
    <w:link w:val="Heading3"/>
    <w:uiPriority w:val="9"/>
    <w:semiHidden/>
    <w:rsid w:val="005D12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0323">
      <w:bodyDiv w:val="1"/>
      <w:marLeft w:val="0"/>
      <w:marRight w:val="0"/>
      <w:marTop w:val="0"/>
      <w:marBottom w:val="0"/>
      <w:divBdr>
        <w:top w:val="none" w:sz="0" w:space="0" w:color="auto"/>
        <w:left w:val="none" w:sz="0" w:space="0" w:color="auto"/>
        <w:bottom w:val="none" w:sz="0" w:space="0" w:color="auto"/>
        <w:right w:val="none" w:sz="0" w:space="0" w:color="auto"/>
      </w:divBdr>
    </w:div>
    <w:div w:id="751196894">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915357466">
      <w:bodyDiv w:val="1"/>
      <w:marLeft w:val="0"/>
      <w:marRight w:val="0"/>
      <w:marTop w:val="0"/>
      <w:marBottom w:val="0"/>
      <w:divBdr>
        <w:top w:val="none" w:sz="0" w:space="0" w:color="auto"/>
        <w:left w:val="none" w:sz="0" w:space="0" w:color="auto"/>
        <w:bottom w:val="none" w:sz="0" w:space="0" w:color="auto"/>
        <w:right w:val="none" w:sz="0" w:space="0" w:color="auto"/>
      </w:divBdr>
    </w:div>
    <w:div w:id="1843469177">
      <w:bodyDiv w:val="1"/>
      <w:marLeft w:val="0"/>
      <w:marRight w:val="0"/>
      <w:marTop w:val="0"/>
      <w:marBottom w:val="0"/>
      <w:divBdr>
        <w:top w:val="none" w:sz="0" w:space="0" w:color="auto"/>
        <w:left w:val="none" w:sz="0" w:space="0" w:color="auto"/>
        <w:bottom w:val="none" w:sz="0" w:space="0" w:color="auto"/>
        <w:right w:val="none" w:sz="0" w:space="0" w:color="auto"/>
      </w:divBdr>
    </w:div>
    <w:div w:id="1919484026">
      <w:bodyDiv w:val="1"/>
      <w:marLeft w:val="0"/>
      <w:marRight w:val="0"/>
      <w:marTop w:val="0"/>
      <w:marBottom w:val="0"/>
      <w:divBdr>
        <w:top w:val="none" w:sz="0" w:space="0" w:color="auto"/>
        <w:left w:val="none" w:sz="0" w:space="0" w:color="auto"/>
        <w:bottom w:val="none" w:sz="0" w:space="0" w:color="auto"/>
        <w:right w:val="none" w:sz="0" w:space="0" w:color="auto"/>
      </w:divBdr>
    </w:div>
    <w:div w:id="20160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www.det.nt.gov,au/smarterschool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t.nt.gov.au/__data/assets/pdf_file/0011/15140/EveryChildEveryDayActionPlan.pdf" TargetMode="External"/><Relationship Id="rId23" Type="http://schemas.openxmlformats.org/officeDocument/2006/relationships/image" Target="media/image7.emf"/><Relationship Id="rId28"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et.nt.gov.au/smarterschools" TargetMode="External"/><Relationship Id="rId22" Type="http://schemas.openxmlformats.org/officeDocument/2006/relationships/image" Target="media/image6.emf"/><Relationship Id="rId27" Type="http://schemas.openxmlformats.org/officeDocument/2006/relationships/chart" Target="charts/chart3.xml"/><Relationship Id="rId30"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acnsp010\50018764\Partnership%20Brokers\National\Outcomes%20Reporting\April%202011\MASTER_NATIONAL_Organisations%20(April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nsp010\50018764\Partnership%20Brokers\National\Outcomes%20Reporting\April%202011\MASTER_NATIONAL_Organisations%20(April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CNSP010\50018764\Youth%20Connections\National\Data\Draft%20reports\NT\NT%20CUbe%20queri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NSP010\50018764\Youth%20Connections\National\Data\Draft%20reports\NT\NT%20CUbe%20queri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NSP010\50018764\Youth%20Connections\National\Data\Draft%20reports\Vic\Vic%20CUbe%20queri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CNSP010\50018764\Youth%20Connections\National\Data\Draft%20reports\Vic\Vic%20CUbe%20quer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800" b="1" i="0" baseline="0"/>
              <a:t>National Partnerships by Stakeholder Group</a:t>
            </a:r>
          </a:p>
        </c:rich>
      </c:tx>
      <c:layout/>
      <c:overlay val="0"/>
    </c:title>
    <c:autoTitleDeleted val="0"/>
    <c:plotArea>
      <c:layout/>
      <c:pieChart>
        <c:varyColors val="1"/>
        <c:ser>
          <c:idx val="0"/>
          <c:order val="0"/>
          <c:spPr>
            <a:scene3d>
              <a:camera prst="orthographicFront"/>
              <a:lightRig rig="threePt" dir="t"/>
            </a:scene3d>
            <a:sp3d>
              <a:bevelT/>
            </a:sp3d>
          </c:spPr>
          <c:dPt>
            <c:idx val="0"/>
            <c:bubble3D val="0"/>
            <c:spPr>
              <a:solidFill>
                <a:schemeClr val="tx2">
                  <a:lumMod val="60000"/>
                  <a:lumOff val="40000"/>
                </a:schemeClr>
              </a:solidFill>
              <a:scene3d>
                <a:camera prst="orthographicFront"/>
                <a:lightRig rig="threePt" dir="t"/>
              </a:scene3d>
              <a:sp3d>
                <a:bevelT/>
              </a:sp3d>
            </c:spPr>
          </c:dPt>
          <c:dPt>
            <c:idx val="1"/>
            <c:bubble3D val="0"/>
            <c:spPr>
              <a:solidFill>
                <a:schemeClr val="accent2">
                  <a:lumMod val="60000"/>
                  <a:lumOff val="40000"/>
                </a:schemeClr>
              </a:solidFill>
              <a:scene3d>
                <a:camera prst="orthographicFront"/>
                <a:lightRig rig="threePt" dir="t"/>
              </a:scene3d>
              <a:sp3d>
                <a:bevelT/>
              </a:sp3d>
            </c:spPr>
          </c:dPt>
          <c:dPt>
            <c:idx val="2"/>
            <c:bubble3D val="0"/>
            <c:spPr>
              <a:solidFill>
                <a:schemeClr val="accent3">
                  <a:lumMod val="60000"/>
                  <a:lumOff val="40000"/>
                </a:schemeClr>
              </a:solidFill>
              <a:scene3d>
                <a:camera prst="orthographicFront"/>
                <a:lightRig rig="threePt" dir="t"/>
              </a:scene3d>
              <a:sp3d>
                <a:bevelT/>
              </a:sp3d>
            </c:spPr>
          </c:dPt>
          <c:dPt>
            <c:idx val="3"/>
            <c:bubble3D val="0"/>
            <c:spPr>
              <a:solidFill>
                <a:schemeClr val="accent4">
                  <a:lumMod val="60000"/>
                  <a:lumOff val="40000"/>
                </a:schemeClr>
              </a:solidFill>
              <a:scene3d>
                <a:camera prst="orthographicFront"/>
                <a:lightRig rig="threePt" dir="t"/>
              </a:scene3d>
              <a:sp3d>
                <a:bevelT/>
              </a:sp3d>
            </c:spPr>
          </c:dPt>
          <c:dLbls>
            <c:showLegendKey val="0"/>
            <c:showVal val="0"/>
            <c:showCatName val="0"/>
            <c:showSerName val="0"/>
            <c:showPercent val="1"/>
            <c:showBubbleSize val="0"/>
            <c:showLeaderLines val="1"/>
          </c:dLbls>
          <c:cat>
            <c:strRef>
              <c:f>National!$A$5:$A$8</c:f>
              <c:strCache>
                <c:ptCount val="4"/>
                <c:pt idx="0">
                  <c:v>Business &amp; Industry</c:v>
                </c:pt>
                <c:pt idx="1">
                  <c:v>Community</c:v>
                </c:pt>
                <c:pt idx="2">
                  <c:v>Education</c:v>
                </c:pt>
                <c:pt idx="3">
                  <c:v>Parents and Families</c:v>
                </c:pt>
              </c:strCache>
            </c:strRef>
          </c:cat>
          <c:val>
            <c:numRef>
              <c:f>National!$Q$5:$Q$8</c:f>
              <c:numCache>
                <c:formatCode>0%</c:formatCode>
                <c:ptCount val="4"/>
                <c:pt idx="0">
                  <c:v>0.28645833333333331</c:v>
                </c:pt>
                <c:pt idx="1">
                  <c:v>0.26585648148148283</c:v>
                </c:pt>
                <c:pt idx="2">
                  <c:v>0.4329861111111129</c:v>
                </c:pt>
                <c:pt idx="3">
                  <c:v>1.4699074074074074E-2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800" b="1" i="0" baseline="0"/>
              <a:t>NT Partnerships by Stakeholder Group</a:t>
            </a:r>
          </a:p>
        </c:rich>
      </c:tx>
      <c:layout/>
      <c:overlay val="0"/>
    </c:title>
    <c:autoTitleDeleted val="0"/>
    <c:plotArea>
      <c:layout/>
      <c:pieChart>
        <c:varyColors val="1"/>
        <c:ser>
          <c:idx val="0"/>
          <c:order val="0"/>
          <c:spPr>
            <a:scene3d>
              <a:camera prst="orthographicFront"/>
              <a:lightRig rig="threePt" dir="t"/>
            </a:scene3d>
            <a:sp3d>
              <a:bevelT/>
            </a:sp3d>
          </c:spPr>
          <c:dPt>
            <c:idx val="0"/>
            <c:bubble3D val="0"/>
            <c:spPr>
              <a:solidFill>
                <a:schemeClr val="tx2">
                  <a:lumMod val="60000"/>
                  <a:lumOff val="40000"/>
                </a:schemeClr>
              </a:solidFill>
              <a:scene3d>
                <a:camera prst="orthographicFront"/>
                <a:lightRig rig="threePt" dir="t"/>
              </a:scene3d>
              <a:sp3d>
                <a:bevelT/>
              </a:sp3d>
            </c:spPr>
          </c:dPt>
          <c:dPt>
            <c:idx val="1"/>
            <c:bubble3D val="0"/>
            <c:spPr>
              <a:solidFill>
                <a:schemeClr val="accent2">
                  <a:lumMod val="60000"/>
                  <a:lumOff val="40000"/>
                </a:schemeClr>
              </a:solidFill>
              <a:scene3d>
                <a:camera prst="orthographicFront"/>
                <a:lightRig rig="threePt" dir="t"/>
              </a:scene3d>
              <a:sp3d>
                <a:bevelT/>
              </a:sp3d>
            </c:spPr>
          </c:dPt>
          <c:dPt>
            <c:idx val="2"/>
            <c:bubble3D val="0"/>
            <c:spPr>
              <a:solidFill>
                <a:schemeClr val="accent3">
                  <a:lumMod val="60000"/>
                  <a:lumOff val="40000"/>
                </a:schemeClr>
              </a:solidFill>
              <a:scene3d>
                <a:camera prst="orthographicFront"/>
                <a:lightRig rig="threePt" dir="t"/>
              </a:scene3d>
              <a:sp3d>
                <a:bevelT/>
              </a:sp3d>
            </c:spPr>
          </c:dPt>
          <c:dPt>
            <c:idx val="3"/>
            <c:bubble3D val="0"/>
            <c:spPr>
              <a:solidFill>
                <a:schemeClr val="accent4">
                  <a:lumMod val="60000"/>
                  <a:lumOff val="40000"/>
                </a:schemeClr>
              </a:solidFill>
              <a:scene3d>
                <a:camera prst="orthographicFront"/>
                <a:lightRig rig="threePt" dir="t"/>
              </a:scene3d>
              <a:sp3d>
                <a:bevelT/>
              </a:sp3d>
            </c:spPr>
          </c:dPt>
          <c:dLbls>
            <c:showLegendKey val="0"/>
            <c:showVal val="0"/>
            <c:showCatName val="0"/>
            <c:showSerName val="0"/>
            <c:showPercent val="1"/>
            <c:showBubbleSize val="0"/>
            <c:showLeaderLines val="1"/>
          </c:dLbls>
          <c:cat>
            <c:strRef>
              <c:f>National!$A$5:$A$8</c:f>
              <c:strCache>
                <c:ptCount val="4"/>
                <c:pt idx="0">
                  <c:v>Business &amp; Industry</c:v>
                </c:pt>
                <c:pt idx="1">
                  <c:v>Community</c:v>
                </c:pt>
                <c:pt idx="2">
                  <c:v>Education</c:v>
                </c:pt>
                <c:pt idx="3">
                  <c:v>Parents and Families</c:v>
                </c:pt>
              </c:strCache>
            </c:strRef>
          </c:cat>
          <c:val>
            <c:numRef>
              <c:f>National!$G$5:$G$8</c:f>
              <c:numCache>
                <c:formatCode>0%</c:formatCode>
                <c:ptCount val="4"/>
                <c:pt idx="0">
                  <c:v>0.30882352941176522</c:v>
                </c:pt>
                <c:pt idx="1">
                  <c:v>0.30882352941176522</c:v>
                </c:pt>
                <c:pt idx="2">
                  <c:v>0.37745098039215796</c:v>
                </c:pt>
                <c:pt idx="3">
                  <c:v>4.9019607843137514E-3</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National - Final</a:t>
            </a:r>
            <a:r>
              <a:rPr lang="en-AU" sz="1200" baseline="0"/>
              <a:t> Outcomes Achieved</a:t>
            </a:r>
            <a:endParaRPr lang="en-AU" sz="1200"/>
          </a:p>
        </c:rich>
      </c:tx>
      <c:layout/>
      <c:overlay val="0"/>
    </c:title>
    <c:autoTitleDeleted val="0"/>
    <c:plotArea>
      <c:layout>
        <c:manualLayout>
          <c:layoutTarget val="inner"/>
          <c:xMode val="edge"/>
          <c:yMode val="edge"/>
          <c:x val="0.13571846240738983"/>
          <c:y val="0.12728145345468178"/>
          <c:w val="0.84727150403667895"/>
          <c:h val="0.51624873813850436"/>
        </c:manualLayout>
      </c:layout>
      <c:barChart>
        <c:barDir val="col"/>
        <c:grouping val="clustered"/>
        <c:varyColors val="0"/>
        <c:ser>
          <c:idx val="0"/>
          <c:order val="0"/>
          <c:invertIfNegative val="0"/>
          <c:dLbls>
            <c:dLbl>
              <c:idx val="0"/>
              <c:layout/>
              <c:tx>
                <c:rich>
                  <a:bodyPr/>
                  <a:lstStyle/>
                  <a:p>
                    <a:r>
                      <a:rPr lang="en-US"/>
                      <a:t> 15%</a:t>
                    </a:r>
                  </a:p>
                  <a:p>
                    <a:r>
                      <a:rPr lang="en-US"/>
                      <a:t>2,454 </a:t>
                    </a:r>
                  </a:p>
                </c:rich>
              </c:tx>
              <c:showLegendKey val="0"/>
              <c:showVal val="1"/>
              <c:showCatName val="0"/>
              <c:showSerName val="0"/>
              <c:showPercent val="0"/>
              <c:showBubbleSize val="0"/>
            </c:dLbl>
            <c:dLbl>
              <c:idx val="1"/>
              <c:layout/>
              <c:tx>
                <c:rich>
                  <a:bodyPr/>
                  <a:lstStyle/>
                  <a:p>
                    <a:r>
                      <a:rPr lang="en-US"/>
                      <a:t>18%</a:t>
                    </a:r>
                  </a:p>
                  <a:p>
                    <a:r>
                      <a:rPr lang="en-US"/>
                      <a:t> 2,895 </a:t>
                    </a:r>
                  </a:p>
                </c:rich>
              </c:tx>
              <c:showLegendKey val="0"/>
              <c:showVal val="1"/>
              <c:showCatName val="0"/>
              <c:showSerName val="0"/>
              <c:showPercent val="0"/>
              <c:showBubbleSize val="0"/>
            </c:dLbl>
            <c:dLbl>
              <c:idx val="2"/>
              <c:layout/>
              <c:tx>
                <c:rich>
                  <a:bodyPr/>
                  <a:lstStyle/>
                  <a:p>
                    <a:r>
                      <a:rPr lang="en-US"/>
                      <a:t>15%</a:t>
                    </a:r>
                  </a:p>
                  <a:p>
                    <a:r>
                      <a:rPr lang="en-US"/>
                      <a:t> 2,463 </a:t>
                    </a:r>
                  </a:p>
                </c:rich>
              </c:tx>
              <c:showLegendKey val="0"/>
              <c:showVal val="1"/>
              <c:showCatName val="0"/>
              <c:showSerName val="0"/>
              <c:showPercent val="0"/>
              <c:showBubbleSize val="0"/>
            </c:dLbl>
            <c:dLbl>
              <c:idx val="3"/>
              <c:layout/>
              <c:tx>
                <c:rich>
                  <a:bodyPr/>
                  <a:lstStyle/>
                  <a:p>
                    <a:r>
                      <a:rPr lang="en-US"/>
                      <a:t>11% </a:t>
                    </a:r>
                  </a:p>
                  <a:p>
                    <a:r>
                      <a:rPr lang="en-US"/>
                      <a:t>1,746 </a:t>
                    </a:r>
                  </a:p>
                </c:rich>
              </c:tx>
              <c:showLegendKey val="0"/>
              <c:showVal val="1"/>
              <c:showCatName val="0"/>
              <c:showSerName val="0"/>
              <c:showPercent val="0"/>
              <c:showBubbleSize val="0"/>
            </c:dLbl>
            <c:dLbl>
              <c:idx val="4"/>
              <c:layout/>
              <c:tx>
                <c:rich>
                  <a:bodyPr/>
                  <a:lstStyle/>
                  <a:p>
                    <a:r>
                      <a:rPr lang="en-US"/>
                      <a:t>5% </a:t>
                    </a:r>
                  </a:p>
                  <a:p>
                    <a:r>
                      <a:rPr lang="en-US"/>
                      <a:t>877 </a:t>
                    </a:r>
                  </a:p>
                </c:rich>
              </c:tx>
              <c:showLegendKey val="0"/>
              <c:showVal val="1"/>
              <c:showCatName val="0"/>
              <c:showSerName val="0"/>
              <c:showPercent val="0"/>
              <c:showBubbleSize val="0"/>
            </c:dLbl>
            <c:dLbl>
              <c:idx val="5"/>
              <c:layout/>
              <c:tx>
                <c:rich>
                  <a:bodyPr/>
                  <a:lstStyle/>
                  <a:p>
                    <a:r>
                      <a:rPr lang="en-US"/>
                      <a:t> 15%</a:t>
                    </a:r>
                  </a:p>
                  <a:p>
                    <a:r>
                      <a:rPr lang="en-US"/>
                      <a:t>2,490 </a:t>
                    </a:r>
                  </a:p>
                </c:rich>
              </c:tx>
              <c:showLegendKey val="0"/>
              <c:showVal val="1"/>
              <c:showCatName val="0"/>
              <c:showSerName val="0"/>
              <c:showPercent val="0"/>
              <c:showBubbleSize val="0"/>
            </c:dLbl>
            <c:dLbl>
              <c:idx val="6"/>
              <c:layout/>
              <c:tx>
                <c:rich>
                  <a:bodyPr/>
                  <a:lstStyle/>
                  <a:p>
                    <a:r>
                      <a:rPr lang="en-US"/>
                      <a:t>21% </a:t>
                    </a:r>
                  </a:p>
                  <a:p>
                    <a:r>
                      <a:rPr lang="en-US"/>
                      <a:t>3,391 </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'[Vic CUbe queries.xlsx]FInal OUtcomes Achieved'!$A$53:$A$59</c:f>
              <c:strCache>
                <c:ptCount val="7"/>
                <c:pt idx="0">
                  <c:v>Attendance: improved consistently over the whole school term, or for 13 weeks.</c:v>
                </c:pt>
                <c:pt idx="1">
                  <c:v>Behaviour: improved consistently over the whole school term, or for 13 weeks.</c:v>
                </c:pt>
                <c:pt idx="2">
                  <c:v>Educational performance: improved consistently over the whole school term, or for 13 weeks.</c:v>
                </c:pt>
                <c:pt idx="3">
                  <c:v>Strengthened engagement: and remained engaged in education over the whole school term, or for 13 weeks.</c:v>
                </c:pt>
                <c:pt idx="4">
                  <c:v>Engaged in employment: and remained in that employment for 13 weeks.</c:v>
                </c:pt>
                <c:pt idx="5">
                  <c:v>Re-engaged in education: over the whole school term, or for 13 weeks.</c:v>
                </c:pt>
                <c:pt idx="6">
                  <c:v>Commenced in education</c:v>
                </c:pt>
              </c:strCache>
            </c:strRef>
          </c:cat>
          <c:val>
            <c:numRef>
              <c:f>'[Vic CUbe queries.xlsx]FInal OUtcomes Achieved'!$E$53:$E$59</c:f>
              <c:numCache>
                <c:formatCode>_-* #,##0_-;\-* #,##0_-;_-* "-"??_-;_-@_-</c:formatCode>
                <c:ptCount val="7"/>
                <c:pt idx="0">
                  <c:v>2454</c:v>
                </c:pt>
                <c:pt idx="1">
                  <c:v>2895</c:v>
                </c:pt>
                <c:pt idx="2">
                  <c:v>2463</c:v>
                </c:pt>
                <c:pt idx="3">
                  <c:v>1746</c:v>
                </c:pt>
                <c:pt idx="4">
                  <c:v>877</c:v>
                </c:pt>
                <c:pt idx="5">
                  <c:v>2490</c:v>
                </c:pt>
                <c:pt idx="6">
                  <c:v>3391</c:v>
                </c:pt>
              </c:numCache>
            </c:numRef>
          </c:val>
        </c:ser>
        <c:dLbls>
          <c:showLegendKey val="0"/>
          <c:showVal val="1"/>
          <c:showCatName val="0"/>
          <c:showSerName val="0"/>
          <c:showPercent val="0"/>
          <c:showBubbleSize val="0"/>
        </c:dLbls>
        <c:gapWidth val="150"/>
        <c:axId val="39568512"/>
        <c:axId val="39570048"/>
      </c:barChart>
      <c:catAx>
        <c:axId val="39568512"/>
        <c:scaling>
          <c:orientation val="minMax"/>
        </c:scaling>
        <c:delete val="0"/>
        <c:axPos val="b"/>
        <c:majorTickMark val="out"/>
        <c:minorTickMark val="none"/>
        <c:tickLblPos val="nextTo"/>
        <c:crossAx val="39570048"/>
        <c:crosses val="autoZero"/>
        <c:auto val="1"/>
        <c:lblAlgn val="ctr"/>
        <c:lblOffset val="100"/>
        <c:noMultiLvlLbl val="0"/>
      </c:catAx>
      <c:valAx>
        <c:axId val="39570048"/>
        <c:scaling>
          <c:orientation val="minMax"/>
        </c:scaling>
        <c:delete val="0"/>
        <c:axPos val="l"/>
        <c:majorGridlines/>
        <c:title>
          <c:tx>
            <c:rich>
              <a:bodyPr rot="-5400000" vert="horz"/>
              <a:lstStyle/>
              <a:p>
                <a:pPr>
                  <a:defRPr/>
                </a:pPr>
                <a:r>
                  <a:rPr lang="en-AU"/>
                  <a:t>Number of Outcome Achieved</a:t>
                </a:r>
              </a:p>
            </c:rich>
          </c:tx>
          <c:layout>
            <c:manualLayout>
              <c:xMode val="edge"/>
              <c:yMode val="edge"/>
              <c:x val="1.1523140303664619E-2"/>
              <c:y val="0.21271137418779043"/>
            </c:manualLayout>
          </c:layout>
          <c:overlay val="0"/>
        </c:title>
        <c:numFmt formatCode="_-* #,##0_-;\-* #,##0_-;_-* &quot;-&quot;??_-;_-@_-" sourceLinked="1"/>
        <c:majorTickMark val="out"/>
        <c:minorTickMark val="none"/>
        <c:tickLblPos val="nextTo"/>
        <c:crossAx val="395685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Northern Territory - Final Outcomes Achieved</a:t>
            </a:r>
          </a:p>
        </c:rich>
      </c:tx>
      <c:layout/>
      <c:overlay val="0"/>
    </c:title>
    <c:autoTitleDeleted val="0"/>
    <c:plotArea>
      <c:layout/>
      <c:barChart>
        <c:barDir val="col"/>
        <c:grouping val="clustered"/>
        <c:varyColors val="0"/>
        <c:ser>
          <c:idx val="0"/>
          <c:order val="0"/>
          <c:tx>
            <c:strRef>
              <c:f>'FInal OUtcomes Achieved'!$E$42</c:f>
              <c:strCache>
                <c:ptCount val="1"/>
                <c:pt idx="0">
                  <c:v>Total</c:v>
                </c:pt>
              </c:strCache>
            </c:strRef>
          </c:tx>
          <c:invertIfNegative val="0"/>
          <c:dLbls>
            <c:dLbl>
              <c:idx val="0"/>
              <c:layout/>
              <c:tx>
                <c:rich>
                  <a:bodyPr/>
                  <a:lstStyle/>
                  <a:p>
                    <a:r>
                      <a:rPr lang="en-US"/>
                      <a:t>21%</a:t>
                    </a:r>
                  </a:p>
                  <a:p>
                    <a:r>
                      <a:rPr lang="en-US"/>
                      <a:t> 25 </a:t>
                    </a:r>
                  </a:p>
                </c:rich>
              </c:tx>
              <c:dLblPos val="outEnd"/>
              <c:showLegendKey val="0"/>
              <c:showVal val="1"/>
              <c:showCatName val="0"/>
              <c:showSerName val="0"/>
              <c:showPercent val="0"/>
              <c:showBubbleSize val="0"/>
            </c:dLbl>
            <c:dLbl>
              <c:idx val="1"/>
              <c:layout/>
              <c:tx>
                <c:rich>
                  <a:bodyPr/>
                  <a:lstStyle/>
                  <a:p>
                    <a:r>
                      <a:rPr lang="en-US"/>
                      <a:t>28% </a:t>
                    </a:r>
                  </a:p>
                  <a:p>
                    <a:r>
                      <a:rPr lang="en-US"/>
                      <a:t>34 </a:t>
                    </a:r>
                  </a:p>
                </c:rich>
              </c:tx>
              <c:dLblPos val="outEnd"/>
              <c:showLegendKey val="0"/>
              <c:showVal val="1"/>
              <c:showCatName val="0"/>
              <c:showSerName val="0"/>
              <c:showPercent val="0"/>
              <c:showBubbleSize val="0"/>
            </c:dLbl>
            <c:dLbl>
              <c:idx val="2"/>
              <c:layout>
                <c:manualLayout>
                  <c:x val="0"/>
                  <c:y val="0"/>
                </c:manualLayout>
              </c:layout>
              <c:tx>
                <c:rich>
                  <a:bodyPr/>
                  <a:lstStyle/>
                  <a:p>
                    <a:r>
                      <a:rPr lang="en-US"/>
                      <a:t>6%</a:t>
                    </a:r>
                  </a:p>
                  <a:p>
                    <a:r>
                      <a:rPr lang="en-US"/>
                      <a:t> 7 </a:t>
                    </a:r>
                  </a:p>
                </c:rich>
              </c:tx>
              <c:dLblPos val="outEnd"/>
              <c:showLegendKey val="0"/>
              <c:showVal val="1"/>
              <c:showCatName val="0"/>
              <c:showSerName val="0"/>
              <c:showPercent val="0"/>
              <c:showBubbleSize val="0"/>
            </c:dLbl>
            <c:dLbl>
              <c:idx val="3"/>
              <c:layout>
                <c:manualLayout>
                  <c:x val="0"/>
                  <c:y val="9.6618357487922701E-3"/>
                </c:manualLayout>
              </c:layout>
              <c:tx>
                <c:rich>
                  <a:bodyPr/>
                  <a:lstStyle/>
                  <a:p>
                    <a:r>
                      <a:rPr lang="en-US"/>
                      <a:t>2%</a:t>
                    </a:r>
                  </a:p>
                  <a:p>
                    <a:r>
                      <a:rPr lang="en-US"/>
                      <a:t>2 </a:t>
                    </a:r>
                  </a:p>
                </c:rich>
              </c:tx>
              <c:dLblPos val="outEnd"/>
              <c:showLegendKey val="0"/>
              <c:showVal val="1"/>
              <c:showCatName val="0"/>
              <c:showSerName val="0"/>
              <c:showPercent val="0"/>
              <c:showBubbleSize val="0"/>
            </c:dLbl>
            <c:dLbl>
              <c:idx val="4"/>
              <c:layout/>
              <c:tx>
                <c:rich>
                  <a:bodyPr/>
                  <a:lstStyle/>
                  <a:p>
                    <a:r>
                      <a:rPr lang="en-US"/>
                      <a:t>10% </a:t>
                    </a:r>
                  </a:p>
                  <a:p>
                    <a:r>
                      <a:rPr lang="en-US"/>
                      <a:t>12 </a:t>
                    </a:r>
                  </a:p>
                </c:rich>
              </c:tx>
              <c:dLblPos val="outEnd"/>
              <c:showLegendKey val="0"/>
              <c:showVal val="1"/>
              <c:showCatName val="0"/>
              <c:showSerName val="0"/>
              <c:showPercent val="0"/>
              <c:showBubbleSize val="0"/>
            </c:dLbl>
            <c:dLbl>
              <c:idx val="5"/>
              <c:layout/>
              <c:tx>
                <c:rich>
                  <a:bodyPr/>
                  <a:lstStyle/>
                  <a:p>
                    <a:r>
                      <a:rPr lang="en-US"/>
                      <a:t>9%</a:t>
                    </a:r>
                  </a:p>
                  <a:p>
                    <a:r>
                      <a:rPr lang="en-US"/>
                      <a:t> 11 </a:t>
                    </a:r>
                  </a:p>
                </c:rich>
              </c:tx>
              <c:dLblPos val="outEnd"/>
              <c:showLegendKey val="0"/>
              <c:showVal val="1"/>
              <c:showCatName val="0"/>
              <c:showSerName val="0"/>
              <c:showPercent val="0"/>
              <c:showBubbleSize val="0"/>
            </c:dLbl>
            <c:dLbl>
              <c:idx val="6"/>
              <c:layout/>
              <c:tx>
                <c:rich>
                  <a:bodyPr/>
                  <a:lstStyle/>
                  <a:p>
                    <a:r>
                      <a:rPr lang="en-US"/>
                      <a:t>24% </a:t>
                    </a:r>
                  </a:p>
                  <a:p>
                    <a:r>
                      <a:rPr lang="en-US"/>
                      <a:t>29 </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'FInal OUtcomes Achieved'!$A$43:$A$49</c:f>
              <c:strCache>
                <c:ptCount val="7"/>
                <c:pt idx="0">
                  <c:v>Attendance: improved consistently over the whole school term, or for 13 weeks.</c:v>
                </c:pt>
                <c:pt idx="1">
                  <c:v>Behaviour: improved consistently over the whole school term, or for 13 weeks.</c:v>
                </c:pt>
                <c:pt idx="2">
                  <c:v>Educational performance: improved consistently over the whole school term, or for 13 weeks.</c:v>
                </c:pt>
                <c:pt idx="3">
                  <c:v>Strengthened engagement: and remained engaged in education over the whole school term, or for 13 weeks.</c:v>
                </c:pt>
                <c:pt idx="4">
                  <c:v>Engaged in employment: and remained in that employment for 13 weeks.</c:v>
                </c:pt>
                <c:pt idx="5">
                  <c:v>Re-engaged in education: over the whole school term, or for 13 weeks.</c:v>
                </c:pt>
                <c:pt idx="6">
                  <c:v>Commenced in education</c:v>
                </c:pt>
              </c:strCache>
            </c:strRef>
          </c:cat>
          <c:val>
            <c:numRef>
              <c:f>'FInal OUtcomes Achieved'!$E$43:$E$49</c:f>
              <c:numCache>
                <c:formatCode>_-* #,##0_-;\-* #,##0_-;_-* "-"??_-;_-@_-</c:formatCode>
                <c:ptCount val="7"/>
                <c:pt idx="0">
                  <c:v>25</c:v>
                </c:pt>
                <c:pt idx="1">
                  <c:v>34</c:v>
                </c:pt>
                <c:pt idx="2">
                  <c:v>7</c:v>
                </c:pt>
                <c:pt idx="3">
                  <c:v>2</c:v>
                </c:pt>
                <c:pt idx="4">
                  <c:v>12</c:v>
                </c:pt>
                <c:pt idx="5">
                  <c:v>11</c:v>
                </c:pt>
                <c:pt idx="6">
                  <c:v>29</c:v>
                </c:pt>
              </c:numCache>
            </c:numRef>
          </c:val>
        </c:ser>
        <c:dLbls>
          <c:showLegendKey val="0"/>
          <c:showVal val="0"/>
          <c:showCatName val="0"/>
          <c:showSerName val="0"/>
          <c:showPercent val="0"/>
          <c:showBubbleSize val="0"/>
        </c:dLbls>
        <c:gapWidth val="150"/>
        <c:axId val="91773952"/>
        <c:axId val="39301888"/>
      </c:barChart>
      <c:catAx>
        <c:axId val="91773952"/>
        <c:scaling>
          <c:orientation val="minMax"/>
        </c:scaling>
        <c:delete val="0"/>
        <c:axPos val="b"/>
        <c:majorTickMark val="out"/>
        <c:minorTickMark val="none"/>
        <c:tickLblPos val="nextTo"/>
        <c:crossAx val="39301888"/>
        <c:crosses val="autoZero"/>
        <c:auto val="1"/>
        <c:lblAlgn val="ctr"/>
        <c:lblOffset val="100"/>
        <c:noMultiLvlLbl val="0"/>
      </c:catAx>
      <c:valAx>
        <c:axId val="39301888"/>
        <c:scaling>
          <c:orientation val="minMax"/>
        </c:scaling>
        <c:delete val="0"/>
        <c:axPos val="l"/>
        <c:majorGridlines/>
        <c:title>
          <c:tx>
            <c:rich>
              <a:bodyPr rot="-5400000" vert="horz"/>
              <a:lstStyle/>
              <a:p>
                <a:pPr>
                  <a:defRPr/>
                </a:pPr>
                <a:r>
                  <a:rPr lang="en-US"/>
                  <a:t>Number of Outcomes Achieved</a:t>
                </a:r>
              </a:p>
            </c:rich>
          </c:tx>
          <c:layout/>
          <c:overlay val="0"/>
        </c:title>
        <c:numFmt formatCode="_-* #,##0_-;\-* #,##0_-;_-* &quot;-&quot;??_-;_-@_-" sourceLinked="1"/>
        <c:majorTickMark val="out"/>
        <c:minorTickMark val="none"/>
        <c:tickLblPos val="nextTo"/>
        <c:crossAx val="917739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 of Total Indigenous</a:t>
            </a:r>
            <a:r>
              <a:rPr lang="en-AU" sz="1200" baseline="0"/>
              <a:t> Participants by State</a:t>
            </a:r>
            <a:endParaRPr lang="en-AU" sz="1200"/>
          </a:p>
        </c:rich>
      </c:tx>
      <c:layout>
        <c:manualLayout>
          <c:xMode val="edge"/>
          <c:yMode val="edge"/>
          <c:x val="0.19809033245844362"/>
          <c:y val="2.7777777777778064E-2"/>
        </c:manualLayout>
      </c:layout>
      <c:overlay val="0"/>
    </c:title>
    <c:autoTitleDeleted val="0"/>
    <c:plotArea>
      <c:layout/>
      <c:pieChart>
        <c:varyColors val="1"/>
        <c:ser>
          <c:idx val="0"/>
          <c:order val="0"/>
          <c:dLbls>
            <c:dLbl>
              <c:idx val="0"/>
              <c:layout>
                <c:manualLayout>
                  <c:x val="0.15585623225668221"/>
                  <c:y val="2.1762844712904041E-2"/>
                </c:manualLayout>
              </c:layout>
              <c:showLegendKey val="0"/>
              <c:showVal val="0"/>
              <c:showCatName val="1"/>
              <c:showSerName val="0"/>
              <c:showPercent val="1"/>
              <c:showBubbleSize val="0"/>
            </c:dLbl>
            <c:dLbl>
              <c:idx val="4"/>
              <c:layout>
                <c:manualLayout>
                  <c:x val="-8.3899818645118363E-2"/>
                  <c:y val="5.1145507496494276E-2"/>
                </c:manualLayout>
              </c:layout>
              <c:showLegendKey val="0"/>
              <c:showVal val="0"/>
              <c:showCatName val="1"/>
              <c:showSerName val="0"/>
              <c:showPercent val="1"/>
              <c:showBubbleSize val="0"/>
            </c:dLbl>
            <c:dLbl>
              <c:idx val="5"/>
              <c:layout>
                <c:manualLayout>
                  <c:x val="-6.5065999403135913E-2"/>
                  <c:y val="-6.1482040772300724E-4"/>
                </c:manualLayout>
              </c:layout>
              <c:showLegendKey val="0"/>
              <c:showVal val="0"/>
              <c:showCatName val="1"/>
              <c:showSerName val="0"/>
              <c:showPercent val="1"/>
              <c:showBubbleSize val="0"/>
            </c:dLbl>
            <c:dLbl>
              <c:idx val="6"/>
              <c:layout>
                <c:manualLayout>
                  <c:x val="-3.3991720422702272E-2"/>
                  <c:y val="-6.174954158127474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Indigenous!$A$42:$A$49</c:f>
              <c:strCache>
                <c:ptCount val="8"/>
                <c:pt idx="0">
                  <c:v>ACT</c:v>
                </c:pt>
                <c:pt idx="1">
                  <c:v>NSW</c:v>
                </c:pt>
                <c:pt idx="2">
                  <c:v>NT</c:v>
                </c:pt>
                <c:pt idx="3">
                  <c:v>QLD</c:v>
                </c:pt>
                <c:pt idx="4">
                  <c:v>SA</c:v>
                </c:pt>
                <c:pt idx="5">
                  <c:v>TAS</c:v>
                </c:pt>
                <c:pt idx="6">
                  <c:v>VIC</c:v>
                </c:pt>
                <c:pt idx="7">
                  <c:v>WA</c:v>
                </c:pt>
              </c:strCache>
            </c:strRef>
          </c:cat>
          <c:val>
            <c:numRef>
              <c:f>Indigenous!$B$42:$B$49</c:f>
              <c:numCache>
                <c:formatCode>0%</c:formatCode>
                <c:ptCount val="8"/>
                <c:pt idx="0">
                  <c:v>8.0385852090032774E-3</c:v>
                </c:pt>
                <c:pt idx="1">
                  <c:v>0.43270555810748734</c:v>
                </c:pt>
                <c:pt idx="2">
                  <c:v>8.4519981626090965E-2</c:v>
                </c:pt>
                <c:pt idx="3">
                  <c:v>0.20532843362425371</c:v>
                </c:pt>
                <c:pt idx="4">
                  <c:v>4.5016077170418299E-2</c:v>
                </c:pt>
                <c:pt idx="5">
                  <c:v>7.5792374827745243E-3</c:v>
                </c:pt>
                <c:pt idx="6">
                  <c:v>6.3160312356453835E-2</c:v>
                </c:pt>
                <c:pt idx="7">
                  <c:v>0.15365181442351802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 of caseload that</a:t>
            </a:r>
            <a:r>
              <a:rPr lang="en-AU" sz="1200" baseline="0"/>
              <a:t> is Indigenous</a:t>
            </a:r>
            <a:endParaRPr lang="en-AU" sz="1200"/>
          </a:p>
        </c:rich>
      </c:tx>
      <c:layout/>
      <c:overlay val="0"/>
    </c:title>
    <c:autoTitleDeleted val="0"/>
    <c:plotArea>
      <c:layout/>
      <c:barChart>
        <c:barDir val="bar"/>
        <c:grouping val="clustered"/>
        <c:varyColors val="0"/>
        <c:ser>
          <c:idx val="2"/>
          <c:order val="0"/>
          <c:spPr>
            <a:solidFill>
              <a:schemeClr val="accent1"/>
            </a:solidFill>
          </c:spPr>
          <c:invertIfNegative val="0"/>
          <c:cat>
            <c:strRef>
              <c:f>(Indigenous!$A$44,Indigenous!$A$50)</c:f>
              <c:strCache>
                <c:ptCount val="2"/>
                <c:pt idx="0">
                  <c:v>NT</c:v>
                </c:pt>
                <c:pt idx="1">
                  <c:v>National</c:v>
                </c:pt>
              </c:strCache>
            </c:strRef>
          </c:cat>
          <c:val>
            <c:numRef>
              <c:f>(Indigenous!$C$44,Indigenous!$C$50)</c:f>
              <c:numCache>
                <c:formatCode>0%</c:formatCode>
                <c:ptCount val="2"/>
                <c:pt idx="0">
                  <c:v>0.7215686274509806</c:v>
                </c:pt>
                <c:pt idx="1">
                  <c:v>0.17600452744765138</c:v>
                </c:pt>
              </c:numCache>
            </c:numRef>
          </c:val>
        </c:ser>
        <c:dLbls>
          <c:showLegendKey val="0"/>
          <c:showVal val="1"/>
          <c:showCatName val="0"/>
          <c:showSerName val="0"/>
          <c:showPercent val="0"/>
          <c:showBubbleSize val="0"/>
        </c:dLbls>
        <c:gapWidth val="150"/>
        <c:axId val="39620992"/>
        <c:axId val="39622528"/>
      </c:barChart>
      <c:catAx>
        <c:axId val="39620992"/>
        <c:scaling>
          <c:orientation val="minMax"/>
        </c:scaling>
        <c:delete val="0"/>
        <c:axPos val="l"/>
        <c:majorTickMark val="none"/>
        <c:minorTickMark val="none"/>
        <c:tickLblPos val="nextTo"/>
        <c:crossAx val="39622528"/>
        <c:crosses val="autoZero"/>
        <c:auto val="1"/>
        <c:lblAlgn val="ctr"/>
        <c:lblOffset val="100"/>
        <c:noMultiLvlLbl val="0"/>
      </c:catAx>
      <c:valAx>
        <c:axId val="39622528"/>
        <c:scaling>
          <c:orientation val="minMax"/>
        </c:scaling>
        <c:delete val="0"/>
        <c:axPos val="b"/>
        <c:majorGridlines/>
        <c:numFmt formatCode="0%" sourceLinked="1"/>
        <c:majorTickMark val="none"/>
        <c:minorTickMark val="none"/>
        <c:tickLblPos val="nextTo"/>
        <c:crossAx val="39620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5B8C-546C-4A92-9E85-FBD5DC1A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A2196718.dotm</Template>
  <TotalTime>3</TotalTime>
  <Pages>44</Pages>
  <Words>16152</Words>
  <Characters>92071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Anna Kelleher</cp:lastModifiedBy>
  <cp:revision>4</cp:revision>
  <cp:lastPrinted>2013-09-10T06:09:00Z</cp:lastPrinted>
  <dcterms:created xsi:type="dcterms:W3CDTF">2011-06-07T06:47:00Z</dcterms:created>
  <dcterms:modified xsi:type="dcterms:W3CDTF">2013-09-10T06:10:00Z</dcterms:modified>
</cp:coreProperties>
</file>