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5A4C" w14:textId="39F0CC5F" w:rsidR="00B343F5" w:rsidRPr="00444FB7" w:rsidRDefault="003231D3">
      <w:pPr>
        <w:rPr>
          <w:sz w:val="52"/>
          <w:szCs w:val="52"/>
        </w:rPr>
      </w:pPr>
      <w:r w:rsidRPr="00444FB7">
        <w:rPr>
          <w:sz w:val="52"/>
          <w:szCs w:val="52"/>
        </w:rPr>
        <w:t>[</w:t>
      </w:r>
      <w:r w:rsidR="00752060">
        <w:rPr>
          <w:sz w:val="52"/>
          <w:szCs w:val="52"/>
        </w:rPr>
        <w:t xml:space="preserve">Insert </w:t>
      </w:r>
      <w:r w:rsidRPr="00444FB7">
        <w:rPr>
          <w:sz w:val="52"/>
          <w:szCs w:val="52"/>
        </w:rPr>
        <w:t>Higher Education Provider Name]</w:t>
      </w:r>
    </w:p>
    <w:p w14:paraId="460A1411" w14:textId="21FF49CD" w:rsidR="003231D3" w:rsidRPr="00444FB7" w:rsidRDefault="003231D3">
      <w:pPr>
        <w:rPr>
          <w:sz w:val="52"/>
          <w:szCs w:val="52"/>
        </w:rPr>
      </w:pPr>
      <w:r w:rsidRPr="00444FB7">
        <w:rPr>
          <w:sz w:val="52"/>
          <w:szCs w:val="52"/>
        </w:rPr>
        <w:t>Student Services and Amenities Fee (SSAF)</w:t>
      </w:r>
    </w:p>
    <w:p w14:paraId="59BEFF8F" w14:textId="448B454C" w:rsidR="003231D3" w:rsidRDefault="003231D3">
      <w:pPr>
        <w:rPr>
          <w:sz w:val="52"/>
          <w:szCs w:val="52"/>
        </w:rPr>
      </w:pPr>
      <w:r w:rsidRPr="00444FB7">
        <w:rPr>
          <w:sz w:val="52"/>
          <w:szCs w:val="52"/>
        </w:rPr>
        <w:t>[</w:t>
      </w:r>
      <w:r w:rsidR="00752060">
        <w:rPr>
          <w:sz w:val="52"/>
          <w:szCs w:val="52"/>
        </w:rPr>
        <w:t xml:space="preserve">Insert </w:t>
      </w:r>
      <w:r w:rsidR="003D4BC5">
        <w:rPr>
          <w:sz w:val="52"/>
          <w:szCs w:val="52"/>
        </w:rPr>
        <w:t>Report</w:t>
      </w:r>
      <w:r w:rsidR="00875BBD">
        <w:rPr>
          <w:sz w:val="52"/>
          <w:szCs w:val="52"/>
        </w:rPr>
        <w:t>ed</w:t>
      </w:r>
      <w:r w:rsidR="003D4BC5">
        <w:rPr>
          <w:sz w:val="52"/>
          <w:szCs w:val="52"/>
        </w:rPr>
        <w:t xml:space="preserve"> </w:t>
      </w:r>
      <w:r w:rsidR="005623AD">
        <w:rPr>
          <w:sz w:val="52"/>
          <w:szCs w:val="52"/>
        </w:rPr>
        <w:t>Year</w:t>
      </w:r>
      <w:r w:rsidRPr="00444FB7">
        <w:rPr>
          <w:sz w:val="52"/>
          <w:szCs w:val="52"/>
        </w:rPr>
        <w:t>] Allocation Report</w:t>
      </w:r>
    </w:p>
    <w:p w14:paraId="79EC739C" w14:textId="7F1C20D4" w:rsidR="003231D3" w:rsidRDefault="003231D3">
      <w:pPr>
        <w:rPr>
          <w:sz w:val="32"/>
          <w:szCs w:val="32"/>
        </w:rPr>
      </w:pPr>
    </w:p>
    <w:p w14:paraId="75245A47" w14:textId="0EA839FA" w:rsidR="003231D3" w:rsidRDefault="003231D3">
      <w:pPr>
        <w:rPr>
          <w:sz w:val="32"/>
          <w:szCs w:val="32"/>
        </w:rPr>
      </w:pPr>
    </w:p>
    <w:p w14:paraId="66C4D9C0" w14:textId="28E281DA" w:rsidR="003231D3" w:rsidRDefault="003231D3">
      <w:pPr>
        <w:rPr>
          <w:sz w:val="32"/>
          <w:szCs w:val="32"/>
        </w:rPr>
      </w:pPr>
    </w:p>
    <w:p w14:paraId="149C5FA4" w14:textId="4E0DC914" w:rsidR="003231D3" w:rsidRDefault="003231D3">
      <w:pPr>
        <w:rPr>
          <w:sz w:val="32"/>
          <w:szCs w:val="32"/>
        </w:rPr>
      </w:pPr>
    </w:p>
    <w:p w14:paraId="01E7EE71" w14:textId="39B3274A" w:rsidR="003231D3" w:rsidRDefault="003231D3">
      <w:pPr>
        <w:rPr>
          <w:sz w:val="32"/>
          <w:szCs w:val="32"/>
        </w:rPr>
      </w:pPr>
    </w:p>
    <w:p w14:paraId="28F70B3E" w14:textId="28770D56" w:rsidR="003231D3" w:rsidRDefault="003231D3">
      <w:pPr>
        <w:rPr>
          <w:sz w:val="32"/>
          <w:szCs w:val="32"/>
        </w:rPr>
      </w:pPr>
    </w:p>
    <w:p w14:paraId="7A475E7A" w14:textId="1F005E0A" w:rsidR="003231D3" w:rsidRDefault="003231D3">
      <w:pPr>
        <w:rPr>
          <w:sz w:val="32"/>
          <w:szCs w:val="32"/>
        </w:rPr>
      </w:pPr>
    </w:p>
    <w:p w14:paraId="6C2478E0" w14:textId="4E3E2202" w:rsidR="003231D3" w:rsidRDefault="003231D3">
      <w:pPr>
        <w:rPr>
          <w:sz w:val="32"/>
          <w:szCs w:val="32"/>
        </w:rPr>
      </w:pPr>
    </w:p>
    <w:p w14:paraId="40AB91A6" w14:textId="10FF6EDD" w:rsidR="003231D3" w:rsidRDefault="003231D3">
      <w:pPr>
        <w:rPr>
          <w:sz w:val="32"/>
          <w:szCs w:val="32"/>
        </w:rPr>
      </w:pPr>
    </w:p>
    <w:p w14:paraId="015DFD91" w14:textId="0DD55F8C" w:rsidR="003231D3" w:rsidRDefault="003231D3">
      <w:pPr>
        <w:rPr>
          <w:sz w:val="32"/>
          <w:szCs w:val="32"/>
        </w:rPr>
      </w:pPr>
    </w:p>
    <w:p w14:paraId="4DBF365B" w14:textId="3B9524C0" w:rsidR="003231D3" w:rsidRDefault="003231D3">
      <w:pPr>
        <w:rPr>
          <w:sz w:val="32"/>
          <w:szCs w:val="32"/>
        </w:rPr>
      </w:pPr>
    </w:p>
    <w:p w14:paraId="63AFBA41" w14:textId="67894E04" w:rsidR="003231D3" w:rsidRDefault="003231D3">
      <w:pPr>
        <w:rPr>
          <w:sz w:val="32"/>
          <w:szCs w:val="32"/>
        </w:rPr>
      </w:pPr>
    </w:p>
    <w:p w14:paraId="4D820E3B" w14:textId="3761B16D" w:rsidR="009C22AC" w:rsidRPr="009C22AC" w:rsidRDefault="006B3942" w:rsidP="007B5933">
      <w:r>
        <w:t>T</w:t>
      </w:r>
      <w:r w:rsidR="009C22AC">
        <w:t xml:space="preserve">he </w:t>
      </w:r>
      <w:r w:rsidR="009C22AC" w:rsidRPr="009C22AC">
        <w:rPr>
          <w:i/>
          <w:iCs/>
        </w:rPr>
        <w:t>Higher Education Support (Student Services, Amenities, Representation and Advocacy) Guidelines 2022</w:t>
      </w:r>
      <w:r>
        <w:t xml:space="preserve"> </w:t>
      </w:r>
      <w:r w:rsidR="009C22AC">
        <w:t xml:space="preserve">require higher education providers to provide a publicly available report on </w:t>
      </w:r>
      <w:r w:rsidR="009C22AC" w:rsidRPr="009C22AC">
        <w:t>student services and amenities fee</w:t>
      </w:r>
      <w:r w:rsidR="00A50074">
        <w:t xml:space="preserve"> (SSAF)</w:t>
      </w:r>
      <w:r w:rsidR="009C22AC" w:rsidRPr="009C22AC">
        <w:t xml:space="preserve"> allocations and actual expenditure for the year as part of their annual reporting and in the form approved by the Minister.</w:t>
      </w:r>
      <w:r w:rsidR="009C22AC">
        <w:t xml:space="preserve"> This </w:t>
      </w:r>
      <w:r w:rsidR="009C22AC" w:rsidRPr="002F07E2">
        <w:rPr>
          <w:i/>
          <w:iCs/>
        </w:rPr>
        <w:t>SSAF Allocation Report</w:t>
      </w:r>
      <w:r w:rsidR="009C22AC">
        <w:t xml:space="preserve"> is the form approved by the Minister.</w:t>
      </w:r>
    </w:p>
    <w:p w14:paraId="58717CD5" w14:textId="0F0CA4E2" w:rsidR="007B5933" w:rsidRPr="00CB73A0" w:rsidRDefault="00224AC1" w:rsidP="007B5933">
      <w:r>
        <w:t xml:space="preserve">Additional </w:t>
      </w:r>
      <w:r w:rsidR="002928AE">
        <w:t>r</w:t>
      </w:r>
      <w:r w:rsidR="00655E73">
        <w:t>eport</w:t>
      </w:r>
      <w:r>
        <w:t>ing</w:t>
      </w:r>
      <w:r w:rsidR="00655E73">
        <w:t xml:space="preserve"> </w:t>
      </w:r>
      <w:r w:rsidR="009C22AC">
        <w:t xml:space="preserve">was introduced to </w:t>
      </w:r>
      <w:r w:rsidR="007B5933" w:rsidRPr="00CB73A0">
        <w:t>allow for greater transparency and consistency in</w:t>
      </w:r>
      <w:r w:rsidR="007B5933">
        <w:t xml:space="preserve"> </w:t>
      </w:r>
      <w:r>
        <w:t xml:space="preserve">SSAF </w:t>
      </w:r>
      <w:r w:rsidR="00EA0F45">
        <w:t xml:space="preserve">allocations and </w:t>
      </w:r>
      <w:r w:rsidR="007B5933">
        <w:t>expenditure</w:t>
      </w:r>
      <w:r w:rsidR="009C22AC">
        <w:t>.</w:t>
      </w:r>
    </w:p>
    <w:p w14:paraId="59043D4F" w14:textId="06F8D60F" w:rsidR="009C22AC" w:rsidRPr="009C22AC" w:rsidRDefault="009C22AC" w:rsidP="009C22AC">
      <w:r w:rsidRPr="009C22AC">
        <w:t xml:space="preserve">Please note, the information provided in this </w:t>
      </w:r>
      <w:r w:rsidR="001B6B13">
        <w:rPr>
          <w:i/>
          <w:iCs/>
        </w:rPr>
        <w:t xml:space="preserve">SSAF </w:t>
      </w:r>
      <w:r w:rsidR="00224AC1" w:rsidRPr="00224AC1">
        <w:rPr>
          <w:i/>
          <w:iCs/>
        </w:rPr>
        <w:t xml:space="preserve">Allocation </w:t>
      </w:r>
      <w:r w:rsidR="005C081B">
        <w:rPr>
          <w:i/>
          <w:iCs/>
        </w:rPr>
        <w:t>R</w:t>
      </w:r>
      <w:r w:rsidRPr="00224AC1">
        <w:rPr>
          <w:i/>
          <w:iCs/>
        </w:rPr>
        <w:t>eport</w:t>
      </w:r>
      <w:r w:rsidRPr="009C22AC">
        <w:t xml:space="preserve"> </w:t>
      </w:r>
      <w:r w:rsidR="001B6B13">
        <w:t>does</w:t>
      </w:r>
      <w:r w:rsidRPr="009C22AC">
        <w:t xml:space="preserve"> </w:t>
      </w:r>
      <w:r w:rsidRPr="001B6B13">
        <w:rPr>
          <w:b/>
          <w:bCs/>
        </w:rPr>
        <w:t>not</w:t>
      </w:r>
      <w:r w:rsidRPr="009C22AC">
        <w:t xml:space="preserve"> require audit</w:t>
      </w:r>
      <w:r w:rsidR="001B6B13">
        <w:t>ing</w:t>
      </w:r>
      <w:r w:rsidR="00224AC1">
        <w:t xml:space="preserve"> by a financial accountant</w:t>
      </w:r>
      <w:r w:rsidRPr="009C22AC">
        <w:t>.</w:t>
      </w:r>
      <w:r w:rsidR="00224AC1">
        <w:t xml:space="preserve"> </w:t>
      </w:r>
      <w:r w:rsidR="001B6B13">
        <w:t xml:space="preserve">The </w:t>
      </w:r>
      <w:r w:rsidR="00224AC1">
        <w:t xml:space="preserve">SSAF </w:t>
      </w:r>
      <w:r w:rsidR="00224AC1" w:rsidRPr="00C66623">
        <w:rPr>
          <w:u w:val="single"/>
        </w:rPr>
        <w:t>expenditure reporting remains unchanged</w:t>
      </w:r>
      <w:r w:rsidR="00224AC1">
        <w:t>, more information can be found</w:t>
      </w:r>
      <w:r w:rsidR="0063543C">
        <w:t xml:space="preserve"> in the </w:t>
      </w:r>
      <w:hyperlink r:id="rId10" w:history="1">
        <w:r w:rsidR="0063543C" w:rsidRPr="0063543C">
          <w:rPr>
            <w:rStyle w:val="Hyperlink"/>
            <w:rFonts w:cstheme="minorBidi"/>
          </w:rPr>
          <w:t>Financial Statements Guidelines</w:t>
        </w:r>
      </w:hyperlink>
      <w:r w:rsidR="00E65B8C" w:rsidRPr="00E65B8C">
        <w:t xml:space="preserve"> </w:t>
      </w:r>
      <w:r w:rsidR="00E65B8C">
        <w:t xml:space="preserve">for Table A and B providers, and in the </w:t>
      </w:r>
      <w:hyperlink r:id="rId11" w:history="1">
        <w:r w:rsidR="00E65B8C" w:rsidRPr="00E65B8C">
          <w:rPr>
            <w:rStyle w:val="Hyperlink"/>
            <w:rFonts w:cstheme="minorBidi"/>
            <w:i/>
            <w:iCs/>
          </w:rPr>
          <w:t>Financial Viability Instructions: Applicants and Providers of FEE-HELP</w:t>
        </w:r>
        <w:r w:rsidR="00E65B8C" w:rsidRPr="00E65B8C">
          <w:rPr>
            <w:rStyle w:val="Hyperlink"/>
            <w:rFonts w:cstheme="minorBidi"/>
          </w:rPr>
          <w:t xml:space="preserve"> (FVI)</w:t>
        </w:r>
      </w:hyperlink>
      <w:r w:rsidR="00E65B8C">
        <w:t xml:space="preserve"> for all other approved providers</w:t>
      </w:r>
      <w:r w:rsidR="00224AC1">
        <w:t xml:space="preserve">. </w:t>
      </w:r>
    </w:p>
    <w:p w14:paraId="1E33FE75" w14:textId="43318A02" w:rsidR="00666DD7" w:rsidRPr="00BA1A89" w:rsidRDefault="00666DD7" w:rsidP="00666DD7">
      <w:pPr>
        <w:rPr>
          <w:b/>
          <w:bCs/>
          <w:color w:val="4472C4" w:themeColor="accent1"/>
        </w:rPr>
      </w:pPr>
      <w:r w:rsidRPr="00BA1A89">
        <w:rPr>
          <w:b/>
          <w:bCs/>
          <w:color w:val="4472C4" w:themeColor="accent1"/>
        </w:rPr>
        <w:t xml:space="preserve">[Delete </w:t>
      </w:r>
      <w:r>
        <w:rPr>
          <w:b/>
          <w:bCs/>
          <w:color w:val="4472C4" w:themeColor="accent1"/>
        </w:rPr>
        <w:t xml:space="preserve">all </w:t>
      </w:r>
      <w:r w:rsidRPr="00BA1A89">
        <w:rPr>
          <w:b/>
          <w:bCs/>
          <w:color w:val="4472C4" w:themeColor="accent1"/>
        </w:rPr>
        <w:t xml:space="preserve">blue </w:t>
      </w:r>
      <w:r>
        <w:rPr>
          <w:b/>
          <w:bCs/>
          <w:color w:val="4472C4" w:themeColor="accent1"/>
        </w:rPr>
        <w:t xml:space="preserve">instructional </w:t>
      </w:r>
      <w:r w:rsidRPr="00BA1A89">
        <w:rPr>
          <w:b/>
          <w:bCs/>
          <w:color w:val="4472C4" w:themeColor="accent1"/>
        </w:rPr>
        <w:t xml:space="preserve">text before </w:t>
      </w:r>
      <w:r>
        <w:rPr>
          <w:b/>
          <w:bCs/>
          <w:color w:val="4472C4" w:themeColor="accent1"/>
        </w:rPr>
        <w:t>converting this document to a PDF and uploading to your website</w:t>
      </w:r>
      <w:r w:rsidR="005623AD">
        <w:rPr>
          <w:b/>
          <w:bCs/>
          <w:color w:val="4472C4" w:themeColor="accent1"/>
        </w:rPr>
        <w:t>.</w:t>
      </w:r>
      <w:r w:rsidRPr="00BA1A89">
        <w:rPr>
          <w:b/>
          <w:bCs/>
          <w:color w:val="4472C4" w:themeColor="accent1"/>
        </w:rPr>
        <w:t>]</w:t>
      </w:r>
    </w:p>
    <w:p w14:paraId="4218594D" w14:textId="16C49425" w:rsidR="00666DD7" w:rsidRPr="00666DD7" w:rsidRDefault="00666DD7">
      <w:pPr>
        <w:rPr>
          <w:sz w:val="52"/>
          <w:szCs w:val="52"/>
        </w:rPr>
      </w:pPr>
      <w:bookmarkStart w:id="0" w:name="OLE_LINK1"/>
      <w:r w:rsidRPr="00666DD7">
        <w:rPr>
          <w:sz w:val="52"/>
          <w:szCs w:val="52"/>
        </w:rPr>
        <w:lastRenderedPageBreak/>
        <w:t>SSAF Consultation and Achievements</w:t>
      </w:r>
    </w:p>
    <w:bookmarkEnd w:id="0"/>
    <w:p w14:paraId="66A9C9D0" w14:textId="67DE6C84" w:rsidR="0070329D" w:rsidRDefault="003231D3">
      <w:pPr>
        <w:rPr>
          <w:color w:val="4472C4" w:themeColor="accent1"/>
        </w:rPr>
      </w:pPr>
      <w:r w:rsidRPr="00B0572E">
        <w:rPr>
          <w:color w:val="4472C4" w:themeColor="accent1"/>
        </w:rPr>
        <w:t>[Provide a</w:t>
      </w:r>
      <w:r w:rsidR="000D4307">
        <w:rPr>
          <w:color w:val="4472C4" w:themeColor="accent1"/>
        </w:rPr>
        <w:t xml:space="preserve"> </w:t>
      </w:r>
      <w:r w:rsidRPr="00B0572E">
        <w:rPr>
          <w:color w:val="4472C4" w:themeColor="accent1"/>
        </w:rPr>
        <w:t xml:space="preserve">summary </w:t>
      </w:r>
      <w:r w:rsidR="000D4307">
        <w:rPr>
          <w:color w:val="4472C4" w:themeColor="accent1"/>
        </w:rPr>
        <w:t>about</w:t>
      </w:r>
      <w:r w:rsidRPr="00B0572E">
        <w:rPr>
          <w:color w:val="4472C4" w:themeColor="accent1"/>
        </w:rPr>
        <w:t xml:space="preserve"> what consultation was undertaken</w:t>
      </w:r>
      <w:r w:rsidR="000712BA">
        <w:rPr>
          <w:color w:val="4472C4" w:themeColor="accent1"/>
        </w:rPr>
        <w:t xml:space="preserve"> </w:t>
      </w:r>
      <w:r w:rsidRPr="00B0572E">
        <w:rPr>
          <w:color w:val="4472C4" w:themeColor="accent1"/>
        </w:rPr>
        <w:t>with students about the specific uses of SSAF revenue</w:t>
      </w:r>
      <w:r w:rsidR="00D250BD">
        <w:rPr>
          <w:color w:val="4472C4" w:themeColor="accent1"/>
        </w:rPr>
        <w:t xml:space="preserve"> and the outcome of this consultation (i.e.</w:t>
      </w:r>
      <w:r w:rsidRPr="00B0572E">
        <w:rPr>
          <w:color w:val="4472C4" w:themeColor="accent1"/>
        </w:rPr>
        <w:t xml:space="preserve"> </w:t>
      </w:r>
      <w:r w:rsidR="00D250BD" w:rsidRPr="00D250BD">
        <w:rPr>
          <w:color w:val="4472C4" w:themeColor="accent1"/>
        </w:rPr>
        <w:t>information on the established priorities, proposed heads of expenditure and projects to be funded</w:t>
      </w:r>
      <w:r w:rsidR="005623AD">
        <w:rPr>
          <w:color w:val="4472C4" w:themeColor="accent1"/>
        </w:rPr>
        <w:t xml:space="preserve"> in the reporting year</w:t>
      </w:r>
      <w:r w:rsidR="00D250BD">
        <w:rPr>
          <w:color w:val="4472C4" w:themeColor="accent1"/>
        </w:rPr>
        <w:t xml:space="preserve">) </w:t>
      </w:r>
      <w:r w:rsidRPr="00B0572E">
        <w:rPr>
          <w:color w:val="4472C4" w:themeColor="accent1"/>
        </w:rPr>
        <w:t xml:space="preserve">as required by </w:t>
      </w:r>
      <w:r w:rsidR="00EA0F45">
        <w:rPr>
          <w:color w:val="4472C4" w:themeColor="accent1"/>
        </w:rPr>
        <w:t>P</w:t>
      </w:r>
      <w:r w:rsidR="00C24AEB">
        <w:rPr>
          <w:color w:val="4472C4" w:themeColor="accent1"/>
        </w:rPr>
        <w:t xml:space="preserve">art 3 of the </w:t>
      </w:r>
      <w:r w:rsidR="00E14E39" w:rsidRPr="00E14E39">
        <w:rPr>
          <w:i/>
          <w:iCs/>
          <w:color w:val="4472C4" w:themeColor="accent1"/>
        </w:rPr>
        <w:t>Higher Education Support (Student Services, Amenities, Representation and Advocacy) Guidelines 2022</w:t>
      </w:r>
      <w:r w:rsidR="006C013A" w:rsidRPr="00B0572E">
        <w:rPr>
          <w:i/>
          <w:iCs/>
          <w:color w:val="4472C4" w:themeColor="accent1"/>
        </w:rPr>
        <w:t>,</w:t>
      </w:r>
      <w:r w:rsidRPr="00B0572E">
        <w:rPr>
          <w:color w:val="4472C4" w:themeColor="accent1"/>
        </w:rPr>
        <w:t xml:space="preserve"> what steps were taken to ensure that SSAF revenue was</w:t>
      </w:r>
      <w:r w:rsidR="00E53483">
        <w:rPr>
          <w:color w:val="4472C4" w:themeColor="accent1"/>
        </w:rPr>
        <w:t xml:space="preserve"> </w:t>
      </w:r>
      <w:r w:rsidRPr="00B0572E">
        <w:rPr>
          <w:color w:val="4472C4" w:themeColor="accent1"/>
        </w:rPr>
        <w:t xml:space="preserve">expended in accordance with </w:t>
      </w:r>
      <w:r w:rsidR="00EA0F45">
        <w:rPr>
          <w:color w:val="4472C4" w:themeColor="accent1"/>
        </w:rPr>
        <w:t>sub</w:t>
      </w:r>
      <w:r w:rsidR="00C24AEB">
        <w:rPr>
          <w:color w:val="4472C4" w:themeColor="accent1"/>
        </w:rPr>
        <w:t xml:space="preserve">section 19-38(4) of </w:t>
      </w:r>
      <w:r w:rsidRPr="00B0572E">
        <w:rPr>
          <w:color w:val="4472C4" w:themeColor="accent1"/>
        </w:rPr>
        <w:t xml:space="preserve">the </w:t>
      </w:r>
      <w:r w:rsidRPr="00B0572E">
        <w:rPr>
          <w:i/>
          <w:iCs/>
          <w:color w:val="4472C4" w:themeColor="accent1"/>
        </w:rPr>
        <w:t>Higher Education Support Act 2003</w:t>
      </w:r>
      <w:r w:rsidRPr="00B0572E">
        <w:rPr>
          <w:color w:val="4472C4" w:themeColor="accent1"/>
        </w:rPr>
        <w:t xml:space="preserve"> (HESA), and what SSAF funding achieved in the reported year.</w:t>
      </w:r>
      <w:r w:rsidR="00EA0F45">
        <w:rPr>
          <w:color w:val="4472C4" w:themeColor="accent1"/>
        </w:rPr>
        <w:t xml:space="preserve"> You may also </w:t>
      </w:r>
      <w:r w:rsidR="007D53FC">
        <w:rPr>
          <w:color w:val="4472C4" w:themeColor="accent1"/>
        </w:rPr>
        <w:t>include</w:t>
      </w:r>
      <w:r w:rsidR="00EA0F45">
        <w:rPr>
          <w:color w:val="4472C4" w:themeColor="accent1"/>
        </w:rPr>
        <w:t xml:space="preserve"> visuals if desired.</w:t>
      </w:r>
      <w:r w:rsidRPr="00B0572E">
        <w:rPr>
          <w:color w:val="4472C4" w:themeColor="accent1"/>
        </w:rPr>
        <w:t>]</w:t>
      </w:r>
    </w:p>
    <w:p w14:paraId="07912FAB" w14:textId="77777777" w:rsidR="00C66623" w:rsidRDefault="00C66623">
      <w:pPr>
        <w:rPr>
          <w:sz w:val="52"/>
          <w:szCs w:val="52"/>
        </w:rPr>
      </w:pPr>
    </w:p>
    <w:p w14:paraId="0035786D" w14:textId="17B14AD9" w:rsidR="00756714" w:rsidRDefault="00A60A20">
      <w:pPr>
        <w:rPr>
          <w:sz w:val="52"/>
          <w:szCs w:val="52"/>
        </w:rPr>
      </w:pPr>
      <w:r>
        <w:rPr>
          <w:sz w:val="52"/>
          <w:szCs w:val="52"/>
        </w:rPr>
        <w:t xml:space="preserve">SSAF </w:t>
      </w:r>
      <w:r w:rsidR="003231D3" w:rsidRPr="003231D3">
        <w:rPr>
          <w:sz w:val="52"/>
          <w:szCs w:val="52"/>
        </w:rPr>
        <w:t>Revenue Summary</w:t>
      </w:r>
    </w:p>
    <w:p w14:paraId="72ECB633" w14:textId="09217219" w:rsidR="00F47B52" w:rsidRPr="00257730" w:rsidRDefault="00F47B52" w:rsidP="00F47B52">
      <w:pPr>
        <w:rPr>
          <w:color w:val="4472C4" w:themeColor="accent1"/>
        </w:rPr>
      </w:pPr>
      <w:r w:rsidRPr="00257730">
        <w:rPr>
          <w:color w:val="4472C4" w:themeColor="accent1"/>
        </w:rPr>
        <w:t xml:space="preserve">[Provide </w:t>
      </w:r>
      <w:r w:rsidR="00165E5E">
        <w:rPr>
          <w:color w:val="4472C4" w:themeColor="accent1"/>
        </w:rPr>
        <w:t xml:space="preserve">data </w:t>
      </w:r>
      <w:r w:rsidR="00E76078">
        <w:rPr>
          <w:color w:val="4472C4" w:themeColor="accent1"/>
        </w:rPr>
        <w:t xml:space="preserve">below </w:t>
      </w:r>
      <w:r w:rsidR="00165E5E">
        <w:rPr>
          <w:color w:val="4472C4" w:themeColor="accent1"/>
        </w:rPr>
        <w:t xml:space="preserve">for the reported year’s </w:t>
      </w:r>
      <w:r w:rsidR="007B3082">
        <w:rPr>
          <w:color w:val="4472C4" w:themeColor="accent1"/>
        </w:rPr>
        <w:t>allocated</w:t>
      </w:r>
      <w:r w:rsidR="00165E5E">
        <w:rPr>
          <w:color w:val="4472C4" w:themeColor="accent1"/>
        </w:rPr>
        <w:t xml:space="preserve"> and actual</w:t>
      </w:r>
      <w:r w:rsidR="000460B9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SSAF </w:t>
      </w:r>
      <w:r w:rsidR="000460B9">
        <w:rPr>
          <w:color w:val="4472C4" w:themeColor="accent1"/>
        </w:rPr>
        <w:t>revenue</w:t>
      </w:r>
      <w:r>
        <w:rPr>
          <w:color w:val="4472C4" w:themeColor="accent1"/>
        </w:rPr>
        <w:t xml:space="preserve">. This should include SSAF funds carried forward from the </w:t>
      </w:r>
      <w:r w:rsidR="00165E5E">
        <w:rPr>
          <w:color w:val="4472C4" w:themeColor="accent1"/>
        </w:rPr>
        <w:t>previous</w:t>
      </w:r>
      <w:r>
        <w:rPr>
          <w:color w:val="4472C4" w:themeColor="accent1"/>
        </w:rPr>
        <w:t xml:space="preserve"> repor</w:t>
      </w:r>
      <w:r w:rsidR="00165E5E">
        <w:rPr>
          <w:color w:val="4472C4" w:themeColor="accent1"/>
        </w:rPr>
        <w:t>t</w:t>
      </w:r>
      <w:r w:rsidR="00875BBD">
        <w:rPr>
          <w:color w:val="4472C4" w:themeColor="accent1"/>
        </w:rPr>
        <w:t>ed</w:t>
      </w:r>
      <w:r w:rsidR="00165E5E">
        <w:rPr>
          <w:color w:val="4472C4" w:themeColor="accent1"/>
        </w:rPr>
        <w:t xml:space="preserve"> year and SSAF </w:t>
      </w:r>
      <w:r w:rsidR="00EA0F45">
        <w:rPr>
          <w:color w:val="4472C4" w:themeColor="accent1"/>
        </w:rPr>
        <w:t xml:space="preserve">funds </w:t>
      </w:r>
      <w:r w:rsidR="00165E5E">
        <w:rPr>
          <w:color w:val="4472C4" w:themeColor="accent1"/>
        </w:rPr>
        <w:t>carried over to the next reporting year.</w:t>
      </w:r>
      <w:r w:rsidRPr="00257730">
        <w:rPr>
          <w:color w:val="4472C4" w:themeColor="accent1"/>
        </w:rPr>
        <w:t>]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248"/>
        <w:gridCol w:w="2410"/>
        <w:gridCol w:w="2358"/>
      </w:tblGrid>
      <w:tr w:rsidR="003231D3" w14:paraId="2AB26049" w14:textId="77777777" w:rsidTr="009B2736">
        <w:trPr>
          <w:trHeight w:val="605"/>
        </w:trPr>
        <w:tc>
          <w:tcPr>
            <w:tcW w:w="4248" w:type="dxa"/>
            <w:tcBorders>
              <w:top w:val="nil"/>
              <w:left w:val="nil"/>
            </w:tcBorders>
          </w:tcPr>
          <w:p w14:paraId="336F3711" w14:textId="1507A3AB" w:rsidR="003231D3" w:rsidRDefault="003231D3"/>
        </w:tc>
        <w:tc>
          <w:tcPr>
            <w:tcW w:w="2410" w:type="dxa"/>
            <w:shd w:val="clear" w:color="auto" w:fill="E2EFDA"/>
            <w:vAlign w:val="center"/>
          </w:tcPr>
          <w:p w14:paraId="4CA04B96" w14:textId="3640A232" w:rsidR="003231D3" w:rsidRPr="00257730" w:rsidRDefault="003231D3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</w:t>
            </w:r>
            <w:r w:rsidR="002041E0">
              <w:rPr>
                <w:b/>
                <w:bCs/>
              </w:rPr>
              <w:t>I</w:t>
            </w:r>
            <w:r w:rsidR="008661B8">
              <w:rPr>
                <w:b/>
                <w:bCs/>
              </w:rPr>
              <w:t>nsert reported y</w:t>
            </w:r>
            <w:r w:rsidRPr="00257730">
              <w:rPr>
                <w:b/>
                <w:bCs/>
              </w:rPr>
              <w:t xml:space="preserve">ear] </w:t>
            </w:r>
            <w:r w:rsidR="00F96209">
              <w:rPr>
                <w:b/>
                <w:bCs/>
              </w:rPr>
              <w:t>Allocation</w:t>
            </w:r>
            <w:r w:rsidRPr="00257730">
              <w:rPr>
                <w:b/>
                <w:bCs/>
              </w:rPr>
              <w:t xml:space="preserve"> $</w:t>
            </w:r>
            <w:r w:rsidR="007B3082" w:rsidRPr="007B3082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358" w:type="dxa"/>
            <w:shd w:val="clear" w:color="auto" w:fill="E2EFDA"/>
            <w:vAlign w:val="center"/>
          </w:tcPr>
          <w:p w14:paraId="3C808D1D" w14:textId="21847F73" w:rsidR="003231D3" w:rsidRPr="00257730" w:rsidRDefault="003231D3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</w:t>
            </w:r>
            <w:r w:rsidR="002041E0">
              <w:rPr>
                <w:b/>
                <w:bCs/>
              </w:rPr>
              <w:t>I</w:t>
            </w:r>
            <w:r w:rsidR="008661B8">
              <w:rPr>
                <w:b/>
                <w:bCs/>
              </w:rPr>
              <w:t>nsert reported y</w:t>
            </w:r>
            <w:r w:rsidRPr="00257730">
              <w:rPr>
                <w:b/>
                <w:bCs/>
              </w:rPr>
              <w:t>ear] Actual $</w:t>
            </w:r>
          </w:p>
        </w:tc>
      </w:tr>
      <w:tr w:rsidR="003231D3" w14:paraId="0C351577" w14:textId="77777777" w:rsidTr="009B2736">
        <w:trPr>
          <w:trHeight w:val="608"/>
        </w:trPr>
        <w:tc>
          <w:tcPr>
            <w:tcW w:w="4248" w:type="dxa"/>
            <w:vAlign w:val="center"/>
          </w:tcPr>
          <w:p w14:paraId="1824A6B1" w14:textId="4015B6F2" w:rsidR="003231D3" w:rsidRDefault="003231D3" w:rsidP="003231D3">
            <w:r>
              <w:t>SSAF</w:t>
            </w:r>
            <w:r w:rsidR="00E1584F">
              <w:t xml:space="preserve"> R</w:t>
            </w:r>
            <w:r>
              <w:t>evenue</w:t>
            </w:r>
          </w:p>
        </w:tc>
        <w:tc>
          <w:tcPr>
            <w:tcW w:w="2410" w:type="dxa"/>
            <w:vAlign w:val="center"/>
          </w:tcPr>
          <w:p w14:paraId="511B836E" w14:textId="286943D7" w:rsidR="003231D3" w:rsidRDefault="003231D3" w:rsidP="009B2736">
            <w:pPr>
              <w:jc w:val="center"/>
            </w:pPr>
            <w:r>
              <w:t>$</w:t>
            </w:r>
          </w:p>
        </w:tc>
        <w:tc>
          <w:tcPr>
            <w:tcW w:w="2358" w:type="dxa"/>
            <w:vAlign w:val="center"/>
          </w:tcPr>
          <w:p w14:paraId="278DF678" w14:textId="632C0BEB" w:rsidR="003231D3" w:rsidRDefault="003231D3" w:rsidP="009B2736">
            <w:pPr>
              <w:jc w:val="center"/>
            </w:pPr>
            <w:r>
              <w:t>$</w:t>
            </w:r>
          </w:p>
        </w:tc>
      </w:tr>
      <w:tr w:rsidR="003231D3" w14:paraId="318751AB" w14:textId="77777777" w:rsidTr="009B2736">
        <w:trPr>
          <w:trHeight w:val="546"/>
        </w:trPr>
        <w:tc>
          <w:tcPr>
            <w:tcW w:w="4248" w:type="dxa"/>
            <w:vAlign w:val="center"/>
          </w:tcPr>
          <w:p w14:paraId="6B852EB9" w14:textId="5DC01759" w:rsidR="003231D3" w:rsidRDefault="003231D3" w:rsidP="003231D3">
            <w:r>
              <w:t>SSAF revenue carried forward from [</w:t>
            </w:r>
            <w:r w:rsidR="00875BBD">
              <w:t xml:space="preserve">insert </w:t>
            </w:r>
            <w:r>
              <w:t>previous reported year]</w:t>
            </w:r>
          </w:p>
        </w:tc>
        <w:tc>
          <w:tcPr>
            <w:tcW w:w="2410" w:type="dxa"/>
            <w:vAlign w:val="center"/>
          </w:tcPr>
          <w:p w14:paraId="6F5E6DC2" w14:textId="78F14237" w:rsidR="003231D3" w:rsidRDefault="003231D3" w:rsidP="009B2736">
            <w:pPr>
              <w:jc w:val="center"/>
            </w:pPr>
            <w:r>
              <w:t>$</w:t>
            </w:r>
          </w:p>
        </w:tc>
        <w:tc>
          <w:tcPr>
            <w:tcW w:w="2358" w:type="dxa"/>
            <w:vAlign w:val="center"/>
          </w:tcPr>
          <w:p w14:paraId="14A5A3BD" w14:textId="69825C44" w:rsidR="003231D3" w:rsidRDefault="003231D3" w:rsidP="009B2736">
            <w:pPr>
              <w:jc w:val="center"/>
            </w:pPr>
            <w:r>
              <w:t>$</w:t>
            </w:r>
          </w:p>
        </w:tc>
      </w:tr>
      <w:tr w:rsidR="003231D3" w14:paraId="0F5CD061" w14:textId="77777777" w:rsidTr="009B2736">
        <w:trPr>
          <w:trHeight w:val="557"/>
        </w:trPr>
        <w:tc>
          <w:tcPr>
            <w:tcW w:w="4248" w:type="dxa"/>
            <w:vAlign w:val="center"/>
          </w:tcPr>
          <w:p w14:paraId="2F54D5F4" w14:textId="20EBAD0D" w:rsidR="003231D3" w:rsidRPr="00257730" w:rsidRDefault="003231D3" w:rsidP="003231D3">
            <w:pPr>
              <w:rPr>
                <w:b/>
                <w:bCs/>
              </w:rPr>
            </w:pPr>
            <w:r w:rsidRPr="00257730">
              <w:rPr>
                <w:b/>
                <w:bCs/>
              </w:rPr>
              <w:t>Total SSAF funds available</w:t>
            </w:r>
            <w:r w:rsidR="003D4BC5">
              <w:rPr>
                <w:b/>
                <w:bCs/>
              </w:rPr>
              <w:t xml:space="preserve"> for [</w:t>
            </w:r>
            <w:r w:rsidR="00875BBD">
              <w:rPr>
                <w:b/>
                <w:bCs/>
              </w:rPr>
              <w:t xml:space="preserve">insert reported </w:t>
            </w:r>
            <w:r w:rsidR="003D4BC5">
              <w:rPr>
                <w:b/>
                <w:bCs/>
              </w:rPr>
              <w:t>year]</w:t>
            </w:r>
          </w:p>
        </w:tc>
        <w:tc>
          <w:tcPr>
            <w:tcW w:w="2410" w:type="dxa"/>
            <w:vAlign w:val="center"/>
          </w:tcPr>
          <w:p w14:paraId="64A0BA65" w14:textId="4A4F4596" w:rsidR="003231D3" w:rsidRPr="00257730" w:rsidRDefault="003231D3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$</w:t>
            </w:r>
          </w:p>
        </w:tc>
        <w:tc>
          <w:tcPr>
            <w:tcW w:w="2358" w:type="dxa"/>
            <w:vAlign w:val="center"/>
          </w:tcPr>
          <w:p w14:paraId="051B9CD8" w14:textId="107549F5" w:rsidR="003231D3" w:rsidRPr="00257730" w:rsidRDefault="003231D3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$</w:t>
            </w:r>
          </w:p>
        </w:tc>
      </w:tr>
      <w:tr w:rsidR="003231D3" w14:paraId="414993E9" w14:textId="77777777" w:rsidTr="009B2736">
        <w:trPr>
          <w:trHeight w:val="551"/>
        </w:trPr>
        <w:tc>
          <w:tcPr>
            <w:tcW w:w="4248" w:type="dxa"/>
            <w:vAlign w:val="center"/>
          </w:tcPr>
          <w:p w14:paraId="76B2DEC5" w14:textId="257CA53C" w:rsidR="003231D3" w:rsidRDefault="003231D3" w:rsidP="003231D3">
            <w:r>
              <w:t xml:space="preserve">SSAF </w:t>
            </w:r>
            <w:r w:rsidR="008661B8">
              <w:t xml:space="preserve">revenue </w:t>
            </w:r>
            <w:r>
              <w:t>carried over into [</w:t>
            </w:r>
            <w:r w:rsidR="00875BBD">
              <w:t xml:space="preserve">insert </w:t>
            </w:r>
            <w:r>
              <w:t>next reporting year]</w:t>
            </w:r>
          </w:p>
        </w:tc>
        <w:tc>
          <w:tcPr>
            <w:tcW w:w="2410" w:type="dxa"/>
            <w:vAlign w:val="center"/>
          </w:tcPr>
          <w:p w14:paraId="47191AFC" w14:textId="134BB5F2" w:rsidR="003231D3" w:rsidRDefault="003231D3" w:rsidP="009B2736">
            <w:pPr>
              <w:jc w:val="center"/>
            </w:pPr>
            <w:r>
              <w:t>$</w:t>
            </w:r>
          </w:p>
        </w:tc>
        <w:tc>
          <w:tcPr>
            <w:tcW w:w="2358" w:type="dxa"/>
            <w:vAlign w:val="center"/>
          </w:tcPr>
          <w:p w14:paraId="292D1349" w14:textId="57F4D6BD" w:rsidR="003231D3" w:rsidRDefault="003231D3" w:rsidP="009B2736">
            <w:pPr>
              <w:jc w:val="center"/>
            </w:pPr>
            <w:r>
              <w:t>$</w:t>
            </w:r>
          </w:p>
        </w:tc>
      </w:tr>
    </w:tbl>
    <w:p w14:paraId="1D7A4984" w14:textId="3C3B48D4" w:rsidR="003231D3" w:rsidRDefault="003231D3"/>
    <w:p w14:paraId="4965D10B" w14:textId="17817001" w:rsidR="007B3082" w:rsidRPr="007B3082" w:rsidRDefault="007B3082">
      <w:pPr>
        <w:rPr>
          <w:sz w:val="20"/>
          <w:szCs w:val="20"/>
        </w:rPr>
      </w:pPr>
      <w:r w:rsidRPr="007B3082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 w:rsidRPr="007B3082">
        <w:rPr>
          <w:sz w:val="20"/>
          <w:szCs w:val="20"/>
        </w:rPr>
        <w:t>A</w:t>
      </w:r>
      <w:r>
        <w:rPr>
          <w:sz w:val="20"/>
          <w:szCs w:val="20"/>
        </w:rPr>
        <w:t>llocation refers to the SSAF funds expected to be received in the reported year</w:t>
      </w:r>
      <w:r w:rsidR="000E31F8">
        <w:rPr>
          <w:sz w:val="20"/>
          <w:szCs w:val="20"/>
        </w:rPr>
        <w:t xml:space="preserve"> (i.e., budgeted SSAF revenue).</w:t>
      </w:r>
    </w:p>
    <w:p w14:paraId="58B631E6" w14:textId="1EC18D70" w:rsidR="00C66623" w:rsidRDefault="00C66623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00282B89" w14:textId="73C19B69" w:rsidR="00984976" w:rsidRDefault="004003B0">
      <w:pPr>
        <w:rPr>
          <w:sz w:val="52"/>
          <w:szCs w:val="52"/>
        </w:rPr>
      </w:pPr>
      <w:r>
        <w:rPr>
          <w:sz w:val="52"/>
          <w:szCs w:val="52"/>
        </w:rPr>
        <w:lastRenderedPageBreak/>
        <w:t>SSAF Charge Summary</w:t>
      </w:r>
    </w:p>
    <w:p w14:paraId="4FD477A5" w14:textId="6A7626FB" w:rsidR="001B5059" w:rsidRDefault="00B959F9" w:rsidP="00B959F9">
      <w:pPr>
        <w:rPr>
          <w:color w:val="4472C4" w:themeColor="accent1"/>
        </w:rPr>
      </w:pPr>
      <w:r w:rsidRPr="00257730">
        <w:rPr>
          <w:color w:val="4472C4" w:themeColor="accent1"/>
        </w:rPr>
        <w:t xml:space="preserve">[Provide </w:t>
      </w:r>
      <w:r>
        <w:rPr>
          <w:color w:val="4472C4" w:themeColor="accent1"/>
        </w:rPr>
        <w:t xml:space="preserve">data </w:t>
      </w:r>
      <w:r w:rsidR="00E76078">
        <w:rPr>
          <w:color w:val="4472C4" w:themeColor="accent1"/>
        </w:rPr>
        <w:t xml:space="preserve">below </w:t>
      </w:r>
      <w:r>
        <w:rPr>
          <w:color w:val="4472C4" w:themeColor="accent1"/>
        </w:rPr>
        <w:t xml:space="preserve">for the reported year’s SSAF </w:t>
      </w:r>
      <w:r w:rsidR="0013404B">
        <w:rPr>
          <w:color w:val="4472C4" w:themeColor="accent1"/>
        </w:rPr>
        <w:t>amount</w:t>
      </w:r>
      <w:r w:rsidR="00A07535">
        <w:rPr>
          <w:color w:val="4472C4" w:themeColor="accent1"/>
        </w:rPr>
        <w:t>s</w:t>
      </w:r>
      <w:r w:rsidR="0013404B">
        <w:rPr>
          <w:color w:val="4472C4" w:themeColor="accent1"/>
        </w:rPr>
        <w:t xml:space="preserve"> </w:t>
      </w:r>
      <w:r w:rsidR="00A07535">
        <w:rPr>
          <w:color w:val="4472C4" w:themeColor="accent1"/>
        </w:rPr>
        <w:t xml:space="preserve">which are being charged </w:t>
      </w:r>
      <w:r w:rsidR="001B5059">
        <w:rPr>
          <w:color w:val="4472C4" w:themeColor="accent1"/>
        </w:rPr>
        <w:t xml:space="preserve">and the number of students </w:t>
      </w:r>
      <w:r w:rsidR="00A07535">
        <w:rPr>
          <w:color w:val="4472C4" w:themeColor="accent1"/>
        </w:rPr>
        <w:t xml:space="preserve">being </w:t>
      </w:r>
      <w:r w:rsidR="001B5059">
        <w:rPr>
          <w:color w:val="4472C4" w:themeColor="accent1"/>
        </w:rPr>
        <w:t>charged</w:t>
      </w:r>
      <w:r w:rsidR="00A07535">
        <w:rPr>
          <w:color w:val="4472C4" w:themeColor="accent1"/>
        </w:rPr>
        <w:t xml:space="preserve"> these fees</w:t>
      </w:r>
      <w:r w:rsidR="001B5059">
        <w:rPr>
          <w:color w:val="4472C4" w:themeColor="accent1"/>
        </w:rPr>
        <w:t>.</w:t>
      </w:r>
      <w:r w:rsidR="00A07535">
        <w:rPr>
          <w:color w:val="4472C4" w:themeColor="accent1"/>
        </w:rPr>
        <w:t xml:space="preserve"> Please add additional lines as required to capture the different cohorts of fees charged to students</w:t>
      </w:r>
      <w:r w:rsidR="001B6B13">
        <w:rPr>
          <w:color w:val="4472C4" w:themeColor="accent1"/>
        </w:rPr>
        <w:t>.</w:t>
      </w:r>
      <w:r w:rsidR="001B5059">
        <w:rPr>
          <w:color w:val="4472C4" w:themeColor="accent1"/>
        </w:rPr>
        <w:t>]</w:t>
      </w:r>
    </w:p>
    <w:p w14:paraId="03081094" w14:textId="208B963F" w:rsidR="00E95049" w:rsidRPr="007710D2" w:rsidRDefault="00E95049">
      <w:pPr>
        <w:rPr>
          <w:color w:val="4472C4" w:themeColor="accent1"/>
        </w:rPr>
      </w:pPr>
      <w:r w:rsidRPr="00E95049">
        <w:t xml:space="preserve">The student services and amenities fee (SSAF) charged to students must not be above the maximum </w:t>
      </w:r>
      <w:r w:rsidR="00955412">
        <w:t xml:space="preserve">fee </w:t>
      </w:r>
      <w:r w:rsidRPr="00E95049">
        <w:t>for a calendar year. The maximum SSAF is indexed annually</w:t>
      </w:r>
      <w:r w:rsidR="00955412">
        <w:t xml:space="preserve"> as required by the </w:t>
      </w:r>
      <w:r w:rsidR="00955412" w:rsidRPr="00955412">
        <w:rPr>
          <w:i/>
          <w:iCs/>
        </w:rPr>
        <w:t>Higher Education Support Act 2003</w:t>
      </w:r>
      <w:r w:rsidRPr="00E95049">
        <w:t>.</w:t>
      </w:r>
      <w:r w:rsidR="00E84863">
        <w:t xml:space="preserve"> In [</w:t>
      </w:r>
      <w:r w:rsidR="008661B8">
        <w:t xml:space="preserve">insert </w:t>
      </w:r>
      <w:r w:rsidR="00E84863">
        <w:t>report</w:t>
      </w:r>
      <w:r w:rsidR="008661B8">
        <w:t>ed</w:t>
      </w:r>
      <w:r w:rsidR="00E84863">
        <w:t xml:space="preserve"> year] the maximum SSAF </w:t>
      </w:r>
      <w:r w:rsidR="00875BBD">
        <w:t>was</w:t>
      </w:r>
      <w:r w:rsidR="00E84863">
        <w:t xml:space="preserve"> $[</w:t>
      </w:r>
      <w:r w:rsidR="00875BBD">
        <w:t xml:space="preserve">insert </w:t>
      </w:r>
      <w:r w:rsidR="00E84863">
        <w:t>maximum SSAF for the report</w:t>
      </w:r>
      <w:r w:rsidR="00875BBD">
        <w:t>ed</w:t>
      </w:r>
      <w:r w:rsidR="00E84863">
        <w:t xml:space="preserve"> year].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918"/>
      </w:tblGrid>
      <w:tr w:rsidR="009B2736" w14:paraId="7D644D63" w14:textId="77777777" w:rsidTr="007710D2">
        <w:trPr>
          <w:trHeight w:val="639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65522026" w14:textId="7778537D" w:rsidR="009B2736" w:rsidRPr="00257730" w:rsidRDefault="009B2736" w:rsidP="009B2736">
            <w:pPr>
              <w:jc w:val="center"/>
              <w:rPr>
                <w:b/>
                <w:bCs/>
              </w:rPr>
            </w:pPr>
            <w:bookmarkStart w:id="1" w:name="_Hlk101193217"/>
            <w:r w:rsidRPr="00257730">
              <w:rPr>
                <w:b/>
                <w:bCs/>
              </w:rPr>
              <w:t>Student Status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A84665" w14:textId="4B3634BD" w:rsidR="009B2736" w:rsidRPr="00257730" w:rsidRDefault="009B2736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</w:t>
            </w:r>
            <w:r w:rsidR="002041E0">
              <w:rPr>
                <w:b/>
                <w:bCs/>
              </w:rPr>
              <w:t>I</w:t>
            </w:r>
            <w:r w:rsidR="00875BBD">
              <w:rPr>
                <w:b/>
                <w:bCs/>
              </w:rPr>
              <w:t>nsert reported y</w:t>
            </w:r>
            <w:r w:rsidRPr="00257730">
              <w:rPr>
                <w:b/>
                <w:bCs/>
              </w:rPr>
              <w:t>ear] SSAF charged</w:t>
            </w:r>
            <w:r w:rsidR="002722FA">
              <w:rPr>
                <w:b/>
                <w:bCs/>
              </w:rPr>
              <w:t xml:space="preserve"> $</w:t>
            </w:r>
            <w:r w:rsidR="00A24FE9" w:rsidRPr="00A24FE9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918" w:type="dxa"/>
            <w:shd w:val="clear" w:color="auto" w:fill="E2EFD9" w:themeFill="accent6" w:themeFillTint="33"/>
            <w:vAlign w:val="center"/>
          </w:tcPr>
          <w:p w14:paraId="44A15C72" w14:textId="74AF433D" w:rsidR="009B2736" w:rsidRPr="00257730" w:rsidRDefault="009B2736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Number of students charged in [</w:t>
            </w:r>
            <w:r w:rsidR="002041E0">
              <w:rPr>
                <w:b/>
                <w:bCs/>
              </w:rPr>
              <w:t>I</w:t>
            </w:r>
            <w:r w:rsidR="00875BBD">
              <w:rPr>
                <w:b/>
                <w:bCs/>
              </w:rPr>
              <w:t xml:space="preserve">nsert reported </w:t>
            </w:r>
            <w:r w:rsidRPr="00257730">
              <w:rPr>
                <w:b/>
                <w:bCs/>
              </w:rPr>
              <w:t>year]</w:t>
            </w:r>
            <w:r w:rsidR="00A24FE9">
              <w:rPr>
                <w:b/>
                <w:bCs/>
                <w:vertAlign w:val="superscript"/>
              </w:rPr>
              <w:t>3</w:t>
            </w:r>
          </w:p>
        </w:tc>
      </w:tr>
      <w:bookmarkEnd w:id="1"/>
      <w:tr w:rsidR="009B2736" w14:paraId="24A4BC65" w14:textId="77777777" w:rsidTr="009B2736">
        <w:trPr>
          <w:trHeight w:val="553"/>
        </w:trPr>
        <w:tc>
          <w:tcPr>
            <w:tcW w:w="2547" w:type="dxa"/>
            <w:vAlign w:val="center"/>
          </w:tcPr>
          <w:p w14:paraId="0BF9D637" w14:textId="011E296B" w:rsidR="009B2736" w:rsidRDefault="002509F4" w:rsidP="009B2736">
            <w:r>
              <w:t>F</w:t>
            </w:r>
            <w:r w:rsidR="009B2736">
              <w:t>ull-time</w:t>
            </w:r>
            <w:r w:rsidR="00334452" w:rsidRPr="00334452">
              <w:rPr>
                <w:vertAlign w:val="superscript"/>
              </w:rPr>
              <w:t>1</w:t>
            </w:r>
            <w:r>
              <w:t xml:space="preserve"> </w:t>
            </w:r>
            <w:r w:rsidR="000070E6">
              <w:t>(&gt;</w:t>
            </w:r>
            <w:r w:rsidR="00EA0F45">
              <w:t xml:space="preserve"> </w:t>
            </w:r>
            <w:r w:rsidR="000070E6">
              <w:t>0.75 EFTSL)</w:t>
            </w:r>
          </w:p>
        </w:tc>
        <w:tc>
          <w:tcPr>
            <w:tcW w:w="2551" w:type="dxa"/>
            <w:vAlign w:val="center"/>
          </w:tcPr>
          <w:p w14:paraId="0A9BAA37" w14:textId="44490EC9" w:rsidR="009B2736" w:rsidRDefault="009B2736" w:rsidP="009B2736">
            <w:pPr>
              <w:jc w:val="center"/>
            </w:pPr>
            <w:r>
              <w:t>$</w:t>
            </w:r>
          </w:p>
        </w:tc>
        <w:tc>
          <w:tcPr>
            <w:tcW w:w="3918" w:type="dxa"/>
            <w:vAlign w:val="center"/>
          </w:tcPr>
          <w:p w14:paraId="10DDB63B" w14:textId="77777777" w:rsidR="009B2736" w:rsidRDefault="009B2736" w:rsidP="009B2736">
            <w:pPr>
              <w:jc w:val="center"/>
            </w:pPr>
          </w:p>
        </w:tc>
      </w:tr>
      <w:tr w:rsidR="009B2736" w14:paraId="6FB2AFDB" w14:textId="77777777" w:rsidTr="009B2736">
        <w:trPr>
          <w:trHeight w:val="561"/>
        </w:trPr>
        <w:tc>
          <w:tcPr>
            <w:tcW w:w="2547" w:type="dxa"/>
            <w:vAlign w:val="center"/>
          </w:tcPr>
          <w:p w14:paraId="5EDC22B1" w14:textId="3440147C" w:rsidR="009B2736" w:rsidRDefault="002509F4" w:rsidP="009B2736">
            <w:r>
              <w:t>P</w:t>
            </w:r>
            <w:r w:rsidR="009B2736">
              <w:t>art-time</w:t>
            </w:r>
            <w:r w:rsidR="00BA1A89" w:rsidRPr="00BA1A89">
              <w:rPr>
                <w:vertAlign w:val="superscript"/>
              </w:rPr>
              <w:t>1</w:t>
            </w:r>
            <w:r w:rsidR="000070E6">
              <w:rPr>
                <w:vertAlign w:val="superscript"/>
              </w:rPr>
              <w:t xml:space="preserve"> </w:t>
            </w:r>
            <w:r w:rsidR="000070E6" w:rsidRPr="000070E6">
              <w:t>(</w:t>
            </w:r>
            <w:r w:rsidR="00A07535">
              <w:t>&lt;</w:t>
            </w:r>
            <w:r w:rsidR="00EA0F45">
              <w:rPr>
                <w:rFonts w:cstheme="minorHAnsi"/>
              </w:rPr>
              <w:t xml:space="preserve"> </w:t>
            </w:r>
            <w:r w:rsidR="000070E6" w:rsidRPr="000070E6">
              <w:t>0.75 EFTSL)</w:t>
            </w:r>
          </w:p>
        </w:tc>
        <w:tc>
          <w:tcPr>
            <w:tcW w:w="2551" w:type="dxa"/>
            <w:vAlign w:val="center"/>
          </w:tcPr>
          <w:p w14:paraId="3E2BBC63" w14:textId="41C907E4" w:rsidR="009B2736" w:rsidRDefault="009B2736" w:rsidP="009B2736">
            <w:pPr>
              <w:jc w:val="center"/>
            </w:pPr>
            <w:r>
              <w:t>$</w:t>
            </w:r>
          </w:p>
        </w:tc>
        <w:tc>
          <w:tcPr>
            <w:tcW w:w="3918" w:type="dxa"/>
            <w:vAlign w:val="center"/>
          </w:tcPr>
          <w:p w14:paraId="2EE704DF" w14:textId="77777777" w:rsidR="009B2736" w:rsidRDefault="009B2736" w:rsidP="009B2736">
            <w:pPr>
              <w:jc w:val="center"/>
            </w:pPr>
          </w:p>
        </w:tc>
      </w:tr>
      <w:tr w:rsidR="009B2736" w14:paraId="45B8D3DD" w14:textId="77777777" w:rsidTr="009B2736">
        <w:trPr>
          <w:trHeight w:val="557"/>
        </w:trPr>
        <w:tc>
          <w:tcPr>
            <w:tcW w:w="5098" w:type="dxa"/>
            <w:gridSpan w:val="2"/>
            <w:tcBorders>
              <w:left w:val="nil"/>
              <w:bottom w:val="nil"/>
            </w:tcBorders>
          </w:tcPr>
          <w:p w14:paraId="3DEB4C28" w14:textId="77777777" w:rsidR="009B2736" w:rsidRDefault="009B2736" w:rsidP="009B2736">
            <w:pPr>
              <w:jc w:val="center"/>
            </w:pPr>
          </w:p>
        </w:tc>
        <w:tc>
          <w:tcPr>
            <w:tcW w:w="3918" w:type="dxa"/>
            <w:vAlign w:val="center"/>
          </w:tcPr>
          <w:p w14:paraId="06D57366" w14:textId="1FD0D8AA" w:rsidR="009B2736" w:rsidRPr="00257730" w:rsidRDefault="009B2736" w:rsidP="009B2736">
            <w:pPr>
              <w:rPr>
                <w:b/>
                <w:bCs/>
              </w:rPr>
            </w:pPr>
            <w:r w:rsidRPr="00257730">
              <w:rPr>
                <w:b/>
                <w:bCs/>
              </w:rPr>
              <w:t xml:space="preserve">Total: </w:t>
            </w:r>
          </w:p>
        </w:tc>
      </w:tr>
    </w:tbl>
    <w:p w14:paraId="2A78523B" w14:textId="5424F699" w:rsidR="0079322D" w:rsidRDefault="00BA1A89" w:rsidP="0079322D">
      <w:pPr>
        <w:rPr>
          <w:rFonts w:eastAsia="Times New Roman" w:cstheme="minorHAnsi"/>
          <w:sz w:val="20"/>
          <w:szCs w:val="20"/>
          <w:lang w:eastAsia="en-AU"/>
        </w:rPr>
      </w:pPr>
      <w:r w:rsidRPr="00BA1A89">
        <w:rPr>
          <w:vertAlign w:val="superscript"/>
        </w:rPr>
        <w:t>1</w:t>
      </w:r>
      <w:r w:rsidR="0079322D" w:rsidRPr="00B0572E">
        <w:t xml:space="preserve"> </w:t>
      </w:r>
      <w:r w:rsidR="00E53483" w:rsidRPr="00BA1A89">
        <w:rPr>
          <w:sz w:val="20"/>
          <w:szCs w:val="20"/>
        </w:rPr>
        <w:t xml:space="preserve">Note: </w:t>
      </w:r>
      <w:r w:rsidR="0079322D" w:rsidRPr="00BA1A89">
        <w:rPr>
          <w:sz w:val="20"/>
          <w:szCs w:val="20"/>
        </w:rPr>
        <w:t xml:space="preserve">As per </w:t>
      </w:r>
      <w:r w:rsidR="00EA0F45">
        <w:rPr>
          <w:sz w:val="20"/>
          <w:szCs w:val="20"/>
        </w:rPr>
        <w:t>P</w:t>
      </w:r>
      <w:r w:rsidR="007C6F22">
        <w:rPr>
          <w:sz w:val="20"/>
          <w:szCs w:val="20"/>
        </w:rPr>
        <w:t>art 2</w:t>
      </w:r>
      <w:r w:rsidR="00650B9D">
        <w:rPr>
          <w:sz w:val="20"/>
          <w:szCs w:val="20"/>
        </w:rPr>
        <w:t xml:space="preserve"> of the</w:t>
      </w:r>
      <w:r w:rsidR="00650B9D" w:rsidRPr="00650B9D">
        <w:t xml:space="preserve"> </w:t>
      </w:r>
      <w:r w:rsidR="00650B9D" w:rsidRPr="00650B9D">
        <w:rPr>
          <w:i/>
          <w:iCs/>
          <w:sz w:val="20"/>
          <w:szCs w:val="20"/>
        </w:rPr>
        <w:t>Higher Education Support (Administration) Guidelines 2022</w:t>
      </w:r>
      <w:r w:rsidR="007C6F22">
        <w:rPr>
          <w:i/>
          <w:iCs/>
          <w:sz w:val="20"/>
          <w:szCs w:val="20"/>
        </w:rPr>
        <w:t xml:space="preserve"> </w:t>
      </w:r>
      <w:r w:rsidR="007C6F22" w:rsidRPr="007C6F22">
        <w:rPr>
          <w:sz w:val="20"/>
          <w:szCs w:val="20"/>
        </w:rPr>
        <w:t>(Administration Guidelines)</w:t>
      </w:r>
      <w:r w:rsidR="0079322D" w:rsidRPr="007C6F22">
        <w:rPr>
          <w:sz w:val="20"/>
          <w:szCs w:val="20"/>
        </w:rPr>
        <w:t>,</w:t>
      </w:r>
      <w:r w:rsidR="0079322D" w:rsidRPr="00BA1A89">
        <w:rPr>
          <w:sz w:val="20"/>
          <w:szCs w:val="20"/>
        </w:rPr>
        <w:t xml:space="preserve"> students studying on a part-time basis must not be charged more than 75 per cent of the maximum SSAF that a</w:t>
      </w:r>
      <w:r w:rsidR="00650B9D">
        <w:rPr>
          <w:sz w:val="20"/>
          <w:szCs w:val="20"/>
        </w:rPr>
        <w:t xml:space="preserve"> higher education</w:t>
      </w:r>
      <w:r w:rsidR="0079322D" w:rsidRPr="00BA1A89">
        <w:rPr>
          <w:sz w:val="20"/>
          <w:szCs w:val="20"/>
        </w:rPr>
        <w:t xml:space="preserve"> provider determines for students studying on a full-time basis. The term</w:t>
      </w:r>
      <w:r w:rsidR="0079322D" w:rsidRPr="00BA1A89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79322D" w:rsidRPr="00BA1A89">
        <w:rPr>
          <w:rFonts w:eastAsia="Times New Roman" w:cstheme="minorHAnsi"/>
          <w:sz w:val="20"/>
          <w:szCs w:val="20"/>
          <w:lang w:eastAsia="en-AU"/>
        </w:rPr>
        <w:t>“part-time basis” means a study load of less than 75 per cent of the normal full-time student load for the period to which the fee relates.</w:t>
      </w:r>
      <w:r w:rsidR="007C6F22">
        <w:rPr>
          <w:rFonts w:eastAsia="Times New Roman" w:cstheme="minorHAnsi"/>
          <w:sz w:val="20"/>
          <w:szCs w:val="20"/>
          <w:lang w:eastAsia="en-AU"/>
        </w:rPr>
        <w:t xml:space="preserve"> As per part 7 of the Administration Guidelines, the normal EFTSL value for a full-time student studying over a period of one year is 1.0.</w:t>
      </w:r>
    </w:p>
    <w:p w14:paraId="575380F2" w14:textId="0367AD35" w:rsidR="00E95049" w:rsidRPr="00E95049" w:rsidRDefault="00E95049" w:rsidP="00E95049">
      <w:pPr>
        <w:rPr>
          <w:sz w:val="20"/>
          <w:szCs w:val="20"/>
        </w:rPr>
      </w:pPr>
      <w:r w:rsidRPr="00E95049">
        <w:rPr>
          <w:rFonts w:eastAsia="Times New Roman" w:cstheme="minorHAnsi"/>
          <w:sz w:val="18"/>
          <w:szCs w:val="18"/>
          <w:vertAlign w:val="superscript"/>
          <w:lang w:eastAsia="en-AU"/>
        </w:rPr>
        <w:t>2</w:t>
      </w:r>
      <w:r w:rsidRPr="00E95049">
        <w:rPr>
          <w:sz w:val="20"/>
          <w:szCs w:val="20"/>
        </w:rPr>
        <w:t xml:space="preserve"> </w:t>
      </w:r>
      <w:r w:rsidR="00A24FE9">
        <w:rPr>
          <w:sz w:val="20"/>
          <w:szCs w:val="20"/>
        </w:rPr>
        <w:t xml:space="preserve">Note: As per </w:t>
      </w:r>
      <w:r w:rsidR="00EA0F45">
        <w:rPr>
          <w:sz w:val="20"/>
          <w:szCs w:val="20"/>
        </w:rPr>
        <w:t>P</w:t>
      </w:r>
      <w:r w:rsidR="00334452">
        <w:rPr>
          <w:sz w:val="20"/>
          <w:szCs w:val="20"/>
        </w:rPr>
        <w:t>art 2</w:t>
      </w:r>
      <w:r w:rsidR="00A24FE9">
        <w:rPr>
          <w:sz w:val="20"/>
          <w:szCs w:val="20"/>
        </w:rPr>
        <w:t xml:space="preserve"> of the</w:t>
      </w:r>
      <w:r w:rsidR="00EA0F45">
        <w:rPr>
          <w:sz w:val="20"/>
          <w:szCs w:val="20"/>
        </w:rPr>
        <w:t xml:space="preserve"> Administration Guidelines</w:t>
      </w:r>
      <w:r w:rsidRPr="00E95049">
        <w:rPr>
          <w:sz w:val="20"/>
          <w:szCs w:val="20"/>
        </w:rPr>
        <w:t xml:space="preserve">, a higher education provider may choose to determine a different SSAF for </w:t>
      </w:r>
      <w:proofErr w:type="gramStart"/>
      <w:r w:rsidRPr="00E95049">
        <w:rPr>
          <w:sz w:val="20"/>
          <w:szCs w:val="20"/>
        </w:rPr>
        <w:t>particular categories</w:t>
      </w:r>
      <w:proofErr w:type="gramEnd"/>
      <w:r w:rsidRPr="00E95049">
        <w:rPr>
          <w:sz w:val="20"/>
          <w:szCs w:val="20"/>
        </w:rPr>
        <w:t xml:space="preserve"> of persons, including a zero amount.</w:t>
      </w:r>
    </w:p>
    <w:p w14:paraId="64F77547" w14:textId="33FEE7CA" w:rsidR="0079322D" w:rsidRDefault="00E95049" w:rsidP="00BA1A8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E84863">
        <w:rPr>
          <w:rFonts w:eastAsia="Times New Roman" w:cstheme="minorHAnsi"/>
          <w:sz w:val="20"/>
          <w:szCs w:val="20"/>
          <w:vertAlign w:val="superscript"/>
          <w:lang w:eastAsia="en-AU"/>
        </w:rPr>
        <w:t>3</w:t>
      </w:r>
      <w:r w:rsidR="00BA1A89" w:rsidRPr="00E84863">
        <w:rPr>
          <w:rFonts w:eastAsia="Times New Roman" w:cstheme="minorHAnsi"/>
          <w:sz w:val="20"/>
          <w:szCs w:val="20"/>
          <w:vertAlign w:val="superscript"/>
          <w:lang w:eastAsia="en-AU"/>
        </w:rPr>
        <w:t xml:space="preserve"> </w:t>
      </w:r>
      <w:r w:rsidR="00BA1A89" w:rsidRPr="00E84863">
        <w:rPr>
          <w:rFonts w:eastAsia="Times New Roman" w:cstheme="minorHAnsi"/>
          <w:sz w:val="20"/>
          <w:szCs w:val="20"/>
          <w:lang w:eastAsia="en-AU"/>
        </w:rPr>
        <w:t xml:space="preserve">Note: </w:t>
      </w:r>
      <w:r w:rsidR="004D1306">
        <w:rPr>
          <w:rFonts w:eastAsia="Times New Roman" w:cstheme="minorHAnsi"/>
          <w:sz w:val="20"/>
          <w:szCs w:val="20"/>
          <w:lang w:eastAsia="en-AU"/>
        </w:rPr>
        <w:t xml:space="preserve">Students are categorised as full-time or part-time students based on the </w:t>
      </w:r>
      <w:r w:rsidR="00E84863" w:rsidRPr="00E84863">
        <w:rPr>
          <w:rFonts w:eastAsia="Times New Roman" w:cstheme="minorHAnsi"/>
          <w:sz w:val="20"/>
          <w:szCs w:val="20"/>
          <w:lang w:eastAsia="en-AU"/>
        </w:rPr>
        <w:t xml:space="preserve">total EFTSL value of </w:t>
      </w:r>
      <w:r w:rsidR="004D1306">
        <w:rPr>
          <w:rFonts w:eastAsia="Times New Roman" w:cstheme="minorHAnsi"/>
          <w:sz w:val="20"/>
          <w:szCs w:val="20"/>
          <w:lang w:eastAsia="en-AU"/>
        </w:rPr>
        <w:t xml:space="preserve">the </w:t>
      </w:r>
      <w:r w:rsidR="00E84863" w:rsidRPr="00E84863">
        <w:rPr>
          <w:rFonts w:eastAsia="Times New Roman" w:cstheme="minorHAnsi"/>
          <w:sz w:val="20"/>
          <w:szCs w:val="20"/>
          <w:lang w:eastAsia="en-AU"/>
        </w:rPr>
        <w:t xml:space="preserve">units of study </w:t>
      </w:r>
      <w:r w:rsidR="004D1306">
        <w:rPr>
          <w:rFonts w:eastAsia="Times New Roman" w:cstheme="minorHAnsi"/>
          <w:sz w:val="20"/>
          <w:szCs w:val="20"/>
          <w:lang w:eastAsia="en-AU"/>
        </w:rPr>
        <w:t>they undertook in</w:t>
      </w:r>
      <w:r w:rsidR="00E84863" w:rsidRPr="00E84863">
        <w:rPr>
          <w:rFonts w:eastAsia="Times New Roman" w:cstheme="minorHAnsi"/>
          <w:sz w:val="20"/>
          <w:szCs w:val="20"/>
          <w:lang w:eastAsia="en-AU"/>
        </w:rPr>
        <w:t xml:space="preserve"> [insert report</w:t>
      </w:r>
      <w:r w:rsidR="008661B8">
        <w:rPr>
          <w:rFonts w:eastAsia="Times New Roman" w:cstheme="minorHAnsi"/>
          <w:sz w:val="20"/>
          <w:szCs w:val="20"/>
          <w:lang w:eastAsia="en-AU"/>
        </w:rPr>
        <w:t>ed</w:t>
      </w:r>
      <w:r w:rsidR="00E84863" w:rsidRPr="00E84863">
        <w:rPr>
          <w:rFonts w:eastAsia="Times New Roman" w:cstheme="minorHAnsi"/>
          <w:sz w:val="20"/>
          <w:szCs w:val="20"/>
          <w:lang w:eastAsia="en-AU"/>
        </w:rPr>
        <w:t xml:space="preserve"> year].</w:t>
      </w:r>
      <w:r w:rsidR="004D1306">
        <w:rPr>
          <w:rFonts w:eastAsia="Times New Roman" w:cstheme="minorHAnsi"/>
          <w:sz w:val="20"/>
          <w:szCs w:val="20"/>
          <w:lang w:eastAsia="en-AU"/>
        </w:rPr>
        <w:t xml:space="preserve"> For example, a student undertook a full-time study load in Semester 1 which was equal to 0.5 EFTSL and undertook a part-time study load in Semester 2 which was equal to 0.375 EFTSL. This student would be categorised as a full-time student in [insert report</w:t>
      </w:r>
      <w:r w:rsidR="008661B8">
        <w:rPr>
          <w:rFonts w:eastAsia="Times New Roman" w:cstheme="minorHAnsi"/>
          <w:sz w:val="20"/>
          <w:szCs w:val="20"/>
          <w:lang w:eastAsia="en-AU"/>
        </w:rPr>
        <w:t>ed</w:t>
      </w:r>
      <w:r w:rsidR="004D1306">
        <w:rPr>
          <w:rFonts w:eastAsia="Times New Roman" w:cstheme="minorHAnsi"/>
          <w:sz w:val="20"/>
          <w:szCs w:val="20"/>
          <w:lang w:eastAsia="en-AU"/>
        </w:rPr>
        <w:t xml:space="preserve"> year] as the total EFTSL they undertook in [insert report</w:t>
      </w:r>
      <w:r w:rsidR="008661B8">
        <w:rPr>
          <w:rFonts w:eastAsia="Times New Roman" w:cstheme="minorHAnsi"/>
          <w:sz w:val="20"/>
          <w:szCs w:val="20"/>
          <w:lang w:eastAsia="en-AU"/>
        </w:rPr>
        <w:t>ed</w:t>
      </w:r>
      <w:r w:rsidR="004D1306">
        <w:rPr>
          <w:rFonts w:eastAsia="Times New Roman" w:cstheme="minorHAnsi"/>
          <w:sz w:val="20"/>
          <w:szCs w:val="20"/>
          <w:lang w:eastAsia="en-AU"/>
        </w:rPr>
        <w:t xml:space="preserve"> year] was equal to 0.875.</w:t>
      </w:r>
    </w:p>
    <w:p w14:paraId="550EFAEF" w14:textId="3ABD98C3" w:rsidR="007710D2" w:rsidRDefault="007710D2" w:rsidP="00BA1A8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</w:p>
    <w:p w14:paraId="62DE01D3" w14:textId="1B98FC64" w:rsidR="008B634B" w:rsidRPr="007710D2" w:rsidRDefault="007710D2" w:rsidP="007710D2">
      <w:pPr>
        <w:rPr>
          <w:color w:val="4472C4" w:themeColor="accent1"/>
        </w:rPr>
      </w:pPr>
      <w:r>
        <w:rPr>
          <w:color w:val="4472C4" w:themeColor="accent1"/>
        </w:rPr>
        <w:t>[</w:t>
      </w:r>
      <w:r w:rsidRPr="007710D2">
        <w:rPr>
          <w:color w:val="4472C4" w:themeColor="accent1"/>
        </w:rPr>
        <w:t xml:space="preserve">The Department </w:t>
      </w:r>
      <w:r>
        <w:rPr>
          <w:color w:val="4472C4" w:themeColor="accent1"/>
        </w:rPr>
        <w:t>notes</w:t>
      </w:r>
      <w:r w:rsidRPr="007710D2">
        <w:rPr>
          <w:color w:val="4472C4" w:themeColor="accent1"/>
        </w:rPr>
        <w:t xml:space="preserve"> that not all providers capture mode of study in their information systems and many students undertake a mixed mode of study such as face-to-face and remote learning. For those students studying remotely 100% of the time, as best you can, please provide data to demonstrate approximately how many students are in this cohort and the SSAF amount charged to these students.</w:t>
      </w:r>
      <w:r>
        <w:rPr>
          <w:color w:val="4472C4" w:themeColor="accent1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918"/>
      </w:tblGrid>
      <w:tr w:rsidR="008B634B" w:rsidRPr="008B634B" w14:paraId="65A3B003" w14:textId="77777777" w:rsidTr="007710D2">
        <w:trPr>
          <w:trHeight w:val="639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602C90F" w14:textId="77777777" w:rsidR="008B634B" w:rsidRPr="008B634B" w:rsidRDefault="008B634B" w:rsidP="007710D2">
            <w:pPr>
              <w:jc w:val="center"/>
              <w:rPr>
                <w:b/>
                <w:bCs/>
              </w:rPr>
            </w:pPr>
            <w:r w:rsidRPr="008B634B">
              <w:rPr>
                <w:b/>
                <w:bCs/>
              </w:rPr>
              <w:t>Student Status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73E82F72" w14:textId="77777777" w:rsidR="008B634B" w:rsidRPr="008B634B" w:rsidRDefault="008B634B" w:rsidP="007710D2">
            <w:pPr>
              <w:jc w:val="center"/>
              <w:rPr>
                <w:b/>
                <w:bCs/>
              </w:rPr>
            </w:pPr>
            <w:r w:rsidRPr="008B634B">
              <w:rPr>
                <w:b/>
                <w:bCs/>
              </w:rPr>
              <w:t>[Insert reported year] SSAF charged $</w:t>
            </w:r>
            <w:r w:rsidRPr="002F07E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918" w:type="dxa"/>
            <w:shd w:val="clear" w:color="auto" w:fill="E2EFD9" w:themeFill="accent6" w:themeFillTint="33"/>
            <w:vAlign w:val="center"/>
          </w:tcPr>
          <w:p w14:paraId="2D7110F1" w14:textId="161A20CD" w:rsidR="008B634B" w:rsidRPr="008B634B" w:rsidRDefault="00A95D58" w:rsidP="00771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Approx. n</w:t>
            </w:r>
            <w:r w:rsidR="008B634B" w:rsidRPr="008B634B">
              <w:rPr>
                <w:b/>
                <w:bCs/>
              </w:rPr>
              <w:t xml:space="preserve">umber of </w:t>
            </w:r>
            <w:r w:rsidR="00CA1A30">
              <w:rPr>
                <w:b/>
                <w:bCs/>
              </w:rPr>
              <w:t xml:space="preserve">SSAF </w:t>
            </w:r>
            <w:r w:rsidR="008B634B" w:rsidRPr="008B634B">
              <w:rPr>
                <w:b/>
                <w:bCs/>
              </w:rPr>
              <w:t xml:space="preserve">students </w:t>
            </w:r>
            <w:r w:rsidR="00CA1A30">
              <w:rPr>
                <w:b/>
                <w:bCs/>
              </w:rPr>
              <w:t>remote learning</w:t>
            </w:r>
            <w:r w:rsidR="008B634B" w:rsidRPr="008B634B">
              <w:rPr>
                <w:b/>
                <w:bCs/>
              </w:rPr>
              <w:t xml:space="preserve"> [Insert reported year]</w:t>
            </w:r>
            <w:r w:rsidR="003C2AC8">
              <w:rPr>
                <w:b/>
                <w:bCs/>
                <w:vertAlign w:val="superscript"/>
              </w:rPr>
              <w:t>4</w:t>
            </w:r>
          </w:p>
        </w:tc>
      </w:tr>
      <w:tr w:rsidR="008B634B" w:rsidRPr="008B634B" w14:paraId="57421FB5" w14:textId="77777777" w:rsidTr="00A95D58">
        <w:trPr>
          <w:trHeight w:val="639"/>
        </w:trPr>
        <w:tc>
          <w:tcPr>
            <w:tcW w:w="2547" w:type="dxa"/>
            <w:shd w:val="clear" w:color="auto" w:fill="auto"/>
            <w:vAlign w:val="center"/>
          </w:tcPr>
          <w:p w14:paraId="46D37964" w14:textId="5BFC49EF" w:rsidR="008B634B" w:rsidRPr="008B634B" w:rsidRDefault="008B634B" w:rsidP="008B634B">
            <w:pPr>
              <w:rPr>
                <w:b/>
                <w:bCs/>
              </w:rPr>
            </w:pPr>
            <w:r w:rsidRPr="00A95D58">
              <w:t>Remote learning/Online only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E4DC40" w14:textId="77777777" w:rsidR="008B634B" w:rsidRPr="008B634B" w:rsidRDefault="008B634B" w:rsidP="008B634B">
            <w:pPr>
              <w:rPr>
                <w:b/>
                <w:bCs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1BE264CF" w14:textId="77777777" w:rsidR="008B634B" w:rsidRPr="008B634B" w:rsidRDefault="008B634B" w:rsidP="008B634B">
            <w:pPr>
              <w:rPr>
                <w:b/>
                <w:bCs/>
              </w:rPr>
            </w:pPr>
          </w:p>
        </w:tc>
      </w:tr>
    </w:tbl>
    <w:p w14:paraId="5C71CA80" w14:textId="77777777" w:rsidR="00CA1A30" w:rsidRDefault="00CA1A30" w:rsidP="00CA1A3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</w:p>
    <w:p w14:paraId="08F77B8D" w14:textId="4EE12488" w:rsidR="00CA1A30" w:rsidRDefault="00834DA5">
      <w:r w:rsidRPr="00834DA5">
        <w:rPr>
          <w:rFonts w:eastAsia="Times New Roman" w:cstheme="minorHAnsi"/>
          <w:sz w:val="20"/>
          <w:szCs w:val="20"/>
          <w:vertAlign w:val="superscript"/>
          <w:lang w:eastAsia="en-AU"/>
        </w:rPr>
        <w:t>4</w:t>
      </w:r>
      <w:r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7710D2" w:rsidRPr="007710D2">
        <w:rPr>
          <w:rFonts w:eastAsia="Times New Roman" w:cstheme="minorHAnsi"/>
          <w:sz w:val="20"/>
          <w:szCs w:val="20"/>
          <w:lang w:eastAsia="en-AU"/>
        </w:rPr>
        <w:t xml:space="preserve">Note: The Department understands that not all higher education providers capture mode of study in their information systems and many students undertake a mixed mode of study such as face-to-face and remote learning. The data provided above is for students who undertook remote learning for 100% of their units of study. Please note, due to the limitations of our information systems, the above data may be approximate. </w:t>
      </w:r>
      <w:r w:rsidR="007710D2" w:rsidRPr="007710D2">
        <w:rPr>
          <w:rFonts w:eastAsia="Times New Roman" w:cstheme="minorHAnsi"/>
          <w:color w:val="4472C4" w:themeColor="accent1"/>
          <w:sz w:val="20"/>
          <w:szCs w:val="20"/>
          <w:lang w:eastAsia="en-AU"/>
        </w:rPr>
        <w:t>[</w:t>
      </w:r>
      <w:r w:rsidR="007710D2" w:rsidRPr="007710D2">
        <w:rPr>
          <w:color w:val="4472C4" w:themeColor="accent1"/>
          <w:sz w:val="20"/>
          <w:szCs w:val="20"/>
        </w:rPr>
        <w:t>Please remove the last line of this note if it is not relevant to your organisation.]</w:t>
      </w:r>
      <w:r w:rsidR="00CA1A30">
        <w:br w:type="page"/>
      </w:r>
    </w:p>
    <w:p w14:paraId="2F201BE7" w14:textId="5AF5E309" w:rsidR="008E2373" w:rsidRDefault="00A60A20" w:rsidP="008E2373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SSAF </w:t>
      </w:r>
      <w:r w:rsidR="0079322D" w:rsidRPr="00E53483">
        <w:rPr>
          <w:sz w:val="52"/>
          <w:szCs w:val="52"/>
        </w:rPr>
        <w:t xml:space="preserve">Allocation </w:t>
      </w:r>
      <w:r w:rsidR="008E2373" w:rsidRPr="003231D3">
        <w:rPr>
          <w:sz w:val="52"/>
          <w:szCs w:val="52"/>
        </w:rPr>
        <w:t>Summary</w:t>
      </w:r>
    </w:p>
    <w:p w14:paraId="302F4BD5" w14:textId="77777777" w:rsidR="00E71D9E" w:rsidRDefault="002B79BE">
      <w:pPr>
        <w:rPr>
          <w:color w:val="4472C4" w:themeColor="accent1"/>
        </w:rPr>
      </w:pPr>
      <w:r w:rsidRPr="009A7293">
        <w:rPr>
          <w:color w:val="4472C4" w:themeColor="accent1"/>
        </w:rPr>
        <w:t xml:space="preserve">[Provide data below for key areas of SSAF funding allocation </w:t>
      </w:r>
      <w:r w:rsidR="00AE2A24" w:rsidRPr="009A7293">
        <w:rPr>
          <w:color w:val="4472C4" w:themeColor="accent1"/>
        </w:rPr>
        <w:t xml:space="preserve">and actual expenditure </w:t>
      </w:r>
      <w:r w:rsidRPr="009A7293">
        <w:rPr>
          <w:color w:val="4472C4" w:themeColor="accent1"/>
        </w:rPr>
        <w:t xml:space="preserve">as </w:t>
      </w:r>
      <w:r w:rsidR="00AE2A24" w:rsidRPr="009A7293">
        <w:rPr>
          <w:color w:val="4472C4" w:themeColor="accent1"/>
        </w:rPr>
        <w:t xml:space="preserve">listed under subsection 19-38(4) of </w:t>
      </w:r>
      <w:r w:rsidR="000A3359" w:rsidRPr="009A7293">
        <w:rPr>
          <w:color w:val="4472C4" w:themeColor="accent1"/>
        </w:rPr>
        <w:t>HESA</w:t>
      </w:r>
      <w:r w:rsidR="00AE2A24" w:rsidRPr="009A7293">
        <w:rPr>
          <w:color w:val="4472C4" w:themeColor="accent1"/>
        </w:rPr>
        <w:t xml:space="preserve">. </w:t>
      </w:r>
      <w:r w:rsidR="008661B8">
        <w:rPr>
          <w:color w:val="4472C4" w:themeColor="accent1"/>
        </w:rPr>
        <w:t xml:space="preserve">If SSAF funds were not allocated to one or more of the key areas, please put $0. </w:t>
      </w:r>
      <w:r w:rsidR="00F96209" w:rsidRPr="009A7293">
        <w:rPr>
          <w:color w:val="4472C4" w:themeColor="accent1"/>
        </w:rPr>
        <w:t xml:space="preserve">The final total of the ‘Total Allocation $’ column below should </w:t>
      </w:r>
      <w:r w:rsidR="00AE2A24" w:rsidRPr="009A7293">
        <w:rPr>
          <w:color w:val="4472C4" w:themeColor="accent1"/>
        </w:rPr>
        <w:t xml:space="preserve">equate to the </w:t>
      </w:r>
      <w:r w:rsidR="00F96209" w:rsidRPr="009A7293">
        <w:rPr>
          <w:color w:val="4472C4" w:themeColor="accent1"/>
        </w:rPr>
        <w:t>‘Total SSAF funds available’</w:t>
      </w:r>
      <w:r w:rsidR="00BB1483">
        <w:rPr>
          <w:color w:val="4472C4" w:themeColor="accent1"/>
        </w:rPr>
        <w:t xml:space="preserve"> allocated</w:t>
      </w:r>
      <w:r w:rsidR="00F96209" w:rsidRPr="009A7293">
        <w:rPr>
          <w:color w:val="4472C4" w:themeColor="accent1"/>
        </w:rPr>
        <w:t xml:space="preserve"> total in the ‘SSAF </w:t>
      </w:r>
      <w:r w:rsidR="00AE2A24" w:rsidRPr="009A7293">
        <w:rPr>
          <w:color w:val="4472C4" w:themeColor="accent1"/>
        </w:rPr>
        <w:t>R</w:t>
      </w:r>
      <w:r w:rsidR="00F96209" w:rsidRPr="009A7293">
        <w:rPr>
          <w:color w:val="4472C4" w:themeColor="accent1"/>
        </w:rPr>
        <w:t>evenue Summary’ table above</w:t>
      </w:r>
      <w:r w:rsidR="004A53FE" w:rsidRPr="009A7293">
        <w:rPr>
          <w:color w:val="4472C4" w:themeColor="accent1"/>
        </w:rPr>
        <w:t xml:space="preserve">, unless some SSAF funds </w:t>
      </w:r>
      <w:r w:rsidR="00AE2A24" w:rsidRPr="009A7293">
        <w:rPr>
          <w:color w:val="4472C4" w:themeColor="accent1"/>
        </w:rPr>
        <w:t>available in the report</w:t>
      </w:r>
      <w:r w:rsidR="002041E0">
        <w:rPr>
          <w:color w:val="4472C4" w:themeColor="accent1"/>
        </w:rPr>
        <w:t>ed</w:t>
      </w:r>
      <w:r w:rsidR="00AE2A24" w:rsidRPr="009A7293">
        <w:rPr>
          <w:color w:val="4472C4" w:themeColor="accent1"/>
        </w:rPr>
        <w:t xml:space="preserve"> year </w:t>
      </w:r>
      <w:r w:rsidR="004A53FE" w:rsidRPr="009A7293">
        <w:rPr>
          <w:color w:val="4472C4" w:themeColor="accent1"/>
        </w:rPr>
        <w:t xml:space="preserve">were not allocated </w:t>
      </w:r>
      <w:r w:rsidR="00AE2A24" w:rsidRPr="009A7293">
        <w:rPr>
          <w:color w:val="4472C4" w:themeColor="accent1"/>
        </w:rPr>
        <w:t>due to being carried over to the next reporting year</w:t>
      </w:r>
      <w:r w:rsidR="00F96209" w:rsidRPr="009A7293">
        <w:rPr>
          <w:color w:val="4472C4" w:themeColor="accent1"/>
        </w:rPr>
        <w:t>.</w:t>
      </w:r>
    </w:p>
    <w:p w14:paraId="2CF577B1" w14:textId="22C1ABED" w:rsidR="00257730" w:rsidRPr="00F96209" w:rsidRDefault="00E71D9E" w:rsidP="00E71D9E">
      <w:pPr>
        <w:rPr>
          <w:color w:val="4472C4" w:themeColor="accent1"/>
        </w:rPr>
      </w:pPr>
      <w:r w:rsidRPr="00E71D9E">
        <w:rPr>
          <w:color w:val="4472C4" w:themeColor="accent1"/>
        </w:rPr>
        <w:t xml:space="preserve">The 19 allowable expenditure items have been grouped into Key Areas for reporting purposes. It is </w:t>
      </w:r>
      <w:r w:rsidRPr="00E71D9E">
        <w:rPr>
          <w:b/>
          <w:bCs/>
          <w:color w:val="4472C4" w:themeColor="accent1"/>
        </w:rPr>
        <w:t>mandatory for your organisation to provide data for key areas 2.a. to e</w:t>
      </w:r>
      <w:r w:rsidRPr="00E71D9E">
        <w:rPr>
          <w:color w:val="4472C4" w:themeColor="accent1"/>
        </w:rPr>
        <w:t xml:space="preserve">. </w:t>
      </w:r>
      <w:r>
        <w:rPr>
          <w:color w:val="4472C4" w:themeColor="accent1"/>
        </w:rPr>
        <w:t xml:space="preserve">Organisations may choose to modify this list and report against each of the 19 </w:t>
      </w:r>
      <w:r w:rsidRPr="00E71D9E">
        <w:rPr>
          <w:color w:val="4472C4" w:themeColor="accent1"/>
        </w:rPr>
        <w:t>allowable expenditure items</w:t>
      </w:r>
      <w:r w:rsidR="005C081B">
        <w:rPr>
          <w:color w:val="4472C4" w:themeColor="accent1"/>
        </w:rPr>
        <w:t xml:space="preserve"> listed under subsection 19-38(4) of HESA</w:t>
      </w:r>
      <w:r>
        <w:rPr>
          <w:color w:val="4472C4" w:themeColor="accent1"/>
        </w:rPr>
        <w:t>.]</w:t>
      </w:r>
    </w:p>
    <w:p w14:paraId="023AC7CC" w14:textId="30F3C44B" w:rsidR="00A24FE9" w:rsidRPr="00A24FE9" w:rsidRDefault="00A24FE9">
      <w:r w:rsidRPr="00A24FE9">
        <w:t xml:space="preserve">Subsection 19-38(4) of the </w:t>
      </w:r>
      <w:r w:rsidRPr="00EF1087">
        <w:rPr>
          <w:i/>
          <w:iCs/>
        </w:rPr>
        <w:t>Higher Education Support Act 2003</w:t>
      </w:r>
      <w:r w:rsidRPr="00A24FE9">
        <w:t xml:space="preserve"> </w:t>
      </w:r>
      <w:r w:rsidR="00EF1087">
        <w:t xml:space="preserve">(the Act) </w:t>
      </w:r>
      <w:r w:rsidRPr="00A24FE9">
        <w:t xml:space="preserve">provides a list of 19 </w:t>
      </w:r>
      <w:bookmarkStart w:id="2" w:name="_Hlk100755196"/>
      <w:r w:rsidRPr="00A24FE9">
        <w:t xml:space="preserve">allowable expenditure items </w:t>
      </w:r>
      <w:bookmarkEnd w:id="2"/>
      <w:r w:rsidR="00EF1087">
        <w:t>which</w:t>
      </w:r>
      <w:r w:rsidRPr="00A24FE9">
        <w:t xml:space="preserve"> higher education providers </w:t>
      </w:r>
      <w:r w:rsidR="00EF1087">
        <w:t>may allocate and</w:t>
      </w:r>
      <w:r w:rsidRPr="00A24FE9">
        <w:t xml:space="preserve"> spend SSAF revenue on.</w:t>
      </w:r>
    </w:p>
    <w:p w14:paraId="1C9786AB" w14:textId="64F86A43" w:rsidR="00A24FE9" w:rsidRPr="00A24FE9" w:rsidRDefault="00A24FE9">
      <w:r w:rsidRPr="00A24FE9">
        <w:t>Please note, under subsection 19-38 of the Act, SSAF revenue must not be spent to support a political party or the election of a person as a member of the legislature of the Commonwealth, State or a Territory, or a local government body.</w:t>
      </w:r>
    </w:p>
    <w:p w14:paraId="5138CF4F" w14:textId="78B6BE29" w:rsidR="002B79BE" w:rsidRDefault="002B79BE">
      <w:pPr>
        <w:rPr>
          <w:color w:val="4472C4" w:themeColor="accent1"/>
        </w:rPr>
      </w:pPr>
    </w:p>
    <w:tbl>
      <w:tblPr>
        <w:tblStyle w:val="TableGrid"/>
        <w:tblW w:w="10588" w:type="dxa"/>
        <w:tblInd w:w="-670" w:type="dxa"/>
        <w:tblLook w:val="04A0" w:firstRow="1" w:lastRow="0" w:firstColumn="1" w:lastColumn="0" w:noHBand="0" w:noVBand="1"/>
      </w:tblPr>
      <w:tblGrid>
        <w:gridCol w:w="3510"/>
        <w:gridCol w:w="1594"/>
        <w:gridCol w:w="1559"/>
        <w:gridCol w:w="1843"/>
        <w:gridCol w:w="2082"/>
      </w:tblGrid>
      <w:tr w:rsidR="00E71D9E" w:rsidRPr="00257730" w14:paraId="2063F3EF" w14:textId="77777777" w:rsidTr="00D427A8">
        <w:tc>
          <w:tcPr>
            <w:tcW w:w="3510" w:type="dxa"/>
            <w:shd w:val="clear" w:color="auto" w:fill="E2EFDA"/>
            <w:vAlign w:val="center"/>
          </w:tcPr>
          <w:p w14:paraId="5AB0C0D3" w14:textId="77777777" w:rsidR="00E71D9E" w:rsidRPr="00257730" w:rsidRDefault="00E71D9E" w:rsidP="00C128C4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Key Area</w:t>
            </w:r>
          </w:p>
        </w:tc>
        <w:tc>
          <w:tcPr>
            <w:tcW w:w="1594" w:type="dxa"/>
            <w:shd w:val="clear" w:color="auto" w:fill="E2EFDA"/>
            <w:vAlign w:val="center"/>
          </w:tcPr>
          <w:p w14:paraId="49E24CDF" w14:textId="77777777" w:rsidR="00E71D9E" w:rsidRPr="00257730" w:rsidRDefault="00E71D9E" w:rsidP="00C128C4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[Year] Total Allocation $</w:t>
            </w:r>
          </w:p>
        </w:tc>
        <w:tc>
          <w:tcPr>
            <w:tcW w:w="1559" w:type="dxa"/>
            <w:shd w:val="clear" w:color="auto" w:fill="E2EFDA"/>
            <w:vAlign w:val="center"/>
          </w:tcPr>
          <w:p w14:paraId="09ABE846" w14:textId="77777777" w:rsidR="00E71D9E" w:rsidRPr="00257730" w:rsidRDefault="00E71D9E" w:rsidP="00C128C4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[Year] Total Actual Spend $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22FA7011" w14:textId="7AED67BB" w:rsidR="00E71D9E" w:rsidRPr="00257730" w:rsidRDefault="00D427A8" w:rsidP="00C12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</w:t>
            </w:r>
            <w:r w:rsidR="00E71D9E" w:rsidRPr="00257730">
              <w:rPr>
                <w:b/>
                <w:bCs/>
              </w:rPr>
              <w:t xml:space="preserve"> services available online</w:t>
            </w:r>
            <w:r w:rsidR="005C081B">
              <w:rPr>
                <w:b/>
                <w:bCs/>
              </w:rPr>
              <w:t>?</w:t>
            </w:r>
          </w:p>
        </w:tc>
        <w:tc>
          <w:tcPr>
            <w:tcW w:w="2082" w:type="dxa"/>
            <w:shd w:val="clear" w:color="auto" w:fill="E2EFDA"/>
            <w:vAlign w:val="center"/>
          </w:tcPr>
          <w:p w14:paraId="7CA9FD36" w14:textId="12BE49AA" w:rsidR="00E71D9E" w:rsidRPr="00257730" w:rsidRDefault="00E71D9E" w:rsidP="00C128C4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Estimate</w:t>
            </w:r>
            <w:r w:rsidR="007710D2">
              <w:rPr>
                <w:b/>
                <w:bCs/>
              </w:rPr>
              <w:t>d</w:t>
            </w:r>
            <w:r w:rsidR="00D427A8">
              <w:rPr>
                <w:b/>
                <w:bCs/>
              </w:rPr>
              <w:t xml:space="preserve"> No.</w:t>
            </w:r>
            <w:r w:rsidRPr="00257730">
              <w:rPr>
                <w:b/>
                <w:bCs/>
              </w:rPr>
              <w:t xml:space="preserve"> of students accessing services</w:t>
            </w:r>
          </w:p>
        </w:tc>
      </w:tr>
      <w:tr w:rsidR="00E71D9E" w14:paraId="71D0E517" w14:textId="77777777" w:rsidTr="00D427A8">
        <w:trPr>
          <w:trHeight w:val="467"/>
        </w:trPr>
        <w:tc>
          <w:tcPr>
            <w:tcW w:w="3510" w:type="dxa"/>
            <w:vAlign w:val="center"/>
          </w:tcPr>
          <w:p w14:paraId="3591E048" w14:textId="77777777" w:rsidR="00E71D9E" w:rsidRDefault="00E71D9E" w:rsidP="00C128C4">
            <w:pPr>
              <w:pStyle w:val="ListParagraph"/>
              <w:numPr>
                <w:ilvl w:val="0"/>
                <w:numId w:val="2"/>
              </w:numPr>
            </w:pPr>
            <w:r>
              <w:t>Health Services</w:t>
            </w:r>
          </w:p>
        </w:tc>
        <w:tc>
          <w:tcPr>
            <w:tcW w:w="1594" w:type="dxa"/>
            <w:vAlign w:val="center"/>
          </w:tcPr>
          <w:p w14:paraId="3855F66F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54DBD6B7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10C914E2" w14:textId="618810F1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0D32D2E2" w14:textId="7685FD95" w:rsidR="00E71D9E" w:rsidRDefault="00E71D9E" w:rsidP="00C128C4">
            <w:pPr>
              <w:jc w:val="center"/>
            </w:pPr>
          </w:p>
        </w:tc>
      </w:tr>
      <w:tr w:rsidR="00E71D9E" w14:paraId="18BD34E4" w14:textId="77777777" w:rsidTr="00D427A8">
        <w:trPr>
          <w:trHeight w:val="417"/>
        </w:trPr>
        <w:tc>
          <w:tcPr>
            <w:tcW w:w="3510" w:type="dxa"/>
            <w:vAlign w:val="center"/>
          </w:tcPr>
          <w:p w14:paraId="75F19E03" w14:textId="77777777" w:rsidR="00E71D9E" w:rsidRDefault="00E71D9E" w:rsidP="00C128C4">
            <w:pPr>
              <w:pStyle w:val="ListParagraph"/>
              <w:numPr>
                <w:ilvl w:val="0"/>
                <w:numId w:val="2"/>
              </w:numPr>
            </w:pPr>
            <w:r>
              <w:t>Clubs or other associations</w:t>
            </w:r>
          </w:p>
        </w:tc>
        <w:tc>
          <w:tcPr>
            <w:tcW w:w="1594" w:type="dxa"/>
            <w:vAlign w:val="center"/>
          </w:tcPr>
          <w:p w14:paraId="5147C044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48A7CF30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68C44026" w14:textId="363C074B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4BDDD83B" w14:textId="0D5E28F4" w:rsidR="00E71D9E" w:rsidRDefault="00E71D9E" w:rsidP="00C128C4">
            <w:pPr>
              <w:jc w:val="center"/>
            </w:pPr>
          </w:p>
        </w:tc>
      </w:tr>
      <w:tr w:rsidR="00E71D9E" w14:paraId="06C34807" w14:textId="77777777" w:rsidTr="00D427A8">
        <w:trPr>
          <w:trHeight w:val="408"/>
        </w:trPr>
        <w:tc>
          <w:tcPr>
            <w:tcW w:w="3510" w:type="dxa"/>
            <w:vAlign w:val="center"/>
          </w:tcPr>
          <w:p w14:paraId="2DA2C00F" w14:textId="77777777" w:rsidR="00E71D9E" w:rsidRDefault="00E71D9E" w:rsidP="00C128C4">
            <w:pPr>
              <w:pStyle w:val="ListParagraph"/>
              <w:numPr>
                <w:ilvl w:val="0"/>
                <w:numId w:val="3"/>
              </w:numPr>
            </w:pPr>
            <w:r>
              <w:t>Sporting</w:t>
            </w:r>
          </w:p>
        </w:tc>
        <w:tc>
          <w:tcPr>
            <w:tcW w:w="1594" w:type="dxa"/>
            <w:vAlign w:val="center"/>
          </w:tcPr>
          <w:p w14:paraId="57AEBFE3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66044965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4D80910A" w14:textId="37F091FA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5849154E" w14:textId="7055DACD" w:rsidR="00E71D9E" w:rsidRDefault="00E71D9E" w:rsidP="00C128C4">
            <w:pPr>
              <w:jc w:val="center"/>
            </w:pPr>
          </w:p>
        </w:tc>
      </w:tr>
      <w:tr w:rsidR="00E71D9E" w14:paraId="4C8CCB1B" w14:textId="77777777" w:rsidTr="00D427A8">
        <w:trPr>
          <w:trHeight w:val="408"/>
        </w:trPr>
        <w:tc>
          <w:tcPr>
            <w:tcW w:w="3510" w:type="dxa"/>
            <w:vAlign w:val="center"/>
          </w:tcPr>
          <w:p w14:paraId="0CAEDD3C" w14:textId="77777777" w:rsidR="00E71D9E" w:rsidRDefault="00E71D9E" w:rsidP="00C128C4">
            <w:pPr>
              <w:pStyle w:val="ListParagraph"/>
              <w:numPr>
                <w:ilvl w:val="0"/>
                <w:numId w:val="3"/>
              </w:numPr>
            </w:pPr>
            <w:r>
              <w:t>Internal student politics</w:t>
            </w:r>
          </w:p>
        </w:tc>
        <w:tc>
          <w:tcPr>
            <w:tcW w:w="1594" w:type="dxa"/>
            <w:vAlign w:val="center"/>
          </w:tcPr>
          <w:p w14:paraId="2B69EC1D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1993D98C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580D8E80" w14:textId="231CF379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1B2098A6" w14:textId="28B7D339" w:rsidR="00E71D9E" w:rsidRDefault="00E71D9E" w:rsidP="00C128C4">
            <w:pPr>
              <w:jc w:val="center"/>
            </w:pPr>
          </w:p>
        </w:tc>
      </w:tr>
      <w:tr w:rsidR="00E71D9E" w14:paraId="64991747" w14:textId="77777777" w:rsidTr="00D427A8">
        <w:trPr>
          <w:trHeight w:val="408"/>
        </w:trPr>
        <w:tc>
          <w:tcPr>
            <w:tcW w:w="3510" w:type="dxa"/>
            <w:vAlign w:val="center"/>
          </w:tcPr>
          <w:p w14:paraId="5058AA7E" w14:textId="77777777" w:rsidR="00E71D9E" w:rsidRDefault="00E71D9E" w:rsidP="00C128C4">
            <w:pPr>
              <w:pStyle w:val="ListParagraph"/>
              <w:numPr>
                <w:ilvl w:val="0"/>
                <w:numId w:val="3"/>
              </w:numPr>
            </w:pPr>
            <w:r>
              <w:t>Gender, sexuality, ethnicity, race, or nationality-based</w:t>
            </w:r>
          </w:p>
        </w:tc>
        <w:tc>
          <w:tcPr>
            <w:tcW w:w="1594" w:type="dxa"/>
            <w:vAlign w:val="center"/>
          </w:tcPr>
          <w:p w14:paraId="74917BE3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0C4AA4AF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269C92BC" w14:textId="28B51FA8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5FB602DF" w14:textId="2F2F0926" w:rsidR="00E71D9E" w:rsidRDefault="00E71D9E" w:rsidP="00C128C4">
            <w:pPr>
              <w:jc w:val="center"/>
            </w:pPr>
          </w:p>
        </w:tc>
      </w:tr>
      <w:tr w:rsidR="00E71D9E" w14:paraId="2983BDE4" w14:textId="77777777" w:rsidTr="00D427A8">
        <w:trPr>
          <w:trHeight w:val="408"/>
        </w:trPr>
        <w:tc>
          <w:tcPr>
            <w:tcW w:w="3510" w:type="dxa"/>
            <w:vAlign w:val="center"/>
          </w:tcPr>
          <w:p w14:paraId="601ED8B5" w14:textId="77777777" w:rsidR="00E71D9E" w:rsidRDefault="00E71D9E" w:rsidP="00C128C4">
            <w:pPr>
              <w:pStyle w:val="ListParagraph"/>
              <w:numPr>
                <w:ilvl w:val="0"/>
                <w:numId w:val="3"/>
              </w:numPr>
            </w:pPr>
            <w:r>
              <w:t xml:space="preserve">Areas-of-study related </w:t>
            </w:r>
            <w:proofErr w:type="gramStart"/>
            <w:r>
              <w:t>e.g.</w:t>
            </w:r>
            <w:proofErr w:type="gramEnd"/>
            <w:r>
              <w:t xml:space="preserve"> law</w:t>
            </w:r>
          </w:p>
        </w:tc>
        <w:tc>
          <w:tcPr>
            <w:tcW w:w="1594" w:type="dxa"/>
            <w:vAlign w:val="center"/>
          </w:tcPr>
          <w:p w14:paraId="1A6C7066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4D20A7F6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78D856F7" w14:textId="478C3A6F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1E8D3054" w14:textId="3A7ECFAC" w:rsidR="00E71D9E" w:rsidRDefault="00E71D9E" w:rsidP="00C128C4">
            <w:pPr>
              <w:jc w:val="center"/>
            </w:pPr>
          </w:p>
        </w:tc>
      </w:tr>
      <w:tr w:rsidR="00E71D9E" w14:paraId="49FE7A07" w14:textId="77777777" w:rsidTr="00D427A8">
        <w:trPr>
          <w:trHeight w:val="408"/>
        </w:trPr>
        <w:tc>
          <w:tcPr>
            <w:tcW w:w="3510" w:type="dxa"/>
            <w:vAlign w:val="center"/>
          </w:tcPr>
          <w:p w14:paraId="3E189039" w14:textId="77777777" w:rsidR="00E71D9E" w:rsidRDefault="00E71D9E" w:rsidP="00C128C4">
            <w:pPr>
              <w:pStyle w:val="ListParagraph"/>
              <w:numPr>
                <w:ilvl w:val="0"/>
                <w:numId w:val="3"/>
              </w:numPr>
            </w:pPr>
            <w:r>
              <w:t xml:space="preserve">Other activities </w:t>
            </w:r>
            <w:proofErr w:type="gramStart"/>
            <w:r>
              <w:t>e.g.</w:t>
            </w:r>
            <w:proofErr w:type="gramEnd"/>
            <w:r>
              <w:t xml:space="preserve"> music, debate, chess</w:t>
            </w:r>
          </w:p>
        </w:tc>
        <w:tc>
          <w:tcPr>
            <w:tcW w:w="1594" w:type="dxa"/>
            <w:vAlign w:val="center"/>
          </w:tcPr>
          <w:p w14:paraId="4F619D9E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6EE8981A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6C201840" w14:textId="69AA9C53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264F445D" w14:textId="2DF1BD4C" w:rsidR="00E71D9E" w:rsidRDefault="00E71D9E" w:rsidP="00C128C4">
            <w:pPr>
              <w:jc w:val="center"/>
            </w:pPr>
          </w:p>
        </w:tc>
      </w:tr>
      <w:tr w:rsidR="00E71D9E" w14:paraId="5BFB4575" w14:textId="77777777" w:rsidTr="00D427A8">
        <w:trPr>
          <w:trHeight w:val="408"/>
        </w:trPr>
        <w:tc>
          <w:tcPr>
            <w:tcW w:w="3510" w:type="dxa"/>
            <w:vAlign w:val="center"/>
          </w:tcPr>
          <w:p w14:paraId="429C3B01" w14:textId="77777777" w:rsidR="00E71D9E" w:rsidRDefault="00E71D9E" w:rsidP="00C128C4">
            <w:pPr>
              <w:pStyle w:val="ListParagraph"/>
              <w:numPr>
                <w:ilvl w:val="0"/>
                <w:numId w:val="3"/>
              </w:numPr>
            </w:pPr>
            <w:r>
              <w:t>Other</w:t>
            </w:r>
          </w:p>
        </w:tc>
        <w:tc>
          <w:tcPr>
            <w:tcW w:w="1594" w:type="dxa"/>
            <w:vAlign w:val="center"/>
          </w:tcPr>
          <w:p w14:paraId="7E9074BE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06DBA5FF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337BDC9D" w14:textId="513BFA7D" w:rsidR="00E71D9E" w:rsidRPr="00224130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31CB369F" w14:textId="2DF7CED9" w:rsidR="00E71D9E" w:rsidRDefault="00E71D9E" w:rsidP="00C128C4">
            <w:pPr>
              <w:jc w:val="center"/>
            </w:pPr>
          </w:p>
        </w:tc>
      </w:tr>
      <w:tr w:rsidR="00E71D9E" w14:paraId="6729DD7D" w14:textId="77777777" w:rsidTr="00D427A8">
        <w:trPr>
          <w:trHeight w:val="414"/>
        </w:trPr>
        <w:tc>
          <w:tcPr>
            <w:tcW w:w="3510" w:type="dxa"/>
            <w:vAlign w:val="center"/>
          </w:tcPr>
          <w:p w14:paraId="51A46F39" w14:textId="77777777" w:rsidR="00E71D9E" w:rsidRDefault="00E71D9E" w:rsidP="00C128C4">
            <w:pPr>
              <w:pStyle w:val="ListParagraph"/>
              <w:numPr>
                <w:ilvl w:val="0"/>
                <w:numId w:val="2"/>
              </w:numPr>
            </w:pPr>
            <w:r>
              <w:t>Employment/career services</w:t>
            </w:r>
          </w:p>
        </w:tc>
        <w:tc>
          <w:tcPr>
            <w:tcW w:w="1594" w:type="dxa"/>
            <w:vAlign w:val="center"/>
          </w:tcPr>
          <w:p w14:paraId="2C4BAFC1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6EA254FB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64A3012A" w14:textId="05055B31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5C709C52" w14:textId="16C72431" w:rsidR="00E71D9E" w:rsidRDefault="00E71D9E" w:rsidP="00C128C4">
            <w:pPr>
              <w:jc w:val="center"/>
            </w:pPr>
          </w:p>
        </w:tc>
      </w:tr>
      <w:tr w:rsidR="00E71D9E" w14:paraId="4285656F" w14:textId="77777777" w:rsidTr="00D427A8">
        <w:trPr>
          <w:trHeight w:val="421"/>
        </w:trPr>
        <w:tc>
          <w:tcPr>
            <w:tcW w:w="3510" w:type="dxa"/>
            <w:vAlign w:val="center"/>
          </w:tcPr>
          <w:p w14:paraId="4C22ED3C" w14:textId="77777777" w:rsidR="00E71D9E" w:rsidRDefault="00E71D9E" w:rsidP="00C128C4">
            <w:pPr>
              <w:pStyle w:val="ListParagraph"/>
              <w:numPr>
                <w:ilvl w:val="0"/>
                <w:numId w:val="2"/>
              </w:numPr>
            </w:pPr>
            <w:r>
              <w:t>Legal aid</w:t>
            </w:r>
          </w:p>
        </w:tc>
        <w:tc>
          <w:tcPr>
            <w:tcW w:w="1594" w:type="dxa"/>
            <w:vAlign w:val="center"/>
          </w:tcPr>
          <w:p w14:paraId="72F3F50E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140D0742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52DC3B7A" w14:textId="398808BE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65E2A29E" w14:textId="70C4189B" w:rsidR="00E71D9E" w:rsidRDefault="00E71D9E" w:rsidP="00C128C4">
            <w:pPr>
              <w:jc w:val="center"/>
            </w:pPr>
          </w:p>
        </w:tc>
      </w:tr>
      <w:tr w:rsidR="00E71D9E" w14:paraId="17161FDB" w14:textId="77777777" w:rsidTr="00D427A8">
        <w:trPr>
          <w:trHeight w:val="413"/>
        </w:trPr>
        <w:tc>
          <w:tcPr>
            <w:tcW w:w="3510" w:type="dxa"/>
            <w:vAlign w:val="center"/>
          </w:tcPr>
          <w:p w14:paraId="12912B98" w14:textId="77777777" w:rsidR="00E71D9E" w:rsidRDefault="00E71D9E" w:rsidP="00C128C4">
            <w:pPr>
              <w:pStyle w:val="ListParagraph"/>
              <w:numPr>
                <w:ilvl w:val="0"/>
                <w:numId w:val="2"/>
              </w:numPr>
            </w:pPr>
            <w:r>
              <w:t>Other student amenities</w:t>
            </w:r>
          </w:p>
        </w:tc>
        <w:tc>
          <w:tcPr>
            <w:tcW w:w="1594" w:type="dxa"/>
            <w:vAlign w:val="center"/>
          </w:tcPr>
          <w:p w14:paraId="664218A5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10B85526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0AA7592A" w14:textId="32C445BA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5114693D" w14:textId="2DF0E3FA" w:rsidR="00E71D9E" w:rsidRDefault="00E71D9E" w:rsidP="00C128C4">
            <w:pPr>
              <w:jc w:val="center"/>
            </w:pPr>
          </w:p>
        </w:tc>
      </w:tr>
      <w:tr w:rsidR="00E71D9E" w14:paraId="6704ECC2" w14:textId="77777777" w:rsidTr="00D427A8">
        <w:trPr>
          <w:trHeight w:val="413"/>
        </w:trPr>
        <w:tc>
          <w:tcPr>
            <w:tcW w:w="3510" w:type="dxa"/>
            <w:vAlign w:val="center"/>
          </w:tcPr>
          <w:p w14:paraId="46D0CE1A" w14:textId="74F33632" w:rsidR="00E71D9E" w:rsidRDefault="00E71D9E" w:rsidP="00C128C4">
            <w:pPr>
              <w:pStyle w:val="ListParagraph"/>
              <w:numPr>
                <w:ilvl w:val="0"/>
                <w:numId w:val="2"/>
              </w:numPr>
            </w:pPr>
            <w:r w:rsidRPr="00D427A8">
              <w:rPr>
                <w:color w:val="BFBFBF" w:themeColor="background1" w:themeShade="BF"/>
              </w:rPr>
              <w:t>Other</w:t>
            </w:r>
            <w:r w:rsidR="00D427A8" w:rsidRPr="00D427A8">
              <w:rPr>
                <w:color w:val="BFBFBF" w:themeColor="background1" w:themeShade="BF"/>
              </w:rPr>
              <w:t xml:space="preserve"> </w:t>
            </w:r>
            <w:r w:rsidR="00D427A8">
              <w:rPr>
                <w:color w:val="BFBFBF" w:themeColor="background1" w:themeShade="BF"/>
              </w:rPr>
              <w:t xml:space="preserve">- </w:t>
            </w:r>
            <w:r w:rsidR="00D427A8" w:rsidRPr="00D427A8">
              <w:rPr>
                <w:color w:val="BFBFBF" w:themeColor="background1" w:themeShade="BF"/>
              </w:rPr>
              <w:t xml:space="preserve">please </w:t>
            </w:r>
            <w:r w:rsidR="00D427A8">
              <w:rPr>
                <w:color w:val="BFBFBF" w:themeColor="background1" w:themeShade="BF"/>
              </w:rPr>
              <w:t xml:space="preserve">provide </w:t>
            </w:r>
            <w:r w:rsidR="00D427A8" w:rsidRPr="00D427A8">
              <w:rPr>
                <w:color w:val="BFBFBF" w:themeColor="background1" w:themeShade="BF"/>
              </w:rPr>
              <w:t>descri</w:t>
            </w:r>
            <w:r w:rsidR="00D427A8">
              <w:rPr>
                <w:color w:val="BFBFBF" w:themeColor="background1" w:themeShade="BF"/>
              </w:rPr>
              <w:t>ption</w:t>
            </w:r>
            <w:r w:rsidR="00D427A8" w:rsidRPr="00D427A8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537FA877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636EC215" w14:textId="77777777" w:rsidR="00E71D9E" w:rsidRDefault="00E71D9E" w:rsidP="00C128C4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2B188C34" w14:textId="2EB3CF35" w:rsidR="00E71D9E" w:rsidRDefault="00E71D9E" w:rsidP="00C128C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67C761EF" w14:textId="0D66B66E" w:rsidR="00E71D9E" w:rsidRDefault="00E71D9E" w:rsidP="00C128C4">
            <w:pPr>
              <w:jc w:val="center"/>
            </w:pPr>
          </w:p>
        </w:tc>
      </w:tr>
      <w:tr w:rsidR="00E71D9E" w14:paraId="3C5FB239" w14:textId="77777777" w:rsidTr="00D427A8">
        <w:trPr>
          <w:trHeight w:val="413"/>
        </w:trPr>
        <w:tc>
          <w:tcPr>
            <w:tcW w:w="3510" w:type="dxa"/>
            <w:vAlign w:val="center"/>
          </w:tcPr>
          <w:p w14:paraId="42FBADA3" w14:textId="77777777" w:rsidR="00E71D9E" w:rsidRPr="00224130" w:rsidRDefault="00E71D9E" w:rsidP="00C128C4">
            <w:pPr>
              <w:rPr>
                <w:b/>
                <w:bCs/>
              </w:rPr>
            </w:pPr>
            <w:r w:rsidRPr="00224130">
              <w:rPr>
                <w:b/>
                <w:bCs/>
              </w:rPr>
              <w:t>Total</w:t>
            </w:r>
          </w:p>
        </w:tc>
        <w:tc>
          <w:tcPr>
            <w:tcW w:w="1594" w:type="dxa"/>
            <w:vAlign w:val="center"/>
          </w:tcPr>
          <w:p w14:paraId="4C4113EA" w14:textId="77777777" w:rsidR="00E71D9E" w:rsidRPr="00224130" w:rsidRDefault="00E71D9E" w:rsidP="00C128C4">
            <w:pPr>
              <w:jc w:val="center"/>
              <w:rPr>
                <w:b/>
                <w:bCs/>
              </w:rPr>
            </w:pPr>
            <w:r w:rsidRPr="00224130">
              <w:rPr>
                <w:b/>
                <w:bCs/>
              </w:rPr>
              <w:t>$</w:t>
            </w:r>
          </w:p>
        </w:tc>
        <w:tc>
          <w:tcPr>
            <w:tcW w:w="1559" w:type="dxa"/>
            <w:vAlign w:val="center"/>
          </w:tcPr>
          <w:p w14:paraId="77A5DFB5" w14:textId="77777777" w:rsidR="00E71D9E" w:rsidRPr="00224130" w:rsidRDefault="00E71D9E" w:rsidP="00C128C4">
            <w:pPr>
              <w:jc w:val="center"/>
              <w:rPr>
                <w:b/>
                <w:bCs/>
              </w:rPr>
            </w:pPr>
            <w:r w:rsidRPr="00224130">
              <w:rPr>
                <w:b/>
                <w:bCs/>
              </w:rPr>
              <w:t>$</w:t>
            </w:r>
          </w:p>
        </w:tc>
        <w:tc>
          <w:tcPr>
            <w:tcW w:w="1843" w:type="dxa"/>
            <w:vAlign w:val="center"/>
          </w:tcPr>
          <w:p w14:paraId="31840B94" w14:textId="2EC1C654" w:rsidR="00E71D9E" w:rsidRPr="00224130" w:rsidRDefault="00E71D9E" w:rsidP="00C128C4">
            <w:pPr>
              <w:jc w:val="center"/>
              <w:rPr>
                <w:b/>
                <w:bCs/>
              </w:rPr>
            </w:pPr>
          </w:p>
        </w:tc>
        <w:tc>
          <w:tcPr>
            <w:tcW w:w="2082" w:type="dxa"/>
            <w:vAlign w:val="center"/>
          </w:tcPr>
          <w:p w14:paraId="31BD0B1A" w14:textId="38714DD0" w:rsidR="00E71D9E" w:rsidRPr="00224130" w:rsidRDefault="00E71D9E" w:rsidP="00C128C4">
            <w:pPr>
              <w:jc w:val="center"/>
              <w:rPr>
                <w:b/>
                <w:bCs/>
              </w:rPr>
            </w:pPr>
          </w:p>
        </w:tc>
      </w:tr>
    </w:tbl>
    <w:p w14:paraId="15AA3597" w14:textId="3DD69DB9" w:rsidR="00E71D9E" w:rsidRDefault="00E71D9E">
      <w:pPr>
        <w:rPr>
          <w:color w:val="4472C4" w:themeColor="accent1"/>
        </w:rPr>
      </w:pPr>
    </w:p>
    <w:p w14:paraId="171A402A" w14:textId="550E114E" w:rsidR="00EF1087" w:rsidRPr="00EF1087" w:rsidRDefault="00EF1087">
      <w:pPr>
        <w:rPr>
          <w:sz w:val="28"/>
          <w:szCs w:val="28"/>
        </w:rPr>
      </w:pPr>
      <w:r w:rsidRPr="00EF1087">
        <w:rPr>
          <w:sz w:val="28"/>
          <w:szCs w:val="28"/>
        </w:rPr>
        <w:lastRenderedPageBreak/>
        <w:t xml:space="preserve">Organisations, </w:t>
      </w:r>
      <w:proofErr w:type="gramStart"/>
      <w:r w:rsidRPr="00EF1087">
        <w:rPr>
          <w:sz w:val="28"/>
          <w:szCs w:val="28"/>
        </w:rPr>
        <w:t>bodies</w:t>
      </w:r>
      <w:proofErr w:type="gramEnd"/>
      <w:r w:rsidRPr="00EF1087">
        <w:rPr>
          <w:sz w:val="28"/>
          <w:szCs w:val="28"/>
        </w:rPr>
        <w:t xml:space="preserve"> or third-party providers that received SSAF funding </w:t>
      </w:r>
      <w:r w:rsidR="00381670">
        <w:rPr>
          <w:sz w:val="28"/>
          <w:szCs w:val="28"/>
        </w:rPr>
        <w:t>in [</w:t>
      </w:r>
      <w:r w:rsidR="002041E0">
        <w:rPr>
          <w:sz w:val="28"/>
          <w:szCs w:val="28"/>
        </w:rPr>
        <w:t>I</w:t>
      </w:r>
      <w:r w:rsidR="00381670">
        <w:rPr>
          <w:sz w:val="28"/>
          <w:szCs w:val="28"/>
        </w:rPr>
        <w:t>nsert report</w:t>
      </w:r>
      <w:r w:rsidR="002041E0">
        <w:rPr>
          <w:sz w:val="28"/>
          <w:szCs w:val="28"/>
        </w:rPr>
        <w:t>ed</w:t>
      </w:r>
      <w:r w:rsidR="00381670">
        <w:rPr>
          <w:sz w:val="28"/>
          <w:szCs w:val="28"/>
        </w:rPr>
        <w:t xml:space="preserve"> year]</w:t>
      </w:r>
    </w:p>
    <w:p w14:paraId="1FC81F28" w14:textId="10798254" w:rsidR="00257730" w:rsidRDefault="00257730">
      <w:pPr>
        <w:rPr>
          <w:color w:val="4472C4" w:themeColor="accent1"/>
        </w:rPr>
      </w:pPr>
      <w:r w:rsidRPr="00257730">
        <w:rPr>
          <w:color w:val="4472C4" w:themeColor="accent1"/>
        </w:rPr>
        <w:t>[</w:t>
      </w:r>
      <w:r w:rsidR="00BB1483">
        <w:rPr>
          <w:color w:val="4472C4" w:themeColor="accent1"/>
        </w:rPr>
        <w:t>P</w:t>
      </w:r>
      <w:r w:rsidR="00EF1087">
        <w:rPr>
          <w:color w:val="4472C4" w:themeColor="accent1"/>
        </w:rPr>
        <w:t>rovide data</w:t>
      </w:r>
      <w:r w:rsidRPr="00257730">
        <w:rPr>
          <w:color w:val="4472C4" w:themeColor="accent1"/>
        </w:rPr>
        <w:t xml:space="preserve"> </w:t>
      </w:r>
      <w:r w:rsidR="002B79BE">
        <w:rPr>
          <w:color w:val="4472C4" w:themeColor="accent1"/>
        </w:rPr>
        <w:t xml:space="preserve">below </w:t>
      </w:r>
      <w:r w:rsidR="00EF1087">
        <w:rPr>
          <w:color w:val="4472C4" w:themeColor="accent1"/>
        </w:rPr>
        <w:t xml:space="preserve">for </w:t>
      </w:r>
      <w:r w:rsidRPr="00257730">
        <w:rPr>
          <w:color w:val="4472C4" w:themeColor="accent1"/>
        </w:rPr>
        <w:t>the organisations</w:t>
      </w:r>
      <w:r w:rsidR="005A60A9">
        <w:rPr>
          <w:color w:val="4472C4" w:themeColor="accent1"/>
        </w:rPr>
        <w:t>,</w:t>
      </w:r>
      <w:r w:rsidRPr="00257730">
        <w:rPr>
          <w:color w:val="4472C4" w:themeColor="accent1"/>
        </w:rPr>
        <w:t xml:space="preserve"> bodies</w:t>
      </w:r>
      <w:r w:rsidR="005A60A9">
        <w:rPr>
          <w:color w:val="4472C4" w:themeColor="accent1"/>
        </w:rPr>
        <w:t xml:space="preserve"> or third-party providers</w:t>
      </w:r>
      <w:r w:rsidRPr="00257730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associated with the key areas </w:t>
      </w:r>
      <w:r w:rsidR="002B79BE">
        <w:rPr>
          <w:color w:val="4472C4" w:themeColor="accent1"/>
        </w:rPr>
        <w:t xml:space="preserve">listed </w:t>
      </w:r>
      <w:r>
        <w:rPr>
          <w:color w:val="4472C4" w:themeColor="accent1"/>
        </w:rPr>
        <w:t xml:space="preserve">above </w:t>
      </w:r>
      <w:r w:rsidRPr="00257730">
        <w:rPr>
          <w:color w:val="4472C4" w:themeColor="accent1"/>
        </w:rPr>
        <w:t>that received SSAF funding</w:t>
      </w:r>
      <w:r w:rsidR="00EF1087">
        <w:rPr>
          <w:color w:val="4472C4" w:themeColor="accent1"/>
        </w:rPr>
        <w:t xml:space="preserve"> in the report</w:t>
      </w:r>
      <w:r w:rsidR="002041E0">
        <w:rPr>
          <w:color w:val="4472C4" w:themeColor="accent1"/>
        </w:rPr>
        <w:t>ed</w:t>
      </w:r>
      <w:r w:rsidR="00EF1087">
        <w:rPr>
          <w:color w:val="4472C4" w:themeColor="accent1"/>
        </w:rPr>
        <w:t xml:space="preserve"> year</w:t>
      </w:r>
      <w:r w:rsidRPr="00257730">
        <w:rPr>
          <w:color w:val="4472C4" w:themeColor="accent1"/>
        </w:rPr>
        <w:t xml:space="preserve">. </w:t>
      </w:r>
      <w:r w:rsidR="005A60A9">
        <w:rPr>
          <w:color w:val="4472C4" w:themeColor="accent1"/>
        </w:rPr>
        <w:t xml:space="preserve">You </w:t>
      </w:r>
      <w:r w:rsidR="007710D2">
        <w:rPr>
          <w:color w:val="4472C4" w:themeColor="accent1"/>
        </w:rPr>
        <w:t xml:space="preserve">are </w:t>
      </w:r>
      <w:r w:rsidR="005A60A9">
        <w:rPr>
          <w:color w:val="4472C4" w:themeColor="accent1"/>
        </w:rPr>
        <w:t xml:space="preserve">only </w:t>
      </w:r>
      <w:r w:rsidR="007710D2">
        <w:rPr>
          <w:color w:val="4472C4" w:themeColor="accent1"/>
        </w:rPr>
        <w:t>expected</w:t>
      </w:r>
      <w:r w:rsidR="005A60A9">
        <w:rPr>
          <w:color w:val="4472C4" w:themeColor="accent1"/>
        </w:rPr>
        <w:t xml:space="preserve"> to provide data for </w:t>
      </w:r>
      <w:r w:rsidR="005A60A9" w:rsidRPr="00257730">
        <w:rPr>
          <w:color w:val="4472C4" w:themeColor="accent1"/>
        </w:rPr>
        <w:t>organisations</w:t>
      </w:r>
      <w:r w:rsidR="005A60A9">
        <w:rPr>
          <w:color w:val="4472C4" w:themeColor="accent1"/>
        </w:rPr>
        <w:t>,</w:t>
      </w:r>
      <w:r w:rsidR="005A60A9" w:rsidRPr="00257730">
        <w:rPr>
          <w:color w:val="4472C4" w:themeColor="accent1"/>
        </w:rPr>
        <w:t xml:space="preserve"> </w:t>
      </w:r>
      <w:proofErr w:type="gramStart"/>
      <w:r w:rsidR="005A60A9" w:rsidRPr="00257730">
        <w:rPr>
          <w:color w:val="4472C4" w:themeColor="accent1"/>
        </w:rPr>
        <w:t>bodies</w:t>
      </w:r>
      <w:proofErr w:type="gramEnd"/>
      <w:r w:rsidR="005A60A9">
        <w:rPr>
          <w:color w:val="4472C4" w:themeColor="accent1"/>
        </w:rPr>
        <w:t xml:space="preserve"> or third-party providers</w:t>
      </w:r>
      <w:r w:rsidR="005A60A9" w:rsidRPr="00257730">
        <w:rPr>
          <w:color w:val="4472C4" w:themeColor="accent1"/>
        </w:rPr>
        <w:t xml:space="preserve"> </w:t>
      </w:r>
      <w:r w:rsidR="005A60A9">
        <w:rPr>
          <w:color w:val="4472C4" w:themeColor="accent1"/>
        </w:rPr>
        <w:t xml:space="preserve">if they received more than $1,000 of SSAF funding. </w:t>
      </w:r>
      <w:r w:rsidRPr="00257730">
        <w:rPr>
          <w:color w:val="4472C4" w:themeColor="accent1"/>
        </w:rPr>
        <w:t>Add additional rows as needed.]</w:t>
      </w:r>
    </w:p>
    <w:p w14:paraId="6C003876" w14:textId="77777777" w:rsidR="00EF1087" w:rsidRDefault="00EF1087">
      <w:pPr>
        <w:rPr>
          <w:color w:val="4472C4" w:themeColor="accent1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1843"/>
        <w:gridCol w:w="1842"/>
      </w:tblGrid>
      <w:tr w:rsidR="00257730" w14:paraId="3DD43F25" w14:textId="77777777" w:rsidTr="00257730">
        <w:trPr>
          <w:trHeight w:val="1170"/>
        </w:trPr>
        <w:tc>
          <w:tcPr>
            <w:tcW w:w="2835" w:type="dxa"/>
            <w:shd w:val="clear" w:color="auto" w:fill="E2EFDA"/>
            <w:vAlign w:val="center"/>
          </w:tcPr>
          <w:p w14:paraId="57119285" w14:textId="65CC841F" w:rsidR="00257730" w:rsidRPr="00257730" w:rsidRDefault="00257730" w:rsidP="00257730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Organisation Name</w:t>
            </w:r>
            <w:r w:rsidR="00781F88" w:rsidRPr="00781F8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582EDFB7" w14:textId="5621CC1E" w:rsidR="00257730" w:rsidRPr="00257730" w:rsidRDefault="00257730" w:rsidP="00257730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Australian Business Number (ABN)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194962CC" w14:textId="23FB5D1A" w:rsidR="00257730" w:rsidRPr="00257730" w:rsidRDefault="00257730" w:rsidP="00257730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 xml:space="preserve">Supported </w:t>
            </w:r>
            <w:r w:rsidR="0070329D">
              <w:rPr>
                <w:b/>
                <w:bCs/>
              </w:rPr>
              <w:t>K</w:t>
            </w:r>
            <w:r w:rsidRPr="00257730">
              <w:rPr>
                <w:b/>
                <w:bCs/>
              </w:rPr>
              <w:t xml:space="preserve">ey </w:t>
            </w:r>
            <w:r w:rsidR="0070329D">
              <w:rPr>
                <w:b/>
                <w:bCs/>
              </w:rPr>
              <w:t>A</w:t>
            </w:r>
            <w:r w:rsidRPr="00257730">
              <w:rPr>
                <w:b/>
                <w:bCs/>
              </w:rPr>
              <w:t>rea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2F5FF47E" w14:textId="1FF2DDCD" w:rsidR="00257730" w:rsidRPr="00257730" w:rsidRDefault="00257730" w:rsidP="00257730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 xml:space="preserve">Total SSAF </w:t>
            </w:r>
            <w:r w:rsidR="0070329D">
              <w:rPr>
                <w:b/>
                <w:bCs/>
              </w:rPr>
              <w:t>F</w:t>
            </w:r>
            <w:r w:rsidRPr="00257730">
              <w:rPr>
                <w:b/>
                <w:bCs/>
              </w:rPr>
              <w:t xml:space="preserve">unding </w:t>
            </w:r>
            <w:r w:rsidR="0070329D">
              <w:rPr>
                <w:b/>
                <w:bCs/>
              </w:rPr>
              <w:t>R</w:t>
            </w:r>
            <w:r w:rsidRPr="00257730">
              <w:rPr>
                <w:b/>
                <w:bCs/>
              </w:rPr>
              <w:t>eceived $</w:t>
            </w:r>
          </w:p>
        </w:tc>
        <w:tc>
          <w:tcPr>
            <w:tcW w:w="1842" w:type="dxa"/>
            <w:shd w:val="clear" w:color="auto" w:fill="E2EFDA"/>
            <w:vAlign w:val="center"/>
          </w:tcPr>
          <w:p w14:paraId="0F334B16" w14:textId="5B809D63" w:rsidR="00257730" w:rsidRPr="00257730" w:rsidRDefault="007710D2" w:rsidP="00257730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 xml:space="preserve">% </w:t>
            </w:r>
            <w:proofErr w:type="gramStart"/>
            <w:r w:rsidRPr="00257730">
              <w:rPr>
                <w:b/>
                <w:bCs/>
              </w:rPr>
              <w:t>of</w:t>
            </w:r>
            <w:proofErr w:type="gramEnd"/>
            <w:r w:rsidRPr="00257730">
              <w:rPr>
                <w:b/>
                <w:bCs/>
              </w:rPr>
              <w:t xml:space="preserve"> </w:t>
            </w:r>
            <w:r w:rsidR="00B651CA">
              <w:rPr>
                <w:b/>
                <w:bCs/>
              </w:rPr>
              <w:t xml:space="preserve">total </w:t>
            </w:r>
            <w:r w:rsidRPr="00257730">
              <w:rPr>
                <w:b/>
                <w:bCs/>
              </w:rPr>
              <w:t xml:space="preserve">SSAF </w:t>
            </w:r>
            <w:r>
              <w:rPr>
                <w:b/>
                <w:bCs/>
              </w:rPr>
              <w:t>F</w:t>
            </w:r>
            <w:r w:rsidRPr="00257730">
              <w:rPr>
                <w:b/>
                <w:bCs/>
              </w:rPr>
              <w:t xml:space="preserve">unding </w:t>
            </w:r>
            <w:r>
              <w:rPr>
                <w:b/>
                <w:bCs/>
              </w:rPr>
              <w:t>R</w:t>
            </w:r>
            <w:r w:rsidRPr="00257730">
              <w:rPr>
                <w:b/>
                <w:bCs/>
              </w:rPr>
              <w:t>eceived</w:t>
            </w:r>
          </w:p>
        </w:tc>
      </w:tr>
      <w:tr w:rsidR="00257730" w14:paraId="1061635C" w14:textId="77777777" w:rsidTr="00257730">
        <w:trPr>
          <w:trHeight w:val="691"/>
        </w:trPr>
        <w:tc>
          <w:tcPr>
            <w:tcW w:w="2835" w:type="dxa"/>
          </w:tcPr>
          <w:p w14:paraId="1287321B" w14:textId="77777777" w:rsidR="00257730" w:rsidRPr="00257730" w:rsidRDefault="00257730"/>
        </w:tc>
        <w:tc>
          <w:tcPr>
            <w:tcW w:w="1843" w:type="dxa"/>
            <w:vAlign w:val="center"/>
          </w:tcPr>
          <w:p w14:paraId="6799EA1B" w14:textId="6DB5A169" w:rsidR="00257730" w:rsidRPr="00257730" w:rsidRDefault="00B65FAE" w:rsidP="00257730">
            <w:pPr>
              <w:jc w:val="center"/>
            </w:pPr>
            <w:r>
              <w:t>[</w:t>
            </w:r>
            <w:r w:rsidR="002041E0">
              <w:t xml:space="preserve">XX XXX </w:t>
            </w:r>
            <w:proofErr w:type="spellStart"/>
            <w:r w:rsidR="002041E0">
              <w:t>XXX</w:t>
            </w:r>
            <w:proofErr w:type="spellEnd"/>
            <w:r w:rsidR="002041E0">
              <w:t xml:space="preserve"> XXX</w:t>
            </w:r>
            <w:r>
              <w:t>]</w:t>
            </w:r>
          </w:p>
        </w:tc>
        <w:tc>
          <w:tcPr>
            <w:tcW w:w="1843" w:type="dxa"/>
            <w:vAlign w:val="center"/>
          </w:tcPr>
          <w:p w14:paraId="16B705C6" w14:textId="55C4F0B9" w:rsidR="00257730" w:rsidRPr="00257730" w:rsidRDefault="00B65FAE" w:rsidP="00257730">
            <w:pPr>
              <w:jc w:val="center"/>
            </w:pPr>
            <w:r>
              <w:t>Key Area [</w:t>
            </w:r>
            <w:r w:rsidR="00BB1483">
              <w:t xml:space="preserve">insert </w:t>
            </w:r>
            <w:r w:rsidR="002041E0">
              <w:t xml:space="preserve">key area </w:t>
            </w:r>
            <w:r>
              <w:t>reference number]</w:t>
            </w:r>
          </w:p>
        </w:tc>
        <w:tc>
          <w:tcPr>
            <w:tcW w:w="1843" w:type="dxa"/>
            <w:vAlign w:val="center"/>
          </w:tcPr>
          <w:p w14:paraId="066528FE" w14:textId="37B7D3EE" w:rsidR="00257730" w:rsidRPr="00257730" w:rsidRDefault="00257730" w:rsidP="00257730">
            <w:pPr>
              <w:jc w:val="center"/>
            </w:pPr>
            <w:r>
              <w:t>$</w:t>
            </w:r>
          </w:p>
        </w:tc>
        <w:tc>
          <w:tcPr>
            <w:tcW w:w="1842" w:type="dxa"/>
            <w:vAlign w:val="center"/>
          </w:tcPr>
          <w:p w14:paraId="71E24441" w14:textId="2EB59EB9" w:rsidR="00257730" w:rsidRPr="00257730" w:rsidRDefault="007710D2" w:rsidP="00257730">
            <w:pPr>
              <w:jc w:val="center"/>
            </w:pPr>
            <w:r>
              <w:t>%</w:t>
            </w:r>
          </w:p>
        </w:tc>
      </w:tr>
      <w:tr w:rsidR="002041E0" w14:paraId="33229B44" w14:textId="77777777" w:rsidTr="00257730">
        <w:trPr>
          <w:trHeight w:val="700"/>
        </w:trPr>
        <w:tc>
          <w:tcPr>
            <w:tcW w:w="2835" w:type="dxa"/>
          </w:tcPr>
          <w:p w14:paraId="3172A82C" w14:textId="77777777" w:rsidR="002041E0" w:rsidRPr="00257730" w:rsidRDefault="002041E0" w:rsidP="002041E0"/>
        </w:tc>
        <w:tc>
          <w:tcPr>
            <w:tcW w:w="1843" w:type="dxa"/>
            <w:vAlign w:val="center"/>
          </w:tcPr>
          <w:p w14:paraId="16AA5D0E" w14:textId="137B1C3E" w:rsidR="002041E0" w:rsidRPr="00257730" w:rsidRDefault="002041E0" w:rsidP="002041E0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vAlign w:val="center"/>
          </w:tcPr>
          <w:p w14:paraId="20C096FD" w14:textId="72FBA184" w:rsidR="002041E0" w:rsidRPr="00257730" w:rsidRDefault="002041E0" w:rsidP="002041E0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vAlign w:val="center"/>
          </w:tcPr>
          <w:p w14:paraId="176D2488" w14:textId="224A21C9" w:rsidR="002041E0" w:rsidRPr="00257730" w:rsidRDefault="002041E0" w:rsidP="002041E0">
            <w:pPr>
              <w:jc w:val="center"/>
            </w:pPr>
            <w:r>
              <w:t>$</w:t>
            </w:r>
          </w:p>
        </w:tc>
        <w:tc>
          <w:tcPr>
            <w:tcW w:w="1842" w:type="dxa"/>
            <w:vAlign w:val="center"/>
          </w:tcPr>
          <w:p w14:paraId="511F26DC" w14:textId="2A0EA7AF" w:rsidR="002041E0" w:rsidRPr="00257730" w:rsidRDefault="007710D2" w:rsidP="002041E0">
            <w:pPr>
              <w:jc w:val="center"/>
            </w:pPr>
            <w:r>
              <w:t>%</w:t>
            </w:r>
          </w:p>
        </w:tc>
      </w:tr>
      <w:tr w:rsidR="002041E0" w14:paraId="4A17E4CD" w14:textId="77777777" w:rsidTr="00257730">
        <w:trPr>
          <w:trHeight w:val="710"/>
        </w:trPr>
        <w:tc>
          <w:tcPr>
            <w:tcW w:w="2835" w:type="dxa"/>
          </w:tcPr>
          <w:p w14:paraId="5777E8E4" w14:textId="77777777" w:rsidR="002041E0" w:rsidRPr="00257730" w:rsidRDefault="002041E0" w:rsidP="002041E0"/>
        </w:tc>
        <w:tc>
          <w:tcPr>
            <w:tcW w:w="1843" w:type="dxa"/>
            <w:vAlign w:val="center"/>
          </w:tcPr>
          <w:p w14:paraId="2E2E57E8" w14:textId="4891B97E" w:rsidR="002041E0" w:rsidRPr="00257730" w:rsidRDefault="002041E0" w:rsidP="002041E0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vAlign w:val="center"/>
          </w:tcPr>
          <w:p w14:paraId="42EF3A65" w14:textId="7C4E4CFD" w:rsidR="002041E0" w:rsidRPr="00257730" w:rsidRDefault="002041E0" w:rsidP="002041E0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vAlign w:val="center"/>
          </w:tcPr>
          <w:p w14:paraId="6EA009BC" w14:textId="10FEEB12" w:rsidR="002041E0" w:rsidRPr="00257730" w:rsidRDefault="002041E0" w:rsidP="002041E0">
            <w:pPr>
              <w:jc w:val="center"/>
            </w:pPr>
            <w:r>
              <w:t>$</w:t>
            </w:r>
          </w:p>
        </w:tc>
        <w:tc>
          <w:tcPr>
            <w:tcW w:w="1842" w:type="dxa"/>
            <w:vAlign w:val="center"/>
          </w:tcPr>
          <w:p w14:paraId="0CA2515C" w14:textId="243A8101" w:rsidR="002041E0" w:rsidRPr="00257730" w:rsidRDefault="007710D2" w:rsidP="002041E0">
            <w:pPr>
              <w:jc w:val="center"/>
            </w:pPr>
            <w:r>
              <w:t>%</w:t>
            </w:r>
          </w:p>
        </w:tc>
      </w:tr>
      <w:tr w:rsidR="002041E0" w14:paraId="17BEBA05" w14:textId="77777777" w:rsidTr="00257730">
        <w:trPr>
          <w:trHeight w:val="692"/>
        </w:trPr>
        <w:tc>
          <w:tcPr>
            <w:tcW w:w="2835" w:type="dxa"/>
          </w:tcPr>
          <w:p w14:paraId="712EB533" w14:textId="77777777" w:rsidR="002041E0" w:rsidRPr="00257730" w:rsidRDefault="002041E0" w:rsidP="002041E0"/>
        </w:tc>
        <w:tc>
          <w:tcPr>
            <w:tcW w:w="1843" w:type="dxa"/>
            <w:vAlign w:val="center"/>
          </w:tcPr>
          <w:p w14:paraId="27EA6881" w14:textId="4169D459" w:rsidR="002041E0" w:rsidRPr="00257730" w:rsidRDefault="002041E0" w:rsidP="002041E0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vAlign w:val="center"/>
          </w:tcPr>
          <w:p w14:paraId="66B7E3D1" w14:textId="23E25ABD" w:rsidR="002041E0" w:rsidRPr="00257730" w:rsidRDefault="002041E0" w:rsidP="002041E0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vAlign w:val="center"/>
          </w:tcPr>
          <w:p w14:paraId="37ABC9A7" w14:textId="1E8CDD38" w:rsidR="002041E0" w:rsidRPr="00257730" w:rsidRDefault="002041E0" w:rsidP="002041E0">
            <w:pPr>
              <w:jc w:val="center"/>
            </w:pPr>
            <w:r>
              <w:t>$</w:t>
            </w:r>
          </w:p>
        </w:tc>
        <w:tc>
          <w:tcPr>
            <w:tcW w:w="1842" w:type="dxa"/>
            <w:vAlign w:val="center"/>
          </w:tcPr>
          <w:p w14:paraId="5463E7C1" w14:textId="35D23E41" w:rsidR="002041E0" w:rsidRPr="00257730" w:rsidRDefault="007710D2" w:rsidP="002041E0">
            <w:pPr>
              <w:jc w:val="center"/>
            </w:pPr>
            <w:r>
              <w:t>%</w:t>
            </w:r>
          </w:p>
        </w:tc>
      </w:tr>
      <w:tr w:rsidR="002041E0" w14:paraId="53CB4235" w14:textId="77777777" w:rsidTr="00257730">
        <w:trPr>
          <w:trHeight w:val="703"/>
        </w:trPr>
        <w:tc>
          <w:tcPr>
            <w:tcW w:w="2835" w:type="dxa"/>
          </w:tcPr>
          <w:p w14:paraId="78CB62C3" w14:textId="77777777" w:rsidR="002041E0" w:rsidRPr="00257730" w:rsidRDefault="002041E0" w:rsidP="002041E0"/>
        </w:tc>
        <w:tc>
          <w:tcPr>
            <w:tcW w:w="1843" w:type="dxa"/>
            <w:vAlign w:val="center"/>
          </w:tcPr>
          <w:p w14:paraId="2D98B91E" w14:textId="7E58646A" w:rsidR="002041E0" w:rsidRPr="00257730" w:rsidRDefault="002041E0" w:rsidP="002041E0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vAlign w:val="center"/>
          </w:tcPr>
          <w:p w14:paraId="57028B7D" w14:textId="02E1DC08" w:rsidR="002041E0" w:rsidRPr="00257730" w:rsidRDefault="002041E0" w:rsidP="002041E0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vAlign w:val="center"/>
          </w:tcPr>
          <w:p w14:paraId="17AE2137" w14:textId="1D0F725B" w:rsidR="002041E0" w:rsidRPr="00257730" w:rsidRDefault="002041E0" w:rsidP="002041E0">
            <w:pPr>
              <w:jc w:val="center"/>
            </w:pPr>
            <w:r>
              <w:t>$</w:t>
            </w:r>
          </w:p>
        </w:tc>
        <w:tc>
          <w:tcPr>
            <w:tcW w:w="1842" w:type="dxa"/>
            <w:vAlign w:val="center"/>
          </w:tcPr>
          <w:p w14:paraId="0E3CF68D" w14:textId="01A35927" w:rsidR="002041E0" w:rsidRPr="00257730" w:rsidRDefault="007710D2" w:rsidP="002041E0">
            <w:pPr>
              <w:jc w:val="center"/>
            </w:pPr>
            <w:r>
              <w:t>%</w:t>
            </w:r>
          </w:p>
        </w:tc>
      </w:tr>
    </w:tbl>
    <w:p w14:paraId="41316A10" w14:textId="71F573FF" w:rsidR="00257730" w:rsidRDefault="00257730">
      <w:pPr>
        <w:rPr>
          <w:color w:val="4472C4" w:themeColor="accent1"/>
        </w:rPr>
      </w:pPr>
    </w:p>
    <w:p w14:paraId="706FFC90" w14:textId="77C73CCE" w:rsidR="00781F88" w:rsidRDefault="00781F88">
      <w:pPr>
        <w:rPr>
          <w:sz w:val="20"/>
          <w:szCs w:val="20"/>
        </w:rPr>
      </w:pPr>
      <w:r w:rsidRPr="00781F88">
        <w:rPr>
          <w:vertAlign w:val="superscript"/>
        </w:rPr>
        <w:t>1</w:t>
      </w:r>
      <w:r w:rsidRPr="00781F88">
        <w:t xml:space="preserve"> </w:t>
      </w:r>
      <w:r w:rsidRPr="00781F88">
        <w:rPr>
          <w:sz w:val="20"/>
          <w:szCs w:val="20"/>
        </w:rPr>
        <w:t xml:space="preserve">Note: Only organisations, bodies or third-party providers who receive over $1,000 in SSAF funding are </w:t>
      </w:r>
      <w:r w:rsidR="00711AE8">
        <w:rPr>
          <w:sz w:val="20"/>
          <w:szCs w:val="20"/>
        </w:rPr>
        <w:t>expected</w:t>
      </w:r>
      <w:r w:rsidRPr="00781F88">
        <w:rPr>
          <w:sz w:val="20"/>
          <w:szCs w:val="20"/>
        </w:rPr>
        <w:t xml:space="preserve"> to be disclosed above.</w:t>
      </w:r>
    </w:p>
    <w:p w14:paraId="42055B42" w14:textId="536F6E24" w:rsidR="0070329D" w:rsidRPr="00781F88" w:rsidRDefault="0070329D"/>
    <w:p w14:paraId="0B9DA72A" w14:textId="64EFC137" w:rsidR="00A95D58" w:rsidRDefault="00A95D58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5985053E" w14:textId="4B889DBB" w:rsidR="00CF49D9" w:rsidRPr="00F4591A" w:rsidRDefault="00BE6FA4">
      <w:pPr>
        <w:rPr>
          <w:b/>
          <w:bCs/>
          <w:sz w:val="28"/>
          <w:szCs w:val="28"/>
        </w:rPr>
      </w:pPr>
      <w:r w:rsidRPr="00F4591A">
        <w:rPr>
          <w:b/>
          <w:bCs/>
          <w:sz w:val="28"/>
          <w:szCs w:val="28"/>
        </w:rPr>
        <w:lastRenderedPageBreak/>
        <w:t>Declaration by Person of Authority</w:t>
      </w:r>
    </w:p>
    <w:p w14:paraId="4719DEA9" w14:textId="77777777" w:rsidR="00F4591A" w:rsidRDefault="00F4591A"/>
    <w:p w14:paraId="03729F21" w14:textId="05D1BFD4" w:rsidR="00BE6FA4" w:rsidRPr="00F4591A" w:rsidRDefault="00BE6FA4">
      <w:r w:rsidRPr="00F4591A">
        <w:t>I, [insert full name</w:t>
      </w:r>
      <w:r w:rsidR="00A95D58">
        <w:t>]</w:t>
      </w:r>
      <w:r w:rsidRPr="00F4591A">
        <w:t xml:space="preserve">, [insert position title] of [insert full name of higher education provider], declare that the information provided in this Student Services and Amenities Fee (SSAF) Allocation Report is to the best of my knowledge true, </w:t>
      </w:r>
      <w:proofErr w:type="gramStart"/>
      <w:r w:rsidRPr="00F4591A">
        <w:t>complete</w:t>
      </w:r>
      <w:proofErr w:type="gramEnd"/>
      <w:r w:rsidRPr="00F4591A">
        <w:t xml:space="preserve"> and correct.</w:t>
      </w:r>
    </w:p>
    <w:p w14:paraId="76323059" w14:textId="342539AF" w:rsidR="00CF49D9" w:rsidRPr="00F4591A" w:rsidRDefault="00CF49D9"/>
    <w:p w14:paraId="7C7C7904" w14:textId="260D04C4" w:rsidR="00F4591A" w:rsidRDefault="00F4591A">
      <w:r>
        <w:t>……………………………………………………………………………………………….</w:t>
      </w:r>
    </w:p>
    <w:p w14:paraId="1322CCB0" w14:textId="640059A8" w:rsidR="00BE6FA4" w:rsidRPr="00F4591A" w:rsidRDefault="00BE6FA4">
      <w:r w:rsidRPr="00F4591A">
        <w:t>Signature of Person making Declaration</w:t>
      </w:r>
    </w:p>
    <w:p w14:paraId="4AD700A9" w14:textId="77777777" w:rsidR="00F4591A" w:rsidRDefault="00F4591A"/>
    <w:p w14:paraId="6EE463C1" w14:textId="7CAE6EA1" w:rsidR="00BE6FA4" w:rsidRPr="00F4591A" w:rsidRDefault="00F4591A">
      <w:r>
        <w:t>……………………………………………………………………………………………….</w:t>
      </w:r>
    </w:p>
    <w:p w14:paraId="3A0CF6E8" w14:textId="19999CC4" w:rsidR="00BE6FA4" w:rsidRPr="00F4591A" w:rsidRDefault="00BE6FA4">
      <w:r w:rsidRPr="00F4591A">
        <w:t>Full name of Person making Declaration</w:t>
      </w:r>
    </w:p>
    <w:p w14:paraId="78049E3A" w14:textId="35413C12" w:rsidR="00BE6FA4" w:rsidRDefault="00BE6FA4"/>
    <w:p w14:paraId="22AA4EDD" w14:textId="63CE1F6B" w:rsidR="00F4591A" w:rsidRPr="00F4591A" w:rsidRDefault="00F4591A">
      <w:r>
        <w:t>………………………………………………………………………………………………</w:t>
      </w:r>
    </w:p>
    <w:p w14:paraId="2FFD902E" w14:textId="5D40FFEB" w:rsidR="00BE6FA4" w:rsidRPr="00F4591A" w:rsidRDefault="00BE6FA4">
      <w:r w:rsidRPr="00F4591A">
        <w:t>Position of Person making Declaration</w:t>
      </w:r>
    </w:p>
    <w:p w14:paraId="2DBF6720" w14:textId="759831FF" w:rsidR="00BE6FA4" w:rsidRDefault="00BE6FA4"/>
    <w:p w14:paraId="6AC2F394" w14:textId="2C2433C8" w:rsidR="00F4591A" w:rsidRPr="00F4591A" w:rsidRDefault="00F4591A">
      <w:r>
        <w:t>……………………………………………………………………………………………..</w:t>
      </w:r>
    </w:p>
    <w:p w14:paraId="21A63EEC" w14:textId="1698288B" w:rsidR="00BE6FA4" w:rsidRDefault="00BE6FA4">
      <w:r w:rsidRPr="00F4591A">
        <w:t>Date</w:t>
      </w:r>
    </w:p>
    <w:p w14:paraId="66581C42" w14:textId="77777777" w:rsidR="00C57493" w:rsidRPr="00F4591A" w:rsidRDefault="00C57493"/>
    <w:sectPr w:rsidR="00C57493" w:rsidRPr="00F4591A" w:rsidSect="00381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1EE8" w14:textId="77777777" w:rsidR="00EC6BD5" w:rsidRDefault="00EC6BD5" w:rsidP="00EC6BD5">
      <w:pPr>
        <w:spacing w:after="0" w:line="240" w:lineRule="auto"/>
      </w:pPr>
      <w:r>
        <w:separator/>
      </w:r>
    </w:p>
  </w:endnote>
  <w:endnote w:type="continuationSeparator" w:id="0">
    <w:p w14:paraId="015B68A2" w14:textId="77777777" w:rsidR="00EC6BD5" w:rsidRDefault="00EC6BD5" w:rsidP="00EC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4F48" w14:textId="77777777" w:rsidR="00EC6BD5" w:rsidRDefault="00EC6BD5" w:rsidP="00EC6BD5">
      <w:pPr>
        <w:spacing w:after="0" w:line="240" w:lineRule="auto"/>
      </w:pPr>
      <w:r>
        <w:separator/>
      </w:r>
    </w:p>
  </w:footnote>
  <w:footnote w:type="continuationSeparator" w:id="0">
    <w:p w14:paraId="78BA6763" w14:textId="77777777" w:rsidR="00EC6BD5" w:rsidRDefault="00EC6BD5" w:rsidP="00EC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19A"/>
    <w:multiLevelType w:val="hybridMultilevel"/>
    <w:tmpl w:val="EA7AE708"/>
    <w:lvl w:ilvl="0" w:tplc="41129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C7D"/>
    <w:multiLevelType w:val="hybridMultilevel"/>
    <w:tmpl w:val="62F6F2FC"/>
    <w:lvl w:ilvl="0" w:tplc="FFFC1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207F"/>
    <w:multiLevelType w:val="hybridMultilevel"/>
    <w:tmpl w:val="43BCF5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E3EFE"/>
    <w:multiLevelType w:val="hybridMultilevel"/>
    <w:tmpl w:val="4D6CA6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36EA"/>
    <w:multiLevelType w:val="hybridMultilevel"/>
    <w:tmpl w:val="E982D5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44732"/>
    <w:multiLevelType w:val="hybridMultilevel"/>
    <w:tmpl w:val="57BC3A32"/>
    <w:lvl w:ilvl="0" w:tplc="0D164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67D61"/>
    <w:multiLevelType w:val="hybridMultilevel"/>
    <w:tmpl w:val="7CF8C43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003637"/>
    <w:rsid w:val="000070E6"/>
    <w:rsid w:val="000460B9"/>
    <w:rsid w:val="000712BA"/>
    <w:rsid w:val="000A3359"/>
    <w:rsid w:val="000D0272"/>
    <w:rsid w:val="000D4307"/>
    <w:rsid w:val="000D72DE"/>
    <w:rsid w:val="000E31F8"/>
    <w:rsid w:val="0013404B"/>
    <w:rsid w:val="00165E5E"/>
    <w:rsid w:val="001773C5"/>
    <w:rsid w:val="001A2E42"/>
    <w:rsid w:val="001B143C"/>
    <w:rsid w:val="001B5059"/>
    <w:rsid w:val="001B6B13"/>
    <w:rsid w:val="002041E0"/>
    <w:rsid w:val="0021076C"/>
    <w:rsid w:val="00212453"/>
    <w:rsid w:val="00216ECF"/>
    <w:rsid w:val="00224130"/>
    <w:rsid w:val="00224AC1"/>
    <w:rsid w:val="002509F4"/>
    <w:rsid w:val="00257730"/>
    <w:rsid w:val="002722FA"/>
    <w:rsid w:val="00283131"/>
    <w:rsid w:val="002928AE"/>
    <w:rsid w:val="002A3B00"/>
    <w:rsid w:val="002B79BE"/>
    <w:rsid w:val="002F07E2"/>
    <w:rsid w:val="00301CB5"/>
    <w:rsid w:val="003231D3"/>
    <w:rsid w:val="00330E8C"/>
    <w:rsid w:val="00334452"/>
    <w:rsid w:val="003428A1"/>
    <w:rsid w:val="00372712"/>
    <w:rsid w:val="00381670"/>
    <w:rsid w:val="003C2AC8"/>
    <w:rsid w:val="003D4BC5"/>
    <w:rsid w:val="004003B0"/>
    <w:rsid w:val="00444FB7"/>
    <w:rsid w:val="00475246"/>
    <w:rsid w:val="004A344A"/>
    <w:rsid w:val="004A53FE"/>
    <w:rsid w:val="004D1306"/>
    <w:rsid w:val="004D495C"/>
    <w:rsid w:val="005042A6"/>
    <w:rsid w:val="00534FB8"/>
    <w:rsid w:val="005623AD"/>
    <w:rsid w:val="0059578E"/>
    <w:rsid w:val="00597879"/>
    <w:rsid w:val="005A60A9"/>
    <w:rsid w:val="005C081B"/>
    <w:rsid w:val="005D490E"/>
    <w:rsid w:val="005E4DEC"/>
    <w:rsid w:val="0063543C"/>
    <w:rsid w:val="00642C82"/>
    <w:rsid w:val="00650B9D"/>
    <w:rsid w:val="00655E73"/>
    <w:rsid w:val="00666DD7"/>
    <w:rsid w:val="006B3942"/>
    <w:rsid w:val="006B51BE"/>
    <w:rsid w:val="006C013A"/>
    <w:rsid w:val="007004D5"/>
    <w:rsid w:val="0070329D"/>
    <w:rsid w:val="00711AE8"/>
    <w:rsid w:val="0071307B"/>
    <w:rsid w:val="007148CA"/>
    <w:rsid w:val="00752060"/>
    <w:rsid w:val="00756714"/>
    <w:rsid w:val="007567D5"/>
    <w:rsid w:val="0076423C"/>
    <w:rsid w:val="007710D2"/>
    <w:rsid w:val="00781F88"/>
    <w:rsid w:val="0079322D"/>
    <w:rsid w:val="007B3082"/>
    <w:rsid w:val="007B5933"/>
    <w:rsid w:val="007C6F22"/>
    <w:rsid w:val="007D53FC"/>
    <w:rsid w:val="007F22D0"/>
    <w:rsid w:val="008120F9"/>
    <w:rsid w:val="00826504"/>
    <w:rsid w:val="00834DA5"/>
    <w:rsid w:val="008661B8"/>
    <w:rsid w:val="00875BBD"/>
    <w:rsid w:val="00897D9C"/>
    <w:rsid w:val="008B28B5"/>
    <w:rsid w:val="008B634B"/>
    <w:rsid w:val="008D0020"/>
    <w:rsid w:val="008E2373"/>
    <w:rsid w:val="008F3A21"/>
    <w:rsid w:val="0092098F"/>
    <w:rsid w:val="00955412"/>
    <w:rsid w:val="00984976"/>
    <w:rsid w:val="0099472B"/>
    <w:rsid w:val="00996EAA"/>
    <w:rsid w:val="009A7293"/>
    <w:rsid w:val="009B2736"/>
    <w:rsid w:val="009C22AC"/>
    <w:rsid w:val="009E3E3C"/>
    <w:rsid w:val="009E5260"/>
    <w:rsid w:val="00A03D6F"/>
    <w:rsid w:val="00A07535"/>
    <w:rsid w:val="00A24FE9"/>
    <w:rsid w:val="00A47D13"/>
    <w:rsid w:val="00A50074"/>
    <w:rsid w:val="00A60A20"/>
    <w:rsid w:val="00A72DC6"/>
    <w:rsid w:val="00A755F2"/>
    <w:rsid w:val="00A77DAD"/>
    <w:rsid w:val="00A95D58"/>
    <w:rsid w:val="00AC03EB"/>
    <w:rsid w:val="00AE2A24"/>
    <w:rsid w:val="00B0572E"/>
    <w:rsid w:val="00B343F5"/>
    <w:rsid w:val="00B50E16"/>
    <w:rsid w:val="00B651CA"/>
    <w:rsid w:val="00B65FAE"/>
    <w:rsid w:val="00B959F9"/>
    <w:rsid w:val="00BA1A89"/>
    <w:rsid w:val="00BB1483"/>
    <w:rsid w:val="00BD2458"/>
    <w:rsid w:val="00BE6FA4"/>
    <w:rsid w:val="00C122DA"/>
    <w:rsid w:val="00C17F0F"/>
    <w:rsid w:val="00C24AEB"/>
    <w:rsid w:val="00C57493"/>
    <w:rsid w:val="00C66623"/>
    <w:rsid w:val="00CA1A30"/>
    <w:rsid w:val="00CA2521"/>
    <w:rsid w:val="00CC378C"/>
    <w:rsid w:val="00CC7BE9"/>
    <w:rsid w:val="00CF49D9"/>
    <w:rsid w:val="00D250BD"/>
    <w:rsid w:val="00D427A8"/>
    <w:rsid w:val="00D81791"/>
    <w:rsid w:val="00D877A5"/>
    <w:rsid w:val="00DD10BF"/>
    <w:rsid w:val="00DD5D35"/>
    <w:rsid w:val="00E14E39"/>
    <w:rsid w:val="00E1584F"/>
    <w:rsid w:val="00E53483"/>
    <w:rsid w:val="00E57B2E"/>
    <w:rsid w:val="00E65B8C"/>
    <w:rsid w:val="00E71D9E"/>
    <w:rsid w:val="00E76078"/>
    <w:rsid w:val="00E84863"/>
    <w:rsid w:val="00E95049"/>
    <w:rsid w:val="00EA0F45"/>
    <w:rsid w:val="00EC6BD5"/>
    <w:rsid w:val="00ED1E5A"/>
    <w:rsid w:val="00EF1087"/>
    <w:rsid w:val="00EF2190"/>
    <w:rsid w:val="00F139B0"/>
    <w:rsid w:val="00F21669"/>
    <w:rsid w:val="00F4591A"/>
    <w:rsid w:val="00F47B52"/>
    <w:rsid w:val="00F765CB"/>
    <w:rsid w:val="00F96209"/>
    <w:rsid w:val="00FD1DD8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9E01334"/>
  <w15:chartTrackingRefBased/>
  <w15:docId w15:val="{2BD71DCA-6725-4078-844F-EA71D33D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3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7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9322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list1">
    <w:name w:val="list1"/>
    <w:basedOn w:val="Normal"/>
    <w:rsid w:val="0079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0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F4"/>
    <w:rPr>
      <w:b/>
      <w:bCs/>
      <w:sz w:val="20"/>
      <w:szCs w:val="20"/>
    </w:rPr>
  </w:style>
  <w:style w:type="paragraph" w:customStyle="1" w:styleId="subsection">
    <w:name w:val="subsection"/>
    <w:basedOn w:val="Normal"/>
    <w:rsid w:val="009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E9504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95049"/>
    <w:pPr>
      <w:spacing w:before="120" w:after="120" w:line="240" w:lineRule="auto"/>
      <w:ind w:left="142" w:hanging="142"/>
    </w:pPr>
    <w:rPr>
      <w:rFonts w:ascii="Arial" w:eastAsia="Times New Roman" w:hAnsi="Arial" w:cs="Times New Roman"/>
      <w:noProof/>
      <w:color w:val="3333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049"/>
    <w:rPr>
      <w:rFonts w:ascii="Arial" w:eastAsia="Times New Roman" w:hAnsi="Arial" w:cs="Times New Roman"/>
      <w:noProof/>
      <w:color w:val="33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04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950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49"/>
    <w:rPr>
      <w:color w:val="605E5C"/>
      <w:shd w:val="clear" w:color="auto" w:fill="E1DFDD"/>
    </w:rPr>
  </w:style>
  <w:style w:type="paragraph" w:customStyle="1" w:styleId="acthead5">
    <w:name w:val="acthead5"/>
    <w:basedOn w:val="Normal"/>
    <w:rsid w:val="00A2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A24FE9"/>
  </w:style>
  <w:style w:type="paragraph" w:customStyle="1" w:styleId="paragraph">
    <w:name w:val="paragraph"/>
    <w:basedOn w:val="Normal"/>
    <w:rsid w:val="00A2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A2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81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70"/>
  </w:style>
  <w:style w:type="paragraph" w:styleId="Footer">
    <w:name w:val="footer"/>
    <w:basedOn w:val="Normal"/>
    <w:link w:val="FooterChar"/>
    <w:uiPriority w:val="99"/>
    <w:unhideWhenUsed/>
    <w:rsid w:val="00381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se.gov.au/higher-education-loan-program/resources/financial-viability-instructions-applicants-and-providers-fee-hel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se.gov.au/higher-education-publications/financial-statement-guideli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665B1A5-F56D-49E6-AA47-FFAE6811A4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0562D009CE3E94F9E5A05030DFE9F72" ma:contentTypeVersion="" ma:contentTypeDescription="PDMS Document Site Content Type" ma:contentTypeScope="" ma:versionID="fbdfc256aaee499a2bdd3ec1a1f68286">
  <xsd:schema xmlns:xsd="http://www.w3.org/2001/XMLSchema" xmlns:xs="http://www.w3.org/2001/XMLSchema" xmlns:p="http://schemas.microsoft.com/office/2006/metadata/properties" xmlns:ns2="F665B1A5-F56D-49E6-AA47-FFAE6811A451" targetNamespace="http://schemas.microsoft.com/office/2006/metadata/properties" ma:root="true" ma:fieldsID="ac185c47845145d54eb0c51873bd5e3a" ns2:_="">
    <xsd:import namespace="F665B1A5-F56D-49E6-AA47-FFAE6811A4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B1A5-F56D-49E6-AA47-FFAE6811A4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21191-595F-4DDA-A2AB-FD6001D57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2A431-FADE-43BF-91CF-A9807A4BD8B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F665B1A5-F56D-49E6-AA47-FFAE6811A451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A49634-7D88-49D7-9907-C743FFA7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5B1A5-F56D-49E6-AA47-FFAE6811A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BUDAKOSKI,Samantha</dc:creator>
  <cp:keywords/>
  <dc:description/>
  <cp:lastModifiedBy>BUDAKOSKI,Samantha</cp:lastModifiedBy>
  <cp:revision>6</cp:revision>
  <cp:lastPrinted>2022-07-21T06:36:00Z</cp:lastPrinted>
  <dcterms:created xsi:type="dcterms:W3CDTF">2022-07-21T01:42:00Z</dcterms:created>
  <dcterms:modified xsi:type="dcterms:W3CDTF">2022-07-21T06:38:00Z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2022-04-13T05:41:32Z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e50e062b-d488-4490-ab46-bf6a8179c893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0x010100266966F133664895A6EE3632470D45F50070562D009CE3E94F9E5A05030DFE9F72</vt:lpwstr>
  </property>
</Properties>
</file>