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F0E8" w14:textId="77777777" w:rsidR="00476815" w:rsidRPr="00366ABA" w:rsidRDefault="00476815" w:rsidP="00366ABA">
      <w:pPr>
        <w:pStyle w:val="Heading1"/>
        <w:spacing w:before="0" w:line="480" w:lineRule="auto"/>
        <w:jc w:val="center"/>
        <w:rPr>
          <w:rFonts w:asciiTheme="minorHAnsi" w:hAnsiTheme="minorHAnsi" w:cstheme="minorHAnsi"/>
          <w:sz w:val="36"/>
          <w:szCs w:val="36"/>
          <w:u w:val="none"/>
        </w:rPr>
      </w:pPr>
      <w:r w:rsidRPr="00366ABA">
        <w:rPr>
          <w:rFonts w:asciiTheme="minorHAnsi" w:hAnsiTheme="minorHAnsi" w:cstheme="minorHAnsi"/>
          <w:sz w:val="36"/>
          <w:szCs w:val="36"/>
          <w:u w:val="none"/>
        </w:rPr>
        <w:t>Non-Government Reform Support Fund</w:t>
      </w:r>
    </w:p>
    <w:p w14:paraId="35584478" w14:textId="77777777" w:rsidR="00E86EA2" w:rsidRPr="00366ABA" w:rsidRDefault="00476815" w:rsidP="00366ABA">
      <w:pPr>
        <w:pStyle w:val="Heading1"/>
        <w:spacing w:before="0" w:line="480" w:lineRule="auto"/>
        <w:jc w:val="center"/>
        <w:rPr>
          <w:rFonts w:asciiTheme="minorHAnsi" w:hAnsiTheme="minorHAnsi" w:cstheme="minorHAnsi"/>
          <w:sz w:val="36"/>
          <w:szCs w:val="36"/>
          <w:u w:val="none"/>
        </w:rPr>
      </w:pPr>
      <w:r w:rsidRPr="00366ABA">
        <w:rPr>
          <w:rFonts w:asciiTheme="minorHAnsi" w:hAnsiTheme="minorHAnsi" w:cstheme="minorHAnsi"/>
          <w:sz w:val="36"/>
          <w:szCs w:val="36"/>
          <w:u w:val="none"/>
        </w:rPr>
        <w:t>2022 Workplan</w:t>
      </w:r>
    </w:p>
    <w:p w14:paraId="6963DC0F" w14:textId="36D74739" w:rsidR="00D7230E" w:rsidRPr="00366ABA" w:rsidRDefault="00331E41" w:rsidP="00366ABA">
      <w:pPr>
        <w:pStyle w:val="Heading1"/>
        <w:spacing w:before="0" w:line="480" w:lineRule="auto"/>
        <w:jc w:val="center"/>
        <w:rPr>
          <w:rFonts w:asciiTheme="minorHAnsi" w:hAnsiTheme="minorHAnsi" w:cstheme="minorHAnsi"/>
          <w:sz w:val="36"/>
          <w:szCs w:val="36"/>
          <w:u w:val="none"/>
        </w:rPr>
        <w:sectPr w:rsidR="00D7230E" w:rsidRPr="00366ABA" w:rsidSect="00E86EA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582" w:right="998" w:bottom="278" w:left="459" w:header="720" w:footer="720" w:gutter="0"/>
          <w:cols w:space="720"/>
          <w:vAlign w:val="center"/>
        </w:sectPr>
      </w:pPr>
      <w:r w:rsidRPr="00366ABA">
        <w:rPr>
          <w:rFonts w:asciiTheme="minorHAnsi" w:hAnsiTheme="minorHAnsi" w:cstheme="minorHAnsi"/>
          <w:sz w:val="36"/>
          <w:szCs w:val="36"/>
          <w:u w:val="none"/>
        </w:rPr>
        <w:t xml:space="preserve">Independent Schools </w:t>
      </w:r>
      <w:r w:rsidR="00E67747" w:rsidRPr="00366ABA">
        <w:rPr>
          <w:rFonts w:asciiTheme="minorHAnsi" w:hAnsiTheme="minorHAnsi" w:cstheme="minorHAnsi"/>
          <w:sz w:val="36"/>
          <w:szCs w:val="36"/>
          <w:u w:val="none"/>
        </w:rPr>
        <w:t>Queensland</w:t>
      </w:r>
    </w:p>
    <w:p w14:paraId="431F769F" w14:textId="77777777" w:rsidR="00E86EA2" w:rsidRPr="00396C08" w:rsidRDefault="002736A4" w:rsidP="00E86EA2">
      <w:pPr>
        <w:pStyle w:val="Heading2"/>
        <w:spacing w:line="276" w:lineRule="auto"/>
        <w:jc w:val="center"/>
        <w:rPr>
          <w:rFonts w:asciiTheme="minorHAnsi" w:hAnsiTheme="minorHAnsi" w:cstheme="minorHAnsi"/>
          <w:b/>
          <w:bCs/>
          <w:color w:val="0D0D0D" w:themeColor="text1" w:themeTint="F2"/>
          <w:sz w:val="24"/>
          <w:szCs w:val="24"/>
          <w:u w:val="single"/>
        </w:rPr>
      </w:pPr>
      <w:r w:rsidRPr="00396C08">
        <w:rPr>
          <w:rFonts w:asciiTheme="minorHAnsi" w:hAnsiTheme="minorHAnsi" w:cstheme="minorHAnsi"/>
          <w:b/>
          <w:bCs/>
          <w:color w:val="0D0D0D" w:themeColor="text1" w:themeTint="F2"/>
          <w:sz w:val="24"/>
          <w:szCs w:val="24"/>
          <w:u w:val="single"/>
        </w:rPr>
        <w:lastRenderedPageBreak/>
        <w:t xml:space="preserve">Non-government Reform Support Fund </w:t>
      </w:r>
    </w:p>
    <w:p w14:paraId="4BB30752" w14:textId="63014776" w:rsidR="00D7230E" w:rsidRPr="00396C08" w:rsidRDefault="002736A4" w:rsidP="00E86EA2">
      <w:pPr>
        <w:pStyle w:val="Heading2"/>
        <w:spacing w:line="276" w:lineRule="auto"/>
        <w:jc w:val="center"/>
        <w:rPr>
          <w:rFonts w:asciiTheme="minorHAnsi" w:hAnsiTheme="minorHAnsi" w:cstheme="minorHAnsi"/>
          <w:b/>
          <w:bCs/>
          <w:color w:val="0D0D0D" w:themeColor="text1" w:themeTint="F2"/>
          <w:sz w:val="24"/>
          <w:szCs w:val="24"/>
          <w:u w:val="single"/>
        </w:rPr>
      </w:pPr>
      <w:r w:rsidRPr="00396C08">
        <w:rPr>
          <w:rFonts w:asciiTheme="minorHAnsi" w:hAnsiTheme="minorHAnsi" w:cstheme="minorHAnsi"/>
          <w:b/>
          <w:bCs/>
          <w:color w:val="0D0D0D" w:themeColor="text1" w:themeTint="F2"/>
          <w:sz w:val="24"/>
          <w:szCs w:val="24"/>
          <w:u w:val="single"/>
        </w:rPr>
        <w:t xml:space="preserve">Independent Schools Queensland - Work Plan </w:t>
      </w:r>
      <w:r w:rsidR="00943508" w:rsidRPr="00396C08">
        <w:rPr>
          <w:rFonts w:asciiTheme="minorHAnsi" w:hAnsiTheme="minorHAnsi" w:cstheme="minorHAnsi"/>
          <w:b/>
          <w:bCs/>
          <w:color w:val="0D0D0D" w:themeColor="text1" w:themeTint="F2"/>
          <w:sz w:val="24"/>
          <w:szCs w:val="24"/>
          <w:u w:val="single"/>
        </w:rPr>
        <w:t>2022</w:t>
      </w:r>
    </w:p>
    <w:p w14:paraId="024B52A4" w14:textId="77777777" w:rsidR="00D7230E" w:rsidRPr="00396C08" w:rsidRDefault="00D7230E">
      <w:pPr>
        <w:pStyle w:val="BodyText"/>
        <w:spacing w:before="10"/>
        <w:rPr>
          <w:b/>
          <w:color w:val="0D0D0D" w:themeColor="text1" w:themeTint="F2"/>
          <w:sz w:val="23"/>
        </w:rPr>
      </w:pPr>
    </w:p>
    <w:p w14:paraId="1EAE0525" w14:textId="2063172A" w:rsidR="00D7230E" w:rsidRPr="00396C08" w:rsidRDefault="002736A4" w:rsidP="00FB424F">
      <w:pPr>
        <w:pStyle w:val="Heading3"/>
        <w:ind w:left="567"/>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 xml:space="preserve">Summary of Work Plan for </w:t>
      </w:r>
      <w:r w:rsidR="00943508" w:rsidRPr="00396C08">
        <w:rPr>
          <w:rFonts w:asciiTheme="minorHAnsi" w:hAnsiTheme="minorHAnsi" w:cstheme="minorHAnsi"/>
          <w:b/>
          <w:bCs/>
          <w:color w:val="0D0D0D" w:themeColor="text1" w:themeTint="F2"/>
        </w:rPr>
        <w:t>2022</w:t>
      </w:r>
    </w:p>
    <w:p w14:paraId="15080C53" w14:textId="77777777" w:rsidR="00D7230E" w:rsidRPr="00396C08" w:rsidRDefault="00D7230E" w:rsidP="00FB424F">
      <w:pPr>
        <w:pStyle w:val="BodyText"/>
        <w:spacing w:before="1"/>
        <w:ind w:left="567"/>
        <w:rPr>
          <w:b/>
          <w:color w:val="0D0D0D" w:themeColor="text1" w:themeTint="F2"/>
          <w:sz w:val="15"/>
        </w:rPr>
      </w:pPr>
    </w:p>
    <w:p w14:paraId="70CD9940" w14:textId="017CF39F" w:rsidR="00D7230E" w:rsidRPr="00396C08" w:rsidRDefault="002736A4" w:rsidP="00FB424F">
      <w:pPr>
        <w:pStyle w:val="BodyText"/>
        <w:spacing w:before="56"/>
        <w:ind w:left="567" w:right="1073"/>
        <w:rPr>
          <w:color w:val="0D0D0D" w:themeColor="text1" w:themeTint="F2"/>
        </w:rPr>
      </w:pPr>
      <w:r w:rsidRPr="00396C08">
        <w:rPr>
          <w:color w:val="0D0D0D" w:themeColor="text1" w:themeTint="F2"/>
        </w:rPr>
        <w:t xml:space="preserve">Independent Schools Queensland (ISQ) will undertake the following projects utilising the Non- government Reform Support Fund (NGRSF) in </w:t>
      </w:r>
      <w:r w:rsidR="00943508" w:rsidRPr="00396C08">
        <w:rPr>
          <w:color w:val="0D0D0D" w:themeColor="text1" w:themeTint="F2"/>
        </w:rPr>
        <w:t>2022</w:t>
      </w:r>
      <w:r w:rsidRPr="00396C08">
        <w:rPr>
          <w:color w:val="0D0D0D" w:themeColor="text1" w:themeTint="F2"/>
        </w:rPr>
        <w:t>.</w:t>
      </w:r>
    </w:p>
    <w:p w14:paraId="1A7D28EF" w14:textId="77777777" w:rsidR="00D7230E" w:rsidRPr="00396C08" w:rsidRDefault="00D7230E">
      <w:pPr>
        <w:pStyle w:val="BodyText"/>
        <w:spacing w:before="7"/>
        <w:rPr>
          <w:color w:val="0D0D0D" w:themeColor="text1" w:themeTint="F2"/>
          <w:sz w:val="19"/>
        </w:rPr>
      </w:pPr>
    </w:p>
    <w:tbl>
      <w:tblPr>
        <w:tblStyle w:val="TableGrid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375"/>
      </w:tblGrid>
      <w:tr w:rsidR="00D162F7" w:rsidRPr="00D162F7" w14:paraId="0E60BB10" w14:textId="77777777" w:rsidTr="004A7D57">
        <w:trPr>
          <w:trHeight w:val="609"/>
          <w:jc w:val="center"/>
        </w:trPr>
        <w:tc>
          <w:tcPr>
            <w:tcW w:w="1980" w:type="dxa"/>
          </w:tcPr>
          <w:p w14:paraId="4E9815E4" w14:textId="77777777" w:rsidR="00D7230E" w:rsidRPr="00D162F7" w:rsidRDefault="002736A4" w:rsidP="004A7D57">
            <w:pPr>
              <w:pStyle w:val="TableParagraph"/>
              <w:ind w:left="0"/>
              <w:rPr>
                <w:rFonts w:asciiTheme="minorHAnsi" w:hAnsiTheme="minorHAnsi" w:cstheme="minorHAnsi"/>
                <w:b/>
                <w:color w:val="0D0D0D" w:themeColor="text1" w:themeTint="F2"/>
              </w:rPr>
            </w:pPr>
            <w:r w:rsidRPr="00D162F7">
              <w:rPr>
                <w:rFonts w:asciiTheme="minorHAnsi" w:hAnsiTheme="minorHAnsi" w:cstheme="minorHAnsi"/>
                <w:b/>
                <w:color w:val="0D0D0D" w:themeColor="text1" w:themeTint="F2"/>
              </w:rPr>
              <w:t>Project Reference</w:t>
            </w:r>
          </w:p>
        </w:tc>
        <w:tc>
          <w:tcPr>
            <w:tcW w:w="7375" w:type="dxa"/>
          </w:tcPr>
          <w:p w14:paraId="1DF30057" w14:textId="0FA4521A" w:rsidR="00D7230E" w:rsidRPr="00D162F7" w:rsidRDefault="004A7D57" w:rsidP="004A7D57">
            <w:pPr>
              <w:pStyle w:val="TableParagraph"/>
              <w:ind w:left="0"/>
              <w:rPr>
                <w:rFonts w:asciiTheme="minorHAnsi" w:hAnsiTheme="minorHAnsi" w:cstheme="minorHAnsi"/>
                <w:b/>
                <w:color w:val="0D0D0D" w:themeColor="text1" w:themeTint="F2"/>
              </w:rPr>
            </w:pPr>
            <w:r>
              <w:rPr>
                <w:rFonts w:asciiTheme="minorHAnsi" w:hAnsiTheme="minorHAnsi" w:cstheme="minorHAnsi"/>
                <w:b/>
                <w:color w:val="0D0D0D" w:themeColor="text1" w:themeTint="F2"/>
              </w:rPr>
              <w:t>P</w:t>
            </w:r>
            <w:r w:rsidR="002736A4" w:rsidRPr="00D162F7">
              <w:rPr>
                <w:rFonts w:asciiTheme="minorHAnsi" w:hAnsiTheme="minorHAnsi" w:cstheme="minorHAnsi"/>
                <w:b/>
                <w:color w:val="0D0D0D" w:themeColor="text1" w:themeTint="F2"/>
              </w:rPr>
              <w:t>roject Title</w:t>
            </w:r>
          </w:p>
        </w:tc>
      </w:tr>
      <w:tr w:rsidR="00D162F7" w:rsidRPr="00D162F7" w14:paraId="2D0BDF89" w14:textId="77777777" w:rsidTr="004A7D57">
        <w:trPr>
          <w:trHeight w:val="373"/>
          <w:jc w:val="center"/>
        </w:trPr>
        <w:tc>
          <w:tcPr>
            <w:tcW w:w="1980" w:type="dxa"/>
          </w:tcPr>
          <w:p w14:paraId="2FF503CB"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RSF 1</w:t>
            </w:r>
          </w:p>
        </w:tc>
        <w:tc>
          <w:tcPr>
            <w:tcW w:w="7375" w:type="dxa"/>
          </w:tcPr>
          <w:p w14:paraId="659F5850"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Readiness for NAPLAN Online and Utilising Educational Data for School Improvement</w:t>
            </w:r>
          </w:p>
        </w:tc>
      </w:tr>
      <w:tr w:rsidR="00D162F7" w:rsidRPr="00D162F7" w14:paraId="299F4B21" w14:textId="77777777" w:rsidTr="004A7D57">
        <w:trPr>
          <w:trHeight w:val="379"/>
          <w:jc w:val="center"/>
        </w:trPr>
        <w:tc>
          <w:tcPr>
            <w:tcW w:w="1980" w:type="dxa"/>
          </w:tcPr>
          <w:p w14:paraId="3B8B68E1"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RSF 2</w:t>
            </w:r>
          </w:p>
        </w:tc>
        <w:tc>
          <w:tcPr>
            <w:tcW w:w="7375" w:type="dxa"/>
          </w:tcPr>
          <w:p w14:paraId="6E435EF8"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Improving the Nationally Consistent Collection of Data on School Students with Disability</w:t>
            </w:r>
          </w:p>
        </w:tc>
      </w:tr>
      <w:tr w:rsidR="00D162F7" w:rsidRPr="00D162F7" w14:paraId="54A462E0" w14:textId="77777777" w:rsidTr="004A7D57">
        <w:trPr>
          <w:trHeight w:val="374"/>
          <w:jc w:val="center"/>
        </w:trPr>
        <w:tc>
          <w:tcPr>
            <w:tcW w:w="1980" w:type="dxa"/>
          </w:tcPr>
          <w:p w14:paraId="5F11EE5A"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RSF 3</w:t>
            </w:r>
          </w:p>
        </w:tc>
        <w:tc>
          <w:tcPr>
            <w:tcW w:w="7375" w:type="dxa"/>
          </w:tcPr>
          <w:p w14:paraId="4DF1E9D5"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Increasing School Capability in Governance and Financial Management</w:t>
            </w:r>
          </w:p>
        </w:tc>
      </w:tr>
      <w:tr w:rsidR="00D162F7" w:rsidRPr="00D162F7" w14:paraId="59505AD2" w14:textId="77777777" w:rsidTr="004A7D57">
        <w:trPr>
          <w:trHeight w:val="378"/>
          <w:jc w:val="center"/>
        </w:trPr>
        <w:tc>
          <w:tcPr>
            <w:tcW w:w="1980" w:type="dxa"/>
          </w:tcPr>
          <w:p w14:paraId="417204B1"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RSF 4</w:t>
            </w:r>
          </w:p>
        </w:tc>
        <w:tc>
          <w:tcPr>
            <w:tcW w:w="7375" w:type="dxa"/>
          </w:tcPr>
          <w:p w14:paraId="4E2AC18F"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Empowering School Improvement</w:t>
            </w:r>
          </w:p>
        </w:tc>
      </w:tr>
      <w:tr w:rsidR="00D162F7" w:rsidRPr="00D162F7" w14:paraId="37555894" w14:textId="77777777" w:rsidTr="004A7D57">
        <w:trPr>
          <w:trHeight w:val="373"/>
          <w:jc w:val="center"/>
        </w:trPr>
        <w:tc>
          <w:tcPr>
            <w:tcW w:w="1980" w:type="dxa"/>
          </w:tcPr>
          <w:p w14:paraId="7AB91C40"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RSF 5</w:t>
            </w:r>
          </w:p>
        </w:tc>
        <w:tc>
          <w:tcPr>
            <w:tcW w:w="7375" w:type="dxa"/>
          </w:tcPr>
          <w:p w14:paraId="2A7DCE05"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Supporting the Implementation of the ATSI Educational Strategy</w:t>
            </w:r>
          </w:p>
        </w:tc>
      </w:tr>
      <w:tr w:rsidR="00D162F7" w:rsidRPr="00D162F7" w14:paraId="19BB2B6F" w14:textId="77777777" w:rsidTr="004A7D57">
        <w:trPr>
          <w:trHeight w:val="379"/>
          <w:jc w:val="center"/>
        </w:trPr>
        <w:tc>
          <w:tcPr>
            <w:tcW w:w="1980" w:type="dxa"/>
          </w:tcPr>
          <w:p w14:paraId="6033F989"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RSF 6</w:t>
            </w:r>
          </w:p>
        </w:tc>
        <w:tc>
          <w:tcPr>
            <w:tcW w:w="7375" w:type="dxa"/>
          </w:tcPr>
          <w:p w14:paraId="44F8D975"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Achieving Excellence in Curriculum and Assessment</w:t>
            </w:r>
          </w:p>
        </w:tc>
      </w:tr>
      <w:tr w:rsidR="00D162F7" w:rsidRPr="00D162F7" w14:paraId="4B344014" w14:textId="77777777" w:rsidTr="004A7D57">
        <w:trPr>
          <w:trHeight w:val="373"/>
          <w:jc w:val="center"/>
        </w:trPr>
        <w:tc>
          <w:tcPr>
            <w:tcW w:w="1980" w:type="dxa"/>
          </w:tcPr>
          <w:p w14:paraId="3C7DF134"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RSF 7</w:t>
            </w:r>
          </w:p>
        </w:tc>
        <w:tc>
          <w:tcPr>
            <w:tcW w:w="7375" w:type="dxa"/>
          </w:tcPr>
          <w:p w14:paraId="469B345A" w14:textId="2CBFD8A1" w:rsidR="00D7230E" w:rsidRPr="00D162F7" w:rsidRDefault="00366844" w:rsidP="0030627F">
            <w:pPr>
              <w:pStyle w:val="TableParagraph"/>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Support Leading, Teaching and Learning in Independent Schools</w:t>
            </w:r>
          </w:p>
        </w:tc>
      </w:tr>
      <w:tr w:rsidR="00D162F7" w:rsidRPr="00D162F7" w14:paraId="3AE79748" w14:textId="77777777" w:rsidTr="004A7D57">
        <w:trPr>
          <w:trHeight w:val="378"/>
          <w:jc w:val="center"/>
        </w:trPr>
        <w:tc>
          <w:tcPr>
            <w:tcW w:w="1980" w:type="dxa"/>
          </w:tcPr>
          <w:p w14:paraId="2E8B21DF"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RSF 8</w:t>
            </w:r>
          </w:p>
        </w:tc>
        <w:tc>
          <w:tcPr>
            <w:tcW w:w="7375" w:type="dxa"/>
          </w:tcPr>
          <w:p w14:paraId="2A9F435A" w14:textId="77777777" w:rsidR="00D7230E" w:rsidRPr="00D162F7" w:rsidRDefault="002736A4" w:rsidP="0030627F">
            <w:pPr>
              <w:pStyle w:val="TableParagraph"/>
              <w:spacing w:before="59"/>
              <w:ind w:left="0"/>
              <w:rPr>
                <w:rFonts w:asciiTheme="minorHAnsi" w:hAnsiTheme="minorHAnsi" w:cstheme="minorHAnsi"/>
                <w:color w:val="0D0D0D" w:themeColor="text1" w:themeTint="F2"/>
              </w:rPr>
            </w:pPr>
            <w:r w:rsidRPr="00D162F7">
              <w:rPr>
                <w:rFonts w:asciiTheme="minorHAnsi" w:hAnsiTheme="minorHAnsi" w:cstheme="minorHAnsi"/>
                <w:color w:val="0D0D0D" w:themeColor="text1" w:themeTint="F2"/>
              </w:rPr>
              <w:t>Excellence in Online Learning for School Staff</w:t>
            </w:r>
          </w:p>
        </w:tc>
      </w:tr>
    </w:tbl>
    <w:p w14:paraId="61A378D9" w14:textId="77777777" w:rsidR="00D7230E" w:rsidRPr="00396C08" w:rsidRDefault="00D7230E">
      <w:pPr>
        <w:pStyle w:val="BodyText"/>
        <w:spacing w:before="9"/>
        <w:rPr>
          <w:color w:val="0D0D0D" w:themeColor="text1" w:themeTint="F2"/>
          <w:sz w:val="19"/>
        </w:rPr>
      </w:pPr>
    </w:p>
    <w:p w14:paraId="576018EA" w14:textId="77777777" w:rsidR="00D7230E" w:rsidRPr="00396C08" w:rsidRDefault="002736A4" w:rsidP="00FB424F">
      <w:pPr>
        <w:pStyle w:val="BodyText"/>
        <w:spacing w:line="271" w:lineRule="auto"/>
        <w:ind w:left="567" w:right="609"/>
        <w:rPr>
          <w:color w:val="0D0D0D" w:themeColor="text1" w:themeTint="F2"/>
        </w:rPr>
      </w:pPr>
      <w:r w:rsidRPr="00396C08">
        <w:rPr>
          <w:color w:val="0D0D0D" w:themeColor="text1" w:themeTint="F2"/>
        </w:rPr>
        <w:t>Each of these projects involves multiple objectives in line with Australian Government and National School Reform Agreement (NSRA) priorities. They involve services, support and activities for independent schools which are over and above those services provided by ISQ as part of its normal service provision for member schools. They will be provided to Queensland independent schools irrespective of membership of ISQ.</w:t>
      </w:r>
    </w:p>
    <w:p w14:paraId="1CA89B0F" w14:textId="77777777" w:rsidR="00D7230E" w:rsidRPr="00396C08" w:rsidRDefault="002736A4" w:rsidP="00FB424F">
      <w:pPr>
        <w:pStyle w:val="BodyText"/>
        <w:spacing w:before="120" w:line="271" w:lineRule="auto"/>
        <w:ind w:left="567" w:right="449"/>
        <w:rPr>
          <w:color w:val="0D0D0D" w:themeColor="text1" w:themeTint="F2"/>
        </w:rPr>
      </w:pPr>
      <w:r w:rsidRPr="00396C08">
        <w:rPr>
          <w:color w:val="0D0D0D" w:themeColor="text1" w:themeTint="F2"/>
        </w:rPr>
        <w:t>The NGRSF will ensure the projects are available to more staff in more schools and in more locations. Without the NGRSF, the support provided by ISQ to independent schools to implement national and related state policy initiatives would be limited in scope and reach.</w:t>
      </w:r>
    </w:p>
    <w:p w14:paraId="0B513DF5" w14:textId="20E32203" w:rsidR="00D7230E" w:rsidRPr="00396C08" w:rsidRDefault="002736A4" w:rsidP="00FB424F">
      <w:pPr>
        <w:pStyle w:val="BodyText"/>
        <w:spacing w:before="118" w:line="271" w:lineRule="auto"/>
        <w:ind w:left="567" w:right="609"/>
        <w:rPr>
          <w:color w:val="0D0D0D" w:themeColor="text1" w:themeTint="F2"/>
        </w:rPr>
      </w:pPr>
      <w:r w:rsidRPr="00396C08">
        <w:rPr>
          <w:color w:val="0D0D0D" w:themeColor="text1" w:themeTint="F2"/>
        </w:rPr>
        <w:t xml:space="preserve">Where appropriate and possible, ISQ will leverage funding from other sources to supplement the NGRSF. This includes Queensland Government targeted programs and funding from ISQ’s own sources. A total of </w:t>
      </w:r>
      <w:r w:rsidR="00A06887" w:rsidRPr="00396C08">
        <w:rPr>
          <w:color w:val="0D0D0D" w:themeColor="text1" w:themeTint="F2"/>
        </w:rPr>
        <w:t xml:space="preserve">$5,880,513 </w:t>
      </w:r>
      <w:r w:rsidRPr="00396C08">
        <w:rPr>
          <w:color w:val="0D0D0D" w:themeColor="text1" w:themeTint="F2"/>
        </w:rPr>
        <w:t xml:space="preserve">will be invested in the projects for </w:t>
      </w:r>
      <w:r w:rsidR="00943508" w:rsidRPr="00396C08">
        <w:rPr>
          <w:color w:val="0D0D0D" w:themeColor="text1" w:themeTint="F2"/>
        </w:rPr>
        <w:t>2022</w:t>
      </w:r>
      <w:r w:rsidRPr="00396C08">
        <w:rPr>
          <w:color w:val="0D0D0D" w:themeColor="text1" w:themeTint="F2"/>
        </w:rPr>
        <w:t>.</w:t>
      </w:r>
    </w:p>
    <w:p w14:paraId="46C299A0" w14:textId="77E305AA" w:rsidR="00D7230E" w:rsidRPr="00396C08" w:rsidRDefault="002736A4" w:rsidP="00FB424F">
      <w:pPr>
        <w:pStyle w:val="BodyText"/>
        <w:spacing w:before="122"/>
        <w:ind w:left="567"/>
        <w:rPr>
          <w:color w:val="0D0D0D" w:themeColor="text1" w:themeTint="F2"/>
        </w:rPr>
      </w:pPr>
      <w:r w:rsidRPr="00396C08">
        <w:rPr>
          <w:color w:val="0D0D0D" w:themeColor="text1" w:themeTint="F2"/>
        </w:rPr>
        <w:t xml:space="preserve">The </w:t>
      </w:r>
      <w:r w:rsidR="00943508" w:rsidRPr="00396C08">
        <w:rPr>
          <w:color w:val="0D0D0D" w:themeColor="text1" w:themeTint="F2"/>
        </w:rPr>
        <w:t>2022</w:t>
      </w:r>
      <w:r w:rsidRPr="00396C08">
        <w:rPr>
          <w:color w:val="0D0D0D" w:themeColor="text1" w:themeTint="F2"/>
        </w:rPr>
        <w:t xml:space="preserve"> activities will ensure </w:t>
      </w:r>
      <w:r w:rsidR="005E6F03" w:rsidRPr="00396C08">
        <w:rPr>
          <w:color w:val="0D0D0D" w:themeColor="text1" w:themeTint="F2"/>
        </w:rPr>
        <w:t xml:space="preserve">strengthened </w:t>
      </w:r>
      <w:r w:rsidRPr="00396C08">
        <w:rPr>
          <w:color w:val="0D0D0D" w:themeColor="text1" w:themeTint="F2"/>
        </w:rPr>
        <w:t>support for independent schools in line with the Australian</w:t>
      </w:r>
    </w:p>
    <w:p w14:paraId="57F5CD47" w14:textId="77777777" w:rsidR="00D31EA6" w:rsidRPr="00396C08" w:rsidRDefault="002736A4" w:rsidP="00FB424F">
      <w:pPr>
        <w:spacing w:before="34" w:line="271" w:lineRule="auto"/>
        <w:ind w:left="567" w:right="814"/>
        <w:rPr>
          <w:color w:val="0D0D0D" w:themeColor="text1" w:themeTint="F2"/>
        </w:rPr>
      </w:pPr>
      <w:r w:rsidRPr="00396C08">
        <w:rPr>
          <w:color w:val="0D0D0D" w:themeColor="text1" w:themeTint="F2"/>
        </w:rPr>
        <w:t xml:space="preserve">Government’s priorities identified in the </w:t>
      </w:r>
      <w:r w:rsidRPr="00396C08">
        <w:rPr>
          <w:i/>
          <w:color w:val="0D0D0D" w:themeColor="text1" w:themeTint="F2"/>
        </w:rPr>
        <w:t>Non-Government Reform Support Guidelines for 2020 to 2022</w:t>
      </w:r>
      <w:r w:rsidR="00D31EA6" w:rsidRPr="00396C08">
        <w:rPr>
          <w:color w:val="0D0D0D" w:themeColor="text1" w:themeTint="F2"/>
        </w:rPr>
        <w:t>. The 2022 school reform priorities are:</w:t>
      </w:r>
    </w:p>
    <w:p w14:paraId="0BD0FEA7" w14:textId="77777777" w:rsidR="00D31EA6" w:rsidRPr="00396C08" w:rsidRDefault="00D31EA6" w:rsidP="00D31EA6">
      <w:pPr>
        <w:numPr>
          <w:ilvl w:val="1"/>
          <w:numId w:val="37"/>
        </w:numPr>
        <w:spacing w:before="34" w:line="271" w:lineRule="auto"/>
        <w:ind w:left="1560" w:right="814"/>
        <w:rPr>
          <w:color w:val="0D0D0D" w:themeColor="text1" w:themeTint="F2"/>
        </w:rPr>
      </w:pPr>
      <w:r w:rsidRPr="00396C08">
        <w:rPr>
          <w:color w:val="0D0D0D" w:themeColor="text1" w:themeTint="F2"/>
        </w:rPr>
        <w:t>NGRBs continue strengthening the three national priorities and supporting the schools they represent as follows:</w:t>
      </w:r>
    </w:p>
    <w:p w14:paraId="6BC608AF" w14:textId="77777777" w:rsidR="00D31EA6" w:rsidRPr="00396C08" w:rsidRDefault="00D31EA6" w:rsidP="00D31EA6">
      <w:pPr>
        <w:numPr>
          <w:ilvl w:val="2"/>
          <w:numId w:val="37"/>
        </w:numPr>
        <w:spacing w:before="34" w:line="271" w:lineRule="auto"/>
        <w:ind w:right="814"/>
        <w:rPr>
          <w:color w:val="0D0D0D" w:themeColor="text1" w:themeTint="F2"/>
        </w:rPr>
      </w:pPr>
      <w:r w:rsidRPr="00396C08">
        <w:rPr>
          <w:color w:val="0D0D0D" w:themeColor="text1" w:themeTint="F2"/>
        </w:rPr>
        <w:t xml:space="preserve">Improve the quality of information on the Nationally Consistent Collection of Data on School Students with Disability and to improve the efficiency and integrity of the data collection </w:t>
      </w:r>
    </w:p>
    <w:p w14:paraId="27480E5F" w14:textId="77777777" w:rsidR="00D31EA6" w:rsidRPr="00396C08" w:rsidRDefault="00D31EA6" w:rsidP="00D31EA6">
      <w:pPr>
        <w:numPr>
          <w:ilvl w:val="2"/>
          <w:numId w:val="37"/>
        </w:numPr>
        <w:spacing w:before="34" w:line="271" w:lineRule="auto"/>
        <w:ind w:right="814"/>
        <w:rPr>
          <w:color w:val="0D0D0D" w:themeColor="text1" w:themeTint="F2"/>
        </w:rPr>
      </w:pPr>
      <w:r w:rsidRPr="00396C08">
        <w:rPr>
          <w:color w:val="0D0D0D" w:themeColor="text1" w:themeTint="F2"/>
        </w:rPr>
        <w:t>transition of NAPLAN to online delivery</w:t>
      </w:r>
    </w:p>
    <w:p w14:paraId="125C2277" w14:textId="0E39AF6F" w:rsidR="00D31EA6" w:rsidRPr="00396C08" w:rsidRDefault="00D31EA6" w:rsidP="00D31EA6">
      <w:pPr>
        <w:numPr>
          <w:ilvl w:val="2"/>
          <w:numId w:val="37"/>
        </w:numPr>
        <w:spacing w:before="34" w:line="271" w:lineRule="auto"/>
        <w:ind w:right="814"/>
        <w:rPr>
          <w:color w:val="0D0D0D" w:themeColor="text1" w:themeTint="F2"/>
        </w:rPr>
      </w:pPr>
      <w:r w:rsidRPr="00396C08">
        <w:rPr>
          <w:color w:val="0D0D0D" w:themeColor="text1" w:themeTint="F2"/>
        </w:rPr>
        <w:t>improving governance and financial management practices in non-government schools to strengthen financial viability, improve business decision making and build resilience to mitigate unforeseen circumstances.</w:t>
      </w:r>
    </w:p>
    <w:p w14:paraId="73A2DB6F" w14:textId="77777777" w:rsidR="00D31EA6" w:rsidRPr="00396C08" w:rsidRDefault="00D31EA6" w:rsidP="00D31EA6">
      <w:pPr>
        <w:numPr>
          <w:ilvl w:val="1"/>
          <w:numId w:val="37"/>
        </w:numPr>
        <w:spacing w:before="34" w:line="271" w:lineRule="auto"/>
        <w:ind w:left="1560" w:right="814"/>
        <w:rPr>
          <w:color w:val="0D0D0D" w:themeColor="text1" w:themeTint="F2"/>
        </w:rPr>
      </w:pPr>
      <w:r w:rsidRPr="00396C08">
        <w:rPr>
          <w:color w:val="0D0D0D" w:themeColor="text1" w:themeTint="F2"/>
        </w:rPr>
        <w:t>State based initiatives as agreed in the relevant bilateral agreement</w:t>
      </w:r>
    </w:p>
    <w:p w14:paraId="65D8CACF" w14:textId="77777777" w:rsidR="00D31EA6" w:rsidRPr="00396C08" w:rsidRDefault="00D31EA6" w:rsidP="00D31EA6">
      <w:pPr>
        <w:numPr>
          <w:ilvl w:val="1"/>
          <w:numId w:val="37"/>
        </w:numPr>
        <w:spacing w:before="34" w:line="271" w:lineRule="auto"/>
        <w:ind w:left="1560" w:right="814"/>
        <w:rPr>
          <w:color w:val="0D0D0D" w:themeColor="text1" w:themeTint="F2"/>
        </w:rPr>
      </w:pPr>
      <w:r w:rsidRPr="00396C08">
        <w:rPr>
          <w:color w:val="0D0D0D" w:themeColor="text1" w:themeTint="F2"/>
        </w:rPr>
        <w:t xml:space="preserve">Local priorities </w:t>
      </w:r>
      <w:proofErr w:type="gramStart"/>
      <w:r w:rsidRPr="00396C08">
        <w:rPr>
          <w:color w:val="0D0D0D" w:themeColor="text1" w:themeTint="F2"/>
        </w:rPr>
        <w:t>where</w:t>
      </w:r>
      <w:proofErr w:type="gramEnd"/>
      <w:r w:rsidRPr="00396C08">
        <w:rPr>
          <w:color w:val="0D0D0D" w:themeColor="text1" w:themeTint="F2"/>
        </w:rPr>
        <w:t xml:space="preserve"> aligned broadly with the Quality Schools agenda (provided NGRBs have funding remaining after meeting their obligations under (a) and (b)</w:t>
      </w:r>
    </w:p>
    <w:p w14:paraId="20FB6518" w14:textId="31780EB4" w:rsidR="00457AE2" w:rsidRPr="00396C08" w:rsidRDefault="00D31EA6" w:rsidP="00D31EA6">
      <w:pPr>
        <w:numPr>
          <w:ilvl w:val="1"/>
          <w:numId w:val="37"/>
        </w:numPr>
        <w:spacing w:before="34" w:line="271" w:lineRule="auto"/>
        <w:ind w:left="1560" w:right="814"/>
        <w:rPr>
          <w:color w:val="0D0D0D" w:themeColor="text1" w:themeTint="F2"/>
        </w:rPr>
      </w:pPr>
      <w:r w:rsidRPr="00396C08">
        <w:rPr>
          <w:color w:val="0D0D0D" w:themeColor="text1" w:themeTint="F2"/>
        </w:rPr>
        <w:t>Other priorities identified by the Minister from time to time.</w:t>
      </w:r>
    </w:p>
    <w:p w14:paraId="5312DB27" w14:textId="77777777" w:rsidR="00D7230E" w:rsidRPr="00396C08" w:rsidRDefault="002736A4" w:rsidP="00FB424F">
      <w:pPr>
        <w:pStyle w:val="BodyText"/>
        <w:spacing w:before="181" w:line="271" w:lineRule="auto"/>
        <w:ind w:left="567" w:right="461"/>
        <w:rPr>
          <w:color w:val="0D0D0D" w:themeColor="text1" w:themeTint="F2"/>
        </w:rPr>
      </w:pPr>
      <w:r w:rsidRPr="00396C08">
        <w:rPr>
          <w:color w:val="0D0D0D" w:themeColor="text1" w:themeTint="F2"/>
        </w:rPr>
        <w:lastRenderedPageBreak/>
        <w:t>The projects also support the implementation of reform directions outlined in the NSRA and state specific actions included in the bilateral agreement (at Schedule E of the NSRA) between Queensland and the Commonwealth on implementation of school education reform.</w:t>
      </w:r>
    </w:p>
    <w:p w14:paraId="156E3A0B" w14:textId="77777777" w:rsidR="00D7230E" w:rsidRPr="00396C08" w:rsidRDefault="002736A4" w:rsidP="00FB424F">
      <w:pPr>
        <w:pStyle w:val="BodyText"/>
        <w:spacing w:before="117"/>
        <w:ind w:left="567"/>
        <w:rPr>
          <w:color w:val="0D0D0D" w:themeColor="text1" w:themeTint="F2"/>
        </w:rPr>
      </w:pPr>
      <w:r w:rsidRPr="00396C08">
        <w:rPr>
          <w:color w:val="0D0D0D" w:themeColor="text1" w:themeTint="F2"/>
        </w:rPr>
        <w:t>The national reforms directions include:</w:t>
      </w:r>
    </w:p>
    <w:p w14:paraId="40B5676D" w14:textId="77777777" w:rsidR="00D7230E" w:rsidRPr="00396C08" w:rsidRDefault="002736A4" w:rsidP="00D31EA6">
      <w:pPr>
        <w:pStyle w:val="ListParagraph"/>
        <w:numPr>
          <w:ilvl w:val="0"/>
          <w:numId w:val="10"/>
        </w:numPr>
        <w:spacing w:before="159"/>
        <w:ind w:left="1418" w:hanging="362"/>
        <w:rPr>
          <w:color w:val="0D0D0D" w:themeColor="text1" w:themeTint="F2"/>
        </w:rPr>
      </w:pPr>
      <w:r w:rsidRPr="00396C08">
        <w:rPr>
          <w:color w:val="0D0D0D" w:themeColor="text1" w:themeTint="F2"/>
        </w:rPr>
        <w:t>Supporting students, student learning and student</w:t>
      </w:r>
      <w:r w:rsidRPr="00396C08">
        <w:rPr>
          <w:color w:val="0D0D0D" w:themeColor="text1" w:themeTint="F2"/>
          <w:spacing w:val="-11"/>
        </w:rPr>
        <w:t xml:space="preserve"> </w:t>
      </w:r>
      <w:proofErr w:type="gramStart"/>
      <w:r w:rsidRPr="00396C08">
        <w:rPr>
          <w:color w:val="0D0D0D" w:themeColor="text1" w:themeTint="F2"/>
        </w:rPr>
        <w:t>achievement;</w:t>
      </w:r>
      <w:proofErr w:type="gramEnd"/>
    </w:p>
    <w:p w14:paraId="0A4D999E" w14:textId="77777777" w:rsidR="00D7230E" w:rsidRPr="00396C08" w:rsidRDefault="002736A4" w:rsidP="00D31EA6">
      <w:pPr>
        <w:pStyle w:val="ListParagraph"/>
        <w:numPr>
          <w:ilvl w:val="0"/>
          <w:numId w:val="10"/>
        </w:numPr>
        <w:spacing w:before="154"/>
        <w:ind w:left="1418" w:hanging="362"/>
        <w:rPr>
          <w:color w:val="0D0D0D" w:themeColor="text1" w:themeTint="F2"/>
        </w:rPr>
      </w:pPr>
      <w:r w:rsidRPr="00396C08">
        <w:rPr>
          <w:color w:val="0D0D0D" w:themeColor="text1" w:themeTint="F2"/>
        </w:rPr>
        <w:t>Supporting teaching, school leadership and school improvement;</w:t>
      </w:r>
      <w:r w:rsidRPr="00396C08">
        <w:rPr>
          <w:color w:val="0D0D0D" w:themeColor="text1" w:themeTint="F2"/>
          <w:spacing w:val="-13"/>
        </w:rPr>
        <w:t xml:space="preserve"> </w:t>
      </w:r>
      <w:r w:rsidRPr="00396C08">
        <w:rPr>
          <w:color w:val="0D0D0D" w:themeColor="text1" w:themeTint="F2"/>
        </w:rPr>
        <w:t>and</w:t>
      </w:r>
    </w:p>
    <w:p w14:paraId="5E0AEDC8" w14:textId="77777777" w:rsidR="00D7230E" w:rsidRPr="00396C08" w:rsidRDefault="002736A4" w:rsidP="00D31EA6">
      <w:pPr>
        <w:pStyle w:val="ListParagraph"/>
        <w:numPr>
          <w:ilvl w:val="0"/>
          <w:numId w:val="10"/>
        </w:numPr>
        <w:spacing w:before="154"/>
        <w:ind w:left="1418" w:hanging="362"/>
        <w:rPr>
          <w:color w:val="0D0D0D" w:themeColor="text1" w:themeTint="F2"/>
        </w:rPr>
      </w:pPr>
      <w:r w:rsidRPr="00396C08">
        <w:rPr>
          <w:color w:val="0D0D0D" w:themeColor="text1" w:themeTint="F2"/>
        </w:rPr>
        <w:t>Enhancing the national evidence</w:t>
      </w:r>
      <w:r w:rsidRPr="00396C08">
        <w:rPr>
          <w:color w:val="0D0D0D" w:themeColor="text1" w:themeTint="F2"/>
          <w:spacing w:val="-7"/>
        </w:rPr>
        <w:t xml:space="preserve"> </w:t>
      </w:r>
      <w:r w:rsidRPr="00396C08">
        <w:rPr>
          <w:color w:val="0D0D0D" w:themeColor="text1" w:themeTint="F2"/>
        </w:rPr>
        <w:t>base.</w:t>
      </w:r>
    </w:p>
    <w:p w14:paraId="6450F203" w14:textId="77777777" w:rsidR="00D7230E" w:rsidRPr="00396C08" w:rsidRDefault="00D7230E">
      <w:pPr>
        <w:pStyle w:val="BodyText"/>
        <w:spacing w:before="5"/>
        <w:rPr>
          <w:color w:val="0D0D0D" w:themeColor="text1" w:themeTint="F2"/>
        </w:rPr>
      </w:pPr>
    </w:p>
    <w:p w14:paraId="10614D8F" w14:textId="7170C76D" w:rsidR="00D7230E" w:rsidRPr="00396C08" w:rsidRDefault="002736A4" w:rsidP="00FB424F">
      <w:pPr>
        <w:pStyle w:val="BodyText"/>
        <w:spacing w:line="271" w:lineRule="auto"/>
        <w:ind w:left="567" w:right="450"/>
        <w:rPr>
          <w:color w:val="0D0D0D" w:themeColor="text1" w:themeTint="F2"/>
        </w:rPr>
      </w:pPr>
      <w:r w:rsidRPr="00396C08">
        <w:rPr>
          <w:color w:val="0D0D0D" w:themeColor="text1" w:themeTint="F2"/>
        </w:rPr>
        <w:t xml:space="preserve">In addition to the specific projects and activities in the </w:t>
      </w:r>
      <w:r w:rsidR="00943508" w:rsidRPr="00396C08">
        <w:rPr>
          <w:color w:val="0D0D0D" w:themeColor="text1" w:themeTint="F2"/>
        </w:rPr>
        <w:t>2022</w:t>
      </w:r>
      <w:r w:rsidRPr="00396C08">
        <w:rPr>
          <w:color w:val="0D0D0D" w:themeColor="text1" w:themeTint="F2"/>
        </w:rPr>
        <w:t xml:space="preserve"> Work Plan, NGRSF will also enable ISQ to provide support in the provision of information and advice to independent schools in each of the reform areas and will facilitate the engagement of independent schools in education policy development and</w:t>
      </w:r>
      <w:r w:rsidRPr="00396C08">
        <w:rPr>
          <w:color w:val="0D0D0D" w:themeColor="text1" w:themeTint="F2"/>
          <w:spacing w:val="-8"/>
        </w:rPr>
        <w:t xml:space="preserve"> </w:t>
      </w:r>
      <w:r w:rsidRPr="00396C08">
        <w:rPr>
          <w:color w:val="0D0D0D" w:themeColor="text1" w:themeTint="F2"/>
        </w:rPr>
        <w:t>implementation.</w:t>
      </w:r>
    </w:p>
    <w:p w14:paraId="7FE93313" w14:textId="1C05945D" w:rsidR="00D7230E" w:rsidRPr="00396C08" w:rsidRDefault="002736A4" w:rsidP="00FB424F">
      <w:pPr>
        <w:pStyle w:val="BodyText"/>
        <w:spacing w:before="121"/>
        <w:ind w:left="567"/>
        <w:rPr>
          <w:color w:val="0D0D0D" w:themeColor="text1" w:themeTint="F2"/>
        </w:rPr>
      </w:pPr>
      <w:r w:rsidRPr="00396C08">
        <w:rPr>
          <w:color w:val="0D0D0D" w:themeColor="text1" w:themeTint="F2"/>
        </w:rPr>
        <w:t xml:space="preserve">The ISQ </w:t>
      </w:r>
      <w:r w:rsidR="00943508" w:rsidRPr="00396C08">
        <w:rPr>
          <w:color w:val="0D0D0D" w:themeColor="text1" w:themeTint="F2"/>
        </w:rPr>
        <w:t>2022</w:t>
      </w:r>
      <w:r w:rsidRPr="00396C08">
        <w:rPr>
          <w:color w:val="0D0D0D" w:themeColor="text1" w:themeTint="F2"/>
        </w:rPr>
        <w:t xml:space="preserve"> NGRSF activities</w:t>
      </w:r>
      <w:r w:rsidRPr="00396C08">
        <w:rPr>
          <w:color w:val="0D0D0D" w:themeColor="text1" w:themeTint="F2"/>
          <w:spacing w:val="-9"/>
        </w:rPr>
        <w:t xml:space="preserve"> </w:t>
      </w:r>
      <w:r w:rsidRPr="00396C08">
        <w:rPr>
          <w:color w:val="0D0D0D" w:themeColor="text1" w:themeTint="F2"/>
        </w:rPr>
        <w:t>will:</w:t>
      </w:r>
    </w:p>
    <w:p w14:paraId="30594EB9" w14:textId="77777777" w:rsidR="00D7230E" w:rsidRPr="00396C08" w:rsidRDefault="002736A4">
      <w:pPr>
        <w:pStyle w:val="ListParagraph"/>
        <w:numPr>
          <w:ilvl w:val="0"/>
          <w:numId w:val="11"/>
        </w:numPr>
        <w:tabs>
          <w:tab w:val="left" w:pos="1408"/>
          <w:tab w:val="left" w:pos="1409"/>
        </w:tabs>
        <w:spacing w:before="157" w:line="268" w:lineRule="auto"/>
        <w:ind w:right="760"/>
        <w:rPr>
          <w:rFonts w:ascii="Symbol" w:hAnsi="Symbol"/>
          <w:color w:val="0D0D0D" w:themeColor="text1" w:themeTint="F2"/>
        </w:rPr>
      </w:pPr>
      <w:r w:rsidRPr="00396C08">
        <w:rPr>
          <w:color w:val="0D0D0D" w:themeColor="text1" w:themeTint="F2"/>
        </w:rPr>
        <w:t>provide benefits to all independent schools of the ISQ non-government representative body, including those in regional and remote</w:t>
      </w:r>
      <w:r w:rsidRPr="00396C08">
        <w:rPr>
          <w:color w:val="0D0D0D" w:themeColor="text1" w:themeTint="F2"/>
          <w:spacing w:val="-12"/>
        </w:rPr>
        <w:t xml:space="preserve"> </w:t>
      </w:r>
      <w:r w:rsidRPr="00396C08">
        <w:rPr>
          <w:color w:val="0D0D0D" w:themeColor="text1" w:themeTint="F2"/>
        </w:rPr>
        <w:t>locations</w:t>
      </w:r>
    </w:p>
    <w:p w14:paraId="6D2DDB8E" w14:textId="77777777" w:rsidR="00D7230E" w:rsidRPr="00396C08" w:rsidRDefault="002736A4">
      <w:pPr>
        <w:pStyle w:val="ListParagraph"/>
        <w:numPr>
          <w:ilvl w:val="0"/>
          <w:numId w:val="11"/>
        </w:numPr>
        <w:tabs>
          <w:tab w:val="left" w:pos="1408"/>
          <w:tab w:val="left" w:pos="1409"/>
        </w:tabs>
        <w:spacing w:before="126" w:line="268" w:lineRule="auto"/>
        <w:ind w:right="487"/>
        <w:rPr>
          <w:rFonts w:ascii="Symbol" w:hAnsi="Symbol"/>
          <w:color w:val="0D0D0D" w:themeColor="text1" w:themeTint="F2"/>
        </w:rPr>
      </w:pPr>
      <w:r w:rsidRPr="00396C08">
        <w:rPr>
          <w:color w:val="0D0D0D" w:themeColor="text1" w:themeTint="F2"/>
        </w:rPr>
        <w:t>maximise engagement across all independent schools of the ISQ non-government representative body, including fostering a shared approach to improvement among schools and school education</w:t>
      </w:r>
      <w:r w:rsidRPr="00396C08">
        <w:rPr>
          <w:color w:val="0D0D0D" w:themeColor="text1" w:themeTint="F2"/>
          <w:spacing w:val="-4"/>
        </w:rPr>
        <w:t xml:space="preserve"> </w:t>
      </w:r>
      <w:r w:rsidRPr="00396C08">
        <w:rPr>
          <w:color w:val="0D0D0D" w:themeColor="text1" w:themeTint="F2"/>
        </w:rPr>
        <w:t>experts</w:t>
      </w:r>
    </w:p>
    <w:p w14:paraId="134CDA50" w14:textId="77777777" w:rsidR="00D7230E" w:rsidRPr="00396C08" w:rsidRDefault="002736A4">
      <w:pPr>
        <w:pStyle w:val="ListParagraph"/>
        <w:numPr>
          <w:ilvl w:val="0"/>
          <w:numId w:val="11"/>
        </w:numPr>
        <w:tabs>
          <w:tab w:val="left" w:pos="1408"/>
          <w:tab w:val="left" w:pos="1409"/>
        </w:tabs>
        <w:ind w:hanging="362"/>
        <w:rPr>
          <w:rFonts w:ascii="Symbol" w:hAnsi="Symbol"/>
          <w:color w:val="0D0D0D" w:themeColor="text1" w:themeTint="F2"/>
        </w:rPr>
      </w:pPr>
      <w:r w:rsidRPr="00396C08">
        <w:rPr>
          <w:color w:val="0D0D0D" w:themeColor="text1" w:themeTint="F2"/>
        </w:rPr>
        <w:t>target capacity building and embed skills for longer term</w:t>
      </w:r>
      <w:r w:rsidRPr="00396C08">
        <w:rPr>
          <w:color w:val="0D0D0D" w:themeColor="text1" w:themeTint="F2"/>
          <w:spacing w:val="-20"/>
        </w:rPr>
        <w:t xml:space="preserve"> </w:t>
      </w:r>
      <w:r w:rsidRPr="00396C08">
        <w:rPr>
          <w:color w:val="0D0D0D" w:themeColor="text1" w:themeTint="F2"/>
        </w:rPr>
        <w:t>change</w:t>
      </w:r>
    </w:p>
    <w:p w14:paraId="065FEF21" w14:textId="77777777" w:rsidR="00D7230E" w:rsidRPr="00396C08" w:rsidRDefault="002736A4">
      <w:pPr>
        <w:pStyle w:val="ListParagraph"/>
        <w:numPr>
          <w:ilvl w:val="0"/>
          <w:numId w:val="11"/>
        </w:numPr>
        <w:tabs>
          <w:tab w:val="left" w:pos="1408"/>
          <w:tab w:val="left" w:pos="1409"/>
        </w:tabs>
        <w:spacing w:before="153" w:line="268" w:lineRule="auto"/>
        <w:ind w:right="508"/>
        <w:rPr>
          <w:rFonts w:ascii="Symbol" w:hAnsi="Symbol"/>
          <w:color w:val="0D0D0D" w:themeColor="text1" w:themeTint="F2"/>
        </w:rPr>
      </w:pPr>
      <w:r w:rsidRPr="00396C08">
        <w:rPr>
          <w:color w:val="0D0D0D" w:themeColor="text1" w:themeTint="F2"/>
        </w:rPr>
        <w:t>foster cross-sector collaboration in implementation and evaluation, and facilitate the sharing of expertise</w:t>
      </w:r>
    </w:p>
    <w:p w14:paraId="29658414" w14:textId="77777777" w:rsidR="00D7230E" w:rsidRPr="00396C08" w:rsidRDefault="002736A4">
      <w:pPr>
        <w:pStyle w:val="ListParagraph"/>
        <w:numPr>
          <w:ilvl w:val="0"/>
          <w:numId w:val="11"/>
        </w:numPr>
        <w:tabs>
          <w:tab w:val="left" w:pos="1408"/>
          <w:tab w:val="left" w:pos="1409"/>
        </w:tabs>
        <w:spacing w:before="125" w:line="268" w:lineRule="auto"/>
        <w:ind w:right="676"/>
        <w:rPr>
          <w:rFonts w:ascii="Symbol" w:hAnsi="Symbol"/>
          <w:color w:val="0D0D0D" w:themeColor="text1" w:themeTint="F2"/>
        </w:rPr>
      </w:pPr>
      <w:r w:rsidRPr="00396C08">
        <w:rPr>
          <w:color w:val="0D0D0D" w:themeColor="text1" w:themeTint="F2"/>
        </w:rPr>
        <w:t>use other funding sources, where available and with complementary objectives, which will be leveraged to supplement funding provided by the Australian</w:t>
      </w:r>
      <w:r w:rsidRPr="00396C08">
        <w:rPr>
          <w:color w:val="0D0D0D" w:themeColor="text1" w:themeTint="F2"/>
          <w:spacing w:val="-20"/>
        </w:rPr>
        <w:t xml:space="preserve"> </w:t>
      </w:r>
      <w:r w:rsidRPr="00396C08">
        <w:rPr>
          <w:color w:val="0D0D0D" w:themeColor="text1" w:themeTint="F2"/>
        </w:rPr>
        <w:t>Government.</w:t>
      </w:r>
    </w:p>
    <w:p w14:paraId="3688CADC" w14:textId="77777777" w:rsidR="00D7230E" w:rsidRPr="00396C08" w:rsidRDefault="00D7230E">
      <w:pPr>
        <w:pStyle w:val="BodyText"/>
        <w:rPr>
          <w:color w:val="0D0D0D" w:themeColor="text1" w:themeTint="F2"/>
          <w:sz w:val="20"/>
        </w:rPr>
      </w:pPr>
    </w:p>
    <w:p w14:paraId="38DB1A5C" w14:textId="7555C795" w:rsidR="00D7230E" w:rsidRPr="00396C08" w:rsidRDefault="002736A4" w:rsidP="00FB424F">
      <w:pPr>
        <w:pStyle w:val="BodyText"/>
        <w:spacing w:line="271" w:lineRule="auto"/>
        <w:ind w:left="567" w:right="609"/>
        <w:rPr>
          <w:color w:val="0D0D0D" w:themeColor="text1" w:themeTint="F2"/>
        </w:rPr>
      </w:pPr>
      <w:r w:rsidRPr="00396C08">
        <w:rPr>
          <w:color w:val="0D0D0D" w:themeColor="text1" w:themeTint="F2"/>
        </w:rPr>
        <w:t xml:space="preserve">A key feature of many of the activities to be supported in </w:t>
      </w:r>
      <w:r w:rsidR="00943508" w:rsidRPr="00396C08">
        <w:rPr>
          <w:color w:val="0D0D0D" w:themeColor="text1" w:themeTint="F2"/>
        </w:rPr>
        <w:t>2022</w:t>
      </w:r>
      <w:r w:rsidRPr="00396C08">
        <w:rPr>
          <w:color w:val="0D0D0D" w:themeColor="text1" w:themeTint="F2"/>
        </w:rPr>
        <w:t xml:space="preserve"> is the embedding of appropriate evaluation mechanisms in the activity. These mechanisms have a focus to evaluate the impact on whole school change and the impact on improving student outcomes.</w:t>
      </w:r>
    </w:p>
    <w:p w14:paraId="488F1D5A" w14:textId="2201B92F" w:rsidR="00D7230E" w:rsidRPr="00396C08" w:rsidRDefault="002736A4" w:rsidP="00FB424F">
      <w:pPr>
        <w:pStyle w:val="BodyText"/>
        <w:spacing w:before="117" w:line="273" w:lineRule="auto"/>
        <w:ind w:left="567" w:right="509"/>
        <w:jc w:val="both"/>
        <w:rPr>
          <w:color w:val="0D0D0D" w:themeColor="text1" w:themeTint="F2"/>
        </w:rPr>
      </w:pPr>
      <w:r w:rsidRPr="00396C08">
        <w:rPr>
          <w:color w:val="0D0D0D" w:themeColor="text1" w:themeTint="F2"/>
        </w:rPr>
        <w:t xml:space="preserve">A further feature of the approach to activities supported in </w:t>
      </w:r>
      <w:r w:rsidR="00943508" w:rsidRPr="00396C08">
        <w:rPr>
          <w:color w:val="0D0D0D" w:themeColor="text1" w:themeTint="F2"/>
        </w:rPr>
        <w:t>2022</w:t>
      </w:r>
      <w:r w:rsidRPr="00396C08">
        <w:rPr>
          <w:color w:val="0D0D0D" w:themeColor="text1" w:themeTint="F2"/>
        </w:rPr>
        <w:t xml:space="preserve"> is the sharing of findings, </w:t>
      </w:r>
      <w:proofErr w:type="gramStart"/>
      <w:r w:rsidRPr="00396C08">
        <w:rPr>
          <w:color w:val="0D0D0D" w:themeColor="text1" w:themeTint="F2"/>
        </w:rPr>
        <w:t>strategies</w:t>
      </w:r>
      <w:proofErr w:type="gramEnd"/>
      <w:r w:rsidRPr="00396C08">
        <w:rPr>
          <w:color w:val="0D0D0D" w:themeColor="text1" w:themeTint="F2"/>
        </w:rPr>
        <w:t xml:space="preserve"> and outcomes across the independent sector. This includes, where appropriate, formal sharing days, symposiums and showcases in which all independent schools are encouraged to participate.</w:t>
      </w:r>
    </w:p>
    <w:p w14:paraId="3565EF0C" w14:textId="6154242B" w:rsidR="00D7230E" w:rsidRPr="00396C08" w:rsidRDefault="002736A4" w:rsidP="00FB424F">
      <w:pPr>
        <w:pStyle w:val="BodyText"/>
        <w:spacing w:before="114"/>
        <w:ind w:left="567" w:right="956"/>
        <w:jc w:val="both"/>
        <w:rPr>
          <w:color w:val="0D0D0D" w:themeColor="text1" w:themeTint="F2"/>
        </w:rPr>
      </w:pPr>
      <w:r w:rsidRPr="00396C08">
        <w:rPr>
          <w:color w:val="0D0D0D" w:themeColor="text1" w:themeTint="F2"/>
        </w:rPr>
        <w:t xml:space="preserve">Further details in respect of each of the </w:t>
      </w:r>
      <w:r w:rsidR="00943508" w:rsidRPr="00396C08">
        <w:rPr>
          <w:color w:val="0D0D0D" w:themeColor="text1" w:themeTint="F2"/>
        </w:rPr>
        <w:t>2022</w:t>
      </w:r>
      <w:r w:rsidRPr="00396C08">
        <w:rPr>
          <w:color w:val="0D0D0D" w:themeColor="text1" w:themeTint="F2"/>
        </w:rPr>
        <w:t xml:space="preserve"> NGRSF projects are outlined in the project activity summaries.</w:t>
      </w:r>
    </w:p>
    <w:p w14:paraId="74B9B480" w14:textId="77777777" w:rsidR="00A61FA8" w:rsidRDefault="00A61FA8" w:rsidP="00E67747">
      <w:pPr>
        <w:pStyle w:val="Heading3"/>
        <w:ind w:left="284"/>
        <w:rPr>
          <w:color w:val="0D0D0D" w:themeColor="text1" w:themeTint="F2"/>
        </w:rPr>
      </w:pPr>
    </w:p>
    <w:p w14:paraId="4C6D7B40" w14:textId="1D40897A" w:rsidR="00D7230E" w:rsidRPr="00396C08" w:rsidRDefault="002736A4" w:rsidP="00EB1857">
      <w:pPr>
        <w:pStyle w:val="Heading3"/>
        <w:ind w:left="567"/>
        <w:rPr>
          <w:rFonts w:asciiTheme="minorHAnsi" w:hAnsiTheme="minorHAnsi" w:cstheme="minorHAnsi"/>
          <w:b/>
          <w:bCs/>
          <w:color w:val="0D0D0D" w:themeColor="text1" w:themeTint="F2"/>
          <w:sz w:val="22"/>
          <w:szCs w:val="22"/>
        </w:rPr>
      </w:pPr>
      <w:r w:rsidRPr="00396C08">
        <w:rPr>
          <w:rFonts w:asciiTheme="minorHAnsi" w:hAnsiTheme="minorHAnsi" w:cstheme="minorHAnsi"/>
          <w:b/>
          <w:bCs/>
          <w:color w:val="0D0D0D" w:themeColor="text1" w:themeTint="F2"/>
          <w:sz w:val="22"/>
          <w:szCs w:val="22"/>
        </w:rPr>
        <w:t xml:space="preserve">Summary of </w:t>
      </w:r>
      <w:r w:rsidR="00885818" w:rsidRPr="00396C08">
        <w:rPr>
          <w:rFonts w:asciiTheme="minorHAnsi" w:hAnsiTheme="minorHAnsi" w:cstheme="minorHAnsi"/>
          <w:b/>
          <w:bCs/>
          <w:color w:val="0D0D0D" w:themeColor="text1" w:themeTint="F2"/>
          <w:sz w:val="22"/>
          <w:szCs w:val="22"/>
        </w:rPr>
        <w:t>B</w:t>
      </w:r>
      <w:r w:rsidRPr="00396C08">
        <w:rPr>
          <w:rFonts w:asciiTheme="minorHAnsi" w:hAnsiTheme="minorHAnsi" w:cstheme="minorHAnsi"/>
          <w:b/>
          <w:bCs/>
          <w:color w:val="0D0D0D" w:themeColor="text1" w:themeTint="F2"/>
          <w:sz w:val="22"/>
          <w:szCs w:val="22"/>
        </w:rPr>
        <w:t>udget</w:t>
      </w:r>
    </w:p>
    <w:p w14:paraId="24616BC4" w14:textId="77777777" w:rsidR="00BB6AA1" w:rsidRPr="00396C08" w:rsidRDefault="00BB6AA1" w:rsidP="00885818">
      <w:pPr>
        <w:rPr>
          <w:b/>
          <w:bCs/>
          <w:color w:val="0D0D0D" w:themeColor="text1" w:themeTint="F2"/>
          <w:u w:val="single"/>
        </w:rPr>
      </w:pPr>
    </w:p>
    <w:tbl>
      <w:tblPr>
        <w:tblStyle w:val="TableGridLight"/>
        <w:tblW w:w="486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2924"/>
        <w:gridCol w:w="1850"/>
        <w:gridCol w:w="1571"/>
        <w:gridCol w:w="1556"/>
      </w:tblGrid>
      <w:tr w:rsidR="00395C56" w:rsidRPr="00396C08" w14:paraId="4984563F" w14:textId="77777777" w:rsidTr="00EB1857">
        <w:trPr>
          <w:trHeight w:val="867"/>
          <w:tblHeader/>
        </w:trPr>
        <w:tc>
          <w:tcPr>
            <w:tcW w:w="1107" w:type="pct"/>
          </w:tcPr>
          <w:p w14:paraId="03DFA443" w14:textId="5BDB7D3B" w:rsidR="00BB6AA1" w:rsidRPr="00396C08" w:rsidRDefault="00476815" w:rsidP="00476815">
            <w:pPr>
              <w:jc w:val="center"/>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Project</w:t>
            </w:r>
          </w:p>
        </w:tc>
        <w:tc>
          <w:tcPr>
            <w:tcW w:w="1441" w:type="pct"/>
          </w:tcPr>
          <w:p w14:paraId="565F02A1" w14:textId="1C380EED" w:rsidR="00BB6AA1" w:rsidRPr="00396C08" w:rsidRDefault="00476815" w:rsidP="00476815">
            <w:pPr>
              <w:jc w:val="center"/>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Activities</w:t>
            </w:r>
          </w:p>
        </w:tc>
        <w:tc>
          <w:tcPr>
            <w:tcW w:w="912" w:type="pct"/>
          </w:tcPr>
          <w:p w14:paraId="69EFF294" w14:textId="21EFFDA5" w:rsidR="00BB6AA1" w:rsidRPr="00396C08" w:rsidRDefault="00476815" w:rsidP="00476815">
            <w:pPr>
              <w:jc w:val="center"/>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Reform support funding</w:t>
            </w:r>
          </w:p>
        </w:tc>
        <w:tc>
          <w:tcPr>
            <w:tcW w:w="774" w:type="pct"/>
          </w:tcPr>
          <w:p w14:paraId="353A0D2E" w14:textId="1C311783" w:rsidR="00BB6AA1" w:rsidRPr="00396C08" w:rsidRDefault="00476815" w:rsidP="00476815">
            <w:pPr>
              <w:jc w:val="center"/>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Funding from other sources</w:t>
            </w:r>
          </w:p>
        </w:tc>
        <w:tc>
          <w:tcPr>
            <w:tcW w:w="767" w:type="pct"/>
          </w:tcPr>
          <w:p w14:paraId="368FE657" w14:textId="4CB00550" w:rsidR="00BB6AA1" w:rsidRPr="00396C08" w:rsidRDefault="00476815" w:rsidP="00476815">
            <w:pPr>
              <w:jc w:val="center"/>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Total project funding</w:t>
            </w:r>
          </w:p>
        </w:tc>
      </w:tr>
      <w:tr w:rsidR="00395C56" w:rsidRPr="00396C08" w14:paraId="59D72568" w14:textId="77777777" w:rsidTr="00EB1857">
        <w:trPr>
          <w:trHeight w:val="273"/>
        </w:trPr>
        <w:tc>
          <w:tcPr>
            <w:tcW w:w="1107" w:type="pct"/>
          </w:tcPr>
          <w:p w14:paraId="74ED8307" w14:textId="77777777" w:rsidR="00BB6AA1" w:rsidRPr="00396C08" w:rsidRDefault="00BB6AA1" w:rsidP="00A06887">
            <w:pPr>
              <w:pStyle w:val="TableParagraph"/>
              <w:rPr>
                <w:color w:val="0D0D0D" w:themeColor="text1" w:themeTint="F2"/>
              </w:rPr>
            </w:pPr>
            <w:r w:rsidRPr="00396C08">
              <w:rPr>
                <w:color w:val="0D0D0D" w:themeColor="text1" w:themeTint="F2"/>
              </w:rPr>
              <w:t xml:space="preserve">Readiness for </w:t>
            </w:r>
            <w:r w:rsidRPr="00396C08">
              <w:rPr>
                <w:color w:val="0D0D0D" w:themeColor="text1" w:themeTint="F2"/>
                <w:spacing w:val="-3"/>
              </w:rPr>
              <w:t xml:space="preserve">NAPLAN </w:t>
            </w:r>
            <w:r w:rsidRPr="00396C08">
              <w:rPr>
                <w:color w:val="0D0D0D" w:themeColor="text1" w:themeTint="F2"/>
              </w:rPr>
              <w:t>Online and Utilising Educational Data</w:t>
            </w:r>
            <w:r w:rsidRPr="00396C08">
              <w:rPr>
                <w:color w:val="0D0D0D" w:themeColor="text1" w:themeTint="F2"/>
                <w:spacing w:val="-2"/>
              </w:rPr>
              <w:t xml:space="preserve"> </w:t>
            </w:r>
            <w:r w:rsidRPr="00396C08">
              <w:rPr>
                <w:color w:val="0D0D0D" w:themeColor="text1" w:themeTint="F2"/>
              </w:rPr>
              <w:t>for School</w:t>
            </w:r>
            <w:r w:rsidRPr="00396C08">
              <w:rPr>
                <w:color w:val="0D0D0D" w:themeColor="text1" w:themeTint="F2"/>
                <w:spacing w:val="-3"/>
              </w:rPr>
              <w:t xml:space="preserve"> </w:t>
            </w:r>
            <w:r w:rsidRPr="00396C08">
              <w:rPr>
                <w:color w:val="0D0D0D" w:themeColor="text1" w:themeTint="F2"/>
              </w:rPr>
              <w:t>Improvement</w:t>
            </w:r>
          </w:p>
          <w:p w14:paraId="56C8A312" w14:textId="77777777" w:rsidR="00BB6AA1" w:rsidRPr="00396C08" w:rsidRDefault="00BB6AA1" w:rsidP="00FB424F">
            <w:pPr>
              <w:pStyle w:val="TableParagraph"/>
              <w:ind w:left="0"/>
              <w:rPr>
                <w:color w:val="0D0D0D" w:themeColor="text1" w:themeTint="F2"/>
              </w:rPr>
            </w:pPr>
          </w:p>
        </w:tc>
        <w:tc>
          <w:tcPr>
            <w:tcW w:w="1441" w:type="pct"/>
          </w:tcPr>
          <w:p w14:paraId="6A24C95F" w14:textId="77777777" w:rsidR="00BB6AA1" w:rsidRPr="00396C08" w:rsidRDefault="00BB6AA1" w:rsidP="00A06887">
            <w:pPr>
              <w:pStyle w:val="TableParagraph"/>
              <w:spacing w:line="253" w:lineRule="exact"/>
              <w:ind w:left="105"/>
              <w:rPr>
                <w:color w:val="0D0D0D" w:themeColor="text1" w:themeTint="F2"/>
              </w:rPr>
            </w:pPr>
            <w:r w:rsidRPr="00396C08">
              <w:rPr>
                <w:color w:val="0D0D0D" w:themeColor="text1" w:themeTint="F2"/>
              </w:rPr>
              <w:t>NAPLAN Online &amp; Educational Data project</w:t>
            </w:r>
          </w:p>
        </w:tc>
        <w:tc>
          <w:tcPr>
            <w:tcW w:w="912" w:type="pct"/>
          </w:tcPr>
          <w:p w14:paraId="204E2791" w14:textId="77777777" w:rsidR="00BB6AA1" w:rsidRPr="00396C08" w:rsidRDefault="00BB6AA1" w:rsidP="00A06887">
            <w:pPr>
              <w:pStyle w:val="TableParagraph"/>
              <w:spacing w:line="253" w:lineRule="exact"/>
              <w:ind w:left="0" w:right="448"/>
              <w:jc w:val="center"/>
              <w:rPr>
                <w:color w:val="0D0D0D" w:themeColor="text1" w:themeTint="F2"/>
              </w:rPr>
            </w:pPr>
            <w:r w:rsidRPr="00396C08">
              <w:rPr>
                <w:color w:val="0D0D0D" w:themeColor="text1" w:themeTint="F2"/>
              </w:rPr>
              <w:t>$187,792</w:t>
            </w:r>
          </w:p>
        </w:tc>
        <w:tc>
          <w:tcPr>
            <w:tcW w:w="774" w:type="pct"/>
          </w:tcPr>
          <w:p w14:paraId="7150A849" w14:textId="77777777" w:rsidR="00BB6AA1" w:rsidRPr="00396C08" w:rsidRDefault="00BB6AA1" w:rsidP="00A06887">
            <w:pPr>
              <w:pStyle w:val="TableParagraph"/>
              <w:spacing w:line="253" w:lineRule="exact"/>
              <w:ind w:left="0"/>
              <w:jc w:val="center"/>
              <w:rPr>
                <w:color w:val="0D0D0D" w:themeColor="text1" w:themeTint="F2"/>
              </w:rPr>
            </w:pPr>
            <w:r w:rsidRPr="00396C08">
              <w:rPr>
                <w:color w:val="0D0D0D" w:themeColor="text1" w:themeTint="F2"/>
              </w:rPr>
              <w:t>$58,920</w:t>
            </w:r>
          </w:p>
        </w:tc>
        <w:tc>
          <w:tcPr>
            <w:tcW w:w="767" w:type="pct"/>
          </w:tcPr>
          <w:p w14:paraId="3E54E4B7" w14:textId="77777777" w:rsidR="00BB6AA1" w:rsidRPr="00396C08" w:rsidRDefault="00BB6AA1" w:rsidP="00A06887">
            <w:pPr>
              <w:pStyle w:val="TableParagraph"/>
              <w:spacing w:line="253" w:lineRule="exact"/>
              <w:ind w:left="165" w:right="169"/>
              <w:jc w:val="center"/>
              <w:rPr>
                <w:color w:val="0D0D0D" w:themeColor="text1" w:themeTint="F2"/>
              </w:rPr>
            </w:pPr>
            <w:r w:rsidRPr="00396C08">
              <w:rPr>
                <w:color w:val="0D0D0D" w:themeColor="text1" w:themeTint="F2"/>
              </w:rPr>
              <w:t>$246,712</w:t>
            </w:r>
          </w:p>
        </w:tc>
      </w:tr>
      <w:tr w:rsidR="00395C56" w:rsidRPr="00396C08" w14:paraId="49CA5C7E" w14:textId="77777777" w:rsidTr="00EB1857">
        <w:trPr>
          <w:trHeight w:val="606"/>
        </w:trPr>
        <w:tc>
          <w:tcPr>
            <w:tcW w:w="1107" w:type="pct"/>
          </w:tcPr>
          <w:p w14:paraId="2DC2FA52" w14:textId="77777777" w:rsidR="00BB6AA1" w:rsidRPr="00396C08" w:rsidRDefault="00BB6AA1" w:rsidP="00A06887">
            <w:pPr>
              <w:pStyle w:val="TableParagraph"/>
              <w:spacing w:line="237" w:lineRule="auto"/>
              <w:rPr>
                <w:color w:val="0D0D0D" w:themeColor="text1" w:themeTint="F2"/>
              </w:rPr>
            </w:pPr>
            <w:r w:rsidRPr="00396C08">
              <w:rPr>
                <w:color w:val="0D0D0D" w:themeColor="text1" w:themeTint="F2"/>
              </w:rPr>
              <w:t>Improving the NCCD for School Students with Disability</w:t>
            </w:r>
          </w:p>
          <w:p w14:paraId="2C09F914" w14:textId="77777777" w:rsidR="00BB6AA1" w:rsidRPr="00396C08" w:rsidRDefault="00BB6AA1" w:rsidP="00A06887">
            <w:pPr>
              <w:pStyle w:val="TableParagraph"/>
              <w:spacing w:line="237" w:lineRule="auto"/>
              <w:rPr>
                <w:color w:val="0D0D0D" w:themeColor="text1" w:themeTint="F2"/>
              </w:rPr>
            </w:pPr>
          </w:p>
        </w:tc>
        <w:tc>
          <w:tcPr>
            <w:tcW w:w="1441" w:type="pct"/>
          </w:tcPr>
          <w:p w14:paraId="15A52D37" w14:textId="77777777" w:rsidR="00BB6AA1" w:rsidRPr="00396C08" w:rsidRDefault="00BB6AA1" w:rsidP="00A06887">
            <w:pPr>
              <w:pStyle w:val="TableParagraph"/>
              <w:spacing w:line="253" w:lineRule="exact"/>
              <w:ind w:left="105"/>
              <w:rPr>
                <w:color w:val="0D0D0D" w:themeColor="text1" w:themeTint="F2"/>
              </w:rPr>
            </w:pPr>
            <w:r w:rsidRPr="00396C08">
              <w:rPr>
                <w:color w:val="0D0D0D" w:themeColor="text1" w:themeTint="F2"/>
              </w:rPr>
              <w:t>NCCD</w:t>
            </w:r>
          </w:p>
        </w:tc>
        <w:tc>
          <w:tcPr>
            <w:tcW w:w="912" w:type="pct"/>
          </w:tcPr>
          <w:p w14:paraId="7CC44C40" w14:textId="68832EDE" w:rsidR="00BB6AA1" w:rsidRPr="00396C08" w:rsidRDefault="00BB6AA1" w:rsidP="00A06887">
            <w:pPr>
              <w:pStyle w:val="TableParagraph"/>
              <w:spacing w:line="253" w:lineRule="exact"/>
              <w:ind w:left="0" w:right="448"/>
              <w:jc w:val="center"/>
              <w:rPr>
                <w:color w:val="0D0D0D" w:themeColor="text1" w:themeTint="F2"/>
              </w:rPr>
            </w:pPr>
            <w:r w:rsidRPr="00396C08">
              <w:rPr>
                <w:color w:val="0D0D0D" w:themeColor="text1" w:themeTint="F2"/>
              </w:rPr>
              <w:t>$</w:t>
            </w:r>
            <w:r w:rsidR="00E4551D" w:rsidRPr="00396C08">
              <w:rPr>
                <w:color w:val="0D0D0D" w:themeColor="text1" w:themeTint="F2"/>
              </w:rPr>
              <w:t>247,459</w:t>
            </w:r>
          </w:p>
        </w:tc>
        <w:tc>
          <w:tcPr>
            <w:tcW w:w="774" w:type="pct"/>
          </w:tcPr>
          <w:p w14:paraId="11AE3913" w14:textId="77777777" w:rsidR="00BB6AA1" w:rsidRPr="00396C08" w:rsidRDefault="00BB6AA1" w:rsidP="00A06887">
            <w:pPr>
              <w:pStyle w:val="TableParagraph"/>
              <w:spacing w:line="253" w:lineRule="exact"/>
              <w:ind w:left="0" w:right="174"/>
              <w:jc w:val="center"/>
              <w:rPr>
                <w:color w:val="0D0D0D" w:themeColor="text1" w:themeTint="F2"/>
              </w:rPr>
            </w:pPr>
            <w:r w:rsidRPr="00396C08">
              <w:rPr>
                <w:color w:val="0D0D0D" w:themeColor="text1" w:themeTint="F2"/>
              </w:rPr>
              <w:t>$112,500</w:t>
            </w:r>
          </w:p>
        </w:tc>
        <w:tc>
          <w:tcPr>
            <w:tcW w:w="767" w:type="pct"/>
          </w:tcPr>
          <w:p w14:paraId="63D05143" w14:textId="4C0D66B1" w:rsidR="00BB6AA1" w:rsidRPr="00396C08" w:rsidRDefault="00BB6AA1" w:rsidP="00A06887">
            <w:pPr>
              <w:pStyle w:val="TableParagraph"/>
              <w:spacing w:line="253" w:lineRule="exact"/>
              <w:ind w:left="166" w:right="167"/>
              <w:jc w:val="center"/>
              <w:rPr>
                <w:color w:val="0D0D0D" w:themeColor="text1" w:themeTint="F2"/>
              </w:rPr>
            </w:pPr>
            <w:r w:rsidRPr="00396C08">
              <w:rPr>
                <w:color w:val="0D0D0D" w:themeColor="text1" w:themeTint="F2"/>
              </w:rPr>
              <w:t>$</w:t>
            </w:r>
            <w:r w:rsidR="00FA7AA4" w:rsidRPr="00396C08">
              <w:rPr>
                <w:color w:val="0D0D0D" w:themeColor="text1" w:themeTint="F2"/>
              </w:rPr>
              <w:t>359,959</w:t>
            </w:r>
          </w:p>
        </w:tc>
      </w:tr>
      <w:tr w:rsidR="00395C56" w:rsidRPr="00396C08" w14:paraId="34902DD4" w14:textId="77777777" w:rsidTr="00EB1857">
        <w:trPr>
          <w:trHeight w:val="1100"/>
        </w:trPr>
        <w:tc>
          <w:tcPr>
            <w:tcW w:w="1107" w:type="pct"/>
          </w:tcPr>
          <w:p w14:paraId="734B2FDA" w14:textId="77777777" w:rsidR="00BB6AA1" w:rsidRPr="00396C08" w:rsidRDefault="00BB6AA1" w:rsidP="00A06887">
            <w:pPr>
              <w:pStyle w:val="TableParagraph"/>
              <w:spacing w:line="253" w:lineRule="exact"/>
              <w:rPr>
                <w:color w:val="0D0D0D" w:themeColor="text1" w:themeTint="F2"/>
              </w:rPr>
            </w:pPr>
            <w:r w:rsidRPr="00396C08">
              <w:rPr>
                <w:color w:val="0D0D0D" w:themeColor="text1" w:themeTint="F2"/>
              </w:rPr>
              <w:lastRenderedPageBreak/>
              <w:t>Increasing School</w:t>
            </w:r>
          </w:p>
          <w:p w14:paraId="597A101D" w14:textId="35CC2251" w:rsidR="00BB6AA1" w:rsidRPr="00396C08" w:rsidRDefault="00BB6AA1" w:rsidP="00395C56">
            <w:pPr>
              <w:pStyle w:val="TableParagraph"/>
              <w:spacing w:line="254" w:lineRule="exact"/>
              <w:ind w:right="94"/>
              <w:rPr>
                <w:color w:val="0D0D0D" w:themeColor="text1" w:themeTint="F2"/>
              </w:rPr>
            </w:pPr>
            <w:r w:rsidRPr="00396C08">
              <w:rPr>
                <w:color w:val="0D0D0D" w:themeColor="text1" w:themeTint="F2"/>
              </w:rPr>
              <w:t>Capability in Governance and Financial Management</w:t>
            </w:r>
          </w:p>
        </w:tc>
        <w:tc>
          <w:tcPr>
            <w:tcW w:w="1441" w:type="pct"/>
          </w:tcPr>
          <w:p w14:paraId="3AC91FF9" w14:textId="77777777" w:rsidR="00BB6AA1" w:rsidRPr="00396C08" w:rsidRDefault="00BB6AA1" w:rsidP="00A06887">
            <w:pPr>
              <w:pStyle w:val="TableParagraph"/>
              <w:spacing w:line="242" w:lineRule="auto"/>
              <w:ind w:left="105" w:right="182"/>
              <w:rPr>
                <w:color w:val="0D0D0D" w:themeColor="text1" w:themeTint="F2"/>
              </w:rPr>
            </w:pPr>
            <w:r w:rsidRPr="00396C08">
              <w:rPr>
                <w:color w:val="0D0D0D" w:themeColor="text1" w:themeTint="F2"/>
              </w:rPr>
              <w:t>Governance and financial management</w:t>
            </w:r>
          </w:p>
        </w:tc>
        <w:tc>
          <w:tcPr>
            <w:tcW w:w="912" w:type="pct"/>
          </w:tcPr>
          <w:p w14:paraId="50DC5B76" w14:textId="055F23D1" w:rsidR="00BB6AA1" w:rsidRPr="00396C08" w:rsidRDefault="00BB6AA1" w:rsidP="00A06887">
            <w:pPr>
              <w:pStyle w:val="TableParagraph"/>
              <w:spacing w:line="253" w:lineRule="exact"/>
              <w:ind w:left="0" w:right="448"/>
              <w:jc w:val="center"/>
              <w:rPr>
                <w:color w:val="0D0D0D" w:themeColor="text1" w:themeTint="F2"/>
              </w:rPr>
            </w:pPr>
            <w:r w:rsidRPr="00396C08">
              <w:rPr>
                <w:color w:val="0D0D0D" w:themeColor="text1" w:themeTint="F2"/>
              </w:rPr>
              <w:t>$</w:t>
            </w:r>
            <w:r w:rsidR="00FA7AA4" w:rsidRPr="00396C08">
              <w:rPr>
                <w:color w:val="0D0D0D" w:themeColor="text1" w:themeTint="F2"/>
              </w:rPr>
              <w:t>527,797</w:t>
            </w:r>
          </w:p>
        </w:tc>
        <w:tc>
          <w:tcPr>
            <w:tcW w:w="774" w:type="pct"/>
          </w:tcPr>
          <w:p w14:paraId="30ADAD10" w14:textId="77777777" w:rsidR="00BB6AA1" w:rsidRPr="00396C08" w:rsidRDefault="00BB6AA1" w:rsidP="00A06887">
            <w:pPr>
              <w:pStyle w:val="TableParagraph"/>
              <w:spacing w:line="253" w:lineRule="exact"/>
              <w:ind w:left="0" w:right="174"/>
              <w:jc w:val="center"/>
              <w:rPr>
                <w:color w:val="0D0D0D" w:themeColor="text1" w:themeTint="F2"/>
              </w:rPr>
            </w:pPr>
            <w:r w:rsidRPr="00396C08">
              <w:rPr>
                <w:color w:val="0D0D0D" w:themeColor="text1" w:themeTint="F2"/>
              </w:rPr>
              <w:t>$235,000</w:t>
            </w:r>
          </w:p>
        </w:tc>
        <w:tc>
          <w:tcPr>
            <w:tcW w:w="767" w:type="pct"/>
          </w:tcPr>
          <w:p w14:paraId="11D50792" w14:textId="3B06B896" w:rsidR="00BB6AA1" w:rsidRPr="00396C08" w:rsidRDefault="00BB6AA1" w:rsidP="00A06887">
            <w:pPr>
              <w:pStyle w:val="TableParagraph"/>
              <w:spacing w:line="253" w:lineRule="exact"/>
              <w:ind w:left="165" w:right="169"/>
              <w:jc w:val="center"/>
              <w:rPr>
                <w:color w:val="0D0D0D" w:themeColor="text1" w:themeTint="F2"/>
              </w:rPr>
            </w:pPr>
            <w:r w:rsidRPr="00396C08">
              <w:rPr>
                <w:color w:val="0D0D0D" w:themeColor="text1" w:themeTint="F2"/>
              </w:rPr>
              <w:t>$</w:t>
            </w:r>
            <w:r w:rsidR="00C44F3D" w:rsidRPr="00396C08">
              <w:rPr>
                <w:color w:val="0D0D0D" w:themeColor="text1" w:themeTint="F2"/>
              </w:rPr>
              <w:t>762,797</w:t>
            </w:r>
          </w:p>
        </w:tc>
      </w:tr>
      <w:tr w:rsidR="00395C56" w:rsidRPr="00396C08" w14:paraId="0DDDA6F0" w14:textId="77777777" w:rsidTr="00EB1857">
        <w:trPr>
          <w:trHeight w:val="513"/>
        </w:trPr>
        <w:tc>
          <w:tcPr>
            <w:tcW w:w="1107" w:type="pct"/>
          </w:tcPr>
          <w:p w14:paraId="1A3AE3ED" w14:textId="77777777" w:rsidR="00BB6AA1" w:rsidRPr="00396C08" w:rsidRDefault="00BB6AA1" w:rsidP="00A06887">
            <w:pPr>
              <w:pStyle w:val="TableParagraph"/>
              <w:spacing w:line="252" w:lineRule="exact"/>
              <w:rPr>
                <w:color w:val="0D0D0D" w:themeColor="text1" w:themeTint="F2"/>
              </w:rPr>
            </w:pPr>
            <w:r w:rsidRPr="00396C08">
              <w:rPr>
                <w:color w:val="0D0D0D" w:themeColor="text1" w:themeTint="F2"/>
              </w:rPr>
              <w:t>Empowering School</w:t>
            </w:r>
          </w:p>
          <w:p w14:paraId="6046C0A1" w14:textId="77777777" w:rsidR="00BB6AA1" w:rsidRPr="00396C08" w:rsidRDefault="00BB6AA1" w:rsidP="00A06887">
            <w:pPr>
              <w:pStyle w:val="TableParagraph"/>
              <w:spacing w:line="241" w:lineRule="exact"/>
              <w:rPr>
                <w:color w:val="0D0D0D" w:themeColor="text1" w:themeTint="F2"/>
              </w:rPr>
            </w:pPr>
            <w:r w:rsidRPr="00396C08">
              <w:rPr>
                <w:color w:val="0D0D0D" w:themeColor="text1" w:themeTint="F2"/>
              </w:rPr>
              <w:t>Improvement</w:t>
            </w:r>
          </w:p>
          <w:p w14:paraId="1558CFE9" w14:textId="77777777" w:rsidR="00BB6AA1" w:rsidRPr="00396C08" w:rsidRDefault="00BB6AA1" w:rsidP="00A06887">
            <w:pPr>
              <w:pStyle w:val="TableParagraph"/>
              <w:spacing w:line="241" w:lineRule="exact"/>
              <w:rPr>
                <w:color w:val="0D0D0D" w:themeColor="text1" w:themeTint="F2"/>
              </w:rPr>
            </w:pPr>
          </w:p>
        </w:tc>
        <w:tc>
          <w:tcPr>
            <w:tcW w:w="1441" w:type="pct"/>
          </w:tcPr>
          <w:p w14:paraId="0B2CD4F2" w14:textId="77777777" w:rsidR="00BB6AA1" w:rsidRPr="00396C08" w:rsidRDefault="00BB6AA1" w:rsidP="00A06887">
            <w:pPr>
              <w:pStyle w:val="TableParagraph"/>
              <w:spacing w:line="252" w:lineRule="exact"/>
              <w:ind w:left="105"/>
              <w:rPr>
                <w:color w:val="0D0D0D" w:themeColor="text1" w:themeTint="F2"/>
              </w:rPr>
            </w:pPr>
            <w:r w:rsidRPr="00396C08">
              <w:rPr>
                <w:color w:val="0D0D0D" w:themeColor="text1" w:themeTint="F2"/>
              </w:rPr>
              <w:t>Self-Improving Schools</w:t>
            </w:r>
          </w:p>
          <w:p w14:paraId="51F1FD56" w14:textId="77777777" w:rsidR="00BB6AA1" w:rsidRPr="00396C08" w:rsidRDefault="00BB6AA1" w:rsidP="00A06887">
            <w:pPr>
              <w:pStyle w:val="TableParagraph"/>
              <w:spacing w:line="241" w:lineRule="exact"/>
              <w:ind w:left="105"/>
              <w:rPr>
                <w:color w:val="0D0D0D" w:themeColor="text1" w:themeTint="F2"/>
              </w:rPr>
            </w:pPr>
            <w:r w:rsidRPr="00396C08">
              <w:rPr>
                <w:color w:val="0D0D0D" w:themeColor="text1" w:themeTint="F2"/>
              </w:rPr>
              <w:t>Program and reviews</w:t>
            </w:r>
          </w:p>
        </w:tc>
        <w:tc>
          <w:tcPr>
            <w:tcW w:w="912" w:type="pct"/>
          </w:tcPr>
          <w:p w14:paraId="4B90B9A3" w14:textId="1A61013A" w:rsidR="00BB6AA1" w:rsidRPr="00396C08" w:rsidRDefault="00BB6AA1" w:rsidP="00A06887">
            <w:pPr>
              <w:pStyle w:val="TableParagraph"/>
              <w:spacing w:line="253" w:lineRule="exact"/>
              <w:ind w:left="0" w:right="448"/>
              <w:jc w:val="center"/>
              <w:rPr>
                <w:color w:val="0D0D0D" w:themeColor="text1" w:themeTint="F2"/>
              </w:rPr>
            </w:pPr>
            <w:r w:rsidRPr="00396C08">
              <w:rPr>
                <w:color w:val="0D0D0D" w:themeColor="text1" w:themeTint="F2"/>
              </w:rPr>
              <w:t>$</w:t>
            </w:r>
            <w:r w:rsidR="00C44F3D" w:rsidRPr="00396C08">
              <w:rPr>
                <w:color w:val="0D0D0D" w:themeColor="text1" w:themeTint="F2"/>
              </w:rPr>
              <w:t>374,</w:t>
            </w:r>
            <w:r w:rsidR="008C3E06" w:rsidRPr="00396C08">
              <w:rPr>
                <w:color w:val="0D0D0D" w:themeColor="text1" w:themeTint="F2"/>
              </w:rPr>
              <w:t>967</w:t>
            </w:r>
          </w:p>
        </w:tc>
        <w:tc>
          <w:tcPr>
            <w:tcW w:w="774" w:type="pct"/>
          </w:tcPr>
          <w:p w14:paraId="0A2E838D" w14:textId="77777777" w:rsidR="00BB6AA1" w:rsidRPr="00396C08" w:rsidRDefault="00BB6AA1" w:rsidP="00760452">
            <w:pPr>
              <w:pStyle w:val="TableParagraph"/>
              <w:spacing w:line="253" w:lineRule="exact"/>
              <w:ind w:left="0" w:right="-21"/>
              <w:jc w:val="center"/>
              <w:rPr>
                <w:color w:val="0D0D0D" w:themeColor="text1" w:themeTint="F2"/>
              </w:rPr>
            </w:pPr>
            <w:r w:rsidRPr="00396C08">
              <w:rPr>
                <w:color w:val="0D0D0D" w:themeColor="text1" w:themeTint="F2"/>
              </w:rPr>
              <w:t>$363,160</w:t>
            </w:r>
          </w:p>
        </w:tc>
        <w:tc>
          <w:tcPr>
            <w:tcW w:w="767" w:type="pct"/>
          </w:tcPr>
          <w:p w14:paraId="357969D3" w14:textId="5AD4F1BB" w:rsidR="00BB6AA1" w:rsidRPr="00396C08" w:rsidRDefault="00BB6AA1" w:rsidP="00A06887">
            <w:pPr>
              <w:pStyle w:val="TableParagraph"/>
              <w:spacing w:line="253" w:lineRule="exact"/>
              <w:ind w:left="165" w:right="169"/>
              <w:jc w:val="center"/>
              <w:rPr>
                <w:color w:val="0D0D0D" w:themeColor="text1" w:themeTint="F2"/>
              </w:rPr>
            </w:pPr>
            <w:r w:rsidRPr="00396C08">
              <w:rPr>
                <w:color w:val="0D0D0D" w:themeColor="text1" w:themeTint="F2"/>
              </w:rPr>
              <w:t>$</w:t>
            </w:r>
            <w:r w:rsidR="008C3E06" w:rsidRPr="00396C08">
              <w:rPr>
                <w:color w:val="0D0D0D" w:themeColor="text1" w:themeTint="F2"/>
              </w:rPr>
              <w:t>738,127</w:t>
            </w:r>
          </w:p>
        </w:tc>
      </w:tr>
      <w:tr w:rsidR="00395C56" w:rsidRPr="00396C08" w14:paraId="23D43B32" w14:textId="77777777" w:rsidTr="00EB1857">
        <w:trPr>
          <w:trHeight w:val="767"/>
        </w:trPr>
        <w:tc>
          <w:tcPr>
            <w:tcW w:w="1107" w:type="pct"/>
          </w:tcPr>
          <w:p w14:paraId="0B59EC27" w14:textId="77777777" w:rsidR="00BB6AA1" w:rsidRPr="00396C08" w:rsidRDefault="00BB6AA1" w:rsidP="00A06887">
            <w:pPr>
              <w:pStyle w:val="TableParagraph"/>
              <w:spacing w:line="237" w:lineRule="auto"/>
              <w:ind w:right="478"/>
              <w:rPr>
                <w:color w:val="0D0D0D" w:themeColor="text1" w:themeTint="F2"/>
              </w:rPr>
            </w:pPr>
            <w:r w:rsidRPr="00396C08">
              <w:rPr>
                <w:color w:val="0D0D0D" w:themeColor="text1" w:themeTint="F2"/>
              </w:rPr>
              <w:t>Supporting the Implementation of the</w:t>
            </w:r>
          </w:p>
          <w:p w14:paraId="13C55908" w14:textId="77777777" w:rsidR="00BB6AA1" w:rsidRPr="00396C08" w:rsidRDefault="00BB6AA1" w:rsidP="00A06887">
            <w:pPr>
              <w:pStyle w:val="TableParagraph"/>
              <w:spacing w:line="242" w:lineRule="exact"/>
              <w:rPr>
                <w:color w:val="0D0D0D" w:themeColor="text1" w:themeTint="F2"/>
              </w:rPr>
            </w:pPr>
            <w:r w:rsidRPr="00396C08">
              <w:rPr>
                <w:color w:val="0D0D0D" w:themeColor="text1" w:themeTint="F2"/>
              </w:rPr>
              <w:t>ATSI Educational Strategy</w:t>
            </w:r>
          </w:p>
          <w:p w14:paraId="14F5389D" w14:textId="77777777" w:rsidR="00BB6AA1" w:rsidRPr="00396C08" w:rsidRDefault="00BB6AA1" w:rsidP="00A06887">
            <w:pPr>
              <w:pStyle w:val="TableParagraph"/>
              <w:spacing w:line="242" w:lineRule="exact"/>
              <w:rPr>
                <w:color w:val="0D0D0D" w:themeColor="text1" w:themeTint="F2"/>
              </w:rPr>
            </w:pPr>
          </w:p>
        </w:tc>
        <w:tc>
          <w:tcPr>
            <w:tcW w:w="1441" w:type="pct"/>
          </w:tcPr>
          <w:p w14:paraId="1E899510" w14:textId="77777777" w:rsidR="00BB6AA1" w:rsidRPr="00396C08" w:rsidRDefault="00BB6AA1" w:rsidP="00A06887">
            <w:pPr>
              <w:pStyle w:val="TableParagraph"/>
              <w:spacing w:line="237" w:lineRule="auto"/>
              <w:ind w:left="105" w:right="503"/>
              <w:rPr>
                <w:color w:val="0D0D0D" w:themeColor="text1" w:themeTint="F2"/>
              </w:rPr>
            </w:pPr>
            <w:r w:rsidRPr="00396C08">
              <w:rPr>
                <w:color w:val="0D0D0D" w:themeColor="text1" w:themeTint="F2"/>
              </w:rPr>
              <w:t>ATSI Strategy support services</w:t>
            </w:r>
          </w:p>
        </w:tc>
        <w:tc>
          <w:tcPr>
            <w:tcW w:w="912" w:type="pct"/>
          </w:tcPr>
          <w:p w14:paraId="1F2838DE" w14:textId="55D49821" w:rsidR="00BB6AA1" w:rsidRPr="00396C08" w:rsidRDefault="00BB6AA1" w:rsidP="00A06887">
            <w:pPr>
              <w:pStyle w:val="TableParagraph"/>
              <w:spacing w:line="253" w:lineRule="exact"/>
              <w:ind w:left="0" w:right="450"/>
              <w:jc w:val="center"/>
              <w:rPr>
                <w:color w:val="0D0D0D" w:themeColor="text1" w:themeTint="F2"/>
              </w:rPr>
            </w:pPr>
            <w:r w:rsidRPr="00396C08">
              <w:rPr>
                <w:color w:val="0D0D0D" w:themeColor="text1" w:themeTint="F2"/>
              </w:rPr>
              <w:t>$</w:t>
            </w:r>
            <w:r w:rsidR="00E96B53" w:rsidRPr="00396C08">
              <w:rPr>
                <w:color w:val="0D0D0D" w:themeColor="text1" w:themeTint="F2"/>
              </w:rPr>
              <w:t>187,792</w:t>
            </w:r>
          </w:p>
        </w:tc>
        <w:tc>
          <w:tcPr>
            <w:tcW w:w="774" w:type="pct"/>
          </w:tcPr>
          <w:p w14:paraId="651A5D03" w14:textId="77777777" w:rsidR="00BB6AA1" w:rsidRPr="00396C08" w:rsidRDefault="00BB6AA1" w:rsidP="00A06887">
            <w:pPr>
              <w:pStyle w:val="TableParagraph"/>
              <w:spacing w:line="253" w:lineRule="exact"/>
              <w:ind w:left="0"/>
              <w:jc w:val="center"/>
              <w:rPr>
                <w:color w:val="0D0D0D" w:themeColor="text1" w:themeTint="F2"/>
              </w:rPr>
            </w:pPr>
            <w:r w:rsidRPr="00396C08">
              <w:rPr>
                <w:color w:val="0D0D0D" w:themeColor="text1" w:themeTint="F2"/>
              </w:rPr>
              <w:t>$80,000</w:t>
            </w:r>
          </w:p>
        </w:tc>
        <w:tc>
          <w:tcPr>
            <w:tcW w:w="767" w:type="pct"/>
          </w:tcPr>
          <w:p w14:paraId="3F6F170E" w14:textId="77777777" w:rsidR="00BB6AA1" w:rsidRPr="00396C08" w:rsidRDefault="00BB6AA1" w:rsidP="00A06887">
            <w:pPr>
              <w:pStyle w:val="TableParagraph"/>
              <w:spacing w:line="253" w:lineRule="exact"/>
              <w:ind w:left="165" w:right="169"/>
              <w:jc w:val="center"/>
              <w:rPr>
                <w:color w:val="0D0D0D" w:themeColor="text1" w:themeTint="F2"/>
              </w:rPr>
            </w:pPr>
            <w:r w:rsidRPr="00396C08">
              <w:rPr>
                <w:color w:val="0D0D0D" w:themeColor="text1" w:themeTint="F2"/>
              </w:rPr>
              <w:t>$267,792</w:t>
            </w:r>
          </w:p>
        </w:tc>
      </w:tr>
      <w:tr w:rsidR="00395C56" w:rsidRPr="00396C08" w14:paraId="50BC8DC6" w14:textId="77777777" w:rsidTr="00EB1857">
        <w:trPr>
          <w:trHeight w:val="558"/>
        </w:trPr>
        <w:tc>
          <w:tcPr>
            <w:tcW w:w="1107" w:type="pct"/>
          </w:tcPr>
          <w:p w14:paraId="1FEFAF1A" w14:textId="77777777" w:rsidR="004E2D82" w:rsidRPr="00396C08" w:rsidRDefault="004E2D82" w:rsidP="00A06887">
            <w:pPr>
              <w:pStyle w:val="TableParagraph"/>
              <w:ind w:right="70"/>
              <w:rPr>
                <w:color w:val="0D0D0D" w:themeColor="text1" w:themeTint="F2"/>
              </w:rPr>
            </w:pPr>
            <w:r w:rsidRPr="00396C08">
              <w:rPr>
                <w:color w:val="0D0D0D" w:themeColor="text1" w:themeTint="F2"/>
              </w:rPr>
              <w:t>Achieving Excellence in Curriculum and Assessment</w:t>
            </w:r>
          </w:p>
        </w:tc>
        <w:tc>
          <w:tcPr>
            <w:tcW w:w="1441" w:type="pct"/>
          </w:tcPr>
          <w:p w14:paraId="24C784CA" w14:textId="77777777" w:rsidR="004E2D82" w:rsidRDefault="004E2D82" w:rsidP="00A06887">
            <w:pPr>
              <w:pStyle w:val="TableParagraph"/>
              <w:spacing w:line="237" w:lineRule="auto"/>
              <w:ind w:left="105" w:right="604"/>
              <w:rPr>
                <w:color w:val="0D0D0D" w:themeColor="text1" w:themeTint="F2"/>
              </w:rPr>
            </w:pPr>
            <w:r w:rsidRPr="00396C08">
              <w:rPr>
                <w:color w:val="0D0D0D" w:themeColor="text1" w:themeTint="F2"/>
              </w:rPr>
              <w:t>School Based Project – Curriculum Reform in School Mathematics</w:t>
            </w:r>
          </w:p>
          <w:p w14:paraId="491D4C4A" w14:textId="1876E8A3" w:rsidR="00395C56" w:rsidRPr="00396C08" w:rsidRDefault="00395C56" w:rsidP="00A06887">
            <w:pPr>
              <w:pStyle w:val="TableParagraph"/>
              <w:spacing w:line="237" w:lineRule="auto"/>
              <w:ind w:left="105" w:right="604"/>
              <w:rPr>
                <w:color w:val="0D0D0D" w:themeColor="text1" w:themeTint="F2"/>
              </w:rPr>
            </w:pPr>
          </w:p>
        </w:tc>
        <w:tc>
          <w:tcPr>
            <w:tcW w:w="912" w:type="pct"/>
          </w:tcPr>
          <w:p w14:paraId="0404968B" w14:textId="54D1AEB9" w:rsidR="004E2D82" w:rsidRPr="00396C08" w:rsidRDefault="004E2D82" w:rsidP="00A06887">
            <w:pPr>
              <w:pStyle w:val="TableParagraph"/>
              <w:spacing w:line="253" w:lineRule="exact"/>
              <w:ind w:left="0" w:right="448"/>
              <w:jc w:val="center"/>
              <w:rPr>
                <w:color w:val="0D0D0D" w:themeColor="text1" w:themeTint="F2"/>
              </w:rPr>
            </w:pPr>
            <w:r w:rsidRPr="00396C08">
              <w:rPr>
                <w:color w:val="0D0D0D" w:themeColor="text1" w:themeTint="F2"/>
              </w:rPr>
              <w:t>$80,000</w:t>
            </w:r>
          </w:p>
        </w:tc>
        <w:tc>
          <w:tcPr>
            <w:tcW w:w="774" w:type="pct"/>
          </w:tcPr>
          <w:p w14:paraId="3F0FF5F0" w14:textId="77777777" w:rsidR="004E2D82" w:rsidRPr="00396C08" w:rsidRDefault="004E2D82" w:rsidP="00A06887">
            <w:pPr>
              <w:pStyle w:val="TableParagraph"/>
              <w:spacing w:line="253" w:lineRule="exact"/>
              <w:ind w:left="0"/>
              <w:jc w:val="center"/>
              <w:rPr>
                <w:color w:val="0D0D0D" w:themeColor="text1" w:themeTint="F2"/>
              </w:rPr>
            </w:pPr>
            <w:r w:rsidRPr="00396C08">
              <w:rPr>
                <w:color w:val="0D0D0D" w:themeColor="text1" w:themeTint="F2"/>
              </w:rPr>
              <w:t>$35,000</w:t>
            </w:r>
          </w:p>
        </w:tc>
        <w:tc>
          <w:tcPr>
            <w:tcW w:w="767" w:type="pct"/>
          </w:tcPr>
          <w:p w14:paraId="625ACECE" w14:textId="35D56D1F" w:rsidR="004E2D82" w:rsidRPr="00396C08" w:rsidRDefault="004E2D82" w:rsidP="00A06887">
            <w:pPr>
              <w:pStyle w:val="TableParagraph"/>
              <w:spacing w:line="253" w:lineRule="exact"/>
              <w:ind w:left="165" w:right="169"/>
              <w:jc w:val="center"/>
              <w:rPr>
                <w:color w:val="0D0D0D" w:themeColor="text1" w:themeTint="F2"/>
              </w:rPr>
            </w:pPr>
            <w:r w:rsidRPr="00396C08">
              <w:rPr>
                <w:color w:val="0D0D0D" w:themeColor="text1" w:themeTint="F2"/>
              </w:rPr>
              <w:t>$115,000</w:t>
            </w:r>
          </w:p>
        </w:tc>
      </w:tr>
      <w:tr w:rsidR="00395C56" w:rsidRPr="00396C08" w14:paraId="7C5DD590" w14:textId="77777777" w:rsidTr="00EB1857">
        <w:trPr>
          <w:trHeight w:val="544"/>
        </w:trPr>
        <w:tc>
          <w:tcPr>
            <w:tcW w:w="1107" w:type="pct"/>
          </w:tcPr>
          <w:p w14:paraId="6C97D612" w14:textId="16AA5F0E" w:rsidR="00EC6CA8" w:rsidRPr="00396C08" w:rsidRDefault="00EC6CA8" w:rsidP="00EC6CA8">
            <w:pPr>
              <w:rPr>
                <w:color w:val="0D0D0D" w:themeColor="text1" w:themeTint="F2"/>
              </w:rPr>
            </w:pPr>
            <w:r w:rsidRPr="00396C08">
              <w:rPr>
                <w:color w:val="0D0D0D" w:themeColor="text1" w:themeTint="F2"/>
              </w:rPr>
              <w:t>Achieving Excellence in Curriculum and Assessment</w:t>
            </w:r>
          </w:p>
        </w:tc>
        <w:tc>
          <w:tcPr>
            <w:tcW w:w="1441" w:type="pct"/>
          </w:tcPr>
          <w:p w14:paraId="08E489D9" w14:textId="77777777" w:rsidR="00EC6CA8" w:rsidRDefault="00EC6CA8" w:rsidP="00EC6CA8">
            <w:pPr>
              <w:pStyle w:val="TableParagraph"/>
              <w:ind w:left="105" w:right="91"/>
              <w:rPr>
                <w:color w:val="0D0D0D" w:themeColor="text1" w:themeTint="F2"/>
              </w:rPr>
            </w:pPr>
            <w:r w:rsidRPr="00396C08">
              <w:rPr>
                <w:color w:val="0D0D0D" w:themeColor="text1" w:themeTint="F2"/>
              </w:rPr>
              <w:t>Redevelop Progression Points</w:t>
            </w:r>
          </w:p>
          <w:p w14:paraId="17FC5505" w14:textId="153E0F7A" w:rsidR="00395C56" w:rsidRPr="00396C08" w:rsidRDefault="00395C56" w:rsidP="00EC6CA8">
            <w:pPr>
              <w:pStyle w:val="TableParagraph"/>
              <w:ind w:left="105" w:right="91"/>
              <w:rPr>
                <w:color w:val="0D0D0D" w:themeColor="text1" w:themeTint="F2"/>
              </w:rPr>
            </w:pPr>
          </w:p>
        </w:tc>
        <w:tc>
          <w:tcPr>
            <w:tcW w:w="912" w:type="pct"/>
          </w:tcPr>
          <w:p w14:paraId="46566A9F" w14:textId="48C28269" w:rsidR="00EC6CA8" w:rsidRPr="00396C08" w:rsidRDefault="00EC6CA8" w:rsidP="00EC6CA8">
            <w:pPr>
              <w:pStyle w:val="TableParagraph"/>
              <w:ind w:left="0" w:right="448"/>
              <w:jc w:val="center"/>
              <w:rPr>
                <w:color w:val="0D0D0D" w:themeColor="text1" w:themeTint="F2"/>
              </w:rPr>
            </w:pPr>
            <w:r w:rsidRPr="00396C08">
              <w:rPr>
                <w:color w:val="0D0D0D" w:themeColor="text1" w:themeTint="F2"/>
              </w:rPr>
              <w:t>$80,000</w:t>
            </w:r>
          </w:p>
        </w:tc>
        <w:tc>
          <w:tcPr>
            <w:tcW w:w="774" w:type="pct"/>
          </w:tcPr>
          <w:p w14:paraId="7C452C60" w14:textId="745E928D" w:rsidR="00EC6CA8" w:rsidRPr="00396C08" w:rsidRDefault="00EC6CA8" w:rsidP="00EC6CA8">
            <w:pPr>
              <w:pStyle w:val="TableParagraph"/>
              <w:ind w:left="0"/>
              <w:jc w:val="center"/>
              <w:rPr>
                <w:color w:val="0D0D0D" w:themeColor="text1" w:themeTint="F2"/>
              </w:rPr>
            </w:pPr>
            <w:r w:rsidRPr="00396C08">
              <w:rPr>
                <w:color w:val="0D0D0D" w:themeColor="text1" w:themeTint="F2"/>
              </w:rPr>
              <w:t>$30,000</w:t>
            </w:r>
          </w:p>
        </w:tc>
        <w:tc>
          <w:tcPr>
            <w:tcW w:w="767" w:type="pct"/>
          </w:tcPr>
          <w:p w14:paraId="04C45E2F" w14:textId="6D8CAF63" w:rsidR="00EC6CA8" w:rsidRPr="00396C08" w:rsidRDefault="00EC6CA8" w:rsidP="00EC6CA8">
            <w:pPr>
              <w:pStyle w:val="TableParagraph"/>
              <w:ind w:left="165" w:right="169"/>
              <w:jc w:val="center"/>
              <w:rPr>
                <w:color w:val="0D0D0D" w:themeColor="text1" w:themeTint="F2"/>
              </w:rPr>
            </w:pPr>
            <w:r w:rsidRPr="00396C08">
              <w:rPr>
                <w:color w:val="0D0D0D" w:themeColor="text1" w:themeTint="F2"/>
              </w:rPr>
              <w:t>$110,000</w:t>
            </w:r>
          </w:p>
        </w:tc>
      </w:tr>
      <w:tr w:rsidR="00395C56" w:rsidRPr="00396C08" w14:paraId="758A4DA4" w14:textId="77777777" w:rsidTr="00EB1857">
        <w:trPr>
          <w:trHeight w:val="256"/>
        </w:trPr>
        <w:tc>
          <w:tcPr>
            <w:tcW w:w="1107" w:type="pct"/>
          </w:tcPr>
          <w:p w14:paraId="36D6E0C3" w14:textId="77777777" w:rsidR="00EC6CA8" w:rsidRPr="00396C08" w:rsidRDefault="00EC6CA8" w:rsidP="00EC6CA8">
            <w:pPr>
              <w:rPr>
                <w:color w:val="0D0D0D" w:themeColor="text1" w:themeTint="F2"/>
              </w:rPr>
            </w:pPr>
          </w:p>
        </w:tc>
        <w:tc>
          <w:tcPr>
            <w:tcW w:w="1441" w:type="pct"/>
          </w:tcPr>
          <w:p w14:paraId="1E7B7994" w14:textId="77777777" w:rsidR="00EC6CA8" w:rsidRDefault="00EC6CA8" w:rsidP="00EC6CA8">
            <w:pPr>
              <w:pStyle w:val="TableParagraph"/>
              <w:spacing w:line="237" w:lineRule="exact"/>
              <w:ind w:left="105"/>
              <w:rPr>
                <w:color w:val="0D0D0D" w:themeColor="text1" w:themeTint="F2"/>
              </w:rPr>
            </w:pPr>
            <w:r w:rsidRPr="00396C08">
              <w:rPr>
                <w:color w:val="0D0D0D" w:themeColor="text1" w:themeTint="F2"/>
              </w:rPr>
              <w:t>Curriculum &amp; Assessment Support for Leaders</w:t>
            </w:r>
          </w:p>
          <w:p w14:paraId="6C795E98" w14:textId="42890B18" w:rsidR="00395C56" w:rsidRPr="00396C08" w:rsidRDefault="00395C56" w:rsidP="00EC6CA8">
            <w:pPr>
              <w:pStyle w:val="TableParagraph"/>
              <w:spacing w:line="237" w:lineRule="exact"/>
              <w:ind w:left="105"/>
              <w:rPr>
                <w:color w:val="0D0D0D" w:themeColor="text1" w:themeTint="F2"/>
              </w:rPr>
            </w:pPr>
          </w:p>
        </w:tc>
        <w:tc>
          <w:tcPr>
            <w:tcW w:w="912" w:type="pct"/>
          </w:tcPr>
          <w:p w14:paraId="072EF18C" w14:textId="7AD24476" w:rsidR="00EC6CA8" w:rsidRPr="00396C08" w:rsidRDefault="00EC6CA8" w:rsidP="00EC6CA8">
            <w:pPr>
              <w:pStyle w:val="TableParagraph"/>
              <w:spacing w:line="237" w:lineRule="exact"/>
              <w:ind w:left="0" w:right="448"/>
              <w:jc w:val="center"/>
              <w:rPr>
                <w:color w:val="0D0D0D" w:themeColor="text1" w:themeTint="F2"/>
              </w:rPr>
            </w:pPr>
            <w:r w:rsidRPr="00396C08">
              <w:rPr>
                <w:color w:val="0D0D0D" w:themeColor="text1" w:themeTint="F2"/>
              </w:rPr>
              <w:t>$76,837</w:t>
            </w:r>
          </w:p>
        </w:tc>
        <w:tc>
          <w:tcPr>
            <w:tcW w:w="774" w:type="pct"/>
          </w:tcPr>
          <w:p w14:paraId="2EF532F2" w14:textId="77777777" w:rsidR="00EC6CA8" w:rsidRPr="00396C08" w:rsidRDefault="00EC6CA8" w:rsidP="00EC6CA8">
            <w:pPr>
              <w:pStyle w:val="TableParagraph"/>
              <w:spacing w:line="237" w:lineRule="exact"/>
              <w:ind w:left="0"/>
              <w:jc w:val="center"/>
              <w:rPr>
                <w:color w:val="0D0D0D" w:themeColor="text1" w:themeTint="F2"/>
              </w:rPr>
            </w:pPr>
            <w:r w:rsidRPr="00396C08">
              <w:rPr>
                <w:color w:val="0D0D0D" w:themeColor="text1" w:themeTint="F2"/>
              </w:rPr>
              <w:t>$80,000</w:t>
            </w:r>
          </w:p>
        </w:tc>
        <w:tc>
          <w:tcPr>
            <w:tcW w:w="767" w:type="pct"/>
          </w:tcPr>
          <w:p w14:paraId="0FB03267" w14:textId="504D8679" w:rsidR="00EC6CA8" w:rsidRPr="00396C08" w:rsidRDefault="00EC6CA8" w:rsidP="00EC6CA8">
            <w:pPr>
              <w:pStyle w:val="TableParagraph"/>
              <w:spacing w:line="237" w:lineRule="exact"/>
              <w:ind w:left="165" w:right="169"/>
              <w:jc w:val="center"/>
              <w:rPr>
                <w:color w:val="0D0D0D" w:themeColor="text1" w:themeTint="F2"/>
              </w:rPr>
            </w:pPr>
            <w:r w:rsidRPr="00396C08">
              <w:rPr>
                <w:color w:val="0D0D0D" w:themeColor="text1" w:themeTint="F2"/>
              </w:rPr>
              <w:t>$156,837</w:t>
            </w:r>
          </w:p>
        </w:tc>
      </w:tr>
      <w:tr w:rsidR="00395C56" w:rsidRPr="00396C08" w14:paraId="2D1F7062" w14:textId="77777777" w:rsidTr="00EB1857">
        <w:trPr>
          <w:trHeight w:val="256"/>
        </w:trPr>
        <w:tc>
          <w:tcPr>
            <w:tcW w:w="1107" w:type="pct"/>
          </w:tcPr>
          <w:p w14:paraId="2FD4C558" w14:textId="41029D18" w:rsidR="00395C56" w:rsidRPr="00396C0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10A3909F" w14:textId="1C517438" w:rsidR="00395C56" w:rsidRPr="00396C08" w:rsidRDefault="00395C56" w:rsidP="00395C56">
            <w:pPr>
              <w:pStyle w:val="TableParagraph"/>
              <w:numPr>
                <w:ilvl w:val="0"/>
                <w:numId w:val="38"/>
              </w:numPr>
              <w:spacing w:line="237" w:lineRule="exact"/>
              <w:rPr>
                <w:color w:val="0D0D0D" w:themeColor="text1" w:themeTint="F2"/>
              </w:rPr>
            </w:pPr>
            <w:r w:rsidRPr="00A61FA8">
              <w:rPr>
                <w:bCs/>
                <w:color w:val="0D0D0D" w:themeColor="text1" w:themeTint="F2"/>
              </w:rPr>
              <w:t>Aspiring and New Principals Programs</w:t>
            </w:r>
          </w:p>
        </w:tc>
        <w:tc>
          <w:tcPr>
            <w:tcW w:w="912" w:type="pct"/>
          </w:tcPr>
          <w:p w14:paraId="6DEFDA75" w14:textId="7BE43B4B" w:rsidR="00395C56" w:rsidRPr="00396C08" w:rsidRDefault="00395C56" w:rsidP="00395C56">
            <w:pPr>
              <w:pStyle w:val="TableParagraph"/>
              <w:spacing w:line="237" w:lineRule="exact"/>
              <w:ind w:left="0" w:right="448"/>
              <w:jc w:val="center"/>
              <w:rPr>
                <w:color w:val="0D0D0D" w:themeColor="text1" w:themeTint="F2"/>
              </w:rPr>
            </w:pPr>
            <w:r w:rsidRPr="00A61FA8">
              <w:rPr>
                <w:color w:val="0D0D0D" w:themeColor="text1" w:themeTint="F2"/>
              </w:rPr>
              <w:t>$59,484</w:t>
            </w:r>
          </w:p>
        </w:tc>
        <w:tc>
          <w:tcPr>
            <w:tcW w:w="774" w:type="pct"/>
          </w:tcPr>
          <w:p w14:paraId="259CAB46" w14:textId="7DC399DD" w:rsidR="00395C56" w:rsidRPr="00396C08" w:rsidRDefault="00395C56" w:rsidP="00395C56">
            <w:pPr>
              <w:pStyle w:val="TableParagraph"/>
              <w:spacing w:line="237" w:lineRule="exact"/>
              <w:ind w:left="0"/>
              <w:jc w:val="center"/>
              <w:rPr>
                <w:color w:val="0D0D0D" w:themeColor="text1" w:themeTint="F2"/>
              </w:rPr>
            </w:pPr>
            <w:r w:rsidRPr="00A61FA8">
              <w:rPr>
                <w:color w:val="0D0D0D" w:themeColor="text1" w:themeTint="F2"/>
              </w:rPr>
              <w:t>$196,200</w:t>
            </w:r>
          </w:p>
        </w:tc>
        <w:tc>
          <w:tcPr>
            <w:tcW w:w="767" w:type="pct"/>
          </w:tcPr>
          <w:p w14:paraId="06635E25" w14:textId="53F2A999" w:rsidR="00395C56" w:rsidRPr="00396C08" w:rsidRDefault="00395C56" w:rsidP="00395C56">
            <w:pPr>
              <w:pStyle w:val="TableParagraph"/>
              <w:spacing w:line="237" w:lineRule="exact"/>
              <w:ind w:left="165" w:right="169"/>
              <w:jc w:val="center"/>
              <w:rPr>
                <w:color w:val="0D0D0D" w:themeColor="text1" w:themeTint="F2"/>
              </w:rPr>
            </w:pPr>
            <w:r w:rsidRPr="00A61FA8">
              <w:rPr>
                <w:color w:val="0D0D0D" w:themeColor="text1" w:themeTint="F2"/>
              </w:rPr>
              <w:t>$255,684</w:t>
            </w:r>
          </w:p>
        </w:tc>
      </w:tr>
      <w:tr w:rsidR="00395C56" w:rsidRPr="00396C08" w14:paraId="310503DC" w14:textId="77777777" w:rsidTr="00EB1857">
        <w:trPr>
          <w:trHeight w:val="256"/>
        </w:trPr>
        <w:tc>
          <w:tcPr>
            <w:tcW w:w="1107" w:type="pct"/>
          </w:tcPr>
          <w:p w14:paraId="5760AAD3" w14:textId="1F61253B" w:rsidR="00395C56" w:rsidRPr="00396C0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328652EB" w14:textId="6CDE0952" w:rsidR="00395C56" w:rsidRPr="00396C08" w:rsidRDefault="00395C56" w:rsidP="00395C56">
            <w:pPr>
              <w:pStyle w:val="TableParagraph"/>
              <w:numPr>
                <w:ilvl w:val="0"/>
                <w:numId w:val="38"/>
              </w:numPr>
              <w:spacing w:line="237" w:lineRule="exact"/>
              <w:rPr>
                <w:color w:val="0D0D0D" w:themeColor="text1" w:themeTint="F2"/>
              </w:rPr>
            </w:pPr>
            <w:r w:rsidRPr="00A61FA8">
              <w:rPr>
                <w:bCs/>
                <w:color w:val="0D0D0D" w:themeColor="text1" w:themeTint="F2"/>
              </w:rPr>
              <w:t>Four school leadership development programs – Emerging Leaders, Middle Leaders, Leading School Culture, and Staff Induction and Retention</w:t>
            </w:r>
          </w:p>
        </w:tc>
        <w:tc>
          <w:tcPr>
            <w:tcW w:w="912" w:type="pct"/>
          </w:tcPr>
          <w:p w14:paraId="1D18742B" w14:textId="77777777"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$59,485</w:t>
            </w:r>
          </w:p>
          <w:p w14:paraId="6627DB48" w14:textId="77777777" w:rsidR="00395C56" w:rsidRPr="00396C08" w:rsidRDefault="00395C56" w:rsidP="00395C56">
            <w:pPr>
              <w:pStyle w:val="TableParagraph"/>
              <w:spacing w:line="237" w:lineRule="exact"/>
              <w:ind w:left="0" w:right="448"/>
              <w:jc w:val="center"/>
              <w:rPr>
                <w:color w:val="0D0D0D" w:themeColor="text1" w:themeTint="F2"/>
              </w:rPr>
            </w:pPr>
          </w:p>
        </w:tc>
        <w:tc>
          <w:tcPr>
            <w:tcW w:w="774" w:type="pct"/>
          </w:tcPr>
          <w:p w14:paraId="4E2D6651" w14:textId="77777777" w:rsidR="00395C56" w:rsidRPr="00A61FA8" w:rsidRDefault="00395C56" w:rsidP="00395C56">
            <w:pPr>
              <w:pStyle w:val="TableParagraph"/>
              <w:spacing w:line="253" w:lineRule="exact"/>
              <w:ind w:left="0" w:right="174"/>
              <w:jc w:val="center"/>
              <w:rPr>
                <w:color w:val="0D0D0D" w:themeColor="text1" w:themeTint="F2"/>
              </w:rPr>
            </w:pPr>
            <w:r w:rsidRPr="00A61FA8">
              <w:rPr>
                <w:color w:val="0D0D0D" w:themeColor="text1" w:themeTint="F2"/>
              </w:rPr>
              <w:t>$256,805</w:t>
            </w:r>
          </w:p>
          <w:p w14:paraId="22145829" w14:textId="77777777" w:rsidR="00395C56" w:rsidRPr="00396C08" w:rsidRDefault="00395C56" w:rsidP="00395C56">
            <w:pPr>
              <w:pStyle w:val="TableParagraph"/>
              <w:spacing w:line="237" w:lineRule="exact"/>
              <w:ind w:left="0"/>
              <w:jc w:val="center"/>
              <w:rPr>
                <w:color w:val="0D0D0D" w:themeColor="text1" w:themeTint="F2"/>
              </w:rPr>
            </w:pPr>
          </w:p>
        </w:tc>
        <w:tc>
          <w:tcPr>
            <w:tcW w:w="767" w:type="pct"/>
          </w:tcPr>
          <w:p w14:paraId="3EBB2351" w14:textId="77777777"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$316,290</w:t>
            </w:r>
          </w:p>
          <w:p w14:paraId="0186F22B" w14:textId="77777777" w:rsidR="00395C56" w:rsidRPr="00396C08" w:rsidRDefault="00395C56" w:rsidP="00395C56">
            <w:pPr>
              <w:pStyle w:val="TableParagraph"/>
              <w:spacing w:line="237" w:lineRule="exact"/>
              <w:ind w:left="165" w:right="169"/>
              <w:jc w:val="center"/>
              <w:rPr>
                <w:color w:val="0D0D0D" w:themeColor="text1" w:themeTint="F2"/>
              </w:rPr>
            </w:pPr>
          </w:p>
        </w:tc>
      </w:tr>
      <w:tr w:rsidR="00395C56" w:rsidRPr="00396C08" w14:paraId="23DF5934" w14:textId="77777777" w:rsidTr="00EB1857">
        <w:trPr>
          <w:trHeight w:val="256"/>
        </w:trPr>
        <w:tc>
          <w:tcPr>
            <w:tcW w:w="1107" w:type="pct"/>
          </w:tcPr>
          <w:p w14:paraId="24975378" w14:textId="4A6DE772"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5C69EA4D" w14:textId="7554EC28"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HALT Certification service</w:t>
            </w:r>
          </w:p>
        </w:tc>
        <w:tc>
          <w:tcPr>
            <w:tcW w:w="912" w:type="pct"/>
          </w:tcPr>
          <w:p w14:paraId="664E6ACB" w14:textId="55F4C260"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$66,264</w:t>
            </w:r>
          </w:p>
        </w:tc>
        <w:tc>
          <w:tcPr>
            <w:tcW w:w="774" w:type="pct"/>
          </w:tcPr>
          <w:p w14:paraId="29D1C2DB" w14:textId="77777777" w:rsidR="00395C56" w:rsidRPr="00A61FA8" w:rsidRDefault="00395C56" w:rsidP="00395C56">
            <w:pPr>
              <w:pStyle w:val="TableParagraph"/>
              <w:spacing w:line="253" w:lineRule="exact"/>
              <w:ind w:left="0" w:right="174"/>
              <w:jc w:val="center"/>
              <w:rPr>
                <w:color w:val="0D0D0D" w:themeColor="text1" w:themeTint="F2"/>
              </w:rPr>
            </w:pPr>
            <w:r w:rsidRPr="00A61FA8">
              <w:rPr>
                <w:color w:val="0D0D0D" w:themeColor="text1" w:themeTint="F2"/>
              </w:rPr>
              <w:t>$201,198</w:t>
            </w:r>
          </w:p>
          <w:p w14:paraId="6963D598" w14:textId="77777777" w:rsidR="00395C56" w:rsidRPr="00A61FA8" w:rsidRDefault="00395C56" w:rsidP="00395C56">
            <w:pPr>
              <w:pStyle w:val="TableParagraph"/>
              <w:spacing w:line="253" w:lineRule="exact"/>
              <w:ind w:left="0" w:right="174"/>
              <w:jc w:val="center"/>
              <w:rPr>
                <w:color w:val="0D0D0D" w:themeColor="text1" w:themeTint="F2"/>
              </w:rPr>
            </w:pPr>
          </w:p>
        </w:tc>
        <w:tc>
          <w:tcPr>
            <w:tcW w:w="767" w:type="pct"/>
          </w:tcPr>
          <w:p w14:paraId="6F2D0733" w14:textId="77777777"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$267,462</w:t>
            </w:r>
          </w:p>
          <w:p w14:paraId="36061EFB" w14:textId="77777777" w:rsidR="00395C56" w:rsidRPr="00A61FA8" w:rsidRDefault="00395C56" w:rsidP="00395C56">
            <w:pPr>
              <w:pStyle w:val="TableParagraph"/>
              <w:spacing w:line="253" w:lineRule="exact"/>
              <w:ind w:left="165" w:right="169"/>
              <w:jc w:val="center"/>
              <w:rPr>
                <w:color w:val="0D0D0D" w:themeColor="text1" w:themeTint="F2"/>
              </w:rPr>
            </w:pPr>
          </w:p>
        </w:tc>
      </w:tr>
      <w:tr w:rsidR="00395C56" w:rsidRPr="00396C08" w14:paraId="306D76C9" w14:textId="77777777" w:rsidTr="00EB1857">
        <w:trPr>
          <w:trHeight w:val="256"/>
        </w:trPr>
        <w:tc>
          <w:tcPr>
            <w:tcW w:w="1107" w:type="pct"/>
          </w:tcPr>
          <w:p w14:paraId="3092E855" w14:textId="7272CBFE"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0EE7C3AC" w14:textId="3908BA59"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 xml:space="preserve">Parent Engagement </w:t>
            </w:r>
          </w:p>
        </w:tc>
        <w:tc>
          <w:tcPr>
            <w:tcW w:w="912" w:type="pct"/>
          </w:tcPr>
          <w:p w14:paraId="6C4A5933" w14:textId="1EE1B18A"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$66,264</w:t>
            </w:r>
          </w:p>
        </w:tc>
        <w:tc>
          <w:tcPr>
            <w:tcW w:w="774" w:type="pct"/>
          </w:tcPr>
          <w:p w14:paraId="7B4CF0CF" w14:textId="5364C05E" w:rsidR="00395C56" w:rsidRPr="00A61FA8" w:rsidRDefault="00395C56" w:rsidP="00395C56">
            <w:pPr>
              <w:pStyle w:val="TableParagraph"/>
              <w:spacing w:line="253" w:lineRule="exact"/>
              <w:ind w:left="0" w:right="174"/>
              <w:jc w:val="center"/>
              <w:rPr>
                <w:color w:val="0D0D0D" w:themeColor="text1" w:themeTint="F2"/>
              </w:rPr>
            </w:pPr>
            <w:r w:rsidRPr="00A61FA8">
              <w:rPr>
                <w:color w:val="0D0D0D" w:themeColor="text1" w:themeTint="F2"/>
              </w:rPr>
              <w:t>$150,000</w:t>
            </w:r>
          </w:p>
        </w:tc>
        <w:tc>
          <w:tcPr>
            <w:tcW w:w="767" w:type="pct"/>
          </w:tcPr>
          <w:p w14:paraId="51BF3BFF" w14:textId="5B34A9B1"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$216,264</w:t>
            </w:r>
          </w:p>
        </w:tc>
      </w:tr>
      <w:tr w:rsidR="00395C56" w:rsidRPr="00396C08" w14:paraId="6DA4F528" w14:textId="77777777" w:rsidTr="00EB1857">
        <w:trPr>
          <w:trHeight w:val="256"/>
        </w:trPr>
        <w:tc>
          <w:tcPr>
            <w:tcW w:w="1107" w:type="pct"/>
          </w:tcPr>
          <w:p w14:paraId="0A97BAFB" w14:textId="6C5DE2BC"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79ECF29E" w14:textId="68D03304"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Teachers Growth and Development</w:t>
            </w:r>
          </w:p>
        </w:tc>
        <w:tc>
          <w:tcPr>
            <w:tcW w:w="912" w:type="pct"/>
          </w:tcPr>
          <w:p w14:paraId="12248386" w14:textId="16420FE0"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$66,264</w:t>
            </w:r>
          </w:p>
        </w:tc>
        <w:tc>
          <w:tcPr>
            <w:tcW w:w="774" w:type="pct"/>
          </w:tcPr>
          <w:p w14:paraId="1DD6635B" w14:textId="7F67BBAB" w:rsidR="00395C56" w:rsidRPr="00A61FA8" w:rsidRDefault="00395C56" w:rsidP="00395C56">
            <w:pPr>
              <w:pStyle w:val="TableParagraph"/>
              <w:spacing w:line="253" w:lineRule="exact"/>
              <w:ind w:left="0" w:right="174"/>
              <w:jc w:val="center"/>
              <w:rPr>
                <w:color w:val="0D0D0D" w:themeColor="text1" w:themeTint="F2"/>
              </w:rPr>
            </w:pPr>
            <w:r w:rsidRPr="00A61FA8">
              <w:rPr>
                <w:color w:val="0D0D0D" w:themeColor="text1" w:themeTint="F2"/>
              </w:rPr>
              <w:t>$84,730</w:t>
            </w:r>
          </w:p>
        </w:tc>
        <w:tc>
          <w:tcPr>
            <w:tcW w:w="767" w:type="pct"/>
          </w:tcPr>
          <w:p w14:paraId="49979145" w14:textId="77777777"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$150,994</w:t>
            </w:r>
          </w:p>
          <w:p w14:paraId="44AE4BF6" w14:textId="77777777" w:rsidR="00395C56" w:rsidRPr="00A61FA8" w:rsidRDefault="00395C56" w:rsidP="00395C56">
            <w:pPr>
              <w:pStyle w:val="TableParagraph"/>
              <w:spacing w:line="253" w:lineRule="exact"/>
              <w:ind w:left="165" w:right="169"/>
              <w:jc w:val="center"/>
              <w:rPr>
                <w:color w:val="0D0D0D" w:themeColor="text1" w:themeTint="F2"/>
              </w:rPr>
            </w:pPr>
          </w:p>
        </w:tc>
      </w:tr>
      <w:tr w:rsidR="00395C56" w:rsidRPr="00396C08" w14:paraId="2EA41EEA" w14:textId="77777777" w:rsidTr="00EB1857">
        <w:trPr>
          <w:trHeight w:val="256"/>
        </w:trPr>
        <w:tc>
          <w:tcPr>
            <w:tcW w:w="1107" w:type="pct"/>
          </w:tcPr>
          <w:p w14:paraId="62B9FE03" w14:textId="6942B0DA"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1452B027" w14:textId="3E877DBA"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Coaching</w:t>
            </w:r>
          </w:p>
        </w:tc>
        <w:tc>
          <w:tcPr>
            <w:tcW w:w="912" w:type="pct"/>
          </w:tcPr>
          <w:p w14:paraId="433C93B2" w14:textId="6EEF1CF0"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$66,263</w:t>
            </w:r>
          </w:p>
        </w:tc>
        <w:tc>
          <w:tcPr>
            <w:tcW w:w="774" w:type="pct"/>
          </w:tcPr>
          <w:p w14:paraId="05FAF11A" w14:textId="66361141" w:rsidR="00395C56" w:rsidRPr="00A61FA8" w:rsidRDefault="00395C56" w:rsidP="00395C56">
            <w:pPr>
              <w:pStyle w:val="TableParagraph"/>
              <w:spacing w:line="253" w:lineRule="exact"/>
              <w:ind w:left="0" w:right="174"/>
              <w:jc w:val="center"/>
              <w:rPr>
                <w:color w:val="0D0D0D" w:themeColor="text1" w:themeTint="F2"/>
              </w:rPr>
            </w:pPr>
            <w:r w:rsidRPr="00A61FA8">
              <w:rPr>
                <w:color w:val="0D0D0D" w:themeColor="text1" w:themeTint="F2"/>
              </w:rPr>
              <w:t>$124,650</w:t>
            </w:r>
          </w:p>
        </w:tc>
        <w:tc>
          <w:tcPr>
            <w:tcW w:w="767" w:type="pct"/>
          </w:tcPr>
          <w:p w14:paraId="07003955" w14:textId="4340E45F"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$190,913</w:t>
            </w:r>
          </w:p>
        </w:tc>
      </w:tr>
      <w:tr w:rsidR="00395C56" w:rsidRPr="00396C08" w14:paraId="53806546" w14:textId="77777777" w:rsidTr="00EB1857">
        <w:trPr>
          <w:trHeight w:val="256"/>
        </w:trPr>
        <w:tc>
          <w:tcPr>
            <w:tcW w:w="1107" w:type="pct"/>
          </w:tcPr>
          <w:p w14:paraId="2D903960" w14:textId="7FBA0053" w:rsidR="00395C56" w:rsidRPr="00A61FA8" w:rsidRDefault="00395C56" w:rsidP="00395C56">
            <w:pPr>
              <w:rPr>
                <w:color w:val="0D0D0D" w:themeColor="text1" w:themeTint="F2"/>
              </w:rPr>
            </w:pPr>
            <w:r w:rsidRPr="00A61FA8">
              <w:rPr>
                <w:color w:val="0D0D0D" w:themeColor="text1" w:themeTint="F2"/>
              </w:rPr>
              <w:t xml:space="preserve">Support Leading, </w:t>
            </w:r>
            <w:r w:rsidRPr="00A61FA8">
              <w:rPr>
                <w:color w:val="0D0D0D" w:themeColor="text1" w:themeTint="F2"/>
              </w:rPr>
              <w:lastRenderedPageBreak/>
              <w:t>Teaching and Learning in Independent Schools</w:t>
            </w:r>
          </w:p>
        </w:tc>
        <w:tc>
          <w:tcPr>
            <w:tcW w:w="1441" w:type="pct"/>
          </w:tcPr>
          <w:p w14:paraId="10F5D82B" w14:textId="1DAB5E73"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lastRenderedPageBreak/>
              <w:t>Inquiry Teams</w:t>
            </w:r>
          </w:p>
        </w:tc>
        <w:tc>
          <w:tcPr>
            <w:tcW w:w="912" w:type="pct"/>
          </w:tcPr>
          <w:p w14:paraId="42729741" w14:textId="525323A3"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$66,263</w:t>
            </w:r>
          </w:p>
        </w:tc>
        <w:tc>
          <w:tcPr>
            <w:tcW w:w="774" w:type="pct"/>
          </w:tcPr>
          <w:p w14:paraId="412163D7" w14:textId="5A8B1774" w:rsidR="00395C56" w:rsidRPr="00A61FA8" w:rsidRDefault="00395C56" w:rsidP="00395C56">
            <w:pPr>
              <w:pStyle w:val="TableParagraph"/>
              <w:spacing w:line="253" w:lineRule="exact"/>
              <w:ind w:left="0" w:right="174"/>
              <w:jc w:val="center"/>
              <w:rPr>
                <w:color w:val="0D0D0D" w:themeColor="text1" w:themeTint="F2"/>
              </w:rPr>
            </w:pPr>
            <w:r w:rsidRPr="00A61FA8">
              <w:rPr>
                <w:color w:val="0D0D0D" w:themeColor="text1" w:themeTint="F2"/>
              </w:rPr>
              <w:t>$198,150</w:t>
            </w:r>
          </w:p>
        </w:tc>
        <w:tc>
          <w:tcPr>
            <w:tcW w:w="767" w:type="pct"/>
          </w:tcPr>
          <w:p w14:paraId="39001708" w14:textId="250FA4EB"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$264,413</w:t>
            </w:r>
          </w:p>
        </w:tc>
      </w:tr>
      <w:tr w:rsidR="00395C56" w:rsidRPr="00396C08" w14:paraId="6D4B7566" w14:textId="77777777" w:rsidTr="00EB1857">
        <w:trPr>
          <w:trHeight w:val="256"/>
        </w:trPr>
        <w:tc>
          <w:tcPr>
            <w:tcW w:w="1107" w:type="pct"/>
          </w:tcPr>
          <w:p w14:paraId="567F537C" w14:textId="02E3BFC5"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6DB2A8B1" w14:textId="7640A9D3"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Formative Assessment: Literacy and Numeracy</w:t>
            </w:r>
          </w:p>
        </w:tc>
        <w:tc>
          <w:tcPr>
            <w:tcW w:w="912" w:type="pct"/>
          </w:tcPr>
          <w:p w14:paraId="79FE76AC" w14:textId="29C00BE0"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$66,263</w:t>
            </w:r>
          </w:p>
        </w:tc>
        <w:tc>
          <w:tcPr>
            <w:tcW w:w="774" w:type="pct"/>
          </w:tcPr>
          <w:p w14:paraId="47946378" w14:textId="77777777" w:rsidR="00395C56" w:rsidRPr="00A61FA8" w:rsidRDefault="00395C56" w:rsidP="00395C56">
            <w:pPr>
              <w:pStyle w:val="TableParagraph"/>
              <w:spacing w:line="253" w:lineRule="exact"/>
              <w:ind w:left="174" w:right="174"/>
              <w:jc w:val="center"/>
              <w:rPr>
                <w:color w:val="0D0D0D" w:themeColor="text1" w:themeTint="F2"/>
              </w:rPr>
            </w:pPr>
            <w:r w:rsidRPr="00A61FA8">
              <w:rPr>
                <w:color w:val="0D0D0D" w:themeColor="text1" w:themeTint="F2"/>
              </w:rPr>
              <w:t>$29,550</w:t>
            </w:r>
          </w:p>
          <w:p w14:paraId="321BA5BD" w14:textId="77777777" w:rsidR="00395C56" w:rsidRPr="00A61FA8" w:rsidRDefault="00395C56" w:rsidP="00395C56">
            <w:pPr>
              <w:pStyle w:val="TableParagraph"/>
              <w:spacing w:line="253" w:lineRule="exact"/>
              <w:ind w:left="0" w:right="174"/>
              <w:jc w:val="center"/>
              <w:rPr>
                <w:color w:val="0D0D0D" w:themeColor="text1" w:themeTint="F2"/>
              </w:rPr>
            </w:pPr>
          </w:p>
        </w:tc>
        <w:tc>
          <w:tcPr>
            <w:tcW w:w="767" w:type="pct"/>
          </w:tcPr>
          <w:p w14:paraId="22B8DD4B" w14:textId="77777777"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$95,813</w:t>
            </w:r>
          </w:p>
          <w:p w14:paraId="69B203DF" w14:textId="77777777" w:rsidR="00395C56" w:rsidRPr="00A61FA8" w:rsidRDefault="00395C56" w:rsidP="00395C56">
            <w:pPr>
              <w:pStyle w:val="TableParagraph"/>
              <w:spacing w:line="253" w:lineRule="exact"/>
              <w:ind w:left="165" w:right="169"/>
              <w:jc w:val="center"/>
              <w:rPr>
                <w:color w:val="0D0D0D" w:themeColor="text1" w:themeTint="F2"/>
              </w:rPr>
            </w:pPr>
          </w:p>
        </w:tc>
      </w:tr>
      <w:tr w:rsidR="00395C56" w:rsidRPr="00396C08" w14:paraId="39C21385" w14:textId="77777777" w:rsidTr="00EB1857">
        <w:trPr>
          <w:trHeight w:val="256"/>
        </w:trPr>
        <w:tc>
          <w:tcPr>
            <w:tcW w:w="1107" w:type="pct"/>
          </w:tcPr>
          <w:p w14:paraId="0CE111D7" w14:textId="65739681"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31762F5C" w14:textId="1E61ADC1"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Future Schools Project</w:t>
            </w:r>
          </w:p>
        </w:tc>
        <w:tc>
          <w:tcPr>
            <w:tcW w:w="912" w:type="pct"/>
          </w:tcPr>
          <w:p w14:paraId="24538541" w14:textId="77777777"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$81,094</w:t>
            </w:r>
          </w:p>
          <w:p w14:paraId="1E03B67D" w14:textId="77777777" w:rsidR="00395C56" w:rsidRPr="00A61FA8" w:rsidRDefault="00395C56" w:rsidP="00395C56">
            <w:pPr>
              <w:pStyle w:val="TableParagraph"/>
              <w:spacing w:line="253" w:lineRule="exact"/>
              <w:ind w:left="31" w:right="41"/>
              <w:jc w:val="center"/>
              <w:rPr>
                <w:color w:val="0D0D0D" w:themeColor="text1" w:themeTint="F2"/>
              </w:rPr>
            </w:pPr>
          </w:p>
        </w:tc>
        <w:tc>
          <w:tcPr>
            <w:tcW w:w="774" w:type="pct"/>
          </w:tcPr>
          <w:p w14:paraId="332BD4AC" w14:textId="77777777" w:rsidR="00395C56" w:rsidRPr="00A61FA8" w:rsidRDefault="00395C56" w:rsidP="00395C56">
            <w:pPr>
              <w:pStyle w:val="TableParagraph"/>
              <w:spacing w:line="253" w:lineRule="exact"/>
              <w:ind w:left="174" w:right="174"/>
              <w:jc w:val="center"/>
              <w:rPr>
                <w:color w:val="0D0D0D" w:themeColor="text1" w:themeTint="F2"/>
              </w:rPr>
            </w:pPr>
            <w:r w:rsidRPr="00A61FA8">
              <w:rPr>
                <w:color w:val="0D0D0D" w:themeColor="text1" w:themeTint="F2"/>
              </w:rPr>
              <w:t>$36,000</w:t>
            </w:r>
          </w:p>
          <w:p w14:paraId="0F7C99A1" w14:textId="77777777" w:rsidR="00395C56" w:rsidRPr="00A61FA8" w:rsidRDefault="00395C56" w:rsidP="00395C56">
            <w:pPr>
              <w:pStyle w:val="TableParagraph"/>
              <w:spacing w:line="253" w:lineRule="exact"/>
              <w:ind w:left="174" w:right="174"/>
              <w:jc w:val="center"/>
              <w:rPr>
                <w:color w:val="0D0D0D" w:themeColor="text1" w:themeTint="F2"/>
              </w:rPr>
            </w:pPr>
          </w:p>
        </w:tc>
        <w:tc>
          <w:tcPr>
            <w:tcW w:w="767" w:type="pct"/>
          </w:tcPr>
          <w:p w14:paraId="3A1E5C27" w14:textId="338A9DF5"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$117,094</w:t>
            </w:r>
          </w:p>
        </w:tc>
      </w:tr>
      <w:tr w:rsidR="00395C56" w:rsidRPr="00396C08" w14:paraId="13E29C96" w14:textId="77777777" w:rsidTr="00EB1857">
        <w:trPr>
          <w:trHeight w:val="256"/>
        </w:trPr>
        <w:tc>
          <w:tcPr>
            <w:tcW w:w="1107" w:type="pct"/>
          </w:tcPr>
          <w:p w14:paraId="7F1BB738" w14:textId="779DD6F8"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6550DAC0" w14:textId="7D4CD5EF"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Literacy - spelling</w:t>
            </w:r>
          </w:p>
        </w:tc>
        <w:tc>
          <w:tcPr>
            <w:tcW w:w="912" w:type="pct"/>
          </w:tcPr>
          <w:p w14:paraId="69E4D7E1" w14:textId="07B83D1F"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$108,404</w:t>
            </w:r>
          </w:p>
        </w:tc>
        <w:tc>
          <w:tcPr>
            <w:tcW w:w="774" w:type="pct"/>
          </w:tcPr>
          <w:p w14:paraId="0B3AD4AB" w14:textId="420D7526" w:rsidR="00395C56" w:rsidRPr="00A61FA8" w:rsidRDefault="00395C56" w:rsidP="00395C56">
            <w:pPr>
              <w:pStyle w:val="TableParagraph"/>
              <w:spacing w:line="253" w:lineRule="exact"/>
              <w:ind w:left="174" w:right="174"/>
              <w:jc w:val="center"/>
              <w:rPr>
                <w:color w:val="0D0D0D" w:themeColor="text1" w:themeTint="F2"/>
              </w:rPr>
            </w:pPr>
            <w:r w:rsidRPr="00A61FA8">
              <w:rPr>
                <w:color w:val="0D0D0D" w:themeColor="text1" w:themeTint="F2"/>
              </w:rPr>
              <w:t>$0</w:t>
            </w:r>
          </w:p>
        </w:tc>
        <w:tc>
          <w:tcPr>
            <w:tcW w:w="767" w:type="pct"/>
          </w:tcPr>
          <w:p w14:paraId="6AFD563F" w14:textId="19541710"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$108,404</w:t>
            </w:r>
          </w:p>
        </w:tc>
      </w:tr>
      <w:tr w:rsidR="00395C56" w:rsidRPr="00396C08" w14:paraId="0FF7FD9C" w14:textId="77777777" w:rsidTr="00EB1857">
        <w:trPr>
          <w:trHeight w:val="256"/>
        </w:trPr>
        <w:tc>
          <w:tcPr>
            <w:tcW w:w="1107" w:type="pct"/>
          </w:tcPr>
          <w:p w14:paraId="51516992" w14:textId="37C9119B"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3B4BDA09" w14:textId="37B5292C"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Numeracy</w:t>
            </w:r>
          </w:p>
        </w:tc>
        <w:tc>
          <w:tcPr>
            <w:tcW w:w="912" w:type="pct"/>
          </w:tcPr>
          <w:p w14:paraId="67F8567F" w14:textId="3BF949DD"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$108,404</w:t>
            </w:r>
          </w:p>
        </w:tc>
        <w:tc>
          <w:tcPr>
            <w:tcW w:w="774" w:type="pct"/>
          </w:tcPr>
          <w:p w14:paraId="3D1B2E10" w14:textId="659364B2" w:rsidR="00395C56" w:rsidRPr="00A61FA8" w:rsidRDefault="00395C56" w:rsidP="00395C56">
            <w:pPr>
              <w:pStyle w:val="TableParagraph"/>
              <w:spacing w:line="253" w:lineRule="exact"/>
              <w:ind w:left="174" w:right="174"/>
              <w:jc w:val="center"/>
              <w:rPr>
                <w:color w:val="0D0D0D" w:themeColor="text1" w:themeTint="F2"/>
              </w:rPr>
            </w:pPr>
            <w:r w:rsidRPr="00A61FA8">
              <w:rPr>
                <w:color w:val="0D0D0D" w:themeColor="text1" w:themeTint="F2"/>
              </w:rPr>
              <w:t>$0</w:t>
            </w:r>
          </w:p>
        </w:tc>
        <w:tc>
          <w:tcPr>
            <w:tcW w:w="767" w:type="pct"/>
          </w:tcPr>
          <w:p w14:paraId="56C2F32E" w14:textId="628AF075"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$108,404</w:t>
            </w:r>
          </w:p>
        </w:tc>
      </w:tr>
      <w:tr w:rsidR="00395C56" w:rsidRPr="00396C08" w14:paraId="4674E9E1" w14:textId="77777777" w:rsidTr="00EB1857">
        <w:trPr>
          <w:trHeight w:val="256"/>
        </w:trPr>
        <w:tc>
          <w:tcPr>
            <w:tcW w:w="1107" w:type="pct"/>
          </w:tcPr>
          <w:p w14:paraId="3AF685FE" w14:textId="0E3D2D24"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1E7F23AA" w14:textId="5BF96DBB"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Early Years Literacy</w:t>
            </w:r>
          </w:p>
        </w:tc>
        <w:tc>
          <w:tcPr>
            <w:tcW w:w="912" w:type="pct"/>
          </w:tcPr>
          <w:p w14:paraId="0E87E1B0" w14:textId="0AF38CDB"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$106,714</w:t>
            </w:r>
          </w:p>
        </w:tc>
        <w:tc>
          <w:tcPr>
            <w:tcW w:w="774" w:type="pct"/>
          </w:tcPr>
          <w:p w14:paraId="0DE9E7DF" w14:textId="3C6F72F1" w:rsidR="00395C56" w:rsidRPr="00A61FA8" w:rsidRDefault="00395C56" w:rsidP="00395C56">
            <w:pPr>
              <w:pStyle w:val="TableParagraph"/>
              <w:spacing w:line="253" w:lineRule="exact"/>
              <w:ind w:left="174" w:right="174"/>
              <w:jc w:val="center"/>
              <w:rPr>
                <w:color w:val="0D0D0D" w:themeColor="text1" w:themeTint="F2"/>
              </w:rPr>
            </w:pPr>
            <w:r w:rsidRPr="00A61FA8">
              <w:rPr>
                <w:color w:val="0D0D0D" w:themeColor="text1" w:themeTint="F2"/>
              </w:rPr>
              <w:t>$0</w:t>
            </w:r>
          </w:p>
        </w:tc>
        <w:tc>
          <w:tcPr>
            <w:tcW w:w="767" w:type="pct"/>
          </w:tcPr>
          <w:p w14:paraId="6170FBB3" w14:textId="1A996909"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$106,714</w:t>
            </w:r>
          </w:p>
        </w:tc>
      </w:tr>
      <w:tr w:rsidR="00395C56" w:rsidRPr="00396C08" w14:paraId="15E2AB91" w14:textId="77777777" w:rsidTr="00EB1857">
        <w:trPr>
          <w:trHeight w:val="256"/>
        </w:trPr>
        <w:tc>
          <w:tcPr>
            <w:tcW w:w="1107" w:type="pct"/>
          </w:tcPr>
          <w:p w14:paraId="3A99D323" w14:textId="33DCA475"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3A45C912" w14:textId="329DDA9F"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Effective Student Feedback</w:t>
            </w:r>
          </w:p>
        </w:tc>
        <w:tc>
          <w:tcPr>
            <w:tcW w:w="912" w:type="pct"/>
          </w:tcPr>
          <w:p w14:paraId="223F8BD6" w14:textId="6CD8CF7D"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$124,060</w:t>
            </w:r>
          </w:p>
        </w:tc>
        <w:tc>
          <w:tcPr>
            <w:tcW w:w="774" w:type="pct"/>
          </w:tcPr>
          <w:p w14:paraId="7AE4517A" w14:textId="549CE46C" w:rsidR="00395C56" w:rsidRPr="00A61FA8" w:rsidRDefault="00395C56" w:rsidP="00395C56">
            <w:pPr>
              <w:pStyle w:val="TableParagraph"/>
              <w:spacing w:line="253" w:lineRule="exact"/>
              <w:ind w:left="174" w:right="174"/>
              <w:jc w:val="center"/>
              <w:rPr>
                <w:color w:val="0D0D0D" w:themeColor="text1" w:themeTint="F2"/>
              </w:rPr>
            </w:pPr>
            <w:r w:rsidRPr="00A61FA8">
              <w:rPr>
                <w:color w:val="0D0D0D" w:themeColor="text1" w:themeTint="F2"/>
              </w:rPr>
              <w:t>$0</w:t>
            </w:r>
          </w:p>
        </w:tc>
        <w:tc>
          <w:tcPr>
            <w:tcW w:w="767" w:type="pct"/>
          </w:tcPr>
          <w:p w14:paraId="2416B320" w14:textId="21F3E05F"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$124,060</w:t>
            </w:r>
          </w:p>
        </w:tc>
      </w:tr>
      <w:tr w:rsidR="00395C56" w:rsidRPr="00396C08" w14:paraId="029BFA10" w14:textId="77777777" w:rsidTr="00EB1857">
        <w:trPr>
          <w:trHeight w:val="256"/>
        </w:trPr>
        <w:tc>
          <w:tcPr>
            <w:tcW w:w="1107" w:type="pct"/>
          </w:tcPr>
          <w:p w14:paraId="46B315E6" w14:textId="34D4D782"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5F5BE594" w14:textId="645C69B2"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Cognitive Science in Education</w:t>
            </w:r>
          </w:p>
        </w:tc>
        <w:tc>
          <w:tcPr>
            <w:tcW w:w="912" w:type="pct"/>
          </w:tcPr>
          <w:p w14:paraId="6383547A" w14:textId="484FCFD8"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$79,959</w:t>
            </w:r>
          </w:p>
        </w:tc>
        <w:tc>
          <w:tcPr>
            <w:tcW w:w="774" w:type="pct"/>
          </w:tcPr>
          <w:p w14:paraId="404CB3DF" w14:textId="38E566D0" w:rsidR="00395C56" w:rsidRPr="00A61FA8" w:rsidRDefault="00395C56" w:rsidP="00395C56">
            <w:pPr>
              <w:pStyle w:val="TableParagraph"/>
              <w:spacing w:line="253" w:lineRule="exact"/>
              <w:ind w:left="174" w:right="174"/>
              <w:jc w:val="center"/>
              <w:rPr>
                <w:color w:val="0D0D0D" w:themeColor="text1" w:themeTint="F2"/>
              </w:rPr>
            </w:pPr>
            <w:r w:rsidRPr="00A61FA8">
              <w:rPr>
                <w:color w:val="0D0D0D" w:themeColor="text1" w:themeTint="F2"/>
              </w:rPr>
              <w:t>$0</w:t>
            </w:r>
          </w:p>
        </w:tc>
        <w:tc>
          <w:tcPr>
            <w:tcW w:w="767" w:type="pct"/>
          </w:tcPr>
          <w:p w14:paraId="599D4CE6" w14:textId="53A60F21"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$79,959</w:t>
            </w:r>
          </w:p>
        </w:tc>
      </w:tr>
      <w:tr w:rsidR="00395C56" w:rsidRPr="00396C08" w14:paraId="3F8E2EE1" w14:textId="77777777" w:rsidTr="00EB1857">
        <w:trPr>
          <w:trHeight w:val="256"/>
        </w:trPr>
        <w:tc>
          <w:tcPr>
            <w:tcW w:w="1107" w:type="pct"/>
          </w:tcPr>
          <w:p w14:paraId="07B2D481" w14:textId="4CA95297" w:rsidR="00395C56" w:rsidRPr="00A61FA8" w:rsidRDefault="00395C56" w:rsidP="00395C56">
            <w:pPr>
              <w:rPr>
                <w:color w:val="0D0D0D" w:themeColor="text1" w:themeTint="F2"/>
              </w:rPr>
            </w:pPr>
            <w:r w:rsidRPr="00A61FA8">
              <w:rPr>
                <w:color w:val="0D0D0D" w:themeColor="text1" w:themeTint="F2"/>
              </w:rPr>
              <w:t>Support Leading, Teaching and Learning in Independent Schools</w:t>
            </w:r>
          </w:p>
        </w:tc>
        <w:tc>
          <w:tcPr>
            <w:tcW w:w="1441" w:type="pct"/>
          </w:tcPr>
          <w:p w14:paraId="728F0D3C" w14:textId="16D2576E" w:rsidR="00395C56" w:rsidRPr="00A61FA8" w:rsidRDefault="00395C56" w:rsidP="00395C56">
            <w:pPr>
              <w:pStyle w:val="TableParagraph"/>
              <w:numPr>
                <w:ilvl w:val="0"/>
                <w:numId w:val="38"/>
              </w:numPr>
              <w:spacing w:line="237" w:lineRule="exact"/>
              <w:rPr>
                <w:bCs/>
                <w:color w:val="0D0D0D" w:themeColor="text1" w:themeTint="F2"/>
              </w:rPr>
            </w:pPr>
            <w:r w:rsidRPr="00A61FA8">
              <w:rPr>
                <w:bCs/>
                <w:color w:val="0D0D0D" w:themeColor="text1" w:themeTint="F2"/>
              </w:rPr>
              <w:t>Women in Leadership</w:t>
            </w:r>
          </w:p>
        </w:tc>
        <w:tc>
          <w:tcPr>
            <w:tcW w:w="912" w:type="pct"/>
          </w:tcPr>
          <w:p w14:paraId="74FBB5B9" w14:textId="1E70D202"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$66,263</w:t>
            </w:r>
          </w:p>
        </w:tc>
        <w:tc>
          <w:tcPr>
            <w:tcW w:w="774" w:type="pct"/>
          </w:tcPr>
          <w:p w14:paraId="77776F04" w14:textId="69354F4C" w:rsidR="00395C56" w:rsidRPr="00A61FA8" w:rsidRDefault="00395C56" w:rsidP="00395C56">
            <w:pPr>
              <w:pStyle w:val="TableParagraph"/>
              <w:spacing w:line="253" w:lineRule="exact"/>
              <w:ind w:left="174" w:right="174"/>
              <w:jc w:val="center"/>
              <w:rPr>
                <w:color w:val="0D0D0D" w:themeColor="text1" w:themeTint="F2"/>
              </w:rPr>
            </w:pPr>
            <w:r w:rsidRPr="00A61FA8">
              <w:rPr>
                <w:color w:val="0D0D0D" w:themeColor="text1" w:themeTint="F2"/>
              </w:rPr>
              <w:t>$49,600</w:t>
            </w:r>
          </w:p>
        </w:tc>
        <w:tc>
          <w:tcPr>
            <w:tcW w:w="767" w:type="pct"/>
          </w:tcPr>
          <w:p w14:paraId="3BEAF38D" w14:textId="3D2FF5C5"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$115,863</w:t>
            </w:r>
          </w:p>
        </w:tc>
      </w:tr>
      <w:tr w:rsidR="00395C56" w:rsidRPr="00396C08" w14:paraId="7E09564F" w14:textId="77777777" w:rsidTr="00EB1857">
        <w:trPr>
          <w:trHeight w:val="256"/>
        </w:trPr>
        <w:tc>
          <w:tcPr>
            <w:tcW w:w="1107" w:type="pct"/>
          </w:tcPr>
          <w:p w14:paraId="39A88834" w14:textId="47411D85" w:rsidR="00395C56" w:rsidRPr="00A61FA8" w:rsidRDefault="00395C56" w:rsidP="00395C56">
            <w:pPr>
              <w:rPr>
                <w:color w:val="0D0D0D" w:themeColor="text1" w:themeTint="F2"/>
              </w:rPr>
            </w:pPr>
            <w:r w:rsidRPr="00A61FA8">
              <w:rPr>
                <w:color w:val="0D0D0D" w:themeColor="text1" w:themeTint="F2"/>
              </w:rPr>
              <w:t>Excellence in Online Learning for School Staff</w:t>
            </w:r>
          </w:p>
        </w:tc>
        <w:tc>
          <w:tcPr>
            <w:tcW w:w="1441" w:type="pct"/>
          </w:tcPr>
          <w:p w14:paraId="117E13A0" w14:textId="359F031F" w:rsidR="00395C56" w:rsidRPr="00395C56" w:rsidRDefault="00395C56" w:rsidP="00395C56">
            <w:pPr>
              <w:pStyle w:val="TableParagraph"/>
              <w:numPr>
                <w:ilvl w:val="0"/>
                <w:numId w:val="38"/>
              </w:numPr>
              <w:spacing w:line="237" w:lineRule="auto"/>
              <w:ind w:right="167"/>
              <w:rPr>
                <w:color w:val="0D0D0D" w:themeColor="text1" w:themeTint="F2"/>
              </w:rPr>
            </w:pPr>
            <w:r w:rsidRPr="00A61FA8">
              <w:rPr>
                <w:color w:val="0D0D0D" w:themeColor="text1" w:themeTint="F2"/>
              </w:rPr>
              <w:t>Provision of online learning through Connect</w:t>
            </w:r>
            <w:r>
              <w:rPr>
                <w:color w:val="0D0D0D" w:themeColor="text1" w:themeTint="F2"/>
              </w:rPr>
              <w:t xml:space="preserve"> </w:t>
            </w:r>
            <w:r w:rsidRPr="00395C56">
              <w:rPr>
                <w:color w:val="0D0D0D" w:themeColor="text1" w:themeTint="F2"/>
              </w:rPr>
              <w:t>&amp; Learn</w:t>
            </w:r>
          </w:p>
        </w:tc>
        <w:tc>
          <w:tcPr>
            <w:tcW w:w="912" w:type="pct"/>
          </w:tcPr>
          <w:p w14:paraId="2CC3A7B5" w14:textId="7900F735" w:rsidR="00395C56" w:rsidRPr="00A61FA8" w:rsidRDefault="00395C56" w:rsidP="00395C56">
            <w:pPr>
              <w:pStyle w:val="TableParagraph"/>
              <w:spacing w:line="253" w:lineRule="exact"/>
              <w:ind w:left="31" w:right="41"/>
              <w:jc w:val="center"/>
              <w:rPr>
                <w:color w:val="0D0D0D" w:themeColor="text1" w:themeTint="F2"/>
              </w:rPr>
            </w:pPr>
            <w:r w:rsidRPr="00A61FA8">
              <w:rPr>
                <w:color w:val="0D0D0D" w:themeColor="text1" w:themeTint="F2"/>
              </w:rPr>
              <w:t>$529,008</w:t>
            </w:r>
          </w:p>
        </w:tc>
        <w:tc>
          <w:tcPr>
            <w:tcW w:w="774" w:type="pct"/>
          </w:tcPr>
          <w:p w14:paraId="6905A8A3" w14:textId="3518B034" w:rsidR="00395C56" w:rsidRPr="00A61FA8" w:rsidRDefault="00395C56" w:rsidP="00395C56">
            <w:pPr>
              <w:pStyle w:val="TableParagraph"/>
              <w:spacing w:line="253" w:lineRule="exact"/>
              <w:ind w:left="174" w:right="174"/>
              <w:jc w:val="center"/>
              <w:rPr>
                <w:color w:val="0D0D0D" w:themeColor="text1" w:themeTint="F2"/>
              </w:rPr>
            </w:pPr>
            <w:r w:rsidRPr="00A61FA8">
              <w:rPr>
                <w:color w:val="0D0D0D" w:themeColor="text1" w:themeTint="F2"/>
              </w:rPr>
              <w:t>$75,950</w:t>
            </w:r>
          </w:p>
        </w:tc>
        <w:tc>
          <w:tcPr>
            <w:tcW w:w="767" w:type="pct"/>
          </w:tcPr>
          <w:p w14:paraId="192365E9" w14:textId="0F2C8FCA" w:rsidR="00395C56" w:rsidRPr="00A61FA8" w:rsidRDefault="00395C56" w:rsidP="00395C56">
            <w:pPr>
              <w:pStyle w:val="TableParagraph"/>
              <w:spacing w:line="253" w:lineRule="exact"/>
              <w:ind w:left="165" w:right="169"/>
              <w:jc w:val="center"/>
              <w:rPr>
                <w:color w:val="0D0D0D" w:themeColor="text1" w:themeTint="F2"/>
              </w:rPr>
            </w:pPr>
            <w:r w:rsidRPr="00A61FA8">
              <w:rPr>
                <w:color w:val="0D0D0D" w:themeColor="text1" w:themeTint="F2"/>
              </w:rPr>
              <w:t>$604,958</w:t>
            </w:r>
          </w:p>
        </w:tc>
      </w:tr>
      <w:tr w:rsidR="00395C56" w:rsidRPr="00396C08" w14:paraId="2FF21CCC" w14:textId="77777777" w:rsidTr="00EB1857">
        <w:trPr>
          <w:trHeight w:val="256"/>
        </w:trPr>
        <w:tc>
          <w:tcPr>
            <w:tcW w:w="1107" w:type="pct"/>
          </w:tcPr>
          <w:p w14:paraId="53D5C4D7" w14:textId="77777777" w:rsidR="00395C56" w:rsidRDefault="00395C56" w:rsidP="00395C56">
            <w:pPr>
              <w:rPr>
                <w:b/>
                <w:color w:val="0D0D0D" w:themeColor="text1" w:themeTint="F2"/>
              </w:rPr>
            </w:pPr>
            <w:r w:rsidRPr="00A61FA8">
              <w:rPr>
                <w:b/>
                <w:color w:val="0D0D0D" w:themeColor="text1" w:themeTint="F2"/>
              </w:rPr>
              <w:t>Total funding</w:t>
            </w:r>
          </w:p>
          <w:p w14:paraId="6DD5D42E" w14:textId="7A7E2170" w:rsidR="00395C56" w:rsidRPr="00A61FA8" w:rsidRDefault="00395C56" w:rsidP="00395C56">
            <w:pPr>
              <w:rPr>
                <w:color w:val="0D0D0D" w:themeColor="text1" w:themeTint="F2"/>
              </w:rPr>
            </w:pPr>
          </w:p>
        </w:tc>
        <w:tc>
          <w:tcPr>
            <w:tcW w:w="1441" w:type="pct"/>
          </w:tcPr>
          <w:p w14:paraId="3F39EAB6" w14:textId="77777777" w:rsidR="00395C56" w:rsidRPr="00A61FA8" w:rsidRDefault="00395C56" w:rsidP="00395C56">
            <w:pPr>
              <w:pStyle w:val="TableParagraph"/>
              <w:spacing w:line="237" w:lineRule="auto"/>
              <w:ind w:left="105" w:right="167"/>
              <w:rPr>
                <w:color w:val="0D0D0D" w:themeColor="text1" w:themeTint="F2"/>
              </w:rPr>
            </w:pPr>
          </w:p>
        </w:tc>
        <w:tc>
          <w:tcPr>
            <w:tcW w:w="912" w:type="pct"/>
          </w:tcPr>
          <w:p w14:paraId="2BEE27A7" w14:textId="31A32DB6" w:rsidR="00395C56" w:rsidRPr="00A61FA8" w:rsidRDefault="00395C56" w:rsidP="00395C56">
            <w:pPr>
              <w:pStyle w:val="TableParagraph"/>
              <w:spacing w:line="253" w:lineRule="exact"/>
              <w:ind w:left="31" w:right="41"/>
              <w:jc w:val="center"/>
              <w:rPr>
                <w:color w:val="0D0D0D" w:themeColor="text1" w:themeTint="F2"/>
              </w:rPr>
            </w:pPr>
            <w:r w:rsidRPr="00A61FA8">
              <w:rPr>
                <w:b/>
                <w:color w:val="0D0D0D" w:themeColor="text1" w:themeTint="F2"/>
              </w:rPr>
              <w:t>$3,483,100</w:t>
            </w:r>
          </w:p>
        </w:tc>
        <w:tc>
          <w:tcPr>
            <w:tcW w:w="774" w:type="pct"/>
          </w:tcPr>
          <w:p w14:paraId="6A73FBD8" w14:textId="5C1D750F" w:rsidR="00395C56" w:rsidRPr="00A61FA8" w:rsidRDefault="00395C56" w:rsidP="00395C56">
            <w:pPr>
              <w:pStyle w:val="TableParagraph"/>
              <w:spacing w:line="253" w:lineRule="exact"/>
              <w:ind w:left="174" w:right="174"/>
              <w:jc w:val="center"/>
              <w:rPr>
                <w:color w:val="0D0D0D" w:themeColor="text1" w:themeTint="F2"/>
              </w:rPr>
            </w:pPr>
            <w:r w:rsidRPr="00A61FA8">
              <w:rPr>
                <w:b/>
                <w:color w:val="0D0D0D" w:themeColor="text1" w:themeTint="F2"/>
              </w:rPr>
              <w:t>$2,397,413</w:t>
            </w:r>
          </w:p>
        </w:tc>
        <w:tc>
          <w:tcPr>
            <w:tcW w:w="767" w:type="pct"/>
          </w:tcPr>
          <w:p w14:paraId="7E9186ED" w14:textId="7120A766" w:rsidR="00395C56" w:rsidRPr="00A61FA8" w:rsidRDefault="00395C56" w:rsidP="00395C56">
            <w:pPr>
              <w:pStyle w:val="TableParagraph"/>
              <w:spacing w:line="253" w:lineRule="exact"/>
              <w:ind w:left="165" w:right="169"/>
              <w:jc w:val="center"/>
              <w:rPr>
                <w:color w:val="0D0D0D" w:themeColor="text1" w:themeTint="F2"/>
              </w:rPr>
            </w:pPr>
            <w:r w:rsidRPr="00A61FA8">
              <w:rPr>
                <w:b/>
                <w:color w:val="0D0D0D" w:themeColor="text1" w:themeTint="F2"/>
              </w:rPr>
              <w:t>$5,880,513</w:t>
            </w:r>
          </w:p>
        </w:tc>
      </w:tr>
    </w:tbl>
    <w:p w14:paraId="28F81ADC" w14:textId="77777777" w:rsidR="00950276" w:rsidRPr="00396C08" w:rsidRDefault="00950276">
      <w:pPr>
        <w:rPr>
          <w:color w:val="0D0D0D" w:themeColor="text1" w:themeTint="F2"/>
        </w:rPr>
      </w:pPr>
    </w:p>
    <w:p w14:paraId="4FFF6B83" w14:textId="227E4203" w:rsidR="005E6F03" w:rsidRPr="00396C08" w:rsidRDefault="005E6F03">
      <w:pPr>
        <w:rPr>
          <w:color w:val="0D0D0D" w:themeColor="text1" w:themeTint="F2"/>
        </w:rPr>
        <w:sectPr w:rsidR="005E6F03" w:rsidRPr="00396C08" w:rsidSect="004D3F3A">
          <w:headerReference w:type="even" r:id="rId17"/>
          <w:headerReference w:type="default" r:id="rId18"/>
          <w:footerReference w:type="even" r:id="rId19"/>
          <w:pgSz w:w="11910" w:h="16840"/>
          <w:pgMar w:top="567" w:right="1000" w:bottom="709" w:left="460" w:header="288" w:footer="408" w:gutter="0"/>
          <w:pgNumType w:start="2"/>
          <w:cols w:space="720"/>
        </w:sectPr>
      </w:pPr>
    </w:p>
    <w:p w14:paraId="71D0E3CE" w14:textId="4AE767D5" w:rsidR="00D7230E" w:rsidRPr="00396C08" w:rsidRDefault="002736A4" w:rsidP="00FB424F">
      <w:pPr>
        <w:pStyle w:val="Heading3"/>
        <w:spacing w:line="480" w:lineRule="auto"/>
        <w:ind w:left="-567"/>
        <w:rPr>
          <w:rFonts w:asciiTheme="minorHAnsi" w:hAnsiTheme="minorHAnsi" w:cstheme="minorHAnsi"/>
          <w:b/>
          <w:bCs/>
          <w:color w:val="0D0D0D" w:themeColor="text1" w:themeTint="F2"/>
          <w:sz w:val="22"/>
          <w:szCs w:val="22"/>
        </w:rPr>
      </w:pPr>
      <w:r w:rsidRPr="00396C08">
        <w:rPr>
          <w:rFonts w:asciiTheme="minorHAnsi" w:hAnsiTheme="minorHAnsi" w:cstheme="minorHAnsi"/>
          <w:b/>
          <w:bCs/>
          <w:color w:val="0D0D0D" w:themeColor="text1" w:themeTint="F2"/>
          <w:sz w:val="22"/>
          <w:szCs w:val="22"/>
        </w:rPr>
        <w:lastRenderedPageBreak/>
        <w:t>RSF 1 Readiness for NAPLAN Online and Utilising Educational Data for School Improvement</w:t>
      </w:r>
    </w:p>
    <w:tbl>
      <w:tblPr>
        <w:tblStyle w:val="TableGridLight"/>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6"/>
        <w:gridCol w:w="4505"/>
        <w:gridCol w:w="1560"/>
        <w:gridCol w:w="3402"/>
        <w:gridCol w:w="2835"/>
      </w:tblGrid>
      <w:tr w:rsidR="00396C08" w:rsidRPr="00396C08" w14:paraId="6A615239" w14:textId="77777777" w:rsidTr="00FB424F">
        <w:trPr>
          <w:trHeight w:val="1372"/>
        </w:trPr>
        <w:tc>
          <w:tcPr>
            <w:tcW w:w="2866" w:type="dxa"/>
          </w:tcPr>
          <w:p w14:paraId="75C03D9C" w14:textId="67DCCCAB" w:rsidR="00D7230E" w:rsidRPr="00396C08" w:rsidRDefault="00476815" w:rsidP="00574A28">
            <w:pPr>
              <w:pStyle w:val="TableParagraph"/>
              <w:spacing w:before="120"/>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Project title and link to relevant national reform direction and bilateral action</w:t>
            </w:r>
          </w:p>
        </w:tc>
        <w:tc>
          <w:tcPr>
            <w:tcW w:w="4505" w:type="dxa"/>
          </w:tcPr>
          <w:p w14:paraId="6B08798A" w14:textId="761EB63A" w:rsidR="00D7230E" w:rsidRPr="00396C08" w:rsidRDefault="00476815">
            <w:pPr>
              <w:pStyle w:val="TableParagraph"/>
              <w:spacing w:before="120"/>
              <w:ind w:right="1708"/>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Project description and activities</w:t>
            </w:r>
          </w:p>
        </w:tc>
        <w:tc>
          <w:tcPr>
            <w:tcW w:w="1560" w:type="dxa"/>
          </w:tcPr>
          <w:p w14:paraId="3F2B8451" w14:textId="5E8E640A" w:rsidR="00D7230E" w:rsidRPr="00396C08" w:rsidRDefault="00476815" w:rsidP="0062202B">
            <w:pPr>
              <w:pStyle w:val="TableParagraph"/>
              <w:spacing w:before="120"/>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Indicative budget</w:t>
            </w:r>
          </w:p>
        </w:tc>
        <w:tc>
          <w:tcPr>
            <w:tcW w:w="3402" w:type="dxa"/>
          </w:tcPr>
          <w:p w14:paraId="037FE189" w14:textId="0D9E44EE" w:rsidR="00D7230E" w:rsidRPr="00396C08" w:rsidRDefault="00476815">
            <w:pPr>
              <w:pStyle w:val="TableParagraph"/>
              <w:spacing w:before="120"/>
              <w:ind w:left="109"/>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Expected outcomes</w:t>
            </w:r>
          </w:p>
        </w:tc>
        <w:tc>
          <w:tcPr>
            <w:tcW w:w="2835" w:type="dxa"/>
          </w:tcPr>
          <w:p w14:paraId="5BFBEA88" w14:textId="6F165536" w:rsidR="00D7230E" w:rsidRPr="00396C08" w:rsidRDefault="00476815">
            <w:pPr>
              <w:pStyle w:val="TableParagraph"/>
              <w:spacing w:before="120"/>
              <w:ind w:left="109" w:right="816"/>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Indicators of success</w:t>
            </w:r>
          </w:p>
        </w:tc>
      </w:tr>
      <w:tr w:rsidR="00396C08" w:rsidRPr="00396C08" w14:paraId="32F420EC" w14:textId="77777777" w:rsidTr="00FB424F">
        <w:trPr>
          <w:trHeight w:val="3225"/>
        </w:trPr>
        <w:tc>
          <w:tcPr>
            <w:tcW w:w="2866" w:type="dxa"/>
          </w:tcPr>
          <w:p w14:paraId="329C4759" w14:textId="3061A674" w:rsidR="00D7230E" w:rsidRPr="00396C08" w:rsidRDefault="00476815">
            <w:pPr>
              <w:pStyle w:val="TableParagraph"/>
              <w:spacing w:before="1"/>
              <w:ind w:right="111"/>
              <w:rPr>
                <w:rFonts w:asciiTheme="minorHAnsi" w:hAnsiTheme="minorHAnsi" w:cstheme="minorHAnsi"/>
                <w:b/>
                <w:color w:val="0D0D0D" w:themeColor="text1" w:themeTint="F2"/>
              </w:rPr>
            </w:pPr>
            <w:r w:rsidRPr="00396C08">
              <w:rPr>
                <w:rFonts w:asciiTheme="minorHAnsi" w:hAnsiTheme="minorHAnsi" w:cstheme="minorHAnsi"/>
                <w:b/>
                <w:color w:val="0D0D0D" w:themeColor="text1" w:themeTint="F2"/>
              </w:rPr>
              <w:t xml:space="preserve">Readiness for </w:t>
            </w:r>
            <w:proofErr w:type="spellStart"/>
            <w:r w:rsidRPr="00396C08">
              <w:rPr>
                <w:rFonts w:asciiTheme="minorHAnsi" w:hAnsiTheme="minorHAnsi" w:cstheme="minorHAnsi"/>
                <w:b/>
                <w:color w:val="0D0D0D" w:themeColor="text1" w:themeTint="F2"/>
              </w:rPr>
              <w:t>naplan</w:t>
            </w:r>
            <w:proofErr w:type="spellEnd"/>
            <w:r w:rsidRPr="00396C08">
              <w:rPr>
                <w:rFonts w:asciiTheme="minorHAnsi" w:hAnsiTheme="minorHAnsi" w:cstheme="minorHAnsi"/>
                <w:b/>
                <w:color w:val="0D0D0D" w:themeColor="text1" w:themeTint="F2"/>
              </w:rPr>
              <w:t xml:space="preserve"> online and utilising educational data for school improvement</w:t>
            </w:r>
          </w:p>
          <w:p w14:paraId="3069F7BA" w14:textId="77777777" w:rsidR="00D7230E" w:rsidRPr="00396C08" w:rsidRDefault="00D7230E">
            <w:pPr>
              <w:pStyle w:val="TableParagraph"/>
              <w:ind w:left="0"/>
              <w:rPr>
                <w:rFonts w:asciiTheme="minorHAnsi" w:hAnsiTheme="minorHAnsi" w:cstheme="minorHAnsi"/>
                <w:b/>
                <w:color w:val="0D0D0D" w:themeColor="text1" w:themeTint="F2"/>
              </w:rPr>
            </w:pPr>
          </w:p>
          <w:p w14:paraId="6C515E9A" w14:textId="5D7FF281" w:rsidR="00D7230E" w:rsidRPr="00396C08" w:rsidRDefault="00476815">
            <w:pPr>
              <w:pStyle w:val="TableParagraph"/>
              <w:spacing w:before="158"/>
              <w:ind w:right="75"/>
              <w:rPr>
                <w:rFonts w:asciiTheme="minorHAnsi" w:hAnsiTheme="minorHAnsi" w:cstheme="minorHAnsi"/>
                <w:b/>
                <w:i/>
                <w:color w:val="0D0D0D" w:themeColor="text1" w:themeTint="F2"/>
              </w:rPr>
            </w:pPr>
            <w:proofErr w:type="spellStart"/>
            <w:r w:rsidRPr="00396C08">
              <w:rPr>
                <w:rFonts w:asciiTheme="minorHAnsi" w:hAnsiTheme="minorHAnsi" w:cstheme="minorHAnsi"/>
                <w:b/>
                <w:i/>
                <w:color w:val="0D0D0D" w:themeColor="text1" w:themeTint="F2"/>
              </w:rPr>
              <w:t>Nrd</w:t>
            </w:r>
            <w:proofErr w:type="spellEnd"/>
            <w:r w:rsidRPr="00396C08">
              <w:rPr>
                <w:rFonts w:asciiTheme="minorHAnsi" w:hAnsiTheme="minorHAnsi" w:cstheme="minorHAnsi"/>
                <w:b/>
                <w:i/>
                <w:color w:val="0D0D0D" w:themeColor="text1" w:themeTint="F2"/>
              </w:rPr>
              <w:t>: enhancing the national evidence base</w:t>
            </w:r>
          </w:p>
          <w:p w14:paraId="08A73774" w14:textId="2C5DC573" w:rsidR="00D7230E" w:rsidRPr="00396C08" w:rsidRDefault="00476815">
            <w:pPr>
              <w:pStyle w:val="TableParagraph"/>
              <w:spacing w:before="79"/>
              <w:ind w:right="148"/>
              <w:rPr>
                <w:rFonts w:asciiTheme="minorHAnsi" w:hAnsiTheme="minorHAnsi" w:cstheme="minorHAnsi"/>
                <w:b/>
                <w:i/>
                <w:color w:val="0D0D0D" w:themeColor="text1" w:themeTint="F2"/>
              </w:rPr>
            </w:pPr>
            <w:r w:rsidRPr="00396C08">
              <w:rPr>
                <w:rFonts w:asciiTheme="minorHAnsi" w:hAnsiTheme="minorHAnsi" w:cstheme="minorHAnsi"/>
                <w:b/>
                <w:i/>
                <w:color w:val="0D0D0D" w:themeColor="text1" w:themeTint="F2"/>
              </w:rPr>
              <w:t>Bilateral: utilise educational data for school improvement through the increased provision of support and online learning opportunities for teachers</w:t>
            </w:r>
          </w:p>
        </w:tc>
        <w:tc>
          <w:tcPr>
            <w:tcW w:w="4505" w:type="dxa"/>
          </w:tcPr>
          <w:p w14:paraId="47311573" w14:textId="73BD158C" w:rsidR="00A838D6" w:rsidRPr="00396C08" w:rsidRDefault="00476815" w:rsidP="00A838D6">
            <w:pPr>
              <w:spacing w:after="80"/>
              <w:ind w:left="147" w:right="53"/>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Provision of support to schools participating in 2022 </w:t>
            </w:r>
            <w:proofErr w:type="spellStart"/>
            <w:r w:rsidRPr="00396C08">
              <w:rPr>
                <w:rFonts w:asciiTheme="minorHAnsi" w:hAnsiTheme="minorHAnsi" w:cstheme="minorHAnsi"/>
                <w:color w:val="0D0D0D" w:themeColor="text1" w:themeTint="F2"/>
              </w:rPr>
              <w:t>naplan</w:t>
            </w:r>
            <w:proofErr w:type="spellEnd"/>
            <w:r w:rsidRPr="00396C08">
              <w:rPr>
                <w:rFonts w:asciiTheme="minorHAnsi" w:hAnsiTheme="minorHAnsi" w:cstheme="minorHAnsi"/>
                <w:color w:val="0D0D0D" w:themeColor="text1" w:themeTint="F2"/>
              </w:rPr>
              <w:t xml:space="preserve"> online including school and student readiness activities.</w:t>
            </w:r>
          </w:p>
          <w:p w14:paraId="4110BCC3" w14:textId="2263DD39" w:rsidR="00A838D6" w:rsidRPr="00396C08" w:rsidRDefault="00476815" w:rsidP="00A838D6">
            <w:pPr>
              <w:spacing w:after="80"/>
              <w:ind w:left="147" w:right="53"/>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Provision of professional development and training to ensure schools gain the necessary skills, knowledge, and confidence to be successful with </w:t>
            </w:r>
            <w:proofErr w:type="spellStart"/>
            <w:r w:rsidRPr="00396C08">
              <w:rPr>
                <w:rFonts w:asciiTheme="minorHAnsi" w:hAnsiTheme="minorHAnsi" w:cstheme="minorHAnsi"/>
                <w:color w:val="0D0D0D" w:themeColor="text1" w:themeTint="F2"/>
              </w:rPr>
              <w:t>naplan</w:t>
            </w:r>
            <w:proofErr w:type="spellEnd"/>
            <w:r w:rsidRPr="00396C08">
              <w:rPr>
                <w:rFonts w:asciiTheme="minorHAnsi" w:hAnsiTheme="minorHAnsi" w:cstheme="minorHAnsi"/>
                <w:color w:val="0D0D0D" w:themeColor="text1" w:themeTint="F2"/>
              </w:rPr>
              <w:t xml:space="preserve"> online.</w:t>
            </w:r>
          </w:p>
          <w:p w14:paraId="3A265277" w14:textId="38AA6F90" w:rsidR="00A838D6" w:rsidRPr="00396C08" w:rsidRDefault="00476815" w:rsidP="00A838D6">
            <w:pPr>
              <w:spacing w:after="80"/>
              <w:ind w:left="147" w:right="53"/>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Engagement with working groups at both the state and national level to ensure schools are informed and able to participate in </w:t>
            </w:r>
            <w:proofErr w:type="spellStart"/>
            <w:r w:rsidRPr="00396C08">
              <w:rPr>
                <w:rFonts w:asciiTheme="minorHAnsi" w:hAnsiTheme="minorHAnsi" w:cstheme="minorHAnsi"/>
                <w:color w:val="0D0D0D" w:themeColor="text1" w:themeTint="F2"/>
              </w:rPr>
              <w:t>naplan</w:t>
            </w:r>
            <w:proofErr w:type="spellEnd"/>
            <w:r w:rsidRPr="00396C08">
              <w:rPr>
                <w:rFonts w:asciiTheme="minorHAnsi" w:hAnsiTheme="minorHAnsi" w:cstheme="minorHAnsi"/>
                <w:color w:val="0D0D0D" w:themeColor="text1" w:themeTint="F2"/>
              </w:rPr>
              <w:t xml:space="preserve"> online processes and procedures.</w:t>
            </w:r>
          </w:p>
          <w:p w14:paraId="6B367FF6" w14:textId="351D0D4F" w:rsidR="00A838D6" w:rsidRPr="00396C08" w:rsidRDefault="00476815" w:rsidP="00A838D6">
            <w:pPr>
              <w:spacing w:after="80"/>
              <w:ind w:left="147" w:right="53"/>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Development of scalable data plans for collection, analysis, and communication of evidence through an educational data project.</w:t>
            </w:r>
          </w:p>
          <w:p w14:paraId="24D7ED51" w14:textId="72F2CF39" w:rsidR="00A838D6" w:rsidRPr="00396C08" w:rsidRDefault="00476815" w:rsidP="00A838D6">
            <w:pPr>
              <w:spacing w:after="80"/>
              <w:ind w:left="147" w:right="53"/>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Provision of modules in connect &amp; learn to support teachers and leaders to use data to improve student outcomes.</w:t>
            </w:r>
          </w:p>
          <w:p w14:paraId="12071A36" w14:textId="77777777" w:rsidR="00D7230E" w:rsidRPr="00396C08" w:rsidRDefault="00D7230E" w:rsidP="00A838D6">
            <w:pPr>
              <w:spacing w:after="80"/>
              <w:ind w:left="147" w:right="53"/>
              <w:rPr>
                <w:rFonts w:asciiTheme="minorHAnsi" w:hAnsiTheme="minorHAnsi" w:cstheme="minorHAnsi"/>
                <w:color w:val="0D0D0D" w:themeColor="text1" w:themeTint="F2"/>
              </w:rPr>
            </w:pPr>
          </w:p>
        </w:tc>
        <w:tc>
          <w:tcPr>
            <w:tcW w:w="1560" w:type="dxa"/>
          </w:tcPr>
          <w:p w14:paraId="7631C46A" w14:textId="147E58DE" w:rsidR="00C46EC9" w:rsidRPr="00396C08" w:rsidRDefault="00476815" w:rsidP="00635AA9">
            <w:pPr>
              <w:spacing w:before="120" w:after="120"/>
              <w:ind w:left="70"/>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Reform support funding:  $187,792</w:t>
            </w:r>
          </w:p>
          <w:p w14:paraId="6E491330" w14:textId="534FB257" w:rsidR="00C46EC9" w:rsidRPr="00396C08" w:rsidRDefault="00476815" w:rsidP="00635AA9">
            <w:pPr>
              <w:spacing w:before="120" w:after="120"/>
              <w:ind w:left="70"/>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Other funding: $58,920</w:t>
            </w:r>
          </w:p>
          <w:p w14:paraId="7676FAAA" w14:textId="4D7B52A1" w:rsidR="00624CD9" w:rsidRPr="00396C08" w:rsidRDefault="00624CD9" w:rsidP="00635AA9">
            <w:pPr>
              <w:spacing w:before="120" w:after="120"/>
              <w:ind w:left="70"/>
              <w:rPr>
                <w:rFonts w:asciiTheme="minorHAnsi" w:hAnsiTheme="minorHAnsi" w:cstheme="minorHAnsi"/>
                <w:color w:val="0D0D0D" w:themeColor="text1" w:themeTint="F2"/>
              </w:rPr>
            </w:pPr>
          </w:p>
          <w:p w14:paraId="0F1DC288" w14:textId="5A39B451" w:rsidR="00624CD9" w:rsidRPr="00396C08" w:rsidRDefault="00476815" w:rsidP="00635AA9">
            <w:pPr>
              <w:spacing w:before="120" w:after="120"/>
              <w:ind w:left="70"/>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Total: $246,712</w:t>
            </w:r>
          </w:p>
          <w:p w14:paraId="35853E84" w14:textId="77777777" w:rsidR="00D7230E" w:rsidRPr="00396C08" w:rsidRDefault="00D7230E" w:rsidP="00635AA9">
            <w:pPr>
              <w:pStyle w:val="TableParagraph"/>
              <w:spacing w:before="78"/>
              <w:ind w:left="70" w:right="53"/>
              <w:jc w:val="both"/>
              <w:rPr>
                <w:rFonts w:asciiTheme="minorHAnsi" w:hAnsiTheme="minorHAnsi" w:cstheme="minorHAnsi"/>
                <w:color w:val="0D0D0D" w:themeColor="text1" w:themeTint="F2"/>
              </w:rPr>
            </w:pPr>
          </w:p>
        </w:tc>
        <w:tc>
          <w:tcPr>
            <w:tcW w:w="3402" w:type="dxa"/>
          </w:tcPr>
          <w:p w14:paraId="1218D6F7" w14:textId="1A9C47E7" w:rsidR="009472B6" w:rsidRPr="00396C08" w:rsidRDefault="00476815" w:rsidP="009472B6">
            <w:pPr>
              <w:spacing w:after="80"/>
              <w:ind w:left="147" w:right="53"/>
              <w:rPr>
                <w:rFonts w:asciiTheme="minorHAnsi" w:eastAsia="Times New Roman" w:hAnsiTheme="minorHAnsi" w:cstheme="minorHAnsi"/>
                <w:color w:val="0D0D0D" w:themeColor="text1" w:themeTint="F2"/>
              </w:rPr>
            </w:pPr>
            <w:bookmarkStart w:id="0" w:name="_Hlk496878108"/>
            <w:r w:rsidRPr="00396C08">
              <w:rPr>
                <w:rFonts w:asciiTheme="minorHAnsi" w:eastAsia="Times New Roman" w:hAnsiTheme="minorHAnsi" w:cstheme="minorHAnsi"/>
                <w:color w:val="0D0D0D" w:themeColor="text1" w:themeTint="F2"/>
              </w:rPr>
              <w:t xml:space="preserve">Schools are ready and confident about transitioning to </w:t>
            </w:r>
            <w:proofErr w:type="spellStart"/>
            <w:r w:rsidRPr="00396C08">
              <w:rPr>
                <w:rFonts w:asciiTheme="minorHAnsi" w:eastAsia="Times New Roman" w:hAnsiTheme="minorHAnsi" w:cstheme="minorHAnsi"/>
                <w:color w:val="0D0D0D" w:themeColor="text1" w:themeTint="F2"/>
              </w:rPr>
              <w:t>naplan</w:t>
            </w:r>
            <w:proofErr w:type="spellEnd"/>
            <w:r w:rsidRPr="00396C08">
              <w:rPr>
                <w:rFonts w:asciiTheme="minorHAnsi" w:eastAsia="Times New Roman" w:hAnsiTheme="minorHAnsi" w:cstheme="minorHAnsi"/>
                <w:color w:val="0D0D0D" w:themeColor="text1" w:themeTint="F2"/>
              </w:rPr>
              <w:t xml:space="preserve"> online in 2022. Approximately 200 schools to be prepared for 2022.</w:t>
            </w:r>
          </w:p>
          <w:p w14:paraId="5DFB87F0" w14:textId="426DC977" w:rsidR="009472B6" w:rsidRPr="00396C08" w:rsidRDefault="00476815" w:rsidP="009472B6">
            <w:pPr>
              <w:spacing w:after="80"/>
              <w:ind w:left="147" w:right="53"/>
              <w:rPr>
                <w:rFonts w:asciiTheme="minorHAnsi" w:eastAsia="Times New Roman" w:hAnsiTheme="minorHAnsi" w:cstheme="minorHAnsi"/>
                <w:color w:val="0D0D0D" w:themeColor="text1" w:themeTint="F2"/>
              </w:rPr>
            </w:pPr>
            <w:r w:rsidRPr="00396C08">
              <w:rPr>
                <w:rFonts w:asciiTheme="minorHAnsi" w:eastAsia="Times New Roman" w:hAnsiTheme="minorHAnsi" w:cstheme="minorHAnsi"/>
                <w:color w:val="0D0D0D" w:themeColor="text1" w:themeTint="F2"/>
              </w:rPr>
              <w:t xml:space="preserve">Schools are up-to-date and understand the arrangements for transitioning to and undertaking </w:t>
            </w:r>
            <w:proofErr w:type="spellStart"/>
            <w:r w:rsidRPr="00396C08">
              <w:rPr>
                <w:rFonts w:asciiTheme="minorHAnsi" w:eastAsia="Times New Roman" w:hAnsiTheme="minorHAnsi" w:cstheme="minorHAnsi"/>
                <w:color w:val="0D0D0D" w:themeColor="text1" w:themeTint="F2"/>
              </w:rPr>
              <w:t>naplan</w:t>
            </w:r>
            <w:proofErr w:type="spellEnd"/>
            <w:r w:rsidRPr="00396C08">
              <w:rPr>
                <w:rFonts w:asciiTheme="minorHAnsi" w:eastAsia="Times New Roman" w:hAnsiTheme="minorHAnsi" w:cstheme="minorHAnsi"/>
                <w:color w:val="0D0D0D" w:themeColor="text1" w:themeTint="F2"/>
              </w:rPr>
              <w:t xml:space="preserve"> online.</w:t>
            </w:r>
          </w:p>
          <w:p w14:paraId="159AE399" w14:textId="2E9BF5AA" w:rsidR="009472B6" w:rsidRPr="00396C08" w:rsidRDefault="00476815" w:rsidP="009472B6">
            <w:pPr>
              <w:spacing w:after="80"/>
              <w:ind w:left="147" w:right="53"/>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A one-day forum giving advice and guidance to aid preparation.</w:t>
            </w:r>
          </w:p>
          <w:bookmarkEnd w:id="0"/>
          <w:p w14:paraId="721A1D26" w14:textId="41C040E1" w:rsidR="009472B6" w:rsidRPr="00396C08" w:rsidRDefault="00476815" w:rsidP="009472B6">
            <w:pPr>
              <w:spacing w:after="80"/>
              <w:ind w:left="147" w:right="53"/>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Five schools are supported with a range of activities (face-to-face workshop/s, webinar/s, online module/s, mentor visits) to develop a school data plan that works to measure student progress and improve teaching and learning. </w:t>
            </w:r>
          </w:p>
          <w:p w14:paraId="53BC30EF" w14:textId="79E2EFDC" w:rsidR="00D7230E" w:rsidRPr="00396C08" w:rsidRDefault="00D7230E" w:rsidP="000E1652">
            <w:pPr>
              <w:spacing w:after="80"/>
              <w:ind w:left="147" w:right="53"/>
              <w:rPr>
                <w:rFonts w:asciiTheme="minorHAnsi" w:hAnsiTheme="minorHAnsi" w:cstheme="minorHAnsi"/>
                <w:color w:val="0D0D0D" w:themeColor="text1" w:themeTint="F2"/>
              </w:rPr>
            </w:pPr>
          </w:p>
        </w:tc>
        <w:tc>
          <w:tcPr>
            <w:tcW w:w="2835" w:type="dxa"/>
          </w:tcPr>
          <w:p w14:paraId="5F0D6BB2" w14:textId="188A8236" w:rsidR="00155B78" w:rsidRPr="00396C08" w:rsidRDefault="00476815" w:rsidP="00155B78">
            <w:pPr>
              <w:spacing w:after="80"/>
              <w:ind w:left="147" w:right="53"/>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80% of schools involved in training rate their confidence to undertake </w:t>
            </w:r>
            <w:proofErr w:type="spellStart"/>
            <w:r w:rsidRPr="00396C08">
              <w:rPr>
                <w:rFonts w:asciiTheme="minorHAnsi" w:hAnsiTheme="minorHAnsi" w:cstheme="minorHAnsi"/>
                <w:color w:val="0D0D0D" w:themeColor="text1" w:themeTint="F2"/>
              </w:rPr>
              <w:t>naplan</w:t>
            </w:r>
            <w:proofErr w:type="spellEnd"/>
            <w:r w:rsidRPr="00396C08">
              <w:rPr>
                <w:rFonts w:asciiTheme="minorHAnsi" w:hAnsiTheme="minorHAnsi" w:cstheme="minorHAnsi"/>
                <w:color w:val="0D0D0D" w:themeColor="text1" w:themeTint="F2"/>
              </w:rPr>
              <w:t xml:space="preserve"> tests online as confident or very confident.</w:t>
            </w:r>
          </w:p>
          <w:p w14:paraId="20E9844D" w14:textId="10570EE8" w:rsidR="00155B78" w:rsidRPr="00396C08" w:rsidRDefault="00476815" w:rsidP="00155B78">
            <w:pPr>
              <w:spacing w:after="80"/>
              <w:ind w:left="147" w:right="53"/>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80% of participating schools rate </w:t>
            </w:r>
            <w:proofErr w:type="spellStart"/>
            <w:r w:rsidRPr="00396C08">
              <w:rPr>
                <w:rFonts w:asciiTheme="minorHAnsi" w:hAnsiTheme="minorHAnsi" w:cstheme="minorHAnsi"/>
                <w:color w:val="0D0D0D" w:themeColor="text1" w:themeTint="F2"/>
              </w:rPr>
              <w:t>isq’s</w:t>
            </w:r>
            <w:proofErr w:type="spellEnd"/>
            <w:r w:rsidRPr="00396C08">
              <w:rPr>
                <w:rFonts w:asciiTheme="minorHAnsi" w:hAnsiTheme="minorHAnsi" w:cstheme="minorHAnsi"/>
                <w:color w:val="0D0D0D" w:themeColor="text1" w:themeTint="F2"/>
              </w:rPr>
              <w:t xml:space="preserve"> support as good or excellent.</w:t>
            </w:r>
          </w:p>
          <w:p w14:paraId="376C02FD" w14:textId="426DF2FD" w:rsidR="00155B78" w:rsidRPr="00396C08" w:rsidRDefault="00476815" w:rsidP="00155B78">
            <w:pPr>
              <w:spacing w:after="80"/>
              <w:ind w:left="147" w:right="53"/>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60% of schools in the educational data project engage in the learning activities (e.g., online modules, webinars and/or workshops).</w:t>
            </w:r>
          </w:p>
          <w:p w14:paraId="75AE18A3" w14:textId="3D496E1D" w:rsidR="00D7230E" w:rsidRPr="00396C08" w:rsidRDefault="00D7230E" w:rsidP="000E1652">
            <w:pPr>
              <w:pStyle w:val="TableParagraph"/>
              <w:spacing w:before="80"/>
              <w:ind w:left="147" w:right="53"/>
              <w:rPr>
                <w:rFonts w:asciiTheme="minorHAnsi" w:hAnsiTheme="minorHAnsi" w:cstheme="minorHAnsi"/>
                <w:color w:val="0D0D0D" w:themeColor="text1" w:themeTint="F2"/>
              </w:rPr>
            </w:pPr>
          </w:p>
        </w:tc>
      </w:tr>
    </w:tbl>
    <w:p w14:paraId="423C310C" w14:textId="77777777" w:rsidR="00D7230E" w:rsidRPr="00396C08" w:rsidRDefault="00D7230E">
      <w:pPr>
        <w:rPr>
          <w:rFonts w:ascii="Times New Roman"/>
          <w:color w:val="0D0D0D" w:themeColor="text1" w:themeTint="F2"/>
          <w:sz w:val="18"/>
        </w:rPr>
        <w:sectPr w:rsidR="00D7230E" w:rsidRPr="00396C08" w:rsidSect="00FB424F">
          <w:footerReference w:type="default" r:id="rId20"/>
          <w:pgSz w:w="16840" w:h="11910" w:orient="landscape"/>
          <w:pgMar w:top="851" w:right="940" w:bottom="1040" w:left="1300" w:header="288" w:footer="844" w:gutter="0"/>
          <w:cols w:space="720"/>
        </w:sectPr>
      </w:pPr>
    </w:p>
    <w:p w14:paraId="1A3281AA" w14:textId="374E1E26" w:rsidR="00D7230E" w:rsidRPr="00396C08" w:rsidRDefault="0062202B" w:rsidP="00FB424F">
      <w:pPr>
        <w:pStyle w:val="Heading3"/>
        <w:spacing w:line="480" w:lineRule="auto"/>
        <w:ind w:left="-567"/>
        <w:rPr>
          <w:rFonts w:asciiTheme="minorHAnsi" w:hAnsiTheme="minorHAnsi" w:cstheme="minorHAnsi"/>
          <w:b/>
          <w:bCs/>
          <w:color w:val="0D0D0D" w:themeColor="text1" w:themeTint="F2"/>
          <w:sz w:val="22"/>
          <w:szCs w:val="22"/>
        </w:rPr>
      </w:pPr>
      <w:r w:rsidRPr="00396C08">
        <w:rPr>
          <w:rFonts w:asciiTheme="minorHAnsi" w:hAnsiTheme="minorHAnsi" w:cstheme="minorHAnsi"/>
          <w:b/>
          <w:bCs/>
          <w:color w:val="0D0D0D" w:themeColor="text1" w:themeTint="F2"/>
          <w:sz w:val="22"/>
          <w:szCs w:val="22"/>
        </w:rPr>
        <w:lastRenderedPageBreak/>
        <w:t>RSF 2 Improving the Nationally Consistent Collection of Data on School Students with Disability</w:t>
      </w:r>
    </w:p>
    <w:tbl>
      <w:tblPr>
        <w:tblStyle w:val="TableGridLight"/>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4536"/>
        <w:gridCol w:w="1559"/>
        <w:gridCol w:w="3686"/>
        <w:gridCol w:w="2268"/>
      </w:tblGrid>
      <w:tr w:rsidR="00396C08" w:rsidRPr="00396C08" w14:paraId="007D960A" w14:textId="77777777" w:rsidTr="00FB424F">
        <w:trPr>
          <w:trHeight w:val="1224"/>
        </w:trPr>
        <w:tc>
          <w:tcPr>
            <w:tcW w:w="3119" w:type="dxa"/>
          </w:tcPr>
          <w:p w14:paraId="1EA5043E" w14:textId="063FE5A3" w:rsidR="00D7230E" w:rsidRPr="00396C08" w:rsidRDefault="00476815" w:rsidP="00574A28">
            <w:pPr>
              <w:pStyle w:val="TableParagraph"/>
              <w:spacing w:before="120" w:line="242" w:lineRule="auto"/>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Project title and link to relevant national reform direction and bilateral action</w:t>
            </w:r>
          </w:p>
        </w:tc>
        <w:tc>
          <w:tcPr>
            <w:tcW w:w="4536" w:type="dxa"/>
          </w:tcPr>
          <w:p w14:paraId="3BA07BD1" w14:textId="6B96CE57" w:rsidR="00D7230E" w:rsidRPr="00396C08" w:rsidRDefault="00476815">
            <w:pPr>
              <w:pStyle w:val="TableParagraph"/>
              <w:spacing w:before="120"/>
              <w:ind w:right="1823"/>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Project description and activities</w:t>
            </w:r>
          </w:p>
        </w:tc>
        <w:tc>
          <w:tcPr>
            <w:tcW w:w="1559" w:type="dxa"/>
          </w:tcPr>
          <w:p w14:paraId="16BACABC" w14:textId="4DCBEF8A" w:rsidR="00D7230E" w:rsidRPr="00396C08" w:rsidRDefault="00476815">
            <w:pPr>
              <w:pStyle w:val="TableParagraph"/>
              <w:spacing w:before="120"/>
              <w:ind w:left="109"/>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Indicative budget</w:t>
            </w:r>
          </w:p>
        </w:tc>
        <w:tc>
          <w:tcPr>
            <w:tcW w:w="3686" w:type="dxa"/>
          </w:tcPr>
          <w:p w14:paraId="17003E8E" w14:textId="69404E7E" w:rsidR="00D7230E" w:rsidRPr="00396C08" w:rsidRDefault="00476815">
            <w:pPr>
              <w:pStyle w:val="TableParagraph"/>
              <w:spacing w:before="120"/>
              <w:ind w:left="109"/>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Expected outcomes</w:t>
            </w:r>
          </w:p>
        </w:tc>
        <w:tc>
          <w:tcPr>
            <w:tcW w:w="2268" w:type="dxa"/>
          </w:tcPr>
          <w:p w14:paraId="7F6C8029" w14:textId="01D81774" w:rsidR="00D7230E" w:rsidRPr="00396C08" w:rsidRDefault="00476815">
            <w:pPr>
              <w:pStyle w:val="TableParagraph"/>
              <w:spacing w:before="120"/>
              <w:ind w:left="108" w:right="846"/>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Indicators of success</w:t>
            </w:r>
          </w:p>
        </w:tc>
      </w:tr>
      <w:tr w:rsidR="00396C08" w:rsidRPr="00396C08" w14:paraId="183FF1EA" w14:textId="77777777" w:rsidTr="00FB424F">
        <w:trPr>
          <w:trHeight w:val="5761"/>
        </w:trPr>
        <w:tc>
          <w:tcPr>
            <w:tcW w:w="3119" w:type="dxa"/>
          </w:tcPr>
          <w:p w14:paraId="6CF1BBE5" w14:textId="77777777" w:rsidR="00D7230E" w:rsidRPr="00396C08" w:rsidRDefault="002736A4">
            <w:pPr>
              <w:pStyle w:val="TableParagraph"/>
              <w:ind w:right="167"/>
              <w:rPr>
                <w:b/>
                <w:color w:val="0D0D0D" w:themeColor="text1" w:themeTint="F2"/>
              </w:rPr>
            </w:pPr>
            <w:r w:rsidRPr="00396C08">
              <w:rPr>
                <w:b/>
                <w:color w:val="0D0D0D" w:themeColor="text1" w:themeTint="F2"/>
              </w:rPr>
              <w:t>Improving the Nationally Consistent Collection of Data on School Students with Disability (NCCD)</w:t>
            </w:r>
          </w:p>
          <w:p w14:paraId="10C23E3A" w14:textId="77777777" w:rsidR="00D7230E" w:rsidRPr="00396C08" w:rsidRDefault="00D7230E">
            <w:pPr>
              <w:pStyle w:val="TableParagraph"/>
              <w:ind w:left="0"/>
              <w:rPr>
                <w:rFonts w:ascii="Century Gothic"/>
                <w:b/>
                <w:color w:val="0D0D0D" w:themeColor="text1" w:themeTint="F2"/>
              </w:rPr>
            </w:pPr>
          </w:p>
          <w:p w14:paraId="06D9E3A8" w14:textId="77777777" w:rsidR="00D7230E" w:rsidRPr="00396C08" w:rsidRDefault="002736A4">
            <w:pPr>
              <w:pStyle w:val="TableParagraph"/>
              <w:spacing w:before="158"/>
              <w:ind w:right="709"/>
              <w:rPr>
                <w:b/>
                <w:i/>
                <w:color w:val="0D0D0D" w:themeColor="text1" w:themeTint="F2"/>
              </w:rPr>
            </w:pPr>
            <w:r w:rsidRPr="00396C08">
              <w:rPr>
                <w:b/>
                <w:i/>
                <w:color w:val="0D0D0D" w:themeColor="text1" w:themeTint="F2"/>
              </w:rPr>
              <w:t>NRD: Enhancing the national evidence base</w:t>
            </w:r>
          </w:p>
          <w:p w14:paraId="6FFF5A6D" w14:textId="77777777" w:rsidR="00D7230E" w:rsidRPr="00396C08" w:rsidRDefault="002736A4">
            <w:pPr>
              <w:pStyle w:val="TableParagraph"/>
              <w:spacing w:before="79"/>
              <w:ind w:right="147"/>
              <w:rPr>
                <w:b/>
                <w:i/>
                <w:color w:val="0D0D0D" w:themeColor="text1" w:themeTint="F2"/>
              </w:rPr>
            </w:pPr>
            <w:r w:rsidRPr="00396C08">
              <w:rPr>
                <w:b/>
                <w:i/>
                <w:color w:val="0D0D0D" w:themeColor="text1" w:themeTint="F2"/>
              </w:rPr>
              <w:t>Bilateral: Conduct moderation of Nationally Consistent Collection of Data on Students with Disability across Queensland schooling sectors</w:t>
            </w:r>
          </w:p>
        </w:tc>
        <w:tc>
          <w:tcPr>
            <w:tcW w:w="4536" w:type="dxa"/>
          </w:tcPr>
          <w:p w14:paraId="1BE77B09" w14:textId="77777777" w:rsidR="00456A8C" w:rsidRPr="00396C08" w:rsidRDefault="00456A8C" w:rsidP="00456A8C">
            <w:pPr>
              <w:spacing w:after="80"/>
              <w:ind w:left="144" w:right="105"/>
              <w:rPr>
                <w:rFonts w:cs="Times New Roman"/>
                <w:color w:val="0D0D0D" w:themeColor="text1" w:themeTint="F2"/>
              </w:rPr>
            </w:pPr>
            <w:r w:rsidRPr="00396C08">
              <w:rPr>
                <w:rFonts w:cs="Times New Roman"/>
                <w:color w:val="0D0D0D" w:themeColor="text1" w:themeTint="F2"/>
              </w:rPr>
              <w:t xml:space="preserve">Provision of support to schools to enhance the quality assurance, </w:t>
            </w:r>
            <w:proofErr w:type="gramStart"/>
            <w:r w:rsidRPr="00396C08">
              <w:rPr>
                <w:rFonts w:cs="Times New Roman"/>
                <w:color w:val="0D0D0D" w:themeColor="text1" w:themeTint="F2"/>
              </w:rPr>
              <w:t>moderation</w:t>
            </w:r>
            <w:proofErr w:type="gramEnd"/>
            <w:r w:rsidRPr="00396C08">
              <w:rPr>
                <w:rFonts w:cs="Times New Roman"/>
                <w:color w:val="0D0D0D" w:themeColor="text1" w:themeTint="F2"/>
              </w:rPr>
              <w:t xml:space="preserve"> and improvement in the NCCD including:</w:t>
            </w:r>
          </w:p>
          <w:p w14:paraId="1A67D9B8" w14:textId="77777777" w:rsidR="00456A8C" w:rsidRPr="00396C08" w:rsidRDefault="00456A8C" w:rsidP="00456A8C">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face-to-face and online professional learning to strengthen the understanding of NCCD</w:t>
            </w:r>
          </w:p>
          <w:p w14:paraId="1D182C55" w14:textId="77777777" w:rsidR="00456A8C" w:rsidRPr="00396C08" w:rsidRDefault="00456A8C" w:rsidP="00456A8C">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 xml:space="preserve">continued provision of the </w:t>
            </w:r>
            <w:r w:rsidRPr="00396C08">
              <w:rPr>
                <w:rFonts w:cs="Times New Roman"/>
                <w:i/>
                <w:color w:val="0D0D0D" w:themeColor="text1" w:themeTint="F2"/>
              </w:rPr>
              <w:t>Disability Standards for Education</w:t>
            </w:r>
            <w:r w:rsidRPr="00396C08">
              <w:rPr>
                <w:rFonts w:cs="Times New Roman"/>
                <w:color w:val="0D0D0D" w:themeColor="text1" w:themeTint="F2"/>
              </w:rPr>
              <w:t xml:space="preserve"> and </w:t>
            </w:r>
            <w:r w:rsidRPr="00396C08">
              <w:rPr>
                <w:rFonts w:cs="Times New Roman"/>
                <w:i/>
                <w:iCs/>
                <w:color w:val="0D0D0D" w:themeColor="text1" w:themeTint="F2"/>
              </w:rPr>
              <w:t>Differentiation for Students with Disability</w:t>
            </w:r>
            <w:r w:rsidRPr="00396C08">
              <w:rPr>
                <w:rFonts w:cs="Times New Roman"/>
                <w:color w:val="0D0D0D" w:themeColor="text1" w:themeTint="F2"/>
              </w:rPr>
              <w:t xml:space="preserve"> online courses on ISQ Connect &amp; Learn</w:t>
            </w:r>
          </w:p>
          <w:p w14:paraId="43696D1B" w14:textId="77777777" w:rsidR="00456A8C" w:rsidRPr="00396C08" w:rsidRDefault="00456A8C" w:rsidP="00456A8C">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regional cross-sector moderation for schools</w:t>
            </w:r>
          </w:p>
          <w:p w14:paraId="3E8B6F70" w14:textId="77777777" w:rsidR="00456A8C" w:rsidRPr="00396C08" w:rsidRDefault="00456A8C" w:rsidP="00456A8C">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 xml:space="preserve">provision of new </w:t>
            </w:r>
            <w:r w:rsidRPr="00396C08">
              <w:rPr>
                <w:rFonts w:cs="Times New Roman"/>
                <w:i/>
                <w:iCs/>
                <w:color w:val="0D0D0D" w:themeColor="text1" w:themeTint="F2"/>
              </w:rPr>
              <w:t xml:space="preserve">Differentiating the educational program for students for Prep – Year 10 </w:t>
            </w:r>
            <w:r w:rsidRPr="00396C08">
              <w:rPr>
                <w:rFonts w:cs="Times New Roman"/>
                <w:color w:val="0D0D0D" w:themeColor="text1" w:themeTint="F2"/>
              </w:rPr>
              <w:t>for teachers, curriculum leaders and learning support teachers</w:t>
            </w:r>
          </w:p>
          <w:p w14:paraId="063EF23C" w14:textId="0ABDD082" w:rsidR="00456A8C" w:rsidRPr="00396C08" w:rsidRDefault="00456A8C" w:rsidP="00456A8C">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 xml:space="preserve">continue support for selected </w:t>
            </w:r>
            <w:r w:rsidR="00522054" w:rsidRPr="00396C08">
              <w:rPr>
                <w:rFonts w:cs="Times New Roman"/>
                <w:color w:val="0D0D0D" w:themeColor="text1" w:themeTint="F2"/>
              </w:rPr>
              <w:t xml:space="preserve">schools </w:t>
            </w:r>
            <w:r w:rsidRPr="00396C08">
              <w:rPr>
                <w:rFonts w:cs="Times New Roman"/>
                <w:color w:val="0D0D0D" w:themeColor="text1" w:themeTint="F2"/>
              </w:rPr>
              <w:t>through the Quality Assurance Project to review and enhance whole school processes to support quality NCCD data</w:t>
            </w:r>
          </w:p>
          <w:p w14:paraId="323D02DB" w14:textId="37DF9368" w:rsidR="002C4B99" w:rsidRPr="00396C08" w:rsidRDefault="00456A8C" w:rsidP="00456A8C">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continued engagement with school leaders in relation to NCCD.</w:t>
            </w:r>
          </w:p>
        </w:tc>
        <w:tc>
          <w:tcPr>
            <w:tcW w:w="1559" w:type="dxa"/>
          </w:tcPr>
          <w:p w14:paraId="3E8993A1" w14:textId="289AD323" w:rsidR="00A06887" w:rsidRPr="00396C08" w:rsidRDefault="00C46EC9" w:rsidP="00635AA9">
            <w:pPr>
              <w:spacing w:before="120" w:after="120"/>
              <w:ind w:left="70"/>
              <w:rPr>
                <w:color w:val="0D0D0D" w:themeColor="text1" w:themeTint="F2"/>
              </w:rPr>
            </w:pPr>
            <w:r w:rsidRPr="00396C08">
              <w:rPr>
                <w:color w:val="0D0D0D" w:themeColor="text1" w:themeTint="F2"/>
              </w:rPr>
              <w:t xml:space="preserve">Reform support funding:  </w:t>
            </w:r>
            <w:r w:rsidR="00A06887" w:rsidRPr="00396C08">
              <w:rPr>
                <w:color w:val="0D0D0D" w:themeColor="text1" w:themeTint="F2"/>
              </w:rPr>
              <w:t>$247,459</w:t>
            </w:r>
          </w:p>
          <w:p w14:paraId="2C1C9EEA" w14:textId="0400114B" w:rsidR="00C46EC9" w:rsidRPr="00396C08" w:rsidRDefault="00C46EC9" w:rsidP="00635AA9">
            <w:pPr>
              <w:spacing w:before="120" w:after="120"/>
              <w:ind w:left="70"/>
              <w:rPr>
                <w:color w:val="0D0D0D" w:themeColor="text1" w:themeTint="F2"/>
              </w:rPr>
            </w:pPr>
            <w:r w:rsidRPr="00396C08">
              <w:rPr>
                <w:color w:val="0D0D0D" w:themeColor="text1" w:themeTint="F2"/>
              </w:rPr>
              <w:t>Other funding: $</w:t>
            </w:r>
            <w:r w:rsidR="00D346FC" w:rsidRPr="00396C08">
              <w:rPr>
                <w:color w:val="0D0D0D" w:themeColor="text1" w:themeTint="F2"/>
              </w:rPr>
              <w:t>112,500</w:t>
            </w:r>
          </w:p>
          <w:p w14:paraId="11A40BAB" w14:textId="5D60530C" w:rsidR="00D346FC" w:rsidRPr="00396C08" w:rsidRDefault="00D346FC" w:rsidP="00635AA9">
            <w:pPr>
              <w:spacing w:before="120" w:after="120"/>
              <w:ind w:left="70"/>
              <w:rPr>
                <w:color w:val="0D0D0D" w:themeColor="text1" w:themeTint="F2"/>
              </w:rPr>
            </w:pPr>
          </w:p>
          <w:p w14:paraId="084B3214" w14:textId="3696EA21" w:rsidR="00A06887" w:rsidRPr="00396C08" w:rsidRDefault="00D346FC" w:rsidP="00635AA9">
            <w:pPr>
              <w:spacing w:before="120" w:after="120"/>
              <w:ind w:left="70"/>
              <w:rPr>
                <w:color w:val="0D0D0D" w:themeColor="text1" w:themeTint="F2"/>
              </w:rPr>
            </w:pPr>
            <w:r w:rsidRPr="00396C08">
              <w:rPr>
                <w:color w:val="0D0D0D" w:themeColor="text1" w:themeTint="F2"/>
              </w:rPr>
              <w:t>Total</w:t>
            </w:r>
            <w:r w:rsidR="00185B7F" w:rsidRPr="00396C08">
              <w:rPr>
                <w:color w:val="0D0D0D" w:themeColor="text1" w:themeTint="F2"/>
              </w:rPr>
              <w:t xml:space="preserve">: </w:t>
            </w:r>
            <w:r w:rsidR="00A06887" w:rsidRPr="00396C08">
              <w:rPr>
                <w:color w:val="0D0D0D" w:themeColor="text1" w:themeTint="F2"/>
              </w:rPr>
              <w:t>$359,959</w:t>
            </w:r>
          </w:p>
          <w:p w14:paraId="69A35DC1" w14:textId="77777777" w:rsidR="00D7230E" w:rsidRPr="00396C08" w:rsidRDefault="00D7230E" w:rsidP="0062202B">
            <w:pPr>
              <w:pStyle w:val="TableParagraph"/>
              <w:spacing w:before="84" w:line="237" w:lineRule="auto"/>
              <w:ind w:left="144" w:right="105"/>
              <w:rPr>
                <w:color w:val="0D0D0D" w:themeColor="text1" w:themeTint="F2"/>
              </w:rPr>
            </w:pPr>
          </w:p>
        </w:tc>
        <w:tc>
          <w:tcPr>
            <w:tcW w:w="3686" w:type="dxa"/>
          </w:tcPr>
          <w:p w14:paraId="75B42C57" w14:textId="77777777" w:rsidR="00962570" w:rsidRPr="00396C08" w:rsidRDefault="00962570" w:rsidP="00711C59">
            <w:pPr>
              <w:pStyle w:val="ListParagraph"/>
              <w:widowControl/>
              <w:numPr>
                <w:ilvl w:val="0"/>
                <w:numId w:val="31"/>
              </w:numPr>
              <w:autoSpaceDE/>
              <w:autoSpaceDN/>
              <w:spacing w:before="0" w:after="80" w:line="276" w:lineRule="auto"/>
              <w:ind w:left="418" w:right="105"/>
              <w:contextualSpacing/>
              <w:rPr>
                <w:color w:val="0D0D0D" w:themeColor="text1" w:themeTint="F2"/>
              </w:rPr>
            </w:pPr>
            <w:r w:rsidRPr="00396C08">
              <w:rPr>
                <w:color w:val="0D0D0D" w:themeColor="text1" w:themeTint="F2"/>
              </w:rPr>
              <w:t>Increased understanding of the Disability Standards for Education, differentiation strategies for students with disability and the NCCD by independent school staff.</w:t>
            </w:r>
          </w:p>
          <w:p w14:paraId="1C1601D7" w14:textId="77777777" w:rsidR="00962570" w:rsidRPr="00396C08" w:rsidRDefault="00962570" w:rsidP="00711C59">
            <w:pPr>
              <w:pStyle w:val="ListParagraph"/>
              <w:widowControl/>
              <w:numPr>
                <w:ilvl w:val="0"/>
                <w:numId w:val="31"/>
              </w:numPr>
              <w:autoSpaceDE/>
              <w:autoSpaceDN/>
              <w:spacing w:before="0" w:after="80" w:line="276" w:lineRule="auto"/>
              <w:ind w:left="418" w:right="105"/>
              <w:contextualSpacing/>
              <w:rPr>
                <w:color w:val="0D0D0D" w:themeColor="text1" w:themeTint="F2"/>
              </w:rPr>
            </w:pPr>
            <w:r w:rsidRPr="00396C08">
              <w:rPr>
                <w:color w:val="0D0D0D" w:themeColor="text1" w:themeTint="F2"/>
              </w:rPr>
              <w:t>Increased awareness and use of the national NCCD portal and resources by independent school staff.</w:t>
            </w:r>
          </w:p>
          <w:p w14:paraId="13514EE1" w14:textId="77777777" w:rsidR="00962570" w:rsidRPr="00396C08" w:rsidRDefault="00962570" w:rsidP="00711C59">
            <w:pPr>
              <w:pStyle w:val="ListParagraph"/>
              <w:widowControl/>
              <w:numPr>
                <w:ilvl w:val="0"/>
                <w:numId w:val="31"/>
              </w:numPr>
              <w:autoSpaceDE/>
              <w:autoSpaceDN/>
              <w:spacing w:before="0" w:after="80" w:line="276" w:lineRule="auto"/>
              <w:ind w:left="418" w:right="105"/>
              <w:contextualSpacing/>
              <w:rPr>
                <w:color w:val="0D0D0D" w:themeColor="text1" w:themeTint="F2"/>
              </w:rPr>
            </w:pPr>
            <w:r w:rsidRPr="00396C08">
              <w:rPr>
                <w:color w:val="0D0D0D" w:themeColor="text1" w:themeTint="F2"/>
              </w:rPr>
              <w:t>Increased engagement in school-based and cross-sector moderation by independent schools.</w:t>
            </w:r>
          </w:p>
          <w:p w14:paraId="314BC2F0" w14:textId="77777777" w:rsidR="00962570" w:rsidRPr="00396C08" w:rsidRDefault="00962570" w:rsidP="00711C59">
            <w:pPr>
              <w:pStyle w:val="ListParagraph"/>
              <w:widowControl/>
              <w:numPr>
                <w:ilvl w:val="0"/>
                <w:numId w:val="31"/>
              </w:numPr>
              <w:autoSpaceDE/>
              <w:autoSpaceDN/>
              <w:spacing w:before="120" w:after="120"/>
              <w:ind w:left="418"/>
              <w:contextualSpacing/>
              <w:rPr>
                <w:color w:val="0D0D0D" w:themeColor="text1" w:themeTint="F2"/>
              </w:rPr>
            </w:pPr>
            <w:r w:rsidRPr="00396C08">
              <w:rPr>
                <w:color w:val="0D0D0D" w:themeColor="text1" w:themeTint="F2"/>
              </w:rPr>
              <w:t>Enhanced consistency of teacher judgement within independent schools when determining whether a student is included in the NCCD, the level of adjustment and category of disability assigned to students.</w:t>
            </w:r>
          </w:p>
          <w:p w14:paraId="3B5098EB" w14:textId="3BE906BC" w:rsidR="00D7230E" w:rsidRPr="00396C08" w:rsidRDefault="00D7230E" w:rsidP="0062202B">
            <w:pPr>
              <w:spacing w:after="80"/>
              <w:ind w:left="144" w:right="105"/>
              <w:rPr>
                <w:rFonts w:eastAsia="Times New Roman" w:cs="Times New Roman"/>
                <w:color w:val="0D0D0D" w:themeColor="text1" w:themeTint="F2"/>
              </w:rPr>
            </w:pPr>
          </w:p>
        </w:tc>
        <w:tc>
          <w:tcPr>
            <w:tcW w:w="2268" w:type="dxa"/>
          </w:tcPr>
          <w:p w14:paraId="024D5BBB" w14:textId="77777777" w:rsidR="00142358" w:rsidRPr="00396C08" w:rsidRDefault="00142358" w:rsidP="00711C59">
            <w:pPr>
              <w:pStyle w:val="ListParagraph"/>
              <w:widowControl/>
              <w:numPr>
                <w:ilvl w:val="0"/>
                <w:numId w:val="13"/>
              </w:numPr>
              <w:autoSpaceDE/>
              <w:autoSpaceDN/>
              <w:spacing w:before="0" w:after="120"/>
              <w:ind w:left="409"/>
              <w:contextualSpacing/>
              <w:rPr>
                <w:color w:val="0D0D0D" w:themeColor="text1" w:themeTint="F2"/>
              </w:rPr>
            </w:pPr>
            <w:r w:rsidRPr="00396C08">
              <w:rPr>
                <w:color w:val="0D0D0D" w:themeColor="text1" w:themeTint="F2"/>
              </w:rPr>
              <w:t xml:space="preserve">40% of schools have at least one staff member who has completed ISQ’s new Differentiating the educational program for students for Prep – Year 10 online learning module. </w:t>
            </w:r>
          </w:p>
          <w:p w14:paraId="6CC4BF7E" w14:textId="220AC379" w:rsidR="00142358" w:rsidRPr="00396C08" w:rsidRDefault="00142358" w:rsidP="00711C59">
            <w:pPr>
              <w:pStyle w:val="ListParagraph"/>
              <w:widowControl/>
              <w:numPr>
                <w:ilvl w:val="0"/>
                <w:numId w:val="13"/>
              </w:numPr>
              <w:autoSpaceDE/>
              <w:autoSpaceDN/>
              <w:spacing w:before="120" w:after="120"/>
              <w:ind w:left="409"/>
              <w:contextualSpacing/>
              <w:rPr>
                <w:color w:val="0D0D0D" w:themeColor="text1" w:themeTint="F2"/>
              </w:rPr>
            </w:pPr>
            <w:r w:rsidRPr="00396C08">
              <w:rPr>
                <w:color w:val="0D0D0D" w:themeColor="text1" w:themeTint="F2"/>
              </w:rPr>
              <w:t>Independent schools represented at 90% of 202</w:t>
            </w:r>
            <w:r w:rsidR="00D31EA6" w:rsidRPr="00396C08">
              <w:rPr>
                <w:color w:val="0D0D0D" w:themeColor="text1" w:themeTint="F2"/>
              </w:rPr>
              <w:t>2</w:t>
            </w:r>
            <w:r w:rsidRPr="00396C08">
              <w:rPr>
                <w:color w:val="0D0D0D" w:themeColor="text1" w:themeTint="F2"/>
              </w:rPr>
              <w:t xml:space="preserve"> regional cross sector moderation workshops.</w:t>
            </w:r>
          </w:p>
          <w:p w14:paraId="1E07471D" w14:textId="11F9ACA9" w:rsidR="00142358" w:rsidRPr="00396C08" w:rsidRDefault="00142358" w:rsidP="00142358">
            <w:pPr>
              <w:spacing w:after="80"/>
              <w:ind w:left="144" w:right="105"/>
              <w:rPr>
                <w:rFonts w:cs="Times New Roman"/>
                <w:color w:val="0D0D0D" w:themeColor="text1" w:themeTint="F2"/>
              </w:rPr>
            </w:pPr>
          </w:p>
        </w:tc>
      </w:tr>
    </w:tbl>
    <w:p w14:paraId="68305155" w14:textId="77777777" w:rsidR="00D7230E" w:rsidRPr="00396C08" w:rsidRDefault="00D7230E">
      <w:pPr>
        <w:rPr>
          <w:color w:val="0D0D0D" w:themeColor="text1" w:themeTint="F2"/>
          <w:sz w:val="18"/>
        </w:rPr>
        <w:sectPr w:rsidR="00D7230E" w:rsidRPr="00396C08" w:rsidSect="00FB424F">
          <w:headerReference w:type="even" r:id="rId21"/>
          <w:footerReference w:type="even" r:id="rId22"/>
          <w:pgSz w:w="16840" w:h="11910" w:orient="landscape"/>
          <w:pgMar w:top="568" w:right="940" w:bottom="1040" w:left="1300" w:header="288" w:footer="844" w:gutter="0"/>
          <w:pgNumType w:start="7"/>
          <w:cols w:space="720"/>
          <w:docGrid w:linePitch="299"/>
        </w:sectPr>
      </w:pPr>
    </w:p>
    <w:p w14:paraId="1163129F" w14:textId="0342DE13" w:rsidR="00D7230E" w:rsidRPr="00396C08" w:rsidRDefault="002736A4" w:rsidP="00FB424F">
      <w:pPr>
        <w:pStyle w:val="Heading3"/>
        <w:spacing w:line="480" w:lineRule="auto"/>
        <w:ind w:left="-567"/>
        <w:rPr>
          <w:rFonts w:asciiTheme="minorHAnsi" w:hAnsiTheme="minorHAnsi" w:cstheme="minorHAnsi"/>
          <w:b/>
          <w:bCs/>
          <w:color w:val="0D0D0D" w:themeColor="text1" w:themeTint="F2"/>
          <w:sz w:val="22"/>
          <w:szCs w:val="22"/>
        </w:rPr>
      </w:pPr>
      <w:r w:rsidRPr="00396C08">
        <w:rPr>
          <w:rFonts w:asciiTheme="minorHAnsi" w:hAnsiTheme="minorHAnsi" w:cstheme="minorHAnsi"/>
          <w:b/>
          <w:bCs/>
          <w:color w:val="0D0D0D" w:themeColor="text1" w:themeTint="F2"/>
          <w:sz w:val="22"/>
          <w:szCs w:val="22"/>
        </w:rPr>
        <w:lastRenderedPageBreak/>
        <w:t>RSF 3 Supporting Good Governance and particularly Financial Management</w:t>
      </w:r>
    </w:p>
    <w:tbl>
      <w:tblPr>
        <w:tblStyle w:val="TableGridLight"/>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095"/>
        <w:gridCol w:w="1843"/>
        <w:gridCol w:w="2410"/>
        <w:gridCol w:w="2409"/>
      </w:tblGrid>
      <w:tr w:rsidR="00396C08" w:rsidRPr="00396C08" w14:paraId="2FB42546" w14:textId="77777777" w:rsidTr="001E63B2">
        <w:trPr>
          <w:trHeight w:val="1223"/>
          <w:tblHeader/>
        </w:trPr>
        <w:tc>
          <w:tcPr>
            <w:tcW w:w="2552" w:type="dxa"/>
          </w:tcPr>
          <w:p w14:paraId="20CE0A32" w14:textId="3B09F0BE" w:rsidR="00D11CE6" w:rsidRPr="00396C08" w:rsidRDefault="00476815" w:rsidP="00FB424F">
            <w:pPr>
              <w:pStyle w:val="TableParagraph"/>
              <w:spacing w:before="240"/>
              <w:ind w:left="105" w:right="107"/>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Project title and link to relevant national reform direction and bilateral action</w:t>
            </w:r>
          </w:p>
        </w:tc>
        <w:tc>
          <w:tcPr>
            <w:tcW w:w="6095" w:type="dxa"/>
          </w:tcPr>
          <w:p w14:paraId="1B69EEFE" w14:textId="703DF16E" w:rsidR="00476815" w:rsidRPr="00396C08" w:rsidRDefault="00476815" w:rsidP="00476815">
            <w:pPr>
              <w:pStyle w:val="TableParagraph"/>
              <w:spacing w:before="240"/>
              <w:ind w:left="105" w:right="2365"/>
              <w:rPr>
                <w:rFonts w:ascii="Century Gothic"/>
                <w:color w:val="0D0D0D" w:themeColor="text1" w:themeTint="F2"/>
              </w:rPr>
            </w:pPr>
            <w:r w:rsidRPr="00396C08">
              <w:rPr>
                <w:rFonts w:asciiTheme="minorHAnsi" w:hAnsiTheme="minorHAnsi" w:cstheme="minorHAnsi"/>
                <w:b/>
                <w:bCs/>
                <w:color w:val="0D0D0D" w:themeColor="text1" w:themeTint="F2"/>
              </w:rPr>
              <w:t>Project description and activities</w:t>
            </w:r>
          </w:p>
        </w:tc>
        <w:tc>
          <w:tcPr>
            <w:tcW w:w="1843" w:type="dxa"/>
          </w:tcPr>
          <w:p w14:paraId="4A023D0C" w14:textId="7FD76F5A" w:rsidR="00476815" w:rsidRPr="00396C08" w:rsidRDefault="00476815" w:rsidP="00476815">
            <w:pPr>
              <w:pStyle w:val="TableParagraph"/>
              <w:spacing w:before="120"/>
              <w:rPr>
                <w:rFonts w:ascii="Century Gothic"/>
                <w:color w:val="0D0D0D" w:themeColor="text1" w:themeTint="F2"/>
              </w:rPr>
            </w:pPr>
            <w:r w:rsidRPr="00396C08">
              <w:rPr>
                <w:rFonts w:asciiTheme="minorHAnsi" w:hAnsiTheme="minorHAnsi" w:cstheme="minorHAnsi"/>
                <w:b/>
                <w:bCs/>
                <w:color w:val="0D0D0D" w:themeColor="text1" w:themeTint="F2"/>
              </w:rPr>
              <w:t>Indicative budget</w:t>
            </w:r>
          </w:p>
        </w:tc>
        <w:tc>
          <w:tcPr>
            <w:tcW w:w="2410" w:type="dxa"/>
          </w:tcPr>
          <w:p w14:paraId="52ECC6BB" w14:textId="21609018" w:rsidR="00476815" w:rsidRPr="00396C08" w:rsidRDefault="00476815" w:rsidP="00476815">
            <w:pPr>
              <w:pStyle w:val="TableParagraph"/>
              <w:spacing w:before="120"/>
              <w:ind w:left="105" w:right="1014"/>
              <w:rPr>
                <w:rFonts w:ascii="Century Gothic"/>
                <w:color w:val="0D0D0D" w:themeColor="text1" w:themeTint="F2"/>
              </w:rPr>
            </w:pPr>
            <w:r w:rsidRPr="00396C08">
              <w:rPr>
                <w:rFonts w:asciiTheme="minorHAnsi" w:hAnsiTheme="minorHAnsi" w:cstheme="minorHAnsi"/>
                <w:b/>
                <w:bCs/>
                <w:color w:val="0D0D0D" w:themeColor="text1" w:themeTint="F2"/>
              </w:rPr>
              <w:t>Expected outcomes</w:t>
            </w:r>
          </w:p>
        </w:tc>
        <w:tc>
          <w:tcPr>
            <w:tcW w:w="2409" w:type="dxa"/>
          </w:tcPr>
          <w:p w14:paraId="6090D7D0" w14:textId="4B409223" w:rsidR="00476815" w:rsidRPr="00396C08" w:rsidRDefault="00476815" w:rsidP="00476815">
            <w:pPr>
              <w:pStyle w:val="TableParagraph"/>
              <w:spacing w:before="120"/>
              <w:ind w:right="589"/>
              <w:rPr>
                <w:rFonts w:ascii="Century Gothic"/>
                <w:color w:val="0D0D0D" w:themeColor="text1" w:themeTint="F2"/>
              </w:rPr>
            </w:pPr>
            <w:r w:rsidRPr="00396C08">
              <w:rPr>
                <w:rFonts w:asciiTheme="minorHAnsi" w:hAnsiTheme="minorHAnsi" w:cstheme="minorHAnsi"/>
                <w:b/>
                <w:bCs/>
                <w:color w:val="0D0D0D" w:themeColor="text1" w:themeTint="F2"/>
              </w:rPr>
              <w:t>Indicators of success</w:t>
            </w:r>
          </w:p>
        </w:tc>
      </w:tr>
      <w:tr w:rsidR="00396C08" w:rsidRPr="00396C08" w14:paraId="70317CC6" w14:textId="77777777" w:rsidTr="001E63B2">
        <w:trPr>
          <w:trHeight w:val="1975"/>
        </w:trPr>
        <w:tc>
          <w:tcPr>
            <w:tcW w:w="2552" w:type="dxa"/>
          </w:tcPr>
          <w:p w14:paraId="2D06B8AF" w14:textId="77777777" w:rsidR="00D7230E" w:rsidRPr="00396C08" w:rsidRDefault="002736A4">
            <w:pPr>
              <w:pStyle w:val="TableParagraph"/>
              <w:ind w:left="105" w:right="205"/>
              <w:rPr>
                <w:b/>
                <w:color w:val="0D0D0D" w:themeColor="text1" w:themeTint="F2"/>
              </w:rPr>
            </w:pPr>
            <w:r w:rsidRPr="00396C08">
              <w:rPr>
                <w:color w:val="0D0D0D" w:themeColor="text1" w:themeTint="F2"/>
              </w:rPr>
              <w:t>Supporting Good Governance and Financial Management</w:t>
            </w:r>
          </w:p>
          <w:p w14:paraId="75E7EBA3" w14:textId="77777777" w:rsidR="00D7230E" w:rsidRPr="00396C08" w:rsidRDefault="00D7230E">
            <w:pPr>
              <w:pStyle w:val="TableParagraph"/>
              <w:ind w:left="0"/>
              <w:rPr>
                <w:rFonts w:ascii="Century Gothic"/>
                <w:b/>
                <w:color w:val="0D0D0D" w:themeColor="text1" w:themeTint="F2"/>
              </w:rPr>
            </w:pPr>
          </w:p>
          <w:p w14:paraId="5D47B2CA" w14:textId="77777777" w:rsidR="00D7230E" w:rsidRPr="00396C08" w:rsidRDefault="002736A4">
            <w:pPr>
              <w:pStyle w:val="TableParagraph"/>
              <w:spacing w:before="157"/>
              <w:ind w:left="105" w:right="280"/>
              <w:rPr>
                <w:b/>
                <w:i/>
                <w:color w:val="0D0D0D" w:themeColor="text1" w:themeTint="F2"/>
              </w:rPr>
            </w:pPr>
            <w:r w:rsidRPr="00396C08">
              <w:rPr>
                <w:i/>
                <w:color w:val="0D0D0D" w:themeColor="text1" w:themeTint="F2"/>
              </w:rPr>
              <w:t>NRD: Supporting teaching, school leadership and school improvement</w:t>
            </w:r>
          </w:p>
          <w:p w14:paraId="22A2E2D9" w14:textId="77777777" w:rsidR="00D7230E" w:rsidRPr="00396C08" w:rsidRDefault="002736A4">
            <w:pPr>
              <w:pStyle w:val="TableParagraph"/>
              <w:spacing w:before="80"/>
              <w:ind w:left="105" w:right="156"/>
              <w:rPr>
                <w:b/>
                <w:i/>
                <w:color w:val="0D0D0D" w:themeColor="text1" w:themeTint="F2"/>
              </w:rPr>
            </w:pPr>
            <w:r w:rsidRPr="00396C08">
              <w:rPr>
                <w:i/>
                <w:color w:val="0D0D0D" w:themeColor="text1" w:themeTint="F2"/>
              </w:rPr>
              <w:t>Bilateral: Provide support and services to schools through activities for governors, business managers and school leaders</w:t>
            </w:r>
          </w:p>
        </w:tc>
        <w:tc>
          <w:tcPr>
            <w:tcW w:w="6095" w:type="dxa"/>
          </w:tcPr>
          <w:p w14:paraId="1A43CEDE" w14:textId="77777777" w:rsidR="000A087F" w:rsidRPr="00396C08" w:rsidRDefault="000A087F" w:rsidP="000A087F">
            <w:pPr>
              <w:spacing w:after="80"/>
              <w:ind w:left="144" w:right="105"/>
              <w:rPr>
                <w:rFonts w:eastAsia="Times New Roman" w:cs="Times New Roman"/>
                <w:color w:val="0D0D0D" w:themeColor="text1" w:themeTint="F2"/>
              </w:rPr>
            </w:pPr>
            <w:r w:rsidRPr="00396C08">
              <w:rPr>
                <w:rFonts w:eastAsia="Times New Roman" w:cs="Times New Roman"/>
                <w:color w:val="0D0D0D" w:themeColor="text1" w:themeTint="F2"/>
              </w:rPr>
              <w:t>Information and support to Boards, Principals and Business Managers in targeted areas of regulatory compliance (incl. Financial Questionnaire and Accountability; Census; Student Attendance; and other key compliance activities) through:</w:t>
            </w:r>
          </w:p>
          <w:p w14:paraId="3663E248" w14:textId="77777777" w:rsidR="000A087F" w:rsidRPr="00396C08" w:rsidRDefault="000A087F" w:rsidP="000A087F">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school business leaders’ information events (online and face-to-face)</w:t>
            </w:r>
          </w:p>
          <w:p w14:paraId="30ECB082" w14:textId="77777777" w:rsidR="000A087F" w:rsidRPr="00396C08" w:rsidRDefault="000A087F" w:rsidP="000A087F">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webinars on school operations and financial management, including fraud control practices</w:t>
            </w:r>
          </w:p>
          <w:p w14:paraId="033C4897" w14:textId="77777777" w:rsidR="000A087F" w:rsidRPr="00396C08" w:rsidRDefault="000A087F" w:rsidP="000A087F">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support for new schools in achieving and sustaining accreditation criteria, and in creating financial sustainability through business planning.</w:t>
            </w:r>
          </w:p>
          <w:p w14:paraId="3AB988C5" w14:textId="77777777" w:rsidR="000A087F" w:rsidRPr="00396C08" w:rsidRDefault="000A087F" w:rsidP="000A087F">
            <w:pPr>
              <w:spacing w:after="80"/>
              <w:ind w:left="144" w:right="105"/>
              <w:rPr>
                <w:rFonts w:eastAsia="Times New Roman" w:cs="Times New Roman"/>
                <w:color w:val="0D0D0D" w:themeColor="text1" w:themeTint="F2"/>
              </w:rPr>
            </w:pPr>
            <w:r w:rsidRPr="00396C08">
              <w:rPr>
                <w:rFonts w:eastAsia="Times New Roman" w:cs="Times New Roman"/>
                <w:color w:val="0D0D0D" w:themeColor="text1" w:themeTint="F2"/>
              </w:rPr>
              <w:t>Developing corporate governance capacities of school Boards Directors, Principals and Business Managers, and supporting Board effectiveness through:</w:t>
            </w:r>
          </w:p>
          <w:p w14:paraId="7AC0C515" w14:textId="77777777" w:rsidR="000A087F" w:rsidRPr="00396C08" w:rsidRDefault="000A087F" w:rsidP="000A087F">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 xml:space="preserve">formal governance training delivered through the revised ISQ School Governance Course </w:t>
            </w:r>
          </w:p>
          <w:p w14:paraId="5055AD77" w14:textId="77777777" w:rsidR="000A087F" w:rsidRPr="00396C08" w:rsidRDefault="000A087F" w:rsidP="000A087F">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 xml:space="preserve">expansion of the suite of online training modules with content about education industry knowledge </w:t>
            </w:r>
          </w:p>
          <w:p w14:paraId="01EC8B5F" w14:textId="77777777" w:rsidR="000A087F" w:rsidRPr="00396C08" w:rsidRDefault="000A087F" w:rsidP="000A087F">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regular governance publication “Guide to Good Governance” featuring topics of importance for Board Directors</w:t>
            </w:r>
          </w:p>
          <w:p w14:paraId="5DD254CA" w14:textId="77777777" w:rsidR="00A53FD5" w:rsidRPr="00396C08" w:rsidRDefault="000A087F" w:rsidP="000A087F">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 xml:space="preserve">provision of customised Board advice, </w:t>
            </w:r>
            <w:proofErr w:type="gramStart"/>
            <w:r w:rsidRPr="00396C08">
              <w:rPr>
                <w:rFonts w:cs="Times New Roman"/>
                <w:color w:val="0D0D0D" w:themeColor="text1" w:themeTint="F2"/>
              </w:rPr>
              <w:t>training</w:t>
            </w:r>
            <w:proofErr w:type="gramEnd"/>
            <w:r w:rsidRPr="00396C08">
              <w:rPr>
                <w:rFonts w:cs="Times New Roman"/>
                <w:color w:val="0D0D0D" w:themeColor="text1" w:themeTint="F2"/>
              </w:rPr>
              <w:t xml:space="preserve"> and information in areas of strategic planning, risk management frameworks, cyber security, child safety, Board and Executive succession planning and governance frameworks</w:t>
            </w:r>
          </w:p>
          <w:p w14:paraId="5DE57526" w14:textId="4B56D912" w:rsidR="002C4B99" w:rsidRPr="00396C08" w:rsidRDefault="000A087F" w:rsidP="000A087F">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assistance for Boards in implementing governance improvement plans.</w:t>
            </w:r>
          </w:p>
        </w:tc>
        <w:tc>
          <w:tcPr>
            <w:tcW w:w="1843" w:type="dxa"/>
          </w:tcPr>
          <w:p w14:paraId="0D03AA66" w14:textId="07096707" w:rsidR="00A06887" w:rsidRPr="00396C08" w:rsidRDefault="00C46EC9" w:rsidP="00635AA9">
            <w:pPr>
              <w:spacing w:before="120" w:after="120"/>
              <w:ind w:left="100" w:right="-90"/>
              <w:rPr>
                <w:color w:val="0D0D0D" w:themeColor="text1" w:themeTint="F2"/>
              </w:rPr>
            </w:pPr>
            <w:r w:rsidRPr="00396C08">
              <w:rPr>
                <w:color w:val="0D0D0D" w:themeColor="text1" w:themeTint="F2"/>
              </w:rPr>
              <w:t xml:space="preserve">Reform support funding: </w:t>
            </w:r>
            <w:r w:rsidR="00A06887" w:rsidRPr="00396C08">
              <w:rPr>
                <w:color w:val="0D0D0D" w:themeColor="text1" w:themeTint="F2"/>
              </w:rPr>
              <w:t>$527</w:t>
            </w:r>
            <w:r w:rsidR="00185B7F" w:rsidRPr="00396C08">
              <w:rPr>
                <w:color w:val="0D0D0D" w:themeColor="text1" w:themeTint="F2"/>
              </w:rPr>
              <w:t>,</w:t>
            </w:r>
            <w:r w:rsidR="00A06887" w:rsidRPr="00396C08">
              <w:rPr>
                <w:color w:val="0D0D0D" w:themeColor="text1" w:themeTint="F2"/>
              </w:rPr>
              <w:t>797</w:t>
            </w:r>
          </w:p>
          <w:p w14:paraId="1756D952" w14:textId="35E95375" w:rsidR="00C46EC9" w:rsidRPr="00396C08" w:rsidRDefault="00C46EC9" w:rsidP="00635AA9">
            <w:pPr>
              <w:spacing w:before="120" w:after="120"/>
              <w:ind w:left="100" w:right="-90"/>
              <w:rPr>
                <w:color w:val="0D0D0D" w:themeColor="text1" w:themeTint="F2"/>
              </w:rPr>
            </w:pPr>
            <w:r w:rsidRPr="00396C08">
              <w:rPr>
                <w:color w:val="0D0D0D" w:themeColor="text1" w:themeTint="F2"/>
              </w:rPr>
              <w:t>Other funding: $</w:t>
            </w:r>
            <w:r w:rsidR="00D62581" w:rsidRPr="00396C08">
              <w:rPr>
                <w:color w:val="0D0D0D" w:themeColor="text1" w:themeTint="F2"/>
              </w:rPr>
              <w:t>235,000</w:t>
            </w:r>
          </w:p>
          <w:p w14:paraId="39F4B663" w14:textId="77777777" w:rsidR="00D7230E" w:rsidRPr="00396C08" w:rsidRDefault="00D7230E" w:rsidP="0062202B">
            <w:pPr>
              <w:pStyle w:val="TableParagraph"/>
              <w:spacing w:before="79"/>
              <w:ind w:left="76" w:right="195"/>
              <w:rPr>
                <w:color w:val="0D0D0D" w:themeColor="text1" w:themeTint="F2"/>
              </w:rPr>
            </w:pPr>
          </w:p>
          <w:p w14:paraId="46CC163C" w14:textId="40917DFB" w:rsidR="00A06887" w:rsidRPr="00396C08" w:rsidRDefault="00D62581" w:rsidP="00185B7F">
            <w:pPr>
              <w:pStyle w:val="TableParagraph"/>
              <w:spacing w:before="79"/>
              <w:ind w:left="76" w:right="195"/>
              <w:rPr>
                <w:color w:val="0D0D0D" w:themeColor="text1" w:themeTint="F2"/>
              </w:rPr>
            </w:pPr>
            <w:r w:rsidRPr="00396C08">
              <w:rPr>
                <w:color w:val="0D0D0D" w:themeColor="text1" w:themeTint="F2"/>
              </w:rPr>
              <w:t>Total</w:t>
            </w:r>
            <w:r w:rsidR="00185B7F" w:rsidRPr="00396C08">
              <w:rPr>
                <w:color w:val="0D0D0D" w:themeColor="text1" w:themeTint="F2"/>
              </w:rPr>
              <w:t xml:space="preserve">: </w:t>
            </w:r>
            <w:r w:rsidR="00A06887" w:rsidRPr="00396C08">
              <w:rPr>
                <w:color w:val="0D0D0D" w:themeColor="text1" w:themeTint="F2"/>
              </w:rPr>
              <w:t>$762,797</w:t>
            </w:r>
          </w:p>
        </w:tc>
        <w:tc>
          <w:tcPr>
            <w:tcW w:w="2410" w:type="dxa"/>
          </w:tcPr>
          <w:p w14:paraId="1A9588FF" w14:textId="77777777" w:rsidR="003672EC" w:rsidRPr="00396C08" w:rsidRDefault="003672EC" w:rsidP="00711C59">
            <w:pPr>
              <w:spacing w:after="80"/>
              <w:ind w:left="127" w:right="105"/>
              <w:rPr>
                <w:rFonts w:eastAsia="Times New Roman" w:cs="Times New Roman"/>
                <w:color w:val="0D0D0D" w:themeColor="text1" w:themeTint="F2"/>
              </w:rPr>
            </w:pPr>
            <w:r w:rsidRPr="00396C08">
              <w:rPr>
                <w:rFonts w:eastAsia="Times New Roman" w:cs="Times New Roman"/>
                <w:color w:val="0D0D0D" w:themeColor="text1" w:themeTint="F2"/>
              </w:rPr>
              <w:t>Board Directors’ knowledge of good corporate governance is increased.</w:t>
            </w:r>
          </w:p>
          <w:p w14:paraId="75B56464" w14:textId="77777777" w:rsidR="003672EC" w:rsidRPr="00396C08" w:rsidRDefault="003672EC" w:rsidP="00711C59">
            <w:pPr>
              <w:spacing w:after="80"/>
              <w:ind w:left="127" w:right="105"/>
              <w:rPr>
                <w:rFonts w:eastAsia="Times New Roman" w:cs="Times New Roman"/>
                <w:color w:val="0D0D0D" w:themeColor="text1" w:themeTint="F2"/>
              </w:rPr>
            </w:pPr>
            <w:r w:rsidRPr="00396C08">
              <w:rPr>
                <w:rFonts w:eastAsia="Times New Roman" w:cs="Times New Roman"/>
                <w:color w:val="0D0D0D" w:themeColor="text1" w:themeTint="F2"/>
              </w:rPr>
              <w:t>Access to high-quality school governance training is improved.</w:t>
            </w:r>
          </w:p>
          <w:p w14:paraId="4AD954A7" w14:textId="77777777" w:rsidR="003672EC" w:rsidRPr="00396C08" w:rsidRDefault="003672EC" w:rsidP="00711C59">
            <w:pPr>
              <w:spacing w:after="80"/>
              <w:ind w:left="127" w:right="105"/>
              <w:rPr>
                <w:rFonts w:eastAsia="Times New Roman" w:cs="Times New Roman"/>
                <w:color w:val="0D0D0D" w:themeColor="text1" w:themeTint="F2"/>
              </w:rPr>
            </w:pPr>
            <w:r w:rsidRPr="00396C08">
              <w:rPr>
                <w:rFonts w:eastAsia="Times New Roman" w:cs="Times New Roman"/>
                <w:color w:val="0D0D0D" w:themeColor="text1" w:themeTint="F2"/>
              </w:rPr>
              <w:t>Board Directors’ and school leaders’ school finance monitoring capabilities are increased.</w:t>
            </w:r>
          </w:p>
          <w:p w14:paraId="0E915C1E" w14:textId="77777777" w:rsidR="003672EC" w:rsidRPr="00396C08" w:rsidRDefault="003672EC" w:rsidP="00711C59">
            <w:pPr>
              <w:spacing w:after="80"/>
              <w:ind w:left="127" w:right="105"/>
              <w:rPr>
                <w:rFonts w:eastAsia="Times New Roman" w:cs="Times New Roman"/>
                <w:color w:val="0D0D0D" w:themeColor="text1" w:themeTint="F2"/>
              </w:rPr>
            </w:pPr>
            <w:r w:rsidRPr="00396C08">
              <w:rPr>
                <w:rFonts w:eastAsia="Times New Roman" w:cs="Times New Roman"/>
                <w:color w:val="0D0D0D" w:themeColor="text1" w:themeTint="F2"/>
              </w:rPr>
              <w:t>The number of Boards enacting effective corporate governance practices is increased.</w:t>
            </w:r>
          </w:p>
          <w:p w14:paraId="6D08CED1" w14:textId="14AAB58E" w:rsidR="000A087F" w:rsidRPr="00396C08" w:rsidRDefault="000A087F" w:rsidP="000A087F">
            <w:pPr>
              <w:spacing w:after="80"/>
              <w:ind w:left="144" w:right="105"/>
              <w:rPr>
                <w:rFonts w:eastAsia="Times New Roman" w:cs="Times New Roman"/>
                <w:color w:val="0D0D0D" w:themeColor="text1" w:themeTint="F2"/>
              </w:rPr>
            </w:pPr>
          </w:p>
          <w:p w14:paraId="1E7DD710" w14:textId="34B01FFB" w:rsidR="00D7230E" w:rsidRPr="00396C08" w:rsidRDefault="00D7230E" w:rsidP="0062202B">
            <w:pPr>
              <w:pStyle w:val="TableParagraph"/>
              <w:spacing w:before="80" w:after="80"/>
              <w:ind w:left="144" w:right="105"/>
              <w:rPr>
                <w:rFonts w:eastAsia="Times New Roman" w:cs="Times New Roman"/>
                <w:color w:val="0D0D0D" w:themeColor="text1" w:themeTint="F2"/>
              </w:rPr>
            </w:pPr>
          </w:p>
        </w:tc>
        <w:tc>
          <w:tcPr>
            <w:tcW w:w="2409" w:type="dxa"/>
          </w:tcPr>
          <w:p w14:paraId="7715FDEE" w14:textId="77777777" w:rsidR="009C2903" w:rsidRPr="00396C08" w:rsidRDefault="009C2903" w:rsidP="009C2903">
            <w:pPr>
              <w:spacing w:after="80"/>
              <w:ind w:left="144" w:right="105"/>
              <w:rPr>
                <w:rFonts w:eastAsia="Times New Roman" w:cs="Times New Roman"/>
                <w:color w:val="0D0D0D" w:themeColor="text1" w:themeTint="F2"/>
              </w:rPr>
            </w:pPr>
            <w:r w:rsidRPr="00396C08">
              <w:rPr>
                <w:rFonts w:eastAsia="Times New Roman" w:cs="Times New Roman"/>
                <w:color w:val="0D0D0D" w:themeColor="text1" w:themeTint="F2"/>
              </w:rPr>
              <w:t>50 or more sign-ups to the revised ISQ School Governance Course</w:t>
            </w:r>
          </w:p>
          <w:p w14:paraId="21BB81AF" w14:textId="77777777" w:rsidR="009C2903" w:rsidRPr="00396C08" w:rsidRDefault="009C2903" w:rsidP="009C2903">
            <w:pPr>
              <w:spacing w:after="80"/>
              <w:ind w:left="144" w:right="105"/>
              <w:rPr>
                <w:rFonts w:eastAsia="Times New Roman" w:cs="Times New Roman"/>
                <w:color w:val="0D0D0D" w:themeColor="text1" w:themeTint="F2"/>
              </w:rPr>
            </w:pPr>
            <w:r w:rsidRPr="00396C08">
              <w:rPr>
                <w:rFonts w:eastAsia="Times New Roman" w:cs="Times New Roman"/>
                <w:color w:val="0D0D0D" w:themeColor="text1" w:themeTint="F2"/>
              </w:rPr>
              <w:t>75 or more schools represented by at least one school member participating in the ISQ Governance Program.</w:t>
            </w:r>
          </w:p>
          <w:p w14:paraId="316AD18B" w14:textId="77777777" w:rsidR="009C2903" w:rsidRPr="00396C08" w:rsidRDefault="009C2903" w:rsidP="009C2903">
            <w:pPr>
              <w:spacing w:after="80"/>
              <w:ind w:left="144" w:right="105"/>
              <w:rPr>
                <w:rFonts w:eastAsia="Times New Roman" w:cs="Times New Roman"/>
                <w:color w:val="0D0D0D" w:themeColor="text1" w:themeTint="F2"/>
              </w:rPr>
            </w:pPr>
            <w:r w:rsidRPr="00396C08">
              <w:rPr>
                <w:rFonts w:eastAsia="Times New Roman" w:cs="Times New Roman"/>
                <w:color w:val="0D0D0D" w:themeColor="text1" w:themeTint="F2"/>
              </w:rPr>
              <w:t>At least 150 combined completions of ISQ’s self-paced financial management modules and webinars on financial management.</w:t>
            </w:r>
          </w:p>
          <w:p w14:paraId="69F59976" w14:textId="77777777" w:rsidR="009C2903" w:rsidRPr="00396C08" w:rsidRDefault="009C2903" w:rsidP="009C2903">
            <w:pPr>
              <w:spacing w:after="80"/>
              <w:ind w:left="144" w:right="105"/>
              <w:rPr>
                <w:rFonts w:eastAsia="Times New Roman" w:cs="Times New Roman"/>
                <w:color w:val="0D0D0D" w:themeColor="text1" w:themeTint="F2"/>
              </w:rPr>
            </w:pPr>
            <w:r w:rsidRPr="00396C08">
              <w:rPr>
                <w:rFonts w:eastAsia="Times New Roman" w:cs="Times New Roman"/>
                <w:color w:val="0D0D0D" w:themeColor="text1" w:themeTint="F2"/>
              </w:rPr>
              <w:t>15 or more in-depth Board or Operational reviews facilitated by ISQ.</w:t>
            </w:r>
          </w:p>
          <w:p w14:paraId="5CB03D6E" w14:textId="7B89F8AD" w:rsidR="00D7230E" w:rsidRPr="00396C08" w:rsidRDefault="00D7230E" w:rsidP="009C2903">
            <w:pPr>
              <w:spacing w:after="80"/>
              <w:ind w:left="144" w:right="105"/>
              <w:rPr>
                <w:color w:val="0D0D0D" w:themeColor="text1" w:themeTint="F2"/>
              </w:rPr>
            </w:pPr>
          </w:p>
        </w:tc>
      </w:tr>
    </w:tbl>
    <w:p w14:paraId="358CB3A3" w14:textId="77777777" w:rsidR="00D7230E" w:rsidRPr="00396C08" w:rsidRDefault="00D7230E">
      <w:pPr>
        <w:rPr>
          <w:color w:val="0D0D0D" w:themeColor="text1" w:themeTint="F2"/>
          <w:sz w:val="18"/>
        </w:rPr>
        <w:sectPr w:rsidR="00D7230E" w:rsidRPr="00396C08" w:rsidSect="00FB424F">
          <w:pgSz w:w="16840" w:h="11910" w:orient="landscape"/>
          <w:pgMar w:top="568" w:right="940" w:bottom="1040" w:left="1300" w:header="288" w:footer="844" w:gutter="0"/>
          <w:cols w:space="720"/>
        </w:sectPr>
      </w:pPr>
    </w:p>
    <w:p w14:paraId="4C2E8C04" w14:textId="50B52E5F" w:rsidR="0062202B" w:rsidRPr="00396C08" w:rsidRDefault="0062202B" w:rsidP="00FB424F">
      <w:pPr>
        <w:pStyle w:val="Heading3"/>
        <w:spacing w:line="480" w:lineRule="auto"/>
        <w:ind w:left="-426"/>
        <w:rPr>
          <w:rFonts w:asciiTheme="minorHAnsi" w:hAnsiTheme="minorHAnsi" w:cstheme="minorHAnsi"/>
          <w:b/>
          <w:bCs/>
          <w:color w:val="0D0D0D" w:themeColor="text1" w:themeTint="F2"/>
          <w:sz w:val="22"/>
          <w:szCs w:val="22"/>
        </w:rPr>
      </w:pPr>
      <w:r w:rsidRPr="00396C08">
        <w:rPr>
          <w:rFonts w:asciiTheme="minorHAnsi" w:hAnsiTheme="minorHAnsi" w:cstheme="minorHAnsi"/>
          <w:b/>
          <w:bCs/>
          <w:color w:val="0D0D0D" w:themeColor="text1" w:themeTint="F2"/>
          <w:sz w:val="22"/>
          <w:szCs w:val="22"/>
        </w:rPr>
        <w:lastRenderedPageBreak/>
        <w:t xml:space="preserve">RSF 4 </w:t>
      </w:r>
      <w:r w:rsidR="00574A28" w:rsidRPr="00396C08">
        <w:rPr>
          <w:rFonts w:asciiTheme="minorHAnsi" w:hAnsiTheme="minorHAnsi" w:cstheme="minorHAnsi"/>
          <w:b/>
          <w:bCs/>
          <w:color w:val="0D0D0D" w:themeColor="text1" w:themeTint="F2"/>
          <w:sz w:val="22"/>
          <w:szCs w:val="22"/>
        </w:rPr>
        <w:t>Empowering School Self Improvement</w:t>
      </w:r>
    </w:p>
    <w:tbl>
      <w:tblPr>
        <w:tblStyle w:val="TableGridLight"/>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111"/>
        <w:gridCol w:w="1843"/>
        <w:gridCol w:w="3118"/>
        <w:gridCol w:w="3544"/>
      </w:tblGrid>
      <w:tr w:rsidR="00396C08" w:rsidRPr="00396C08" w14:paraId="2243FDFB" w14:textId="77777777" w:rsidTr="00FB424F">
        <w:trPr>
          <w:trHeight w:val="1383"/>
          <w:tblHeader/>
        </w:trPr>
        <w:tc>
          <w:tcPr>
            <w:tcW w:w="2836" w:type="dxa"/>
          </w:tcPr>
          <w:p w14:paraId="782247FF" w14:textId="1706E044" w:rsidR="00476815" w:rsidRPr="00396C08" w:rsidRDefault="00476815" w:rsidP="00476815">
            <w:pPr>
              <w:pStyle w:val="TableParagraph"/>
              <w:spacing w:before="120"/>
              <w:ind w:right="96"/>
              <w:rPr>
                <w:rFonts w:ascii="Century Gothic"/>
                <w:color w:val="0D0D0D" w:themeColor="text1" w:themeTint="F2"/>
              </w:rPr>
            </w:pPr>
            <w:r w:rsidRPr="00396C08">
              <w:rPr>
                <w:rFonts w:asciiTheme="minorHAnsi" w:hAnsiTheme="minorHAnsi" w:cstheme="minorHAnsi"/>
                <w:b/>
                <w:bCs/>
                <w:color w:val="0D0D0D" w:themeColor="text1" w:themeTint="F2"/>
              </w:rPr>
              <w:t>Project title and link to relevant national reform direction and bilateral action</w:t>
            </w:r>
          </w:p>
        </w:tc>
        <w:tc>
          <w:tcPr>
            <w:tcW w:w="4111" w:type="dxa"/>
          </w:tcPr>
          <w:p w14:paraId="56310223" w14:textId="23388566" w:rsidR="00476815" w:rsidRPr="00396C08" w:rsidRDefault="00476815" w:rsidP="00476815">
            <w:pPr>
              <w:pStyle w:val="TableParagraph"/>
              <w:spacing w:before="120"/>
              <w:ind w:right="70"/>
              <w:rPr>
                <w:rFonts w:ascii="Century Gothic"/>
                <w:color w:val="0D0D0D" w:themeColor="text1" w:themeTint="F2"/>
              </w:rPr>
            </w:pPr>
            <w:r w:rsidRPr="00396C08">
              <w:rPr>
                <w:rFonts w:asciiTheme="minorHAnsi" w:hAnsiTheme="minorHAnsi" w:cstheme="minorHAnsi"/>
                <w:b/>
                <w:bCs/>
                <w:color w:val="0D0D0D" w:themeColor="text1" w:themeTint="F2"/>
              </w:rPr>
              <w:t>Project description and activities</w:t>
            </w:r>
          </w:p>
        </w:tc>
        <w:tc>
          <w:tcPr>
            <w:tcW w:w="1843" w:type="dxa"/>
          </w:tcPr>
          <w:p w14:paraId="312BE656" w14:textId="39CC1A7E" w:rsidR="00476815" w:rsidRPr="00396C08" w:rsidRDefault="00476815" w:rsidP="00476815">
            <w:pPr>
              <w:pStyle w:val="TableParagraph"/>
              <w:spacing w:before="120"/>
              <w:ind w:left="111"/>
              <w:rPr>
                <w:rFonts w:ascii="Century Gothic"/>
                <w:color w:val="0D0D0D" w:themeColor="text1" w:themeTint="F2"/>
              </w:rPr>
            </w:pPr>
            <w:r w:rsidRPr="00396C08">
              <w:rPr>
                <w:rFonts w:asciiTheme="minorHAnsi" w:hAnsiTheme="minorHAnsi" w:cstheme="minorHAnsi"/>
                <w:b/>
                <w:bCs/>
                <w:color w:val="0D0D0D" w:themeColor="text1" w:themeTint="F2"/>
              </w:rPr>
              <w:t>Indicative budget</w:t>
            </w:r>
          </w:p>
        </w:tc>
        <w:tc>
          <w:tcPr>
            <w:tcW w:w="3118" w:type="dxa"/>
          </w:tcPr>
          <w:p w14:paraId="7C30411D" w14:textId="1E4D9AD6" w:rsidR="00476815" w:rsidRPr="00396C08" w:rsidRDefault="00476815" w:rsidP="00476815">
            <w:pPr>
              <w:pStyle w:val="TableParagraph"/>
              <w:spacing w:before="120"/>
              <w:ind w:left="112"/>
              <w:rPr>
                <w:rFonts w:ascii="Century Gothic"/>
                <w:color w:val="0D0D0D" w:themeColor="text1" w:themeTint="F2"/>
              </w:rPr>
            </w:pPr>
            <w:r w:rsidRPr="00396C08">
              <w:rPr>
                <w:rFonts w:asciiTheme="minorHAnsi" w:hAnsiTheme="minorHAnsi" w:cstheme="minorHAnsi"/>
                <w:b/>
                <w:bCs/>
                <w:color w:val="0D0D0D" w:themeColor="text1" w:themeTint="F2"/>
              </w:rPr>
              <w:t>Expected outcomes</w:t>
            </w:r>
          </w:p>
        </w:tc>
        <w:tc>
          <w:tcPr>
            <w:tcW w:w="3544" w:type="dxa"/>
          </w:tcPr>
          <w:p w14:paraId="623EE780" w14:textId="1C112730" w:rsidR="00476815" w:rsidRPr="00396C08" w:rsidRDefault="00476815" w:rsidP="00476815">
            <w:pPr>
              <w:pStyle w:val="TableParagraph"/>
              <w:spacing w:before="120"/>
              <w:ind w:left="113"/>
              <w:rPr>
                <w:rFonts w:ascii="Century Gothic"/>
                <w:color w:val="0D0D0D" w:themeColor="text1" w:themeTint="F2"/>
              </w:rPr>
            </w:pPr>
            <w:r w:rsidRPr="00396C08">
              <w:rPr>
                <w:rFonts w:asciiTheme="minorHAnsi" w:hAnsiTheme="minorHAnsi" w:cstheme="minorHAnsi"/>
                <w:b/>
                <w:bCs/>
                <w:color w:val="0D0D0D" w:themeColor="text1" w:themeTint="F2"/>
              </w:rPr>
              <w:t>Indicators of success</w:t>
            </w:r>
          </w:p>
        </w:tc>
      </w:tr>
      <w:tr w:rsidR="00396C08" w:rsidRPr="00396C08" w14:paraId="7AB039A9" w14:textId="77777777" w:rsidTr="00716BEB">
        <w:trPr>
          <w:trHeight w:val="7946"/>
        </w:trPr>
        <w:tc>
          <w:tcPr>
            <w:tcW w:w="2836" w:type="dxa"/>
          </w:tcPr>
          <w:p w14:paraId="25734FEA" w14:textId="77777777" w:rsidR="00D7230E" w:rsidRPr="00396C08" w:rsidRDefault="002736A4">
            <w:pPr>
              <w:pStyle w:val="TableParagraph"/>
              <w:spacing w:before="2"/>
              <w:ind w:right="379"/>
              <w:rPr>
                <w:b/>
                <w:color w:val="0D0D0D" w:themeColor="text1" w:themeTint="F2"/>
              </w:rPr>
            </w:pPr>
            <w:r w:rsidRPr="00396C08">
              <w:rPr>
                <w:b/>
                <w:color w:val="0D0D0D" w:themeColor="text1" w:themeTint="F2"/>
              </w:rPr>
              <w:t>Empowering School Self Improvement</w:t>
            </w:r>
          </w:p>
          <w:p w14:paraId="53CD93A8" w14:textId="77777777" w:rsidR="00D7230E" w:rsidRPr="00396C08" w:rsidRDefault="00D7230E">
            <w:pPr>
              <w:pStyle w:val="TableParagraph"/>
              <w:ind w:left="0"/>
              <w:rPr>
                <w:rFonts w:ascii="Century Gothic"/>
                <w:b/>
                <w:color w:val="0D0D0D" w:themeColor="text1" w:themeTint="F2"/>
              </w:rPr>
            </w:pPr>
          </w:p>
          <w:p w14:paraId="10A67118" w14:textId="77777777" w:rsidR="00D7230E" w:rsidRPr="00396C08" w:rsidRDefault="002736A4">
            <w:pPr>
              <w:pStyle w:val="TableParagraph"/>
              <w:spacing w:before="155"/>
              <w:ind w:right="301"/>
              <w:rPr>
                <w:b/>
                <w:i/>
                <w:color w:val="0D0D0D" w:themeColor="text1" w:themeTint="F2"/>
              </w:rPr>
            </w:pPr>
            <w:r w:rsidRPr="00396C08">
              <w:rPr>
                <w:b/>
                <w:i/>
                <w:color w:val="0D0D0D" w:themeColor="text1" w:themeTint="F2"/>
              </w:rPr>
              <w:t>NRD: Supporting students, student learning and student achievement</w:t>
            </w:r>
          </w:p>
          <w:p w14:paraId="3BC8EF96" w14:textId="77777777" w:rsidR="00D7230E" w:rsidRPr="00396C08" w:rsidRDefault="002736A4">
            <w:pPr>
              <w:pStyle w:val="TableParagraph"/>
              <w:spacing w:before="82"/>
              <w:ind w:right="181"/>
              <w:rPr>
                <w:b/>
                <w:i/>
                <w:color w:val="0D0D0D" w:themeColor="text1" w:themeTint="F2"/>
              </w:rPr>
            </w:pPr>
            <w:r w:rsidRPr="00396C08">
              <w:rPr>
                <w:b/>
                <w:i/>
                <w:color w:val="0D0D0D" w:themeColor="text1" w:themeTint="F2"/>
              </w:rPr>
              <w:t>Bilateral: Deliver the Self-Improving Schools Program to support schools to assess their effectiveness, plan for continuous improvement and embed new processes</w:t>
            </w:r>
          </w:p>
          <w:p w14:paraId="4EE8A1B3" w14:textId="77777777" w:rsidR="00AB77B6" w:rsidRPr="00396C08" w:rsidRDefault="00AB77B6" w:rsidP="00AB77B6">
            <w:pPr>
              <w:rPr>
                <w:color w:val="0D0D0D" w:themeColor="text1" w:themeTint="F2"/>
              </w:rPr>
            </w:pPr>
          </w:p>
          <w:p w14:paraId="2D3BAB7D" w14:textId="77777777" w:rsidR="00AB77B6" w:rsidRPr="00396C08" w:rsidRDefault="00AB77B6" w:rsidP="00AB77B6">
            <w:pPr>
              <w:rPr>
                <w:color w:val="0D0D0D" w:themeColor="text1" w:themeTint="F2"/>
              </w:rPr>
            </w:pPr>
          </w:p>
          <w:p w14:paraId="486A5397" w14:textId="77777777" w:rsidR="00AB77B6" w:rsidRPr="00396C08" w:rsidRDefault="00AB77B6" w:rsidP="00AB77B6">
            <w:pPr>
              <w:rPr>
                <w:color w:val="0D0D0D" w:themeColor="text1" w:themeTint="F2"/>
              </w:rPr>
            </w:pPr>
          </w:p>
          <w:p w14:paraId="0387143A" w14:textId="77777777" w:rsidR="00AB77B6" w:rsidRPr="00396C08" w:rsidRDefault="00AB77B6" w:rsidP="00AB77B6">
            <w:pPr>
              <w:rPr>
                <w:color w:val="0D0D0D" w:themeColor="text1" w:themeTint="F2"/>
              </w:rPr>
            </w:pPr>
          </w:p>
          <w:p w14:paraId="0A07AF3C" w14:textId="77777777" w:rsidR="00AB77B6" w:rsidRPr="00396C08" w:rsidRDefault="00AB77B6" w:rsidP="00AB77B6">
            <w:pPr>
              <w:rPr>
                <w:color w:val="0D0D0D" w:themeColor="text1" w:themeTint="F2"/>
              </w:rPr>
            </w:pPr>
          </w:p>
          <w:p w14:paraId="45189E85" w14:textId="77777777" w:rsidR="00AB77B6" w:rsidRPr="00396C08" w:rsidRDefault="00AB77B6" w:rsidP="00AB77B6">
            <w:pPr>
              <w:rPr>
                <w:color w:val="0D0D0D" w:themeColor="text1" w:themeTint="F2"/>
              </w:rPr>
            </w:pPr>
          </w:p>
          <w:p w14:paraId="2146D5FC" w14:textId="77777777" w:rsidR="00AB77B6" w:rsidRPr="00396C08" w:rsidRDefault="00AB77B6" w:rsidP="00AB77B6">
            <w:pPr>
              <w:rPr>
                <w:color w:val="0D0D0D" w:themeColor="text1" w:themeTint="F2"/>
              </w:rPr>
            </w:pPr>
          </w:p>
          <w:p w14:paraId="5C4D701F" w14:textId="16CB7257" w:rsidR="00AB77B6" w:rsidRPr="00396C08" w:rsidRDefault="00AB77B6" w:rsidP="00AB77B6">
            <w:pPr>
              <w:rPr>
                <w:color w:val="0D0D0D" w:themeColor="text1" w:themeTint="F2"/>
              </w:rPr>
            </w:pPr>
          </w:p>
        </w:tc>
        <w:tc>
          <w:tcPr>
            <w:tcW w:w="4111" w:type="dxa"/>
          </w:tcPr>
          <w:p w14:paraId="5BEC0B77" w14:textId="748EE6B9" w:rsidR="00AC41FC" w:rsidRPr="00396C08" w:rsidRDefault="00AC41FC" w:rsidP="00574A28">
            <w:pPr>
              <w:spacing w:after="80"/>
              <w:ind w:left="142" w:right="138"/>
              <w:rPr>
                <w:rFonts w:cs="Times New Roman"/>
                <w:color w:val="0D0D0D" w:themeColor="text1" w:themeTint="F2"/>
              </w:rPr>
            </w:pPr>
            <w:r w:rsidRPr="00396C08">
              <w:rPr>
                <w:rFonts w:cs="Times New Roman"/>
                <w:color w:val="0D0D0D" w:themeColor="text1" w:themeTint="F2"/>
              </w:rPr>
              <w:t xml:space="preserve">Supporting </w:t>
            </w:r>
            <w:r w:rsidR="000B3F0B" w:rsidRPr="00396C08">
              <w:rPr>
                <w:rFonts w:cs="Times New Roman"/>
                <w:color w:val="0D0D0D" w:themeColor="text1" w:themeTint="F2"/>
              </w:rPr>
              <w:t>s</w:t>
            </w:r>
            <w:r w:rsidRPr="00396C08">
              <w:rPr>
                <w:rFonts w:cs="Times New Roman"/>
                <w:color w:val="0D0D0D" w:themeColor="text1" w:themeTint="F2"/>
              </w:rPr>
              <w:t xml:space="preserve">chool </w:t>
            </w:r>
            <w:r w:rsidR="000B3F0B" w:rsidRPr="00396C08">
              <w:rPr>
                <w:rFonts w:cs="Times New Roman"/>
                <w:color w:val="0D0D0D" w:themeColor="text1" w:themeTint="F2"/>
              </w:rPr>
              <w:t>i</w:t>
            </w:r>
            <w:r w:rsidRPr="00396C08">
              <w:rPr>
                <w:rFonts w:cs="Times New Roman"/>
                <w:color w:val="0D0D0D" w:themeColor="text1" w:themeTint="F2"/>
              </w:rPr>
              <w:t>mprovement work to assist schools in assessing their effectiveness and plan for continuous improvement.</w:t>
            </w:r>
          </w:p>
          <w:p w14:paraId="293635E1" w14:textId="2471A8F3" w:rsidR="00344393" w:rsidRPr="00396C08" w:rsidRDefault="00344393" w:rsidP="00574A28">
            <w:pPr>
              <w:spacing w:after="80"/>
              <w:ind w:left="142" w:right="138"/>
              <w:rPr>
                <w:rFonts w:cs="Times New Roman"/>
                <w:color w:val="0D0D0D" w:themeColor="text1" w:themeTint="F2"/>
              </w:rPr>
            </w:pPr>
            <w:r w:rsidRPr="00396C08">
              <w:rPr>
                <w:rFonts w:cs="Times New Roman"/>
                <w:color w:val="0D0D0D" w:themeColor="text1" w:themeTint="F2"/>
              </w:rPr>
              <w:t>Supporting schools to respond to any Non-State School Accreditation Board cyclical review requirements.</w:t>
            </w:r>
          </w:p>
          <w:p w14:paraId="0980B57E" w14:textId="77777777" w:rsidR="00AC41FC" w:rsidRPr="00396C08" w:rsidRDefault="00AC41FC" w:rsidP="00574A28">
            <w:pPr>
              <w:spacing w:after="80"/>
              <w:ind w:left="142" w:right="138"/>
              <w:rPr>
                <w:rFonts w:cs="Times New Roman"/>
                <w:color w:val="0D0D0D" w:themeColor="text1" w:themeTint="F2"/>
              </w:rPr>
            </w:pPr>
            <w:r w:rsidRPr="00396C08">
              <w:rPr>
                <w:rFonts w:cs="Times New Roman"/>
                <w:color w:val="0D0D0D" w:themeColor="text1" w:themeTint="F2"/>
              </w:rPr>
              <w:t>Empowering of school teams to undertake self-directed change to improve school performance, student learning and teacher practice.</w:t>
            </w:r>
          </w:p>
          <w:p w14:paraId="29BF4D69" w14:textId="14CF8EFE" w:rsidR="00AC41FC" w:rsidRPr="00396C08" w:rsidRDefault="00AC41FC" w:rsidP="00574A28">
            <w:pPr>
              <w:spacing w:after="80"/>
              <w:ind w:left="142" w:right="138"/>
              <w:rPr>
                <w:rFonts w:cs="Times New Roman"/>
                <w:color w:val="0D0D0D" w:themeColor="text1" w:themeTint="F2"/>
              </w:rPr>
            </w:pPr>
            <w:r w:rsidRPr="00396C08">
              <w:rPr>
                <w:rFonts w:cs="Times New Roman"/>
                <w:color w:val="0D0D0D" w:themeColor="text1" w:themeTint="F2"/>
              </w:rPr>
              <w:t>Supporting participating schools to conduct a self-assessment, identify priorities for change, implement an action plan and embed a cycle of school improvement.</w:t>
            </w:r>
            <w:r w:rsidR="009A7CE2" w:rsidRPr="00396C08">
              <w:rPr>
                <w:rFonts w:cs="Times New Roman"/>
                <w:color w:val="0D0D0D" w:themeColor="text1" w:themeTint="F2"/>
              </w:rPr>
              <w:t xml:space="preserve"> Priorities often identified and supported include:</w:t>
            </w:r>
          </w:p>
          <w:p w14:paraId="2ACA3C5B" w14:textId="77777777" w:rsidR="00B35A23" w:rsidRPr="00396C08" w:rsidRDefault="00B35A23" w:rsidP="00047874">
            <w:pPr>
              <w:pStyle w:val="ListParagraph"/>
              <w:numPr>
                <w:ilvl w:val="0"/>
                <w:numId w:val="28"/>
              </w:numPr>
              <w:spacing w:before="0"/>
              <w:ind w:left="561" w:right="136" w:hanging="357"/>
              <w:rPr>
                <w:rFonts w:cs="Times New Roman"/>
                <w:color w:val="0D0D0D" w:themeColor="text1" w:themeTint="F2"/>
              </w:rPr>
            </w:pPr>
            <w:r w:rsidRPr="00396C08">
              <w:rPr>
                <w:rFonts w:cs="Times New Roman"/>
                <w:color w:val="0D0D0D" w:themeColor="text1" w:themeTint="F2"/>
              </w:rPr>
              <w:t>Performance and Development Framework</w:t>
            </w:r>
          </w:p>
          <w:p w14:paraId="0749945A" w14:textId="1FAD68E8" w:rsidR="00B35A23" w:rsidRPr="00396C08" w:rsidRDefault="00B35A23" w:rsidP="00047874">
            <w:pPr>
              <w:pStyle w:val="ListParagraph"/>
              <w:numPr>
                <w:ilvl w:val="0"/>
                <w:numId w:val="28"/>
              </w:numPr>
              <w:spacing w:before="0"/>
              <w:ind w:left="561" w:right="136" w:hanging="357"/>
              <w:rPr>
                <w:rFonts w:cs="Times New Roman"/>
                <w:color w:val="0D0D0D" w:themeColor="text1" w:themeTint="F2"/>
              </w:rPr>
            </w:pPr>
            <w:r w:rsidRPr="00396C08">
              <w:rPr>
                <w:rFonts w:cs="Times New Roman"/>
                <w:color w:val="0D0D0D" w:themeColor="text1" w:themeTint="F2"/>
              </w:rPr>
              <w:t>Curriculum</w:t>
            </w:r>
          </w:p>
          <w:p w14:paraId="79AD5566" w14:textId="2DCD7C52" w:rsidR="009A7CE2" w:rsidRPr="00396C08" w:rsidRDefault="00B35A23" w:rsidP="00047874">
            <w:pPr>
              <w:pStyle w:val="ListParagraph"/>
              <w:numPr>
                <w:ilvl w:val="0"/>
                <w:numId w:val="28"/>
              </w:numPr>
              <w:spacing w:before="0"/>
              <w:ind w:left="561" w:right="136" w:hanging="357"/>
              <w:rPr>
                <w:rFonts w:cs="Times New Roman"/>
                <w:color w:val="0D0D0D" w:themeColor="text1" w:themeTint="F2"/>
              </w:rPr>
            </w:pPr>
            <w:r w:rsidRPr="00396C08">
              <w:rPr>
                <w:rFonts w:cs="Times New Roman"/>
                <w:color w:val="0D0D0D" w:themeColor="text1" w:themeTint="F2"/>
              </w:rPr>
              <w:t xml:space="preserve">Assessment and feedback </w:t>
            </w:r>
          </w:p>
          <w:p w14:paraId="21D33D44" w14:textId="733B0328" w:rsidR="002C4B99" w:rsidRPr="00396C08" w:rsidRDefault="00AC41FC" w:rsidP="00711C59">
            <w:pPr>
              <w:pStyle w:val="TableParagraph"/>
              <w:spacing w:before="83"/>
              <w:ind w:left="140" w:right="138"/>
              <w:rPr>
                <w:rFonts w:cs="Times New Roman"/>
                <w:color w:val="0D0D0D" w:themeColor="text1" w:themeTint="F2"/>
              </w:rPr>
            </w:pPr>
            <w:r w:rsidRPr="00396C08">
              <w:rPr>
                <w:rFonts w:cs="Times New Roman"/>
                <w:color w:val="0D0D0D" w:themeColor="text1" w:themeTint="F2"/>
              </w:rPr>
              <w:t>Conducting School Improvement Reviews to support school judgements and to provide quality independent feedback of performance against the Independent Schools Improvement Check</w:t>
            </w:r>
            <w:r w:rsidR="00344393" w:rsidRPr="00396C08">
              <w:rPr>
                <w:rFonts w:cs="Times New Roman"/>
                <w:color w:val="0D0D0D" w:themeColor="text1" w:themeTint="F2"/>
              </w:rPr>
              <w:t>.</w:t>
            </w:r>
          </w:p>
        </w:tc>
        <w:tc>
          <w:tcPr>
            <w:tcW w:w="1843" w:type="dxa"/>
          </w:tcPr>
          <w:p w14:paraId="6706AEC0" w14:textId="0F08C0CF" w:rsidR="00A06887" w:rsidRPr="00396C08" w:rsidRDefault="00C46EC9" w:rsidP="00711C59">
            <w:pPr>
              <w:spacing w:before="120" w:after="120"/>
              <w:ind w:left="100" w:right="138"/>
              <w:rPr>
                <w:color w:val="0D0D0D" w:themeColor="text1" w:themeTint="F2"/>
              </w:rPr>
            </w:pPr>
            <w:r w:rsidRPr="00396C08">
              <w:rPr>
                <w:color w:val="0D0D0D" w:themeColor="text1" w:themeTint="F2"/>
              </w:rPr>
              <w:t xml:space="preserve">Reform support funding:  </w:t>
            </w:r>
            <w:r w:rsidR="00A06887" w:rsidRPr="00396C08">
              <w:rPr>
                <w:color w:val="0D0D0D" w:themeColor="text1" w:themeTint="F2"/>
              </w:rPr>
              <w:t>$374,967</w:t>
            </w:r>
          </w:p>
          <w:p w14:paraId="0FF9EBDF" w14:textId="42AEC369" w:rsidR="00C46EC9" w:rsidRPr="00396C08" w:rsidRDefault="00C46EC9" w:rsidP="00635AA9">
            <w:pPr>
              <w:spacing w:before="120" w:after="120"/>
              <w:ind w:left="100"/>
              <w:rPr>
                <w:color w:val="0D0D0D" w:themeColor="text1" w:themeTint="F2"/>
              </w:rPr>
            </w:pPr>
            <w:r w:rsidRPr="00396C08">
              <w:rPr>
                <w:color w:val="0D0D0D" w:themeColor="text1" w:themeTint="F2"/>
              </w:rPr>
              <w:t>Other funding: $</w:t>
            </w:r>
            <w:r w:rsidR="000B1B08" w:rsidRPr="00396C08">
              <w:rPr>
                <w:color w:val="0D0D0D" w:themeColor="text1" w:themeTint="F2"/>
              </w:rPr>
              <w:t>363,160</w:t>
            </w:r>
          </w:p>
          <w:p w14:paraId="4A062459" w14:textId="68AD369B" w:rsidR="000B1B08" w:rsidRPr="00396C08" w:rsidRDefault="000B1B08" w:rsidP="00635AA9">
            <w:pPr>
              <w:spacing w:before="120" w:after="120"/>
              <w:ind w:left="100"/>
              <w:rPr>
                <w:color w:val="0D0D0D" w:themeColor="text1" w:themeTint="F2"/>
              </w:rPr>
            </w:pPr>
          </w:p>
          <w:p w14:paraId="01383417" w14:textId="778A04B1" w:rsidR="00A06887" w:rsidRPr="00396C08" w:rsidRDefault="000B1B08" w:rsidP="00635AA9">
            <w:pPr>
              <w:spacing w:before="120" w:after="120"/>
              <w:ind w:left="100"/>
              <w:rPr>
                <w:color w:val="0D0D0D" w:themeColor="text1" w:themeTint="F2"/>
              </w:rPr>
            </w:pPr>
            <w:r w:rsidRPr="00396C08">
              <w:rPr>
                <w:color w:val="0D0D0D" w:themeColor="text1" w:themeTint="F2"/>
              </w:rPr>
              <w:t>Total</w:t>
            </w:r>
            <w:r w:rsidR="00185B7F" w:rsidRPr="00396C08">
              <w:rPr>
                <w:color w:val="0D0D0D" w:themeColor="text1" w:themeTint="F2"/>
              </w:rPr>
              <w:t xml:space="preserve">: </w:t>
            </w:r>
            <w:r w:rsidR="00A06887" w:rsidRPr="00396C08">
              <w:rPr>
                <w:color w:val="0D0D0D" w:themeColor="text1" w:themeTint="F2"/>
              </w:rPr>
              <w:t>$738,127</w:t>
            </w:r>
          </w:p>
          <w:p w14:paraId="3FE211AD" w14:textId="77777777" w:rsidR="00D7230E" w:rsidRPr="00396C08" w:rsidRDefault="00D7230E" w:rsidP="00635AA9">
            <w:pPr>
              <w:pStyle w:val="TableParagraph"/>
              <w:spacing w:before="79"/>
              <w:ind w:left="100" w:right="138"/>
              <w:rPr>
                <w:color w:val="0D0D0D" w:themeColor="text1" w:themeTint="F2"/>
              </w:rPr>
            </w:pPr>
          </w:p>
        </w:tc>
        <w:tc>
          <w:tcPr>
            <w:tcW w:w="3118" w:type="dxa"/>
          </w:tcPr>
          <w:p w14:paraId="38D62F97" w14:textId="77777777" w:rsidR="00AC41FC" w:rsidRPr="00396C08" w:rsidRDefault="00AC41FC" w:rsidP="00574A28">
            <w:pPr>
              <w:spacing w:after="80"/>
              <w:ind w:left="142" w:right="138"/>
              <w:rPr>
                <w:rFonts w:cs="Times New Roman"/>
                <w:color w:val="0D0D0D" w:themeColor="text1" w:themeTint="F2"/>
              </w:rPr>
            </w:pPr>
            <w:r w:rsidRPr="00396C08">
              <w:rPr>
                <w:rFonts w:cs="Times New Roman"/>
                <w:color w:val="0D0D0D" w:themeColor="text1" w:themeTint="F2"/>
              </w:rPr>
              <w:t>Continued interest from schools to participate in school improvement work.</w:t>
            </w:r>
          </w:p>
          <w:p w14:paraId="0BEC957B" w14:textId="54FF9864" w:rsidR="00AC41FC" w:rsidRPr="00396C08" w:rsidRDefault="00AC41FC" w:rsidP="00574A28">
            <w:pPr>
              <w:spacing w:after="80"/>
              <w:ind w:left="142" w:right="138"/>
              <w:rPr>
                <w:rFonts w:cs="Times New Roman"/>
                <w:color w:val="0D0D0D" w:themeColor="text1" w:themeTint="F2"/>
              </w:rPr>
            </w:pPr>
            <w:r w:rsidRPr="00396C08">
              <w:rPr>
                <w:rFonts w:cs="Times New Roman"/>
                <w:color w:val="0D0D0D" w:themeColor="text1" w:themeTint="F2"/>
              </w:rPr>
              <w:t>Links further strengthened between improvement work: Support and Reviews</w:t>
            </w:r>
            <w:r w:rsidR="000B3F0B" w:rsidRPr="00396C08">
              <w:rPr>
                <w:rFonts w:cs="Times New Roman"/>
                <w:color w:val="0D0D0D" w:themeColor="text1" w:themeTint="F2"/>
              </w:rPr>
              <w:t>.</w:t>
            </w:r>
          </w:p>
          <w:p w14:paraId="0E2F4DE1" w14:textId="77777777" w:rsidR="00AC41FC" w:rsidRPr="00396C08" w:rsidRDefault="00AC41FC" w:rsidP="00574A28">
            <w:pPr>
              <w:spacing w:after="80"/>
              <w:ind w:left="142" w:right="138"/>
              <w:rPr>
                <w:rFonts w:cs="Times New Roman"/>
                <w:color w:val="0D0D0D" w:themeColor="text1" w:themeTint="F2"/>
              </w:rPr>
            </w:pPr>
            <w:r w:rsidRPr="00396C08">
              <w:rPr>
                <w:rFonts w:cs="Times New Roman"/>
                <w:color w:val="0D0D0D" w:themeColor="text1" w:themeTint="F2"/>
              </w:rPr>
              <w:t>Improved sustainability of ongoing improvement planning and implementation in participating schools.</w:t>
            </w:r>
          </w:p>
          <w:p w14:paraId="47CB5B13" w14:textId="77777777" w:rsidR="00AC41FC" w:rsidRPr="00396C08" w:rsidRDefault="00AC41FC" w:rsidP="00574A28">
            <w:pPr>
              <w:spacing w:after="80"/>
              <w:ind w:left="142" w:right="138"/>
              <w:rPr>
                <w:rFonts w:cs="Times New Roman"/>
                <w:color w:val="0D0D0D" w:themeColor="text1" w:themeTint="F2"/>
              </w:rPr>
            </w:pPr>
            <w:r w:rsidRPr="00396C08">
              <w:rPr>
                <w:rFonts w:cs="Times New Roman"/>
                <w:color w:val="0D0D0D" w:themeColor="text1" w:themeTint="F2"/>
              </w:rPr>
              <w:t>Outcomes for each participating school to be achieved in at least one of the focus areas.</w:t>
            </w:r>
          </w:p>
          <w:p w14:paraId="5F71B36E" w14:textId="77777777" w:rsidR="00AC41FC" w:rsidRPr="00396C08" w:rsidRDefault="00AC41FC" w:rsidP="00574A28">
            <w:pPr>
              <w:spacing w:after="80"/>
              <w:ind w:left="142" w:right="138"/>
              <w:rPr>
                <w:rFonts w:cs="Times New Roman"/>
                <w:color w:val="0D0D0D" w:themeColor="text1" w:themeTint="F2"/>
              </w:rPr>
            </w:pPr>
            <w:r w:rsidRPr="00396C08">
              <w:rPr>
                <w:rFonts w:cs="Times New Roman"/>
                <w:color w:val="0D0D0D" w:themeColor="text1" w:themeTint="F2"/>
              </w:rPr>
              <w:t>Improvement in:</w:t>
            </w:r>
          </w:p>
          <w:p w14:paraId="27FD6066" w14:textId="77777777" w:rsidR="00AC41FC" w:rsidRPr="00396C08" w:rsidRDefault="00AC41FC" w:rsidP="00574A28">
            <w:pPr>
              <w:widowControl/>
              <w:numPr>
                <w:ilvl w:val="0"/>
                <w:numId w:val="18"/>
              </w:numPr>
              <w:autoSpaceDE/>
              <w:autoSpaceDN/>
              <w:ind w:left="427" w:right="105" w:hanging="187"/>
              <w:rPr>
                <w:rFonts w:cs="Times New Roman"/>
                <w:color w:val="0D0D0D" w:themeColor="text1" w:themeTint="F2"/>
              </w:rPr>
            </w:pPr>
            <w:r w:rsidRPr="00396C08">
              <w:rPr>
                <w:rFonts w:cs="Times New Roman"/>
                <w:color w:val="0D0D0D" w:themeColor="text1" w:themeTint="F2"/>
              </w:rPr>
              <w:t>Leadership and Management</w:t>
            </w:r>
          </w:p>
          <w:p w14:paraId="3E67EFF0" w14:textId="77777777" w:rsidR="00AC41FC" w:rsidRPr="00396C08" w:rsidRDefault="00AC41FC" w:rsidP="00574A28">
            <w:pPr>
              <w:widowControl/>
              <w:numPr>
                <w:ilvl w:val="0"/>
                <w:numId w:val="18"/>
              </w:numPr>
              <w:autoSpaceDE/>
              <w:autoSpaceDN/>
              <w:ind w:left="427" w:right="105" w:hanging="187"/>
              <w:rPr>
                <w:rFonts w:cs="Times New Roman"/>
                <w:color w:val="0D0D0D" w:themeColor="text1" w:themeTint="F2"/>
              </w:rPr>
            </w:pPr>
            <w:r w:rsidRPr="00396C08">
              <w:rPr>
                <w:rFonts w:cs="Times New Roman"/>
                <w:color w:val="0D0D0D" w:themeColor="text1" w:themeTint="F2"/>
              </w:rPr>
              <w:t>Teacher Practices</w:t>
            </w:r>
          </w:p>
          <w:p w14:paraId="346C9D95" w14:textId="028CF1C7" w:rsidR="00AC41FC" w:rsidRPr="00396C08" w:rsidRDefault="00AC41FC" w:rsidP="00574A28">
            <w:pPr>
              <w:widowControl/>
              <w:numPr>
                <w:ilvl w:val="0"/>
                <w:numId w:val="18"/>
              </w:numPr>
              <w:autoSpaceDE/>
              <w:autoSpaceDN/>
              <w:ind w:left="427" w:right="105" w:hanging="187"/>
              <w:rPr>
                <w:rFonts w:cs="Times New Roman"/>
                <w:color w:val="0D0D0D" w:themeColor="text1" w:themeTint="F2"/>
              </w:rPr>
            </w:pPr>
            <w:r w:rsidRPr="00396C08">
              <w:rPr>
                <w:rFonts w:cs="Times New Roman"/>
                <w:color w:val="0D0D0D" w:themeColor="text1" w:themeTint="F2"/>
              </w:rPr>
              <w:t>Student Outcomes</w:t>
            </w:r>
            <w:r w:rsidR="00344393" w:rsidRPr="00396C08">
              <w:rPr>
                <w:rFonts w:cs="Times New Roman"/>
                <w:color w:val="0D0D0D" w:themeColor="text1" w:themeTint="F2"/>
              </w:rPr>
              <w:t xml:space="preserve"> (including student wellbeing)</w:t>
            </w:r>
          </w:p>
          <w:p w14:paraId="45E63D56" w14:textId="77777777" w:rsidR="00AC41FC" w:rsidRPr="00396C08" w:rsidRDefault="00AC41FC" w:rsidP="00574A28">
            <w:pPr>
              <w:widowControl/>
              <w:numPr>
                <w:ilvl w:val="0"/>
                <w:numId w:val="18"/>
              </w:numPr>
              <w:autoSpaceDE/>
              <w:autoSpaceDN/>
              <w:ind w:left="427" w:right="105" w:hanging="187"/>
              <w:rPr>
                <w:rFonts w:cs="Times New Roman"/>
                <w:color w:val="0D0D0D" w:themeColor="text1" w:themeTint="F2"/>
              </w:rPr>
            </w:pPr>
            <w:r w:rsidRPr="00396C08">
              <w:rPr>
                <w:rFonts w:cs="Times New Roman"/>
                <w:color w:val="0D0D0D" w:themeColor="text1" w:themeTint="F2"/>
              </w:rPr>
              <w:t>Curriculum</w:t>
            </w:r>
          </w:p>
          <w:p w14:paraId="5ECCE79F" w14:textId="742A9F67" w:rsidR="00D7230E" w:rsidRPr="00396C08" w:rsidRDefault="00AC41FC" w:rsidP="00574A28">
            <w:pPr>
              <w:widowControl/>
              <w:numPr>
                <w:ilvl w:val="0"/>
                <w:numId w:val="18"/>
              </w:numPr>
              <w:autoSpaceDE/>
              <w:autoSpaceDN/>
              <w:ind w:left="427" w:right="105" w:hanging="187"/>
              <w:rPr>
                <w:rFonts w:cs="Times New Roman"/>
                <w:color w:val="0D0D0D" w:themeColor="text1" w:themeTint="F2"/>
              </w:rPr>
            </w:pPr>
            <w:r w:rsidRPr="00396C08">
              <w:rPr>
                <w:rFonts w:cs="Times New Roman"/>
                <w:color w:val="0D0D0D" w:themeColor="text1" w:themeTint="F2"/>
              </w:rPr>
              <w:t>Community Partnerships</w:t>
            </w:r>
          </w:p>
        </w:tc>
        <w:tc>
          <w:tcPr>
            <w:tcW w:w="3544" w:type="dxa"/>
          </w:tcPr>
          <w:p w14:paraId="75BAD5A0" w14:textId="77777777" w:rsidR="00C42F7F" w:rsidRPr="00396C08" w:rsidRDefault="00C42F7F" w:rsidP="00C42F7F">
            <w:pPr>
              <w:spacing w:after="120"/>
              <w:ind w:left="142" w:right="136"/>
              <w:rPr>
                <w:rFonts w:cs="Times New Roman"/>
                <w:color w:val="0D0D0D" w:themeColor="text1" w:themeTint="F2"/>
              </w:rPr>
            </w:pPr>
            <w:r w:rsidRPr="00396C08">
              <w:rPr>
                <w:rFonts w:cs="Times New Roman"/>
                <w:b/>
                <w:bCs/>
                <w:color w:val="0D0D0D" w:themeColor="text1" w:themeTint="F2"/>
              </w:rPr>
              <w:t>100%</w:t>
            </w:r>
            <w:r w:rsidRPr="00396C08">
              <w:rPr>
                <w:rFonts w:cs="Times New Roman"/>
                <w:color w:val="0D0D0D" w:themeColor="text1" w:themeTint="F2"/>
              </w:rPr>
              <w:t xml:space="preserve"> of participating schools sending representatives to the Supporting School Improvement program information launch day (as evidenced by the attendance register).</w:t>
            </w:r>
          </w:p>
          <w:p w14:paraId="1BA24E71" w14:textId="77777777" w:rsidR="00C42F7F" w:rsidRPr="00396C08" w:rsidRDefault="00C42F7F" w:rsidP="00C42F7F">
            <w:pPr>
              <w:spacing w:after="120"/>
              <w:ind w:left="142" w:right="136"/>
              <w:rPr>
                <w:rFonts w:cs="Times New Roman"/>
                <w:color w:val="0D0D0D" w:themeColor="text1" w:themeTint="F2"/>
              </w:rPr>
            </w:pPr>
            <w:r w:rsidRPr="00396C08">
              <w:rPr>
                <w:rFonts w:cs="Times New Roman"/>
                <w:b/>
                <w:bCs/>
                <w:color w:val="0D0D0D" w:themeColor="text1" w:themeTint="F2"/>
              </w:rPr>
              <w:t>90%</w:t>
            </w:r>
            <w:r w:rsidRPr="00396C08">
              <w:rPr>
                <w:rFonts w:cs="Times New Roman"/>
                <w:color w:val="0D0D0D" w:themeColor="text1" w:themeTint="F2"/>
              </w:rPr>
              <w:t xml:space="preserve"> of launch participants demonstrating increased understanding of a school improvement process (as evidenced in the participant survey).</w:t>
            </w:r>
          </w:p>
          <w:p w14:paraId="3CA80D82" w14:textId="77777777" w:rsidR="00C42F7F" w:rsidRPr="00396C08" w:rsidRDefault="00C42F7F" w:rsidP="00C42F7F">
            <w:pPr>
              <w:spacing w:after="120"/>
              <w:ind w:left="142" w:right="136"/>
              <w:rPr>
                <w:rFonts w:cs="Times New Roman"/>
                <w:color w:val="0D0D0D" w:themeColor="text1" w:themeTint="F2"/>
              </w:rPr>
            </w:pPr>
            <w:r w:rsidRPr="00396C08">
              <w:rPr>
                <w:rFonts w:cs="Times New Roman"/>
                <w:b/>
                <w:bCs/>
                <w:color w:val="0D0D0D" w:themeColor="text1" w:themeTint="F2"/>
              </w:rPr>
              <w:t>80%</w:t>
            </w:r>
            <w:r w:rsidRPr="00396C08">
              <w:rPr>
                <w:rFonts w:cs="Times New Roman"/>
                <w:color w:val="0D0D0D" w:themeColor="text1" w:themeTint="F2"/>
              </w:rPr>
              <w:t xml:space="preserve"> of newly participating schools demonstrating commitment to school self-improvement (as evidenced by school visit reports).</w:t>
            </w:r>
          </w:p>
          <w:p w14:paraId="161B0082" w14:textId="77777777" w:rsidR="00C42F7F" w:rsidRPr="00396C08" w:rsidRDefault="00C42F7F" w:rsidP="00C42F7F">
            <w:pPr>
              <w:spacing w:after="120"/>
              <w:ind w:left="142" w:right="136"/>
              <w:rPr>
                <w:rFonts w:cs="Times New Roman"/>
                <w:color w:val="0D0D0D" w:themeColor="text1" w:themeTint="F2"/>
              </w:rPr>
            </w:pPr>
            <w:r w:rsidRPr="00396C08">
              <w:rPr>
                <w:rFonts w:cs="Times New Roman"/>
                <w:b/>
                <w:bCs/>
                <w:color w:val="0D0D0D" w:themeColor="text1" w:themeTint="F2"/>
              </w:rPr>
              <w:t>80%</w:t>
            </w:r>
            <w:r w:rsidRPr="00396C08">
              <w:rPr>
                <w:rFonts w:cs="Times New Roman"/>
                <w:color w:val="0D0D0D" w:themeColor="text1" w:themeTint="F2"/>
              </w:rPr>
              <w:t xml:space="preserve"> of participating schools produce an Action Plan to support self-improvement (as evidenced by the Action Plan).</w:t>
            </w:r>
          </w:p>
          <w:p w14:paraId="345A4BAA" w14:textId="24EF2B42" w:rsidR="00997655" w:rsidRPr="00396C08" w:rsidRDefault="00C42F7F" w:rsidP="00C42F7F">
            <w:pPr>
              <w:spacing w:after="80"/>
              <w:ind w:left="142" w:right="138"/>
              <w:rPr>
                <w:color w:val="0D0D0D" w:themeColor="text1" w:themeTint="F2"/>
              </w:rPr>
            </w:pPr>
            <w:r w:rsidRPr="00396C08">
              <w:rPr>
                <w:rFonts w:cs="Times New Roman"/>
                <w:b/>
                <w:bCs/>
                <w:color w:val="0D0D0D" w:themeColor="text1" w:themeTint="F2"/>
              </w:rPr>
              <w:t>95%</w:t>
            </w:r>
            <w:r w:rsidRPr="00396C08">
              <w:rPr>
                <w:rFonts w:cs="Times New Roman"/>
                <w:color w:val="0D0D0D" w:themeColor="text1" w:themeTint="F2"/>
              </w:rPr>
              <w:t xml:space="preserve"> of schools participating, expressing satisfaction with the improvement review process (as evidenced by the post-review survey).</w:t>
            </w:r>
          </w:p>
          <w:p w14:paraId="75DEAD6E" w14:textId="04AC8B70" w:rsidR="00D7230E" w:rsidRPr="00396C08" w:rsidRDefault="00D7230E" w:rsidP="00574A28">
            <w:pPr>
              <w:pStyle w:val="TableParagraph"/>
              <w:spacing w:before="84" w:line="237" w:lineRule="auto"/>
              <w:ind w:left="142" w:right="138"/>
              <w:rPr>
                <w:color w:val="0D0D0D" w:themeColor="text1" w:themeTint="F2"/>
              </w:rPr>
            </w:pPr>
          </w:p>
        </w:tc>
      </w:tr>
    </w:tbl>
    <w:p w14:paraId="55A10D64" w14:textId="77777777" w:rsidR="00D7230E" w:rsidRPr="00396C08" w:rsidRDefault="00D7230E">
      <w:pPr>
        <w:spacing w:line="237" w:lineRule="auto"/>
        <w:rPr>
          <w:color w:val="0D0D0D" w:themeColor="text1" w:themeTint="F2"/>
          <w:sz w:val="18"/>
        </w:rPr>
        <w:sectPr w:rsidR="00D7230E" w:rsidRPr="00396C08" w:rsidSect="00FB424F">
          <w:headerReference w:type="even" r:id="rId23"/>
          <w:headerReference w:type="default" r:id="rId24"/>
          <w:footerReference w:type="even" r:id="rId25"/>
          <w:pgSz w:w="16840" w:h="11910" w:orient="landscape"/>
          <w:pgMar w:top="709" w:right="940" w:bottom="1040" w:left="1300" w:header="283" w:footer="844" w:gutter="0"/>
          <w:pgNumType w:start="9"/>
          <w:cols w:space="720"/>
          <w:docGrid w:linePitch="299"/>
        </w:sectPr>
      </w:pPr>
    </w:p>
    <w:p w14:paraId="1E8B9F0E" w14:textId="4F64719A" w:rsidR="00D7230E" w:rsidRPr="00396C08" w:rsidRDefault="00756E54" w:rsidP="00FB424F">
      <w:pPr>
        <w:pStyle w:val="Heading3"/>
        <w:spacing w:line="480" w:lineRule="auto"/>
        <w:ind w:left="-567"/>
        <w:rPr>
          <w:rFonts w:asciiTheme="minorHAnsi" w:hAnsiTheme="minorHAnsi" w:cstheme="minorHAnsi"/>
          <w:b/>
          <w:bCs/>
          <w:color w:val="0D0D0D" w:themeColor="text1" w:themeTint="F2"/>
          <w:sz w:val="22"/>
          <w:szCs w:val="22"/>
        </w:rPr>
      </w:pPr>
      <w:r w:rsidRPr="00396C08">
        <w:rPr>
          <w:rFonts w:asciiTheme="minorHAnsi" w:hAnsiTheme="minorHAnsi" w:cstheme="minorHAnsi"/>
          <w:b/>
          <w:bCs/>
          <w:color w:val="0D0D0D" w:themeColor="text1" w:themeTint="F2"/>
          <w:sz w:val="22"/>
          <w:szCs w:val="22"/>
        </w:rPr>
        <w:lastRenderedPageBreak/>
        <w:t>RSF 5</w:t>
      </w:r>
      <w:r w:rsidR="00574A28" w:rsidRPr="00396C08">
        <w:rPr>
          <w:rFonts w:asciiTheme="minorHAnsi" w:hAnsiTheme="minorHAnsi" w:cstheme="minorHAnsi"/>
          <w:b/>
          <w:bCs/>
          <w:color w:val="0D0D0D" w:themeColor="text1" w:themeTint="F2"/>
          <w:sz w:val="22"/>
          <w:szCs w:val="22"/>
        </w:rPr>
        <w:t xml:space="preserve"> Supporting the ATSI Educational Strategy</w:t>
      </w:r>
    </w:p>
    <w:tbl>
      <w:tblPr>
        <w:tblStyle w:val="TableGridLight"/>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969"/>
        <w:gridCol w:w="1985"/>
        <w:gridCol w:w="2835"/>
        <w:gridCol w:w="3969"/>
      </w:tblGrid>
      <w:tr w:rsidR="00396C08" w:rsidRPr="00396C08" w14:paraId="21996465" w14:textId="77777777" w:rsidTr="00FB424F">
        <w:trPr>
          <w:trHeight w:val="1481"/>
          <w:tblHeader/>
        </w:trPr>
        <w:tc>
          <w:tcPr>
            <w:tcW w:w="2835" w:type="dxa"/>
          </w:tcPr>
          <w:p w14:paraId="6D619AE0" w14:textId="3AD471E2" w:rsidR="00047874" w:rsidRPr="00396C08" w:rsidRDefault="00047874" w:rsidP="00047874">
            <w:pPr>
              <w:pStyle w:val="TableParagraph"/>
              <w:spacing w:before="120"/>
              <w:rPr>
                <w:rFonts w:ascii="Century Gothic"/>
                <w:color w:val="0D0D0D" w:themeColor="text1" w:themeTint="F2"/>
              </w:rPr>
            </w:pPr>
            <w:r w:rsidRPr="00396C08">
              <w:rPr>
                <w:rFonts w:asciiTheme="minorHAnsi" w:hAnsiTheme="minorHAnsi" w:cstheme="minorHAnsi"/>
                <w:b/>
                <w:bCs/>
                <w:color w:val="0D0D0D" w:themeColor="text1" w:themeTint="F2"/>
              </w:rPr>
              <w:t>Project title and link to relevant national reform direction and bilateral action</w:t>
            </w:r>
          </w:p>
        </w:tc>
        <w:tc>
          <w:tcPr>
            <w:tcW w:w="3969" w:type="dxa"/>
          </w:tcPr>
          <w:p w14:paraId="547F6575" w14:textId="418A435A" w:rsidR="00047874" w:rsidRPr="00396C08" w:rsidRDefault="00047874" w:rsidP="00047874">
            <w:pPr>
              <w:pStyle w:val="TableParagraph"/>
              <w:spacing w:before="120"/>
              <w:ind w:left="104" w:right="1796"/>
              <w:rPr>
                <w:rFonts w:ascii="Century Gothic"/>
                <w:color w:val="0D0D0D" w:themeColor="text1" w:themeTint="F2"/>
              </w:rPr>
            </w:pPr>
            <w:r w:rsidRPr="00396C08">
              <w:rPr>
                <w:rFonts w:asciiTheme="minorHAnsi" w:hAnsiTheme="minorHAnsi" w:cstheme="minorHAnsi"/>
                <w:b/>
                <w:bCs/>
                <w:color w:val="0D0D0D" w:themeColor="text1" w:themeTint="F2"/>
              </w:rPr>
              <w:t>Project description and activities</w:t>
            </w:r>
          </w:p>
        </w:tc>
        <w:tc>
          <w:tcPr>
            <w:tcW w:w="1985" w:type="dxa"/>
          </w:tcPr>
          <w:p w14:paraId="36640A81" w14:textId="6309231B" w:rsidR="00047874" w:rsidRPr="00396C08" w:rsidRDefault="00047874" w:rsidP="00047874">
            <w:pPr>
              <w:pStyle w:val="TableParagraph"/>
              <w:spacing w:before="120"/>
              <w:ind w:left="109"/>
              <w:rPr>
                <w:rFonts w:ascii="Century Gothic"/>
                <w:color w:val="0D0D0D" w:themeColor="text1" w:themeTint="F2"/>
              </w:rPr>
            </w:pPr>
            <w:r w:rsidRPr="00396C08">
              <w:rPr>
                <w:rFonts w:asciiTheme="minorHAnsi" w:hAnsiTheme="minorHAnsi" w:cstheme="minorHAnsi"/>
                <w:b/>
                <w:bCs/>
                <w:color w:val="0D0D0D" w:themeColor="text1" w:themeTint="F2"/>
              </w:rPr>
              <w:t>Indicative budget</w:t>
            </w:r>
          </w:p>
        </w:tc>
        <w:tc>
          <w:tcPr>
            <w:tcW w:w="2835" w:type="dxa"/>
          </w:tcPr>
          <w:p w14:paraId="36F3B7E7" w14:textId="131EBD64" w:rsidR="00047874" w:rsidRPr="00396C08" w:rsidRDefault="00047874" w:rsidP="00047874">
            <w:pPr>
              <w:pStyle w:val="TableParagraph"/>
              <w:spacing w:before="120"/>
              <w:ind w:left="108"/>
              <w:rPr>
                <w:rFonts w:ascii="Century Gothic"/>
                <w:color w:val="0D0D0D" w:themeColor="text1" w:themeTint="F2"/>
              </w:rPr>
            </w:pPr>
            <w:r w:rsidRPr="00396C08">
              <w:rPr>
                <w:rFonts w:asciiTheme="minorHAnsi" w:hAnsiTheme="minorHAnsi" w:cstheme="minorHAnsi"/>
                <w:b/>
                <w:bCs/>
                <w:color w:val="0D0D0D" w:themeColor="text1" w:themeTint="F2"/>
              </w:rPr>
              <w:t>Expected outcomes</w:t>
            </w:r>
          </w:p>
        </w:tc>
        <w:tc>
          <w:tcPr>
            <w:tcW w:w="3969" w:type="dxa"/>
          </w:tcPr>
          <w:p w14:paraId="3EE2E5DF" w14:textId="476CADAE" w:rsidR="00047874" w:rsidRPr="00396C08" w:rsidRDefault="00047874" w:rsidP="00047874">
            <w:pPr>
              <w:pStyle w:val="TableParagraph"/>
              <w:spacing w:before="120"/>
              <w:ind w:left="108"/>
              <w:rPr>
                <w:rFonts w:ascii="Century Gothic"/>
                <w:color w:val="0D0D0D" w:themeColor="text1" w:themeTint="F2"/>
              </w:rPr>
            </w:pPr>
            <w:r w:rsidRPr="00396C08">
              <w:rPr>
                <w:rFonts w:asciiTheme="minorHAnsi" w:hAnsiTheme="minorHAnsi" w:cstheme="minorHAnsi"/>
                <w:b/>
                <w:bCs/>
                <w:color w:val="0D0D0D" w:themeColor="text1" w:themeTint="F2"/>
              </w:rPr>
              <w:t>Indicators of success</w:t>
            </w:r>
          </w:p>
        </w:tc>
      </w:tr>
      <w:tr w:rsidR="00396C08" w:rsidRPr="00396C08" w14:paraId="0ED73581" w14:textId="77777777" w:rsidTr="00FB424F">
        <w:trPr>
          <w:trHeight w:val="2470"/>
        </w:trPr>
        <w:tc>
          <w:tcPr>
            <w:tcW w:w="2835" w:type="dxa"/>
          </w:tcPr>
          <w:p w14:paraId="14AD3C01" w14:textId="77777777" w:rsidR="00D7230E" w:rsidRPr="00396C08" w:rsidRDefault="002736A4">
            <w:pPr>
              <w:pStyle w:val="TableParagraph"/>
              <w:spacing w:before="2"/>
              <w:ind w:right="358"/>
              <w:rPr>
                <w:b/>
                <w:color w:val="0D0D0D" w:themeColor="text1" w:themeTint="F2"/>
              </w:rPr>
            </w:pPr>
            <w:r w:rsidRPr="00396C08">
              <w:rPr>
                <w:color w:val="0D0D0D" w:themeColor="text1" w:themeTint="F2"/>
              </w:rPr>
              <w:t>Supporting the ATSI Educational Strategy</w:t>
            </w:r>
          </w:p>
          <w:p w14:paraId="54E3A683" w14:textId="77777777" w:rsidR="00D7230E" w:rsidRPr="00396C08" w:rsidRDefault="00D7230E">
            <w:pPr>
              <w:pStyle w:val="TableParagraph"/>
              <w:ind w:left="0"/>
              <w:rPr>
                <w:rFonts w:ascii="Century Gothic"/>
                <w:b/>
                <w:color w:val="0D0D0D" w:themeColor="text1" w:themeTint="F2"/>
              </w:rPr>
            </w:pPr>
          </w:p>
          <w:p w14:paraId="3C77D99D" w14:textId="77777777" w:rsidR="00D7230E" w:rsidRPr="00396C08" w:rsidRDefault="002736A4">
            <w:pPr>
              <w:pStyle w:val="TableParagraph"/>
              <w:spacing w:before="155"/>
              <w:ind w:right="345"/>
              <w:rPr>
                <w:b/>
                <w:i/>
                <w:color w:val="0D0D0D" w:themeColor="text1" w:themeTint="F2"/>
              </w:rPr>
            </w:pPr>
            <w:r w:rsidRPr="00396C08">
              <w:rPr>
                <w:i/>
                <w:color w:val="0D0D0D" w:themeColor="text1" w:themeTint="F2"/>
              </w:rPr>
              <w:t>NRD: Supporting students, student learning and student achievement</w:t>
            </w:r>
          </w:p>
          <w:p w14:paraId="5CE436B2" w14:textId="77777777" w:rsidR="00D7230E" w:rsidRPr="00396C08" w:rsidRDefault="002736A4">
            <w:pPr>
              <w:pStyle w:val="TableParagraph"/>
              <w:spacing w:before="82"/>
              <w:ind w:right="237"/>
              <w:rPr>
                <w:b/>
                <w:i/>
                <w:color w:val="0D0D0D" w:themeColor="text1" w:themeTint="F2"/>
              </w:rPr>
            </w:pPr>
            <w:r w:rsidRPr="00396C08">
              <w:rPr>
                <w:i/>
                <w:color w:val="0D0D0D" w:themeColor="text1" w:themeTint="F2"/>
              </w:rPr>
              <w:t>Bilateral: Expand the Transition Support Service for Aboriginal and Torres Strait Islander students transitioning to and from boarding schools</w:t>
            </w:r>
          </w:p>
        </w:tc>
        <w:tc>
          <w:tcPr>
            <w:tcW w:w="3969" w:type="dxa"/>
          </w:tcPr>
          <w:p w14:paraId="615BBAFD" w14:textId="3925ECFB" w:rsidR="00B507AE" w:rsidRPr="00396C08" w:rsidRDefault="00B507AE" w:rsidP="005918D3">
            <w:pPr>
              <w:spacing w:after="80"/>
              <w:ind w:left="160" w:right="108"/>
              <w:rPr>
                <w:color w:val="0D0D0D" w:themeColor="text1" w:themeTint="F2"/>
              </w:rPr>
            </w:pPr>
            <w:r w:rsidRPr="00396C08">
              <w:rPr>
                <w:color w:val="0D0D0D" w:themeColor="text1" w:themeTint="F2"/>
              </w:rPr>
              <w:t>Promote understanding of the National ATSI Education Strategy (NATSIES) and its priorities</w:t>
            </w:r>
            <w:r w:rsidR="00756E54" w:rsidRPr="00396C08">
              <w:rPr>
                <w:color w:val="0D0D0D" w:themeColor="text1" w:themeTint="F2"/>
              </w:rPr>
              <w:t>.</w:t>
            </w:r>
          </w:p>
          <w:p w14:paraId="172172C0" w14:textId="7F013019" w:rsidR="00B507AE" w:rsidRPr="00396C08" w:rsidRDefault="00B507AE" w:rsidP="005918D3">
            <w:pPr>
              <w:spacing w:after="80"/>
              <w:ind w:left="160" w:right="108"/>
              <w:rPr>
                <w:color w:val="0D0D0D" w:themeColor="text1" w:themeTint="F2"/>
              </w:rPr>
            </w:pPr>
            <w:r w:rsidRPr="00396C08">
              <w:rPr>
                <w:color w:val="0D0D0D" w:themeColor="text1" w:themeTint="F2"/>
              </w:rPr>
              <w:t>Deliver professional learning to support schools to assess, record, monitor and track Indigenous EAL/D students’ English language and literacy development for differentiated teaching and to support schools’ census reporting.</w:t>
            </w:r>
          </w:p>
          <w:p w14:paraId="793BE65F" w14:textId="2CE09F22" w:rsidR="00B507AE" w:rsidRPr="00396C08" w:rsidRDefault="00B507AE" w:rsidP="005918D3">
            <w:pPr>
              <w:spacing w:after="80"/>
              <w:ind w:left="160" w:right="108"/>
              <w:rPr>
                <w:color w:val="0D0D0D" w:themeColor="text1" w:themeTint="F2"/>
              </w:rPr>
            </w:pPr>
            <w:r w:rsidRPr="00396C08">
              <w:rPr>
                <w:color w:val="0D0D0D" w:themeColor="text1" w:themeTint="F2"/>
              </w:rPr>
              <w:t>Deliver online professional learning to assist teachers to support Aboriginal and Torres Strait Islander EAL/D students in the classroom.</w:t>
            </w:r>
          </w:p>
          <w:p w14:paraId="0A01B450" w14:textId="2B5EDAF8" w:rsidR="00B507AE" w:rsidRPr="00396C08" w:rsidRDefault="00B507AE" w:rsidP="005918D3">
            <w:pPr>
              <w:spacing w:after="80"/>
              <w:ind w:left="160" w:right="108"/>
              <w:rPr>
                <w:color w:val="0D0D0D" w:themeColor="text1" w:themeTint="F2"/>
              </w:rPr>
            </w:pPr>
            <w:r w:rsidRPr="00396C08">
              <w:rPr>
                <w:color w:val="0D0D0D" w:themeColor="text1" w:themeTint="F2"/>
              </w:rPr>
              <w:t>Delivery of professional learning to support teachers to embed Aboriginal and Torres Strait Islander perspectives in classroom planning.</w:t>
            </w:r>
          </w:p>
          <w:p w14:paraId="7E6F26D1" w14:textId="40459B91" w:rsidR="00B507AE" w:rsidRPr="00396C08" w:rsidRDefault="00B507AE" w:rsidP="005918D3">
            <w:pPr>
              <w:spacing w:after="80"/>
              <w:ind w:left="160" w:right="108"/>
              <w:rPr>
                <w:color w:val="0D0D0D" w:themeColor="text1" w:themeTint="F2"/>
              </w:rPr>
            </w:pPr>
            <w:r w:rsidRPr="00396C08">
              <w:rPr>
                <w:color w:val="0D0D0D" w:themeColor="text1" w:themeTint="F2"/>
              </w:rPr>
              <w:t xml:space="preserve">Provision of support and assistance to Majority Indigenous Student (MATSI) schools and schools with high numbers of Indigenous students across a range of educational and operational areas, including potentially the development of partnerships with scholarship groups </w:t>
            </w:r>
            <w:proofErr w:type="gramStart"/>
            <w:r w:rsidRPr="00396C08">
              <w:rPr>
                <w:color w:val="0D0D0D" w:themeColor="text1" w:themeTint="F2"/>
              </w:rPr>
              <w:t>e.g.</w:t>
            </w:r>
            <w:proofErr w:type="gramEnd"/>
            <w:r w:rsidRPr="00396C08">
              <w:rPr>
                <w:color w:val="0D0D0D" w:themeColor="text1" w:themeTint="F2"/>
              </w:rPr>
              <w:t xml:space="preserve"> </w:t>
            </w:r>
            <w:proofErr w:type="spellStart"/>
            <w:r w:rsidRPr="00396C08">
              <w:rPr>
                <w:color w:val="0D0D0D" w:themeColor="text1" w:themeTint="F2"/>
              </w:rPr>
              <w:t>Yalari</w:t>
            </w:r>
            <w:proofErr w:type="spellEnd"/>
            <w:r w:rsidRPr="00396C08">
              <w:rPr>
                <w:color w:val="0D0D0D" w:themeColor="text1" w:themeTint="F2"/>
              </w:rPr>
              <w:t>, QATSIF, AIEF</w:t>
            </w:r>
            <w:r w:rsidR="00340521" w:rsidRPr="00396C08">
              <w:rPr>
                <w:color w:val="0D0D0D" w:themeColor="text1" w:themeTint="F2"/>
              </w:rPr>
              <w:t>.</w:t>
            </w:r>
          </w:p>
          <w:p w14:paraId="09312441" w14:textId="77777777" w:rsidR="00B507AE" w:rsidRPr="00396C08" w:rsidRDefault="00B507AE" w:rsidP="005918D3">
            <w:pPr>
              <w:spacing w:after="80"/>
              <w:ind w:left="160" w:right="108"/>
              <w:rPr>
                <w:color w:val="0D0D0D" w:themeColor="text1" w:themeTint="F2"/>
              </w:rPr>
            </w:pPr>
            <w:r w:rsidRPr="00396C08">
              <w:rPr>
                <w:color w:val="0D0D0D" w:themeColor="text1" w:themeTint="F2"/>
              </w:rPr>
              <w:t xml:space="preserve">Support to schools providing boarding </w:t>
            </w:r>
            <w:r w:rsidRPr="00396C08">
              <w:rPr>
                <w:color w:val="0D0D0D" w:themeColor="text1" w:themeTint="F2"/>
              </w:rPr>
              <w:lastRenderedPageBreak/>
              <w:t>for Aboriginal and Torres Strait Islander students.</w:t>
            </w:r>
          </w:p>
          <w:p w14:paraId="3A1342A0" w14:textId="3D487CB3" w:rsidR="00D7230E" w:rsidRPr="00396C08" w:rsidRDefault="00B507AE" w:rsidP="005918D3">
            <w:pPr>
              <w:spacing w:after="80"/>
              <w:ind w:left="160" w:right="108"/>
              <w:rPr>
                <w:color w:val="0D0D0D" w:themeColor="text1" w:themeTint="F2"/>
              </w:rPr>
            </w:pPr>
            <w:r w:rsidRPr="00396C08">
              <w:rPr>
                <w:color w:val="0D0D0D" w:themeColor="text1" w:themeTint="F2"/>
              </w:rPr>
              <w:t>Supporting the engagement of the independent sector in policy development and implementation through working groups and committees associated with Indigenous education.</w:t>
            </w:r>
          </w:p>
        </w:tc>
        <w:tc>
          <w:tcPr>
            <w:tcW w:w="1985" w:type="dxa"/>
          </w:tcPr>
          <w:p w14:paraId="3A19F46E" w14:textId="02D6AB72" w:rsidR="00C46EC9" w:rsidRPr="00396C08" w:rsidRDefault="00C46EC9" w:rsidP="00635AA9">
            <w:pPr>
              <w:spacing w:before="120" w:after="120"/>
              <w:ind w:left="90"/>
              <w:rPr>
                <w:color w:val="0D0D0D" w:themeColor="text1" w:themeTint="F2"/>
              </w:rPr>
            </w:pPr>
            <w:r w:rsidRPr="00396C08">
              <w:rPr>
                <w:color w:val="0D0D0D" w:themeColor="text1" w:themeTint="F2"/>
              </w:rPr>
              <w:lastRenderedPageBreak/>
              <w:t>Reform support funding:  $</w:t>
            </w:r>
            <w:r w:rsidR="00264A83" w:rsidRPr="00396C08">
              <w:rPr>
                <w:color w:val="0D0D0D" w:themeColor="text1" w:themeTint="F2"/>
              </w:rPr>
              <w:t>187,792</w:t>
            </w:r>
          </w:p>
          <w:p w14:paraId="10C2E965" w14:textId="467FC0AF" w:rsidR="00C46EC9" w:rsidRPr="00396C08" w:rsidRDefault="00C46EC9" w:rsidP="00635AA9">
            <w:pPr>
              <w:spacing w:before="120" w:after="120"/>
              <w:ind w:left="90"/>
              <w:rPr>
                <w:color w:val="0D0D0D" w:themeColor="text1" w:themeTint="F2"/>
              </w:rPr>
            </w:pPr>
            <w:r w:rsidRPr="00396C08">
              <w:rPr>
                <w:color w:val="0D0D0D" w:themeColor="text1" w:themeTint="F2"/>
              </w:rPr>
              <w:t xml:space="preserve">Other funding: </w:t>
            </w:r>
            <w:r w:rsidR="00264A83" w:rsidRPr="00396C08">
              <w:rPr>
                <w:color w:val="0D0D0D" w:themeColor="text1" w:themeTint="F2"/>
              </w:rPr>
              <w:t>$80,000</w:t>
            </w:r>
          </w:p>
          <w:p w14:paraId="2E0FCCD2" w14:textId="2F316690" w:rsidR="00264A83" w:rsidRPr="00396C08" w:rsidRDefault="00264A83" w:rsidP="00635AA9">
            <w:pPr>
              <w:spacing w:before="120" w:after="120"/>
              <w:ind w:left="90"/>
              <w:rPr>
                <w:color w:val="0D0D0D" w:themeColor="text1" w:themeTint="F2"/>
              </w:rPr>
            </w:pPr>
          </w:p>
          <w:p w14:paraId="153866BA" w14:textId="5203C457" w:rsidR="00264A83" w:rsidRPr="00396C08" w:rsidRDefault="00264A83" w:rsidP="00635AA9">
            <w:pPr>
              <w:spacing w:before="120" w:after="120"/>
              <w:ind w:left="90"/>
              <w:rPr>
                <w:color w:val="0D0D0D" w:themeColor="text1" w:themeTint="F2"/>
              </w:rPr>
            </w:pPr>
            <w:r w:rsidRPr="00396C08">
              <w:rPr>
                <w:color w:val="0D0D0D" w:themeColor="text1" w:themeTint="F2"/>
              </w:rPr>
              <w:t>Total $267,792</w:t>
            </w:r>
          </w:p>
          <w:p w14:paraId="0FEFC68D" w14:textId="77777777" w:rsidR="00D7230E" w:rsidRPr="00396C08" w:rsidRDefault="00D7230E" w:rsidP="00635AA9">
            <w:pPr>
              <w:pStyle w:val="TableParagraph"/>
              <w:spacing w:before="85" w:line="237" w:lineRule="auto"/>
              <w:ind w:left="90" w:right="108"/>
              <w:rPr>
                <w:color w:val="0D0D0D" w:themeColor="text1" w:themeTint="F2"/>
              </w:rPr>
            </w:pPr>
          </w:p>
        </w:tc>
        <w:tc>
          <w:tcPr>
            <w:tcW w:w="2835" w:type="dxa"/>
          </w:tcPr>
          <w:p w14:paraId="64687720" w14:textId="77777777" w:rsidR="00B507AE" w:rsidRPr="00396C08" w:rsidRDefault="00B507AE" w:rsidP="005918D3">
            <w:pPr>
              <w:spacing w:after="80"/>
              <w:ind w:left="160" w:right="108"/>
              <w:rPr>
                <w:rFonts w:asciiTheme="minorHAnsi" w:eastAsiaTheme="minorHAnsi" w:hAnsiTheme="minorHAnsi" w:cstheme="minorBidi"/>
                <w:color w:val="0D0D0D" w:themeColor="text1" w:themeTint="F2"/>
                <w:lang w:bidi="ar-SA"/>
              </w:rPr>
            </w:pPr>
            <w:r w:rsidRPr="00396C08">
              <w:rPr>
                <w:color w:val="0D0D0D" w:themeColor="text1" w:themeTint="F2"/>
              </w:rPr>
              <w:t>Increased knowledge and understanding of the ATSI Education Strategy across the independent sector.</w:t>
            </w:r>
          </w:p>
          <w:p w14:paraId="16AEF8B5" w14:textId="77777777" w:rsidR="00B507AE" w:rsidRPr="00396C08" w:rsidRDefault="00B507AE" w:rsidP="005918D3">
            <w:pPr>
              <w:spacing w:after="80"/>
              <w:ind w:left="160" w:right="108"/>
              <w:rPr>
                <w:color w:val="0D0D0D" w:themeColor="text1" w:themeTint="F2"/>
              </w:rPr>
            </w:pPr>
            <w:r w:rsidRPr="00396C08">
              <w:rPr>
                <w:color w:val="0D0D0D" w:themeColor="text1" w:themeTint="F2"/>
              </w:rPr>
              <w:t>Improve teachers understanding of the learning needs of Indigenous EAL/D students.</w:t>
            </w:r>
          </w:p>
          <w:p w14:paraId="5187ED1A" w14:textId="77777777" w:rsidR="00B507AE" w:rsidRPr="00396C08" w:rsidRDefault="00B507AE" w:rsidP="005918D3">
            <w:pPr>
              <w:spacing w:after="80"/>
              <w:ind w:left="160" w:right="108"/>
              <w:rPr>
                <w:color w:val="0D0D0D" w:themeColor="text1" w:themeTint="F2"/>
              </w:rPr>
            </w:pPr>
            <w:r w:rsidRPr="00396C08">
              <w:rPr>
                <w:color w:val="0D0D0D" w:themeColor="text1" w:themeTint="F2"/>
              </w:rPr>
              <w:t>Teachers use Indigenous student data for differentiated literacy planning.</w:t>
            </w:r>
          </w:p>
          <w:p w14:paraId="669FE4DF" w14:textId="77777777" w:rsidR="00B507AE" w:rsidRPr="00396C08" w:rsidRDefault="00B507AE" w:rsidP="005918D3">
            <w:pPr>
              <w:spacing w:after="80"/>
              <w:ind w:left="160" w:right="108"/>
              <w:rPr>
                <w:rFonts w:asciiTheme="minorHAnsi" w:hAnsiTheme="minorHAnsi" w:cstheme="minorBidi"/>
                <w:color w:val="0D0D0D" w:themeColor="text1" w:themeTint="F2"/>
              </w:rPr>
            </w:pPr>
            <w:r w:rsidRPr="00396C08">
              <w:rPr>
                <w:color w:val="0D0D0D" w:themeColor="text1" w:themeTint="F2"/>
              </w:rPr>
              <w:t>Improved teacher and school leader Indigenous student data collection processes, teaching and learning.</w:t>
            </w:r>
          </w:p>
          <w:p w14:paraId="1F1C2478" w14:textId="70357314" w:rsidR="00B507AE" w:rsidRPr="00396C08" w:rsidRDefault="00B507AE" w:rsidP="005918D3">
            <w:pPr>
              <w:spacing w:after="80"/>
              <w:ind w:left="160" w:right="108"/>
              <w:rPr>
                <w:color w:val="0D0D0D" w:themeColor="text1" w:themeTint="F2"/>
              </w:rPr>
            </w:pPr>
            <w:r w:rsidRPr="00396C08">
              <w:rPr>
                <w:color w:val="0D0D0D" w:themeColor="text1" w:themeTint="F2"/>
              </w:rPr>
              <w:t xml:space="preserve">Improved and increased embedding of Indigenous perspectives in </w:t>
            </w:r>
            <w:r w:rsidR="00340521" w:rsidRPr="00396C08">
              <w:rPr>
                <w:color w:val="0D0D0D" w:themeColor="text1" w:themeTint="F2"/>
              </w:rPr>
              <w:t xml:space="preserve">teachers’ </w:t>
            </w:r>
            <w:r w:rsidRPr="00396C08">
              <w:rPr>
                <w:color w:val="0D0D0D" w:themeColor="text1" w:themeTint="F2"/>
              </w:rPr>
              <w:t>classroom planning.</w:t>
            </w:r>
          </w:p>
          <w:p w14:paraId="15AFC0D3" w14:textId="77777777" w:rsidR="00B507AE" w:rsidRPr="00396C08" w:rsidRDefault="00B507AE" w:rsidP="005918D3">
            <w:pPr>
              <w:spacing w:after="80"/>
              <w:ind w:left="160" w:right="108"/>
              <w:rPr>
                <w:color w:val="0D0D0D" w:themeColor="text1" w:themeTint="F2"/>
              </w:rPr>
            </w:pPr>
            <w:r w:rsidRPr="00396C08">
              <w:rPr>
                <w:color w:val="0D0D0D" w:themeColor="text1" w:themeTint="F2"/>
              </w:rPr>
              <w:t xml:space="preserve">Schools actively seek assistance to increase Indigenous staff development, </w:t>
            </w:r>
            <w:proofErr w:type="gramStart"/>
            <w:r w:rsidRPr="00396C08">
              <w:rPr>
                <w:color w:val="0D0D0D" w:themeColor="text1" w:themeTint="F2"/>
              </w:rPr>
              <w:t>training</w:t>
            </w:r>
            <w:proofErr w:type="gramEnd"/>
            <w:r w:rsidRPr="00396C08">
              <w:rPr>
                <w:color w:val="0D0D0D" w:themeColor="text1" w:themeTint="F2"/>
              </w:rPr>
              <w:t xml:space="preserve"> and employment.</w:t>
            </w:r>
          </w:p>
          <w:p w14:paraId="7CA0BB34" w14:textId="084D653C" w:rsidR="00D7230E" w:rsidRPr="00396C08" w:rsidRDefault="00B507AE" w:rsidP="00AB77B6">
            <w:pPr>
              <w:spacing w:after="80"/>
              <w:ind w:left="160" w:right="108"/>
              <w:rPr>
                <w:color w:val="0D0D0D" w:themeColor="text1" w:themeTint="F2"/>
              </w:rPr>
            </w:pPr>
            <w:r w:rsidRPr="00396C08">
              <w:rPr>
                <w:color w:val="0D0D0D" w:themeColor="text1" w:themeTint="F2"/>
              </w:rPr>
              <w:t xml:space="preserve">Teachers and </w:t>
            </w:r>
            <w:r w:rsidR="00703280" w:rsidRPr="00396C08">
              <w:rPr>
                <w:color w:val="0D0D0D" w:themeColor="text1" w:themeTint="F2"/>
              </w:rPr>
              <w:t>S</w:t>
            </w:r>
            <w:r w:rsidRPr="00396C08">
              <w:rPr>
                <w:color w:val="0D0D0D" w:themeColor="text1" w:themeTint="F2"/>
              </w:rPr>
              <w:t xml:space="preserve">chool </w:t>
            </w:r>
            <w:r w:rsidR="00703280" w:rsidRPr="00396C08">
              <w:rPr>
                <w:color w:val="0D0D0D" w:themeColor="text1" w:themeTint="F2"/>
              </w:rPr>
              <w:lastRenderedPageBreak/>
              <w:t>L</w:t>
            </w:r>
            <w:r w:rsidRPr="00396C08">
              <w:rPr>
                <w:color w:val="0D0D0D" w:themeColor="text1" w:themeTint="F2"/>
              </w:rPr>
              <w:t>eaders access ISQ’s support and Indigenous Boarding Schools’ information events.</w:t>
            </w:r>
          </w:p>
        </w:tc>
        <w:tc>
          <w:tcPr>
            <w:tcW w:w="3969" w:type="dxa"/>
          </w:tcPr>
          <w:p w14:paraId="647D91BF" w14:textId="77777777" w:rsidR="00B507AE" w:rsidRPr="00396C08" w:rsidRDefault="00B507AE" w:rsidP="005918D3">
            <w:pPr>
              <w:spacing w:after="80"/>
              <w:ind w:left="160" w:right="108"/>
              <w:rPr>
                <w:rFonts w:asciiTheme="minorHAnsi" w:eastAsiaTheme="minorHAnsi" w:hAnsiTheme="minorHAnsi" w:cstheme="minorBidi"/>
                <w:color w:val="0D0D0D" w:themeColor="text1" w:themeTint="F2"/>
                <w:lang w:bidi="ar-SA"/>
              </w:rPr>
            </w:pPr>
            <w:r w:rsidRPr="00396C08">
              <w:rPr>
                <w:color w:val="0D0D0D" w:themeColor="text1" w:themeTint="F2"/>
              </w:rPr>
              <w:lastRenderedPageBreak/>
              <w:t>100% of Indigenous Education professional learning participants are exposed to the National ATSI Education Strategy (NATSIES) and its priorities.</w:t>
            </w:r>
          </w:p>
          <w:p w14:paraId="404D31D7" w14:textId="77777777" w:rsidR="00B507AE" w:rsidRPr="00396C08" w:rsidRDefault="00B507AE" w:rsidP="005918D3">
            <w:pPr>
              <w:spacing w:after="80"/>
              <w:ind w:left="160" w:right="108"/>
              <w:rPr>
                <w:color w:val="0D0D0D" w:themeColor="text1" w:themeTint="F2"/>
              </w:rPr>
            </w:pPr>
            <w:r w:rsidRPr="00396C08">
              <w:rPr>
                <w:color w:val="0D0D0D" w:themeColor="text1" w:themeTint="F2"/>
              </w:rPr>
              <w:t xml:space="preserve">100% of Majority Indigenous (MATSI) schools improve census (Indigenous ESL &amp; EAL/D) reporting. </w:t>
            </w:r>
          </w:p>
          <w:p w14:paraId="6C7DDCB2" w14:textId="77777777" w:rsidR="00B507AE" w:rsidRPr="00396C08" w:rsidRDefault="00B507AE" w:rsidP="005918D3">
            <w:pPr>
              <w:spacing w:after="80"/>
              <w:ind w:left="160" w:right="108"/>
              <w:rPr>
                <w:color w:val="0D0D0D" w:themeColor="text1" w:themeTint="F2"/>
              </w:rPr>
            </w:pPr>
            <w:r w:rsidRPr="00396C08">
              <w:rPr>
                <w:color w:val="0D0D0D" w:themeColor="text1" w:themeTint="F2"/>
              </w:rPr>
              <w:t>90% of teachers attending Indigenous EAL/D professional learning events report improved confidence to plan differentiate learning for Indigenous students.</w:t>
            </w:r>
          </w:p>
          <w:p w14:paraId="33887F77" w14:textId="77777777" w:rsidR="00B507AE" w:rsidRPr="00396C08" w:rsidRDefault="00B507AE" w:rsidP="005918D3">
            <w:pPr>
              <w:spacing w:after="80"/>
              <w:ind w:left="160" w:right="108"/>
              <w:rPr>
                <w:color w:val="0D0D0D" w:themeColor="text1" w:themeTint="F2"/>
              </w:rPr>
            </w:pPr>
            <w:r w:rsidRPr="00396C08">
              <w:rPr>
                <w:color w:val="0D0D0D" w:themeColor="text1" w:themeTint="F2"/>
              </w:rPr>
              <w:t xml:space="preserve">At least 150 teachers access face-to-face and online Indigenous Education professional learning events. </w:t>
            </w:r>
          </w:p>
          <w:p w14:paraId="168EDA2A" w14:textId="77777777" w:rsidR="00B507AE" w:rsidRPr="00396C08" w:rsidRDefault="00B507AE" w:rsidP="005918D3">
            <w:pPr>
              <w:spacing w:after="80"/>
              <w:ind w:left="160" w:right="108"/>
              <w:rPr>
                <w:color w:val="0D0D0D" w:themeColor="text1" w:themeTint="F2"/>
              </w:rPr>
            </w:pPr>
            <w:r w:rsidRPr="00396C08">
              <w:rPr>
                <w:color w:val="0D0D0D" w:themeColor="text1" w:themeTint="F2"/>
              </w:rPr>
              <w:t>85% of Indigenous Education professional learning event feedback responses demonstrate relevance and value to teachers.</w:t>
            </w:r>
          </w:p>
          <w:p w14:paraId="0154403F" w14:textId="77777777" w:rsidR="00B507AE" w:rsidRPr="00396C08" w:rsidRDefault="00B507AE" w:rsidP="005918D3">
            <w:pPr>
              <w:spacing w:after="80"/>
              <w:ind w:left="160" w:right="108"/>
              <w:rPr>
                <w:color w:val="0D0D0D" w:themeColor="text1" w:themeTint="F2"/>
              </w:rPr>
            </w:pPr>
            <w:r w:rsidRPr="00396C08">
              <w:rPr>
                <w:color w:val="0D0D0D" w:themeColor="text1" w:themeTint="F2"/>
              </w:rPr>
              <w:t xml:space="preserve">At least a 50% increase in the numbers of Aboriginal and Torres Strait Islander school staff accessing ISQ professional development and training. </w:t>
            </w:r>
          </w:p>
          <w:p w14:paraId="3D3AABA2" w14:textId="57A64F27" w:rsidR="00D7230E" w:rsidRPr="00396C08" w:rsidRDefault="00B507AE" w:rsidP="005918D3">
            <w:pPr>
              <w:pStyle w:val="TableParagraph"/>
              <w:spacing w:before="78"/>
              <w:ind w:left="160" w:right="108"/>
              <w:rPr>
                <w:color w:val="0D0D0D" w:themeColor="text1" w:themeTint="F2"/>
              </w:rPr>
            </w:pPr>
            <w:r w:rsidRPr="00396C08">
              <w:rPr>
                <w:color w:val="0D0D0D" w:themeColor="text1" w:themeTint="F2"/>
              </w:rPr>
              <w:t>At least a 50% increase in the numbers of schools providing Indigenous student boarding, accessing ISQ professional support.</w:t>
            </w:r>
          </w:p>
        </w:tc>
      </w:tr>
    </w:tbl>
    <w:p w14:paraId="712C4C8F" w14:textId="77777777" w:rsidR="00D7230E" w:rsidRPr="00396C08" w:rsidRDefault="00D7230E">
      <w:pPr>
        <w:rPr>
          <w:color w:val="0D0D0D" w:themeColor="text1" w:themeTint="F2"/>
          <w:sz w:val="18"/>
        </w:rPr>
        <w:sectPr w:rsidR="00D7230E" w:rsidRPr="00396C08" w:rsidSect="00FB424F">
          <w:pgSz w:w="16840" w:h="11910" w:orient="landscape"/>
          <w:pgMar w:top="567" w:right="940" w:bottom="1040" w:left="1300" w:header="288" w:footer="844" w:gutter="0"/>
          <w:cols w:space="720"/>
        </w:sectPr>
      </w:pPr>
    </w:p>
    <w:p w14:paraId="4B81FAB7" w14:textId="4927D120" w:rsidR="00D7230E" w:rsidRPr="00396C08" w:rsidRDefault="005918D3" w:rsidP="00FB424F">
      <w:pPr>
        <w:pStyle w:val="Heading3"/>
        <w:spacing w:line="480" w:lineRule="auto"/>
        <w:ind w:left="-426"/>
        <w:rPr>
          <w:rFonts w:asciiTheme="minorHAnsi" w:hAnsiTheme="minorHAnsi" w:cstheme="minorHAnsi"/>
          <w:b/>
          <w:bCs/>
          <w:color w:val="0D0D0D" w:themeColor="text1" w:themeTint="F2"/>
          <w:sz w:val="22"/>
          <w:szCs w:val="22"/>
        </w:rPr>
      </w:pPr>
      <w:r w:rsidRPr="00396C08">
        <w:rPr>
          <w:rFonts w:asciiTheme="minorHAnsi" w:hAnsiTheme="minorHAnsi" w:cstheme="minorHAnsi"/>
          <w:b/>
          <w:bCs/>
          <w:color w:val="0D0D0D" w:themeColor="text1" w:themeTint="F2"/>
          <w:sz w:val="22"/>
          <w:szCs w:val="22"/>
        </w:rPr>
        <w:lastRenderedPageBreak/>
        <w:t>RSF 6 Achieving Excellence in Curriculum and Assessment</w:t>
      </w:r>
    </w:p>
    <w:tbl>
      <w:tblPr>
        <w:tblStyle w:val="TableGridLight"/>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686"/>
        <w:gridCol w:w="2126"/>
        <w:gridCol w:w="3260"/>
        <w:gridCol w:w="3686"/>
      </w:tblGrid>
      <w:tr w:rsidR="00396C08" w:rsidRPr="00396C08" w14:paraId="4BBC5924" w14:textId="77777777" w:rsidTr="00716BEB">
        <w:trPr>
          <w:trHeight w:val="1468"/>
          <w:tblHeader/>
        </w:trPr>
        <w:tc>
          <w:tcPr>
            <w:tcW w:w="2835" w:type="dxa"/>
          </w:tcPr>
          <w:p w14:paraId="547C268E" w14:textId="04C31AD2" w:rsidR="00047874" w:rsidRPr="00396C08" w:rsidRDefault="00047874" w:rsidP="00047874">
            <w:pPr>
              <w:pStyle w:val="TableParagraph"/>
              <w:spacing w:before="120"/>
              <w:rPr>
                <w:rFonts w:ascii="Century Gothic"/>
                <w:color w:val="0D0D0D" w:themeColor="text1" w:themeTint="F2"/>
              </w:rPr>
            </w:pPr>
            <w:r w:rsidRPr="00396C08">
              <w:rPr>
                <w:rFonts w:asciiTheme="minorHAnsi" w:hAnsiTheme="minorHAnsi" w:cstheme="minorHAnsi"/>
                <w:b/>
                <w:bCs/>
                <w:color w:val="0D0D0D" w:themeColor="text1" w:themeTint="F2"/>
              </w:rPr>
              <w:t>Project title and link to relevant national reform direction and bilateral action</w:t>
            </w:r>
          </w:p>
        </w:tc>
        <w:tc>
          <w:tcPr>
            <w:tcW w:w="3686" w:type="dxa"/>
          </w:tcPr>
          <w:p w14:paraId="39DFFAE4" w14:textId="330AFBA1" w:rsidR="00047874" w:rsidRPr="00396C08" w:rsidRDefault="00047874" w:rsidP="00047874">
            <w:pPr>
              <w:pStyle w:val="TableParagraph"/>
              <w:spacing w:before="120"/>
              <w:ind w:left="109" w:right="1163" w:hanging="20"/>
              <w:rPr>
                <w:rFonts w:ascii="Century Gothic"/>
                <w:color w:val="0D0D0D" w:themeColor="text1" w:themeTint="F2"/>
              </w:rPr>
            </w:pPr>
            <w:r w:rsidRPr="00396C08">
              <w:rPr>
                <w:rFonts w:asciiTheme="minorHAnsi" w:hAnsiTheme="minorHAnsi" w:cstheme="minorHAnsi"/>
                <w:b/>
                <w:bCs/>
                <w:color w:val="0D0D0D" w:themeColor="text1" w:themeTint="F2"/>
              </w:rPr>
              <w:t>Project description and activities</w:t>
            </w:r>
          </w:p>
        </w:tc>
        <w:tc>
          <w:tcPr>
            <w:tcW w:w="2126" w:type="dxa"/>
          </w:tcPr>
          <w:p w14:paraId="60A8C67B" w14:textId="68B7AB81" w:rsidR="00047874" w:rsidRPr="00396C08" w:rsidRDefault="00047874" w:rsidP="00047874">
            <w:pPr>
              <w:pStyle w:val="TableParagraph"/>
              <w:ind w:left="140" w:right="-148"/>
              <w:rPr>
                <w:rFonts w:ascii="Century Gothic"/>
                <w:color w:val="0D0D0D" w:themeColor="text1" w:themeTint="F2"/>
              </w:rPr>
            </w:pPr>
            <w:r w:rsidRPr="00396C08">
              <w:rPr>
                <w:rFonts w:asciiTheme="minorHAnsi" w:hAnsiTheme="minorHAnsi" w:cstheme="minorHAnsi"/>
                <w:b/>
                <w:bCs/>
                <w:color w:val="0D0D0D" w:themeColor="text1" w:themeTint="F2"/>
              </w:rPr>
              <w:t>Indicative budget</w:t>
            </w:r>
          </w:p>
        </w:tc>
        <w:tc>
          <w:tcPr>
            <w:tcW w:w="3260" w:type="dxa"/>
          </w:tcPr>
          <w:p w14:paraId="45D34BBA" w14:textId="2687BCE1" w:rsidR="00047874" w:rsidRPr="00396C08" w:rsidRDefault="00047874" w:rsidP="00047874">
            <w:pPr>
              <w:pStyle w:val="TableParagraph"/>
              <w:ind w:left="147"/>
              <w:rPr>
                <w:rFonts w:ascii="Century Gothic"/>
                <w:color w:val="0D0D0D" w:themeColor="text1" w:themeTint="F2"/>
              </w:rPr>
            </w:pPr>
            <w:r w:rsidRPr="00396C08">
              <w:rPr>
                <w:rFonts w:asciiTheme="minorHAnsi" w:hAnsiTheme="minorHAnsi" w:cstheme="minorHAnsi"/>
                <w:b/>
                <w:bCs/>
                <w:color w:val="0D0D0D" w:themeColor="text1" w:themeTint="F2"/>
              </w:rPr>
              <w:t>Expected outcomes</w:t>
            </w:r>
          </w:p>
        </w:tc>
        <w:tc>
          <w:tcPr>
            <w:tcW w:w="3686" w:type="dxa"/>
          </w:tcPr>
          <w:p w14:paraId="560CFFC0" w14:textId="1BB94D8E" w:rsidR="00047874" w:rsidRPr="00396C08" w:rsidRDefault="00047874" w:rsidP="00047874">
            <w:pPr>
              <w:pStyle w:val="TableParagraph"/>
              <w:ind w:left="137"/>
              <w:rPr>
                <w:rFonts w:ascii="Century Gothic"/>
                <w:color w:val="0D0D0D" w:themeColor="text1" w:themeTint="F2"/>
              </w:rPr>
            </w:pPr>
            <w:r w:rsidRPr="00396C08">
              <w:rPr>
                <w:rFonts w:asciiTheme="minorHAnsi" w:hAnsiTheme="minorHAnsi" w:cstheme="minorHAnsi"/>
                <w:b/>
                <w:bCs/>
                <w:color w:val="0D0D0D" w:themeColor="text1" w:themeTint="F2"/>
              </w:rPr>
              <w:t>Indicators of success</w:t>
            </w:r>
          </w:p>
        </w:tc>
      </w:tr>
      <w:tr w:rsidR="00396C08" w:rsidRPr="00396C08" w14:paraId="3FFA5946" w14:textId="77777777" w:rsidTr="00716BEB">
        <w:trPr>
          <w:trHeight w:val="5727"/>
        </w:trPr>
        <w:tc>
          <w:tcPr>
            <w:tcW w:w="2835" w:type="dxa"/>
          </w:tcPr>
          <w:p w14:paraId="13B4A59A" w14:textId="77777777" w:rsidR="00D7230E" w:rsidRPr="00396C08" w:rsidRDefault="002736A4">
            <w:pPr>
              <w:pStyle w:val="TableParagraph"/>
              <w:spacing w:before="1"/>
              <w:ind w:right="239"/>
              <w:rPr>
                <w:b/>
                <w:color w:val="0D0D0D" w:themeColor="text1" w:themeTint="F2"/>
              </w:rPr>
            </w:pPr>
            <w:r w:rsidRPr="00396C08">
              <w:rPr>
                <w:color w:val="0D0D0D" w:themeColor="text1" w:themeTint="F2"/>
              </w:rPr>
              <w:t>Achieving Excellence in Curriculum and Assessment</w:t>
            </w:r>
          </w:p>
          <w:p w14:paraId="1441D186" w14:textId="77777777" w:rsidR="00D7230E" w:rsidRPr="00396C08" w:rsidRDefault="00D7230E">
            <w:pPr>
              <w:pStyle w:val="TableParagraph"/>
              <w:ind w:left="0"/>
              <w:rPr>
                <w:rFonts w:ascii="Century Gothic"/>
                <w:b/>
                <w:color w:val="0D0D0D" w:themeColor="text1" w:themeTint="F2"/>
              </w:rPr>
            </w:pPr>
          </w:p>
          <w:p w14:paraId="3C0FCD95" w14:textId="77777777" w:rsidR="00D7230E" w:rsidRPr="00396C08" w:rsidRDefault="002736A4">
            <w:pPr>
              <w:pStyle w:val="TableParagraph"/>
              <w:spacing w:before="156"/>
              <w:ind w:right="143"/>
              <w:rPr>
                <w:b/>
                <w:i/>
                <w:color w:val="0D0D0D" w:themeColor="text1" w:themeTint="F2"/>
              </w:rPr>
            </w:pPr>
            <w:r w:rsidRPr="00396C08">
              <w:rPr>
                <w:color w:val="0D0D0D" w:themeColor="text1" w:themeTint="F2"/>
              </w:rPr>
              <w:t xml:space="preserve">NRD: </w:t>
            </w:r>
            <w:r w:rsidRPr="00396C08">
              <w:rPr>
                <w:i/>
                <w:color w:val="0D0D0D" w:themeColor="text1" w:themeTint="F2"/>
              </w:rPr>
              <w:t>Supporting students, student learning and student achievement</w:t>
            </w:r>
          </w:p>
          <w:p w14:paraId="454EA70B" w14:textId="77777777" w:rsidR="00D7230E" w:rsidRPr="00396C08" w:rsidRDefault="002736A4">
            <w:pPr>
              <w:pStyle w:val="TableParagraph"/>
              <w:spacing w:before="80"/>
              <w:ind w:right="447"/>
              <w:rPr>
                <w:b/>
                <w:i/>
                <w:color w:val="0D0D0D" w:themeColor="text1" w:themeTint="F2"/>
              </w:rPr>
            </w:pPr>
            <w:r w:rsidRPr="00396C08">
              <w:rPr>
                <w:i/>
                <w:color w:val="0D0D0D" w:themeColor="text1" w:themeTint="F2"/>
              </w:rPr>
              <w:t>Bilateral: Implement Queensland’s new senior assessment and tertiary entrance system</w:t>
            </w:r>
          </w:p>
          <w:p w14:paraId="756B29A2" w14:textId="77777777" w:rsidR="00D7230E" w:rsidRPr="00396C08" w:rsidRDefault="002736A4">
            <w:pPr>
              <w:pStyle w:val="TableParagraph"/>
              <w:spacing w:before="82"/>
              <w:ind w:right="248"/>
              <w:rPr>
                <w:b/>
                <w:i/>
                <w:color w:val="0D0D0D" w:themeColor="text1" w:themeTint="F2"/>
              </w:rPr>
            </w:pPr>
            <w:r w:rsidRPr="00396C08">
              <w:rPr>
                <w:i/>
                <w:color w:val="0D0D0D" w:themeColor="text1" w:themeTint="F2"/>
              </w:rPr>
              <w:t>Support schools to utilise Early Start screening tool or like-measures</w:t>
            </w:r>
          </w:p>
        </w:tc>
        <w:tc>
          <w:tcPr>
            <w:tcW w:w="3686" w:type="dxa"/>
          </w:tcPr>
          <w:p w14:paraId="7656B24E" w14:textId="77777777" w:rsidR="000D0FC6" w:rsidRPr="00396C08" w:rsidRDefault="000D0FC6" w:rsidP="000D0FC6">
            <w:pPr>
              <w:spacing w:after="80"/>
              <w:ind w:left="160" w:right="108"/>
              <w:rPr>
                <w:color w:val="0D0D0D" w:themeColor="text1" w:themeTint="F2"/>
              </w:rPr>
            </w:pPr>
            <w:r w:rsidRPr="00396C08">
              <w:rPr>
                <w:color w:val="0D0D0D" w:themeColor="text1" w:themeTint="F2"/>
              </w:rPr>
              <w:t>Provision of support in relation to implementation of the Australian Curriculum and preparation for any changes resulting from the Review of the Australian Curriculum including:</w:t>
            </w:r>
          </w:p>
          <w:p w14:paraId="77034927" w14:textId="77777777" w:rsidR="000D0FC6" w:rsidRPr="00396C08" w:rsidRDefault="000D0FC6" w:rsidP="000D0FC6">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Targeted support for improved teaching of Mathematics in independent schools</w:t>
            </w:r>
          </w:p>
          <w:p w14:paraId="541A4FE2" w14:textId="77777777" w:rsidR="000D0FC6" w:rsidRPr="00396C08" w:rsidRDefault="000D0FC6" w:rsidP="000D0FC6">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Update of the ISQ Progression Points for English and Mathematics used by primary teachers to implement these learning areas</w:t>
            </w:r>
          </w:p>
          <w:p w14:paraId="10776E8A" w14:textId="77777777" w:rsidR="000D0FC6" w:rsidRPr="00396C08" w:rsidRDefault="000D0FC6" w:rsidP="000D0FC6">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Targeted support for quality assessment practices in the Early Years</w:t>
            </w:r>
          </w:p>
          <w:p w14:paraId="6F778597" w14:textId="1E2B2455" w:rsidR="00371A6F" w:rsidRPr="00396C08" w:rsidRDefault="000D0FC6" w:rsidP="00AD1356">
            <w:pPr>
              <w:widowControl/>
              <w:numPr>
                <w:ilvl w:val="0"/>
                <w:numId w:val="18"/>
              </w:numPr>
              <w:autoSpaceDE/>
              <w:autoSpaceDN/>
              <w:spacing w:after="80"/>
              <w:ind w:left="427" w:right="105" w:hanging="187"/>
              <w:rPr>
                <w:rFonts w:cs="Times New Roman"/>
                <w:color w:val="0D0D0D" w:themeColor="text1" w:themeTint="F2"/>
              </w:rPr>
            </w:pPr>
            <w:r w:rsidRPr="00396C08">
              <w:rPr>
                <w:rFonts w:cs="Times New Roman"/>
                <w:color w:val="0D0D0D" w:themeColor="text1" w:themeTint="F2"/>
              </w:rPr>
              <w:t>support for Curriculum Leaders to ensure they have all the necessary information and tools to lead curriculum compliance and curriculum renewal conversations in their schools</w:t>
            </w:r>
          </w:p>
          <w:p w14:paraId="574CE2EC" w14:textId="77777777" w:rsidR="00AD1356" w:rsidRPr="00396C08" w:rsidRDefault="00AD1356" w:rsidP="00AD1356">
            <w:pPr>
              <w:spacing w:after="80"/>
              <w:ind w:left="160" w:right="108"/>
              <w:rPr>
                <w:color w:val="0D0D0D" w:themeColor="text1" w:themeTint="F2"/>
              </w:rPr>
            </w:pPr>
            <w:r w:rsidRPr="00396C08">
              <w:rPr>
                <w:color w:val="0D0D0D" w:themeColor="text1" w:themeTint="F2"/>
              </w:rPr>
              <w:t xml:space="preserve">Ongoing partnerships with key government and government funded organisations to promote evidence wellbeing and online safety strategies and programs, </w:t>
            </w:r>
            <w:r w:rsidRPr="00396C08">
              <w:rPr>
                <w:color w:val="0D0D0D" w:themeColor="text1" w:themeTint="F2"/>
              </w:rPr>
              <w:lastRenderedPageBreak/>
              <w:t>consistent with the Australian Student Wellbeing Framework and the Best Practice Framework for Online Safety Education, including:</w:t>
            </w:r>
          </w:p>
          <w:p w14:paraId="3BAA5552" w14:textId="6876F597" w:rsidR="00AD1356" w:rsidRPr="00396C08" w:rsidRDefault="00AD1356" w:rsidP="00711C59">
            <w:pPr>
              <w:pStyle w:val="ListParagraph"/>
              <w:widowControl/>
              <w:numPr>
                <w:ilvl w:val="0"/>
                <w:numId w:val="30"/>
              </w:numPr>
              <w:autoSpaceDE/>
              <w:spacing w:before="0" w:after="80"/>
              <w:ind w:left="412" w:right="105" w:hanging="219"/>
              <w:contextualSpacing/>
              <w:rPr>
                <w:color w:val="0D0D0D" w:themeColor="text1" w:themeTint="F2"/>
              </w:rPr>
            </w:pPr>
            <w:r w:rsidRPr="00396C08">
              <w:rPr>
                <w:color w:val="0D0D0D" w:themeColor="text1" w:themeTint="F2"/>
              </w:rPr>
              <w:t>face-to-face and online professional learning for key school staff in regional locations in response to identified needs such as anxiety, staff wellbeing for School Leaders, suicide postvention and self-care</w:t>
            </w:r>
            <w:r w:rsidR="00432F18" w:rsidRPr="00396C08">
              <w:rPr>
                <w:color w:val="0D0D0D" w:themeColor="text1" w:themeTint="F2"/>
              </w:rPr>
              <w:t>.</w:t>
            </w:r>
          </w:p>
          <w:p w14:paraId="1097FF9C" w14:textId="77777777" w:rsidR="00AD1356" w:rsidRPr="00396C08" w:rsidRDefault="00AD1356" w:rsidP="00711C59">
            <w:pPr>
              <w:pStyle w:val="ListParagraph"/>
              <w:widowControl/>
              <w:numPr>
                <w:ilvl w:val="0"/>
                <w:numId w:val="30"/>
              </w:numPr>
              <w:autoSpaceDE/>
              <w:autoSpaceDN/>
              <w:spacing w:before="0"/>
              <w:ind w:left="553"/>
              <w:contextualSpacing/>
              <w:rPr>
                <w:rFonts w:eastAsia="Times New Roman"/>
                <w:color w:val="0D0D0D" w:themeColor="text1" w:themeTint="F2"/>
              </w:rPr>
            </w:pPr>
            <w:r w:rsidRPr="00396C08">
              <w:rPr>
                <w:rFonts w:eastAsia="Times New Roman"/>
                <w:color w:val="0D0D0D" w:themeColor="text1" w:themeTint="F2"/>
              </w:rPr>
              <w:t>ISQ Community of Practice for clinical staff in independent schools and the provision of dedicated professional learning and support for this cohort.</w:t>
            </w:r>
          </w:p>
          <w:p w14:paraId="2196B8C7" w14:textId="7E9684F4" w:rsidR="00AD1356" w:rsidRPr="00396C08" w:rsidRDefault="00AD1356" w:rsidP="00AD1356">
            <w:pPr>
              <w:widowControl/>
              <w:autoSpaceDE/>
              <w:autoSpaceDN/>
              <w:spacing w:after="80"/>
              <w:ind w:right="105"/>
              <w:rPr>
                <w:rFonts w:cs="Times New Roman"/>
                <w:color w:val="0D0D0D" w:themeColor="text1" w:themeTint="F2"/>
              </w:rPr>
            </w:pPr>
          </w:p>
        </w:tc>
        <w:tc>
          <w:tcPr>
            <w:tcW w:w="2126" w:type="dxa"/>
          </w:tcPr>
          <w:p w14:paraId="784309A0" w14:textId="25BE1DFD" w:rsidR="00A06887" w:rsidRPr="00396C08" w:rsidRDefault="00C46EC9" w:rsidP="00635AA9">
            <w:pPr>
              <w:spacing w:before="120" w:after="120"/>
              <w:ind w:left="50"/>
              <w:rPr>
                <w:color w:val="0D0D0D" w:themeColor="text1" w:themeTint="F2"/>
              </w:rPr>
            </w:pPr>
            <w:r w:rsidRPr="00396C08">
              <w:rPr>
                <w:color w:val="0D0D0D" w:themeColor="text1" w:themeTint="F2"/>
              </w:rPr>
              <w:lastRenderedPageBreak/>
              <w:t xml:space="preserve">Reform support funding:  </w:t>
            </w:r>
            <w:r w:rsidR="00A06887" w:rsidRPr="00396C08">
              <w:rPr>
                <w:color w:val="0D0D0D" w:themeColor="text1" w:themeTint="F2"/>
              </w:rPr>
              <w:t>$236,837</w:t>
            </w:r>
          </w:p>
          <w:p w14:paraId="2D5A07DA" w14:textId="36D942CE" w:rsidR="00C46EC9" w:rsidRPr="00396C08" w:rsidRDefault="00C46EC9" w:rsidP="00635AA9">
            <w:pPr>
              <w:spacing w:before="120" w:after="120"/>
              <w:ind w:left="50"/>
              <w:rPr>
                <w:color w:val="0D0D0D" w:themeColor="text1" w:themeTint="F2"/>
              </w:rPr>
            </w:pPr>
            <w:r w:rsidRPr="00396C08">
              <w:rPr>
                <w:color w:val="0D0D0D" w:themeColor="text1" w:themeTint="F2"/>
              </w:rPr>
              <w:t xml:space="preserve">Other funding: </w:t>
            </w:r>
            <w:r w:rsidR="00EA1B8C" w:rsidRPr="00396C08">
              <w:rPr>
                <w:color w:val="0D0D0D" w:themeColor="text1" w:themeTint="F2"/>
              </w:rPr>
              <w:t>$145,000</w:t>
            </w:r>
          </w:p>
          <w:p w14:paraId="47E4B406" w14:textId="2BDB2631" w:rsidR="00EA1B8C" w:rsidRPr="00396C08" w:rsidRDefault="00EA1B8C" w:rsidP="00635AA9">
            <w:pPr>
              <w:spacing w:before="120" w:after="120"/>
              <w:ind w:left="50"/>
              <w:rPr>
                <w:color w:val="0D0D0D" w:themeColor="text1" w:themeTint="F2"/>
              </w:rPr>
            </w:pPr>
          </w:p>
          <w:p w14:paraId="338E2FEF" w14:textId="281D81C9" w:rsidR="00A06887" w:rsidRPr="00396C08" w:rsidRDefault="00EA1B8C" w:rsidP="00635AA9">
            <w:pPr>
              <w:spacing w:before="120" w:after="120"/>
              <w:ind w:left="50"/>
              <w:rPr>
                <w:color w:val="0D0D0D" w:themeColor="text1" w:themeTint="F2"/>
              </w:rPr>
            </w:pPr>
            <w:r w:rsidRPr="00396C08">
              <w:rPr>
                <w:color w:val="0D0D0D" w:themeColor="text1" w:themeTint="F2"/>
              </w:rPr>
              <w:t>Total</w:t>
            </w:r>
            <w:r w:rsidR="00185B7F" w:rsidRPr="00396C08">
              <w:rPr>
                <w:color w:val="0D0D0D" w:themeColor="text1" w:themeTint="F2"/>
              </w:rPr>
              <w:t xml:space="preserve">: </w:t>
            </w:r>
            <w:r w:rsidR="00A06887" w:rsidRPr="00396C08">
              <w:rPr>
                <w:color w:val="0D0D0D" w:themeColor="text1" w:themeTint="F2"/>
              </w:rPr>
              <w:t>$381,837</w:t>
            </w:r>
          </w:p>
          <w:p w14:paraId="2E3B7D17" w14:textId="77777777" w:rsidR="00D7230E" w:rsidRPr="00396C08" w:rsidRDefault="00D7230E" w:rsidP="005918D3">
            <w:pPr>
              <w:pStyle w:val="TableParagraph"/>
              <w:spacing w:before="78"/>
              <w:ind w:left="160" w:right="108"/>
              <w:rPr>
                <w:color w:val="0D0D0D" w:themeColor="text1" w:themeTint="F2"/>
              </w:rPr>
            </w:pPr>
          </w:p>
        </w:tc>
        <w:tc>
          <w:tcPr>
            <w:tcW w:w="3260" w:type="dxa"/>
          </w:tcPr>
          <w:p w14:paraId="78C4D615" w14:textId="77777777" w:rsidR="00043112" w:rsidRPr="00396C08" w:rsidRDefault="00043112" w:rsidP="00043112">
            <w:pPr>
              <w:pStyle w:val="ListParagraph"/>
              <w:widowControl/>
              <w:numPr>
                <w:ilvl w:val="0"/>
                <w:numId w:val="27"/>
              </w:numPr>
              <w:autoSpaceDE/>
              <w:autoSpaceDN/>
              <w:spacing w:before="0" w:after="80" w:line="276" w:lineRule="auto"/>
              <w:ind w:left="325" w:right="108" w:hanging="283"/>
              <w:contextualSpacing/>
              <w:rPr>
                <w:color w:val="0D0D0D" w:themeColor="text1" w:themeTint="F2"/>
              </w:rPr>
            </w:pPr>
            <w:r w:rsidRPr="00396C08">
              <w:rPr>
                <w:color w:val="0D0D0D" w:themeColor="text1" w:themeTint="F2"/>
              </w:rPr>
              <w:t xml:space="preserve">Participating teachers gain a deeper understanding of the Australian Curriculum Mathematics and how to teach it effectively by participation in this project led by Professors Shelley Dole and Merrily </w:t>
            </w:r>
            <w:proofErr w:type="spellStart"/>
            <w:r w:rsidRPr="00396C08">
              <w:rPr>
                <w:color w:val="0D0D0D" w:themeColor="text1" w:themeTint="F2"/>
              </w:rPr>
              <w:t>Goos</w:t>
            </w:r>
            <w:proofErr w:type="spellEnd"/>
            <w:r w:rsidRPr="00396C08">
              <w:rPr>
                <w:color w:val="0D0D0D" w:themeColor="text1" w:themeTint="F2"/>
              </w:rPr>
              <w:t xml:space="preserve"> (USC)</w:t>
            </w:r>
          </w:p>
          <w:p w14:paraId="3255D4C6" w14:textId="77777777" w:rsidR="00043112" w:rsidRPr="00396C08" w:rsidRDefault="00043112" w:rsidP="00043112">
            <w:pPr>
              <w:pStyle w:val="ListParagraph"/>
              <w:widowControl/>
              <w:numPr>
                <w:ilvl w:val="0"/>
                <w:numId w:val="27"/>
              </w:numPr>
              <w:autoSpaceDE/>
              <w:autoSpaceDN/>
              <w:spacing w:before="0" w:after="80" w:line="276" w:lineRule="auto"/>
              <w:ind w:left="325" w:right="108" w:hanging="283"/>
              <w:contextualSpacing/>
              <w:rPr>
                <w:color w:val="0D0D0D" w:themeColor="text1" w:themeTint="F2"/>
              </w:rPr>
            </w:pPr>
            <w:r w:rsidRPr="00396C08">
              <w:rPr>
                <w:color w:val="0D0D0D" w:themeColor="text1" w:themeTint="F2"/>
              </w:rPr>
              <w:t xml:space="preserve">A new version of the ISQ Progression Points for English and Mathematics written to the new version of Australian Curriculum is uploaded into the ISQ members’ hub before the end of 2022  </w:t>
            </w:r>
          </w:p>
          <w:p w14:paraId="21D08520" w14:textId="77777777" w:rsidR="00043112" w:rsidRPr="00396C08" w:rsidRDefault="00043112" w:rsidP="00043112">
            <w:pPr>
              <w:pStyle w:val="ListParagraph"/>
              <w:widowControl/>
              <w:numPr>
                <w:ilvl w:val="0"/>
                <w:numId w:val="27"/>
              </w:numPr>
              <w:autoSpaceDE/>
              <w:autoSpaceDN/>
              <w:spacing w:before="0" w:after="80" w:line="276" w:lineRule="auto"/>
              <w:ind w:left="325" w:right="108" w:hanging="283"/>
              <w:contextualSpacing/>
              <w:rPr>
                <w:color w:val="0D0D0D" w:themeColor="text1" w:themeTint="F2"/>
              </w:rPr>
            </w:pPr>
            <w:r w:rsidRPr="00396C08">
              <w:rPr>
                <w:color w:val="0D0D0D" w:themeColor="text1" w:themeTint="F2"/>
              </w:rPr>
              <w:t>Curriculum Leaders responsible for the Early Years share best practice in quality assessment to identify children who need support and put in place intervention strategies to improve literacy and numeracy outcomes.</w:t>
            </w:r>
          </w:p>
          <w:p w14:paraId="578FE441" w14:textId="77777777" w:rsidR="00043112" w:rsidRPr="00396C08" w:rsidRDefault="00043112" w:rsidP="00043112">
            <w:pPr>
              <w:pStyle w:val="ListParagraph"/>
              <w:widowControl/>
              <w:numPr>
                <w:ilvl w:val="0"/>
                <w:numId w:val="27"/>
              </w:numPr>
              <w:autoSpaceDE/>
              <w:autoSpaceDN/>
              <w:spacing w:before="0" w:after="80" w:line="276" w:lineRule="auto"/>
              <w:ind w:left="325" w:right="108" w:hanging="283"/>
              <w:contextualSpacing/>
              <w:rPr>
                <w:color w:val="0D0D0D" w:themeColor="text1" w:themeTint="F2"/>
              </w:rPr>
            </w:pPr>
            <w:r w:rsidRPr="00396C08">
              <w:rPr>
                <w:color w:val="0D0D0D" w:themeColor="text1" w:themeTint="F2"/>
              </w:rPr>
              <w:lastRenderedPageBreak/>
              <w:t>Curriculum Leaders feel genuinely supported to do their role well through curriculum audits and reviews, regular networking opportunities and workshops to provide updates on curriculum and through Summits and Forums that highlight curriculum innovation</w:t>
            </w:r>
          </w:p>
          <w:p w14:paraId="39093F79" w14:textId="77777777" w:rsidR="00F113D7" w:rsidRPr="00396C08" w:rsidRDefault="00F113D7" w:rsidP="00711C59">
            <w:pPr>
              <w:pStyle w:val="ListParagraph"/>
              <w:widowControl/>
              <w:numPr>
                <w:ilvl w:val="0"/>
                <w:numId w:val="27"/>
              </w:numPr>
              <w:autoSpaceDE/>
              <w:autoSpaceDN/>
              <w:spacing w:before="0" w:after="80" w:line="276" w:lineRule="auto"/>
              <w:ind w:left="325" w:right="108" w:hanging="283"/>
              <w:contextualSpacing/>
              <w:rPr>
                <w:color w:val="0D0D0D" w:themeColor="text1" w:themeTint="F2"/>
              </w:rPr>
            </w:pPr>
            <w:r w:rsidRPr="00396C08">
              <w:rPr>
                <w:color w:val="0D0D0D" w:themeColor="text1" w:themeTint="F2"/>
              </w:rPr>
              <w:t>Independent schools recognise government and government funded partner organisations as credible sources for ongoing support.</w:t>
            </w:r>
          </w:p>
          <w:p w14:paraId="25C9E00F" w14:textId="67F2E1A2" w:rsidR="00D7230E" w:rsidRPr="00396C08" w:rsidRDefault="00F113D7" w:rsidP="00633DEE">
            <w:pPr>
              <w:pStyle w:val="ListParagraph"/>
              <w:widowControl/>
              <w:numPr>
                <w:ilvl w:val="0"/>
                <w:numId w:val="27"/>
              </w:numPr>
              <w:autoSpaceDE/>
              <w:autoSpaceDN/>
              <w:spacing w:before="0" w:after="80" w:line="276" w:lineRule="auto"/>
              <w:ind w:left="325" w:right="108" w:hanging="283"/>
              <w:contextualSpacing/>
              <w:rPr>
                <w:color w:val="0D0D0D" w:themeColor="text1" w:themeTint="F2"/>
              </w:rPr>
            </w:pPr>
            <w:r w:rsidRPr="00396C08">
              <w:rPr>
                <w:color w:val="0D0D0D" w:themeColor="text1" w:themeTint="F2"/>
              </w:rPr>
              <w:t>Clinical staff in independent schools will participate in Community of Practice network and access relevant related -professional learning opportunities.</w:t>
            </w:r>
          </w:p>
        </w:tc>
        <w:tc>
          <w:tcPr>
            <w:tcW w:w="3686" w:type="dxa"/>
          </w:tcPr>
          <w:p w14:paraId="682E7D9B" w14:textId="77777777" w:rsidR="0071754A" w:rsidRPr="00396C08" w:rsidRDefault="0071754A" w:rsidP="0071754A">
            <w:pPr>
              <w:pStyle w:val="ListParagraph"/>
              <w:widowControl/>
              <w:numPr>
                <w:ilvl w:val="0"/>
                <w:numId w:val="27"/>
              </w:numPr>
              <w:autoSpaceDE/>
              <w:autoSpaceDN/>
              <w:spacing w:before="0" w:after="80" w:line="276" w:lineRule="auto"/>
              <w:ind w:left="328" w:right="108" w:hanging="284"/>
              <w:contextualSpacing/>
              <w:rPr>
                <w:color w:val="0D0D0D" w:themeColor="text1" w:themeTint="F2"/>
              </w:rPr>
            </w:pPr>
            <w:r w:rsidRPr="00396C08">
              <w:rPr>
                <w:color w:val="0D0D0D" w:themeColor="text1" w:themeTint="F2"/>
              </w:rPr>
              <w:lastRenderedPageBreak/>
              <w:t xml:space="preserve">At least 80% of the </w:t>
            </w:r>
            <w:proofErr w:type="gramStart"/>
            <w:r w:rsidRPr="00396C08">
              <w:rPr>
                <w:color w:val="0D0D0D" w:themeColor="text1" w:themeTint="F2"/>
              </w:rPr>
              <w:t>Mathematics</w:t>
            </w:r>
            <w:proofErr w:type="gramEnd"/>
            <w:r w:rsidRPr="00396C08">
              <w:rPr>
                <w:color w:val="0D0D0D" w:themeColor="text1" w:themeTint="F2"/>
              </w:rPr>
              <w:t xml:space="preserve"> teachers attending the ISQ project on Mathematics teaching report increased confidence in their teaching and describe how their teaching has improved</w:t>
            </w:r>
          </w:p>
          <w:p w14:paraId="5A95A443" w14:textId="77777777" w:rsidR="0071754A" w:rsidRPr="00396C08" w:rsidRDefault="0071754A" w:rsidP="0071754A">
            <w:pPr>
              <w:pStyle w:val="ListParagraph"/>
              <w:widowControl/>
              <w:numPr>
                <w:ilvl w:val="0"/>
                <w:numId w:val="27"/>
              </w:numPr>
              <w:autoSpaceDE/>
              <w:autoSpaceDN/>
              <w:spacing w:before="0" w:after="80" w:line="276" w:lineRule="auto"/>
              <w:ind w:left="328" w:right="108" w:hanging="284"/>
              <w:contextualSpacing/>
              <w:rPr>
                <w:color w:val="0D0D0D" w:themeColor="text1" w:themeTint="F2"/>
              </w:rPr>
            </w:pPr>
            <w:r w:rsidRPr="00396C08">
              <w:rPr>
                <w:color w:val="0D0D0D" w:themeColor="text1" w:themeTint="F2"/>
              </w:rPr>
              <w:t>At least 80% of member schools that participate in trialling and providing feedback on the new ISQ Progression Points report satisfaction with the changes</w:t>
            </w:r>
          </w:p>
          <w:p w14:paraId="39CB7FF9" w14:textId="77777777" w:rsidR="0071754A" w:rsidRPr="00396C08" w:rsidRDefault="0071754A" w:rsidP="0071754A">
            <w:pPr>
              <w:pStyle w:val="ListParagraph"/>
              <w:widowControl/>
              <w:numPr>
                <w:ilvl w:val="0"/>
                <w:numId w:val="27"/>
              </w:numPr>
              <w:autoSpaceDE/>
              <w:autoSpaceDN/>
              <w:spacing w:before="0" w:after="80" w:line="276" w:lineRule="auto"/>
              <w:ind w:left="328" w:right="108" w:hanging="284"/>
              <w:contextualSpacing/>
              <w:rPr>
                <w:color w:val="0D0D0D" w:themeColor="text1" w:themeTint="F2"/>
              </w:rPr>
            </w:pPr>
            <w:r w:rsidRPr="00396C08">
              <w:rPr>
                <w:color w:val="0D0D0D" w:themeColor="text1" w:themeTint="F2"/>
              </w:rPr>
              <w:t xml:space="preserve">At least 80% of participating Early Years Curriculum Leaders report they are more confident at identifying those students who require intervention using tools such as Year 1 Phonics Check or Early Start by November 2022. </w:t>
            </w:r>
          </w:p>
          <w:p w14:paraId="4EF940EF" w14:textId="77777777" w:rsidR="0071754A" w:rsidRPr="00396C08" w:rsidRDefault="0071754A" w:rsidP="0071754A">
            <w:pPr>
              <w:pStyle w:val="ListParagraph"/>
              <w:widowControl/>
              <w:numPr>
                <w:ilvl w:val="0"/>
                <w:numId w:val="27"/>
              </w:numPr>
              <w:autoSpaceDE/>
              <w:autoSpaceDN/>
              <w:spacing w:before="0" w:after="80" w:line="276" w:lineRule="auto"/>
              <w:ind w:left="328" w:right="108" w:hanging="284"/>
              <w:contextualSpacing/>
              <w:rPr>
                <w:color w:val="0D0D0D" w:themeColor="text1" w:themeTint="F2"/>
              </w:rPr>
            </w:pPr>
            <w:r w:rsidRPr="00396C08">
              <w:rPr>
                <w:color w:val="0D0D0D" w:themeColor="text1" w:themeTint="F2"/>
              </w:rPr>
              <w:t xml:space="preserve">At least 100 Curriculum Leaders attending regional workshops and reporting at least 80% confidence in being able to lead curriculum improvement and innovation in their schools, including professional learning </w:t>
            </w:r>
            <w:r w:rsidRPr="00396C08">
              <w:rPr>
                <w:color w:val="0D0D0D" w:themeColor="text1" w:themeTint="F2"/>
              </w:rPr>
              <w:lastRenderedPageBreak/>
              <w:t xml:space="preserve">about learning progressions and online formative assessment. </w:t>
            </w:r>
          </w:p>
          <w:p w14:paraId="59ECABD1" w14:textId="77777777" w:rsidR="00232AFC" w:rsidRPr="00396C08" w:rsidRDefault="00232AFC" w:rsidP="00AD5D90">
            <w:pPr>
              <w:widowControl/>
              <w:autoSpaceDE/>
              <w:autoSpaceDN/>
              <w:spacing w:before="120" w:after="120"/>
              <w:ind w:left="53"/>
              <w:contextualSpacing/>
              <w:rPr>
                <w:color w:val="0D0D0D" w:themeColor="text1" w:themeTint="F2"/>
              </w:rPr>
            </w:pPr>
            <w:r w:rsidRPr="00396C08">
              <w:rPr>
                <w:color w:val="0D0D0D" w:themeColor="text1" w:themeTint="F2"/>
              </w:rPr>
              <w:t>Wellbeing professional learning opportunities accessed by at least one staff member in 30% of independent schools.</w:t>
            </w:r>
          </w:p>
          <w:p w14:paraId="74A82919" w14:textId="77777777" w:rsidR="000F2808" w:rsidRPr="00396C08" w:rsidRDefault="000F2808" w:rsidP="00AD5D90">
            <w:pPr>
              <w:spacing w:after="80"/>
              <w:ind w:left="53" w:right="108"/>
              <w:rPr>
                <w:color w:val="0D0D0D" w:themeColor="text1" w:themeTint="F2"/>
              </w:rPr>
            </w:pPr>
          </w:p>
          <w:p w14:paraId="428D40C3" w14:textId="33A2B9B1" w:rsidR="00232AFC" w:rsidRPr="00396C08" w:rsidRDefault="00232AFC" w:rsidP="00AD5D90">
            <w:pPr>
              <w:spacing w:after="80"/>
              <w:ind w:left="53" w:right="108"/>
              <w:rPr>
                <w:color w:val="0D0D0D" w:themeColor="text1" w:themeTint="F2"/>
              </w:rPr>
            </w:pPr>
            <w:r w:rsidRPr="00396C08">
              <w:rPr>
                <w:color w:val="0D0D0D" w:themeColor="text1" w:themeTint="F2"/>
              </w:rPr>
              <w:t>40% of member schools have at least one staff member with the relevant qualifications as a member of the ISQ Community of Practice</w:t>
            </w:r>
            <w:r w:rsidR="00711C59" w:rsidRPr="00396C08">
              <w:rPr>
                <w:color w:val="0D0D0D" w:themeColor="text1" w:themeTint="F2"/>
              </w:rPr>
              <w:t>.</w:t>
            </w:r>
          </w:p>
        </w:tc>
      </w:tr>
    </w:tbl>
    <w:p w14:paraId="023FA382" w14:textId="77777777" w:rsidR="00D7230E" w:rsidRPr="00396C08" w:rsidRDefault="00D7230E">
      <w:pPr>
        <w:rPr>
          <w:color w:val="0D0D0D" w:themeColor="text1" w:themeTint="F2"/>
          <w:sz w:val="18"/>
        </w:rPr>
        <w:sectPr w:rsidR="00D7230E" w:rsidRPr="00396C08" w:rsidSect="00FB424F">
          <w:headerReference w:type="even" r:id="rId26"/>
          <w:headerReference w:type="default" r:id="rId27"/>
          <w:footerReference w:type="even" r:id="rId28"/>
          <w:footerReference w:type="default" r:id="rId29"/>
          <w:pgSz w:w="16840" w:h="11910" w:orient="landscape"/>
          <w:pgMar w:top="567" w:right="940" w:bottom="1040" w:left="1300" w:header="288" w:footer="844" w:gutter="0"/>
          <w:pgNumType w:start="11"/>
          <w:cols w:space="720"/>
        </w:sectPr>
      </w:pPr>
    </w:p>
    <w:p w14:paraId="33AFC028" w14:textId="6E483561" w:rsidR="00D7230E" w:rsidRPr="00396C08" w:rsidRDefault="002736A4" w:rsidP="00FB424F">
      <w:pPr>
        <w:pStyle w:val="Heading3"/>
        <w:spacing w:line="480" w:lineRule="auto"/>
        <w:ind w:left="-709"/>
        <w:rPr>
          <w:rFonts w:asciiTheme="minorHAnsi" w:hAnsiTheme="minorHAnsi" w:cstheme="minorHAnsi"/>
          <w:b/>
          <w:bCs/>
          <w:color w:val="0D0D0D" w:themeColor="text1" w:themeTint="F2"/>
          <w:sz w:val="22"/>
          <w:szCs w:val="22"/>
        </w:rPr>
      </w:pPr>
      <w:r w:rsidRPr="00396C08">
        <w:rPr>
          <w:rFonts w:asciiTheme="minorHAnsi" w:hAnsiTheme="minorHAnsi" w:cstheme="minorHAnsi"/>
          <w:b/>
          <w:bCs/>
          <w:color w:val="0D0D0D" w:themeColor="text1" w:themeTint="F2"/>
          <w:sz w:val="22"/>
          <w:szCs w:val="22"/>
        </w:rPr>
        <w:lastRenderedPageBreak/>
        <w:t xml:space="preserve">RSF 7 </w:t>
      </w:r>
      <w:r w:rsidR="008211AF" w:rsidRPr="00396C08">
        <w:rPr>
          <w:rFonts w:asciiTheme="minorHAnsi" w:hAnsiTheme="minorHAnsi" w:cstheme="minorHAnsi"/>
          <w:b/>
          <w:bCs/>
          <w:color w:val="0D0D0D" w:themeColor="text1" w:themeTint="F2"/>
          <w:sz w:val="22"/>
          <w:szCs w:val="22"/>
        </w:rPr>
        <w:t>Supporting Leading, Teaching and Learning in Independent Schools</w:t>
      </w:r>
    </w:p>
    <w:tbl>
      <w:tblPr>
        <w:tblStyle w:val="TableGridLight"/>
        <w:tblW w:w="1573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260"/>
        <w:gridCol w:w="1701"/>
        <w:gridCol w:w="3544"/>
        <w:gridCol w:w="3544"/>
      </w:tblGrid>
      <w:tr w:rsidR="00396C08" w:rsidRPr="00396C08" w14:paraId="71DF7403" w14:textId="77777777" w:rsidTr="00FB424F">
        <w:trPr>
          <w:trHeight w:val="1156"/>
          <w:tblHeader/>
        </w:trPr>
        <w:tc>
          <w:tcPr>
            <w:tcW w:w="3686" w:type="dxa"/>
          </w:tcPr>
          <w:p w14:paraId="5DD0C03D" w14:textId="77777777" w:rsidR="00047874" w:rsidRPr="00396C08" w:rsidRDefault="00047874" w:rsidP="00047874">
            <w:pPr>
              <w:pStyle w:val="TableParagraph"/>
              <w:spacing w:before="120"/>
              <w:ind w:right="421"/>
              <w:rPr>
                <w:rFonts w:asciiTheme="minorHAnsi" w:hAnsiTheme="minorHAnsi" w:cstheme="minorHAnsi"/>
                <w:b/>
                <w:bCs/>
                <w:color w:val="0D0D0D" w:themeColor="text1" w:themeTint="F2"/>
              </w:rPr>
            </w:pPr>
            <w:r w:rsidRPr="00396C08">
              <w:rPr>
                <w:rFonts w:asciiTheme="minorHAnsi" w:hAnsiTheme="minorHAnsi" w:cstheme="minorHAnsi"/>
                <w:b/>
                <w:bCs/>
                <w:color w:val="0D0D0D" w:themeColor="text1" w:themeTint="F2"/>
              </w:rPr>
              <w:t>Project title and link to relevant national reform direction and bilateral action</w:t>
            </w:r>
          </w:p>
          <w:p w14:paraId="786B8543" w14:textId="2E3FBA09" w:rsidR="00462D45" w:rsidRPr="00396C08" w:rsidRDefault="00462D45" w:rsidP="00047874">
            <w:pPr>
              <w:pStyle w:val="TableParagraph"/>
              <w:spacing w:before="120"/>
              <w:ind w:right="421"/>
              <w:rPr>
                <w:rFonts w:asciiTheme="minorHAnsi" w:hAnsiTheme="minorHAnsi" w:cstheme="minorHAnsi"/>
                <w:color w:val="0D0D0D" w:themeColor="text1" w:themeTint="F2"/>
              </w:rPr>
            </w:pPr>
          </w:p>
        </w:tc>
        <w:tc>
          <w:tcPr>
            <w:tcW w:w="3260" w:type="dxa"/>
          </w:tcPr>
          <w:p w14:paraId="4FE44729" w14:textId="00422072" w:rsidR="00047874" w:rsidRPr="00396C08" w:rsidRDefault="00047874" w:rsidP="00047874">
            <w:pPr>
              <w:pStyle w:val="TableParagraph"/>
              <w:spacing w:before="120"/>
              <w:ind w:right="100"/>
              <w:rPr>
                <w:rFonts w:asciiTheme="minorHAnsi" w:hAnsiTheme="minorHAnsi" w:cstheme="minorHAnsi"/>
                <w:color w:val="0D0D0D" w:themeColor="text1" w:themeTint="F2"/>
              </w:rPr>
            </w:pPr>
            <w:r w:rsidRPr="00396C08">
              <w:rPr>
                <w:rFonts w:asciiTheme="minorHAnsi" w:hAnsiTheme="minorHAnsi" w:cstheme="minorHAnsi"/>
                <w:b/>
                <w:bCs/>
                <w:color w:val="0D0D0D" w:themeColor="text1" w:themeTint="F2"/>
              </w:rPr>
              <w:t>Project description and activities</w:t>
            </w:r>
          </w:p>
        </w:tc>
        <w:tc>
          <w:tcPr>
            <w:tcW w:w="1701" w:type="dxa"/>
          </w:tcPr>
          <w:p w14:paraId="038AD86C" w14:textId="487D8A82" w:rsidR="00047874" w:rsidRPr="00396C08" w:rsidRDefault="00047874" w:rsidP="00047874">
            <w:pPr>
              <w:pStyle w:val="TableParagraph"/>
              <w:spacing w:before="120"/>
              <w:rPr>
                <w:rFonts w:asciiTheme="minorHAnsi" w:hAnsiTheme="minorHAnsi" w:cstheme="minorHAnsi"/>
                <w:color w:val="0D0D0D" w:themeColor="text1" w:themeTint="F2"/>
              </w:rPr>
            </w:pPr>
            <w:r w:rsidRPr="00396C08">
              <w:rPr>
                <w:rFonts w:asciiTheme="minorHAnsi" w:hAnsiTheme="minorHAnsi" w:cstheme="minorHAnsi"/>
                <w:b/>
                <w:bCs/>
                <w:color w:val="0D0D0D" w:themeColor="text1" w:themeTint="F2"/>
              </w:rPr>
              <w:t>Indicative budget</w:t>
            </w:r>
          </w:p>
        </w:tc>
        <w:tc>
          <w:tcPr>
            <w:tcW w:w="3544" w:type="dxa"/>
          </w:tcPr>
          <w:p w14:paraId="009D69A0" w14:textId="508EBE09" w:rsidR="00047874" w:rsidRPr="00396C08" w:rsidRDefault="00047874" w:rsidP="00047874">
            <w:pPr>
              <w:pStyle w:val="TableParagraph"/>
              <w:spacing w:before="120"/>
              <w:ind w:left="105"/>
              <w:rPr>
                <w:rFonts w:asciiTheme="minorHAnsi" w:hAnsiTheme="minorHAnsi" w:cstheme="minorHAnsi"/>
                <w:color w:val="0D0D0D" w:themeColor="text1" w:themeTint="F2"/>
              </w:rPr>
            </w:pPr>
            <w:r w:rsidRPr="00396C08">
              <w:rPr>
                <w:rFonts w:asciiTheme="minorHAnsi" w:hAnsiTheme="minorHAnsi" w:cstheme="minorHAnsi"/>
                <w:b/>
                <w:bCs/>
                <w:color w:val="0D0D0D" w:themeColor="text1" w:themeTint="F2"/>
              </w:rPr>
              <w:t>Expected outcomes</w:t>
            </w:r>
          </w:p>
        </w:tc>
        <w:tc>
          <w:tcPr>
            <w:tcW w:w="3544" w:type="dxa"/>
          </w:tcPr>
          <w:p w14:paraId="31E9D00E" w14:textId="700AAE7F" w:rsidR="00047874" w:rsidRPr="00396C08" w:rsidRDefault="00047874" w:rsidP="00047874">
            <w:pPr>
              <w:pStyle w:val="TableParagraph"/>
              <w:spacing w:before="120"/>
              <w:ind w:left="105"/>
              <w:rPr>
                <w:rFonts w:asciiTheme="minorHAnsi" w:hAnsiTheme="minorHAnsi" w:cstheme="minorHAnsi"/>
                <w:color w:val="0D0D0D" w:themeColor="text1" w:themeTint="F2"/>
              </w:rPr>
            </w:pPr>
            <w:r w:rsidRPr="00396C08">
              <w:rPr>
                <w:rFonts w:asciiTheme="minorHAnsi" w:hAnsiTheme="minorHAnsi" w:cstheme="minorHAnsi"/>
                <w:b/>
                <w:bCs/>
                <w:color w:val="0D0D0D" w:themeColor="text1" w:themeTint="F2"/>
              </w:rPr>
              <w:t>Indicators of success</w:t>
            </w:r>
          </w:p>
        </w:tc>
      </w:tr>
      <w:tr w:rsidR="00396C08" w:rsidRPr="00396C08" w14:paraId="3F398B84" w14:textId="77777777" w:rsidTr="00FB424F">
        <w:trPr>
          <w:trHeight w:val="2355"/>
        </w:trPr>
        <w:tc>
          <w:tcPr>
            <w:tcW w:w="3686" w:type="dxa"/>
          </w:tcPr>
          <w:p w14:paraId="4C10BDE2" w14:textId="77777777" w:rsidR="00CF1C1E" w:rsidRPr="00396C08" w:rsidRDefault="00CF1C1E" w:rsidP="00CF1C1E">
            <w:pPr>
              <w:pStyle w:val="TableParagraph"/>
              <w:spacing w:before="79"/>
              <w:ind w:right="393"/>
              <w:rPr>
                <w:rFonts w:asciiTheme="minorHAnsi" w:hAnsiTheme="minorHAnsi" w:cstheme="minorHAnsi"/>
                <w:b/>
                <w:i/>
                <w:color w:val="0D0D0D" w:themeColor="text1" w:themeTint="F2"/>
              </w:rPr>
            </w:pPr>
            <w:r w:rsidRPr="00396C08">
              <w:rPr>
                <w:rFonts w:asciiTheme="minorHAnsi" w:hAnsiTheme="minorHAnsi" w:cstheme="minorHAnsi"/>
                <w:b/>
                <w:i/>
                <w:color w:val="0D0D0D" w:themeColor="text1" w:themeTint="F2"/>
              </w:rPr>
              <w:t>NRD: Supporting students, student learning and student achievement</w:t>
            </w:r>
          </w:p>
          <w:p w14:paraId="39515AA6" w14:textId="77777777" w:rsidR="00CF1C1E" w:rsidRPr="00396C08" w:rsidRDefault="00CF1C1E" w:rsidP="00CF1C1E">
            <w:pPr>
              <w:pStyle w:val="TableParagraph"/>
              <w:spacing w:before="82"/>
              <w:ind w:right="329"/>
              <w:rPr>
                <w:rFonts w:asciiTheme="minorHAnsi" w:hAnsiTheme="minorHAnsi" w:cstheme="minorHAnsi"/>
                <w:b/>
                <w:i/>
                <w:color w:val="0D0D0D" w:themeColor="text1" w:themeTint="F2"/>
              </w:rPr>
            </w:pPr>
            <w:r w:rsidRPr="00396C08">
              <w:rPr>
                <w:rFonts w:asciiTheme="minorHAnsi" w:hAnsiTheme="minorHAnsi" w:cstheme="minorHAnsi"/>
                <w:b/>
                <w:i/>
                <w:color w:val="0D0D0D" w:themeColor="text1" w:themeTint="F2"/>
              </w:rPr>
              <w:t>Supporting teaching, school leadership and school improvement</w:t>
            </w:r>
          </w:p>
          <w:p w14:paraId="010F5A17" w14:textId="77777777" w:rsidR="00CF1C1E" w:rsidRPr="00396C08" w:rsidRDefault="00CF1C1E" w:rsidP="00CF1C1E">
            <w:pPr>
              <w:pStyle w:val="TableParagraph"/>
              <w:spacing w:before="80"/>
              <w:ind w:right="220"/>
              <w:rPr>
                <w:rFonts w:asciiTheme="minorHAnsi" w:hAnsiTheme="minorHAnsi" w:cstheme="minorHAnsi"/>
                <w:b/>
                <w:i/>
                <w:color w:val="0D0D0D" w:themeColor="text1" w:themeTint="F2"/>
              </w:rPr>
            </w:pPr>
            <w:r w:rsidRPr="00396C08">
              <w:rPr>
                <w:rFonts w:asciiTheme="minorHAnsi" w:hAnsiTheme="minorHAnsi" w:cstheme="minorHAnsi"/>
                <w:b/>
                <w:i/>
                <w:color w:val="0D0D0D" w:themeColor="text1" w:themeTint="F2"/>
              </w:rPr>
              <w:t>Enhancing the national evidence base</w:t>
            </w:r>
          </w:p>
          <w:p w14:paraId="68931321" w14:textId="77777777" w:rsidR="00CF1C1E" w:rsidRPr="00396C08" w:rsidRDefault="00CF1C1E" w:rsidP="00CF1C1E">
            <w:pPr>
              <w:ind w:right="110"/>
              <w:rPr>
                <w:rFonts w:asciiTheme="minorHAnsi" w:hAnsiTheme="minorHAnsi" w:cstheme="minorHAnsi"/>
                <w:b/>
                <w:bCs/>
                <w:i/>
                <w:iCs/>
                <w:color w:val="0D0D0D" w:themeColor="text1" w:themeTint="F2"/>
              </w:rPr>
            </w:pPr>
          </w:p>
          <w:p w14:paraId="439FCA0C" w14:textId="16C6ED87" w:rsidR="00822B3C" w:rsidRPr="00396C08" w:rsidRDefault="00366844" w:rsidP="00635AA9">
            <w:pPr>
              <w:ind w:left="140" w:right="110"/>
              <w:rPr>
                <w:rFonts w:asciiTheme="minorHAnsi" w:hAnsiTheme="minorHAnsi" w:cstheme="minorHAnsi"/>
                <w:b/>
                <w:bCs/>
                <w:i/>
                <w:iCs/>
                <w:color w:val="0D0D0D" w:themeColor="text1" w:themeTint="F2"/>
              </w:rPr>
            </w:pPr>
            <w:r w:rsidRPr="00396C08">
              <w:rPr>
                <w:rFonts w:asciiTheme="minorHAnsi" w:hAnsiTheme="minorHAnsi" w:cstheme="minorHAnsi"/>
                <w:b/>
                <w:bCs/>
                <w:i/>
                <w:iCs/>
                <w:color w:val="0D0D0D" w:themeColor="text1" w:themeTint="F2"/>
              </w:rPr>
              <w:t>Bilateral:</w:t>
            </w:r>
          </w:p>
          <w:p w14:paraId="6417104A" w14:textId="2EDC998D" w:rsidR="00822B3C" w:rsidRPr="00396C08" w:rsidRDefault="00822B3C" w:rsidP="007D14AD">
            <w:pPr>
              <w:ind w:left="164" w:right="110"/>
              <w:rPr>
                <w:rFonts w:asciiTheme="minorHAnsi" w:hAnsiTheme="minorHAnsi" w:cstheme="minorHAnsi"/>
                <w:b/>
                <w:bCs/>
                <w:i/>
                <w:iCs/>
                <w:color w:val="0D0D0D" w:themeColor="text1" w:themeTint="F2"/>
              </w:rPr>
            </w:pPr>
            <w:r w:rsidRPr="00396C08">
              <w:rPr>
                <w:rFonts w:asciiTheme="minorHAnsi" w:hAnsiTheme="minorHAnsi" w:cstheme="minorHAnsi"/>
                <w:b/>
                <w:bCs/>
                <w:i/>
                <w:iCs/>
                <w:color w:val="0D0D0D" w:themeColor="text1" w:themeTint="F2"/>
              </w:rPr>
              <w:t>Reform Direction A - Support students and student learning</w:t>
            </w:r>
            <w:r w:rsidR="007D14AD" w:rsidRPr="00396C08">
              <w:rPr>
                <w:rFonts w:asciiTheme="minorHAnsi" w:hAnsiTheme="minorHAnsi" w:cstheme="minorHAnsi"/>
                <w:b/>
                <w:bCs/>
                <w:i/>
                <w:iCs/>
                <w:color w:val="0D0D0D" w:themeColor="text1" w:themeTint="F2"/>
              </w:rPr>
              <w:t>.</w:t>
            </w:r>
          </w:p>
          <w:p w14:paraId="0FB9501D" w14:textId="5FFB7B3B" w:rsidR="00822B3C" w:rsidRPr="00396C08" w:rsidRDefault="00822B3C" w:rsidP="007D14AD">
            <w:pPr>
              <w:ind w:left="164" w:right="110"/>
              <w:rPr>
                <w:rFonts w:asciiTheme="minorHAnsi" w:hAnsiTheme="minorHAnsi" w:cstheme="minorHAnsi"/>
                <w:b/>
                <w:bCs/>
                <w:i/>
                <w:iCs/>
                <w:color w:val="0D0D0D" w:themeColor="text1" w:themeTint="F2"/>
              </w:rPr>
            </w:pPr>
            <w:r w:rsidRPr="00396C08">
              <w:rPr>
                <w:rFonts w:asciiTheme="minorHAnsi" w:hAnsiTheme="minorHAnsi" w:cstheme="minorHAnsi"/>
                <w:b/>
                <w:bCs/>
                <w:i/>
                <w:iCs/>
                <w:color w:val="0D0D0D" w:themeColor="text1" w:themeTint="F2"/>
              </w:rPr>
              <w:t>Reform Direction B – Support teaching, school leadership and school improvement</w:t>
            </w:r>
            <w:r w:rsidR="007D14AD" w:rsidRPr="00396C08">
              <w:rPr>
                <w:rFonts w:asciiTheme="minorHAnsi" w:hAnsiTheme="minorHAnsi" w:cstheme="minorHAnsi"/>
                <w:b/>
                <w:bCs/>
                <w:i/>
                <w:iCs/>
                <w:color w:val="0D0D0D" w:themeColor="text1" w:themeTint="F2"/>
              </w:rPr>
              <w:t>.</w:t>
            </w:r>
          </w:p>
          <w:p w14:paraId="01823A1F" w14:textId="26F4738C" w:rsidR="00822B3C" w:rsidRPr="00396C08" w:rsidRDefault="00822B3C" w:rsidP="007D14AD">
            <w:pPr>
              <w:pStyle w:val="ListParagraph"/>
              <w:widowControl/>
              <w:numPr>
                <w:ilvl w:val="0"/>
                <w:numId w:val="21"/>
              </w:numPr>
              <w:autoSpaceDE/>
              <w:autoSpaceDN/>
              <w:spacing w:before="0" w:after="200" w:line="276" w:lineRule="auto"/>
              <w:ind w:left="164" w:right="110"/>
              <w:contextualSpacing/>
              <w:rPr>
                <w:rFonts w:asciiTheme="minorHAnsi" w:hAnsiTheme="minorHAnsi" w:cstheme="minorHAnsi"/>
                <w:b/>
                <w:bCs/>
                <w:i/>
                <w:iCs/>
                <w:color w:val="0D0D0D" w:themeColor="text1" w:themeTint="F2"/>
              </w:rPr>
            </w:pPr>
            <w:r w:rsidRPr="00396C08">
              <w:rPr>
                <w:rFonts w:asciiTheme="minorHAnsi" w:hAnsiTheme="minorHAnsi" w:cstheme="minorHAnsi"/>
                <w:b/>
                <w:bCs/>
                <w:i/>
                <w:iCs/>
                <w:color w:val="0D0D0D" w:themeColor="text1" w:themeTint="F2"/>
              </w:rPr>
              <w:t>Prioritise support for rural and remote schools to access professional learning opportunities</w:t>
            </w:r>
            <w:r w:rsidR="007D14AD" w:rsidRPr="00396C08">
              <w:rPr>
                <w:rFonts w:asciiTheme="minorHAnsi" w:hAnsiTheme="minorHAnsi" w:cstheme="minorHAnsi"/>
                <w:b/>
                <w:bCs/>
                <w:i/>
                <w:iCs/>
                <w:color w:val="0D0D0D" w:themeColor="text1" w:themeTint="F2"/>
              </w:rPr>
              <w:t>.</w:t>
            </w:r>
          </w:p>
          <w:p w14:paraId="0C4963D9" w14:textId="0DF6C0B0" w:rsidR="00D7230E" w:rsidRPr="00396C08" w:rsidRDefault="00822B3C" w:rsidP="007D14AD">
            <w:pPr>
              <w:pStyle w:val="ListParagraph"/>
              <w:widowControl/>
              <w:numPr>
                <w:ilvl w:val="0"/>
                <w:numId w:val="21"/>
              </w:numPr>
              <w:autoSpaceDE/>
              <w:autoSpaceDN/>
              <w:spacing w:before="0" w:after="200" w:line="276" w:lineRule="auto"/>
              <w:ind w:left="164" w:right="110"/>
              <w:contextualSpacing/>
              <w:rPr>
                <w:rFonts w:asciiTheme="minorHAnsi" w:hAnsiTheme="minorHAnsi" w:cstheme="minorHAnsi"/>
                <w:b/>
                <w:bCs/>
                <w:i/>
                <w:iCs/>
                <w:color w:val="0D0D0D" w:themeColor="text1" w:themeTint="F2"/>
              </w:rPr>
            </w:pPr>
            <w:r w:rsidRPr="00396C08">
              <w:rPr>
                <w:rFonts w:asciiTheme="minorHAnsi" w:hAnsiTheme="minorHAnsi" w:cstheme="minorHAnsi"/>
                <w:b/>
                <w:bCs/>
                <w:i/>
                <w:iCs/>
                <w:color w:val="0D0D0D" w:themeColor="text1" w:themeTint="F2"/>
              </w:rPr>
              <w:t>Increase support for schools through resources and professional development to sustain and improve parent engagement strategies</w:t>
            </w:r>
            <w:r w:rsidR="007D14AD" w:rsidRPr="00396C08">
              <w:rPr>
                <w:rFonts w:asciiTheme="minorHAnsi" w:hAnsiTheme="minorHAnsi" w:cstheme="minorHAnsi"/>
                <w:b/>
                <w:bCs/>
                <w:i/>
                <w:iCs/>
                <w:color w:val="0D0D0D" w:themeColor="text1" w:themeTint="F2"/>
              </w:rPr>
              <w:t>.</w:t>
            </w:r>
          </w:p>
        </w:tc>
        <w:tc>
          <w:tcPr>
            <w:tcW w:w="3260" w:type="dxa"/>
          </w:tcPr>
          <w:p w14:paraId="11E9531C" w14:textId="77777777" w:rsidR="002D40A3" w:rsidRPr="00396C08" w:rsidRDefault="002D40A3" w:rsidP="002D40A3">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In 2022 ISQ provides program support for schools in relation to leading, </w:t>
            </w:r>
            <w:proofErr w:type="gramStart"/>
            <w:r w:rsidRPr="00396C08">
              <w:rPr>
                <w:rFonts w:asciiTheme="minorHAnsi" w:hAnsiTheme="minorHAnsi" w:cstheme="minorHAnsi"/>
                <w:color w:val="0D0D0D" w:themeColor="text1" w:themeTint="F2"/>
              </w:rPr>
              <w:t>teaching</w:t>
            </w:r>
            <w:proofErr w:type="gramEnd"/>
            <w:r w:rsidRPr="00396C08">
              <w:rPr>
                <w:rFonts w:asciiTheme="minorHAnsi" w:hAnsiTheme="minorHAnsi" w:cstheme="minorHAnsi"/>
                <w:color w:val="0D0D0D" w:themeColor="text1" w:themeTint="F2"/>
              </w:rPr>
              <w:t xml:space="preserve"> and learning in independent schools.</w:t>
            </w:r>
          </w:p>
          <w:p w14:paraId="3F261DCE" w14:textId="77777777" w:rsidR="002D40A3" w:rsidRPr="00396C08" w:rsidRDefault="002D40A3" w:rsidP="002D40A3">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All activities involve combinations of professional learning, online interactions, mentoring, </w:t>
            </w:r>
            <w:proofErr w:type="gramStart"/>
            <w:r w:rsidRPr="00396C08">
              <w:rPr>
                <w:rFonts w:asciiTheme="minorHAnsi" w:hAnsiTheme="minorHAnsi" w:cstheme="minorHAnsi"/>
                <w:color w:val="0D0D0D" w:themeColor="text1" w:themeTint="F2"/>
              </w:rPr>
              <w:t>reviews</w:t>
            </w:r>
            <w:proofErr w:type="gramEnd"/>
            <w:r w:rsidRPr="00396C08">
              <w:rPr>
                <w:rFonts w:asciiTheme="minorHAnsi" w:hAnsiTheme="minorHAnsi" w:cstheme="minorHAnsi"/>
                <w:color w:val="0D0D0D" w:themeColor="text1" w:themeTint="F2"/>
              </w:rPr>
              <w:t xml:space="preserve"> and school deliverables.</w:t>
            </w:r>
          </w:p>
          <w:p w14:paraId="3452505D" w14:textId="77777777" w:rsidR="002D40A3" w:rsidRPr="00396C08" w:rsidRDefault="002D40A3" w:rsidP="002D40A3">
            <w:pPr>
              <w:spacing w:before="24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Leading Activities:</w:t>
            </w:r>
          </w:p>
          <w:p w14:paraId="54E1C22C" w14:textId="77777777"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Senior Leaders programs – Aspiring and New Principals </w:t>
            </w:r>
          </w:p>
          <w:p w14:paraId="73E2E946" w14:textId="77777777"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School leadership development programs – Emerging Leaders, Middle Leaders, and Staff Induction and Retention</w:t>
            </w:r>
          </w:p>
          <w:p w14:paraId="631C13B8" w14:textId="77777777"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HALT Certification service</w:t>
            </w:r>
          </w:p>
          <w:p w14:paraId="472D6C42" w14:textId="77777777" w:rsidR="002D40A3" w:rsidRPr="00396C08" w:rsidRDefault="002D40A3" w:rsidP="002D40A3">
            <w:pPr>
              <w:spacing w:before="24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Teaching and Learning Activities:</w:t>
            </w:r>
          </w:p>
          <w:p w14:paraId="349F07D4" w14:textId="77777777"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Teachers Growth and Development</w:t>
            </w:r>
          </w:p>
          <w:p w14:paraId="53FC206A" w14:textId="77777777"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Coaching</w:t>
            </w:r>
          </w:p>
          <w:p w14:paraId="0A745887" w14:textId="1B4ADD23"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Research in Schools: Collaborative Inquiry</w:t>
            </w:r>
            <w:r w:rsidR="0073360B" w:rsidRPr="00396C08">
              <w:rPr>
                <w:rFonts w:asciiTheme="minorHAnsi" w:hAnsiTheme="minorHAnsi" w:cstheme="minorHAnsi"/>
                <w:color w:val="0D0D0D" w:themeColor="text1" w:themeTint="F2"/>
              </w:rPr>
              <w:t xml:space="preserve">, informed by relevant AERO research </w:t>
            </w:r>
          </w:p>
          <w:p w14:paraId="2C74FA9A" w14:textId="77777777"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Formative Assessment</w:t>
            </w:r>
          </w:p>
          <w:p w14:paraId="1EBEAB55" w14:textId="77777777"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lastRenderedPageBreak/>
              <w:t>Future Schools</w:t>
            </w:r>
          </w:p>
          <w:p w14:paraId="13BF9700" w14:textId="77777777"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Feedback</w:t>
            </w:r>
          </w:p>
          <w:p w14:paraId="38109A8A" w14:textId="77777777"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Early Years Literacy</w:t>
            </w:r>
          </w:p>
          <w:p w14:paraId="70057B2B" w14:textId="77777777" w:rsidR="002D40A3"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Literacy Pedagogy</w:t>
            </w:r>
          </w:p>
          <w:p w14:paraId="76883E37" w14:textId="1D531510" w:rsidR="00D7230E" w:rsidRPr="00396C08" w:rsidRDefault="002D40A3" w:rsidP="002D40A3">
            <w:pPr>
              <w:widowControl/>
              <w:numPr>
                <w:ilvl w:val="0"/>
                <w:numId w:val="18"/>
              </w:numPr>
              <w:autoSpaceDE/>
              <w:autoSpaceDN/>
              <w:ind w:left="427" w:right="105" w:hanging="187"/>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Numeracy Pedagogy</w:t>
            </w:r>
          </w:p>
        </w:tc>
        <w:tc>
          <w:tcPr>
            <w:tcW w:w="1701" w:type="dxa"/>
          </w:tcPr>
          <w:p w14:paraId="782BF28F" w14:textId="152F9591" w:rsidR="00C46EC9" w:rsidRPr="00396C08" w:rsidRDefault="00C46EC9" w:rsidP="00635AA9">
            <w:pPr>
              <w:spacing w:before="120" w:after="120"/>
              <w:ind w:left="80"/>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lastRenderedPageBreak/>
              <w:t xml:space="preserve">Reform support funding:  </w:t>
            </w:r>
            <w:r w:rsidR="00A06887" w:rsidRPr="00396C08">
              <w:rPr>
                <w:rFonts w:asciiTheme="minorHAnsi" w:hAnsiTheme="minorHAnsi" w:cstheme="minorHAnsi"/>
                <w:color w:val="0D0D0D" w:themeColor="text1" w:themeTint="F2"/>
              </w:rPr>
              <w:t>$1,191,448</w:t>
            </w:r>
          </w:p>
          <w:p w14:paraId="49053E9A" w14:textId="5015AC0D" w:rsidR="00C46EC9" w:rsidRPr="00396C08" w:rsidRDefault="00C46EC9" w:rsidP="00635AA9">
            <w:pPr>
              <w:spacing w:before="120" w:after="120"/>
              <w:ind w:left="80"/>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Other funding: $</w:t>
            </w:r>
            <w:r w:rsidR="00810DE8" w:rsidRPr="00396C08">
              <w:rPr>
                <w:rFonts w:asciiTheme="minorHAnsi" w:hAnsiTheme="minorHAnsi" w:cstheme="minorHAnsi"/>
                <w:color w:val="0D0D0D" w:themeColor="text1" w:themeTint="F2"/>
              </w:rPr>
              <w:t>1,326,883</w:t>
            </w:r>
          </w:p>
          <w:p w14:paraId="6A76542C" w14:textId="77777777" w:rsidR="00A06887" w:rsidRPr="00396C08" w:rsidRDefault="00A06887" w:rsidP="00635AA9">
            <w:pPr>
              <w:spacing w:before="120" w:after="120"/>
              <w:ind w:left="80"/>
              <w:rPr>
                <w:rFonts w:asciiTheme="minorHAnsi" w:hAnsiTheme="minorHAnsi" w:cstheme="minorHAnsi"/>
                <w:color w:val="0D0D0D" w:themeColor="text1" w:themeTint="F2"/>
              </w:rPr>
            </w:pPr>
          </w:p>
          <w:p w14:paraId="25E8E928" w14:textId="734568E9" w:rsidR="00810DE8" w:rsidRPr="00396C08" w:rsidRDefault="00810DE8" w:rsidP="00635AA9">
            <w:pPr>
              <w:spacing w:before="120" w:after="120"/>
              <w:ind w:left="80"/>
              <w:rPr>
                <w:rFonts w:asciiTheme="minorHAnsi" w:hAnsiTheme="minorHAnsi" w:cstheme="minorHAnsi"/>
                <w:color w:val="0D0D0D" w:themeColor="text1" w:themeTint="F2"/>
              </w:rPr>
            </w:pPr>
          </w:p>
          <w:p w14:paraId="4B26ACC0" w14:textId="77777777" w:rsidR="00185B7F" w:rsidRPr="00396C08" w:rsidRDefault="00810DE8" w:rsidP="00635AA9">
            <w:pPr>
              <w:spacing w:before="120" w:after="120"/>
              <w:ind w:left="80"/>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Total</w:t>
            </w:r>
            <w:r w:rsidR="00185B7F" w:rsidRPr="00396C08">
              <w:rPr>
                <w:rFonts w:asciiTheme="minorHAnsi" w:hAnsiTheme="minorHAnsi" w:cstheme="minorHAnsi"/>
                <w:color w:val="0D0D0D" w:themeColor="text1" w:themeTint="F2"/>
              </w:rPr>
              <w:t>:</w:t>
            </w:r>
          </w:p>
          <w:p w14:paraId="7857F2FC" w14:textId="1BACB19E" w:rsidR="00A06887" w:rsidRPr="00396C08" w:rsidRDefault="00A06887" w:rsidP="00635AA9">
            <w:pPr>
              <w:spacing w:before="120" w:after="120"/>
              <w:ind w:left="80"/>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$2,518,331</w:t>
            </w:r>
          </w:p>
          <w:p w14:paraId="63C7C1A2" w14:textId="77777777" w:rsidR="00D7230E" w:rsidRPr="00396C08" w:rsidRDefault="00D7230E" w:rsidP="007D14AD">
            <w:pPr>
              <w:pStyle w:val="TableParagraph"/>
              <w:spacing w:before="77"/>
              <w:ind w:left="164" w:right="110"/>
              <w:rPr>
                <w:rFonts w:asciiTheme="minorHAnsi" w:hAnsiTheme="minorHAnsi" w:cstheme="minorHAnsi"/>
                <w:color w:val="0D0D0D" w:themeColor="text1" w:themeTint="F2"/>
              </w:rPr>
            </w:pPr>
          </w:p>
        </w:tc>
        <w:tc>
          <w:tcPr>
            <w:tcW w:w="3544" w:type="dxa"/>
          </w:tcPr>
          <w:p w14:paraId="0800AB59" w14:textId="77777777" w:rsidR="00267F7D" w:rsidRPr="00396C08" w:rsidRDefault="00267F7D" w:rsidP="00267F7D">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Participating schools are supported to implement the evidence-based practices in leadership, teaching and learning that improve student outcomes.</w:t>
            </w:r>
          </w:p>
          <w:p w14:paraId="1CBA2FEE" w14:textId="77777777" w:rsidR="00267F7D" w:rsidRPr="00396C08" w:rsidRDefault="00267F7D" w:rsidP="00267F7D">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The professional learning content and approach is high-quality and fit-for-purpose, build the capacity of the individual participants so they can lead in their own context, and is aligned with participating schools’ strategic objectives.</w:t>
            </w:r>
          </w:p>
          <w:p w14:paraId="2DCD7296" w14:textId="77777777" w:rsidR="00267F7D" w:rsidRPr="00396C08" w:rsidRDefault="00267F7D" w:rsidP="00267F7D">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Data is gathered to ensure that growth is taking place, as intended, in the relevant directions for participating schools and their teams. </w:t>
            </w:r>
          </w:p>
          <w:p w14:paraId="015C5539" w14:textId="3DB1B604" w:rsidR="00D7230E" w:rsidRPr="00396C08" w:rsidRDefault="00267F7D" w:rsidP="00267F7D">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Evaluative frameworks are designed and used to meet accountability requirements, encourage continuous improvement of activities, and develop the capacity of school staff.</w:t>
            </w:r>
          </w:p>
        </w:tc>
        <w:tc>
          <w:tcPr>
            <w:tcW w:w="3544" w:type="dxa"/>
          </w:tcPr>
          <w:p w14:paraId="4C471D1E" w14:textId="77777777" w:rsidR="0004292F" w:rsidRPr="00396C08" w:rsidRDefault="0004292F" w:rsidP="0004292F">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At least 80 schools participate in this suite of activities and at least 12 of those participating schools be rural or remote schools.</w:t>
            </w:r>
          </w:p>
          <w:p w14:paraId="5F34F451" w14:textId="77777777" w:rsidR="0004292F" w:rsidRPr="00396C08" w:rsidRDefault="0004292F" w:rsidP="0004292F">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At least 180 teachers and/or school leaders participate in this suite of programs.</w:t>
            </w:r>
          </w:p>
          <w:p w14:paraId="0D8DC143" w14:textId="77777777" w:rsidR="0004292F" w:rsidRPr="00396C08" w:rsidRDefault="0004292F" w:rsidP="0004292F">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75% of responding participants, in relevant programs, report satisfaction with the process, quality and delivery of the activity.</w:t>
            </w:r>
          </w:p>
          <w:p w14:paraId="123BE828" w14:textId="77777777" w:rsidR="0004292F" w:rsidRPr="00396C08" w:rsidRDefault="0004292F" w:rsidP="0004292F">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75% of responding participants report improvement in target areas and/or achievement of program goals (</w:t>
            </w:r>
            <w:proofErr w:type="gramStart"/>
            <w:r w:rsidRPr="00396C08">
              <w:rPr>
                <w:rFonts w:asciiTheme="minorHAnsi" w:hAnsiTheme="minorHAnsi" w:cstheme="minorHAnsi"/>
                <w:color w:val="0D0D0D" w:themeColor="text1" w:themeTint="F2"/>
              </w:rPr>
              <w:t>e.g.</w:t>
            </w:r>
            <w:proofErr w:type="gramEnd"/>
            <w:r w:rsidRPr="00396C08">
              <w:rPr>
                <w:rFonts w:asciiTheme="minorHAnsi" w:hAnsiTheme="minorHAnsi" w:cstheme="minorHAnsi"/>
                <w:color w:val="0D0D0D" w:themeColor="text1" w:themeTint="F2"/>
              </w:rPr>
              <w:t xml:space="preserve"> participants in leadership development programs improve in their leadership capacity, participants in a teaching program develop their context-specific strategy).</w:t>
            </w:r>
          </w:p>
          <w:p w14:paraId="1F45FE94" w14:textId="77777777" w:rsidR="0004292F" w:rsidRPr="00396C08" w:rsidRDefault="0004292F" w:rsidP="0004292F">
            <w:pPr>
              <w:spacing w:after="80"/>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At least 30% increase in engagement in HALT Certification including participants from at least 2 new schools to be regional or remote areas</w:t>
            </w:r>
          </w:p>
          <w:p w14:paraId="5B444882" w14:textId="77777777" w:rsidR="0004292F" w:rsidRPr="00396C08" w:rsidRDefault="0004292F" w:rsidP="0004292F">
            <w:pPr>
              <w:pStyle w:val="TableParagraph"/>
              <w:spacing w:before="88" w:after="80" w:line="237" w:lineRule="auto"/>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 xml:space="preserve">At least 20 new assessors trained, including Senior Assessors, trained in the national HALT </w:t>
            </w:r>
            <w:r w:rsidRPr="00396C08">
              <w:rPr>
                <w:rFonts w:asciiTheme="minorHAnsi" w:hAnsiTheme="minorHAnsi" w:cstheme="minorHAnsi"/>
                <w:color w:val="0D0D0D" w:themeColor="text1" w:themeTint="F2"/>
              </w:rPr>
              <w:lastRenderedPageBreak/>
              <w:t>certification process.</w:t>
            </w:r>
          </w:p>
          <w:p w14:paraId="659E8DC6" w14:textId="77777777" w:rsidR="0004292F" w:rsidRPr="00396C08" w:rsidRDefault="0004292F" w:rsidP="0004292F">
            <w:pPr>
              <w:pStyle w:val="TableParagraph"/>
              <w:spacing w:before="88" w:after="80" w:line="237" w:lineRule="auto"/>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At least 20 Aspiring Principals being supported through a tailored program.</w:t>
            </w:r>
          </w:p>
          <w:p w14:paraId="19E68F4F" w14:textId="154C507A" w:rsidR="0004292F" w:rsidRPr="00396C08" w:rsidRDefault="0004292F" w:rsidP="0004292F">
            <w:pPr>
              <w:pStyle w:val="TableParagraph"/>
              <w:spacing w:before="88" w:after="80" w:line="237" w:lineRule="auto"/>
              <w:ind w:left="160" w:right="108"/>
              <w:rPr>
                <w:rFonts w:asciiTheme="minorHAnsi" w:hAnsiTheme="minorHAnsi" w:cstheme="minorHAnsi"/>
                <w:color w:val="0D0D0D" w:themeColor="text1" w:themeTint="F2"/>
              </w:rPr>
            </w:pPr>
            <w:r w:rsidRPr="00396C08">
              <w:rPr>
                <w:rFonts w:asciiTheme="minorHAnsi" w:hAnsiTheme="minorHAnsi" w:cstheme="minorHAnsi"/>
                <w:color w:val="0D0D0D" w:themeColor="text1" w:themeTint="F2"/>
              </w:rPr>
              <w:t>At least 20 New Principals being supported through a tailored program.</w:t>
            </w:r>
          </w:p>
          <w:p w14:paraId="4E3E185D" w14:textId="2D9DFEC5" w:rsidR="00366844" w:rsidRPr="00396C08" w:rsidRDefault="00366844" w:rsidP="007D14AD">
            <w:pPr>
              <w:pStyle w:val="TableParagraph"/>
              <w:spacing w:before="88" w:after="80" w:line="237" w:lineRule="auto"/>
              <w:ind w:left="160" w:right="108"/>
              <w:rPr>
                <w:rFonts w:asciiTheme="minorHAnsi" w:hAnsiTheme="minorHAnsi" w:cstheme="minorHAnsi"/>
                <w:color w:val="0D0D0D" w:themeColor="text1" w:themeTint="F2"/>
              </w:rPr>
            </w:pPr>
          </w:p>
        </w:tc>
      </w:tr>
    </w:tbl>
    <w:p w14:paraId="1DAA2331" w14:textId="77777777" w:rsidR="00D7230E" w:rsidRPr="00396C08" w:rsidRDefault="00D7230E">
      <w:pPr>
        <w:spacing w:line="237" w:lineRule="auto"/>
        <w:rPr>
          <w:color w:val="0D0D0D" w:themeColor="text1" w:themeTint="F2"/>
          <w:sz w:val="18"/>
        </w:rPr>
        <w:sectPr w:rsidR="00D7230E" w:rsidRPr="00396C08" w:rsidSect="00FB424F">
          <w:headerReference w:type="even" r:id="rId30"/>
          <w:headerReference w:type="default" r:id="rId31"/>
          <w:footerReference w:type="even" r:id="rId32"/>
          <w:footerReference w:type="default" r:id="rId33"/>
          <w:pgSz w:w="16840" w:h="11910" w:orient="landscape"/>
          <w:pgMar w:top="426" w:right="940" w:bottom="1040" w:left="1300" w:header="288" w:footer="567" w:gutter="0"/>
          <w:pgNumType w:start="12"/>
          <w:cols w:space="720"/>
          <w:docGrid w:linePitch="299"/>
        </w:sectPr>
      </w:pPr>
    </w:p>
    <w:p w14:paraId="007E8F4D" w14:textId="77777777" w:rsidR="00D7230E" w:rsidRPr="00396C08" w:rsidRDefault="002736A4" w:rsidP="00FB424F">
      <w:pPr>
        <w:pStyle w:val="Heading3"/>
        <w:spacing w:line="480" w:lineRule="auto"/>
        <w:ind w:left="-709"/>
        <w:rPr>
          <w:rFonts w:asciiTheme="minorHAnsi" w:hAnsiTheme="minorHAnsi" w:cstheme="minorHAnsi"/>
          <w:b/>
          <w:bCs/>
          <w:color w:val="0D0D0D" w:themeColor="text1" w:themeTint="F2"/>
          <w:sz w:val="22"/>
          <w:szCs w:val="22"/>
        </w:rPr>
      </w:pPr>
      <w:r w:rsidRPr="00396C08">
        <w:rPr>
          <w:rFonts w:asciiTheme="minorHAnsi" w:hAnsiTheme="minorHAnsi" w:cstheme="minorHAnsi"/>
          <w:b/>
          <w:bCs/>
          <w:color w:val="0D0D0D" w:themeColor="text1" w:themeTint="F2"/>
          <w:sz w:val="22"/>
          <w:szCs w:val="22"/>
        </w:rPr>
        <w:lastRenderedPageBreak/>
        <w:t>RSF 8 Excellence in Online Learning for School Staff</w:t>
      </w:r>
    </w:p>
    <w:p w14:paraId="124C1BD9" w14:textId="77777777" w:rsidR="00D7230E" w:rsidRPr="00396C08" w:rsidRDefault="00D7230E">
      <w:pPr>
        <w:pStyle w:val="BodyText"/>
        <w:spacing w:before="2"/>
        <w:rPr>
          <w:rFonts w:ascii="Century Gothic"/>
          <w:b/>
          <w:color w:val="0D0D0D" w:themeColor="text1" w:themeTint="F2"/>
          <w:sz w:val="10"/>
        </w:rPr>
      </w:pPr>
    </w:p>
    <w:tbl>
      <w:tblPr>
        <w:tblStyle w:val="TableGridLight"/>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4367"/>
        <w:gridCol w:w="1728"/>
        <w:gridCol w:w="2410"/>
        <w:gridCol w:w="3402"/>
      </w:tblGrid>
      <w:tr w:rsidR="00396C08" w:rsidRPr="00396C08" w14:paraId="25AA2C8D" w14:textId="77777777" w:rsidTr="00FB424F">
        <w:trPr>
          <w:trHeight w:val="1463"/>
          <w:tblHeader/>
        </w:trPr>
        <w:tc>
          <w:tcPr>
            <w:tcW w:w="3686" w:type="dxa"/>
          </w:tcPr>
          <w:p w14:paraId="0CD50105" w14:textId="74F938CC" w:rsidR="00047874" w:rsidRPr="00396C08" w:rsidRDefault="00047874" w:rsidP="00047874">
            <w:pPr>
              <w:pStyle w:val="TableParagraph"/>
              <w:spacing w:before="120"/>
              <w:ind w:right="100"/>
              <w:rPr>
                <w:rFonts w:ascii="Century Gothic"/>
                <w:color w:val="0D0D0D" w:themeColor="text1" w:themeTint="F2"/>
              </w:rPr>
            </w:pPr>
            <w:r w:rsidRPr="00396C08">
              <w:rPr>
                <w:rFonts w:asciiTheme="minorHAnsi" w:hAnsiTheme="minorHAnsi" w:cstheme="minorHAnsi"/>
                <w:b/>
                <w:bCs/>
                <w:color w:val="0D0D0D" w:themeColor="text1" w:themeTint="F2"/>
              </w:rPr>
              <w:t>Project title and link to relevant national reform direction and bilateral action</w:t>
            </w:r>
          </w:p>
        </w:tc>
        <w:tc>
          <w:tcPr>
            <w:tcW w:w="4367" w:type="dxa"/>
          </w:tcPr>
          <w:p w14:paraId="6294C9BC" w14:textId="0E983C82" w:rsidR="00047874" w:rsidRPr="00396C08" w:rsidRDefault="00047874" w:rsidP="00047874">
            <w:pPr>
              <w:pStyle w:val="TableParagraph"/>
              <w:spacing w:before="120"/>
              <w:ind w:left="109" w:right="90"/>
              <w:rPr>
                <w:rFonts w:ascii="Century Gothic"/>
                <w:color w:val="0D0D0D" w:themeColor="text1" w:themeTint="F2"/>
              </w:rPr>
            </w:pPr>
            <w:r w:rsidRPr="00396C08">
              <w:rPr>
                <w:rFonts w:asciiTheme="minorHAnsi" w:hAnsiTheme="minorHAnsi" w:cstheme="minorHAnsi"/>
                <w:b/>
                <w:bCs/>
                <w:color w:val="0D0D0D" w:themeColor="text1" w:themeTint="F2"/>
              </w:rPr>
              <w:t>Project description and activities</w:t>
            </w:r>
          </w:p>
        </w:tc>
        <w:tc>
          <w:tcPr>
            <w:tcW w:w="1728" w:type="dxa"/>
          </w:tcPr>
          <w:p w14:paraId="010C1A3D" w14:textId="5923CCB6" w:rsidR="00047874" w:rsidRPr="00396C08" w:rsidRDefault="00047874" w:rsidP="00047874">
            <w:pPr>
              <w:pStyle w:val="TableParagraph"/>
              <w:spacing w:before="120"/>
              <w:ind w:left="108"/>
              <w:rPr>
                <w:rFonts w:ascii="Century Gothic"/>
                <w:color w:val="0D0D0D" w:themeColor="text1" w:themeTint="F2"/>
              </w:rPr>
            </w:pPr>
            <w:r w:rsidRPr="00396C08">
              <w:rPr>
                <w:rFonts w:asciiTheme="minorHAnsi" w:hAnsiTheme="minorHAnsi" w:cstheme="minorHAnsi"/>
                <w:b/>
                <w:bCs/>
                <w:color w:val="0D0D0D" w:themeColor="text1" w:themeTint="F2"/>
              </w:rPr>
              <w:t>Indicative budget</w:t>
            </w:r>
          </w:p>
        </w:tc>
        <w:tc>
          <w:tcPr>
            <w:tcW w:w="2410" w:type="dxa"/>
          </w:tcPr>
          <w:p w14:paraId="4857455D" w14:textId="0C01E40C" w:rsidR="00047874" w:rsidRPr="00396C08" w:rsidRDefault="00047874" w:rsidP="00047874">
            <w:pPr>
              <w:pStyle w:val="TableParagraph"/>
              <w:spacing w:before="120"/>
              <w:ind w:left="108" w:right="882"/>
              <w:rPr>
                <w:rFonts w:ascii="Century Gothic"/>
                <w:color w:val="0D0D0D" w:themeColor="text1" w:themeTint="F2"/>
              </w:rPr>
            </w:pPr>
            <w:r w:rsidRPr="00396C08">
              <w:rPr>
                <w:rFonts w:asciiTheme="minorHAnsi" w:hAnsiTheme="minorHAnsi" w:cstheme="minorHAnsi"/>
                <w:b/>
                <w:bCs/>
                <w:color w:val="0D0D0D" w:themeColor="text1" w:themeTint="F2"/>
              </w:rPr>
              <w:t>Expected outcomes</w:t>
            </w:r>
          </w:p>
        </w:tc>
        <w:tc>
          <w:tcPr>
            <w:tcW w:w="3402" w:type="dxa"/>
          </w:tcPr>
          <w:p w14:paraId="570CEB42" w14:textId="0828E73E" w:rsidR="00047874" w:rsidRPr="00396C08" w:rsidRDefault="00047874" w:rsidP="00047874">
            <w:pPr>
              <w:pStyle w:val="TableParagraph"/>
              <w:spacing w:before="120"/>
              <w:ind w:left="107"/>
              <w:rPr>
                <w:rFonts w:ascii="Century Gothic"/>
                <w:color w:val="0D0D0D" w:themeColor="text1" w:themeTint="F2"/>
              </w:rPr>
            </w:pPr>
            <w:r w:rsidRPr="00396C08">
              <w:rPr>
                <w:rFonts w:asciiTheme="minorHAnsi" w:hAnsiTheme="minorHAnsi" w:cstheme="minorHAnsi"/>
                <w:b/>
                <w:bCs/>
                <w:color w:val="0D0D0D" w:themeColor="text1" w:themeTint="F2"/>
              </w:rPr>
              <w:t>Indicators of success</w:t>
            </w:r>
          </w:p>
        </w:tc>
      </w:tr>
      <w:tr w:rsidR="00396C08" w:rsidRPr="00396C08" w14:paraId="52E2297B" w14:textId="77777777" w:rsidTr="00FB424F">
        <w:trPr>
          <w:trHeight w:val="1974"/>
        </w:trPr>
        <w:tc>
          <w:tcPr>
            <w:tcW w:w="3686" w:type="dxa"/>
          </w:tcPr>
          <w:p w14:paraId="0C7BF471" w14:textId="77777777" w:rsidR="00D7230E" w:rsidRPr="00396C08" w:rsidRDefault="002736A4">
            <w:pPr>
              <w:pStyle w:val="TableParagraph"/>
              <w:spacing w:before="1"/>
              <w:ind w:right="121"/>
              <w:rPr>
                <w:b/>
                <w:color w:val="0D0D0D" w:themeColor="text1" w:themeTint="F2"/>
              </w:rPr>
            </w:pPr>
            <w:r w:rsidRPr="00396C08">
              <w:rPr>
                <w:b/>
                <w:color w:val="0D0D0D" w:themeColor="text1" w:themeTint="F2"/>
              </w:rPr>
              <w:t>Excellence in Online Learning for School Staff</w:t>
            </w:r>
          </w:p>
          <w:p w14:paraId="0A5D5704" w14:textId="77777777" w:rsidR="00D7230E" w:rsidRPr="00396C08" w:rsidRDefault="002736A4">
            <w:pPr>
              <w:pStyle w:val="TableParagraph"/>
              <w:spacing w:before="79"/>
              <w:ind w:right="393"/>
              <w:rPr>
                <w:b/>
                <w:i/>
                <w:color w:val="0D0D0D" w:themeColor="text1" w:themeTint="F2"/>
              </w:rPr>
            </w:pPr>
            <w:r w:rsidRPr="00396C08">
              <w:rPr>
                <w:b/>
                <w:i/>
                <w:color w:val="0D0D0D" w:themeColor="text1" w:themeTint="F2"/>
              </w:rPr>
              <w:t>NRD: Supporting students, student learning and student achievement</w:t>
            </w:r>
          </w:p>
          <w:p w14:paraId="39DFDE44" w14:textId="77777777" w:rsidR="00D7230E" w:rsidRPr="00396C08" w:rsidRDefault="002736A4">
            <w:pPr>
              <w:pStyle w:val="TableParagraph"/>
              <w:spacing w:before="82"/>
              <w:ind w:right="329"/>
              <w:rPr>
                <w:b/>
                <w:i/>
                <w:color w:val="0D0D0D" w:themeColor="text1" w:themeTint="F2"/>
              </w:rPr>
            </w:pPr>
            <w:r w:rsidRPr="00396C08">
              <w:rPr>
                <w:b/>
                <w:i/>
                <w:color w:val="0D0D0D" w:themeColor="text1" w:themeTint="F2"/>
              </w:rPr>
              <w:t>Supporting teaching, school leadership and school improvement</w:t>
            </w:r>
          </w:p>
          <w:p w14:paraId="5C5E97D0" w14:textId="77777777" w:rsidR="00D7230E" w:rsidRPr="00396C08" w:rsidRDefault="002736A4">
            <w:pPr>
              <w:pStyle w:val="TableParagraph"/>
              <w:spacing w:before="80"/>
              <w:ind w:right="220"/>
              <w:rPr>
                <w:b/>
                <w:i/>
                <w:color w:val="0D0D0D" w:themeColor="text1" w:themeTint="F2"/>
              </w:rPr>
            </w:pPr>
            <w:r w:rsidRPr="00396C08">
              <w:rPr>
                <w:b/>
                <w:i/>
                <w:color w:val="0D0D0D" w:themeColor="text1" w:themeTint="F2"/>
              </w:rPr>
              <w:t>Enhancing the national evidence base</w:t>
            </w:r>
          </w:p>
          <w:p w14:paraId="33F300D9" w14:textId="77777777" w:rsidR="00D7230E" w:rsidRPr="00396C08" w:rsidRDefault="00D7230E">
            <w:pPr>
              <w:pStyle w:val="TableParagraph"/>
              <w:spacing w:before="9"/>
              <w:ind w:left="0"/>
              <w:rPr>
                <w:rFonts w:ascii="Century Gothic"/>
                <w:b/>
                <w:color w:val="0D0D0D" w:themeColor="text1" w:themeTint="F2"/>
              </w:rPr>
            </w:pPr>
          </w:p>
          <w:p w14:paraId="0C744918" w14:textId="77777777" w:rsidR="00D7230E" w:rsidRPr="00396C08" w:rsidRDefault="002736A4">
            <w:pPr>
              <w:pStyle w:val="TableParagraph"/>
              <w:spacing w:before="1"/>
              <w:ind w:right="349"/>
              <w:rPr>
                <w:b/>
                <w:i/>
                <w:color w:val="0D0D0D" w:themeColor="text1" w:themeTint="F2"/>
              </w:rPr>
            </w:pPr>
            <w:r w:rsidRPr="00396C08">
              <w:rPr>
                <w:b/>
                <w:i/>
                <w:color w:val="0D0D0D" w:themeColor="text1" w:themeTint="F2"/>
              </w:rPr>
              <w:t>Bilateral: supports all activities</w:t>
            </w:r>
          </w:p>
        </w:tc>
        <w:tc>
          <w:tcPr>
            <w:tcW w:w="4367" w:type="dxa"/>
          </w:tcPr>
          <w:p w14:paraId="6424E366" w14:textId="77777777" w:rsidR="00FD0518" w:rsidRPr="00396C08" w:rsidRDefault="00FD0518" w:rsidP="00DA00B3">
            <w:pPr>
              <w:spacing w:after="80"/>
              <w:ind w:left="63" w:right="119"/>
              <w:rPr>
                <w:rFonts w:cs="Times New Roman"/>
                <w:color w:val="0D0D0D" w:themeColor="text1" w:themeTint="F2"/>
              </w:rPr>
            </w:pPr>
            <w:r w:rsidRPr="00396C08">
              <w:rPr>
                <w:rFonts w:cs="Times New Roman"/>
                <w:color w:val="0D0D0D" w:themeColor="text1" w:themeTint="F2"/>
              </w:rPr>
              <w:t xml:space="preserve">Provision of professional development and information through ISQ’s learning management system, Connect &amp; Learn. </w:t>
            </w:r>
          </w:p>
          <w:p w14:paraId="7634BD68" w14:textId="77777777" w:rsidR="00FD0518" w:rsidRPr="00396C08" w:rsidRDefault="00FD0518" w:rsidP="00DA00B3">
            <w:pPr>
              <w:spacing w:after="80"/>
              <w:ind w:left="63" w:right="119"/>
              <w:rPr>
                <w:rFonts w:cs="Times New Roman"/>
                <w:color w:val="0D0D0D" w:themeColor="text1" w:themeTint="F2"/>
              </w:rPr>
            </w:pPr>
            <w:r w:rsidRPr="00396C08">
              <w:rPr>
                <w:rFonts w:cs="Times New Roman"/>
                <w:color w:val="0D0D0D" w:themeColor="text1" w:themeTint="F2"/>
              </w:rPr>
              <w:t xml:space="preserve">Connect &amp; </w:t>
            </w:r>
            <w:proofErr w:type="gramStart"/>
            <w:r w:rsidRPr="00396C08">
              <w:rPr>
                <w:rFonts w:cs="Times New Roman"/>
                <w:color w:val="0D0D0D" w:themeColor="text1" w:themeTint="F2"/>
              </w:rPr>
              <w:t>Learn</w:t>
            </w:r>
            <w:proofErr w:type="gramEnd"/>
            <w:r w:rsidRPr="00396C08">
              <w:rPr>
                <w:rFonts w:cs="Times New Roman"/>
                <w:color w:val="0D0D0D" w:themeColor="text1" w:themeTint="F2"/>
              </w:rPr>
              <w:t xml:space="preserve"> will provide approximately 100 online modules covering a range of areas including the priority policy areas under the NGRSF. </w:t>
            </w:r>
          </w:p>
          <w:p w14:paraId="60533A90" w14:textId="77777777" w:rsidR="00FD0518" w:rsidRPr="00396C08" w:rsidRDefault="00FD0518" w:rsidP="00DA00B3">
            <w:pPr>
              <w:spacing w:after="80"/>
              <w:ind w:left="63" w:right="119"/>
              <w:rPr>
                <w:rFonts w:cs="Times New Roman"/>
                <w:color w:val="0D0D0D" w:themeColor="text1" w:themeTint="F2"/>
              </w:rPr>
            </w:pPr>
            <w:r w:rsidRPr="00396C08">
              <w:rPr>
                <w:rFonts w:cs="Times New Roman"/>
                <w:color w:val="0D0D0D" w:themeColor="text1" w:themeTint="F2"/>
              </w:rPr>
              <w:t xml:space="preserve">Connect &amp; Learn modules are rigorously designed using the most up to date pedagogical practice with adult learning principles at the forefront of instructional design. A certificate will be granted to learners at the successful completion of modules which lists the professional hours completed as well as the Australian Professional Standards for Teachers and Principals content covered within the modules.  </w:t>
            </w:r>
          </w:p>
          <w:p w14:paraId="73FA82D9" w14:textId="77777777" w:rsidR="00FD0518" w:rsidRPr="00396C08" w:rsidRDefault="00FD0518" w:rsidP="00DA00B3">
            <w:pPr>
              <w:spacing w:after="80"/>
              <w:ind w:left="63" w:right="119"/>
              <w:rPr>
                <w:rFonts w:cs="Times New Roman"/>
                <w:color w:val="0D0D0D" w:themeColor="text1" w:themeTint="F2"/>
              </w:rPr>
            </w:pPr>
            <w:r w:rsidRPr="00396C08">
              <w:rPr>
                <w:rFonts w:cs="Times New Roman"/>
                <w:color w:val="0D0D0D" w:themeColor="text1" w:themeTint="F2"/>
              </w:rPr>
              <w:t xml:space="preserve">Connect &amp; </w:t>
            </w:r>
            <w:proofErr w:type="gramStart"/>
            <w:r w:rsidRPr="00396C08">
              <w:rPr>
                <w:rFonts w:cs="Times New Roman"/>
                <w:color w:val="0D0D0D" w:themeColor="text1" w:themeTint="F2"/>
              </w:rPr>
              <w:t>Learn</w:t>
            </w:r>
            <w:proofErr w:type="gramEnd"/>
            <w:r w:rsidRPr="00396C08">
              <w:rPr>
                <w:rFonts w:cs="Times New Roman"/>
                <w:color w:val="0D0D0D" w:themeColor="text1" w:themeTint="F2"/>
              </w:rPr>
              <w:t xml:space="preserve"> provides a far greater reach for teachers to access high quality learning without the need to travel. This is particularly important in terms of access to professional learning for regional and remote schools in Queensland. It also provides 24-hour access to online learning modules for all schools. </w:t>
            </w:r>
          </w:p>
          <w:p w14:paraId="6C7AA52F" w14:textId="77777777" w:rsidR="00FD0518" w:rsidRPr="00396C08" w:rsidRDefault="00FD0518" w:rsidP="00DA00B3">
            <w:pPr>
              <w:spacing w:after="80"/>
              <w:ind w:left="63" w:right="119"/>
              <w:rPr>
                <w:rFonts w:cs="Times New Roman"/>
                <w:color w:val="0D0D0D" w:themeColor="text1" w:themeTint="F2"/>
              </w:rPr>
            </w:pPr>
            <w:r w:rsidRPr="00396C08">
              <w:rPr>
                <w:rFonts w:cs="Times New Roman"/>
                <w:color w:val="0D0D0D" w:themeColor="text1" w:themeTint="F2"/>
              </w:rPr>
              <w:t xml:space="preserve">ISQ works with independent schools to ensure that Connect &amp; Learn is an </w:t>
            </w:r>
            <w:r w:rsidRPr="00396C08">
              <w:rPr>
                <w:rFonts w:cs="Times New Roman"/>
                <w:color w:val="0D0D0D" w:themeColor="text1" w:themeTint="F2"/>
              </w:rPr>
              <w:lastRenderedPageBreak/>
              <w:t xml:space="preserve">integrated part of their whole-school professional development plan and teachers can gather evidence through the system to support Highly Accomplished and Lead Teacher Certification. </w:t>
            </w:r>
          </w:p>
          <w:p w14:paraId="5AD93DF4" w14:textId="77777777" w:rsidR="00987C09" w:rsidRPr="00396C08" w:rsidRDefault="00987C09" w:rsidP="00DA00B3">
            <w:pPr>
              <w:pStyle w:val="TableParagraph"/>
              <w:spacing w:before="77"/>
              <w:ind w:left="63" w:right="119"/>
              <w:rPr>
                <w:rFonts w:cs="Times New Roman"/>
                <w:color w:val="0D0D0D" w:themeColor="text1" w:themeTint="F2"/>
              </w:rPr>
            </w:pPr>
            <w:r w:rsidRPr="00396C08">
              <w:rPr>
                <w:rFonts w:cs="Times New Roman"/>
                <w:color w:val="0D0D0D" w:themeColor="text1" w:themeTint="F2"/>
              </w:rPr>
              <w:t>Online module offerings via Connect &amp; Learn for 2022 include updated Child Protection Modules, Updated Literacy and Numeracy Module as well as an expanded catalogue of Student Support Modules including Differentiation.</w:t>
            </w:r>
          </w:p>
          <w:p w14:paraId="381FDAB6" w14:textId="06F75DE1" w:rsidR="003475EA" w:rsidRPr="00396C08" w:rsidRDefault="003475EA" w:rsidP="00DA00B3">
            <w:pPr>
              <w:pStyle w:val="TableParagraph"/>
              <w:spacing w:before="77"/>
              <w:ind w:left="63" w:right="119"/>
              <w:rPr>
                <w:color w:val="0D0D0D" w:themeColor="text1" w:themeTint="F2"/>
              </w:rPr>
            </w:pPr>
          </w:p>
        </w:tc>
        <w:tc>
          <w:tcPr>
            <w:tcW w:w="1728" w:type="dxa"/>
          </w:tcPr>
          <w:p w14:paraId="12BA3297" w14:textId="59724E17" w:rsidR="00C46EC9" w:rsidRPr="00396C08" w:rsidRDefault="00C46EC9" w:rsidP="00635AA9">
            <w:pPr>
              <w:spacing w:before="120" w:after="120"/>
              <w:ind w:left="90"/>
              <w:rPr>
                <w:color w:val="0D0D0D" w:themeColor="text1" w:themeTint="F2"/>
              </w:rPr>
            </w:pPr>
            <w:r w:rsidRPr="00396C08">
              <w:rPr>
                <w:color w:val="0D0D0D" w:themeColor="text1" w:themeTint="F2"/>
              </w:rPr>
              <w:lastRenderedPageBreak/>
              <w:t xml:space="preserve">Reform support funding:  </w:t>
            </w:r>
            <w:r w:rsidR="00166AE1" w:rsidRPr="00396C08">
              <w:rPr>
                <w:color w:val="0D0D0D" w:themeColor="text1" w:themeTint="F2"/>
              </w:rPr>
              <w:t>$529,008</w:t>
            </w:r>
          </w:p>
          <w:p w14:paraId="0C338CA5" w14:textId="7E2C3D34" w:rsidR="00C46EC9" w:rsidRPr="00396C08" w:rsidRDefault="00C46EC9" w:rsidP="00635AA9">
            <w:pPr>
              <w:spacing w:before="120" w:after="120"/>
              <w:ind w:left="90"/>
              <w:rPr>
                <w:color w:val="0D0D0D" w:themeColor="text1" w:themeTint="F2"/>
              </w:rPr>
            </w:pPr>
            <w:r w:rsidRPr="00396C08">
              <w:rPr>
                <w:color w:val="0D0D0D" w:themeColor="text1" w:themeTint="F2"/>
              </w:rPr>
              <w:t>Other funding: $</w:t>
            </w:r>
            <w:r w:rsidR="00AD0EB9" w:rsidRPr="00396C08">
              <w:rPr>
                <w:color w:val="0D0D0D" w:themeColor="text1" w:themeTint="F2"/>
              </w:rPr>
              <w:t>75,950</w:t>
            </w:r>
          </w:p>
          <w:p w14:paraId="0234E44A" w14:textId="2D7FA6D2" w:rsidR="00AD0EB9" w:rsidRPr="00396C08" w:rsidRDefault="00AD0EB9" w:rsidP="00635AA9">
            <w:pPr>
              <w:spacing w:before="120" w:after="120"/>
              <w:ind w:left="90"/>
              <w:rPr>
                <w:color w:val="0D0D0D" w:themeColor="text1" w:themeTint="F2"/>
              </w:rPr>
            </w:pPr>
            <w:r w:rsidRPr="00396C08">
              <w:rPr>
                <w:color w:val="0D0D0D" w:themeColor="text1" w:themeTint="F2"/>
              </w:rPr>
              <w:t>Total</w:t>
            </w:r>
            <w:r w:rsidR="00185B7F" w:rsidRPr="00396C08">
              <w:rPr>
                <w:color w:val="0D0D0D" w:themeColor="text1" w:themeTint="F2"/>
              </w:rPr>
              <w:t xml:space="preserve">: </w:t>
            </w:r>
            <w:r w:rsidR="00166AE1" w:rsidRPr="00396C08">
              <w:rPr>
                <w:color w:val="0D0D0D" w:themeColor="text1" w:themeTint="F2"/>
              </w:rPr>
              <w:t>$604,958</w:t>
            </w:r>
          </w:p>
          <w:p w14:paraId="39163B7A" w14:textId="77777777" w:rsidR="00D7230E" w:rsidRPr="00396C08" w:rsidRDefault="00D7230E" w:rsidP="00DA00B3">
            <w:pPr>
              <w:pStyle w:val="TableParagraph"/>
              <w:spacing w:before="79"/>
              <w:ind w:left="63" w:right="119"/>
              <w:rPr>
                <w:color w:val="0D0D0D" w:themeColor="text1" w:themeTint="F2"/>
              </w:rPr>
            </w:pPr>
          </w:p>
        </w:tc>
        <w:tc>
          <w:tcPr>
            <w:tcW w:w="2410" w:type="dxa"/>
          </w:tcPr>
          <w:p w14:paraId="24F49C7A" w14:textId="77777777" w:rsidR="00FD0518" w:rsidRPr="00396C08" w:rsidRDefault="00FD0518" w:rsidP="00DA00B3">
            <w:pPr>
              <w:spacing w:after="80"/>
              <w:ind w:left="63" w:right="119"/>
              <w:rPr>
                <w:rFonts w:cs="Times New Roman"/>
                <w:color w:val="0D0D0D" w:themeColor="text1" w:themeTint="F2"/>
              </w:rPr>
            </w:pPr>
            <w:r w:rsidRPr="00396C08">
              <w:rPr>
                <w:rFonts w:cs="Times New Roman"/>
                <w:color w:val="0D0D0D" w:themeColor="text1" w:themeTint="F2"/>
              </w:rPr>
              <w:t>Participants are satisfied that the module met their identified need.</w:t>
            </w:r>
          </w:p>
          <w:p w14:paraId="5723B009" w14:textId="77777777" w:rsidR="00FD0518" w:rsidRPr="00396C08" w:rsidRDefault="00FD0518" w:rsidP="00DA00B3">
            <w:pPr>
              <w:spacing w:after="80"/>
              <w:ind w:left="63" w:right="119"/>
              <w:rPr>
                <w:rFonts w:cs="Times New Roman"/>
                <w:color w:val="0D0D0D" w:themeColor="text1" w:themeTint="F2"/>
              </w:rPr>
            </w:pPr>
            <w:r w:rsidRPr="00396C08">
              <w:rPr>
                <w:rFonts w:cs="Times New Roman"/>
                <w:color w:val="0D0D0D" w:themeColor="text1" w:themeTint="F2"/>
                <w:lang w:val="en-CA"/>
              </w:rPr>
              <w:t>Participant’s knowledge and skills increased because of participation in the program.</w:t>
            </w:r>
          </w:p>
          <w:p w14:paraId="0F25408F" w14:textId="77777777" w:rsidR="00FD0518" w:rsidRPr="00396C08" w:rsidRDefault="00FD0518" w:rsidP="00DA00B3">
            <w:pPr>
              <w:spacing w:before="120" w:after="120"/>
              <w:ind w:left="63" w:right="119"/>
              <w:rPr>
                <w:color w:val="0D0D0D" w:themeColor="text1" w:themeTint="F2"/>
              </w:rPr>
            </w:pPr>
            <w:r w:rsidRPr="00396C08">
              <w:rPr>
                <w:rFonts w:cs="Times New Roman"/>
                <w:color w:val="0D0D0D" w:themeColor="text1" w:themeTint="F2"/>
              </w:rPr>
              <w:t>Increased awareness and use of the modules.</w:t>
            </w:r>
          </w:p>
          <w:p w14:paraId="232A6805" w14:textId="77777777" w:rsidR="00D7230E" w:rsidRPr="00396C08" w:rsidRDefault="00D7230E" w:rsidP="00DA00B3">
            <w:pPr>
              <w:pStyle w:val="TableParagraph"/>
              <w:spacing w:before="119"/>
              <w:ind w:left="63" w:right="119"/>
              <w:rPr>
                <w:color w:val="0D0D0D" w:themeColor="text1" w:themeTint="F2"/>
              </w:rPr>
            </w:pPr>
          </w:p>
        </w:tc>
        <w:tc>
          <w:tcPr>
            <w:tcW w:w="3402" w:type="dxa"/>
          </w:tcPr>
          <w:p w14:paraId="3FAA10AD" w14:textId="77777777" w:rsidR="008B6CD5" w:rsidRPr="00396C08" w:rsidRDefault="008B6CD5" w:rsidP="008B6CD5">
            <w:pPr>
              <w:adjustRightInd w:val="0"/>
              <w:spacing w:after="80"/>
              <w:ind w:left="63" w:right="119"/>
              <w:rPr>
                <w:color w:val="0D0D0D" w:themeColor="text1" w:themeTint="F2"/>
              </w:rPr>
            </w:pPr>
            <w:r w:rsidRPr="00396C08">
              <w:rPr>
                <w:color w:val="0D0D0D" w:themeColor="text1" w:themeTint="F2"/>
              </w:rPr>
              <w:t xml:space="preserve">Over 90% will rate relevant modules as highly effective. </w:t>
            </w:r>
          </w:p>
          <w:p w14:paraId="7A4E8F7E" w14:textId="77777777" w:rsidR="008B6CD5" w:rsidRPr="00396C08" w:rsidRDefault="008B6CD5" w:rsidP="008B6CD5">
            <w:pPr>
              <w:adjustRightInd w:val="0"/>
              <w:spacing w:after="80"/>
              <w:ind w:left="63" w:right="119"/>
              <w:rPr>
                <w:color w:val="0D0D0D" w:themeColor="text1" w:themeTint="F2"/>
              </w:rPr>
            </w:pPr>
            <w:r w:rsidRPr="00396C08">
              <w:rPr>
                <w:color w:val="0D0D0D" w:themeColor="text1" w:themeTint="F2"/>
              </w:rPr>
              <w:t>Over 90% of participants will have a greater knowledge of the relevant area after completing a module.</w:t>
            </w:r>
          </w:p>
          <w:p w14:paraId="32E3BC07" w14:textId="77777777" w:rsidR="008B6CD5" w:rsidRPr="00396C08" w:rsidRDefault="008B6CD5" w:rsidP="008B6CD5">
            <w:pPr>
              <w:adjustRightInd w:val="0"/>
              <w:spacing w:after="80"/>
              <w:ind w:left="63" w:right="119"/>
              <w:rPr>
                <w:color w:val="0D0D0D" w:themeColor="text1" w:themeTint="F2"/>
              </w:rPr>
            </w:pPr>
            <w:r w:rsidRPr="00396C08">
              <w:rPr>
                <w:color w:val="0D0D0D" w:themeColor="text1" w:themeTint="F2"/>
              </w:rPr>
              <w:t xml:space="preserve">Schools accessing self-reporting and other self-help tools to support the management of online learning modules – schools with account manager access 70% by end of 2022. </w:t>
            </w:r>
          </w:p>
          <w:p w14:paraId="65B117B5" w14:textId="77777777" w:rsidR="008B6CD5" w:rsidRPr="00396C08" w:rsidRDefault="008B6CD5" w:rsidP="008B6CD5">
            <w:pPr>
              <w:adjustRightInd w:val="0"/>
              <w:spacing w:after="80"/>
              <w:ind w:left="63" w:right="119"/>
              <w:rPr>
                <w:color w:val="0D0D0D" w:themeColor="text1" w:themeTint="F2"/>
              </w:rPr>
            </w:pPr>
            <w:r w:rsidRPr="00396C08">
              <w:rPr>
                <w:color w:val="0D0D0D" w:themeColor="text1" w:themeTint="F2"/>
              </w:rPr>
              <w:t>80% of surveyed users who completed Child Protection Module report an enhanced awareness of child protection reporting responsibilities and how to fulfil them, as required by legislation.</w:t>
            </w:r>
          </w:p>
          <w:p w14:paraId="536132AE" w14:textId="55E75950" w:rsidR="008B6CD5" w:rsidRPr="00396C08" w:rsidRDefault="008B6CD5" w:rsidP="008B6CD5">
            <w:pPr>
              <w:pStyle w:val="TableParagraph"/>
              <w:tabs>
                <w:tab w:val="left" w:pos="467"/>
                <w:tab w:val="left" w:pos="468"/>
              </w:tabs>
              <w:spacing w:before="81"/>
              <w:ind w:left="63" w:right="119"/>
              <w:rPr>
                <w:color w:val="0D0D0D" w:themeColor="text1" w:themeTint="F2"/>
              </w:rPr>
            </w:pPr>
            <w:r w:rsidRPr="00396C08">
              <w:rPr>
                <w:color w:val="0D0D0D" w:themeColor="text1" w:themeTint="F2"/>
              </w:rPr>
              <w:t xml:space="preserve">15 new modules released by December 2022, with an increased focus on the Teaching and Learning component of our catalogue.  </w:t>
            </w:r>
          </w:p>
        </w:tc>
      </w:tr>
    </w:tbl>
    <w:p w14:paraId="495E3F95" w14:textId="77777777" w:rsidR="00532697" w:rsidRPr="00396C08" w:rsidRDefault="00532697">
      <w:pPr>
        <w:rPr>
          <w:color w:val="0D0D0D" w:themeColor="text1" w:themeTint="F2"/>
        </w:rPr>
      </w:pPr>
    </w:p>
    <w:sectPr w:rsidR="00532697" w:rsidRPr="00396C08" w:rsidSect="00FB424F">
      <w:pgSz w:w="16840" w:h="11910" w:orient="landscape"/>
      <w:pgMar w:top="568" w:right="940" w:bottom="1040" w:left="1300" w:header="288"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CE26" w14:textId="77777777" w:rsidR="00A06887" w:rsidRDefault="00A06887">
      <w:r>
        <w:separator/>
      </w:r>
    </w:p>
  </w:endnote>
  <w:endnote w:type="continuationSeparator" w:id="0">
    <w:p w14:paraId="178147FC" w14:textId="77777777" w:rsidR="00A06887" w:rsidRDefault="00A0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1CFF" w14:textId="77777777" w:rsidR="009122A5" w:rsidRDefault="009122A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3227" w14:textId="44C3CE98" w:rsidR="00A06887" w:rsidRDefault="00A06887">
    <w:pPr>
      <w:pStyle w:val="BodyText"/>
      <w:spacing w:line="14" w:lineRule="auto"/>
      <w:rPr>
        <w:sz w:val="20"/>
      </w:rPr>
    </w:pPr>
    <w:r>
      <w:rPr>
        <w:noProof/>
      </w:rPr>
      <mc:AlternateContent>
        <mc:Choice Requires="wps">
          <w:drawing>
            <wp:anchor distT="0" distB="0" distL="114300" distR="114300" simplePos="0" relativeHeight="250403840" behindDoc="1" locked="0" layoutInCell="1" allowOverlap="1" wp14:anchorId="45E77089" wp14:editId="1BDB7DC0">
              <wp:simplePos x="0" y="0"/>
              <wp:positionH relativeFrom="page">
                <wp:posOffset>881380</wp:posOffset>
              </wp:positionH>
              <wp:positionV relativeFrom="page">
                <wp:posOffset>6848475</wp:posOffset>
              </wp:positionV>
              <wp:extent cx="8930005" cy="0"/>
              <wp:effectExtent l="0" t="0" r="0" b="0"/>
              <wp:wrapNone/>
              <wp:docPr id="10"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0005" cy="0"/>
                      </a:xfrm>
                      <a:prstGeom prst="line">
                        <a:avLst/>
                      </a:prstGeom>
                      <a:noFill/>
                      <a:ln w="6097">
                        <a:solidFill>
                          <a:srgbClr val="4647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A4D2E" id="Line 6" o:spid="_x0000_s1026" alt="&quot;&quot;" style="position:absolute;z-index:-25291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539.25pt" to="772.55pt,5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" strokecolor="#464750" strokeweight=".16936mm">
              <w10:wrap anchorx="page" anchory="page"/>
            </v:line>
          </w:pict>
        </mc:Fallback>
      </mc:AlternateContent>
    </w:r>
    <w:r>
      <w:rPr>
        <w:noProof/>
      </w:rPr>
      <mc:AlternateContent>
        <mc:Choice Requires="wps">
          <w:drawing>
            <wp:anchor distT="0" distB="0" distL="114300" distR="114300" simplePos="0" relativeHeight="250404864" behindDoc="1" locked="0" layoutInCell="1" allowOverlap="1" wp14:anchorId="5AD51CFF" wp14:editId="6FAB7292">
              <wp:simplePos x="0" y="0"/>
              <wp:positionH relativeFrom="page">
                <wp:posOffset>886460</wp:posOffset>
              </wp:positionH>
              <wp:positionV relativeFrom="page">
                <wp:posOffset>6873240</wp:posOffset>
              </wp:positionV>
              <wp:extent cx="2367280" cy="251460"/>
              <wp:effectExtent l="0" t="0" r="0" b="0"/>
              <wp:wrapNone/>
              <wp:docPr id="7"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D411C" w14:textId="4D39F326" w:rsidR="00A06887" w:rsidRDefault="00A06887">
                          <w:pPr>
                            <w:spacing w:line="182" w:lineRule="exact"/>
                            <w:ind w:left="20"/>
                            <w:rPr>
                              <w:b/>
                              <w:sz w:val="16"/>
                            </w:rPr>
                          </w:pPr>
                          <w:r>
                            <w:rPr>
                              <w:b/>
                              <w:color w:val="404040"/>
                              <w:sz w:val="16"/>
                            </w:rPr>
                            <w:t>Non-government Reform Support Fund Work Plan 2021</w:t>
                          </w:r>
                        </w:p>
                        <w:p w14:paraId="2977C556" w14:textId="77777777" w:rsidR="00A06887" w:rsidRDefault="00A06887">
                          <w:pPr>
                            <w:spacing w:before="1"/>
                            <w:ind w:left="20"/>
                            <w:rPr>
                              <w:sz w:val="16"/>
                            </w:rPr>
                          </w:pPr>
                          <w:r>
                            <w:rPr>
                              <w:color w:val="404040"/>
                              <w:sz w:val="16"/>
                            </w:rPr>
                            <w:t>Independent Schools Queensland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51CFF" id="_x0000_t202" coordsize="21600,21600" o:spt="202" path="m,l,21600r21600,l21600,xe">
              <v:stroke joinstyle="miter"/>
              <v:path gradientshapeok="t" o:connecttype="rect"/>
            </v:shapetype>
            <v:shape id="Text Box 5" o:spid="_x0000_s1033" type="#_x0000_t202" alt="&quot;&quot;" style="position:absolute;margin-left:69.8pt;margin-top:541.2pt;width:186.4pt;height:19.8pt;z-index:-25291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" filled="f" stroked="f">
              <v:textbox inset="0,0,0,0">
                <w:txbxContent>
                  <w:p w14:paraId="5ABD411C" w14:textId="4D39F326" w:rsidR="00A06887" w:rsidRDefault="00A06887">
                    <w:pPr>
                      <w:spacing w:line="182" w:lineRule="exact"/>
                      <w:ind w:left="20"/>
                      <w:rPr>
                        <w:b/>
                        <w:sz w:val="16"/>
                      </w:rPr>
                    </w:pPr>
                    <w:r>
                      <w:rPr>
                        <w:b/>
                        <w:color w:val="404040"/>
                        <w:sz w:val="16"/>
                      </w:rPr>
                      <w:t>Non-government Reform Support Fund Work Plan 2021</w:t>
                    </w:r>
                  </w:p>
                  <w:p w14:paraId="2977C556" w14:textId="77777777" w:rsidR="00A06887" w:rsidRDefault="00A06887">
                    <w:pPr>
                      <w:spacing w:before="1"/>
                      <w:ind w:left="20"/>
                      <w:rPr>
                        <w:sz w:val="16"/>
                      </w:rPr>
                    </w:pPr>
                    <w:r>
                      <w:rPr>
                        <w:color w:val="404040"/>
                        <w:sz w:val="16"/>
                      </w:rPr>
                      <w:t>Independent Schools Queensland</w:t>
                    </w:r>
                  </w:p>
                </w:txbxContent>
              </v:textbox>
              <w10:wrap anchorx="page" anchory="page"/>
            </v:shape>
          </w:pict>
        </mc:Fallback>
      </mc:AlternateContent>
    </w:r>
    <w:r>
      <w:rPr>
        <w:noProof/>
      </w:rPr>
      <mc:AlternateContent>
        <mc:Choice Requires="wps">
          <w:drawing>
            <wp:anchor distT="0" distB="0" distL="114300" distR="114300" simplePos="0" relativeHeight="250405888" behindDoc="1" locked="0" layoutInCell="1" allowOverlap="1" wp14:anchorId="3CC64BB0" wp14:editId="1F5730F2">
              <wp:simplePos x="0" y="0"/>
              <wp:positionH relativeFrom="page">
                <wp:posOffset>6292215</wp:posOffset>
              </wp:positionH>
              <wp:positionV relativeFrom="page">
                <wp:posOffset>6873240</wp:posOffset>
              </wp:positionV>
              <wp:extent cx="374015" cy="126365"/>
              <wp:effectExtent l="0" t="0" r="0" b="0"/>
              <wp:wrapNone/>
              <wp:docPr id="5"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D1E7" w14:textId="77777777" w:rsidR="00A06887" w:rsidRDefault="00A06887">
                          <w:pPr>
                            <w:spacing w:line="182" w:lineRule="exact"/>
                            <w:ind w:left="20"/>
                            <w:rPr>
                              <w:sz w:val="16"/>
                            </w:rPr>
                          </w:pPr>
                          <w:r>
                            <w:rPr>
                              <w:color w:val="404040"/>
                              <w:sz w:val="16"/>
                            </w:rPr>
                            <w:t xml:space="preserve">Page </w:t>
                          </w:r>
                          <w:r>
                            <w:fldChar w:fldCharType="begin"/>
                          </w:r>
                          <w:r>
                            <w:rPr>
                              <w:color w:val="404040"/>
                              <w:sz w:val="16"/>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64BB0" id="Text Box 4" o:spid="_x0000_s1034" type="#_x0000_t202" alt="&quot;&quot;" style="position:absolute;margin-left:495.45pt;margin-top:541.2pt;width:29.45pt;height:9.95pt;z-index:-25291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" filled="f" stroked="f">
              <v:textbox inset="0,0,0,0">
                <w:txbxContent>
                  <w:p w14:paraId="38C4D1E7" w14:textId="77777777" w:rsidR="00A06887" w:rsidRDefault="00A06887">
                    <w:pPr>
                      <w:spacing w:line="182" w:lineRule="exact"/>
                      <w:ind w:left="20"/>
                      <w:rPr>
                        <w:sz w:val="16"/>
                      </w:rPr>
                    </w:pPr>
                    <w:r>
                      <w:rPr>
                        <w:color w:val="404040"/>
                        <w:sz w:val="16"/>
                      </w:rPr>
                      <w:t xml:space="preserve">Page </w:t>
                    </w:r>
                    <w:r>
                      <w:fldChar w:fldCharType="begin"/>
                    </w:r>
                    <w:r>
                      <w:rPr>
                        <w:color w:val="404040"/>
                        <w:sz w:val="16"/>
                      </w:rPr>
                      <w:instrText xml:space="preserve"> PAGE </w:instrText>
                    </w:r>
                    <w:r>
                      <w:fldChar w:fldCharType="separate"/>
                    </w:r>
                    <w:r>
                      <w:t>12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C9D9" w14:textId="6305101F" w:rsidR="00A06887" w:rsidRDefault="00A06887" w:rsidP="00D4585F">
    <w:pPr>
      <w:spacing w:line="180" w:lineRule="exact"/>
      <w:rPr>
        <w:b/>
        <w:sz w:val="16"/>
      </w:rPr>
    </w:pPr>
    <w:r>
      <w:rPr>
        <w:b/>
        <w:color w:val="404040"/>
        <w:sz w:val="16"/>
      </w:rPr>
      <w:t>Non-government Reform Support Fund Work Plan 2022</w:t>
    </w:r>
  </w:p>
  <w:p w14:paraId="7C1BE958" w14:textId="71B471DC" w:rsidR="00A06887" w:rsidRPr="00D4585F" w:rsidRDefault="00A06887" w:rsidP="00D4585F">
    <w:pPr>
      <w:spacing w:line="194" w:lineRule="exact"/>
      <w:rPr>
        <w:sz w:val="16"/>
      </w:rPr>
    </w:pPr>
    <w:r>
      <w:rPr>
        <w:color w:val="404040"/>
        <w:sz w:val="16"/>
      </w:rPr>
      <w:t>Independent Schools Queensland</w:t>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sidRPr="00182390">
      <w:rPr>
        <w:sz w:val="16"/>
      </w:rPr>
      <w:t xml:space="preserve">Page </w:t>
    </w:r>
    <w:r w:rsidRPr="00182390">
      <w:rPr>
        <w:b/>
        <w:bCs/>
        <w:sz w:val="16"/>
      </w:rPr>
      <w:fldChar w:fldCharType="begin"/>
    </w:r>
    <w:r w:rsidRPr="00182390">
      <w:rPr>
        <w:b/>
        <w:bCs/>
        <w:sz w:val="16"/>
      </w:rPr>
      <w:instrText xml:space="preserve"> PAGE  \* Arabic  \* MERGEFORMAT </w:instrText>
    </w:r>
    <w:r w:rsidRPr="00182390">
      <w:rPr>
        <w:b/>
        <w:bCs/>
        <w:sz w:val="16"/>
      </w:rPr>
      <w:fldChar w:fldCharType="separate"/>
    </w:r>
    <w:r>
      <w:rPr>
        <w:b/>
        <w:bCs/>
        <w:sz w:val="16"/>
      </w:rPr>
      <w:t>11</w:t>
    </w:r>
    <w:r w:rsidRPr="00182390">
      <w:rPr>
        <w:b/>
        <w:bCs/>
        <w:sz w:val="16"/>
      </w:rPr>
      <w:fldChar w:fldCharType="end"/>
    </w:r>
    <w:r w:rsidRPr="00182390">
      <w:rPr>
        <w:sz w:val="16"/>
      </w:rPr>
      <w:t xml:space="preserve"> of </w:t>
    </w:r>
    <w:r w:rsidRPr="00182390">
      <w:rPr>
        <w:b/>
        <w:bCs/>
        <w:sz w:val="16"/>
      </w:rPr>
      <w:fldChar w:fldCharType="begin"/>
    </w:r>
    <w:r w:rsidRPr="00182390">
      <w:rPr>
        <w:b/>
        <w:bCs/>
        <w:sz w:val="16"/>
      </w:rPr>
      <w:instrText xml:space="preserve"> NUMPAGES  \* Arabic  \* MERGEFORMAT </w:instrText>
    </w:r>
    <w:r w:rsidRPr="00182390">
      <w:rPr>
        <w:b/>
        <w:bCs/>
        <w:sz w:val="16"/>
      </w:rPr>
      <w:fldChar w:fldCharType="separate"/>
    </w:r>
    <w:r>
      <w:rPr>
        <w:b/>
        <w:bCs/>
        <w:sz w:val="16"/>
      </w:rPr>
      <w:t>14</w:t>
    </w:r>
    <w:r w:rsidRPr="00182390">
      <w:rPr>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590633"/>
      <w:docPartObj>
        <w:docPartGallery w:val="Page Numbers (Bottom of Page)"/>
        <w:docPartUnique/>
      </w:docPartObj>
    </w:sdtPr>
    <w:sdtEndPr>
      <w:rPr>
        <w:noProof/>
      </w:rPr>
    </w:sdtEndPr>
    <w:sdtContent>
      <w:p w14:paraId="399BBCBE" w14:textId="147515B4" w:rsidR="00FB424F" w:rsidRDefault="00FB42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6CF3" w14:textId="77777777" w:rsidR="009122A5" w:rsidRDefault="009122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A428" w14:textId="77777777" w:rsidR="00A06887" w:rsidRDefault="00A06887" w:rsidP="00182390">
    <w:pPr>
      <w:spacing w:line="180" w:lineRule="exact"/>
      <w:ind w:left="993"/>
      <w:rPr>
        <w:b/>
        <w:sz w:val="16"/>
      </w:rPr>
    </w:pPr>
    <w:r>
      <w:rPr>
        <w:b/>
        <w:color w:val="404040"/>
        <w:sz w:val="16"/>
      </w:rPr>
      <w:t>Non-government Reform Support Fund Work Plan 2021</w:t>
    </w:r>
  </w:p>
  <w:p w14:paraId="1E9245DC" w14:textId="77777777" w:rsidR="00A06887" w:rsidRDefault="00A06887" w:rsidP="00182390">
    <w:pPr>
      <w:spacing w:line="194" w:lineRule="exact"/>
      <w:ind w:left="993"/>
      <w:rPr>
        <w:sz w:val="16"/>
      </w:rPr>
    </w:pPr>
    <w:r>
      <w:rPr>
        <w:color w:val="404040"/>
        <w:sz w:val="16"/>
      </w:rPr>
      <w:t>Independent Schools Queensland</w:t>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sidRPr="00182390">
      <w:rPr>
        <w:sz w:val="16"/>
      </w:rPr>
      <w:t xml:space="preserve">Page </w:t>
    </w:r>
    <w:r w:rsidRPr="00182390">
      <w:rPr>
        <w:b/>
        <w:bCs/>
        <w:sz w:val="16"/>
      </w:rPr>
      <w:fldChar w:fldCharType="begin"/>
    </w:r>
    <w:r w:rsidRPr="00182390">
      <w:rPr>
        <w:b/>
        <w:bCs/>
        <w:sz w:val="16"/>
      </w:rPr>
      <w:instrText xml:space="preserve"> PAGE  \* Arabic  \* MERGEFORMAT </w:instrText>
    </w:r>
    <w:r w:rsidRPr="00182390">
      <w:rPr>
        <w:b/>
        <w:bCs/>
        <w:sz w:val="16"/>
      </w:rPr>
      <w:fldChar w:fldCharType="separate"/>
    </w:r>
    <w:r>
      <w:rPr>
        <w:b/>
        <w:bCs/>
        <w:sz w:val="16"/>
      </w:rPr>
      <w:t>3</w:t>
    </w:r>
    <w:r w:rsidRPr="00182390">
      <w:rPr>
        <w:b/>
        <w:bCs/>
        <w:sz w:val="16"/>
      </w:rPr>
      <w:fldChar w:fldCharType="end"/>
    </w:r>
    <w:r w:rsidRPr="00182390">
      <w:rPr>
        <w:sz w:val="16"/>
      </w:rPr>
      <w:t xml:space="preserve"> of </w:t>
    </w:r>
    <w:r w:rsidRPr="00182390">
      <w:rPr>
        <w:b/>
        <w:bCs/>
        <w:sz w:val="16"/>
      </w:rPr>
      <w:fldChar w:fldCharType="begin"/>
    </w:r>
    <w:r w:rsidRPr="00182390">
      <w:rPr>
        <w:b/>
        <w:bCs/>
        <w:sz w:val="16"/>
      </w:rPr>
      <w:instrText xml:space="preserve"> NUMPAGES  \* Arabic  \* MERGEFORMAT </w:instrText>
    </w:r>
    <w:r w:rsidRPr="00182390">
      <w:rPr>
        <w:b/>
        <w:bCs/>
        <w:sz w:val="16"/>
      </w:rPr>
      <w:fldChar w:fldCharType="separate"/>
    </w:r>
    <w:r>
      <w:rPr>
        <w:b/>
        <w:bCs/>
        <w:sz w:val="16"/>
      </w:rPr>
      <w:t>16</w:t>
    </w:r>
    <w:r w:rsidRPr="00182390">
      <w:rPr>
        <w:b/>
        <w:bCs/>
        <w:sz w:val="16"/>
      </w:rPr>
      <w:fldChar w:fldCharType="end"/>
    </w:r>
  </w:p>
  <w:p w14:paraId="6C8ECCA8" w14:textId="77777777" w:rsidR="00A06887" w:rsidRDefault="00A06887" w:rsidP="00182390">
    <w:pPr>
      <w:pStyle w:val="BodyText"/>
      <w:spacing w:line="14" w:lineRule="auto"/>
      <w:rPr>
        <w:sz w:val="20"/>
      </w:rPr>
    </w:pPr>
  </w:p>
  <w:p w14:paraId="2C3E60B5" w14:textId="3D4E2AAA" w:rsidR="00A06887" w:rsidRDefault="00A0688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6861" w14:textId="77777777" w:rsidR="00A06887" w:rsidRDefault="00A06887" w:rsidP="00182390">
    <w:pPr>
      <w:spacing w:line="180" w:lineRule="exact"/>
      <w:rPr>
        <w:b/>
        <w:sz w:val="16"/>
      </w:rPr>
    </w:pPr>
    <w:r>
      <w:rPr>
        <w:b/>
        <w:color w:val="404040"/>
        <w:sz w:val="16"/>
      </w:rPr>
      <w:t>Non-government Reform Support Fund Work Plan 2021</w:t>
    </w:r>
  </w:p>
  <w:p w14:paraId="6FA03B1C" w14:textId="65EE7AD0" w:rsidR="00A06887" w:rsidRDefault="00A06887" w:rsidP="00182390">
    <w:pPr>
      <w:spacing w:line="194" w:lineRule="exact"/>
      <w:rPr>
        <w:sz w:val="16"/>
      </w:rPr>
    </w:pPr>
    <w:r>
      <w:rPr>
        <w:color w:val="404040"/>
        <w:sz w:val="16"/>
      </w:rPr>
      <w:t>Independent Schools Queensland</w:t>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sidRPr="00182390">
      <w:rPr>
        <w:sz w:val="16"/>
      </w:rPr>
      <w:t xml:space="preserve">Page </w:t>
    </w:r>
    <w:r w:rsidRPr="00182390">
      <w:rPr>
        <w:b/>
        <w:bCs/>
        <w:sz w:val="16"/>
      </w:rPr>
      <w:fldChar w:fldCharType="begin"/>
    </w:r>
    <w:r w:rsidRPr="00182390">
      <w:rPr>
        <w:b/>
        <w:bCs/>
        <w:sz w:val="16"/>
      </w:rPr>
      <w:instrText xml:space="preserve"> PAGE  \* Arabic  \* MERGEFORMAT </w:instrText>
    </w:r>
    <w:r w:rsidRPr="00182390">
      <w:rPr>
        <w:b/>
        <w:bCs/>
        <w:sz w:val="16"/>
      </w:rPr>
      <w:fldChar w:fldCharType="separate"/>
    </w:r>
    <w:r w:rsidRPr="00182390">
      <w:rPr>
        <w:b/>
        <w:bCs/>
        <w:noProof/>
        <w:sz w:val="16"/>
      </w:rPr>
      <w:t>1</w:t>
    </w:r>
    <w:r w:rsidRPr="00182390">
      <w:rPr>
        <w:b/>
        <w:bCs/>
        <w:sz w:val="16"/>
      </w:rPr>
      <w:fldChar w:fldCharType="end"/>
    </w:r>
    <w:r w:rsidRPr="00182390">
      <w:rPr>
        <w:sz w:val="16"/>
      </w:rPr>
      <w:t xml:space="preserve"> of </w:t>
    </w:r>
    <w:r w:rsidRPr="00182390">
      <w:rPr>
        <w:b/>
        <w:bCs/>
        <w:sz w:val="16"/>
      </w:rPr>
      <w:fldChar w:fldCharType="begin"/>
    </w:r>
    <w:r w:rsidRPr="00182390">
      <w:rPr>
        <w:b/>
        <w:bCs/>
        <w:sz w:val="16"/>
      </w:rPr>
      <w:instrText xml:space="preserve"> NUMPAGES  \* Arabic  \* MERGEFORMAT </w:instrText>
    </w:r>
    <w:r w:rsidRPr="00182390">
      <w:rPr>
        <w:b/>
        <w:bCs/>
        <w:sz w:val="16"/>
      </w:rPr>
      <w:fldChar w:fldCharType="separate"/>
    </w:r>
    <w:r w:rsidRPr="00182390">
      <w:rPr>
        <w:b/>
        <w:bCs/>
        <w:noProof/>
        <w:sz w:val="16"/>
      </w:rPr>
      <w:t>2</w:t>
    </w:r>
    <w:r w:rsidRPr="00182390">
      <w:rPr>
        <w:b/>
        <w:bCs/>
        <w:sz w:val="16"/>
      </w:rPr>
      <w:fldChar w:fldCharType="end"/>
    </w:r>
  </w:p>
  <w:p w14:paraId="71089442" w14:textId="77777777" w:rsidR="00A06887" w:rsidRDefault="00A06887">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94ED" w14:textId="6A9CDCE4" w:rsidR="00A06887" w:rsidRDefault="00A06887">
    <w:pPr>
      <w:pStyle w:val="BodyText"/>
      <w:spacing w:line="14" w:lineRule="auto"/>
      <w:rPr>
        <w:sz w:val="20"/>
      </w:rPr>
    </w:pPr>
    <w:r>
      <w:rPr>
        <w:noProof/>
      </w:rPr>
      <mc:AlternateContent>
        <mc:Choice Requires="wps">
          <w:drawing>
            <wp:anchor distT="0" distB="0" distL="114300" distR="114300" simplePos="0" relativeHeight="250378240" behindDoc="1" locked="0" layoutInCell="1" allowOverlap="1" wp14:anchorId="42AF2DEF" wp14:editId="4E73FACD">
              <wp:simplePos x="0" y="0"/>
              <wp:positionH relativeFrom="page">
                <wp:posOffset>9490075</wp:posOffset>
              </wp:positionH>
              <wp:positionV relativeFrom="page">
                <wp:posOffset>6873240</wp:posOffset>
              </wp:positionV>
              <wp:extent cx="321310" cy="126365"/>
              <wp:effectExtent l="0" t="0" r="0" b="0"/>
              <wp:wrapNone/>
              <wp:docPr id="25"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1BB46" w14:textId="77777777" w:rsidR="00A06887" w:rsidRDefault="00A06887">
                          <w:pPr>
                            <w:spacing w:line="182" w:lineRule="exact"/>
                            <w:ind w:left="20"/>
                            <w:rPr>
                              <w:sz w:val="16"/>
                            </w:rPr>
                          </w:pPr>
                          <w:r>
                            <w:rPr>
                              <w:color w:val="404040"/>
                              <w:sz w:val="16"/>
                            </w:rPr>
                            <w:t xml:space="preserve">Page </w:t>
                          </w:r>
                          <w:r>
                            <w:fldChar w:fldCharType="begin"/>
                          </w:r>
                          <w:r>
                            <w:rPr>
                              <w:color w:val="404040"/>
                              <w:sz w:val="16"/>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F2DEF" id="_x0000_t202" coordsize="21600,21600" o:spt="202" path="m,l,21600r21600,l21600,xe">
              <v:stroke joinstyle="miter"/>
              <v:path gradientshapeok="t" o:connecttype="rect"/>
            </v:shapetype>
            <v:shape id="Text Box 25" o:spid="_x0000_s1026" type="#_x0000_t202" alt="&quot;&quot;" style="position:absolute;margin-left:747.25pt;margin-top:541.2pt;width:25.3pt;height:9.95pt;z-index:-2529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" filled="f" stroked="f">
              <v:textbox inset="0,0,0,0">
                <w:txbxContent>
                  <w:p w14:paraId="5041BB46" w14:textId="77777777" w:rsidR="00A06887" w:rsidRDefault="00A06887">
                    <w:pPr>
                      <w:spacing w:line="182" w:lineRule="exact"/>
                      <w:ind w:left="20"/>
                      <w:rPr>
                        <w:sz w:val="16"/>
                      </w:rPr>
                    </w:pPr>
                    <w:r>
                      <w:rPr>
                        <w:color w:val="404040"/>
                        <w:sz w:val="16"/>
                      </w:rPr>
                      <w:t xml:space="preserve">Page </w:t>
                    </w:r>
                    <w:r>
                      <w:fldChar w:fldCharType="begin"/>
                    </w:r>
                    <w:r>
                      <w:rPr>
                        <w:color w:val="404040"/>
                        <w:sz w:val="16"/>
                      </w:rPr>
                      <w:instrText xml:space="preserve"> PAGE </w:instrText>
                    </w:r>
                    <w:r>
                      <w:fldChar w:fldCharType="separate"/>
                    </w:r>
                    <w: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376192" behindDoc="1" locked="0" layoutInCell="1" allowOverlap="1" wp14:anchorId="5B9C563E" wp14:editId="590712AF">
              <wp:simplePos x="0" y="0"/>
              <wp:positionH relativeFrom="page">
                <wp:posOffset>881380</wp:posOffset>
              </wp:positionH>
              <wp:positionV relativeFrom="page">
                <wp:posOffset>6848475</wp:posOffset>
              </wp:positionV>
              <wp:extent cx="8930005" cy="0"/>
              <wp:effectExtent l="0" t="0" r="0" b="0"/>
              <wp:wrapNone/>
              <wp:docPr id="24"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0005" cy="0"/>
                      </a:xfrm>
                      <a:prstGeom prst="line">
                        <a:avLst/>
                      </a:prstGeom>
                      <a:noFill/>
                      <a:ln w="6097">
                        <a:solidFill>
                          <a:srgbClr val="4647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953A6" id="Line 27" o:spid="_x0000_s1026" alt="&quot;&quot;" style="position:absolute;z-index:-2529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539.25pt" to="772.55pt,5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" strokecolor="#464750" strokeweight=".16936mm">
              <w10:wrap anchorx="page" anchory="page"/>
            </v:line>
          </w:pict>
        </mc:Fallback>
      </mc:AlternateContent>
    </w:r>
    <w:r>
      <w:rPr>
        <w:noProof/>
      </w:rPr>
      <mc:AlternateContent>
        <mc:Choice Requires="wps">
          <w:drawing>
            <wp:anchor distT="0" distB="0" distL="114300" distR="114300" simplePos="0" relativeHeight="250377216" behindDoc="1" locked="0" layoutInCell="1" allowOverlap="1" wp14:anchorId="17A57CBD" wp14:editId="52697253">
              <wp:simplePos x="0" y="0"/>
              <wp:positionH relativeFrom="page">
                <wp:posOffset>886460</wp:posOffset>
              </wp:positionH>
              <wp:positionV relativeFrom="page">
                <wp:posOffset>6873240</wp:posOffset>
              </wp:positionV>
              <wp:extent cx="2367280" cy="251460"/>
              <wp:effectExtent l="0" t="0" r="0" b="0"/>
              <wp:wrapNone/>
              <wp:docPr id="23"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7AFF3" w14:textId="6B20E632" w:rsidR="00A06887" w:rsidRDefault="00A06887">
                          <w:pPr>
                            <w:spacing w:line="182" w:lineRule="exact"/>
                            <w:ind w:left="20"/>
                            <w:rPr>
                              <w:b/>
                              <w:sz w:val="16"/>
                            </w:rPr>
                          </w:pPr>
                          <w:r>
                            <w:rPr>
                              <w:b/>
                              <w:color w:val="404040"/>
                              <w:sz w:val="16"/>
                            </w:rPr>
                            <w:t>Non-government Reform Support Fund Work Plan 2021</w:t>
                          </w:r>
                        </w:p>
                        <w:p w14:paraId="1D75B913" w14:textId="77777777" w:rsidR="00A06887" w:rsidRDefault="00A06887">
                          <w:pPr>
                            <w:spacing w:before="1"/>
                            <w:ind w:left="20"/>
                            <w:rPr>
                              <w:sz w:val="16"/>
                            </w:rPr>
                          </w:pPr>
                          <w:r>
                            <w:rPr>
                              <w:color w:val="404040"/>
                              <w:sz w:val="16"/>
                            </w:rPr>
                            <w:t>Independent Schools Queensland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57CBD" id="Text Box 26" o:spid="_x0000_s1027" type="#_x0000_t202" alt="&quot;&quot;" style="position:absolute;margin-left:69.8pt;margin-top:541.2pt;width:186.4pt;height:19.8pt;z-index:-25293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" filled="f" stroked="f">
              <v:textbox inset="0,0,0,0">
                <w:txbxContent>
                  <w:p w14:paraId="1187AFF3" w14:textId="6B20E632" w:rsidR="00A06887" w:rsidRDefault="00A06887">
                    <w:pPr>
                      <w:spacing w:line="182" w:lineRule="exact"/>
                      <w:ind w:left="20"/>
                      <w:rPr>
                        <w:b/>
                        <w:sz w:val="16"/>
                      </w:rPr>
                    </w:pPr>
                    <w:r>
                      <w:rPr>
                        <w:b/>
                        <w:color w:val="404040"/>
                        <w:sz w:val="16"/>
                      </w:rPr>
                      <w:t>Non-government Reform Support Fund Work Plan 2021</w:t>
                    </w:r>
                  </w:p>
                  <w:p w14:paraId="1D75B913" w14:textId="77777777" w:rsidR="00A06887" w:rsidRDefault="00A06887">
                    <w:pPr>
                      <w:spacing w:before="1"/>
                      <w:ind w:left="20"/>
                      <w:rPr>
                        <w:sz w:val="16"/>
                      </w:rPr>
                    </w:pPr>
                    <w:r>
                      <w:rPr>
                        <w:color w:val="404040"/>
                        <w:sz w:val="16"/>
                      </w:rPr>
                      <w:t>Independent Schools Queensland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1A65" w14:textId="1FDC0266" w:rsidR="00A06887" w:rsidRDefault="00A06887">
    <w:pPr>
      <w:pStyle w:val="BodyText"/>
      <w:spacing w:line="14" w:lineRule="auto"/>
      <w:rPr>
        <w:sz w:val="20"/>
      </w:rPr>
    </w:pPr>
    <w:r>
      <w:rPr>
        <w:noProof/>
      </w:rPr>
      <mc:AlternateContent>
        <mc:Choice Requires="wps">
          <w:drawing>
            <wp:anchor distT="0" distB="0" distL="114300" distR="114300" simplePos="0" relativeHeight="250386432" behindDoc="1" locked="0" layoutInCell="1" allowOverlap="1" wp14:anchorId="78EFB1C6" wp14:editId="52CF537B">
              <wp:simplePos x="0" y="0"/>
              <wp:positionH relativeFrom="page">
                <wp:posOffset>881380</wp:posOffset>
              </wp:positionH>
              <wp:positionV relativeFrom="page">
                <wp:posOffset>6848475</wp:posOffset>
              </wp:positionV>
              <wp:extent cx="8930005" cy="0"/>
              <wp:effectExtent l="0" t="0" r="0" b="0"/>
              <wp:wrapNone/>
              <wp:docPr id="21" name="Lin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0005" cy="0"/>
                      </a:xfrm>
                      <a:prstGeom prst="line">
                        <a:avLst/>
                      </a:prstGeom>
                      <a:noFill/>
                      <a:ln w="6097">
                        <a:solidFill>
                          <a:srgbClr val="4647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F9D8" id="Line 19" o:spid="_x0000_s1026" alt="&quot;&quot;" style="position:absolute;z-index:-25293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539.25pt" to="772.55pt,5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" strokecolor="#464750" strokeweight=".16936mm">
              <w10:wrap anchorx="page" anchory="page"/>
            </v:line>
          </w:pict>
        </mc:Fallback>
      </mc:AlternateContent>
    </w:r>
    <w:r>
      <w:rPr>
        <w:noProof/>
      </w:rPr>
      <mc:AlternateContent>
        <mc:Choice Requires="wps">
          <w:drawing>
            <wp:anchor distT="0" distB="0" distL="114300" distR="114300" simplePos="0" relativeHeight="250387456" behindDoc="1" locked="0" layoutInCell="1" allowOverlap="1" wp14:anchorId="1E83E0C8" wp14:editId="3253AA8D">
              <wp:simplePos x="0" y="0"/>
              <wp:positionH relativeFrom="page">
                <wp:posOffset>886460</wp:posOffset>
              </wp:positionH>
              <wp:positionV relativeFrom="page">
                <wp:posOffset>6873240</wp:posOffset>
              </wp:positionV>
              <wp:extent cx="2367280" cy="251460"/>
              <wp:effectExtent l="0" t="0" r="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F2FBE" w14:textId="6A82982D" w:rsidR="00A06887" w:rsidRDefault="00A06887">
                          <w:pPr>
                            <w:spacing w:line="182" w:lineRule="exact"/>
                            <w:ind w:left="20"/>
                            <w:rPr>
                              <w:b/>
                              <w:sz w:val="16"/>
                            </w:rPr>
                          </w:pPr>
                          <w:r>
                            <w:rPr>
                              <w:b/>
                              <w:color w:val="404040"/>
                              <w:sz w:val="16"/>
                            </w:rPr>
                            <w:t>Non-government Reform Support Fund Work Plan 2021</w:t>
                          </w:r>
                        </w:p>
                        <w:p w14:paraId="77075F91" w14:textId="77777777" w:rsidR="00A06887" w:rsidRDefault="00A06887">
                          <w:pPr>
                            <w:spacing w:before="1"/>
                            <w:ind w:left="20"/>
                            <w:rPr>
                              <w:sz w:val="16"/>
                            </w:rPr>
                          </w:pPr>
                          <w:r>
                            <w:rPr>
                              <w:color w:val="404040"/>
                              <w:sz w:val="16"/>
                            </w:rPr>
                            <w:t>Independent Schools Queensland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3E0C8" id="_x0000_t202" coordsize="21600,21600" o:spt="202" path="m,l,21600r21600,l21600,xe">
              <v:stroke joinstyle="miter"/>
              <v:path gradientshapeok="t" o:connecttype="rect"/>
            </v:shapetype>
            <v:shape id="Text Box 18" o:spid="_x0000_s1029" type="#_x0000_t202" alt="&quot;&quot;" style="position:absolute;margin-left:69.8pt;margin-top:541.2pt;width:186.4pt;height:19.8pt;z-index:-25292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" filled="f" stroked="f">
              <v:textbox inset="0,0,0,0">
                <w:txbxContent>
                  <w:p w14:paraId="54EF2FBE" w14:textId="6A82982D" w:rsidR="00A06887" w:rsidRDefault="00A06887">
                    <w:pPr>
                      <w:spacing w:line="182" w:lineRule="exact"/>
                      <w:ind w:left="20"/>
                      <w:rPr>
                        <w:b/>
                        <w:sz w:val="16"/>
                      </w:rPr>
                    </w:pPr>
                    <w:r>
                      <w:rPr>
                        <w:b/>
                        <w:color w:val="404040"/>
                        <w:sz w:val="16"/>
                      </w:rPr>
                      <w:t>Non-government Reform Support Fund Work Plan 2021</w:t>
                    </w:r>
                  </w:p>
                  <w:p w14:paraId="77075F91" w14:textId="77777777" w:rsidR="00A06887" w:rsidRDefault="00A06887">
                    <w:pPr>
                      <w:spacing w:before="1"/>
                      <w:ind w:left="20"/>
                      <w:rPr>
                        <w:sz w:val="16"/>
                      </w:rPr>
                    </w:pPr>
                    <w:r>
                      <w:rPr>
                        <w:color w:val="404040"/>
                        <w:sz w:val="16"/>
                      </w:rPr>
                      <w:t>Independent Schools Queensland</w:t>
                    </w:r>
                  </w:p>
                </w:txbxContent>
              </v:textbox>
              <w10:wrap anchorx="page" anchory="page"/>
            </v:shape>
          </w:pict>
        </mc:Fallback>
      </mc:AlternateContent>
    </w:r>
    <w:r>
      <w:rPr>
        <w:noProof/>
      </w:rPr>
      <mc:AlternateContent>
        <mc:Choice Requires="wps">
          <w:drawing>
            <wp:anchor distT="0" distB="0" distL="114300" distR="114300" simplePos="0" relativeHeight="250388480" behindDoc="1" locked="0" layoutInCell="1" allowOverlap="1" wp14:anchorId="44532934" wp14:editId="4EC2B93D">
              <wp:simplePos x="0" y="0"/>
              <wp:positionH relativeFrom="page">
                <wp:posOffset>6344285</wp:posOffset>
              </wp:positionH>
              <wp:positionV relativeFrom="page">
                <wp:posOffset>6873240</wp:posOffset>
              </wp:positionV>
              <wp:extent cx="321310" cy="126365"/>
              <wp:effectExtent l="0" t="0" r="0" b="0"/>
              <wp:wrapNone/>
              <wp:docPr id="14"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F1BA" w14:textId="77777777" w:rsidR="00A06887" w:rsidRDefault="00A06887">
                          <w:pPr>
                            <w:spacing w:line="182" w:lineRule="exact"/>
                            <w:ind w:left="20"/>
                            <w:rPr>
                              <w:sz w:val="16"/>
                            </w:rPr>
                          </w:pPr>
                          <w:r>
                            <w:rPr>
                              <w:color w:val="404040"/>
                              <w:sz w:val="16"/>
                            </w:rPr>
                            <w:t xml:space="preserve">Page </w:t>
                          </w:r>
                          <w:r>
                            <w:fldChar w:fldCharType="begin"/>
                          </w:r>
                          <w:r>
                            <w:rPr>
                              <w:color w:val="404040"/>
                              <w:sz w:val="16"/>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32934" id="Text Box 17" o:spid="_x0000_s1030" type="#_x0000_t202" alt="&quot;&quot;" style="position:absolute;margin-left:499.55pt;margin-top:541.2pt;width:25.3pt;height:9.95pt;z-index:-2529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" filled="f" stroked="f">
              <v:textbox inset="0,0,0,0">
                <w:txbxContent>
                  <w:p w14:paraId="629FF1BA" w14:textId="77777777" w:rsidR="00A06887" w:rsidRDefault="00A06887">
                    <w:pPr>
                      <w:spacing w:line="182" w:lineRule="exact"/>
                      <w:ind w:left="20"/>
                      <w:rPr>
                        <w:sz w:val="16"/>
                      </w:rPr>
                    </w:pPr>
                    <w:r>
                      <w:rPr>
                        <w:color w:val="404040"/>
                        <w:sz w:val="16"/>
                      </w:rPr>
                      <w:t xml:space="preserve">Page </w:t>
                    </w:r>
                    <w:r>
                      <w:fldChar w:fldCharType="begin"/>
                    </w:r>
                    <w:r>
                      <w:rPr>
                        <w:color w:val="404040"/>
                        <w:sz w:val="16"/>
                      </w:rPr>
                      <w:instrText xml:space="preserve"> PAGE </w:instrText>
                    </w:r>
                    <w:r>
                      <w:fldChar w:fldCharType="separate"/>
                    </w:r>
                    <w:r>
                      <w:t>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2419" w14:textId="79DA8C54" w:rsidR="00A06887" w:rsidRDefault="00A06887">
    <w:pPr>
      <w:pStyle w:val="BodyText"/>
      <w:spacing w:line="14" w:lineRule="auto"/>
      <w:rPr>
        <w:sz w:val="20"/>
      </w:rPr>
    </w:pPr>
    <w:r>
      <w:rPr>
        <w:noProof/>
      </w:rPr>
      <mc:AlternateContent>
        <mc:Choice Requires="wps">
          <w:drawing>
            <wp:anchor distT="0" distB="0" distL="114300" distR="114300" simplePos="0" relativeHeight="250395648" behindDoc="1" locked="0" layoutInCell="1" allowOverlap="1" wp14:anchorId="63F759BC" wp14:editId="76C26CF9">
              <wp:simplePos x="0" y="0"/>
              <wp:positionH relativeFrom="page">
                <wp:posOffset>881380</wp:posOffset>
              </wp:positionH>
              <wp:positionV relativeFrom="page">
                <wp:posOffset>6848475</wp:posOffset>
              </wp:positionV>
              <wp:extent cx="8930005" cy="0"/>
              <wp:effectExtent l="0" t="0" r="0" b="0"/>
              <wp:wrapNone/>
              <wp:docPr id="1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0005" cy="0"/>
                      </a:xfrm>
                      <a:prstGeom prst="line">
                        <a:avLst/>
                      </a:prstGeom>
                      <a:noFill/>
                      <a:ln w="6097">
                        <a:solidFill>
                          <a:srgbClr val="4647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890EA" id="Line 12" o:spid="_x0000_s1026" alt="&quot;&quot;" style="position:absolute;z-index:-25292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539.25pt" to="772.55pt,5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" strokecolor="#464750" strokeweight=".16936mm">
              <w10:wrap anchorx="page" anchory="page"/>
            </v:line>
          </w:pict>
        </mc:Fallback>
      </mc:AlternateContent>
    </w:r>
    <w:r>
      <w:rPr>
        <w:noProof/>
      </w:rPr>
      <mc:AlternateContent>
        <mc:Choice Requires="wps">
          <w:drawing>
            <wp:anchor distT="0" distB="0" distL="114300" distR="114300" simplePos="0" relativeHeight="250396672" behindDoc="1" locked="0" layoutInCell="1" allowOverlap="1" wp14:anchorId="233A712B" wp14:editId="1F494715">
              <wp:simplePos x="0" y="0"/>
              <wp:positionH relativeFrom="page">
                <wp:posOffset>886460</wp:posOffset>
              </wp:positionH>
              <wp:positionV relativeFrom="page">
                <wp:posOffset>6873240</wp:posOffset>
              </wp:positionV>
              <wp:extent cx="2367280" cy="251460"/>
              <wp:effectExtent l="0" t="0" r="0" b="0"/>
              <wp:wrapNone/>
              <wp:docPr id="12"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BD357" w14:textId="21D7859C" w:rsidR="00A06887" w:rsidRDefault="00A06887">
                          <w:pPr>
                            <w:spacing w:line="182" w:lineRule="exact"/>
                            <w:ind w:left="20"/>
                            <w:rPr>
                              <w:b/>
                              <w:sz w:val="16"/>
                            </w:rPr>
                          </w:pPr>
                          <w:r>
                            <w:rPr>
                              <w:b/>
                              <w:color w:val="404040"/>
                              <w:sz w:val="16"/>
                            </w:rPr>
                            <w:t>Non-government Reform Support Fund Work Plan 2021</w:t>
                          </w:r>
                        </w:p>
                        <w:p w14:paraId="307762A9" w14:textId="77777777" w:rsidR="00A06887" w:rsidRDefault="00A06887">
                          <w:pPr>
                            <w:spacing w:before="1"/>
                            <w:ind w:left="20"/>
                            <w:rPr>
                              <w:sz w:val="16"/>
                            </w:rPr>
                          </w:pPr>
                          <w:r>
                            <w:rPr>
                              <w:color w:val="404040"/>
                              <w:sz w:val="16"/>
                            </w:rPr>
                            <w:t>Independent Schools Queensland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A712B" id="_x0000_t202" coordsize="21600,21600" o:spt="202" path="m,l,21600r21600,l21600,xe">
              <v:stroke joinstyle="miter"/>
              <v:path gradientshapeok="t" o:connecttype="rect"/>
            </v:shapetype>
            <v:shape id="Text Box 11" o:spid="_x0000_s1031" type="#_x0000_t202" alt="&quot;&quot;" style="position:absolute;margin-left:69.8pt;margin-top:541.2pt;width:186.4pt;height:19.8pt;z-index:-2529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" filled="f" stroked="f">
              <v:textbox inset="0,0,0,0">
                <w:txbxContent>
                  <w:p w14:paraId="12CBD357" w14:textId="21D7859C" w:rsidR="00A06887" w:rsidRDefault="00A06887">
                    <w:pPr>
                      <w:spacing w:line="182" w:lineRule="exact"/>
                      <w:ind w:left="20"/>
                      <w:rPr>
                        <w:b/>
                        <w:sz w:val="16"/>
                      </w:rPr>
                    </w:pPr>
                    <w:r>
                      <w:rPr>
                        <w:b/>
                        <w:color w:val="404040"/>
                        <w:sz w:val="16"/>
                      </w:rPr>
                      <w:t>Non-government Reform Support Fund Work Plan 2021</w:t>
                    </w:r>
                  </w:p>
                  <w:p w14:paraId="307762A9" w14:textId="77777777" w:rsidR="00A06887" w:rsidRDefault="00A06887">
                    <w:pPr>
                      <w:spacing w:before="1"/>
                      <w:ind w:left="20"/>
                      <w:rPr>
                        <w:sz w:val="16"/>
                      </w:rPr>
                    </w:pPr>
                    <w:r>
                      <w:rPr>
                        <w:color w:val="404040"/>
                        <w:sz w:val="16"/>
                      </w:rPr>
                      <w:t>Independent Schools Queensland</w:t>
                    </w:r>
                  </w:p>
                </w:txbxContent>
              </v:textbox>
              <w10:wrap anchorx="page" anchory="page"/>
            </v:shape>
          </w:pict>
        </mc:Fallback>
      </mc:AlternateContent>
    </w:r>
    <w:r>
      <w:rPr>
        <w:noProof/>
      </w:rPr>
      <mc:AlternateContent>
        <mc:Choice Requires="wps">
          <w:drawing>
            <wp:anchor distT="0" distB="0" distL="114300" distR="114300" simplePos="0" relativeHeight="250397696" behindDoc="1" locked="0" layoutInCell="1" allowOverlap="1" wp14:anchorId="1414395E" wp14:editId="5938B603">
              <wp:simplePos x="0" y="0"/>
              <wp:positionH relativeFrom="page">
                <wp:posOffset>6292215</wp:posOffset>
              </wp:positionH>
              <wp:positionV relativeFrom="page">
                <wp:posOffset>6873240</wp:posOffset>
              </wp:positionV>
              <wp:extent cx="374015" cy="126365"/>
              <wp:effectExtent l="0" t="0" r="0" b="0"/>
              <wp:wrapNone/>
              <wp:docPr id="11"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6C670" w14:textId="77777777" w:rsidR="00A06887" w:rsidRDefault="00A06887">
                          <w:pPr>
                            <w:spacing w:line="182" w:lineRule="exact"/>
                            <w:ind w:left="20"/>
                            <w:rPr>
                              <w:sz w:val="16"/>
                            </w:rPr>
                          </w:pPr>
                          <w:r>
                            <w:rPr>
                              <w:color w:val="404040"/>
                              <w:sz w:val="16"/>
                            </w:rPr>
                            <w:t xml:space="preserve">Page </w:t>
                          </w:r>
                          <w:r>
                            <w:fldChar w:fldCharType="begin"/>
                          </w:r>
                          <w:r>
                            <w:rPr>
                              <w:color w:val="404040"/>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4395E" id="Text Box 10" o:spid="_x0000_s1032" type="#_x0000_t202" alt="&quot;&quot;" style="position:absolute;margin-left:495.45pt;margin-top:541.2pt;width:29.45pt;height:9.95pt;z-index:-2529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" filled="f" stroked="f">
              <v:textbox inset="0,0,0,0">
                <w:txbxContent>
                  <w:p w14:paraId="6DE6C670" w14:textId="77777777" w:rsidR="00A06887" w:rsidRDefault="00A06887">
                    <w:pPr>
                      <w:spacing w:line="182" w:lineRule="exact"/>
                      <w:ind w:left="20"/>
                      <w:rPr>
                        <w:sz w:val="16"/>
                      </w:rPr>
                    </w:pPr>
                    <w:r>
                      <w:rPr>
                        <w:color w:val="404040"/>
                        <w:sz w:val="16"/>
                      </w:rPr>
                      <w:t xml:space="preserve">Page </w:t>
                    </w:r>
                    <w:r>
                      <w:fldChar w:fldCharType="begin"/>
                    </w:r>
                    <w:r>
                      <w:rPr>
                        <w:color w:val="404040"/>
                        <w:sz w:val="16"/>
                      </w:rPr>
                      <w:instrText xml:space="preserve"> PAGE </w:instrText>
                    </w:r>
                    <w:r>
                      <w:fldChar w:fldCharType="separate"/>
                    </w:r>
                    <w:r>
                      <w:t>10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A83B" w14:textId="77777777" w:rsidR="00A06887" w:rsidRDefault="00A06887" w:rsidP="00D4585F">
    <w:pPr>
      <w:spacing w:line="180" w:lineRule="exact"/>
      <w:rPr>
        <w:b/>
        <w:sz w:val="16"/>
      </w:rPr>
    </w:pPr>
    <w:r>
      <w:rPr>
        <w:b/>
        <w:color w:val="404040"/>
        <w:sz w:val="16"/>
      </w:rPr>
      <w:t>Non-government Reform Support Fund Work Plan 2021</w:t>
    </w:r>
  </w:p>
  <w:p w14:paraId="0C39C5DD" w14:textId="77777777" w:rsidR="00A06887" w:rsidRDefault="00A06887" w:rsidP="00D4585F">
    <w:pPr>
      <w:spacing w:line="194" w:lineRule="exact"/>
      <w:rPr>
        <w:sz w:val="16"/>
      </w:rPr>
    </w:pPr>
    <w:r>
      <w:rPr>
        <w:color w:val="404040"/>
        <w:sz w:val="16"/>
      </w:rPr>
      <w:t>Independent Schools Queensland</w:t>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Pr>
        <w:color w:val="404040"/>
        <w:sz w:val="16"/>
      </w:rPr>
      <w:tab/>
    </w:r>
    <w:r w:rsidRPr="00182390">
      <w:rPr>
        <w:sz w:val="16"/>
      </w:rPr>
      <w:t xml:space="preserve">Page </w:t>
    </w:r>
    <w:r w:rsidRPr="00182390">
      <w:rPr>
        <w:b/>
        <w:bCs/>
        <w:sz w:val="16"/>
      </w:rPr>
      <w:fldChar w:fldCharType="begin"/>
    </w:r>
    <w:r w:rsidRPr="00182390">
      <w:rPr>
        <w:b/>
        <w:bCs/>
        <w:sz w:val="16"/>
      </w:rPr>
      <w:instrText xml:space="preserve"> PAGE  \* Arabic  \* MERGEFORMAT </w:instrText>
    </w:r>
    <w:r w:rsidRPr="00182390">
      <w:rPr>
        <w:b/>
        <w:bCs/>
        <w:sz w:val="16"/>
      </w:rPr>
      <w:fldChar w:fldCharType="separate"/>
    </w:r>
    <w:r>
      <w:rPr>
        <w:b/>
        <w:bCs/>
        <w:sz w:val="16"/>
      </w:rPr>
      <w:t>10</w:t>
    </w:r>
    <w:r w:rsidRPr="00182390">
      <w:rPr>
        <w:b/>
        <w:bCs/>
        <w:sz w:val="16"/>
      </w:rPr>
      <w:fldChar w:fldCharType="end"/>
    </w:r>
    <w:r w:rsidRPr="00182390">
      <w:rPr>
        <w:sz w:val="16"/>
      </w:rPr>
      <w:t xml:space="preserve"> of </w:t>
    </w:r>
    <w:r w:rsidRPr="00182390">
      <w:rPr>
        <w:b/>
        <w:bCs/>
        <w:sz w:val="16"/>
      </w:rPr>
      <w:fldChar w:fldCharType="begin"/>
    </w:r>
    <w:r w:rsidRPr="00182390">
      <w:rPr>
        <w:b/>
        <w:bCs/>
        <w:sz w:val="16"/>
      </w:rPr>
      <w:instrText xml:space="preserve"> NUMPAGES  \* Arabic  \* MERGEFORMAT </w:instrText>
    </w:r>
    <w:r w:rsidRPr="00182390">
      <w:rPr>
        <w:b/>
        <w:bCs/>
        <w:sz w:val="16"/>
      </w:rPr>
      <w:fldChar w:fldCharType="separate"/>
    </w:r>
    <w:r>
      <w:rPr>
        <w:b/>
        <w:bCs/>
        <w:sz w:val="16"/>
      </w:rPr>
      <w:t>14</w:t>
    </w:r>
    <w:r w:rsidRPr="00182390">
      <w:rPr>
        <w:b/>
        <w:bCs/>
        <w:sz w:val="16"/>
      </w:rPr>
      <w:fldChar w:fldCharType="end"/>
    </w:r>
  </w:p>
  <w:p w14:paraId="1FB94F4A" w14:textId="7C7DCD10" w:rsidR="00A06887" w:rsidRDefault="00A0688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EDB5" w14:textId="77777777" w:rsidR="00A06887" w:rsidRDefault="00A06887">
      <w:r>
        <w:separator/>
      </w:r>
    </w:p>
  </w:footnote>
  <w:footnote w:type="continuationSeparator" w:id="0">
    <w:p w14:paraId="1C8755C7" w14:textId="77777777" w:rsidR="00A06887" w:rsidRDefault="00A0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C827" w14:textId="77777777" w:rsidR="009122A5" w:rsidRDefault="009122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2338" w14:textId="68FCFD99" w:rsidR="00A06887" w:rsidRDefault="00A06887">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B24E" w14:textId="77777777" w:rsidR="00A06887" w:rsidRDefault="00A06887">
    <w:pPr>
      <w:pStyle w:val="BodyText"/>
      <w:spacing w:line="14" w:lineRule="auto"/>
      <w:rPr>
        <w:sz w:val="20"/>
      </w:rPr>
    </w:pPr>
    <w:r>
      <w:rPr>
        <w:noProof/>
      </w:rPr>
      <w:drawing>
        <wp:anchor distT="0" distB="0" distL="0" distR="0" simplePos="0" relativeHeight="250401792" behindDoc="1" locked="0" layoutInCell="1" allowOverlap="1" wp14:anchorId="4F8ADEE6" wp14:editId="7FB32B10">
          <wp:simplePos x="0" y="0"/>
          <wp:positionH relativeFrom="page">
            <wp:posOffset>358307</wp:posOffset>
          </wp:positionH>
          <wp:positionV relativeFrom="page">
            <wp:posOffset>182820</wp:posOffset>
          </wp:positionV>
          <wp:extent cx="1893741" cy="822691"/>
          <wp:effectExtent l="0" t="0" r="0" b="0"/>
          <wp:wrapNone/>
          <wp:docPr id="49"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893741" cy="822691"/>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2C76" w14:textId="514D678A" w:rsidR="00A06887" w:rsidRDefault="00A0688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0539" w14:textId="77777777" w:rsidR="009122A5" w:rsidRDefault="00912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ACEB" w14:textId="77777777" w:rsidR="009122A5" w:rsidRDefault="009122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718E" w14:textId="77777777" w:rsidR="00A06887" w:rsidRDefault="00A06887">
    <w:pPr>
      <w:pStyle w:val="BodyText"/>
      <w:spacing w:line="14" w:lineRule="auto"/>
      <w:rPr>
        <w:sz w:val="20"/>
      </w:rPr>
    </w:pPr>
    <w:r>
      <w:rPr>
        <w:noProof/>
      </w:rPr>
      <w:drawing>
        <wp:anchor distT="0" distB="0" distL="0" distR="0" simplePos="0" relativeHeight="251671040" behindDoc="1" locked="0" layoutInCell="1" allowOverlap="1" wp14:anchorId="003D2A0A" wp14:editId="4DC0EF22">
          <wp:simplePos x="0" y="0"/>
          <wp:positionH relativeFrom="page">
            <wp:posOffset>358307</wp:posOffset>
          </wp:positionH>
          <wp:positionV relativeFrom="page">
            <wp:posOffset>182870</wp:posOffset>
          </wp:positionV>
          <wp:extent cx="1893741" cy="822915"/>
          <wp:effectExtent l="0" t="0" r="0" b="0"/>
          <wp:wrapNone/>
          <wp:docPr id="63"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893741" cy="82291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4D1F" w14:textId="29C34872" w:rsidR="00A06887" w:rsidRDefault="00A06887">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B1CE" w14:textId="6A953B73" w:rsidR="00A06887" w:rsidRDefault="00A06887">
    <w:pPr>
      <w:pStyle w:val="BodyText"/>
      <w:spacing w:line="14" w:lineRule="auto"/>
      <w:rPr>
        <w:sz w:val="20"/>
      </w:rPr>
    </w:pPr>
    <w:r>
      <w:rPr>
        <w:noProof/>
      </w:rPr>
      <w:drawing>
        <wp:anchor distT="0" distB="0" distL="0" distR="0" simplePos="0" relativeHeight="251649536" behindDoc="1" locked="0" layoutInCell="1" allowOverlap="1" wp14:anchorId="07027C04" wp14:editId="67FDDFC6">
          <wp:simplePos x="0" y="0"/>
          <wp:positionH relativeFrom="page">
            <wp:posOffset>358307</wp:posOffset>
          </wp:positionH>
          <wp:positionV relativeFrom="page">
            <wp:posOffset>182820</wp:posOffset>
          </wp:positionV>
          <wp:extent cx="1893741" cy="822691"/>
          <wp:effectExtent l="0" t="0" r="0" b="0"/>
          <wp:wrapNone/>
          <wp:docPr id="30"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893741" cy="822691"/>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B59D" w14:textId="548DE79F" w:rsidR="00A06887" w:rsidRDefault="00A06887">
    <w:pPr>
      <w:pStyle w:val="BodyText"/>
      <w:spacing w:line="14" w:lineRule="auto"/>
      <w:rPr>
        <w:sz w:val="20"/>
      </w:rPr>
    </w:pPr>
    <w:r>
      <w:rPr>
        <w:noProof/>
      </w:rPr>
      <w:drawing>
        <wp:anchor distT="0" distB="0" distL="0" distR="0" simplePos="0" relativeHeight="251657216" behindDoc="1" locked="0" layoutInCell="1" allowOverlap="1" wp14:anchorId="3A86503F" wp14:editId="117E97E8">
          <wp:simplePos x="0" y="0"/>
          <wp:positionH relativeFrom="page">
            <wp:posOffset>358307</wp:posOffset>
          </wp:positionH>
          <wp:positionV relativeFrom="page">
            <wp:posOffset>182820</wp:posOffset>
          </wp:positionV>
          <wp:extent cx="1893741" cy="822691"/>
          <wp:effectExtent l="0" t="0" r="0" b="0"/>
          <wp:wrapNone/>
          <wp:docPr id="36"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893741" cy="822691"/>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BB35" w14:textId="5831E65E" w:rsidR="00A06887" w:rsidRDefault="00A06887">
    <w:pPr>
      <w:pStyle w:val="BodyText"/>
      <w:spacing w:line="14" w:lineRule="auto"/>
      <w:rPr>
        <w:sz w:val="20"/>
      </w:rPr>
    </w:pPr>
    <w:r>
      <w:rPr>
        <w:noProof/>
      </w:rPr>
      <mc:AlternateContent>
        <mc:Choice Requires="wps">
          <w:drawing>
            <wp:anchor distT="0" distB="0" distL="114300" distR="114300" simplePos="0" relativeHeight="250385408" behindDoc="1" locked="0" layoutInCell="1" allowOverlap="1" wp14:anchorId="1D0F8F0D" wp14:editId="0D5F9119">
              <wp:simplePos x="0" y="0"/>
              <wp:positionH relativeFrom="page">
                <wp:posOffset>944880</wp:posOffset>
              </wp:positionH>
              <wp:positionV relativeFrom="page">
                <wp:posOffset>1139190</wp:posOffset>
              </wp:positionV>
              <wp:extent cx="2853690" cy="182880"/>
              <wp:effectExtent l="0" t="0" r="0" b="0"/>
              <wp:wrapNone/>
              <wp:docPr id="22"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05142" w14:textId="65669BE8" w:rsidR="00A06887" w:rsidRDefault="00A06887">
                          <w:pPr>
                            <w:spacing w:before="21"/>
                            <w:ind w:left="20"/>
                            <w:rPr>
                              <w:rFonts w:ascii="Century Gothic"/>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F8F0D" id="_x0000_t202" coordsize="21600,21600" o:spt="202" path="m,l,21600r21600,l21600,xe">
              <v:stroke joinstyle="miter"/>
              <v:path gradientshapeok="t" o:connecttype="rect"/>
            </v:shapetype>
            <v:shape id="Text Box 20" o:spid="_x0000_s1028" type="#_x0000_t202" alt="&quot;&quot;" style="position:absolute;margin-left:74.4pt;margin-top:89.7pt;width:224.7pt;height:14.4pt;z-index:-2529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" filled="f" stroked="f">
              <v:textbox inset="0,0,0,0">
                <w:txbxContent>
                  <w:p w14:paraId="69805142" w14:textId="65669BE8" w:rsidR="00A06887" w:rsidRDefault="00A06887">
                    <w:pPr>
                      <w:spacing w:before="21"/>
                      <w:ind w:left="20"/>
                      <w:rPr>
                        <w:rFonts w:ascii="Century Gothic"/>
                        <w:b/>
                        <w:sz w:val="20"/>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3AEE" w14:textId="5430DEAB" w:rsidR="00A06887" w:rsidRDefault="00A06887">
    <w:pPr>
      <w:pStyle w:val="BodyText"/>
      <w:spacing w:line="14" w:lineRule="auto"/>
      <w:rPr>
        <w:sz w:val="20"/>
      </w:rPr>
    </w:pPr>
    <w:r>
      <w:rPr>
        <w:noProof/>
      </w:rPr>
      <w:drawing>
        <wp:anchor distT="0" distB="0" distL="0" distR="0" simplePos="0" relativeHeight="250392576" behindDoc="1" locked="0" layoutInCell="1" allowOverlap="1" wp14:anchorId="23094FA1" wp14:editId="4096651D">
          <wp:simplePos x="0" y="0"/>
          <wp:positionH relativeFrom="page">
            <wp:posOffset>358307</wp:posOffset>
          </wp:positionH>
          <wp:positionV relativeFrom="page">
            <wp:posOffset>182820</wp:posOffset>
          </wp:positionV>
          <wp:extent cx="1893741" cy="822691"/>
          <wp:effectExtent l="0" t="0" r="0" b="0"/>
          <wp:wrapNone/>
          <wp:docPr id="42"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jpe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893741" cy="8226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E5E"/>
    <w:multiLevelType w:val="hybridMultilevel"/>
    <w:tmpl w:val="64B28882"/>
    <w:lvl w:ilvl="0" w:tplc="5E7C2372">
      <w:numFmt w:val="bullet"/>
      <w:lvlText w:val=""/>
      <w:lvlJc w:val="left"/>
      <w:pPr>
        <w:ind w:left="369" w:hanging="188"/>
      </w:pPr>
      <w:rPr>
        <w:rFonts w:ascii="Symbol" w:eastAsia="Symbol" w:hAnsi="Symbol" w:cs="Symbol" w:hint="default"/>
        <w:color w:val="404040"/>
        <w:w w:val="101"/>
        <w:sz w:val="18"/>
        <w:szCs w:val="18"/>
        <w:lang w:val="en-AU" w:eastAsia="en-AU" w:bidi="en-AU"/>
      </w:rPr>
    </w:lvl>
    <w:lvl w:ilvl="1" w:tplc="2B70F2E4">
      <w:numFmt w:val="bullet"/>
      <w:lvlText w:val="•"/>
      <w:lvlJc w:val="left"/>
      <w:pPr>
        <w:ind w:left="736" w:hanging="188"/>
      </w:pPr>
      <w:rPr>
        <w:rFonts w:hint="default"/>
        <w:lang w:val="en-AU" w:eastAsia="en-AU" w:bidi="en-AU"/>
      </w:rPr>
    </w:lvl>
    <w:lvl w:ilvl="2" w:tplc="B9020420">
      <w:numFmt w:val="bullet"/>
      <w:lvlText w:val="•"/>
      <w:lvlJc w:val="left"/>
      <w:pPr>
        <w:ind w:left="1113" w:hanging="188"/>
      </w:pPr>
      <w:rPr>
        <w:rFonts w:hint="default"/>
        <w:lang w:val="en-AU" w:eastAsia="en-AU" w:bidi="en-AU"/>
      </w:rPr>
    </w:lvl>
    <w:lvl w:ilvl="3" w:tplc="B8AE5DA4">
      <w:numFmt w:val="bullet"/>
      <w:lvlText w:val="•"/>
      <w:lvlJc w:val="left"/>
      <w:pPr>
        <w:ind w:left="1490" w:hanging="188"/>
      </w:pPr>
      <w:rPr>
        <w:rFonts w:hint="default"/>
        <w:lang w:val="en-AU" w:eastAsia="en-AU" w:bidi="en-AU"/>
      </w:rPr>
    </w:lvl>
    <w:lvl w:ilvl="4" w:tplc="D3F29BA8">
      <w:numFmt w:val="bullet"/>
      <w:lvlText w:val="•"/>
      <w:lvlJc w:val="left"/>
      <w:pPr>
        <w:ind w:left="1867" w:hanging="188"/>
      </w:pPr>
      <w:rPr>
        <w:rFonts w:hint="default"/>
        <w:lang w:val="en-AU" w:eastAsia="en-AU" w:bidi="en-AU"/>
      </w:rPr>
    </w:lvl>
    <w:lvl w:ilvl="5" w:tplc="E3280880">
      <w:numFmt w:val="bullet"/>
      <w:lvlText w:val="•"/>
      <w:lvlJc w:val="left"/>
      <w:pPr>
        <w:ind w:left="2244" w:hanging="188"/>
      </w:pPr>
      <w:rPr>
        <w:rFonts w:hint="default"/>
        <w:lang w:val="en-AU" w:eastAsia="en-AU" w:bidi="en-AU"/>
      </w:rPr>
    </w:lvl>
    <w:lvl w:ilvl="6" w:tplc="6B8680F6">
      <w:numFmt w:val="bullet"/>
      <w:lvlText w:val="•"/>
      <w:lvlJc w:val="left"/>
      <w:pPr>
        <w:ind w:left="2621" w:hanging="188"/>
      </w:pPr>
      <w:rPr>
        <w:rFonts w:hint="default"/>
        <w:lang w:val="en-AU" w:eastAsia="en-AU" w:bidi="en-AU"/>
      </w:rPr>
    </w:lvl>
    <w:lvl w:ilvl="7" w:tplc="EC9E2D78">
      <w:numFmt w:val="bullet"/>
      <w:lvlText w:val="•"/>
      <w:lvlJc w:val="left"/>
      <w:pPr>
        <w:ind w:left="2998" w:hanging="188"/>
      </w:pPr>
      <w:rPr>
        <w:rFonts w:hint="default"/>
        <w:lang w:val="en-AU" w:eastAsia="en-AU" w:bidi="en-AU"/>
      </w:rPr>
    </w:lvl>
    <w:lvl w:ilvl="8" w:tplc="CADE6390">
      <w:numFmt w:val="bullet"/>
      <w:lvlText w:val="•"/>
      <w:lvlJc w:val="left"/>
      <w:pPr>
        <w:ind w:left="3375" w:hanging="188"/>
      </w:pPr>
      <w:rPr>
        <w:rFonts w:hint="default"/>
        <w:lang w:val="en-AU" w:eastAsia="en-AU" w:bidi="en-AU"/>
      </w:rPr>
    </w:lvl>
  </w:abstractNum>
  <w:abstractNum w:abstractNumId="1" w15:restartNumberingAfterBreak="0">
    <w:nsid w:val="011C4A40"/>
    <w:multiLevelType w:val="hybridMultilevel"/>
    <w:tmpl w:val="E7B6E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9666E"/>
    <w:multiLevelType w:val="hybridMultilevel"/>
    <w:tmpl w:val="12CA4954"/>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 w15:restartNumberingAfterBreak="0">
    <w:nsid w:val="04776E19"/>
    <w:multiLevelType w:val="hybridMultilevel"/>
    <w:tmpl w:val="F20A2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0F6F49"/>
    <w:multiLevelType w:val="hybridMultilevel"/>
    <w:tmpl w:val="25E41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B2147E"/>
    <w:multiLevelType w:val="hybridMultilevel"/>
    <w:tmpl w:val="BD469B0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0B4A5159"/>
    <w:multiLevelType w:val="hybridMultilevel"/>
    <w:tmpl w:val="FAC8633A"/>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7" w15:restartNumberingAfterBreak="0">
    <w:nsid w:val="0CC22BAE"/>
    <w:multiLevelType w:val="hybridMultilevel"/>
    <w:tmpl w:val="E14244C4"/>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8" w15:restartNumberingAfterBreak="0">
    <w:nsid w:val="0DBA5972"/>
    <w:multiLevelType w:val="hybridMultilevel"/>
    <w:tmpl w:val="DD769D70"/>
    <w:lvl w:ilvl="0" w:tplc="4300C8EE">
      <w:start w:val="1"/>
      <w:numFmt w:val="bullet"/>
      <w:lvlText w:val=""/>
      <w:lvlJc w:val="left"/>
      <w:pPr>
        <w:ind w:left="360" w:hanging="360"/>
      </w:pPr>
      <w:rPr>
        <w:rFonts w:ascii="Symbol" w:hAnsi="Symbol" w:hint="default"/>
        <w:color w:val="404040" w:themeColor="text1" w:themeTint="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E8243CB"/>
    <w:multiLevelType w:val="hybridMultilevel"/>
    <w:tmpl w:val="F14A4FFA"/>
    <w:lvl w:ilvl="0" w:tplc="A83CBAC4">
      <w:numFmt w:val="bullet"/>
      <w:lvlText w:val=""/>
      <w:lvlJc w:val="left"/>
      <w:pPr>
        <w:ind w:left="467" w:hanging="360"/>
      </w:pPr>
      <w:rPr>
        <w:rFonts w:ascii="Symbol" w:eastAsia="Symbol" w:hAnsi="Symbol" w:cs="Symbol" w:hint="default"/>
        <w:w w:val="101"/>
        <w:sz w:val="18"/>
        <w:szCs w:val="18"/>
        <w:lang w:val="en-AU" w:eastAsia="en-AU" w:bidi="en-AU"/>
      </w:rPr>
    </w:lvl>
    <w:lvl w:ilvl="1" w:tplc="9640890A">
      <w:numFmt w:val="bullet"/>
      <w:lvlText w:val="•"/>
      <w:lvlJc w:val="left"/>
      <w:pPr>
        <w:ind w:left="692" w:hanging="360"/>
      </w:pPr>
      <w:rPr>
        <w:rFonts w:hint="default"/>
        <w:lang w:val="en-AU" w:eastAsia="en-AU" w:bidi="en-AU"/>
      </w:rPr>
    </w:lvl>
    <w:lvl w:ilvl="2" w:tplc="A9F6C29A">
      <w:numFmt w:val="bullet"/>
      <w:lvlText w:val="•"/>
      <w:lvlJc w:val="left"/>
      <w:pPr>
        <w:ind w:left="924" w:hanging="360"/>
      </w:pPr>
      <w:rPr>
        <w:rFonts w:hint="default"/>
        <w:lang w:val="en-AU" w:eastAsia="en-AU" w:bidi="en-AU"/>
      </w:rPr>
    </w:lvl>
    <w:lvl w:ilvl="3" w:tplc="280A8BE6">
      <w:numFmt w:val="bullet"/>
      <w:lvlText w:val="•"/>
      <w:lvlJc w:val="left"/>
      <w:pPr>
        <w:ind w:left="1156" w:hanging="360"/>
      </w:pPr>
      <w:rPr>
        <w:rFonts w:hint="default"/>
        <w:lang w:val="en-AU" w:eastAsia="en-AU" w:bidi="en-AU"/>
      </w:rPr>
    </w:lvl>
    <w:lvl w:ilvl="4" w:tplc="59F43954">
      <w:numFmt w:val="bullet"/>
      <w:lvlText w:val="•"/>
      <w:lvlJc w:val="left"/>
      <w:pPr>
        <w:ind w:left="1388" w:hanging="360"/>
      </w:pPr>
      <w:rPr>
        <w:rFonts w:hint="default"/>
        <w:lang w:val="en-AU" w:eastAsia="en-AU" w:bidi="en-AU"/>
      </w:rPr>
    </w:lvl>
    <w:lvl w:ilvl="5" w:tplc="D8060380">
      <w:numFmt w:val="bullet"/>
      <w:lvlText w:val="•"/>
      <w:lvlJc w:val="left"/>
      <w:pPr>
        <w:ind w:left="1620" w:hanging="360"/>
      </w:pPr>
      <w:rPr>
        <w:rFonts w:hint="default"/>
        <w:lang w:val="en-AU" w:eastAsia="en-AU" w:bidi="en-AU"/>
      </w:rPr>
    </w:lvl>
    <w:lvl w:ilvl="6" w:tplc="BD04B1DA">
      <w:numFmt w:val="bullet"/>
      <w:lvlText w:val="•"/>
      <w:lvlJc w:val="left"/>
      <w:pPr>
        <w:ind w:left="1852" w:hanging="360"/>
      </w:pPr>
      <w:rPr>
        <w:rFonts w:hint="default"/>
        <w:lang w:val="en-AU" w:eastAsia="en-AU" w:bidi="en-AU"/>
      </w:rPr>
    </w:lvl>
    <w:lvl w:ilvl="7" w:tplc="A65CA7D4">
      <w:numFmt w:val="bullet"/>
      <w:lvlText w:val="•"/>
      <w:lvlJc w:val="left"/>
      <w:pPr>
        <w:ind w:left="2084" w:hanging="360"/>
      </w:pPr>
      <w:rPr>
        <w:rFonts w:hint="default"/>
        <w:lang w:val="en-AU" w:eastAsia="en-AU" w:bidi="en-AU"/>
      </w:rPr>
    </w:lvl>
    <w:lvl w:ilvl="8" w:tplc="E81C3E12">
      <w:numFmt w:val="bullet"/>
      <w:lvlText w:val="•"/>
      <w:lvlJc w:val="left"/>
      <w:pPr>
        <w:ind w:left="2316" w:hanging="360"/>
      </w:pPr>
      <w:rPr>
        <w:rFonts w:hint="default"/>
        <w:lang w:val="en-AU" w:eastAsia="en-AU" w:bidi="en-AU"/>
      </w:rPr>
    </w:lvl>
  </w:abstractNum>
  <w:abstractNum w:abstractNumId="10" w15:restartNumberingAfterBreak="0">
    <w:nsid w:val="194D4A5D"/>
    <w:multiLevelType w:val="hybridMultilevel"/>
    <w:tmpl w:val="50BEF66C"/>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1" w15:restartNumberingAfterBreak="0">
    <w:nsid w:val="1A5C0304"/>
    <w:multiLevelType w:val="hybridMultilevel"/>
    <w:tmpl w:val="B1D0F0A6"/>
    <w:lvl w:ilvl="0" w:tplc="CBC6F332">
      <w:numFmt w:val="bullet"/>
      <w:lvlText w:val=""/>
      <w:lvlJc w:val="left"/>
      <w:pPr>
        <w:ind w:left="349" w:hanging="178"/>
      </w:pPr>
      <w:rPr>
        <w:rFonts w:ascii="Symbol" w:eastAsia="Symbol" w:hAnsi="Symbol" w:cs="Symbol" w:hint="default"/>
        <w:color w:val="404040"/>
        <w:w w:val="101"/>
        <w:sz w:val="18"/>
        <w:szCs w:val="18"/>
        <w:lang w:val="en-AU" w:eastAsia="en-AU" w:bidi="en-AU"/>
      </w:rPr>
    </w:lvl>
    <w:lvl w:ilvl="1" w:tplc="5548449C">
      <w:numFmt w:val="bullet"/>
      <w:lvlText w:val="•"/>
      <w:lvlJc w:val="left"/>
      <w:pPr>
        <w:ind w:left="772" w:hanging="178"/>
      </w:pPr>
      <w:rPr>
        <w:rFonts w:hint="default"/>
        <w:lang w:val="en-AU" w:eastAsia="en-AU" w:bidi="en-AU"/>
      </w:rPr>
    </w:lvl>
    <w:lvl w:ilvl="2" w:tplc="9E0A55D4">
      <w:numFmt w:val="bullet"/>
      <w:lvlText w:val="•"/>
      <w:lvlJc w:val="left"/>
      <w:pPr>
        <w:ind w:left="1205" w:hanging="178"/>
      </w:pPr>
      <w:rPr>
        <w:rFonts w:hint="default"/>
        <w:lang w:val="en-AU" w:eastAsia="en-AU" w:bidi="en-AU"/>
      </w:rPr>
    </w:lvl>
    <w:lvl w:ilvl="3" w:tplc="176875BC">
      <w:numFmt w:val="bullet"/>
      <w:lvlText w:val="•"/>
      <w:lvlJc w:val="left"/>
      <w:pPr>
        <w:ind w:left="1637" w:hanging="178"/>
      </w:pPr>
      <w:rPr>
        <w:rFonts w:hint="default"/>
        <w:lang w:val="en-AU" w:eastAsia="en-AU" w:bidi="en-AU"/>
      </w:rPr>
    </w:lvl>
    <w:lvl w:ilvl="4" w:tplc="3A821E0C">
      <w:numFmt w:val="bullet"/>
      <w:lvlText w:val="•"/>
      <w:lvlJc w:val="left"/>
      <w:pPr>
        <w:ind w:left="2070" w:hanging="178"/>
      </w:pPr>
      <w:rPr>
        <w:rFonts w:hint="default"/>
        <w:lang w:val="en-AU" w:eastAsia="en-AU" w:bidi="en-AU"/>
      </w:rPr>
    </w:lvl>
    <w:lvl w:ilvl="5" w:tplc="0342579E">
      <w:numFmt w:val="bullet"/>
      <w:lvlText w:val="•"/>
      <w:lvlJc w:val="left"/>
      <w:pPr>
        <w:ind w:left="2503" w:hanging="178"/>
      </w:pPr>
      <w:rPr>
        <w:rFonts w:hint="default"/>
        <w:lang w:val="en-AU" w:eastAsia="en-AU" w:bidi="en-AU"/>
      </w:rPr>
    </w:lvl>
    <w:lvl w:ilvl="6" w:tplc="C7E89BCE">
      <w:numFmt w:val="bullet"/>
      <w:lvlText w:val="•"/>
      <w:lvlJc w:val="left"/>
      <w:pPr>
        <w:ind w:left="2935" w:hanging="178"/>
      </w:pPr>
      <w:rPr>
        <w:rFonts w:hint="default"/>
        <w:lang w:val="en-AU" w:eastAsia="en-AU" w:bidi="en-AU"/>
      </w:rPr>
    </w:lvl>
    <w:lvl w:ilvl="7" w:tplc="CE504840">
      <w:numFmt w:val="bullet"/>
      <w:lvlText w:val="•"/>
      <w:lvlJc w:val="left"/>
      <w:pPr>
        <w:ind w:left="3368" w:hanging="178"/>
      </w:pPr>
      <w:rPr>
        <w:rFonts w:hint="default"/>
        <w:lang w:val="en-AU" w:eastAsia="en-AU" w:bidi="en-AU"/>
      </w:rPr>
    </w:lvl>
    <w:lvl w:ilvl="8" w:tplc="154C860A">
      <w:numFmt w:val="bullet"/>
      <w:lvlText w:val="•"/>
      <w:lvlJc w:val="left"/>
      <w:pPr>
        <w:ind w:left="3800" w:hanging="178"/>
      </w:pPr>
      <w:rPr>
        <w:rFonts w:hint="default"/>
        <w:lang w:val="en-AU" w:eastAsia="en-AU" w:bidi="en-AU"/>
      </w:rPr>
    </w:lvl>
  </w:abstractNum>
  <w:abstractNum w:abstractNumId="12" w15:restartNumberingAfterBreak="0">
    <w:nsid w:val="1EB245DC"/>
    <w:multiLevelType w:val="hybridMultilevel"/>
    <w:tmpl w:val="CB02A480"/>
    <w:lvl w:ilvl="0" w:tplc="A4F84F16">
      <w:start w:val="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DE4E99"/>
    <w:multiLevelType w:val="hybridMultilevel"/>
    <w:tmpl w:val="02E0A2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C17233C"/>
    <w:multiLevelType w:val="hybridMultilevel"/>
    <w:tmpl w:val="DAAE0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8E22D0"/>
    <w:multiLevelType w:val="hybridMultilevel"/>
    <w:tmpl w:val="9B64F346"/>
    <w:lvl w:ilvl="0" w:tplc="87AC6FD8">
      <w:numFmt w:val="bullet"/>
      <w:lvlText w:val=""/>
      <w:lvlJc w:val="left"/>
      <w:pPr>
        <w:ind w:left="470" w:hanging="361"/>
      </w:pPr>
      <w:rPr>
        <w:rFonts w:ascii="Symbol" w:eastAsia="Symbol" w:hAnsi="Symbol" w:cs="Symbol" w:hint="default"/>
        <w:w w:val="101"/>
        <w:sz w:val="18"/>
        <w:szCs w:val="18"/>
        <w:lang w:val="en-AU" w:eastAsia="en-AU" w:bidi="en-AU"/>
      </w:rPr>
    </w:lvl>
    <w:lvl w:ilvl="1" w:tplc="1C3A4E4E">
      <w:numFmt w:val="bullet"/>
      <w:lvlText w:val="•"/>
      <w:lvlJc w:val="left"/>
      <w:pPr>
        <w:ind w:left="776" w:hanging="361"/>
      </w:pPr>
      <w:rPr>
        <w:rFonts w:hint="default"/>
        <w:lang w:val="en-AU" w:eastAsia="en-AU" w:bidi="en-AU"/>
      </w:rPr>
    </w:lvl>
    <w:lvl w:ilvl="2" w:tplc="5EE4E90E">
      <w:numFmt w:val="bullet"/>
      <w:lvlText w:val="•"/>
      <w:lvlJc w:val="left"/>
      <w:pPr>
        <w:ind w:left="1073" w:hanging="361"/>
      </w:pPr>
      <w:rPr>
        <w:rFonts w:hint="default"/>
        <w:lang w:val="en-AU" w:eastAsia="en-AU" w:bidi="en-AU"/>
      </w:rPr>
    </w:lvl>
    <w:lvl w:ilvl="3" w:tplc="8542BF52">
      <w:numFmt w:val="bullet"/>
      <w:lvlText w:val="•"/>
      <w:lvlJc w:val="left"/>
      <w:pPr>
        <w:ind w:left="1370" w:hanging="361"/>
      </w:pPr>
      <w:rPr>
        <w:rFonts w:hint="default"/>
        <w:lang w:val="en-AU" w:eastAsia="en-AU" w:bidi="en-AU"/>
      </w:rPr>
    </w:lvl>
    <w:lvl w:ilvl="4" w:tplc="5C8A7432">
      <w:numFmt w:val="bullet"/>
      <w:lvlText w:val="•"/>
      <w:lvlJc w:val="left"/>
      <w:pPr>
        <w:ind w:left="1667" w:hanging="361"/>
      </w:pPr>
      <w:rPr>
        <w:rFonts w:hint="default"/>
        <w:lang w:val="en-AU" w:eastAsia="en-AU" w:bidi="en-AU"/>
      </w:rPr>
    </w:lvl>
    <w:lvl w:ilvl="5" w:tplc="2196F700">
      <w:numFmt w:val="bullet"/>
      <w:lvlText w:val="•"/>
      <w:lvlJc w:val="left"/>
      <w:pPr>
        <w:ind w:left="1964" w:hanging="361"/>
      </w:pPr>
      <w:rPr>
        <w:rFonts w:hint="default"/>
        <w:lang w:val="en-AU" w:eastAsia="en-AU" w:bidi="en-AU"/>
      </w:rPr>
    </w:lvl>
    <w:lvl w:ilvl="6" w:tplc="80969E88">
      <w:numFmt w:val="bullet"/>
      <w:lvlText w:val="•"/>
      <w:lvlJc w:val="left"/>
      <w:pPr>
        <w:ind w:left="2260" w:hanging="361"/>
      </w:pPr>
      <w:rPr>
        <w:rFonts w:hint="default"/>
        <w:lang w:val="en-AU" w:eastAsia="en-AU" w:bidi="en-AU"/>
      </w:rPr>
    </w:lvl>
    <w:lvl w:ilvl="7" w:tplc="2E409B26">
      <w:numFmt w:val="bullet"/>
      <w:lvlText w:val="•"/>
      <w:lvlJc w:val="left"/>
      <w:pPr>
        <w:ind w:left="2557" w:hanging="361"/>
      </w:pPr>
      <w:rPr>
        <w:rFonts w:hint="default"/>
        <w:lang w:val="en-AU" w:eastAsia="en-AU" w:bidi="en-AU"/>
      </w:rPr>
    </w:lvl>
    <w:lvl w:ilvl="8" w:tplc="94528760">
      <w:numFmt w:val="bullet"/>
      <w:lvlText w:val="•"/>
      <w:lvlJc w:val="left"/>
      <w:pPr>
        <w:ind w:left="2854" w:hanging="361"/>
      </w:pPr>
      <w:rPr>
        <w:rFonts w:hint="default"/>
        <w:lang w:val="en-AU" w:eastAsia="en-AU" w:bidi="en-AU"/>
      </w:rPr>
    </w:lvl>
  </w:abstractNum>
  <w:abstractNum w:abstractNumId="16" w15:restartNumberingAfterBreak="0">
    <w:nsid w:val="36D414FA"/>
    <w:multiLevelType w:val="hybridMultilevel"/>
    <w:tmpl w:val="F87070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1605C9"/>
    <w:multiLevelType w:val="hybridMultilevel"/>
    <w:tmpl w:val="62582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031624A"/>
    <w:multiLevelType w:val="hybridMultilevel"/>
    <w:tmpl w:val="FD06899E"/>
    <w:lvl w:ilvl="0" w:tplc="6D4EC318">
      <w:start w:val="1"/>
      <w:numFmt w:val="bullet"/>
      <w:lvlText w:val=""/>
      <w:lvlJc w:val="left"/>
      <w:pPr>
        <w:ind w:left="520" w:hanging="360"/>
      </w:pPr>
      <w:rPr>
        <w:rFonts w:ascii="Symbol" w:hAnsi="Symbol" w:hint="default"/>
        <w:color w:val="404040" w:themeColor="text1" w:themeTint="BF"/>
      </w:rPr>
    </w:lvl>
    <w:lvl w:ilvl="1" w:tplc="0C090003" w:tentative="1">
      <w:start w:val="1"/>
      <w:numFmt w:val="bullet"/>
      <w:lvlText w:val="o"/>
      <w:lvlJc w:val="left"/>
      <w:pPr>
        <w:ind w:left="1240" w:hanging="360"/>
      </w:pPr>
      <w:rPr>
        <w:rFonts w:ascii="Courier New" w:hAnsi="Courier New" w:cs="Courier New" w:hint="default"/>
      </w:rPr>
    </w:lvl>
    <w:lvl w:ilvl="2" w:tplc="0C090005" w:tentative="1">
      <w:start w:val="1"/>
      <w:numFmt w:val="bullet"/>
      <w:lvlText w:val=""/>
      <w:lvlJc w:val="left"/>
      <w:pPr>
        <w:ind w:left="1960" w:hanging="360"/>
      </w:pPr>
      <w:rPr>
        <w:rFonts w:ascii="Wingdings" w:hAnsi="Wingdings" w:hint="default"/>
      </w:rPr>
    </w:lvl>
    <w:lvl w:ilvl="3" w:tplc="0C090001" w:tentative="1">
      <w:start w:val="1"/>
      <w:numFmt w:val="bullet"/>
      <w:lvlText w:val=""/>
      <w:lvlJc w:val="left"/>
      <w:pPr>
        <w:ind w:left="2680" w:hanging="360"/>
      </w:pPr>
      <w:rPr>
        <w:rFonts w:ascii="Symbol" w:hAnsi="Symbol" w:hint="default"/>
      </w:rPr>
    </w:lvl>
    <w:lvl w:ilvl="4" w:tplc="0C090003" w:tentative="1">
      <w:start w:val="1"/>
      <w:numFmt w:val="bullet"/>
      <w:lvlText w:val="o"/>
      <w:lvlJc w:val="left"/>
      <w:pPr>
        <w:ind w:left="3400" w:hanging="360"/>
      </w:pPr>
      <w:rPr>
        <w:rFonts w:ascii="Courier New" w:hAnsi="Courier New" w:cs="Courier New" w:hint="default"/>
      </w:rPr>
    </w:lvl>
    <w:lvl w:ilvl="5" w:tplc="0C090005" w:tentative="1">
      <w:start w:val="1"/>
      <w:numFmt w:val="bullet"/>
      <w:lvlText w:val=""/>
      <w:lvlJc w:val="left"/>
      <w:pPr>
        <w:ind w:left="4120" w:hanging="360"/>
      </w:pPr>
      <w:rPr>
        <w:rFonts w:ascii="Wingdings" w:hAnsi="Wingdings" w:hint="default"/>
      </w:rPr>
    </w:lvl>
    <w:lvl w:ilvl="6" w:tplc="0C090001" w:tentative="1">
      <w:start w:val="1"/>
      <w:numFmt w:val="bullet"/>
      <w:lvlText w:val=""/>
      <w:lvlJc w:val="left"/>
      <w:pPr>
        <w:ind w:left="4840" w:hanging="360"/>
      </w:pPr>
      <w:rPr>
        <w:rFonts w:ascii="Symbol" w:hAnsi="Symbol" w:hint="default"/>
      </w:rPr>
    </w:lvl>
    <w:lvl w:ilvl="7" w:tplc="0C090003" w:tentative="1">
      <w:start w:val="1"/>
      <w:numFmt w:val="bullet"/>
      <w:lvlText w:val="o"/>
      <w:lvlJc w:val="left"/>
      <w:pPr>
        <w:ind w:left="5560" w:hanging="360"/>
      </w:pPr>
      <w:rPr>
        <w:rFonts w:ascii="Courier New" w:hAnsi="Courier New" w:cs="Courier New" w:hint="default"/>
      </w:rPr>
    </w:lvl>
    <w:lvl w:ilvl="8" w:tplc="0C090005" w:tentative="1">
      <w:start w:val="1"/>
      <w:numFmt w:val="bullet"/>
      <w:lvlText w:val=""/>
      <w:lvlJc w:val="left"/>
      <w:pPr>
        <w:ind w:left="6280" w:hanging="360"/>
      </w:pPr>
      <w:rPr>
        <w:rFonts w:ascii="Wingdings" w:hAnsi="Wingdings" w:hint="default"/>
      </w:rPr>
    </w:lvl>
  </w:abstractNum>
  <w:abstractNum w:abstractNumId="19" w15:restartNumberingAfterBreak="0">
    <w:nsid w:val="4B20405F"/>
    <w:multiLevelType w:val="hybridMultilevel"/>
    <w:tmpl w:val="9676B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295DC3"/>
    <w:multiLevelType w:val="hybridMultilevel"/>
    <w:tmpl w:val="9B105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213DB8"/>
    <w:multiLevelType w:val="hybridMultilevel"/>
    <w:tmpl w:val="D4FC744C"/>
    <w:lvl w:ilvl="0" w:tplc="0A7222E4">
      <w:numFmt w:val="bullet"/>
      <w:lvlText w:val=""/>
      <w:lvlJc w:val="left"/>
      <w:pPr>
        <w:ind w:left="402" w:hanging="284"/>
      </w:pPr>
      <w:rPr>
        <w:rFonts w:ascii="Symbol" w:eastAsia="Symbol" w:hAnsi="Symbol" w:cs="Symbol" w:hint="default"/>
        <w:w w:val="101"/>
        <w:sz w:val="18"/>
        <w:szCs w:val="18"/>
        <w:lang w:val="en-AU" w:eastAsia="en-AU" w:bidi="en-AU"/>
      </w:rPr>
    </w:lvl>
    <w:lvl w:ilvl="1" w:tplc="F926CD26">
      <w:numFmt w:val="bullet"/>
      <w:lvlText w:val="•"/>
      <w:lvlJc w:val="left"/>
      <w:pPr>
        <w:ind w:left="769" w:hanging="284"/>
      </w:pPr>
      <w:rPr>
        <w:rFonts w:hint="default"/>
        <w:lang w:val="en-AU" w:eastAsia="en-AU" w:bidi="en-AU"/>
      </w:rPr>
    </w:lvl>
    <w:lvl w:ilvl="2" w:tplc="B810D5EE">
      <w:numFmt w:val="bullet"/>
      <w:lvlText w:val="•"/>
      <w:lvlJc w:val="left"/>
      <w:pPr>
        <w:ind w:left="1139" w:hanging="284"/>
      </w:pPr>
      <w:rPr>
        <w:rFonts w:hint="default"/>
        <w:lang w:val="en-AU" w:eastAsia="en-AU" w:bidi="en-AU"/>
      </w:rPr>
    </w:lvl>
    <w:lvl w:ilvl="3" w:tplc="C44AF0F8">
      <w:numFmt w:val="bullet"/>
      <w:lvlText w:val="•"/>
      <w:lvlJc w:val="left"/>
      <w:pPr>
        <w:ind w:left="1508" w:hanging="284"/>
      </w:pPr>
      <w:rPr>
        <w:rFonts w:hint="default"/>
        <w:lang w:val="en-AU" w:eastAsia="en-AU" w:bidi="en-AU"/>
      </w:rPr>
    </w:lvl>
    <w:lvl w:ilvl="4" w:tplc="F12E2F28">
      <w:numFmt w:val="bullet"/>
      <w:lvlText w:val="•"/>
      <w:lvlJc w:val="left"/>
      <w:pPr>
        <w:ind w:left="1878" w:hanging="284"/>
      </w:pPr>
      <w:rPr>
        <w:rFonts w:hint="default"/>
        <w:lang w:val="en-AU" w:eastAsia="en-AU" w:bidi="en-AU"/>
      </w:rPr>
    </w:lvl>
    <w:lvl w:ilvl="5" w:tplc="692E9D10">
      <w:numFmt w:val="bullet"/>
      <w:lvlText w:val="•"/>
      <w:lvlJc w:val="left"/>
      <w:pPr>
        <w:ind w:left="2248" w:hanging="284"/>
      </w:pPr>
      <w:rPr>
        <w:rFonts w:hint="default"/>
        <w:lang w:val="en-AU" w:eastAsia="en-AU" w:bidi="en-AU"/>
      </w:rPr>
    </w:lvl>
    <w:lvl w:ilvl="6" w:tplc="F89E8B52">
      <w:numFmt w:val="bullet"/>
      <w:lvlText w:val="•"/>
      <w:lvlJc w:val="left"/>
      <w:pPr>
        <w:ind w:left="2617" w:hanging="284"/>
      </w:pPr>
      <w:rPr>
        <w:rFonts w:hint="default"/>
        <w:lang w:val="en-AU" w:eastAsia="en-AU" w:bidi="en-AU"/>
      </w:rPr>
    </w:lvl>
    <w:lvl w:ilvl="7" w:tplc="3D50949C">
      <w:numFmt w:val="bullet"/>
      <w:lvlText w:val="•"/>
      <w:lvlJc w:val="left"/>
      <w:pPr>
        <w:ind w:left="2987" w:hanging="284"/>
      </w:pPr>
      <w:rPr>
        <w:rFonts w:hint="default"/>
        <w:lang w:val="en-AU" w:eastAsia="en-AU" w:bidi="en-AU"/>
      </w:rPr>
    </w:lvl>
    <w:lvl w:ilvl="8" w:tplc="B2423398">
      <w:numFmt w:val="bullet"/>
      <w:lvlText w:val="•"/>
      <w:lvlJc w:val="left"/>
      <w:pPr>
        <w:ind w:left="3356" w:hanging="284"/>
      </w:pPr>
      <w:rPr>
        <w:rFonts w:hint="default"/>
        <w:lang w:val="en-AU" w:eastAsia="en-AU" w:bidi="en-AU"/>
      </w:rPr>
    </w:lvl>
  </w:abstractNum>
  <w:abstractNum w:abstractNumId="22" w15:restartNumberingAfterBreak="0">
    <w:nsid w:val="558E00EB"/>
    <w:multiLevelType w:val="hybridMultilevel"/>
    <w:tmpl w:val="D130DAE6"/>
    <w:lvl w:ilvl="0" w:tplc="A146774A">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3" w15:restartNumberingAfterBreak="0">
    <w:nsid w:val="589F1BBC"/>
    <w:multiLevelType w:val="hybridMultilevel"/>
    <w:tmpl w:val="4F304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221906"/>
    <w:multiLevelType w:val="hybridMultilevel"/>
    <w:tmpl w:val="2D0A2296"/>
    <w:lvl w:ilvl="0" w:tplc="B5D66F8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6C1298"/>
    <w:multiLevelType w:val="hybridMultilevel"/>
    <w:tmpl w:val="27007F72"/>
    <w:lvl w:ilvl="0" w:tplc="9594EBE8">
      <w:numFmt w:val="bullet"/>
      <w:lvlText w:val=""/>
      <w:lvlJc w:val="left"/>
      <w:pPr>
        <w:ind w:left="366" w:hanging="202"/>
      </w:pPr>
      <w:rPr>
        <w:rFonts w:ascii="Symbol" w:eastAsia="Symbol" w:hAnsi="Symbol" w:cs="Symbol" w:hint="default"/>
        <w:color w:val="404040"/>
        <w:w w:val="101"/>
        <w:sz w:val="18"/>
        <w:szCs w:val="18"/>
        <w:lang w:val="en-AU" w:eastAsia="en-AU" w:bidi="en-AU"/>
      </w:rPr>
    </w:lvl>
    <w:lvl w:ilvl="1" w:tplc="E4DEBDD0">
      <w:numFmt w:val="bullet"/>
      <w:lvlText w:val="•"/>
      <w:lvlJc w:val="left"/>
      <w:pPr>
        <w:ind w:left="571" w:hanging="202"/>
      </w:pPr>
      <w:rPr>
        <w:rFonts w:hint="default"/>
        <w:lang w:val="en-AU" w:eastAsia="en-AU" w:bidi="en-AU"/>
      </w:rPr>
    </w:lvl>
    <w:lvl w:ilvl="2" w:tplc="79762FFC">
      <w:numFmt w:val="bullet"/>
      <w:lvlText w:val="•"/>
      <w:lvlJc w:val="left"/>
      <w:pPr>
        <w:ind w:left="782" w:hanging="202"/>
      </w:pPr>
      <w:rPr>
        <w:rFonts w:hint="default"/>
        <w:lang w:val="en-AU" w:eastAsia="en-AU" w:bidi="en-AU"/>
      </w:rPr>
    </w:lvl>
    <w:lvl w:ilvl="3" w:tplc="4ECC5AEA">
      <w:numFmt w:val="bullet"/>
      <w:lvlText w:val="•"/>
      <w:lvlJc w:val="left"/>
      <w:pPr>
        <w:ind w:left="993" w:hanging="202"/>
      </w:pPr>
      <w:rPr>
        <w:rFonts w:hint="default"/>
        <w:lang w:val="en-AU" w:eastAsia="en-AU" w:bidi="en-AU"/>
      </w:rPr>
    </w:lvl>
    <w:lvl w:ilvl="4" w:tplc="589CE39A">
      <w:numFmt w:val="bullet"/>
      <w:lvlText w:val="•"/>
      <w:lvlJc w:val="left"/>
      <w:pPr>
        <w:ind w:left="1204" w:hanging="202"/>
      </w:pPr>
      <w:rPr>
        <w:rFonts w:hint="default"/>
        <w:lang w:val="en-AU" w:eastAsia="en-AU" w:bidi="en-AU"/>
      </w:rPr>
    </w:lvl>
    <w:lvl w:ilvl="5" w:tplc="51DE2AB6">
      <w:numFmt w:val="bullet"/>
      <w:lvlText w:val="•"/>
      <w:lvlJc w:val="left"/>
      <w:pPr>
        <w:ind w:left="1415" w:hanging="202"/>
      </w:pPr>
      <w:rPr>
        <w:rFonts w:hint="default"/>
        <w:lang w:val="en-AU" w:eastAsia="en-AU" w:bidi="en-AU"/>
      </w:rPr>
    </w:lvl>
    <w:lvl w:ilvl="6" w:tplc="FE024918">
      <w:numFmt w:val="bullet"/>
      <w:lvlText w:val="•"/>
      <w:lvlJc w:val="left"/>
      <w:pPr>
        <w:ind w:left="1626" w:hanging="202"/>
      </w:pPr>
      <w:rPr>
        <w:rFonts w:hint="default"/>
        <w:lang w:val="en-AU" w:eastAsia="en-AU" w:bidi="en-AU"/>
      </w:rPr>
    </w:lvl>
    <w:lvl w:ilvl="7" w:tplc="81E6D26A">
      <w:numFmt w:val="bullet"/>
      <w:lvlText w:val="•"/>
      <w:lvlJc w:val="left"/>
      <w:pPr>
        <w:ind w:left="1837" w:hanging="202"/>
      </w:pPr>
      <w:rPr>
        <w:rFonts w:hint="default"/>
        <w:lang w:val="en-AU" w:eastAsia="en-AU" w:bidi="en-AU"/>
      </w:rPr>
    </w:lvl>
    <w:lvl w:ilvl="8" w:tplc="C88053DA">
      <w:numFmt w:val="bullet"/>
      <w:lvlText w:val="•"/>
      <w:lvlJc w:val="left"/>
      <w:pPr>
        <w:ind w:left="2048" w:hanging="202"/>
      </w:pPr>
      <w:rPr>
        <w:rFonts w:hint="default"/>
        <w:lang w:val="en-AU" w:eastAsia="en-AU" w:bidi="en-AU"/>
      </w:rPr>
    </w:lvl>
  </w:abstractNum>
  <w:abstractNum w:abstractNumId="26" w15:restartNumberingAfterBreak="0">
    <w:nsid w:val="5DC77000"/>
    <w:multiLevelType w:val="hybridMultilevel"/>
    <w:tmpl w:val="39221EF4"/>
    <w:lvl w:ilvl="0" w:tplc="D84C6186">
      <w:start w:val="1"/>
      <w:numFmt w:val="decimal"/>
      <w:lvlText w:val="%1."/>
      <w:lvlJc w:val="left"/>
      <w:pPr>
        <w:ind w:left="720" w:hanging="360"/>
      </w:pPr>
      <w:rPr>
        <w:rFonts w:asciiTheme="minorHAnsi" w:hAnsiTheme="minorHAnsi" w:cstheme="minorHAnsi" w:hint="default"/>
        <w:b w:val="0"/>
        <w:i w:val="0"/>
        <w:color w:val="auto"/>
      </w:rPr>
    </w:lvl>
    <w:lvl w:ilvl="1" w:tplc="A358EB94">
      <w:start w:val="1"/>
      <w:numFmt w:val="lowerLetter"/>
      <w:lvlText w:val="(%2)"/>
      <w:lvlJc w:val="left"/>
      <w:pPr>
        <w:ind w:left="1232" w:hanging="360"/>
      </w:pPr>
      <w:rPr>
        <w:rFonts w:hint="default"/>
        <w:i w:val="0"/>
      </w:rPr>
    </w:lvl>
    <w:lvl w:ilvl="2" w:tplc="3934E8A2">
      <w:start w:val="3"/>
      <w:numFmt w:val="bullet"/>
      <w:lvlText w:val="-"/>
      <w:lvlJc w:val="left"/>
      <w:pPr>
        <w:ind w:left="1952" w:hanging="180"/>
      </w:pPr>
      <w:rPr>
        <w:rFonts w:ascii="Times New Roman" w:eastAsia="Times New Roman" w:hAnsi="Times New Roman" w:hint="default"/>
      </w:rPr>
    </w:lvl>
    <w:lvl w:ilvl="3" w:tplc="0C09000F" w:tentative="1">
      <w:start w:val="1"/>
      <w:numFmt w:val="decimal"/>
      <w:lvlText w:val="%4."/>
      <w:lvlJc w:val="left"/>
      <w:pPr>
        <w:ind w:left="2672" w:hanging="360"/>
      </w:pPr>
    </w:lvl>
    <w:lvl w:ilvl="4" w:tplc="0C090019" w:tentative="1">
      <w:start w:val="1"/>
      <w:numFmt w:val="lowerLetter"/>
      <w:lvlText w:val="%5."/>
      <w:lvlJc w:val="left"/>
      <w:pPr>
        <w:ind w:left="3392" w:hanging="360"/>
      </w:pPr>
    </w:lvl>
    <w:lvl w:ilvl="5" w:tplc="0C09001B" w:tentative="1">
      <w:start w:val="1"/>
      <w:numFmt w:val="lowerRoman"/>
      <w:lvlText w:val="%6."/>
      <w:lvlJc w:val="right"/>
      <w:pPr>
        <w:ind w:left="4112" w:hanging="180"/>
      </w:pPr>
    </w:lvl>
    <w:lvl w:ilvl="6" w:tplc="0C09000F" w:tentative="1">
      <w:start w:val="1"/>
      <w:numFmt w:val="decimal"/>
      <w:lvlText w:val="%7."/>
      <w:lvlJc w:val="left"/>
      <w:pPr>
        <w:ind w:left="4832" w:hanging="360"/>
      </w:pPr>
    </w:lvl>
    <w:lvl w:ilvl="7" w:tplc="0C090019" w:tentative="1">
      <w:start w:val="1"/>
      <w:numFmt w:val="lowerLetter"/>
      <w:lvlText w:val="%8."/>
      <w:lvlJc w:val="left"/>
      <w:pPr>
        <w:ind w:left="5552" w:hanging="360"/>
      </w:pPr>
    </w:lvl>
    <w:lvl w:ilvl="8" w:tplc="0C09001B" w:tentative="1">
      <w:start w:val="1"/>
      <w:numFmt w:val="lowerRoman"/>
      <w:lvlText w:val="%9."/>
      <w:lvlJc w:val="right"/>
      <w:pPr>
        <w:ind w:left="6272" w:hanging="180"/>
      </w:pPr>
    </w:lvl>
  </w:abstractNum>
  <w:abstractNum w:abstractNumId="27" w15:restartNumberingAfterBreak="0">
    <w:nsid w:val="6031013D"/>
    <w:multiLevelType w:val="hybridMultilevel"/>
    <w:tmpl w:val="46C2DAB4"/>
    <w:lvl w:ilvl="0" w:tplc="B5C83398">
      <w:numFmt w:val="bullet"/>
      <w:lvlText w:val="•"/>
      <w:lvlJc w:val="left"/>
      <w:pPr>
        <w:ind w:left="378" w:hanging="274"/>
      </w:pPr>
      <w:rPr>
        <w:rFonts w:ascii="Calibri" w:eastAsia="Calibri" w:hAnsi="Calibri" w:cs="Calibri" w:hint="default"/>
        <w:w w:val="101"/>
        <w:sz w:val="18"/>
        <w:szCs w:val="18"/>
        <w:lang w:val="en-AU" w:eastAsia="en-AU" w:bidi="en-AU"/>
      </w:rPr>
    </w:lvl>
    <w:lvl w:ilvl="1" w:tplc="C84E02C0">
      <w:numFmt w:val="bullet"/>
      <w:lvlText w:val="•"/>
      <w:lvlJc w:val="left"/>
      <w:pPr>
        <w:ind w:left="638" w:hanging="274"/>
      </w:pPr>
      <w:rPr>
        <w:rFonts w:hint="default"/>
        <w:lang w:val="en-AU" w:eastAsia="en-AU" w:bidi="en-AU"/>
      </w:rPr>
    </w:lvl>
    <w:lvl w:ilvl="2" w:tplc="C9CC43CC">
      <w:numFmt w:val="bullet"/>
      <w:lvlText w:val="•"/>
      <w:lvlJc w:val="left"/>
      <w:pPr>
        <w:ind w:left="897" w:hanging="274"/>
      </w:pPr>
      <w:rPr>
        <w:rFonts w:hint="default"/>
        <w:lang w:val="en-AU" w:eastAsia="en-AU" w:bidi="en-AU"/>
      </w:rPr>
    </w:lvl>
    <w:lvl w:ilvl="3" w:tplc="73EA3D9E">
      <w:numFmt w:val="bullet"/>
      <w:lvlText w:val="•"/>
      <w:lvlJc w:val="left"/>
      <w:pPr>
        <w:ind w:left="1156" w:hanging="274"/>
      </w:pPr>
      <w:rPr>
        <w:rFonts w:hint="default"/>
        <w:lang w:val="en-AU" w:eastAsia="en-AU" w:bidi="en-AU"/>
      </w:rPr>
    </w:lvl>
    <w:lvl w:ilvl="4" w:tplc="36EA1F1E">
      <w:numFmt w:val="bullet"/>
      <w:lvlText w:val="•"/>
      <w:lvlJc w:val="left"/>
      <w:pPr>
        <w:ind w:left="1414" w:hanging="274"/>
      </w:pPr>
      <w:rPr>
        <w:rFonts w:hint="default"/>
        <w:lang w:val="en-AU" w:eastAsia="en-AU" w:bidi="en-AU"/>
      </w:rPr>
    </w:lvl>
    <w:lvl w:ilvl="5" w:tplc="3B7463B2">
      <w:numFmt w:val="bullet"/>
      <w:lvlText w:val="•"/>
      <w:lvlJc w:val="left"/>
      <w:pPr>
        <w:ind w:left="1673" w:hanging="274"/>
      </w:pPr>
      <w:rPr>
        <w:rFonts w:hint="default"/>
        <w:lang w:val="en-AU" w:eastAsia="en-AU" w:bidi="en-AU"/>
      </w:rPr>
    </w:lvl>
    <w:lvl w:ilvl="6" w:tplc="2982D10A">
      <w:numFmt w:val="bullet"/>
      <w:lvlText w:val="•"/>
      <w:lvlJc w:val="left"/>
      <w:pPr>
        <w:ind w:left="1932" w:hanging="274"/>
      </w:pPr>
      <w:rPr>
        <w:rFonts w:hint="default"/>
        <w:lang w:val="en-AU" w:eastAsia="en-AU" w:bidi="en-AU"/>
      </w:rPr>
    </w:lvl>
    <w:lvl w:ilvl="7" w:tplc="1A404E44">
      <w:numFmt w:val="bullet"/>
      <w:lvlText w:val="•"/>
      <w:lvlJc w:val="left"/>
      <w:pPr>
        <w:ind w:left="2190" w:hanging="274"/>
      </w:pPr>
      <w:rPr>
        <w:rFonts w:hint="default"/>
        <w:lang w:val="en-AU" w:eastAsia="en-AU" w:bidi="en-AU"/>
      </w:rPr>
    </w:lvl>
    <w:lvl w:ilvl="8" w:tplc="1CC62D04">
      <w:numFmt w:val="bullet"/>
      <w:lvlText w:val="•"/>
      <w:lvlJc w:val="left"/>
      <w:pPr>
        <w:ind w:left="2449" w:hanging="274"/>
      </w:pPr>
      <w:rPr>
        <w:rFonts w:hint="default"/>
        <w:lang w:val="en-AU" w:eastAsia="en-AU" w:bidi="en-AU"/>
      </w:rPr>
    </w:lvl>
  </w:abstractNum>
  <w:abstractNum w:abstractNumId="28" w15:restartNumberingAfterBreak="0">
    <w:nsid w:val="696C21C8"/>
    <w:multiLevelType w:val="hybridMultilevel"/>
    <w:tmpl w:val="769CAEAE"/>
    <w:lvl w:ilvl="0" w:tplc="C8AAD550">
      <w:numFmt w:val="bullet"/>
      <w:lvlText w:val=""/>
      <w:lvlJc w:val="left"/>
      <w:pPr>
        <w:ind w:left="405" w:hanging="284"/>
      </w:pPr>
      <w:rPr>
        <w:rFonts w:ascii="Symbol" w:eastAsia="Symbol" w:hAnsi="Symbol" w:cs="Symbol" w:hint="default"/>
        <w:w w:val="101"/>
        <w:sz w:val="18"/>
        <w:szCs w:val="18"/>
        <w:lang w:val="en-AU" w:eastAsia="en-AU" w:bidi="en-AU"/>
      </w:rPr>
    </w:lvl>
    <w:lvl w:ilvl="1" w:tplc="1DEA1B64">
      <w:numFmt w:val="bullet"/>
      <w:lvlText w:val="•"/>
      <w:lvlJc w:val="left"/>
      <w:pPr>
        <w:ind w:left="607" w:hanging="284"/>
      </w:pPr>
      <w:rPr>
        <w:rFonts w:hint="default"/>
        <w:lang w:val="en-AU" w:eastAsia="en-AU" w:bidi="en-AU"/>
      </w:rPr>
    </w:lvl>
    <w:lvl w:ilvl="2" w:tplc="180E3A0C">
      <w:numFmt w:val="bullet"/>
      <w:lvlText w:val="•"/>
      <w:lvlJc w:val="left"/>
      <w:pPr>
        <w:ind w:left="815" w:hanging="284"/>
      </w:pPr>
      <w:rPr>
        <w:rFonts w:hint="default"/>
        <w:lang w:val="en-AU" w:eastAsia="en-AU" w:bidi="en-AU"/>
      </w:rPr>
    </w:lvl>
    <w:lvl w:ilvl="3" w:tplc="56881A52">
      <w:numFmt w:val="bullet"/>
      <w:lvlText w:val="•"/>
      <w:lvlJc w:val="left"/>
      <w:pPr>
        <w:ind w:left="1023" w:hanging="284"/>
      </w:pPr>
      <w:rPr>
        <w:rFonts w:hint="default"/>
        <w:lang w:val="en-AU" w:eastAsia="en-AU" w:bidi="en-AU"/>
      </w:rPr>
    </w:lvl>
    <w:lvl w:ilvl="4" w:tplc="3A928236">
      <w:numFmt w:val="bullet"/>
      <w:lvlText w:val="•"/>
      <w:lvlJc w:val="left"/>
      <w:pPr>
        <w:ind w:left="1231" w:hanging="284"/>
      </w:pPr>
      <w:rPr>
        <w:rFonts w:hint="default"/>
        <w:lang w:val="en-AU" w:eastAsia="en-AU" w:bidi="en-AU"/>
      </w:rPr>
    </w:lvl>
    <w:lvl w:ilvl="5" w:tplc="D83E56E4">
      <w:numFmt w:val="bullet"/>
      <w:lvlText w:val="•"/>
      <w:lvlJc w:val="left"/>
      <w:pPr>
        <w:ind w:left="1439" w:hanging="284"/>
      </w:pPr>
      <w:rPr>
        <w:rFonts w:hint="default"/>
        <w:lang w:val="en-AU" w:eastAsia="en-AU" w:bidi="en-AU"/>
      </w:rPr>
    </w:lvl>
    <w:lvl w:ilvl="6" w:tplc="DB0876B4">
      <w:numFmt w:val="bullet"/>
      <w:lvlText w:val="•"/>
      <w:lvlJc w:val="left"/>
      <w:pPr>
        <w:ind w:left="1646" w:hanging="284"/>
      </w:pPr>
      <w:rPr>
        <w:rFonts w:hint="default"/>
        <w:lang w:val="en-AU" w:eastAsia="en-AU" w:bidi="en-AU"/>
      </w:rPr>
    </w:lvl>
    <w:lvl w:ilvl="7" w:tplc="7B40CD1A">
      <w:numFmt w:val="bullet"/>
      <w:lvlText w:val="•"/>
      <w:lvlJc w:val="left"/>
      <w:pPr>
        <w:ind w:left="1854" w:hanging="284"/>
      </w:pPr>
      <w:rPr>
        <w:rFonts w:hint="default"/>
        <w:lang w:val="en-AU" w:eastAsia="en-AU" w:bidi="en-AU"/>
      </w:rPr>
    </w:lvl>
    <w:lvl w:ilvl="8" w:tplc="1DB88C96">
      <w:numFmt w:val="bullet"/>
      <w:lvlText w:val="•"/>
      <w:lvlJc w:val="left"/>
      <w:pPr>
        <w:ind w:left="2062" w:hanging="284"/>
      </w:pPr>
      <w:rPr>
        <w:rFonts w:hint="default"/>
        <w:lang w:val="en-AU" w:eastAsia="en-AU" w:bidi="en-AU"/>
      </w:rPr>
    </w:lvl>
  </w:abstractNum>
  <w:abstractNum w:abstractNumId="29" w15:restartNumberingAfterBreak="0">
    <w:nsid w:val="6E837327"/>
    <w:multiLevelType w:val="hybridMultilevel"/>
    <w:tmpl w:val="F086DB5E"/>
    <w:lvl w:ilvl="0" w:tplc="37D40D2A">
      <w:numFmt w:val="bullet"/>
      <w:lvlText w:val=""/>
      <w:lvlJc w:val="left"/>
      <w:pPr>
        <w:ind w:left="470" w:hanging="361"/>
      </w:pPr>
      <w:rPr>
        <w:rFonts w:ascii="Symbol" w:eastAsia="Symbol" w:hAnsi="Symbol" w:cs="Symbol" w:hint="default"/>
        <w:w w:val="101"/>
        <w:sz w:val="18"/>
        <w:szCs w:val="18"/>
        <w:lang w:val="en-AU" w:eastAsia="en-AU" w:bidi="en-AU"/>
      </w:rPr>
    </w:lvl>
    <w:lvl w:ilvl="1" w:tplc="77BE272C">
      <w:numFmt w:val="bullet"/>
      <w:lvlText w:val="•"/>
      <w:lvlJc w:val="left"/>
      <w:pPr>
        <w:ind w:left="776" w:hanging="361"/>
      </w:pPr>
      <w:rPr>
        <w:rFonts w:hint="default"/>
        <w:lang w:val="en-AU" w:eastAsia="en-AU" w:bidi="en-AU"/>
      </w:rPr>
    </w:lvl>
    <w:lvl w:ilvl="2" w:tplc="4372F032">
      <w:numFmt w:val="bullet"/>
      <w:lvlText w:val="•"/>
      <w:lvlJc w:val="left"/>
      <w:pPr>
        <w:ind w:left="1073" w:hanging="361"/>
      </w:pPr>
      <w:rPr>
        <w:rFonts w:hint="default"/>
        <w:lang w:val="en-AU" w:eastAsia="en-AU" w:bidi="en-AU"/>
      </w:rPr>
    </w:lvl>
    <w:lvl w:ilvl="3" w:tplc="54CCACDC">
      <w:numFmt w:val="bullet"/>
      <w:lvlText w:val="•"/>
      <w:lvlJc w:val="left"/>
      <w:pPr>
        <w:ind w:left="1370" w:hanging="361"/>
      </w:pPr>
      <w:rPr>
        <w:rFonts w:hint="default"/>
        <w:lang w:val="en-AU" w:eastAsia="en-AU" w:bidi="en-AU"/>
      </w:rPr>
    </w:lvl>
    <w:lvl w:ilvl="4" w:tplc="23028E74">
      <w:numFmt w:val="bullet"/>
      <w:lvlText w:val="•"/>
      <w:lvlJc w:val="left"/>
      <w:pPr>
        <w:ind w:left="1667" w:hanging="361"/>
      </w:pPr>
      <w:rPr>
        <w:rFonts w:hint="default"/>
        <w:lang w:val="en-AU" w:eastAsia="en-AU" w:bidi="en-AU"/>
      </w:rPr>
    </w:lvl>
    <w:lvl w:ilvl="5" w:tplc="8060684A">
      <w:numFmt w:val="bullet"/>
      <w:lvlText w:val="•"/>
      <w:lvlJc w:val="left"/>
      <w:pPr>
        <w:ind w:left="1964" w:hanging="361"/>
      </w:pPr>
      <w:rPr>
        <w:rFonts w:hint="default"/>
        <w:lang w:val="en-AU" w:eastAsia="en-AU" w:bidi="en-AU"/>
      </w:rPr>
    </w:lvl>
    <w:lvl w:ilvl="6" w:tplc="79DA2606">
      <w:numFmt w:val="bullet"/>
      <w:lvlText w:val="•"/>
      <w:lvlJc w:val="left"/>
      <w:pPr>
        <w:ind w:left="2260" w:hanging="361"/>
      </w:pPr>
      <w:rPr>
        <w:rFonts w:hint="default"/>
        <w:lang w:val="en-AU" w:eastAsia="en-AU" w:bidi="en-AU"/>
      </w:rPr>
    </w:lvl>
    <w:lvl w:ilvl="7" w:tplc="401CDA20">
      <w:numFmt w:val="bullet"/>
      <w:lvlText w:val="•"/>
      <w:lvlJc w:val="left"/>
      <w:pPr>
        <w:ind w:left="2557" w:hanging="361"/>
      </w:pPr>
      <w:rPr>
        <w:rFonts w:hint="default"/>
        <w:lang w:val="en-AU" w:eastAsia="en-AU" w:bidi="en-AU"/>
      </w:rPr>
    </w:lvl>
    <w:lvl w:ilvl="8" w:tplc="86B8AA52">
      <w:numFmt w:val="bullet"/>
      <w:lvlText w:val="•"/>
      <w:lvlJc w:val="left"/>
      <w:pPr>
        <w:ind w:left="2854" w:hanging="361"/>
      </w:pPr>
      <w:rPr>
        <w:rFonts w:hint="default"/>
        <w:lang w:val="en-AU" w:eastAsia="en-AU" w:bidi="en-AU"/>
      </w:rPr>
    </w:lvl>
  </w:abstractNum>
  <w:abstractNum w:abstractNumId="30" w15:restartNumberingAfterBreak="0">
    <w:nsid w:val="6F12595F"/>
    <w:multiLevelType w:val="hybridMultilevel"/>
    <w:tmpl w:val="CF769540"/>
    <w:lvl w:ilvl="0" w:tplc="594070C4">
      <w:numFmt w:val="bullet"/>
      <w:lvlText w:val=""/>
      <w:lvlJc w:val="left"/>
      <w:pPr>
        <w:ind w:left="1408" w:hanging="361"/>
      </w:pPr>
      <w:rPr>
        <w:rFonts w:hint="default"/>
        <w:w w:val="100"/>
        <w:lang w:val="en-AU" w:eastAsia="en-AU" w:bidi="en-AU"/>
      </w:rPr>
    </w:lvl>
    <w:lvl w:ilvl="1" w:tplc="963CE018">
      <w:numFmt w:val="bullet"/>
      <w:lvlText w:val="•"/>
      <w:lvlJc w:val="left"/>
      <w:pPr>
        <w:ind w:left="2304" w:hanging="361"/>
      </w:pPr>
      <w:rPr>
        <w:rFonts w:hint="default"/>
        <w:lang w:val="en-AU" w:eastAsia="en-AU" w:bidi="en-AU"/>
      </w:rPr>
    </w:lvl>
    <w:lvl w:ilvl="2" w:tplc="B428F300">
      <w:numFmt w:val="bullet"/>
      <w:lvlText w:val="•"/>
      <w:lvlJc w:val="left"/>
      <w:pPr>
        <w:ind w:left="3208" w:hanging="361"/>
      </w:pPr>
      <w:rPr>
        <w:rFonts w:hint="default"/>
        <w:lang w:val="en-AU" w:eastAsia="en-AU" w:bidi="en-AU"/>
      </w:rPr>
    </w:lvl>
    <w:lvl w:ilvl="3" w:tplc="F190C334">
      <w:numFmt w:val="bullet"/>
      <w:lvlText w:val="•"/>
      <w:lvlJc w:val="left"/>
      <w:pPr>
        <w:ind w:left="4113" w:hanging="361"/>
      </w:pPr>
      <w:rPr>
        <w:rFonts w:hint="default"/>
        <w:lang w:val="en-AU" w:eastAsia="en-AU" w:bidi="en-AU"/>
      </w:rPr>
    </w:lvl>
    <w:lvl w:ilvl="4" w:tplc="438012DA">
      <w:numFmt w:val="bullet"/>
      <w:lvlText w:val="•"/>
      <w:lvlJc w:val="left"/>
      <w:pPr>
        <w:ind w:left="5017" w:hanging="361"/>
      </w:pPr>
      <w:rPr>
        <w:rFonts w:hint="default"/>
        <w:lang w:val="en-AU" w:eastAsia="en-AU" w:bidi="en-AU"/>
      </w:rPr>
    </w:lvl>
    <w:lvl w:ilvl="5" w:tplc="7CD44E4A">
      <w:numFmt w:val="bullet"/>
      <w:lvlText w:val="•"/>
      <w:lvlJc w:val="left"/>
      <w:pPr>
        <w:ind w:left="5922" w:hanging="361"/>
      </w:pPr>
      <w:rPr>
        <w:rFonts w:hint="default"/>
        <w:lang w:val="en-AU" w:eastAsia="en-AU" w:bidi="en-AU"/>
      </w:rPr>
    </w:lvl>
    <w:lvl w:ilvl="6" w:tplc="D32E1526">
      <w:numFmt w:val="bullet"/>
      <w:lvlText w:val="•"/>
      <w:lvlJc w:val="left"/>
      <w:pPr>
        <w:ind w:left="6826" w:hanging="361"/>
      </w:pPr>
      <w:rPr>
        <w:rFonts w:hint="default"/>
        <w:lang w:val="en-AU" w:eastAsia="en-AU" w:bidi="en-AU"/>
      </w:rPr>
    </w:lvl>
    <w:lvl w:ilvl="7" w:tplc="B4DC0978">
      <w:numFmt w:val="bullet"/>
      <w:lvlText w:val="•"/>
      <w:lvlJc w:val="left"/>
      <w:pPr>
        <w:ind w:left="7730" w:hanging="361"/>
      </w:pPr>
      <w:rPr>
        <w:rFonts w:hint="default"/>
        <w:lang w:val="en-AU" w:eastAsia="en-AU" w:bidi="en-AU"/>
      </w:rPr>
    </w:lvl>
    <w:lvl w:ilvl="8" w:tplc="AE6627A4">
      <w:numFmt w:val="bullet"/>
      <w:lvlText w:val="•"/>
      <w:lvlJc w:val="left"/>
      <w:pPr>
        <w:ind w:left="8635" w:hanging="361"/>
      </w:pPr>
      <w:rPr>
        <w:rFonts w:hint="default"/>
        <w:lang w:val="en-AU" w:eastAsia="en-AU" w:bidi="en-AU"/>
      </w:rPr>
    </w:lvl>
  </w:abstractNum>
  <w:abstractNum w:abstractNumId="31" w15:restartNumberingAfterBreak="0">
    <w:nsid w:val="70FE2216"/>
    <w:multiLevelType w:val="hybridMultilevel"/>
    <w:tmpl w:val="9DE87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18539C0"/>
    <w:multiLevelType w:val="hybridMultilevel"/>
    <w:tmpl w:val="287A266C"/>
    <w:lvl w:ilvl="0" w:tplc="6D4EC318">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22100"/>
    <w:multiLevelType w:val="hybridMultilevel"/>
    <w:tmpl w:val="6464C80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63B7B99"/>
    <w:multiLevelType w:val="hybridMultilevel"/>
    <w:tmpl w:val="C3EA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4443C1"/>
    <w:multiLevelType w:val="hybridMultilevel"/>
    <w:tmpl w:val="2AC08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DA6240C"/>
    <w:multiLevelType w:val="hybridMultilevel"/>
    <w:tmpl w:val="4B0CA08A"/>
    <w:lvl w:ilvl="0" w:tplc="78B8C12C">
      <w:start w:val="1"/>
      <w:numFmt w:val="lowerLetter"/>
      <w:lvlText w:val="%1)"/>
      <w:lvlJc w:val="left"/>
      <w:pPr>
        <w:ind w:left="1384" w:hanging="361"/>
      </w:pPr>
      <w:rPr>
        <w:rFonts w:ascii="Calibri" w:eastAsia="Calibri" w:hAnsi="Calibri" w:cs="Calibri" w:hint="default"/>
        <w:spacing w:val="-1"/>
        <w:w w:val="100"/>
        <w:sz w:val="22"/>
        <w:szCs w:val="22"/>
        <w:lang w:val="en-AU" w:eastAsia="en-AU" w:bidi="en-AU"/>
      </w:rPr>
    </w:lvl>
    <w:lvl w:ilvl="1" w:tplc="66706360">
      <w:numFmt w:val="bullet"/>
      <w:lvlText w:val="•"/>
      <w:lvlJc w:val="left"/>
      <w:pPr>
        <w:ind w:left="2286" w:hanging="361"/>
      </w:pPr>
      <w:rPr>
        <w:rFonts w:hint="default"/>
        <w:lang w:val="en-AU" w:eastAsia="en-AU" w:bidi="en-AU"/>
      </w:rPr>
    </w:lvl>
    <w:lvl w:ilvl="2" w:tplc="B094911C">
      <w:numFmt w:val="bullet"/>
      <w:lvlText w:val="•"/>
      <w:lvlJc w:val="left"/>
      <w:pPr>
        <w:ind w:left="3192" w:hanging="361"/>
      </w:pPr>
      <w:rPr>
        <w:rFonts w:hint="default"/>
        <w:lang w:val="en-AU" w:eastAsia="en-AU" w:bidi="en-AU"/>
      </w:rPr>
    </w:lvl>
    <w:lvl w:ilvl="3" w:tplc="5AD4EE00">
      <w:numFmt w:val="bullet"/>
      <w:lvlText w:val="•"/>
      <w:lvlJc w:val="left"/>
      <w:pPr>
        <w:ind w:left="4099" w:hanging="361"/>
      </w:pPr>
      <w:rPr>
        <w:rFonts w:hint="default"/>
        <w:lang w:val="en-AU" w:eastAsia="en-AU" w:bidi="en-AU"/>
      </w:rPr>
    </w:lvl>
    <w:lvl w:ilvl="4" w:tplc="28247438">
      <w:numFmt w:val="bullet"/>
      <w:lvlText w:val="•"/>
      <w:lvlJc w:val="left"/>
      <w:pPr>
        <w:ind w:left="5005" w:hanging="361"/>
      </w:pPr>
      <w:rPr>
        <w:rFonts w:hint="default"/>
        <w:lang w:val="en-AU" w:eastAsia="en-AU" w:bidi="en-AU"/>
      </w:rPr>
    </w:lvl>
    <w:lvl w:ilvl="5" w:tplc="0472E8D6">
      <w:numFmt w:val="bullet"/>
      <w:lvlText w:val="•"/>
      <w:lvlJc w:val="left"/>
      <w:pPr>
        <w:ind w:left="5912" w:hanging="361"/>
      </w:pPr>
      <w:rPr>
        <w:rFonts w:hint="default"/>
        <w:lang w:val="en-AU" w:eastAsia="en-AU" w:bidi="en-AU"/>
      </w:rPr>
    </w:lvl>
    <w:lvl w:ilvl="6" w:tplc="0DAC01C4">
      <w:numFmt w:val="bullet"/>
      <w:lvlText w:val="•"/>
      <w:lvlJc w:val="left"/>
      <w:pPr>
        <w:ind w:left="6818" w:hanging="361"/>
      </w:pPr>
      <w:rPr>
        <w:rFonts w:hint="default"/>
        <w:lang w:val="en-AU" w:eastAsia="en-AU" w:bidi="en-AU"/>
      </w:rPr>
    </w:lvl>
    <w:lvl w:ilvl="7" w:tplc="2A985F40">
      <w:numFmt w:val="bullet"/>
      <w:lvlText w:val="•"/>
      <w:lvlJc w:val="left"/>
      <w:pPr>
        <w:ind w:left="7724" w:hanging="361"/>
      </w:pPr>
      <w:rPr>
        <w:rFonts w:hint="default"/>
        <w:lang w:val="en-AU" w:eastAsia="en-AU" w:bidi="en-AU"/>
      </w:rPr>
    </w:lvl>
    <w:lvl w:ilvl="8" w:tplc="9B045EA2">
      <w:numFmt w:val="bullet"/>
      <w:lvlText w:val="•"/>
      <w:lvlJc w:val="left"/>
      <w:pPr>
        <w:ind w:left="8631" w:hanging="361"/>
      </w:pPr>
      <w:rPr>
        <w:rFonts w:hint="default"/>
        <w:lang w:val="en-AU" w:eastAsia="en-AU" w:bidi="en-AU"/>
      </w:rPr>
    </w:lvl>
  </w:abstractNum>
  <w:num w:numId="1">
    <w:abstractNumId w:val="9"/>
  </w:num>
  <w:num w:numId="2">
    <w:abstractNumId w:val="27"/>
  </w:num>
  <w:num w:numId="3">
    <w:abstractNumId w:val="15"/>
  </w:num>
  <w:num w:numId="4">
    <w:abstractNumId w:val="29"/>
  </w:num>
  <w:num w:numId="5">
    <w:abstractNumId w:val="21"/>
  </w:num>
  <w:num w:numId="6">
    <w:abstractNumId w:val="25"/>
  </w:num>
  <w:num w:numId="7">
    <w:abstractNumId w:val="11"/>
  </w:num>
  <w:num w:numId="8">
    <w:abstractNumId w:val="28"/>
  </w:num>
  <w:num w:numId="9">
    <w:abstractNumId w:val="0"/>
  </w:num>
  <w:num w:numId="10">
    <w:abstractNumId w:val="36"/>
  </w:num>
  <w:num w:numId="11">
    <w:abstractNumId w:val="30"/>
  </w:num>
  <w:num w:numId="12">
    <w:abstractNumId w:val="3"/>
  </w:num>
  <w:num w:numId="13">
    <w:abstractNumId w:val="13"/>
  </w:num>
  <w:num w:numId="14">
    <w:abstractNumId w:val="33"/>
  </w:num>
  <w:num w:numId="15">
    <w:abstractNumId w:val="8"/>
  </w:num>
  <w:num w:numId="16">
    <w:abstractNumId w:val="35"/>
  </w:num>
  <w:num w:numId="17">
    <w:abstractNumId w:val="20"/>
  </w:num>
  <w:num w:numId="18">
    <w:abstractNumId w:val="32"/>
  </w:num>
  <w:num w:numId="19">
    <w:abstractNumId w:val="23"/>
  </w:num>
  <w:num w:numId="20">
    <w:abstractNumId w:val="19"/>
  </w:num>
  <w:num w:numId="21">
    <w:abstractNumId w:val="12"/>
  </w:num>
  <w:num w:numId="22">
    <w:abstractNumId w:val="34"/>
  </w:num>
  <w:num w:numId="23">
    <w:abstractNumId w:val="12"/>
  </w:num>
  <w:num w:numId="24">
    <w:abstractNumId w:val="10"/>
  </w:num>
  <w:num w:numId="25">
    <w:abstractNumId w:val="6"/>
  </w:num>
  <w:num w:numId="26">
    <w:abstractNumId w:val="18"/>
  </w:num>
  <w:num w:numId="27">
    <w:abstractNumId w:val="2"/>
  </w:num>
  <w:num w:numId="28">
    <w:abstractNumId w:val="5"/>
  </w:num>
  <w:num w:numId="29">
    <w:abstractNumId w:val="17"/>
  </w:num>
  <w:num w:numId="30">
    <w:abstractNumId w:val="31"/>
  </w:num>
  <w:num w:numId="31">
    <w:abstractNumId w:val="16"/>
  </w:num>
  <w:num w:numId="32">
    <w:abstractNumId w:val="14"/>
  </w:num>
  <w:num w:numId="33">
    <w:abstractNumId w:val="4"/>
  </w:num>
  <w:num w:numId="34">
    <w:abstractNumId w:val="22"/>
  </w:num>
  <w:num w:numId="35">
    <w:abstractNumId w:val="1"/>
  </w:num>
  <w:num w:numId="36">
    <w:abstractNumId w:val="24"/>
  </w:num>
  <w:num w:numId="37">
    <w:abstractNumId w:val="2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0E"/>
    <w:rsid w:val="00010685"/>
    <w:rsid w:val="00013EBE"/>
    <w:rsid w:val="00020CCF"/>
    <w:rsid w:val="00027612"/>
    <w:rsid w:val="00037477"/>
    <w:rsid w:val="0004292F"/>
    <w:rsid w:val="00043112"/>
    <w:rsid w:val="00047874"/>
    <w:rsid w:val="00055C4C"/>
    <w:rsid w:val="00070A5D"/>
    <w:rsid w:val="00091DE3"/>
    <w:rsid w:val="000962D1"/>
    <w:rsid w:val="000966D2"/>
    <w:rsid w:val="0009690D"/>
    <w:rsid w:val="000A087F"/>
    <w:rsid w:val="000B1738"/>
    <w:rsid w:val="000B1B08"/>
    <w:rsid w:val="000B3F0B"/>
    <w:rsid w:val="000D0FC6"/>
    <w:rsid w:val="000D3AE3"/>
    <w:rsid w:val="000E1652"/>
    <w:rsid w:val="000F0E38"/>
    <w:rsid w:val="000F2808"/>
    <w:rsid w:val="00105B48"/>
    <w:rsid w:val="0012508E"/>
    <w:rsid w:val="0013649A"/>
    <w:rsid w:val="00142358"/>
    <w:rsid w:val="00151326"/>
    <w:rsid w:val="00155B78"/>
    <w:rsid w:val="00161A04"/>
    <w:rsid w:val="00166AE1"/>
    <w:rsid w:val="0017517B"/>
    <w:rsid w:val="00177CA4"/>
    <w:rsid w:val="00181B93"/>
    <w:rsid w:val="00182390"/>
    <w:rsid w:val="00185B7F"/>
    <w:rsid w:val="00191B81"/>
    <w:rsid w:val="0019287F"/>
    <w:rsid w:val="00197058"/>
    <w:rsid w:val="001B2A13"/>
    <w:rsid w:val="001B6A03"/>
    <w:rsid w:val="001C16D5"/>
    <w:rsid w:val="001C3196"/>
    <w:rsid w:val="001C5D48"/>
    <w:rsid w:val="001D5772"/>
    <w:rsid w:val="001D7F52"/>
    <w:rsid w:val="001E3D47"/>
    <w:rsid w:val="001E63B2"/>
    <w:rsid w:val="001F0904"/>
    <w:rsid w:val="00206A4B"/>
    <w:rsid w:val="00232AFC"/>
    <w:rsid w:val="00264A83"/>
    <w:rsid w:val="00267F7D"/>
    <w:rsid w:val="002736A4"/>
    <w:rsid w:val="00276869"/>
    <w:rsid w:val="00291A5C"/>
    <w:rsid w:val="00292F9A"/>
    <w:rsid w:val="00297375"/>
    <w:rsid w:val="00297534"/>
    <w:rsid w:val="002A51C7"/>
    <w:rsid w:val="002A7043"/>
    <w:rsid w:val="002C30C9"/>
    <w:rsid w:val="002C4B99"/>
    <w:rsid w:val="002D40A3"/>
    <w:rsid w:val="00305769"/>
    <w:rsid w:val="0030627F"/>
    <w:rsid w:val="0031729D"/>
    <w:rsid w:val="00321BC1"/>
    <w:rsid w:val="00330303"/>
    <w:rsid w:val="00331E41"/>
    <w:rsid w:val="00340521"/>
    <w:rsid w:val="00344393"/>
    <w:rsid w:val="003475EA"/>
    <w:rsid w:val="00362B94"/>
    <w:rsid w:val="003640E6"/>
    <w:rsid w:val="00366844"/>
    <w:rsid w:val="00366ABA"/>
    <w:rsid w:val="003672EC"/>
    <w:rsid w:val="00371A6F"/>
    <w:rsid w:val="0037722B"/>
    <w:rsid w:val="00382B8B"/>
    <w:rsid w:val="00395C56"/>
    <w:rsid w:val="00396C08"/>
    <w:rsid w:val="003A7425"/>
    <w:rsid w:val="003C03F2"/>
    <w:rsid w:val="003C3004"/>
    <w:rsid w:val="003C3D30"/>
    <w:rsid w:val="003C70EB"/>
    <w:rsid w:val="003E1F85"/>
    <w:rsid w:val="004006EE"/>
    <w:rsid w:val="00432F18"/>
    <w:rsid w:val="00445CB7"/>
    <w:rsid w:val="00450808"/>
    <w:rsid w:val="0045647F"/>
    <w:rsid w:val="00456765"/>
    <w:rsid w:val="00456A8C"/>
    <w:rsid w:val="00457AE2"/>
    <w:rsid w:val="00462D45"/>
    <w:rsid w:val="00463E06"/>
    <w:rsid w:val="00475778"/>
    <w:rsid w:val="00476815"/>
    <w:rsid w:val="00480445"/>
    <w:rsid w:val="00484C74"/>
    <w:rsid w:val="00485642"/>
    <w:rsid w:val="004861DA"/>
    <w:rsid w:val="00486346"/>
    <w:rsid w:val="00487283"/>
    <w:rsid w:val="00490417"/>
    <w:rsid w:val="004A274F"/>
    <w:rsid w:val="004A7D57"/>
    <w:rsid w:val="004C0942"/>
    <w:rsid w:val="004C3216"/>
    <w:rsid w:val="004D3F3A"/>
    <w:rsid w:val="004D5C81"/>
    <w:rsid w:val="004E07AF"/>
    <w:rsid w:val="004E2D82"/>
    <w:rsid w:val="00503D7A"/>
    <w:rsid w:val="00513403"/>
    <w:rsid w:val="005163DD"/>
    <w:rsid w:val="00522054"/>
    <w:rsid w:val="00525D81"/>
    <w:rsid w:val="00532697"/>
    <w:rsid w:val="0053321C"/>
    <w:rsid w:val="005471FA"/>
    <w:rsid w:val="00547336"/>
    <w:rsid w:val="0056643C"/>
    <w:rsid w:val="00574A28"/>
    <w:rsid w:val="00576FCC"/>
    <w:rsid w:val="005812BB"/>
    <w:rsid w:val="005918D3"/>
    <w:rsid w:val="005C508D"/>
    <w:rsid w:val="005C58C8"/>
    <w:rsid w:val="005D029B"/>
    <w:rsid w:val="005D269D"/>
    <w:rsid w:val="005E6F03"/>
    <w:rsid w:val="005F69D1"/>
    <w:rsid w:val="006129E0"/>
    <w:rsid w:val="006145AB"/>
    <w:rsid w:val="0062202B"/>
    <w:rsid w:val="00624CD9"/>
    <w:rsid w:val="00633CFF"/>
    <w:rsid w:val="00633DEE"/>
    <w:rsid w:val="00635AA9"/>
    <w:rsid w:val="0063655C"/>
    <w:rsid w:val="00641E01"/>
    <w:rsid w:val="00642AF7"/>
    <w:rsid w:val="00662DC6"/>
    <w:rsid w:val="0066461D"/>
    <w:rsid w:val="00686F19"/>
    <w:rsid w:val="006A302B"/>
    <w:rsid w:val="006D55AE"/>
    <w:rsid w:val="00703280"/>
    <w:rsid w:val="00711C59"/>
    <w:rsid w:val="007168E9"/>
    <w:rsid w:val="00716BEB"/>
    <w:rsid w:val="0071754A"/>
    <w:rsid w:val="00720735"/>
    <w:rsid w:val="0073360B"/>
    <w:rsid w:val="00746347"/>
    <w:rsid w:val="00756E54"/>
    <w:rsid w:val="00760452"/>
    <w:rsid w:val="0076408D"/>
    <w:rsid w:val="00782BA0"/>
    <w:rsid w:val="00785E8B"/>
    <w:rsid w:val="007A4479"/>
    <w:rsid w:val="007A745A"/>
    <w:rsid w:val="007D14AD"/>
    <w:rsid w:val="007D27B5"/>
    <w:rsid w:val="007D6610"/>
    <w:rsid w:val="007D78B5"/>
    <w:rsid w:val="007F3B85"/>
    <w:rsid w:val="00810DE8"/>
    <w:rsid w:val="008211AF"/>
    <w:rsid w:val="00822B3C"/>
    <w:rsid w:val="00844DBD"/>
    <w:rsid w:val="00855BA0"/>
    <w:rsid w:val="00873FB2"/>
    <w:rsid w:val="00885818"/>
    <w:rsid w:val="00887943"/>
    <w:rsid w:val="008942C2"/>
    <w:rsid w:val="008B55EA"/>
    <w:rsid w:val="008B6CD5"/>
    <w:rsid w:val="008C3E06"/>
    <w:rsid w:val="008D3373"/>
    <w:rsid w:val="008D47D8"/>
    <w:rsid w:val="008E1929"/>
    <w:rsid w:val="00906F33"/>
    <w:rsid w:val="009122A5"/>
    <w:rsid w:val="00943508"/>
    <w:rsid w:val="009437FB"/>
    <w:rsid w:val="009472B6"/>
    <w:rsid w:val="00947B06"/>
    <w:rsid w:val="00950276"/>
    <w:rsid w:val="00952C65"/>
    <w:rsid w:val="00962570"/>
    <w:rsid w:val="00974465"/>
    <w:rsid w:val="00974C94"/>
    <w:rsid w:val="009753AF"/>
    <w:rsid w:val="00981476"/>
    <w:rsid w:val="00987C09"/>
    <w:rsid w:val="009912B0"/>
    <w:rsid w:val="00997655"/>
    <w:rsid w:val="009A7CE2"/>
    <w:rsid w:val="009C2903"/>
    <w:rsid w:val="009C7305"/>
    <w:rsid w:val="009D291A"/>
    <w:rsid w:val="009D6CB1"/>
    <w:rsid w:val="00A06887"/>
    <w:rsid w:val="00A117AA"/>
    <w:rsid w:val="00A15E0B"/>
    <w:rsid w:val="00A15E80"/>
    <w:rsid w:val="00A31BC9"/>
    <w:rsid w:val="00A36579"/>
    <w:rsid w:val="00A44477"/>
    <w:rsid w:val="00A50EAA"/>
    <w:rsid w:val="00A53FD5"/>
    <w:rsid w:val="00A61FA8"/>
    <w:rsid w:val="00A6370A"/>
    <w:rsid w:val="00A838D6"/>
    <w:rsid w:val="00A84203"/>
    <w:rsid w:val="00A95D28"/>
    <w:rsid w:val="00AB77B6"/>
    <w:rsid w:val="00AC41FC"/>
    <w:rsid w:val="00AD0EB9"/>
    <w:rsid w:val="00AD1356"/>
    <w:rsid w:val="00AD20F2"/>
    <w:rsid w:val="00AD5D90"/>
    <w:rsid w:val="00AF3674"/>
    <w:rsid w:val="00B04C0A"/>
    <w:rsid w:val="00B236B8"/>
    <w:rsid w:val="00B25898"/>
    <w:rsid w:val="00B35A23"/>
    <w:rsid w:val="00B4590B"/>
    <w:rsid w:val="00B507AE"/>
    <w:rsid w:val="00B8054A"/>
    <w:rsid w:val="00B83F64"/>
    <w:rsid w:val="00BA7341"/>
    <w:rsid w:val="00BB6AA1"/>
    <w:rsid w:val="00BC1E05"/>
    <w:rsid w:val="00BC433F"/>
    <w:rsid w:val="00BD6117"/>
    <w:rsid w:val="00BE16BB"/>
    <w:rsid w:val="00BE225A"/>
    <w:rsid w:val="00BF2D03"/>
    <w:rsid w:val="00C27ED9"/>
    <w:rsid w:val="00C32711"/>
    <w:rsid w:val="00C41A4F"/>
    <w:rsid w:val="00C42F7F"/>
    <w:rsid w:val="00C44E77"/>
    <w:rsid w:val="00C44F3D"/>
    <w:rsid w:val="00C45F44"/>
    <w:rsid w:val="00C46EC9"/>
    <w:rsid w:val="00C64008"/>
    <w:rsid w:val="00C65400"/>
    <w:rsid w:val="00C745D3"/>
    <w:rsid w:val="00C850B7"/>
    <w:rsid w:val="00C90A4F"/>
    <w:rsid w:val="00C91591"/>
    <w:rsid w:val="00C92507"/>
    <w:rsid w:val="00C94E62"/>
    <w:rsid w:val="00C962FB"/>
    <w:rsid w:val="00C97352"/>
    <w:rsid w:val="00CA0A58"/>
    <w:rsid w:val="00CA75DF"/>
    <w:rsid w:val="00CB4B7E"/>
    <w:rsid w:val="00CB6431"/>
    <w:rsid w:val="00CC05EE"/>
    <w:rsid w:val="00CC51FD"/>
    <w:rsid w:val="00CC6E5E"/>
    <w:rsid w:val="00CD4521"/>
    <w:rsid w:val="00CE4B25"/>
    <w:rsid w:val="00CE61F2"/>
    <w:rsid w:val="00CF1C1E"/>
    <w:rsid w:val="00CF4201"/>
    <w:rsid w:val="00D017F6"/>
    <w:rsid w:val="00D11CE6"/>
    <w:rsid w:val="00D157EC"/>
    <w:rsid w:val="00D162F7"/>
    <w:rsid w:val="00D23E57"/>
    <w:rsid w:val="00D31D67"/>
    <w:rsid w:val="00D31EA6"/>
    <w:rsid w:val="00D3244D"/>
    <w:rsid w:val="00D346FC"/>
    <w:rsid w:val="00D4585F"/>
    <w:rsid w:val="00D56F69"/>
    <w:rsid w:val="00D60F16"/>
    <w:rsid w:val="00D62581"/>
    <w:rsid w:val="00D66ECC"/>
    <w:rsid w:val="00D7230E"/>
    <w:rsid w:val="00D920D1"/>
    <w:rsid w:val="00DA00B3"/>
    <w:rsid w:val="00DA2649"/>
    <w:rsid w:val="00DB5D13"/>
    <w:rsid w:val="00DD1E59"/>
    <w:rsid w:val="00DD5171"/>
    <w:rsid w:val="00DE33D4"/>
    <w:rsid w:val="00DE5FF9"/>
    <w:rsid w:val="00E01141"/>
    <w:rsid w:val="00E0483C"/>
    <w:rsid w:val="00E27E1B"/>
    <w:rsid w:val="00E449A8"/>
    <w:rsid w:val="00E4551D"/>
    <w:rsid w:val="00E50E4C"/>
    <w:rsid w:val="00E61CF8"/>
    <w:rsid w:val="00E67747"/>
    <w:rsid w:val="00E75A44"/>
    <w:rsid w:val="00E8071D"/>
    <w:rsid w:val="00E86EA2"/>
    <w:rsid w:val="00E96B53"/>
    <w:rsid w:val="00EA1B8C"/>
    <w:rsid w:val="00EA28BB"/>
    <w:rsid w:val="00EB1857"/>
    <w:rsid w:val="00EB5D13"/>
    <w:rsid w:val="00EB77F9"/>
    <w:rsid w:val="00EC0B3B"/>
    <w:rsid w:val="00EC2F18"/>
    <w:rsid w:val="00EC3A2D"/>
    <w:rsid w:val="00EC6CA8"/>
    <w:rsid w:val="00ED484E"/>
    <w:rsid w:val="00ED6B48"/>
    <w:rsid w:val="00EE2DA0"/>
    <w:rsid w:val="00EE7556"/>
    <w:rsid w:val="00EF203C"/>
    <w:rsid w:val="00F0093B"/>
    <w:rsid w:val="00F113D7"/>
    <w:rsid w:val="00F222B6"/>
    <w:rsid w:val="00F272CD"/>
    <w:rsid w:val="00F33A10"/>
    <w:rsid w:val="00F35286"/>
    <w:rsid w:val="00F3729E"/>
    <w:rsid w:val="00F4399E"/>
    <w:rsid w:val="00F57C15"/>
    <w:rsid w:val="00F60715"/>
    <w:rsid w:val="00F63A6B"/>
    <w:rsid w:val="00F730A6"/>
    <w:rsid w:val="00F76811"/>
    <w:rsid w:val="00FA672A"/>
    <w:rsid w:val="00FA7AA4"/>
    <w:rsid w:val="00FA7EF9"/>
    <w:rsid w:val="00FB0A0D"/>
    <w:rsid w:val="00FB424F"/>
    <w:rsid w:val="00FD0518"/>
    <w:rsid w:val="00FD3958"/>
    <w:rsid w:val="00FD4D9E"/>
    <w:rsid w:val="00FD53B7"/>
    <w:rsid w:val="00FE0C27"/>
    <w:rsid w:val="00FF3B5B"/>
    <w:rsid w:val="00FF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641D1"/>
  <w15:docId w15:val="{C69DFFF6-F9D1-4637-8587-85D17F80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spacing w:before="56"/>
      <w:ind w:left="956"/>
      <w:outlineLvl w:val="0"/>
    </w:pPr>
    <w:rPr>
      <w:b/>
      <w:bCs/>
      <w:u w:val="single" w:color="000000"/>
    </w:rPr>
  </w:style>
  <w:style w:type="paragraph" w:styleId="Heading2">
    <w:name w:val="heading 2"/>
    <w:basedOn w:val="Normal"/>
    <w:next w:val="Normal"/>
    <w:link w:val="Heading2Char"/>
    <w:uiPriority w:val="9"/>
    <w:unhideWhenUsed/>
    <w:qFormat/>
    <w:rsid w:val="00E86EA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86EA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pPr>
      <w:spacing w:before="127"/>
      <w:ind w:left="1408" w:hanging="361"/>
    </w:pPr>
  </w:style>
  <w:style w:type="paragraph" w:customStyle="1" w:styleId="TableParagraph">
    <w:name w:val="Table Paragraph"/>
    <w:basedOn w:val="Normal"/>
    <w:uiPriority w:val="1"/>
    <w:qFormat/>
    <w:pPr>
      <w:ind w:left="110"/>
    </w:pPr>
  </w:style>
  <w:style w:type="table" w:styleId="TableGrid">
    <w:name w:val="Table Grid"/>
    <w:basedOn w:val="TableNormal"/>
    <w:uiPriority w:val="59"/>
    <w:rsid w:val="00FD0518"/>
    <w:pPr>
      <w:widowControl/>
      <w:autoSpaceDE/>
      <w:autoSpaceDN/>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B507AE"/>
    <w:rPr>
      <w:rFonts w:ascii="Calibri" w:eastAsia="Calibri" w:hAnsi="Calibri" w:cs="Calibri"/>
      <w:lang w:val="en-AU" w:eastAsia="en-AU" w:bidi="en-AU"/>
    </w:rPr>
  </w:style>
  <w:style w:type="paragraph" w:styleId="Header">
    <w:name w:val="header"/>
    <w:basedOn w:val="Normal"/>
    <w:link w:val="HeaderChar"/>
    <w:uiPriority w:val="99"/>
    <w:unhideWhenUsed/>
    <w:rsid w:val="002C4B99"/>
    <w:pPr>
      <w:tabs>
        <w:tab w:val="center" w:pos="4513"/>
        <w:tab w:val="right" w:pos="9026"/>
      </w:tabs>
    </w:pPr>
  </w:style>
  <w:style w:type="character" w:customStyle="1" w:styleId="HeaderChar">
    <w:name w:val="Header Char"/>
    <w:basedOn w:val="DefaultParagraphFont"/>
    <w:link w:val="Header"/>
    <w:uiPriority w:val="99"/>
    <w:rsid w:val="002C4B99"/>
    <w:rPr>
      <w:rFonts w:ascii="Calibri" w:eastAsia="Calibri" w:hAnsi="Calibri" w:cs="Calibri"/>
      <w:lang w:val="en-AU" w:eastAsia="en-AU" w:bidi="en-AU"/>
    </w:rPr>
  </w:style>
  <w:style w:type="paragraph" w:styleId="Footer">
    <w:name w:val="footer"/>
    <w:basedOn w:val="Normal"/>
    <w:link w:val="FooterChar"/>
    <w:uiPriority w:val="99"/>
    <w:unhideWhenUsed/>
    <w:rsid w:val="002C4B99"/>
    <w:pPr>
      <w:tabs>
        <w:tab w:val="center" w:pos="4513"/>
        <w:tab w:val="right" w:pos="9026"/>
      </w:tabs>
    </w:pPr>
  </w:style>
  <w:style w:type="character" w:customStyle="1" w:styleId="FooterChar">
    <w:name w:val="Footer Char"/>
    <w:basedOn w:val="DefaultParagraphFont"/>
    <w:link w:val="Footer"/>
    <w:uiPriority w:val="99"/>
    <w:rsid w:val="002C4B99"/>
    <w:rPr>
      <w:rFonts w:ascii="Calibri" w:eastAsia="Calibri" w:hAnsi="Calibri" w:cs="Calibri"/>
      <w:lang w:val="en-AU" w:eastAsia="en-AU" w:bidi="en-AU"/>
    </w:rPr>
  </w:style>
  <w:style w:type="paragraph" w:styleId="BalloonText">
    <w:name w:val="Balloon Text"/>
    <w:basedOn w:val="Normal"/>
    <w:link w:val="BalloonTextChar"/>
    <w:uiPriority w:val="99"/>
    <w:semiHidden/>
    <w:unhideWhenUsed/>
    <w:rsid w:val="00366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44"/>
    <w:rPr>
      <w:rFonts w:ascii="Segoe UI" w:eastAsia="Calibri" w:hAnsi="Segoe UI" w:cs="Segoe UI"/>
      <w:sz w:val="18"/>
      <w:szCs w:val="18"/>
      <w:lang w:val="en-AU" w:eastAsia="en-AU" w:bidi="en-AU"/>
    </w:rPr>
  </w:style>
  <w:style w:type="paragraph" w:customStyle="1" w:styleId="Default">
    <w:name w:val="Default"/>
    <w:basedOn w:val="Normal"/>
    <w:rsid w:val="00513403"/>
    <w:pPr>
      <w:widowControl/>
    </w:pPr>
    <w:rPr>
      <w:rFonts w:eastAsiaTheme="minorHAnsi"/>
      <w:color w:val="000000"/>
      <w:sz w:val="24"/>
      <w:szCs w:val="24"/>
      <w:lang w:eastAsia="en-US" w:bidi="ar-SA"/>
    </w:rPr>
  </w:style>
  <w:style w:type="character" w:styleId="CommentReference">
    <w:name w:val="annotation reference"/>
    <w:basedOn w:val="DefaultParagraphFont"/>
    <w:uiPriority w:val="99"/>
    <w:semiHidden/>
    <w:unhideWhenUsed/>
    <w:rsid w:val="00DE5FF9"/>
    <w:rPr>
      <w:sz w:val="16"/>
      <w:szCs w:val="16"/>
    </w:rPr>
  </w:style>
  <w:style w:type="paragraph" w:styleId="CommentText">
    <w:name w:val="annotation text"/>
    <w:basedOn w:val="Normal"/>
    <w:link w:val="CommentTextChar"/>
    <w:uiPriority w:val="99"/>
    <w:semiHidden/>
    <w:unhideWhenUsed/>
    <w:rsid w:val="00DE5FF9"/>
    <w:rPr>
      <w:sz w:val="20"/>
      <w:szCs w:val="20"/>
    </w:rPr>
  </w:style>
  <w:style w:type="character" w:customStyle="1" w:styleId="CommentTextChar">
    <w:name w:val="Comment Text Char"/>
    <w:basedOn w:val="DefaultParagraphFont"/>
    <w:link w:val="CommentText"/>
    <w:uiPriority w:val="99"/>
    <w:semiHidden/>
    <w:rsid w:val="00DE5FF9"/>
    <w:rPr>
      <w:rFonts w:ascii="Calibri" w:eastAsia="Calibri" w:hAnsi="Calibri" w:cs="Calibri"/>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DE5FF9"/>
    <w:rPr>
      <w:b/>
      <w:bCs/>
    </w:rPr>
  </w:style>
  <w:style w:type="character" w:customStyle="1" w:styleId="CommentSubjectChar">
    <w:name w:val="Comment Subject Char"/>
    <w:basedOn w:val="CommentTextChar"/>
    <w:link w:val="CommentSubject"/>
    <w:uiPriority w:val="99"/>
    <w:semiHidden/>
    <w:rsid w:val="00DE5FF9"/>
    <w:rPr>
      <w:rFonts w:ascii="Calibri" w:eastAsia="Calibri" w:hAnsi="Calibri" w:cs="Calibri"/>
      <w:b/>
      <w:bCs/>
      <w:sz w:val="20"/>
      <w:szCs w:val="20"/>
      <w:lang w:val="en-AU" w:eastAsia="en-AU" w:bidi="en-AU"/>
    </w:rPr>
  </w:style>
  <w:style w:type="paragraph" w:styleId="Revision">
    <w:name w:val="Revision"/>
    <w:hidden/>
    <w:uiPriority w:val="99"/>
    <w:semiHidden/>
    <w:rsid w:val="00166AE1"/>
    <w:pPr>
      <w:widowControl/>
      <w:autoSpaceDE/>
      <w:autoSpaceDN/>
    </w:pPr>
    <w:rPr>
      <w:rFonts w:ascii="Calibri" w:eastAsia="Calibri" w:hAnsi="Calibri" w:cs="Calibri"/>
      <w:lang w:val="en-AU" w:eastAsia="en-AU" w:bidi="en-AU"/>
    </w:rPr>
  </w:style>
  <w:style w:type="table" w:styleId="TableGridLight">
    <w:name w:val="Grid Table Light"/>
    <w:basedOn w:val="TableNormal"/>
    <w:uiPriority w:val="40"/>
    <w:rsid w:val="000B17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B17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E86E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EA2"/>
    <w:rPr>
      <w:rFonts w:asciiTheme="majorHAnsi" w:eastAsiaTheme="majorEastAsia" w:hAnsiTheme="majorHAnsi" w:cstheme="majorBidi"/>
      <w:spacing w:val="-10"/>
      <w:kern w:val="28"/>
      <w:sz w:val="56"/>
      <w:szCs w:val="56"/>
      <w:lang w:val="en-AU" w:eastAsia="en-AU" w:bidi="en-AU"/>
    </w:rPr>
  </w:style>
  <w:style w:type="character" w:customStyle="1" w:styleId="Heading2Char">
    <w:name w:val="Heading 2 Char"/>
    <w:basedOn w:val="DefaultParagraphFont"/>
    <w:link w:val="Heading2"/>
    <w:uiPriority w:val="9"/>
    <w:rsid w:val="00E86EA2"/>
    <w:rPr>
      <w:rFonts w:asciiTheme="majorHAnsi" w:eastAsiaTheme="majorEastAsia" w:hAnsiTheme="majorHAnsi" w:cstheme="majorBidi"/>
      <w:color w:val="365F91" w:themeColor="accent1" w:themeShade="BF"/>
      <w:sz w:val="26"/>
      <w:szCs w:val="26"/>
      <w:lang w:val="en-AU" w:eastAsia="en-AU" w:bidi="en-AU"/>
    </w:rPr>
  </w:style>
  <w:style w:type="character" w:customStyle="1" w:styleId="Heading3Char">
    <w:name w:val="Heading 3 Char"/>
    <w:basedOn w:val="DefaultParagraphFont"/>
    <w:link w:val="Heading3"/>
    <w:uiPriority w:val="9"/>
    <w:rsid w:val="00E86EA2"/>
    <w:rPr>
      <w:rFonts w:asciiTheme="majorHAnsi" w:eastAsiaTheme="majorEastAsia" w:hAnsiTheme="majorHAnsi" w:cstheme="majorBidi"/>
      <w:color w:val="243F60" w:themeColor="accent1" w:themeShade="7F"/>
      <w:sz w:val="24"/>
      <w:szCs w:val="24"/>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99371">
      <w:bodyDiv w:val="1"/>
      <w:marLeft w:val="0"/>
      <w:marRight w:val="0"/>
      <w:marTop w:val="0"/>
      <w:marBottom w:val="0"/>
      <w:divBdr>
        <w:top w:val="none" w:sz="0" w:space="0" w:color="auto"/>
        <w:left w:val="none" w:sz="0" w:space="0" w:color="auto"/>
        <w:bottom w:val="none" w:sz="0" w:space="0" w:color="auto"/>
        <w:right w:val="none" w:sz="0" w:space="0" w:color="auto"/>
      </w:divBdr>
    </w:div>
    <w:div w:id="867454174">
      <w:bodyDiv w:val="1"/>
      <w:marLeft w:val="0"/>
      <w:marRight w:val="0"/>
      <w:marTop w:val="0"/>
      <w:marBottom w:val="0"/>
      <w:divBdr>
        <w:top w:val="none" w:sz="0" w:space="0" w:color="auto"/>
        <w:left w:val="none" w:sz="0" w:space="0" w:color="auto"/>
        <w:bottom w:val="none" w:sz="0" w:space="0" w:color="auto"/>
        <w:right w:val="none" w:sz="0" w:space="0" w:color="auto"/>
      </w:divBdr>
    </w:div>
    <w:div w:id="874731600">
      <w:bodyDiv w:val="1"/>
      <w:marLeft w:val="0"/>
      <w:marRight w:val="0"/>
      <w:marTop w:val="0"/>
      <w:marBottom w:val="0"/>
      <w:divBdr>
        <w:top w:val="none" w:sz="0" w:space="0" w:color="auto"/>
        <w:left w:val="none" w:sz="0" w:space="0" w:color="auto"/>
        <w:bottom w:val="none" w:sz="0" w:space="0" w:color="auto"/>
        <w:right w:val="none" w:sz="0" w:space="0" w:color="auto"/>
      </w:divBdr>
    </w:div>
    <w:div w:id="928924829">
      <w:bodyDiv w:val="1"/>
      <w:marLeft w:val="0"/>
      <w:marRight w:val="0"/>
      <w:marTop w:val="0"/>
      <w:marBottom w:val="0"/>
      <w:divBdr>
        <w:top w:val="none" w:sz="0" w:space="0" w:color="auto"/>
        <w:left w:val="none" w:sz="0" w:space="0" w:color="auto"/>
        <w:bottom w:val="none" w:sz="0" w:space="0" w:color="auto"/>
        <w:right w:val="none" w:sz="0" w:space="0" w:color="auto"/>
      </w:divBdr>
    </w:div>
    <w:div w:id="933167987">
      <w:bodyDiv w:val="1"/>
      <w:marLeft w:val="0"/>
      <w:marRight w:val="0"/>
      <w:marTop w:val="0"/>
      <w:marBottom w:val="0"/>
      <w:divBdr>
        <w:top w:val="none" w:sz="0" w:space="0" w:color="auto"/>
        <w:left w:val="none" w:sz="0" w:space="0" w:color="auto"/>
        <w:bottom w:val="none" w:sz="0" w:space="0" w:color="auto"/>
        <w:right w:val="none" w:sz="0" w:space="0" w:color="auto"/>
      </w:divBdr>
    </w:div>
    <w:div w:id="1358238806">
      <w:bodyDiv w:val="1"/>
      <w:marLeft w:val="0"/>
      <w:marRight w:val="0"/>
      <w:marTop w:val="0"/>
      <w:marBottom w:val="0"/>
      <w:divBdr>
        <w:top w:val="none" w:sz="0" w:space="0" w:color="auto"/>
        <w:left w:val="none" w:sz="0" w:space="0" w:color="auto"/>
        <w:bottom w:val="none" w:sz="0" w:space="0" w:color="auto"/>
        <w:right w:val="none" w:sz="0" w:space="0" w:color="auto"/>
      </w:divBdr>
    </w:div>
    <w:div w:id="1550220727">
      <w:bodyDiv w:val="1"/>
      <w:marLeft w:val="0"/>
      <w:marRight w:val="0"/>
      <w:marTop w:val="0"/>
      <w:marBottom w:val="0"/>
      <w:divBdr>
        <w:top w:val="none" w:sz="0" w:space="0" w:color="auto"/>
        <w:left w:val="none" w:sz="0" w:space="0" w:color="auto"/>
        <w:bottom w:val="none" w:sz="0" w:space="0" w:color="auto"/>
        <w:right w:val="none" w:sz="0" w:space="0" w:color="auto"/>
      </w:divBdr>
    </w:div>
    <w:div w:id="1578858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webSettings" Target="webSettings.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FD8A393-2E77-4A2B-AD15-CFDC5E1BA2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356F4DC9B12094C93F91E4F467C7DFB" ma:contentTypeVersion="" ma:contentTypeDescription="PDMS Document Site Content Type" ma:contentTypeScope="" ma:versionID="447b477a6f4fbd35e2b79431dd994e40">
  <xsd:schema xmlns:xsd="http://www.w3.org/2001/XMLSchema" xmlns:xs="http://www.w3.org/2001/XMLSchema" xmlns:p="http://schemas.microsoft.com/office/2006/metadata/properties" xmlns:ns2="8FD8A393-2E77-4A2B-AD15-CFDC5E1BA213" targetNamespace="http://schemas.microsoft.com/office/2006/metadata/properties" ma:root="true" ma:fieldsID="023b257ec5bf30f487f94bb6d688735a" ns2:_="">
    <xsd:import namespace="8FD8A393-2E77-4A2B-AD15-CFDC5E1BA21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8A393-2E77-4A2B-AD15-CFDC5E1BA21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D373-60F2-4B8B-A428-E1B346E7A434}">
  <ds:schemaRefs>
    <ds:schemaRef ds:uri="http://schemas.microsoft.com/sharepoint/v3/contenttype/forms"/>
  </ds:schemaRefs>
</ds:datastoreItem>
</file>

<file path=customXml/itemProps2.xml><?xml version="1.0" encoding="utf-8"?>
<ds:datastoreItem xmlns:ds="http://schemas.openxmlformats.org/officeDocument/2006/customXml" ds:itemID="{D964E0C1-4477-454A-9F12-7F15E377B49F}">
  <ds:schemaRefs>
    <ds:schemaRef ds:uri="8FD8A393-2E77-4A2B-AD15-CFDC5E1BA213"/>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3C0FEF4-C7D2-4D41-9C92-0ED521D59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8A393-2E77-4A2B-AD15-CFDC5E1BA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4AD0B-9963-4C93-90DC-CA4F65DD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4628</Words>
  <Characters>26382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10</cp:revision>
  <cp:lastPrinted>2022-06-24T04:18:00Z</cp:lastPrinted>
  <dcterms:created xsi:type="dcterms:W3CDTF">2022-06-17T01:22:00Z</dcterms:created>
  <dcterms:modified xsi:type="dcterms:W3CDTF">2022-06-24T04:18:00Z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for Office 365</vt:lpwstr>
  </property>
  <property fmtid="{D5CDD505-2E9C-101B-9397-08002B2CF9AE}" pid="4" name="LastSaved">
    <vt:filetime>2020-08-28T00:00:00Z</vt:filetime>
  </property>
  <property fmtid="{D5CDD505-2E9C-101B-9397-08002B2CF9AE}" pid="5" name="ContentTypeId">
    <vt:lpwstr>0x010100266966F133664895A6EE3632470D45F500E356F4DC9B12094C93F91E4F467C7DFB</vt:lpwstr>
  </property>
  <property fmtid="{D5CDD505-2E9C-101B-9397-08002B2CF9AE}" pid="6" name="MSIP_Label_79d889eb-932f-4752-8739-64d25806ef64_Enabled">
    <vt:lpwstr>true</vt:lpwstr>
  </property>
  <property fmtid="{D5CDD505-2E9C-101B-9397-08002B2CF9AE}" pid="7" name="MSIP_Label_79d889eb-932f-4752-8739-64d25806ef64_SetDate">
    <vt:lpwstr>2022-04-10T14:50:04Z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166d3984-a7ac-4f90-9f54-1272c94d5d0a</vt:lpwstr>
  </property>
  <property fmtid="{D5CDD505-2E9C-101B-9397-08002B2CF9AE}" pid="12" name="MSIP_Label_79d889eb-932f-4752-8739-64d25806ef64_ContentBits">
    <vt:lpwstr>0</vt:lpwstr>
  </property>
</Properties>
</file>