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27911897" w:rsidR="00AB1E9A" w:rsidRPr="00E90790" w:rsidRDefault="00AB1E9A" w:rsidP="00F53D5B">
      <w:pPr>
        <w:pStyle w:val="Heading2"/>
        <w:tabs>
          <w:tab w:val="left" w:pos="1134"/>
        </w:tabs>
        <w:spacing w:line="480" w:lineRule="auto"/>
        <w:jc w:val="center"/>
        <w:rPr>
          <w:rFonts w:asciiTheme="minorHAnsi" w:hAnsiTheme="minorHAnsi" w:cstheme="minorHAnsi"/>
          <w:b/>
          <w:bCs/>
          <w:color w:val="0D0D0D" w:themeColor="text1" w:themeTint="F2"/>
          <w:sz w:val="36"/>
          <w:szCs w:val="36"/>
        </w:rPr>
      </w:pPr>
      <w:r w:rsidRPr="00E90790">
        <w:rPr>
          <w:rFonts w:asciiTheme="minorHAnsi" w:hAnsiTheme="minorHAnsi" w:cstheme="minorHAnsi"/>
          <w:b/>
          <w:bCs/>
          <w:color w:val="0D0D0D" w:themeColor="text1" w:themeTint="F2"/>
          <w:sz w:val="36"/>
          <w:szCs w:val="36"/>
        </w:rPr>
        <w:t>Non-</w:t>
      </w:r>
      <w:r w:rsidR="00175DFF" w:rsidRPr="00E90790">
        <w:rPr>
          <w:rFonts w:asciiTheme="minorHAnsi" w:hAnsiTheme="minorHAnsi" w:cstheme="minorHAnsi"/>
          <w:b/>
          <w:bCs/>
          <w:color w:val="0D0D0D" w:themeColor="text1" w:themeTint="F2"/>
          <w:sz w:val="36"/>
          <w:szCs w:val="36"/>
        </w:rPr>
        <w:t>G</w:t>
      </w:r>
      <w:r w:rsidR="00786258" w:rsidRPr="00E90790">
        <w:rPr>
          <w:rFonts w:asciiTheme="minorHAnsi" w:hAnsiTheme="minorHAnsi" w:cstheme="minorHAnsi"/>
          <w:b/>
          <w:bCs/>
          <w:color w:val="0D0D0D" w:themeColor="text1" w:themeTint="F2"/>
          <w:sz w:val="36"/>
          <w:szCs w:val="36"/>
        </w:rPr>
        <w:t xml:space="preserve">overnment Reform Support </w:t>
      </w:r>
      <w:r w:rsidR="005034CE" w:rsidRPr="00E90790">
        <w:rPr>
          <w:rFonts w:asciiTheme="minorHAnsi" w:hAnsiTheme="minorHAnsi" w:cstheme="minorHAnsi"/>
          <w:b/>
          <w:bCs/>
          <w:color w:val="0D0D0D" w:themeColor="text1" w:themeTint="F2"/>
          <w:sz w:val="36"/>
          <w:szCs w:val="36"/>
        </w:rPr>
        <w:t>Fund</w:t>
      </w:r>
    </w:p>
    <w:p w14:paraId="4FC00595" w14:textId="35321783" w:rsidR="00AB1E9A" w:rsidRPr="00E90790" w:rsidRDefault="00383BEA" w:rsidP="001716AD">
      <w:pPr>
        <w:pStyle w:val="Heading2"/>
        <w:spacing w:line="480" w:lineRule="auto"/>
        <w:jc w:val="center"/>
        <w:rPr>
          <w:rFonts w:asciiTheme="minorHAnsi" w:hAnsiTheme="minorHAnsi" w:cstheme="minorHAnsi"/>
          <w:b/>
          <w:bCs/>
          <w:color w:val="0D0D0D" w:themeColor="text1" w:themeTint="F2"/>
          <w:sz w:val="36"/>
          <w:szCs w:val="36"/>
        </w:rPr>
      </w:pPr>
      <w:r w:rsidRPr="00E90790">
        <w:rPr>
          <w:rFonts w:asciiTheme="minorHAnsi" w:hAnsiTheme="minorHAnsi" w:cstheme="minorHAnsi"/>
          <w:b/>
          <w:bCs/>
          <w:color w:val="0D0D0D" w:themeColor="text1" w:themeTint="F2"/>
          <w:sz w:val="36"/>
          <w:szCs w:val="36"/>
        </w:rPr>
        <w:t>20</w:t>
      </w:r>
      <w:r w:rsidR="00040B1D" w:rsidRPr="00E90790">
        <w:rPr>
          <w:rFonts w:asciiTheme="minorHAnsi" w:hAnsiTheme="minorHAnsi" w:cstheme="minorHAnsi"/>
          <w:b/>
          <w:bCs/>
          <w:color w:val="0D0D0D" w:themeColor="text1" w:themeTint="F2"/>
          <w:sz w:val="36"/>
          <w:szCs w:val="36"/>
        </w:rPr>
        <w:t>2</w:t>
      </w:r>
      <w:r w:rsidR="005034CE" w:rsidRPr="00E90790">
        <w:rPr>
          <w:rFonts w:asciiTheme="minorHAnsi" w:hAnsiTheme="minorHAnsi" w:cstheme="minorHAnsi"/>
          <w:b/>
          <w:bCs/>
          <w:color w:val="0D0D0D" w:themeColor="text1" w:themeTint="F2"/>
          <w:sz w:val="36"/>
          <w:szCs w:val="36"/>
        </w:rPr>
        <w:t>2 Workplan</w:t>
      </w:r>
    </w:p>
    <w:p w14:paraId="07D89256" w14:textId="31B2F677" w:rsidR="00AB1E9A" w:rsidRPr="00E90790" w:rsidRDefault="00B70354" w:rsidP="001716AD">
      <w:pPr>
        <w:pStyle w:val="Heading2"/>
        <w:spacing w:line="480" w:lineRule="auto"/>
        <w:jc w:val="center"/>
        <w:rPr>
          <w:b/>
          <w:bCs/>
          <w:color w:val="0D0D0D" w:themeColor="text1" w:themeTint="F2"/>
          <w:sz w:val="36"/>
          <w:szCs w:val="36"/>
        </w:rPr>
      </w:pPr>
      <w:r w:rsidRPr="00E90790">
        <w:rPr>
          <w:rFonts w:asciiTheme="minorHAnsi" w:hAnsiTheme="minorHAnsi" w:cstheme="minorHAnsi"/>
          <w:b/>
          <w:bCs/>
          <w:color w:val="0D0D0D" w:themeColor="text1" w:themeTint="F2"/>
          <w:sz w:val="36"/>
          <w:szCs w:val="36"/>
        </w:rPr>
        <w:t>SA Commission for Catholic Schools (SACCS)</w:t>
      </w:r>
      <w:r w:rsidR="00AB1E9A" w:rsidRPr="00E90790">
        <w:rPr>
          <w:rFonts w:ascii="Arial" w:hAnsi="Arial" w:cs="Arial"/>
          <w:color w:val="0D0D0D" w:themeColor="text1" w:themeTint="F2"/>
          <w:u w:val="single"/>
        </w:rPr>
        <w:br w:type="page"/>
      </w:r>
    </w:p>
    <w:p w14:paraId="0D8BEABD" w14:textId="0589DB99" w:rsidR="005034CE" w:rsidRPr="00E90790" w:rsidRDefault="005034CE" w:rsidP="005034CE">
      <w:pPr>
        <w:rPr>
          <w:rFonts w:ascii="Arial" w:hAnsi="Arial" w:cs="Arial"/>
          <w:color w:val="0D0D0D" w:themeColor="text1" w:themeTint="F2"/>
          <w:sz w:val="20"/>
          <w:szCs w:val="20"/>
        </w:rPr>
        <w:sectPr w:rsidR="005034CE" w:rsidRPr="00E90790" w:rsidSect="001716AD">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709" w:footer="709" w:gutter="0"/>
          <w:pgNumType w:start="1"/>
          <w:cols w:space="708"/>
          <w:vAlign w:val="center"/>
          <w:titlePg/>
          <w:docGrid w:linePitch="360"/>
        </w:sectPr>
      </w:pPr>
    </w:p>
    <w:p w14:paraId="43BD68A8" w14:textId="77777777" w:rsidR="00C920AB" w:rsidRPr="00E90790" w:rsidRDefault="00C920AB" w:rsidP="00577903">
      <w:pPr>
        <w:pStyle w:val="Heading2"/>
        <w:spacing w:line="240" w:lineRule="auto"/>
        <w:ind w:left="851"/>
        <w:jc w:val="center"/>
        <w:rPr>
          <w:rFonts w:asciiTheme="minorHAnsi" w:hAnsiTheme="minorHAnsi" w:cstheme="minorHAnsi"/>
          <w:b/>
          <w:bCs/>
          <w:color w:val="0D0D0D" w:themeColor="text1" w:themeTint="F2"/>
          <w:sz w:val="24"/>
          <w:szCs w:val="24"/>
          <w:u w:val="single"/>
        </w:rPr>
      </w:pPr>
      <w:r w:rsidRPr="00E90790">
        <w:rPr>
          <w:rFonts w:asciiTheme="minorHAnsi" w:hAnsiTheme="minorHAnsi" w:cstheme="minorHAnsi"/>
          <w:b/>
          <w:bCs/>
          <w:color w:val="0D0D0D" w:themeColor="text1" w:themeTint="F2"/>
          <w:sz w:val="24"/>
          <w:szCs w:val="24"/>
          <w:u w:val="single"/>
        </w:rPr>
        <w:lastRenderedPageBreak/>
        <w:t>Non–Government Reform Support Fund</w:t>
      </w:r>
    </w:p>
    <w:p w14:paraId="3E5AFD8A" w14:textId="38392B84" w:rsidR="00C920AB" w:rsidRPr="00E90790" w:rsidRDefault="00C920AB" w:rsidP="006C1DF9">
      <w:pPr>
        <w:pStyle w:val="Heading2"/>
        <w:spacing w:line="240" w:lineRule="auto"/>
        <w:jc w:val="center"/>
        <w:rPr>
          <w:rFonts w:asciiTheme="minorHAnsi" w:hAnsiTheme="minorHAnsi" w:cstheme="minorHAnsi"/>
          <w:b/>
          <w:bCs/>
          <w:color w:val="0D0D0D" w:themeColor="text1" w:themeTint="F2"/>
          <w:sz w:val="24"/>
          <w:szCs w:val="24"/>
          <w:u w:val="single"/>
        </w:rPr>
      </w:pPr>
      <w:r w:rsidRPr="00E90790">
        <w:rPr>
          <w:rFonts w:asciiTheme="minorHAnsi" w:hAnsiTheme="minorHAnsi" w:cstheme="minorHAnsi"/>
          <w:b/>
          <w:bCs/>
          <w:color w:val="0D0D0D" w:themeColor="text1" w:themeTint="F2"/>
          <w:sz w:val="24"/>
          <w:szCs w:val="24"/>
          <w:u w:val="single"/>
        </w:rPr>
        <w:t>SA Commission for Catholic Schools (SACCS) – Workplan 2022</w:t>
      </w:r>
    </w:p>
    <w:p w14:paraId="37E7BD81" w14:textId="77777777" w:rsidR="006C1DF9" w:rsidRPr="00E90790" w:rsidRDefault="006C1DF9" w:rsidP="00577903">
      <w:pPr>
        <w:pStyle w:val="Heading3"/>
        <w:spacing w:line="480" w:lineRule="auto"/>
        <w:rPr>
          <w:rFonts w:asciiTheme="minorHAnsi" w:hAnsiTheme="minorHAnsi" w:cstheme="minorHAnsi"/>
          <w:b/>
          <w:bCs/>
          <w:color w:val="0D0D0D" w:themeColor="text1" w:themeTint="F2"/>
          <w:sz w:val="22"/>
          <w:szCs w:val="22"/>
        </w:rPr>
      </w:pPr>
    </w:p>
    <w:p w14:paraId="10AA4D92" w14:textId="6C6D4B1E" w:rsidR="00AB1E9A" w:rsidRPr="00E90790" w:rsidRDefault="00AB1E9A" w:rsidP="009B3505">
      <w:pPr>
        <w:pStyle w:val="Heading3"/>
        <w:spacing w:line="480" w:lineRule="auto"/>
        <w:rPr>
          <w:rFonts w:asciiTheme="minorHAnsi" w:hAnsiTheme="minorHAnsi" w:cstheme="minorHAnsi"/>
          <w:b/>
          <w:bCs/>
          <w:color w:val="0D0D0D" w:themeColor="text1" w:themeTint="F2"/>
        </w:rPr>
      </w:pPr>
      <w:r w:rsidRPr="00E90790">
        <w:rPr>
          <w:rFonts w:asciiTheme="minorHAnsi" w:hAnsiTheme="minorHAnsi" w:cstheme="minorHAnsi"/>
          <w:b/>
          <w:bCs/>
          <w:color w:val="0D0D0D" w:themeColor="text1" w:themeTint="F2"/>
        </w:rPr>
        <w:t>Summary of Work</w:t>
      </w:r>
      <w:r w:rsidR="007F506A" w:rsidRPr="00E90790">
        <w:rPr>
          <w:rFonts w:asciiTheme="minorHAnsi" w:hAnsiTheme="minorHAnsi" w:cstheme="minorHAnsi"/>
          <w:b/>
          <w:bCs/>
          <w:color w:val="0D0D0D" w:themeColor="text1" w:themeTint="F2"/>
        </w:rPr>
        <w:t>p</w:t>
      </w:r>
      <w:r w:rsidRPr="00E90790">
        <w:rPr>
          <w:rFonts w:asciiTheme="minorHAnsi" w:hAnsiTheme="minorHAnsi" w:cstheme="minorHAnsi"/>
          <w:b/>
          <w:bCs/>
          <w:color w:val="0D0D0D" w:themeColor="text1" w:themeTint="F2"/>
        </w:rPr>
        <w:t>lan for 20</w:t>
      </w:r>
      <w:r w:rsidR="00040B1D" w:rsidRPr="00E90790">
        <w:rPr>
          <w:rFonts w:asciiTheme="minorHAnsi" w:hAnsiTheme="minorHAnsi" w:cstheme="minorHAnsi"/>
          <w:b/>
          <w:bCs/>
          <w:color w:val="0D0D0D" w:themeColor="text1" w:themeTint="F2"/>
        </w:rPr>
        <w:t>2</w:t>
      </w:r>
      <w:r w:rsidR="005034CE" w:rsidRPr="00E90790">
        <w:rPr>
          <w:rFonts w:asciiTheme="minorHAnsi" w:hAnsiTheme="minorHAnsi" w:cstheme="minorHAnsi"/>
          <w:b/>
          <w:bCs/>
          <w:color w:val="0D0D0D" w:themeColor="text1" w:themeTint="F2"/>
        </w:rPr>
        <w:t>2</w:t>
      </w:r>
      <w:r w:rsidR="00A7334B" w:rsidRPr="00E90790">
        <w:rPr>
          <w:rFonts w:asciiTheme="minorHAnsi" w:hAnsiTheme="minorHAnsi" w:cstheme="minorHAnsi"/>
          <w:b/>
          <w:bCs/>
          <w:color w:val="0D0D0D" w:themeColor="text1" w:themeTint="F2"/>
        </w:rPr>
        <w:t xml:space="preserve"> </w:t>
      </w:r>
    </w:p>
    <w:p w14:paraId="086F3BAB" w14:textId="6454CAB9" w:rsidR="00AA6D90" w:rsidRPr="00E90790" w:rsidRDefault="00AA6D90" w:rsidP="009B3505">
      <w:pPr>
        <w:rPr>
          <w:rFonts w:ascii="Calibri" w:eastAsia="Calibri" w:hAnsi="Calibri" w:cs="Calibri"/>
          <w:color w:val="0D0D0D" w:themeColor="text1" w:themeTint="F2"/>
        </w:rPr>
      </w:pPr>
      <w:r w:rsidRPr="00E90790">
        <w:rPr>
          <w:rFonts w:ascii="Calibri" w:eastAsia="Calibri" w:hAnsi="Calibri" w:cs="Calibri"/>
          <w:color w:val="0D0D0D" w:themeColor="text1" w:themeTint="F2"/>
        </w:rPr>
        <w:t>The SA Commission for Catholic Schools Inc (SACCS) through the Catholic Education Office oversees 102 Catholic schools across two dioceses to deliver a high</w:t>
      </w:r>
      <w:r w:rsidR="00D920B1" w:rsidRPr="00E90790">
        <w:rPr>
          <w:rFonts w:ascii="Calibri" w:eastAsia="Calibri" w:hAnsi="Calibri" w:cs="Calibri"/>
          <w:color w:val="0D0D0D" w:themeColor="text1" w:themeTint="F2"/>
        </w:rPr>
        <w:t>-</w:t>
      </w:r>
      <w:r w:rsidRPr="00E90790">
        <w:rPr>
          <w:rFonts w:ascii="Calibri" w:eastAsia="Calibri" w:hAnsi="Calibri" w:cs="Calibri"/>
          <w:color w:val="0D0D0D" w:themeColor="text1" w:themeTint="F2"/>
        </w:rPr>
        <w:t>quality education to approximately 17% of all school students in South Australia.</w:t>
      </w:r>
    </w:p>
    <w:p w14:paraId="2E50CDFD" w14:textId="26DEA9F9" w:rsidR="00AA6D90" w:rsidRPr="00E90790" w:rsidRDefault="00AA6D90" w:rsidP="009B3505">
      <w:pPr>
        <w:rPr>
          <w:rFonts w:ascii="Calibri" w:eastAsia="Calibri" w:hAnsi="Calibri" w:cs="Calibri"/>
          <w:color w:val="0D0D0D" w:themeColor="text1" w:themeTint="F2"/>
        </w:rPr>
      </w:pPr>
      <w:r w:rsidRPr="00E90790">
        <w:rPr>
          <w:rFonts w:ascii="Calibri" w:eastAsia="Calibri" w:hAnsi="Calibri" w:cs="Calibri"/>
          <w:color w:val="0D0D0D" w:themeColor="text1" w:themeTint="F2"/>
        </w:rPr>
        <w:t xml:space="preserve">The Reform Support Fund Strategic Plan 2019-2022 and the 2022 Workplan have been informed by the CESA Mission, Values and Vision Statement, the SACCS Corporate Plan 2020-2024 and the eight National Reforms and National Policy Initiatives as outlined in the </w:t>
      </w:r>
      <w:r w:rsidRPr="00E90790">
        <w:rPr>
          <w:rFonts w:ascii="Calibri" w:eastAsia="Calibri" w:hAnsi="Calibri" w:cs="Calibri"/>
          <w:i/>
          <w:color w:val="0D0D0D" w:themeColor="text1" w:themeTint="F2"/>
        </w:rPr>
        <w:t>National School Reform Agreement 2019 -2023</w:t>
      </w:r>
      <w:r w:rsidRPr="00E90790">
        <w:rPr>
          <w:rFonts w:ascii="Calibri" w:eastAsia="Calibri" w:hAnsi="Calibri" w:cs="Calibri"/>
          <w:color w:val="0D0D0D" w:themeColor="text1" w:themeTint="F2"/>
        </w:rPr>
        <w:t>. In addition, the 202</w:t>
      </w:r>
      <w:r w:rsidR="007C37B8" w:rsidRPr="00E90790">
        <w:rPr>
          <w:rFonts w:ascii="Calibri" w:eastAsia="Calibri" w:hAnsi="Calibri" w:cs="Calibri"/>
          <w:color w:val="0D0D0D" w:themeColor="text1" w:themeTint="F2"/>
        </w:rPr>
        <w:t>2</w:t>
      </w:r>
      <w:r w:rsidRPr="00E90790">
        <w:rPr>
          <w:rFonts w:ascii="Calibri" w:eastAsia="Calibri" w:hAnsi="Calibri" w:cs="Calibri"/>
          <w:color w:val="0D0D0D" w:themeColor="text1" w:themeTint="F2"/>
        </w:rPr>
        <w:t xml:space="preserve"> Workplan provides details of the key system initiatives to be undertaken and implemented in SA Catholic schools from 2019-2022 as outlined in the Bilateral Reform Agreement between the Commonwealth and the Government of South Australia. </w:t>
      </w:r>
    </w:p>
    <w:p w14:paraId="6CFB2598" w14:textId="6C57B042" w:rsidR="00AA6D90" w:rsidRPr="00E90790" w:rsidRDefault="003F393A" w:rsidP="009B3505">
      <w:pPr>
        <w:contextualSpacing/>
        <w:rPr>
          <w:rFonts w:ascii="Calibri" w:eastAsia="Calibri" w:hAnsi="Calibri" w:cs="Calibri"/>
          <w:i/>
          <w:color w:val="0D0D0D" w:themeColor="text1" w:themeTint="F2"/>
        </w:rPr>
      </w:pPr>
      <w:r w:rsidRPr="00E90790">
        <w:rPr>
          <w:rFonts w:ascii="Calibri" w:eastAsia="Calibri" w:hAnsi="Calibri" w:cs="Calibri"/>
          <w:i/>
          <w:color w:val="0D0D0D" w:themeColor="text1" w:themeTint="F2"/>
        </w:rPr>
        <w:t>Key</w:t>
      </w:r>
      <w:r w:rsidR="00AA6D90" w:rsidRPr="00E90790">
        <w:rPr>
          <w:rFonts w:ascii="Calibri" w:eastAsia="Calibri" w:hAnsi="Calibri" w:cs="Calibri"/>
          <w:i/>
          <w:color w:val="0D0D0D" w:themeColor="text1" w:themeTint="F2"/>
        </w:rPr>
        <w:t xml:space="preserve"> Direction </w:t>
      </w:r>
      <w:r w:rsidRPr="00E90790">
        <w:rPr>
          <w:rFonts w:ascii="Calibri" w:eastAsia="Calibri" w:hAnsi="Calibri" w:cs="Calibri"/>
          <w:i/>
          <w:color w:val="0D0D0D" w:themeColor="text1" w:themeTint="F2"/>
        </w:rPr>
        <w:t>1</w:t>
      </w:r>
      <w:r w:rsidR="00AA6D90" w:rsidRPr="00E90790">
        <w:rPr>
          <w:rFonts w:ascii="Calibri" w:eastAsia="Calibri" w:hAnsi="Calibri" w:cs="Calibri"/>
          <w:i/>
          <w:color w:val="0D0D0D" w:themeColor="text1" w:themeTint="F2"/>
        </w:rPr>
        <w:t xml:space="preserve"> – Supporting students, student learning and student achievement </w:t>
      </w:r>
    </w:p>
    <w:p w14:paraId="79DE2B61" w14:textId="16D666B8" w:rsidR="00AA6D90" w:rsidRPr="00E90790" w:rsidRDefault="00AA6D90" w:rsidP="009B3505">
      <w:pPr>
        <w:contextualSpacing/>
        <w:rPr>
          <w:rFonts w:ascii="Calibri" w:eastAsia="Calibri" w:hAnsi="Calibri" w:cs="Calibri"/>
          <w:i/>
          <w:color w:val="0D0D0D" w:themeColor="text1" w:themeTint="F2"/>
        </w:rPr>
      </w:pPr>
      <w:r w:rsidRPr="00E90790">
        <w:rPr>
          <w:rFonts w:ascii="Calibri" w:eastAsia="Calibri" w:hAnsi="Calibri" w:cs="Calibri"/>
          <w:color w:val="0D0D0D" w:themeColor="text1" w:themeTint="F2"/>
        </w:rPr>
        <w:t>The</w:t>
      </w:r>
      <w:r w:rsidRPr="00E90790">
        <w:rPr>
          <w:rFonts w:ascii="Calibri" w:eastAsia="Calibri" w:hAnsi="Calibri" w:cs="Calibri"/>
          <w:i/>
          <w:color w:val="0D0D0D" w:themeColor="text1" w:themeTint="F2"/>
        </w:rPr>
        <w:t xml:space="preserve"> Strategy for Leading Catholic Schools to New Levels of Excellence </w:t>
      </w:r>
      <w:r w:rsidRPr="00E90790">
        <w:rPr>
          <w:rFonts w:ascii="Calibri" w:eastAsia="Calibri" w:hAnsi="Calibri" w:cs="Calibri"/>
          <w:color w:val="0D0D0D" w:themeColor="text1" w:themeTint="F2"/>
        </w:rPr>
        <w:t>presents the key initiatives that SACCS will progressively introduce to strengthen, transform, and promote Catholic education in SA. The Strategy will provide all students from all communities with successful pathways and transitions in their learning. This Key Direction also includes the 202</w:t>
      </w:r>
      <w:r w:rsidR="008820D4" w:rsidRPr="00E90790">
        <w:rPr>
          <w:rFonts w:ascii="Calibri" w:eastAsia="Calibri" w:hAnsi="Calibri" w:cs="Calibri"/>
          <w:color w:val="0D0D0D" w:themeColor="text1" w:themeTint="F2"/>
        </w:rPr>
        <w:t>2</w:t>
      </w:r>
      <w:r w:rsidRPr="00E90790">
        <w:rPr>
          <w:rFonts w:ascii="Calibri" w:eastAsia="Calibri" w:hAnsi="Calibri" w:cs="Calibri"/>
          <w:color w:val="0D0D0D" w:themeColor="text1" w:themeTint="F2"/>
        </w:rPr>
        <w:t xml:space="preserve"> national school reform priorities of NCCD </w:t>
      </w:r>
      <w:r w:rsidR="003F393A" w:rsidRPr="00E90790">
        <w:rPr>
          <w:rFonts w:ascii="Calibri" w:eastAsia="Calibri" w:hAnsi="Calibri" w:cs="Calibri"/>
          <w:color w:val="0D0D0D" w:themeColor="text1" w:themeTint="F2"/>
        </w:rPr>
        <w:t>to improve the efficiency and integrity of data collection;</w:t>
      </w:r>
      <w:r w:rsidRPr="00E90790">
        <w:rPr>
          <w:rFonts w:ascii="Calibri" w:eastAsia="Calibri" w:hAnsi="Calibri" w:cs="Calibri"/>
          <w:color w:val="0D0D0D" w:themeColor="text1" w:themeTint="F2"/>
        </w:rPr>
        <w:t xml:space="preserve"> and the transition of NAPLAN to online delivery as outlined in the 202</w:t>
      </w:r>
      <w:r w:rsidR="008820D4" w:rsidRPr="00E90790">
        <w:rPr>
          <w:rFonts w:ascii="Calibri" w:eastAsia="Calibri" w:hAnsi="Calibri" w:cs="Calibri"/>
          <w:color w:val="0D0D0D" w:themeColor="text1" w:themeTint="F2"/>
        </w:rPr>
        <w:t>2</w:t>
      </w:r>
      <w:r w:rsidRPr="00E90790">
        <w:rPr>
          <w:rFonts w:ascii="Calibri" w:eastAsia="Calibri" w:hAnsi="Calibri" w:cs="Calibri"/>
          <w:color w:val="0D0D0D" w:themeColor="text1" w:themeTint="F2"/>
        </w:rPr>
        <w:t xml:space="preserve"> Guidelines.</w:t>
      </w:r>
    </w:p>
    <w:p w14:paraId="5B332F7C" w14:textId="77777777" w:rsidR="00AA6D90" w:rsidRPr="00E90790" w:rsidRDefault="00AA6D90" w:rsidP="009B3505">
      <w:pPr>
        <w:contextualSpacing/>
        <w:rPr>
          <w:rFonts w:ascii="Calibri" w:eastAsia="Calibri" w:hAnsi="Calibri" w:cs="Calibri"/>
          <w:i/>
          <w:color w:val="0D0D0D" w:themeColor="text1" w:themeTint="F2"/>
        </w:rPr>
      </w:pPr>
    </w:p>
    <w:p w14:paraId="55B17CA4" w14:textId="5C330ACF" w:rsidR="00AA6D90" w:rsidRPr="00E90790" w:rsidRDefault="003F393A" w:rsidP="009B3505">
      <w:pPr>
        <w:contextualSpacing/>
        <w:rPr>
          <w:rFonts w:ascii="Calibri" w:eastAsia="Calibri" w:hAnsi="Calibri" w:cs="Calibri"/>
          <w:i/>
          <w:color w:val="0D0D0D" w:themeColor="text1" w:themeTint="F2"/>
        </w:rPr>
      </w:pPr>
      <w:r w:rsidRPr="00E90790">
        <w:rPr>
          <w:rFonts w:ascii="Calibri" w:eastAsia="Calibri" w:hAnsi="Calibri" w:cs="Calibri"/>
          <w:i/>
          <w:color w:val="0D0D0D" w:themeColor="text1" w:themeTint="F2"/>
        </w:rPr>
        <w:t>Key</w:t>
      </w:r>
      <w:r w:rsidR="00AA6D90" w:rsidRPr="00E90790">
        <w:rPr>
          <w:rFonts w:ascii="Calibri" w:eastAsia="Calibri" w:hAnsi="Calibri" w:cs="Calibri"/>
          <w:i/>
          <w:color w:val="0D0D0D" w:themeColor="text1" w:themeTint="F2"/>
        </w:rPr>
        <w:t xml:space="preserve"> Direction </w:t>
      </w:r>
      <w:r w:rsidRPr="00E90790">
        <w:rPr>
          <w:rFonts w:ascii="Calibri" w:eastAsia="Calibri" w:hAnsi="Calibri" w:cs="Calibri"/>
          <w:i/>
          <w:color w:val="0D0D0D" w:themeColor="text1" w:themeTint="F2"/>
        </w:rPr>
        <w:t>2</w:t>
      </w:r>
      <w:r w:rsidR="00AA6D90" w:rsidRPr="00E90790">
        <w:rPr>
          <w:rFonts w:ascii="Calibri" w:eastAsia="Calibri" w:hAnsi="Calibri" w:cs="Calibri"/>
          <w:i/>
          <w:color w:val="0D0D0D" w:themeColor="text1" w:themeTint="F2"/>
        </w:rPr>
        <w:t xml:space="preserve"> – Supporting teaching, school leadership and school improvement </w:t>
      </w:r>
    </w:p>
    <w:p w14:paraId="15077C31" w14:textId="0611685C" w:rsidR="00AA6D90" w:rsidRPr="00E90790" w:rsidRDefault="00AA6D90" w:rsidP="009B3505">
      <w:pPr>
        <w:contextualSpacing/>
        <w:rPr>
          <w:rFonts w:ascii="Calibri" w:eastAsia="Calibri" w:hAnsi="Calibri" w:cs="Calibri"/>
          <w:color w:val="0D0D0D" w:themeColor="text1" w:themeTint="F2"/>
        </w:rPr>
      </w:pPr>
      <w:r w:rsidRPr="00E90790">
        <w:rPr>
          <w:rFonts w:ascii="Calibri" w:eastAsia="Calibri" w:hAnsi="Calibri" w:cs="Calibri"/>
          <w:color w:val="0D0D0D" w:themeColor="text1" w:themeTint="F2"/>
        </w:rPr>
        <w:t xml:space="preserve">The </w:t>
      </w:r>
      <w:r w:rsidRPr="00E90790">
        <w:rPr>
          <w:rFonts w:ascii="Calibri" w:eastAsia="Calibri" w:hAnsi="Calibri" w:cs="Calibri"/>
          <w:i/>
          <w:color w:val="0D0D0D" w:themeColor="text1" w:themeTint="F2"/>
        </w:rPr>
        <w:t>Living, Learni</w:t>
      </w:r>
      <w:r w:rsidR="003F393A" w:rsidRPr="00E90790">
        <w:rPr>
          <w:rFonts w:ascii="Calibri" w:eastAsia="Calibri" w:hAnsi="Calibri" w:cs="Calibri"/>
          <w:i/>
          <w:color w:val="0D0D0D" w:themeColor="text1" w:themeTint="F2"/>
        </w:rPr>
        <w:t>n</w:t>
      </w:r>
      <w:r w:rsidRPr="00E90790">
        <w:rPr>
          <w:rFonts w:ascii="Calibri" w:eastAsia="Calibri" w:hAnsi="Calibri" w:cs="Calibri"/>
          <w:i/>
          <w:color w:val="0D0D0D" w:themeColor="text1" w:themeTint="F2"/>
        </w:rPr>
        <w:t>g, Leading Framework</w:t>
      </w:r>
      <w:r w:rsidRPr="00E90790">
        <w:rPr>
          <w:rFonts w:ascii="Calibri" w:eastAsia="Calibri" w:hAnsi="Calibri" w:cs="Calibri"/>
          <w:color w:val="0D0D0D" w:themeColor="text1" w:themeTint="F2"/>
        </w:rPr>
        <w:t xml:space="preserve"> together with the Living Learning Leading Standard and the Leadership Standard are part of a system-wide strategy to promote a culture and practice of continuous improvement in Catholic schools with a strong focus on improvement activities that ultimately promote quality leadership, quality teaching and improve the learning outcomes, faith development and life opportunities of all students. This Key Direction also includes the 202</w:t>
      </w:r>
      <w:r w:rsidR="008820D4" w:rsidRPr="00E90790">
        <w:rPr>
          <w:rFonts w:ascii="Calibri" w:eastAsia="Calibri" w:hAnsi="Calibri" w:cs="Calibri"/>
          <w:color w:val="0D0D0D" w:themeColor="text1" w:themeTint="F2"/>
        </w:rPr>
        <w:t>2</w:t>
      </w:r>
      <w:r w:rsidRPr="00E90790">
        <w:rPr>
          <w:rFonts w:ascii="Calibri" w:eastAsia="Calibri" w:hAnsi="Calibri" w:cs="Calibri"/>
          <w:color w:val="0D0D0D" w:themeColor="text1" w:themeTint="F2"/>
        </w:rPr>
        <w:t xml:space="preserve"> national school reform priority of improving governance and financial management practices in Catholic schools as outlined in the 202</w:t>
      </w:r>
      <w:r w:rsidR="008820D4" w:rsidRPr="00E90790">
        <w:rPr>
          <w:rFonts w:ascii="Calibri" w:eastAsia="Calibri" w:hAnsi="Calibri" w:cs="Calibri"/>
          <w:color w:val="0D0D0D" w:themeColor="text1" w:themeTint="F2"/>
        </w:rPr>
        <w:t>2</w:t>
      </w:r>
      <w:r w:rsidRPr="00E90790">
        <w:rPr>
          <w:rFonts w:ascii="Calibri" w:eastAsia="Calibri" w:hAnsi="Calibri" w:cs="Calibri"/>
          <w:color w:val="0D0D0D" w:themeColor="text1" w:themeTint="F2"/>
        </w:rPr>
        <w:t xml:space="preserve"> Guidelines.</w:t>
      </w:r>
    </w:p>
    <w:p w14:paraId="5B342AC2" w14:textId="77777777" w:rsidR="00AA6D90" w:rsidRPr="00E90790" w:rsidRDefault="00AA6D90" w:rsidP="009B3505">
      <w:pPr>
        <w:contextualSpacing/>
        <w:rPr>
          <w:rFonts w:ascii="Calibri" w:eastAsia="Calibri" w:hAnsi="Calibri" w:cs="Calibri"/>
          <w:i/>
          <w:color w:val="0D0D0D" w:themeColor="text1" w:themeTint="F2"/>
        </w:rPr>
      </w:pPr>
    </w:p>
    <w:p w14:paraId="7B592ED6" w14:textId="2B2680C4" w:rsidR="00AA6D90" w:rsidRPr="00E90790" w:rsidRDefault="003F393A" w:rsidP="009B3505">
      <w:pPr>
        <w:contextualSpacing/>
        <w:rPr>
          <w:rFonts w:ascii="Calibri" w:eastAsia="Calibri" w:hAnsi="Calibri" w:cs="Calibri"/>
          <w:i/>
          <w:color w:val="0D0D0D" w:themeColor="text1" w:themeTint="F2"/>
        </w:rPr>
      </w:pPr>
      <w:r w:rsidRPr="00E90790">
        <w:rPr>
          <w:rFonts w:ascii="Calibri" w:eastAsia="Calibri" w:hAnsi="Calibri" w:cs="Calibri"/>
          <w:i/>
          <w:color w:val="0D0D0D" w:themeColor="text1" w:themeTint="F2"/>
        </w:rPr>
        <w:t>K</w:t>
      </w:r>
      <w:r w:rsidR="0050318D" w:rsidRPr="00E90790">
        <w:rPr>
          <w:rFonts w:ascii="Calibri" w:eastAsia="Calibri" w:hAnsi="Calibri" w:cs="Calibri"/>
          <w:i/>
          <w:color w:val="0D0D0D" w:themeColor="text1" w:themeTint="F2"/>
        </w:rPr>
        <w:t>e</w:t>
      </w:r>
      <w:r w:rsidRPr="00E90790">
        <w:rPr>
          <w:rFonts w:ascii="Calibri" w:eastAsia="Calibri" w:hAnsi="Calibri" w:cs="Calibri"/>
          <w:i/>
          <w:color w:val="0D0D0D" w:themeColor="text1" w:themeTint="F2"/>
        </w:rPr>
        <w:t>y</w:t>
      </w:r>
      <w:r w:rsidR="00AA6D90" w:rsidRPr="00E90790">
        <w:rPr>
          <w:rFonts w:ascii="Calibri" w:eastAsia="Calibri" w:hAnsi="Calibri" w:cs="Calibri"/>
          <w:i/>
          <w:color w:val="0D0D0D" w:themeColor="text1" w:themeTint="F2"/>
        </w:rPr>
        <w:t xml:space="preserve"> Direction </w:t>
      </w:r>
      <w:r w:rsidRPr="00E90790">
        <w:rPr>
          <w:rFonts w:ascii="Calibri" w:eastAsia="Calibri" w:hAnsi="Calibri" w:cs="Calibri"/>
          <w:i/>
          <w:color w:val="0D0D0D" w:themeColor="text1" w:themeTint="F2"/>
        </w:rPr>
        <w:t>3</w:t>
      </w:r>
      <w:r w:rsidR="00AA6D90" w:rsidRPr="00E90790">
        <w:rPr>
          <w:rFonts w:ascii="Calibri" w:eastAsia="Calibri" w:hAnsi="Calibri" w:cs="Calibri"/>
          <w:i/>
          <w:color w:val="0D0D0D" w:themeColor="text1" w:themeTint="F2"/>
        </w:rPr>
        <w:t xml:space="preserve"> – Enhancing evidence for improvement</w:t>
      </w:r>
    </w:p>
    <w:p w14:paraId="2766CA32" w14:textId="78FFC6CC" w:rsidR="00AA6D90" w:rsidRPr="00E90790" w:rsidRDefault="00AA6D90" w:rsidP="009B3505">
      <w:pPr>
        <w:contextualSpacing/>
        <w:rPr>
          <w:rFonts w:ascii="Calibri" w:eastAsia="Calibri" w:hAnsi="Calibri" w:cs="Calibri"/>
          <w:color w:val="0D0D0D" w:themeColor="text1" w:themeTint="F2"/>
        </w:rPr>
      </w:pPr>
      <w:r w:rsidRPr="00E90790">
        <w:rPr>
          <w:rFonts w:ascii="Calibri" w:eastAsia="Calibri" w:hAnsi="Calibri" w:cs="Calibri"/>
          <w:color w:val="0D0D0D" w:themeColor="text1" w:themeTint="F2"/>
        </w:rPr>
        <w:t>Activities will support the system and schools to systematically collect and use a wide range of school performance data to measure the impact of improvement strategies both in schools and across the system. School and system leaders will be provided with opportunities to develop their capacity and skills to effectively use data and research to inform school and system improvement planning and policy development and implementation.</w:t>
      </w:r>
    </w:p>
    <w:p w14:paraId="077A73E1" w14:textId="77777777" w:rsidR="001060D7" w:rsidRPr="00E90790" w:rsidRDefault="001060D7" w:rsidP="009B3505">
      <w:pPr>
        <w:contextualSpacing/>
        <w:rPr>
          <w:rFonts w:ascii="Calibri" w:eastAsia="Calibri" w:hAnsi="Calibri" w:cs="Calibri"/>
          <w:color w:val="0D0D0D" w:themeColor="text1" w:themeTint="F2"/>
        </w:rPr>
      </w:pPr>
    </w:p>
    <w:p w14:paraId="2D679CC8" w14:textId="77777777" w:rsidR="00AA6D90" w:rsidRPr="00E90790" w:rsidRDefault="00AA6D90" w:rsidP="009B3505">
      <w:pPr>
        <w:rPr>
          <w:rFonts w:ascii="Calibri" w:eastAsia="Calibri" w:hAnsi="Calibri" w:cs="Calibri"/>
          <w:color w:val="0D0D0D" w:themeColor="text1" w:themeTint="F2"/>
        </w:rPr>
      </w:pPr>
      <w:r w:rsidRPr="00E90790">
        <w:rPr>
          <w:rFonts w:ascii="Calibri" w:eastAsia="Calibri" w:hAnsi="Calibri" w:cs="Calibri"/>
          <w:color w:val="0D0D0D" w:themeColor="text1" w:themeTint="F2"/>
        </w:rPr>
        <w:t>Catholic Education SA (CESA) is the executive and policy implementation arm of the SA Commission for Catholic Schools (SACCS) and its Standing Committees.</w:t>
      </w:r>
    </w:p>
    <w:p w14:paraId="7AF67C78" w14:textId="772135E3" w:rsidR="00AA6D90" w:rsidRPr="00E90790" w:rsidRDefault="00AA6D90" w:rsidP="009B3505">
      <w:pPr>
        <w:contextualSpacing/>
        <w:jc w:val="both"/>
        <w:rPr>
          <w:rFonts w:ascii="Calibri" w:eastAsia="Calibri" w:hAnsi="Calibri" w:cs="Calibri"/>
          <w:i/>
          <w:color w:val="0D0D0D" w:themeColor="text1" w:themeTint="F2"/>
        </w:rPr>
      </w:pPr>
      <w:r w:rsidRPr="00E90790">
        <w:rPr>
          <w:rFonts w:ascii="Calibri" w:eastAsia="Calibri" w:hAnsi="Calibri" w:cs="Calibri"/>
          <w:color w:val="0D0D0D" w:themeColor="text1" w:themeTint="F2"/>
        </w:rPr>
        <w:t>Catholic Education Office has been delegated with authority from SACCS to develop, implement and report on the Non-government Reform Support Fund</w:t>
      </w:r>
      <w:r w:rsidRPr="00E90790">
        <w:rPr>
          <w:rFonts w:ascii="Calibri" w:eastAsia="Calibri" w:hAnsi="Calibri" w:cs="Calibri"/>
          <w:i/>
          <w:color w:val="0D0D0D" w:themeColor="text1" w:themeTint="F2"/>
        </w:rPr>
        <w:t>.</w:t>
      </w:r>
    </w:p>
    <w:p w14:paraId="501D401F" w14:textId="77777777" w:rsidR="00F4103D" w:rsidRPr="00E90790" w:rsidRDefault="00F4103D" w:rsidP="009B3505">
      <w:pPr>
        <w:contextualSpacing/>
        <w:rPr>
          <w:rFonts w:ascii="Calibri" w:eastAsia="Calibri" w:hAnsi="Calibri" w:cs="Calibri"/>
          <w:iCs/>
          <w:color w:val="0D0D0D" w:themeColor="text1" w:themeTint="F2"/>
        </w:rPr>
      </w:pPr>
    </w:p>
    <w:p w14:paraId="53A22D51" w14:textId="77777777" w:rsidR="009B3505" w:rsidRPr="00E90790" w:rsidRDefault="009B3505">
      <w:pPr>
        <w:rPr>
          <w:rFonts w:ascii="Calibri" w:eastAsia="Calibri" w:hAnsi="Calibri" w:cs="Calibri"/>
          <w:b/>
          <w:color w:val="0D0D0D" w:themeColor="text1" w:themeTint="F2"/>
        </w:rPr>
      </w:pPr>
      <w:r w:rsidRPr="00E90790">
        <w:rPr>
          <w:rFonts w:ascii="Calibri" w:eastAsia="Calibri" w:hAnsi="Calibri" w:cs="Calibri"/>
          <w:b/>
          <w:color w:val="0D0D0D" w:themeColor="text1" w:themeTint="F2"/>
        </w:rPr>
        <w:br w:type="page"/>
      </w:r>
    </w:p>
    <w:p w14:paraId="1715769E" w14:textId="1DD370FC" w:rsidR="00AA6D90" w:rsidRPr="00E90790" w:rsidRDefault="00AA6D90" w:rsidP="009B3505">
      <w:pPr>
        <w:rPr>
          <w:rFonts w:ascii="Calibri" w:eastAsia="Calibri" w:hAnsi="Calibri" w:cs="Calibri"/>
          <w:b/>
          <w:color w:val="0D0D0D" w:themeColor="text1" w:themeTint="F2"/>
        </w:rPr>
      </w:pPr>
      <w:r w:rsidRPr="00E90790">
        <w:rPr>
          <w:rFonts w:ascii="Calibri" w:eastAsia="Calibri" w:hAnsi="Calibri" w:cs="Calibri"/>
          <w:b/>
          <w:color w:val="0D0D0D" w:themeColor="text1" w:themeTint="F2"/>
        </w:rPr>
        <w:lastRenderedPageBreak/>
        <w:t>Key Drivers</w:t>
      </w:r>
    </w:p>
    <w:p w14:paraId="2D74567A" w14:textId="77777777" w:rsidR="00AA6D90" w:rsidRPr="00E90790" w:rsidRDefault="00AA6D90" w:rsidP="009B3505">
      <w:pPr>
        <w:rPr>
          <w:rFonts w:ascii="Calibri" w:eastAsia="Calibri" w:hAnsi="Calibri" w:cs="Calibri"/>
          <w:color w:val="0D0D0D" w:themeColor="text1" w:themeTint="F2"/>
        </w:rPr>
      </w:pPr>
      <w:r w:rsidRPr="00E90790">
        <w:rPr>
          <w:rFonts w:ascii="Calibri" w:eastAsia="Calibri" w:hAnsi="Calibri" w:cs="Calibri"/>
          <w:color w:val="0D0D0D" w:themeColor="text1" w:themeTint="F2"/>
        </w:rPr>
        <w:t>Education jurisdictions across Australia are responding to current research to lift student engagement and attainment and are supporting schools and systems to achieve improved student outcomes and overall school improvement. Within the South Australian Catholic context, current CESA key drivers include:</w:t>
      </w:r>
    </w:p>
    <w:p w14:paraId="6326604F" w14:textId="77777777" w:rsidR="00AA6D90" w:rsidRPr="00E90790" w:rsidRDefault="00AA6D90" w:rsidP="009B3505">
      <w:pPr>
        <w:pStyle w:val="ListParagraph"/>
        <w:numPr>
          <w:ilvl w:val="0"/>
          <w:numId w:val="36"/>
        </w:numPr>
        <w:ind w:left="426"/>
        <w:rPr>
          <w:rFonts w:ascii="Calibri" w:eastAsia="Calibri" w:hAnsi="Calibri" w:cs="Calibri"/>
          <w:i/>
          <w:color w:val="0D0D0D" w:themeColor="text1" w:themeTint="F2"/>
        </w:rPr>
      </w:pPr>
      <w:r w:rsidRPr="00E90790">
        <w:rPr>
          <w:rFonts w:ascii="Calibri" w:eastAsia="Calibri" w:hAnsi="Calibri" w:cs="Calibri"/>
          <w:color w:val="0D0D0D" w:themeColor="text1" w:themeTint="F2"/>
        </w:rPr>
        <w:t>SACCS Corporate Plan 2020-2024</w:t>
      </w:r>
    </w:p>
    <w:p w14:paraId="5249964F" w14:textId="77777777" w:rsidR="00AA6D90" w:rsidRPr="00E90790" w:rsidRDefault="00AA6D90" w:rsidP="009B3505">
      <w:pPr>
        <w:pStyle w:val="ListParagraph"/>
        <w:numPr>
          <w:ilvl w:val="0"/>
          <w:numId w:val="36"/>
        </w:numPr>
        <w:ind w:left="426"/>
        <w:rPr>
          <w:rFonts w:ascii="Calibri" w:eastAsia="Calibri" w:hAnsi="Calibri" w:cs="Calibri"/>
          <w:i/>
          <w:color w:val="0D0D0D" w:themeColor="text1" w:themeTint="F2"/>
        </w:rPr>
      </w:pPr>
      <w:r w:rsidRPr="00E90790">
        <w:rPr>
          <w:rFonts w:ascii="Calibri" w:eastAsia="Calibri" w:hAnsi="Calibri" w:cs="Calibri"/>
          <w:color w:val="0D0D0D" w:themeColor="text1" w:themeTint="F2"/>
        </w:rPr>
        <w:t>NCEC Strategic Priorities 2021-2023</w:t>
      </w:r>
    </w:p>
    <w:p w14:paraId="6C1825D8" w14:textId="77777777" w:rsidR="00AA6D90" w:rsidRPr="00E90790" w:rsidRDefault="00AA6D90" w:rsidP="009B3505">
      <w:pPr>
        <w:pStyle w:val="ListParagraph"/>
        <w:numPr>
          <w:ilvl w:val="0"/>
          <w:numId w:val="36"/>
        </w:numPr>
        <w:ind w:left="426"/>
        <w:rPr>
          <w:rFonts w:ascii="Calibri" w:eastAsia="Calibri" w:hAnsi="Calibri" w:cs="Calibri"/>
          <w:i/>
          <w:color w:val="0D0D0D" w:themeColor="text1" w:themeTint="F2"/>
        </w:rPr>
      </w:pPr>
      <w:r w:rsidRPr="00E90790">
        <w:rPr>
          <w:rFonts w:ascii="Calibri" w:eastAsia="Calibri" w:hAnsi="Calibri" w:cs="Calibri"/>
          <w:color w:val="0D0D0D" w:themeColor="text1" w:themeTint="F2"/>
        </w:rPr>
        <w:t>A Blueprint for ‘step change’ 2020</w:t>
      </w:r>
    </w:p>
    <w:p w14:paraId="7570C4CE"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Living Learning Leading Framework</w:t>
      </w:r>
    </w:p>
    <w:p w14:paraId="023AFE10"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Living Learning Leading Standard</w:t>
      </w:r>
    </w:p>
    <w:p w14:paraId="2C315C98"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Living Learning Leading Evidence Guide</w:t>
      </w:r>
    </w:p>
    <w:p w14:paraId="7CB9F036"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Leadership Standard</w:t>
      </w:r>
    </w:p>
    <w:p w14:paraId="044132EB"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Leadership Evidence Guide</w:t>
      </w:r>
    </w:p>
    <w:p w14:paraId="544B190B"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Strategy for Leading Catholic Schools to New Levels of Excellence</w:t>
      </w:r>
    </w:p>
    <w:p w14:paraId="600C9343"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Continuous Improvement Framework for Catholic Schools</w:t>
      </w:r>
    </w:p>
    <w:p w14:paraId="5D7A4A21"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Key Capabilities Continua</w:t>
      </w:r>
    </w:p>
    <w:p w14:paraId="377AB732"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Statement of Learning Commitment</w:t>
      </w:r>
    </w:p>
    <w:p w14:paraId="79D2BF85" w14:textId="77777777" w:rsidR="00AA6D90" w:rsidRPr="00E90790" w:rsidRDefault="00AA6D90" w:rsidP="009B3505">
      <w:pPr>
        <w:pStyle w:val="ListParagraph"/>
        <w:numPr>
          <w:ilvl w:val="0"/>
          <w:numId w:val="36"/>
        </w:numPr>
        <w:ind w:left="426"/>
        <w:rPr>
          <w:rFonts w:ascii="Calibri" w:eastAsia="Calibri" w:hAnsi="Calibri" w:cs="Calibri"/>
          <w:color w:val="0D0D0D" w:themeColor="text1" w:themeTint="F2"/>
        </w:rPr>
      </w:pPr>
      <w:r w:rsidRPr="00E90790">
        <w:rPr>
          <w:rFonts w:ascii="Calibri" w:eastAsia="Calibri" w:hAnsi="Calibri" w:cs="Calibri"/>
          <w:color w:val="0D0D0D" w:themeColor="text1" w:themeTint="F2"/>
        </w:rPr>
        <w:t>National School Reform Agreement 2019-2023</w:t>
      </w:r>
    </w:p>
    <w:p w14:paraId="250A40A9" w14:textId="77777777" w:rsidR="00AA6D90" w:rsidRPr="00E90790" w:rsidRDefault="00AA6D90" w:rsidP="00577903">
      <w:pPr>
        <w:ind w:left="709"/>
        <w:contextualSpacing/>
        <w:rPr>
          <w:rFonts w:ascii="Arial" w:eastAsia="Calibri" w:hAnsi="Arial" w:cs="Arial"/>
          <w:b/>
          <w:color w:val="0D0D0D" w:themeColor="text1" w:themeTint="F2"/>
          <w:sz w:val="20"/>
          <w:szCs w:val="20"/>
        </w:rPr>
      </w:pPr>
    </w:p>
    <w:p w14:paraId="54F55101" w14:textId="412C07D8" w:rsidR="00294818" w:rsidRPr="00E90790" w:rsidRDefault="00294818" w:rsidP="00AA6D90">
      <w:pPr>
        <w:spacing w:before="120" w:after="120" w:line="240" w:lineRule="auto"/>
        <w:rPr>
          <w:rFonts w:ascii="Arial" w:hAnsi="Arial" w:cs="Arial"/>
          <w:color w:val="0D0D0D" w:themeColor="text1" w:themeTint="F2"/>
          <w:sz w:val="20"/>
          <w:szCs w:val="20"/>
        </w:rPr>
        <w:sectPr w:rsidR="00294818" w:rsidRPr="00E90790" w:rsidSect="009B3505">
          <w:headerReference w:type="first" r:id="rId17"/>
          <w:footerReference w:type="first" r:id="rId18"/>
          <w:pgSz w:w="11906" w:h="16838"/>
          <w:pgMar w:top="709" w:right="1440" w:bottom="993" w:left="1440" w:header="142" w:footer="709" w:gutter="0"/>
          <w:cols w:space="708"/>
          <w:docGrid w:linePitch="360"/>
        </w:sectPr>
      </w:pPr>
    </w:p>
    <w:p w14:paraId="288F5B6C" w14:textId="1EFA5F4A" w:rsidR="003C4179" w:rsidRPr="00E90790" w:rsidRDefault="006A1020" w:rsidP="00061659">
      <w:pPr>
        <w:pStyle w:val="Heading3"/>
        <w:spacing w:line="480" w:lineRule="auto"/>
        <w:rPr>
          <w:rFonts w:asciiTheme="minorHAnsi" w:hAnsiTheme="minorHAnsi" w:cstheme="minorHAnsi"/>
          <w:b/>
          <w:bCs/>
          <w:color w:val="0D0D0D" w:themeColor="text1" w:themeTint="F2"/>
        </w:rPr>
      </w:pPr>
      <w:r w:rsidRPr="00E90790">
        <w:rPr>
          <w:rFonts w:asciiTheme="minorHAnsi" w:hAnsiTheme="minorHAnsi" w:cstheme="minorHAnsi"/>
          <w:b/>
          <w:bCs/>
          <w:color w:val="0D0D0D" w:themeColor="text1" w:themeTint="F2"/>
        </w:rPr>
        <w:lastRenderedPageBreak/>
        <w:t>S</w:t>
      </w:r>
      <w:r w:rsidR="00061659" w:rsidRPr="00E90790">
        <w:rPr>
          <w:rFonts w:asciiTheme="minorHAnsi" w:hAnsiTheme="minorHAnsi" w:cstheme="minorHAnsi"/>
          <w:b/>
          <w:bCs/>
          <w:color w:val="0D0D0D" w:themeColor="text1" w:themeTint="F2"/>
        </w:rPr>
        <w:t xml:space="preserve">ummary of 2022 </w:t>
      </w:r>
      <w:r w:rsidR="00044D53" w:rsidRPr="00E90790">
        <w:rPr>
          <w:rFonts w:asciiTheme="minorHAnsi" w:hAnsiTheme="minorHAnsi" w:cstheme="minorHAnsi"/>
          <w:b/>
          <w:bCs/>
          <w:color w:val="0D0D0D" w:themeColor="text1" w:themeTint="F2"/>
        </w:rPr>
        <w:t xml:space="preserve">SACCS </w:t>
      </w:r>
      <w:r w:rsidR="002B56C9" w:rsidRPr="00E90790">
        <w:rPr>
          <w:rFonts w:asciiTheme="minorHAnsi" w:hAnsiTheme="minorHAnsi" w:cstheme="minorHAnsi"/>
          <w:b/>
          <w:bCs/>
          <w:color w:val="0D0D0D" w:themeColor="text1" w:themeTint="F2"/>
        </w:rPr>
        <w:t>N</w:t>
      </w:r>
      <w:r w:rsidR="00061659" w:rsidRPr="00E90790">
        <w:rPr>
          <w:rFonts w:asciiTheme="minorHAnsi" w:hAnsiTheme="minorHAnsi" w:cstheme="minorHAnsi"/>
          <w:b/>
          <w:bCs/>
          <w:color w:val="0D0D0D" w:themeColor="text1" w:themeTint="F2"/>
        </w:rPr>
        <w:t>on</w:t>
      </w:r>
      <w:r w:rsidR="00162FD3" w:rsidRPr="00E90790">
        <w:rPr>
          <w:rFonts w:asciiTheme="minorHAnsi" w:hAnsiTheme="minorHAnsi" w:cstheme="minorHAnsi"/>
          <w:b/>
          <w:bCs/>
          <w:color w:val="0D0D0D" w:themeColor="text1" w:themeTint="F2"/>
        </w:rPr>
        <w:t>-</w:t>
      </w:r>
      <w:r w:rsidR="002B56C9" w:rsidRPr="00E90790">
        <w:rPr>
          <w:rFonts w:asciiTheme="minorHAnsi" w:hAnsiTheme="minorHAnsi" w:cstheme="minorHAnsi"/>
          <w:b/>
          <w:bCs/>
          <w:color w:val="0D0D0D" w:themeColor="text1" w:themeTint="F2"/>
        </w:rPr>
        <w:t>G</w:t>
      </w:r>
      <w:r w:rsidR="00061659" w:rsidRPr="00E90790">
        <w:rPr>
          <w:rFonts w:asciiTheme="minorHAnsi" w:hAnsiTheme="minorHAnsi" w:cstheme="minorHAnsi"/>
          <w:b/>
          <w:bCs/>
          <w:color w:val="0D0D0D" w:themeColor="text1" w:themeTint="F2"/>
        </w:rPr>
        <w:t>overnment</w:t>
      </w:r>
      <w:r w:rsidR="002B56C9" w:rsidRPr="00E90790">
        <w:rPr>
          <w:rFonts w:asciiTheme="minorHAnsi" w:hAnsiTheme="minorHAnsi" w:cstheme="minorHAnsi"/>
          <w:b/>
          <w:bCs/>
          <w:color w:val="0D0D0D" w:themeColor="text1" w:themeTint="F2"/>
        </w:rPr>
        <w:t xml:space="preserve"> R</w:t>
      </w:r>
      <w:r w:rsidR="00061659" w:rsidRPr="00E90790">
        <w:rPr>
          <w:rFonts w:asciiTheme="minorHAnsi" w:hAnsiTheme="minorHAnsi" w:cstheme="minorHAnsi"/>
          <w:b/>
          <w:bCs/>
          <w:color w:val="0D0D0D" w:themeColor="text1" w:themeTint="F2"/>
        </w:rPr>
        <w:t>eform</w:t>
      </w:r>
      <w:r w:rsidR="002B56C9" w:rsidRPr="00E90790">
        <w:rPr>
          <w:rFonts w:asciiTheme="minorHAnsi" w:hAnsiTheme="minorHAnsi" w:cstheme="minorHAnsi"/>
          <w:b/>
          <w:bCs/>
          <w:color w:val="0D0D0D" w:themeColor="text1" w:themeTint="F2"/>
        </w:rPr>
        <w:t xml:space="preserve"> S</w:t>
      </w:r>
      <w:r w:rsidR="00061659" w:rsidRPr="00E90790">
        <w:rPr>
          <w:rFonts w:asciiTheme="minorHAnsi" w:hAnsiTheme="minorHAnsi" w:cstheme="minorHAnsi"/>
          <w:b/>
          <w:bCs/>
          <w:color w:val="0D0D0D" w:themeColor="text1" w:themeTint="F2"/>
        </w:rPr>
        <w:t>upport</w:t>
      </w:r>
      <w:r w:rsidR="002B56C9" w:rsidRPr="00E90790">
        <w:rPr>
          <w:rFonts w:asciiTheme="minorHAnsi" w:hAnsiTheme="minorHAnsi" w:cstheme="minorHAnsi"/>
          <w:b/>
          <w:bCs/>
          <w:color w:val="0D0D0D" w:themeColor="text1" w:themeTint="F2"/>
        </w:rPr>
        <w:t xml:space="preserve"> F</w:t>
      </w:r>
      <w:r w:rsidR="00061659" w:rsidRPr="00E90790">
        <w:rPr>
          <w:rFonts w:asciiTheme="minorHAnsi" w:hAnsiTheme="minorHAnsi" w:cstheme="minorHAnsi"/>
          <w:b/>
          <w:bCs/>
          <w:color w:val="0D0D0D" w:themeColor="text1" w:themeTint="F2"/>
        </w:rPr>
        <w:t>und</w:t>
      </w:r>
      <w:r w:rsidRPr="00E90790">
        <w:rPr>
          <w:rFonts w:asciiTheme="minorHAnsi" w:hAnsiTheme="minorHAnsi" w:cstheme="minorHAnsi"/>
          <w:b/>
          <w:bCs/>
          <w:color w:val="0D0D0D" w:themeColor="text1" w:themeTint="F2"/>
        </w:rPr>
        <w:t xml:space="preserve"> B</w:t>
      </w:r>
      <w:r w:rsidR="00061659" w:rsidRPr="00E90790">
        <w:rPr>
          <w:rFonts w:asciiTheme="minorHAnsi" w:hAnsiTheme="minorHAnsi" w:cstheme="minorHAnsi"/>
          <w:b/>
          <w:bCs/>
          <w:color w:val="0D0D0D" w:themeColor="text1" w:themeTint="F2"/>
        </w:rPr>
        <w:t>udget</w:t>
      </w:r>
    </w:p>
    <w:p w14:paraId="6E295F20" w14:textId="77777777" w:rsidR="00C920AB" w:rsidRPr="00E90790" w:rsidRDefault="00C920AB" w:rsidP="00061659">
      <w:pPr>
        <w:spacing w:after="0" w:line="240" w:lineRule="auto"/>
        <w:rPr>
          <w:rFonts w:cs="Arial"/>
          <w:b/>
          <w:color w:val="0D0D0D" w:themeColor="text1" w:themeTint="F2"/>
          <w:u w:val="single"/>
        </w:rPr>
      </w:pPr>
    </w:p>
    <w:tbl>
      <w:tblPr>
        <w:tblStyle w:val="TableGrid"/>
        <w:tblW w:w="10627" w:type="dxa"/>
        <w:tblLook w:val="04A0" w:firstRow="1" w:lastRow="0" w:firstColumn="1" w:lastColumn="0" w:noHBand="0" w:noVBand="1"/>
      </w:tblPr>
      <w:tblGrid>
        <w:gridCol w:w="2547"/>
        <w:gridCol w:w="3544"/>
        <w:gridCol w:w="1701"/>
        <w:gridCol w:w="1559"/>
        <w:gridCol w:w="1276"/>
      </w:tblGrid>
      <w:tr w:rsidR="00E90790" w:rsidRPr="00E90790" w14:paraId="5CA8D4C3" w14:textId="77777777" w:rsidTr="008622CD">
        <w:trPr>
          <w:trHeight w:val="520"/>
          <w:tblHeader/>
        </w:trPr>
        <w:tc>
          <w:tcPr>
            <w:tcW w:w="2547" w:type="dxa"/>
            <w:tcBorders>
              <w:bottom w:val="single" w:sz="4" w:space="0" w:color="auto"/>
            </w:tcBorders>
            <w:shd w:val="clear" w:color="auto" w:fill="FFFFFF" w:themeFill="background1"/>
          </w:tcPr>
          <w:p w14:paraId="3ACE08E0" w14:textId="656EEC32" w:rsidR="0021220E" w:rsidRPr="00E90790" w:rsidRDefault="00E008D8" w:rsidP="00D63D22">
            <w:pPr>
              <w:contextualSpacing/>
              <w:rPr>
                <w:rFonts w:cs="Arial"/>
                <w:b/>
                <w:bCs/>
                <w:iCs/>
                <w:color w:val="0D0D0D" w:themeColor="text1" w:themeTint="F2"/>
              </w:rPr>
            </w:pPr>
            <w:r w:rsidRPr="00E90790">
              <w:rPr>
                <w:rFonts w:cs="Arial"/>
                <w:b/>
                <w:bCs/>
                <w:iCs/>
                <w:color w:val="0D0D0D" w:themeColor="text1" w:themeTint="F2"/>
              </w:rPr>
              <w:t>Project</w:t>
            </w:r>
          </w:p>
        </w:tc>
        <w:tc>
          <w:tcPr>
            <w:tcW w:w="3544" w:type="dxa"/>
            <w:tcBorders>
              <w:bottom w:val="single" w:sz="4" w:space="0" w:color="auto"/>
            </w:tcBorders>
            <w:shd w:val="clear" w:color="auto" w:fill="FFFFFF" w:themeFill="background1"/>
          </w:tcPr>
          <w:p w14:paraId="0D374641" w14:textId="7DB9859C" w:rsidR="0021220E" w:rsidRPr="00E90790" w:rsidRDefault="00E008D8" w:rsidP="00F4103D">
            <w:pPr>
              <w:contextualSpacing/>
              <w:rPr>
                <w:rFonts w:cs="Arial"/>
                <w:b/>
                <w:bCs/>
                <w:iCs/>
                <w:color w:val="0D0D0D" w:themeColor="text1" w:themeTint="F2"/>
              </w:rPr>
            </w:pPr>
            <w:r w:rsidRPr="00E90790">
              <w:rPr>
                <w:rFonts w:cs="Arial"/>
                <w:b/>
                <w:bCs/>
                <w:iCs/>
                <w:color w:val="0D0D0D" w:themeColor="text1" w:themeTint="F2"/>
              </w:rPr>
              <w:t>Activities</w:t>
            </w:r>
          </w:p>
        </w:tc>
        <w:tc>
          <w:tcPr>
            <w:tcW w:w="1701" w:type="dxa"/>
            <w:tcBorders>
              <w:bottom w:val="single" w:sz="4" w:space="0" w:color="auto"/>
            </w:tcBorders>
            <w:shd w:val="clear" w:color="auto" w:fill="FFFFFF" w:themeFill="background1"/>
          </w:tcPr>
          <w:p w14:paraId="45077629" w14:textId="77777777" w:rsidR="0021220E" w:rsidRPr="00E90790" w:rsidRDefault="00E008D8" w:rsidP="00F4103D">
            <w:pPr>
              <w:contextualSpacing/>
              <w:rPr>
                <w:rFonts w:cs="Arial"/>
                <w:b/>
                <w:bCs/>
                <w:iCs/>
                <w:color w:val="0D0D0D" w:themeColor="text1" w:themeTint="F2"/>
              </w:rPr>
            </w:pPr>
            <w:r w:rsidRPr="00E90790">
              <w:rPr>
                <w:rFonts w:cs="Arial"/>
                <w:b/>
                <w:bCs/>
                <w:iCs/>
                <w:color w:val="0D0D0D" w:themeColor="text1" w:themeTint="F2"/>
              </w:rPr>
              <w:t>Reform Support Funding</w:t>
            </w:r>
          </w:p>
          <w:p w14:paraId="1C8EED07" w14:textId="4DADBA26" w:rsidR="00C664B1" w:rsidRPr="00E90790" w:rsidRDefault="00C664B1" w:rsidP="00F4103D">
            <w:pPr>
              <w:contextualSpacing/>
              <w:rPr>
                <w:rFonts w:cs="Arial"/>
                <w:b/>
                <w:bCs/>
                <w:i/>
                <w:color w:val="0D0D0D" w:themeColor="text1" w:themeTint="F2"/>
              </w:rPr>
            </w:pPr>
            <w:r w:rsidRPr="00E90790">
              <w:rPr>
                <w:rFonts w:cs="Arial"/>
                <w:b/>
                <w:bCs/>
                <w:i/>
                <w:color w:val="0D0D0D" w:themeColor="text1" w:themeTint="F2"/>
              </w:rPr>
              <w:t>(Indicative Only)</w:t>
            </w:r>
          </w:p>
        </w:tc>
        <w:tc>
          <w:tcPr>
            <w:tcW w:w="1559" w:type="dxa"/>
            <w:tcBorders>
              <w:bottom w:val="single" w:sz="4" w:space="0" w:color="auto"/>
            </w:tcBorders>
            <w:shd w:val="clear" w:color="auto" w:fill="FFFFFF" w:themeFill="background1"/>
          </w:tcPr>
          <w:p w14:paraId="3227EEF9" w14:textId="30AB0EF6" w:rsidR="0021220E" w:rsidRPr="00E90790" w:rsidRDefault="00E008D8" w:rsidP="00F4103D">
            <w:pPr>
              <w:contextualSpacing/>
              <w:rPr>
                <w:rFonts w:cs="Arial"/>
                <w:b/>
                <w:bCs/>
                <w:iCs/>
                <w:color w:val="0D0D0D" w:themeColor="text1" w:themeTint="F2"/>
              </w:rPr>
            </w:pPr>
            <w:r w:rsidRPr="00E90790">
              <w:rPr>
                <w:rFonts w:cs="Arial"/>
                <w:b/>
                <w:bCs/>
                <w:iCs/>
                <w:color w:val="0D0D0D" w:themeColor="text1" w:themeTint="F2"/>
              </w:rPr>
              <w:t>Funding from other sources</w:t>
            </w:r>
          </w:p>
        </w:tc>
        <w:tc>
          <w:tcPr>
            <w:tcW w:w="1276" w:type="dxa"/>
            <w:tcBorders>
              <w:bottom w:val="single" w:sz="4" w:space="0" w:color="auto"/>
            </w:tcBorders>
            <w:shd w:val="clear" w:color="auto" w:fill="FFFFFF" w:themeFill="background1"/>
          </w:tcPr>
          <w:p w14:paraId="4107A099" w14:textId="5B271AC4" w:rsidR="0021220E" w:rsidRPr="00E90790" w:rsidRDefault="00E008D8" w:rsidP="00F4103D">
            <w:pPr>
              <w:contextualSpacing/>
              <w:rPr>
                <w:rFonts w:cs="Arial"/>
                <w:b/>
                <w:bCs/>
                <w:iCs/>
                <w:color w:val="0D0D0D" w:themeColor="text1" w:themeTint="F2"/>
              </w:rPr>
            </w:pPr>
            <w:r w:rsidRPr="00E90790">
              <w:rPr>
                <w:rFonts w:cs="Arial"/>
                <w:b/>
                <w:bCs/>
                <w:iCs/>
                <w:color w:val="0D0D0D" w:themeColor="text1" w:themeTint="F2"/>
              </w:rPr>
              <w:t>Total project funding</w:t>
            </w:r>
          </w:p>
        </w:tc>
      </w:tr>
      <w:tr w:rsidR="00E90790" w:rsidRPr="00E90790" w14:paraId="680416A2" w14:textId="77777777" w:rsidTr="008622CD">
        <w:trPr>
          <w:trHeight w:val="770"/>
        </w:trPr>
        <w:tc>
          <w:tcPr>
            <w:tcW w:w="2547" w:type="dxa"/>
            <w:vMerge w:val="restart"/>
          </w:tcPr>
          <w:p w14:paraId="5D07A5C8" w14:textId="44332DB6" w:rsidR="0084000C" w:rsidRPr="00E90790" w:rsidRDefault="0084000C" w:rsidP="00D63D22">
            <w:pPr>
              <w:contextualSpacing/>
              <w:rPr>
                <w:rFonts w:cs="Arial"/>
                <w:b/>
                <w:bCs/>
                <w:iCs/>
                <w:color w:val="0D0D0D" w:themeColor="text1" w:themeTint="F2"/>
              </w:rPr>
            </w:pPr>
            <w:r w:rsidRPr="00E90790">
              <w:rPr>
                <w:rFonts w:cs="Arial"/>
                <w:b/>
                <w:bCs/>
                <w:iCs/>
                <w:color w:val="0D0D0D" w:themeColor="text1" w:themeTint="F2"/>
              </w:rPr>
              <w:t>Key Direction 1</w:t>
            </w:r>
          </w:p>
          <w:p w14:paraId="096FC60C" w14:textId="77777777" w:rsidR="0084000C" w:rsidRPr="00E90790" w:rsidRDefault="0084000C" w:rsidP="00D63D22">
            <w:pPr>
              <w:contextualSpacing/>
              <w:rPr>
                <w:rFonts w:cs="Arial"/>
                <w:b/>
                <w:bCs/>
                <w:iCs/>
                <w:color w:val="0D0D0D" w:themeColor="text1" w:themeTint="F2"/>
              </w:rPr>
            </w:pPr>
          </w:p>
          <w:p w14:paraId="4EE3DBAC" w14:textId="200D6C6A" w:rsidR="0084000C" w:rsidRPr="00E90790" w:rsidRDefault="0084000C" w:rsidP="00D63D22">
            <w:pPr>
              <w:contextualSpacing/>
              <w:rPr>
                <w:rFonts w:cs="Arial"/>
                <w:b/>
                <w:bCs/>
                <w:iCs/>
                <w:color w:val="0D0D0D" w:themeColor="text1" w:themeTint="F2"/>
              </w:rPr>
            </w:pPr>
            <w:r w:rsidRPr="00E90790">
              <w:rPr>
                <w:rFonts w:cs="Arial"/>
                <w:b/>
                <w:bCs/>
                <w:iCs/>
                <w:color w:val="0D0D0D" w:themeColor="text1" w:themeTint="F2"/>
              </w:rPr>
              <w:t>Supporting students, student learning and student achievement</w:t>
            </w:r>
          </w:p>
        </w:tc>
        <w:tc>
          <w:tcPr>
            <w:tcW w:w="3544" w:type="dxa"/>
            <w:tcBorders>
              <w:bottom w:val="single" w:sz="4" w:space="0" w:color="auto"/>
            </w:tcBorders>
          </w:tcPr>
          <w:p w14:paraId="166F461B" w14:textId="6F3C14A0" w:rsidR="0084000C" w:rsidRPr="00E90790" w:rsidRDefault="0084000C" w:rsidP="0084000C">
            <w:pPr>
              <w:contextualSpacing/>
              <w:rPr>
                <w:rFonts w:cs="Arial"/>
                <w:b/>
                <w:bCs/>
                <w:iCs/>
                <w:color w:val="0D0D0D" w:themeColor="text1" w:themeTint="F2"/>
              </w:rPr>
            </w:pPr>
            <w:r w:rsidRPr="00E90790">
              <w:rPr>
                <w:rFonts w:cs="Arial"/>
                <w:b/>
                <w:bCs/>
                <w:iCs/>
                <w:color w:val="0D0D0D" w:themeColor="text1" w:themeTint="F2"/>
              </w:rPr>
              <w:t>Improved Student Learning &amp; Wellbeing</w:t>
            </w:r>
          </w:p>
        </w:tc>
        <w:tc>
          <w:tcPr>
            <w:tcW w:w="1701" w:type="dxa"/>
            <w:tcBorders>
              <w:bottom w:val="single" w:sz="4" w:space="0" w:color="auto"/>
            </w:tcBorders>
          </w:tcPr>
          <w:p w14:paraId="45E12D82" w14:textId="77777777" w:rsidR="0084000C" w:rsidRPr="00E90790" w:rsidRDefault="0084000C" w:rsidP="00F4103D">
            <w:pPr>
              <w:contextualSpacing/>
              <w:jc w:val="both"/>
              <w:rPr>
                <w:rFonts w:cs="Arial"/>
                <w:iCs/>
                <w:color w:val="0D0D0D" w:themeColor="text1" w:themeTint="F2"/>
              </w:rPr>
            </w:pPr>
          </w:p>
        </w:tc>
        <w:tc>
          <w:tcPr>
            <w:tcW w:w="1559" w:type="dxa"/>
            <w:tcBorders>
              <w:bottom w:val="single" w:sz="4" w:space="0" w:color="auto"/>
            </w:tcBorders>
          </w:tcPr>
          <w:p w14:paraId="6A9BBACD" w14:textId="77777777" w:rsidR="0084000C" w:rsidRPr="00E90790" w:rsidRDefault="0084000C" w:rsidP="00F4103D">
            <w:pPr>
              <w:contextualSpacing/>
              <w:jc w:val="both"/>
              <w:rPr>
                <w:rFonts w:cs="Arial"/>
                <w:iCs/>
                <w:color w:val="0D0D0D" w:themeColor="text1" w:themeTint="F2"/>
              </w:rPr>
            </w:pPr>
          </w:p>
        </w:tc>
        <w:tc>
          <w:tcPr>
            <w:tcW w:w="1276" w:type="dxa"/>
            <w:vMerge w:val="restart"/>
          </w:tcPr>
          <w:p w14:paraId="735A3DDC" w14:textId="77777777" w:rsidR="0084000C" w:rsidRPr="00E90790" w:rsidRDefault="0084000C" w:rsidP="00F4103D">
            <w:pPr>
              <w:contextualSpacing/>
              <w:jc w:val="both"/>
              <w:rPr>
                <w:rFonts w:cs="Arial"/>
                <w:iCs/>
                <w:color w:val="0D0D0D" w:themeColor="text1" w:themeTint="F2"/>
              </w:rPr>
            </w:pPr>
          </w:p>
        </w:tc>
      </w:tr>
      <w:tr w:rsidR="00E90790" w:rsidRPr="00E90790" w14:paraId="08467B56" w14:textId="77777777" w:rsidTr="008622CD">
        <w:trPr>
          <w:trHeight w:val="550"/>
        </w:trPr>
        <w:tc>
          <w:tcPr>
            <w:tcW w:w="2547" w:type="dxa"/>
            <w:vMerge/>
          </w:tcPr>
          <w:p w14:paraId="53F72C1C" w14:textId="29D3C2A8" w:rsidR="0084000C" w:rsidRPr="00E90790" w:rsidRDefault="0084000C" w:rsidP="00D63D22">
            <w:pPr>
              <w:contextualSpacing/>
              <w:rPr>
                <w:rFonts w:cs="Arial"/>
                <w:b/>
                <w:bCs/>
                <w:iCs/>
                <w:color w:val="0D0D0D" w:themeColor="text1" w:themeTint="F2"/>
              </w:rPr>
            </w:pPr>
          </w:p>
        </w:tc>
        <w:tc>
          <w:tcPr>
            <w:tcW w:w="3544" w:type="dxa"/>
            <w:tcBorders>
              <w:top w:val="single" w:sz="4" w:space="0" w:color="auto"/>
              <w:bottom w:val="single" w:sz="4" w:space="0" w:color="auto"/>
            </w:tcBorders>
          </w:tcPr>
          <w:p w14:paraId="4C63FDE5" w14:textId="2BC76529" w:rsidR="0084000C" w:rsidRPr="00E90790" w:rsidRDefault="0084000C" w:rsidP="00653A89">
            <w:pPr>
              <w:pStyle w:val="ListParagraph"/>
              <w:numPr>
                <w:ilvl w:val="0"/>
                <w:numId w:val="31"/>
              </w:numPr>
              <w:ind w:left="320"/>
              <w:rPr>
                <w:rFonts w:cs="Arial"/>
                <w:iCs/>
                <w:color w:val="0D0D0D" w:themeColor="text1" w:themeTint="F2"/>
              </w:rPr>
            </w:pPr>
            <w:r w:rsidRPr="00E90790">
              <w:rPr>
                <w:rFonts w:cs="Arial"/>
                <w:iCs/>
                <w:color w:val="0D0D0D" w:themeColor="text1" w:themeTint="F2"/>
              </w:rPr>
              <w:t>IDEAS - University Southern QLD</w:t>
            </w:r>
          </w:p>
        </w:tc>
        <w:tc>
          <w:tcPr>
            <w:tcW w:w="1701" w:type="dxa"/>
            <w:tcBorders>
              <w:top w:val="single" w:sz="4" w:space="0" w:color="auto"/>
              <w:bottom w:val="single" w:sz="4" w:space="0" w:color="auto"/>
            </w:tcBorders>
          </w:tcPr>
          <w:p w14:paraId="33101E39" w14:textId="33985DF7"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$60,000</w:t>
            </w:r>
          </w:p>
        </w:tc>
        <w:tc>
          <w:tcPr>
            <w:tcW w:w="1559" w:type="dxa"/>
            <w:tcBorders>
              <w:top w:val="single" w:sz="4" w:space="0" w:color="auto"/>
              <w:bottom w:val="single" w:sz="4" w:space="0" w:color="auto"/>
            </w:tcBorders>
          </w:tcPr>
          <w:p w14:paraId="0C6436FE" w14:textId="5568D068"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Pr>
          <w:p w14:paraId="7B9E7048" w14:textId="0AEC5639" w:rsidR="0084000C" w:rsidRPr="00E90790" w:rsidRDefault="0084000C" w:rsidP="00F4103D">
            <w:pPr>
              <w:contextualSpacing/>
              <w:rPr>
                <w:rFonts w:cs="Arial"/>
                <w:iCs/>
                <w:color w:val="0D0D0D" w:themeColor="text1" w:themeTint="F2"/>
              </w:rPr>
            </w:pPr>
          </w:p>
        </w:tc>
      </w:tr>
      <w:tr w:rsidR="00E90790" w:rsidRPr="00E90790" w14:paraId="5FF97D3C" w14:textId="77777777" w:rsidTr="008622CD">
        <w:trPr>
          <w:trHeight w:val="282"/>
        </w:trPr>
        <w:tc>
          <w:tcPr>
            <w:tcW w:w="2547" w:type="dxa"/>
            <w:vMerge/>
            <w:tcBorders>
              <w:bottom w:val="nil"/>
            </w:tcBorders>
          </w:tcPr>
          <w:p w14:paraId="12F64B6A"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062C6AB7" w14:textId="77777777" w:rsidR="0084000C" w:rsidRPr="00E90790" w:rsidRDefault="0084000C" w:rsidP="00653A89">
            <w:pPr>
              <w:pStyle w:val="ListParagraph"/>
              <w:numPr>
                <w:ilvl w:val="0"/>
                <w:numId w:val="31"/>
              </w:numPr>
              <w:ind w:left="320"/>
              <w:rPr>
                <w:rFonts w:cs="Arial"/>
                <w:iCs/>
                <w:color w:val="0D0D0D" w:themeColor="text1" w:themeTint="F2"/>
              </w:rPr>
            </w:pPr>
            <w:r w:rsidRPr="00E90790">
              <w:rPr>
                <w:rFonts w:cs="Arial"/>
                <w:iCs/>
                <w:color w:val="0D0D0D" w:themeColor="text1" w:themeTint="F2"/>
              </w:rPr>
              <w:t>Wellbeing Initiatives</w:t>
            </w:r>
          </w:p>
          <w:p w14:paraId="0DB7EBB1" w14:textId="7447EBC2" w:rsidR="008622CD" w:rsidRPr="00E90790" w:rsidRDefault="008622CD" w:rsidP="008622CD">
            <w:pPr>
              <w:pStyle w:val="ListParagraph"/>
              <w:ind w:left="320"/>
              <w:rPr>
                <w:rFonts w:cs="Arial"/>
                <w:iCs/>
                <w:color w:val="0D0D0D" w:themeColor="text1" w:themeTint="F2"/>
              </w:rPr>
            </w:pPr>
          </w:p>
        </w:tc>
        <w:tc>
          <w:tcPr>
            <w:tcW w:w="1701" w:type="dxa"/>
            <w:tcBorders>
              <w:top w:val="single" w:sz="4" w:space="0" w:color="auto"/>
              <w:bottom w:val="single" w:sz="4" w:space="0" w:color="auto"/>
            </w:tcBorders>
          </w:tcPr>
          <w:p w14:paraId="63D99208" w14:textId="3A631052"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$110,000</w:t>
            </w:r>
          </w:p>
        </w:tc>
        <w:tc>
          <w:tcPr>
            <w:tcW w:w="1559" w:type="dxa"/>
            <w:tcBorders>
              <w:top w:val="single" w:sz="4" w:space="0" w:color="auto"/>
              <w:bottom w:val="single" w:sz="4" w:space="0" w:color="auto"/>
            </w:tcBorders>
          </w:tcPr>
          <w:p w14:paraId="2CC4279B" w14:textId="17F0C618"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Pr>
          <w:p w14:paraId="7C3031F5" w14:textId="77777777" w:rsidR="0084000C" w:rsidRPr="00E90790" w:rsidRDefault="0084000C" w:rsidP="00F4103D">
            <w:pPr>
              <w:contextualSpacing/>
              <w:rPr>
                <w:rFonts w:cs="Arial"/>
                <w:iCs/>
                <w:color w:val="0D0D0D" w:themeColor="text1" w:themeTint="F2"/>
              </w:rPr>
            </w:pPr>
          </w:p>
        </w:tc>
      </w:tr>
      <w:tr w:rsidR="00E90790" w:rsidRPr="00E90790" w14:paraId="24BCB66E" w14:textId="77777777" w:rsidTr="008622CD">
        <w:trPr>
          <w:trHeight w:val="80"/>
        </w:trPr>
        <w:tc>
          <w:tcPr>
            <w:tcW w:w="2547" w:type="dxa"/>
            <w:tcBorders>
              <w:top w:val="nil"/>
              <w:bottom w:val="single" w:sz="4" w:space="0" w:color="auto"/>
            </w:tcBorders>
          </w:tcPr>
          <w:p w14:paraId="0146631B"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0454C367" w14:textId="04271D4D" w:rsidR="0084000C" w:rsidRPr="00E90790" w:rsidRDefault="0084000C" w:rsidP="00653A89">
            <w:pPr>
              <w:pStyle w:val="ListParagraph"/>
              <w:numPr>
                <w:ilvl w:val="0"/>
                <w:numId w:val="31"/>
              </w:numPr>
              <w:ind w:left="320"/>
              <w:rPr>
                <w:rFonts w:cs="Arial"/>
                <w:iCs/>
                <w:color w:val="0D0D0D" w:themeColor="text1" w:themeTint="F2"/>
              </w:rPr>
            </w:pPr>
            <w:r w:rsidRPr="00E90790">
              <w:rPr>
                <w:rFonts w:cs="Arial"/>
                <w:iCs/>
                <w:color w:val="0D0D0D" w:themeColor="text1" w:themeTint="F2"/>
              </w:rPr>
              <w:t>Nationally Consistent Collection of Data (NCCD)</w:t>
            </w:r>
          </w:p>
        </w:tc>
        <w:tc>
          <w:tcPr>
            <w:tcW w:w="1701" w:type="dxa"/>
            <w:tcBorders>
              <w:top w:val="single" w:sz="4" w:space="0" w:color="auto"/>
              <w:bottom w:val="single" w:sz="4" w:space="0" w:color="auto"/>
            </w:tcBorders>
          </w:tcPr>
          <w:p w14:paraId="42D8E990" w14:textId="05F68EA8"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$40,000</w:t>
            </w:r>
          </w:p>
        </w:tc>
        <w:tc>
          <w:tcPr>
            <w:tcW w:w="1559" w:type="dxa"/>
            <w:tcBorders>
              <w:top w:val="single" w:sz="4" w:space="0" w:color="auto"/>
              <w:bottom w:val="single" w:sz="4" w:space="0" w:color="auto"/>
            </w:tcBorders>
          </w:tcPr>
          <w:p w14:paraId="1684FF8E" w14:textId="3F51A21B"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Borders>
              <w:bottom w:val="single" w:sz="4" w:space="0" w:color="auto"/>
            </w:tcBorders>
          </w:tcPr>
          <w:p w14:paraId="074CB4B2" w14:textId="77777777" w:rsidR="0084000C" w:rsidRPr="00E90790" w:rsidRDefault="0084000C" w:rsidP="00F4103D">
            <w:pPr>
              <w:contextualSpacing/>
              <w:rPr>
                <w:rFonts w:cs="Arial"/>
                <w:iCs/>
                <w:color w:val="0D0D0D" w:themeColor="text1" w:themeTint="F2"/>
              </w:rPr>
            </w:pPr>
          </w:p>
        </w:tc>
      </w:tr>
      <w:tr w:rsidR="00E90790" w:rsidRPr="00E90790" w14:paraId="1130ABC4" w14:textId="77777777" w:rsidTr="008622CD">
        <w:trPr>
          <w:trHeight w:val="560"/>
        </w:trPr>
        <w:tc>
          <w:tcPr>
            <w:tcW w:w="2547" w:type="dxa"/>
            <w:vMerge w:val="restart"/>
          </w:tcPr>
          <w:p w14:paraId="369A0A62" w14:textId="077D40F1" w:rsidR="0084000C" w:rsidRPr="00E90790" w:rsidRDefault="0084000C" w:rsidP="00D63D22">
            <w:pPr>
              <w:contextualSpacing/>
              <w:rPr>
                <w:rFonts w:cs="Arial"/>
                <w:b/>
                <w:bCs/>
                <w:iCs/>
                <w:color w:val="0D0D0D" w:themeColor="text1" w:themeTint="F2"/>
              </w:rPr>
            </w:pPr>
            <w:r w:rsidRPr="00E90790">
              <w:rPr>
                <w:rFonts w:cs="Arial"/>
                <w:b/>
                <w:bCs/>
                <w:iCs/>
                <w:color w:val="0D0D0D" w:themeColor="text1" w:themeTint="F2"/>
              </w:rPr>
              <w:t>Key Direction 1</w:t>
            </w:r>
          </w:p>
          <w:p w14:paraId="4E8D1869" w14:textId="77777777" w:rsidR="0084000C" w:rsidRPr="00E90790" w:rsidRDefault="0084000C" w:rsidP="00D63D22">
            <w:pPr>
              <w:contextualSpacing/>
              <w:rPr>
                <w:rFonts w:cs="Arial"/>
                <w:b/>
                <w:bCs/>
                <w:iCs/>
                <w:color w:val="0D0D0D" w:themeColor="text1" w:themeTint="F2"/>
              </w:rPr>
            </w:pPr>
          </w:p>
          <w:p w14:paraId="515EC6B1" w14:textId="15EE4093" w:rsidR="0084000C" w:rsidRPr="00E90790" w:rsidRDefault="0084000C" w:rsidP="00D63D22">
            <w:pPr>
              <w:contextualSpacing/>
              <w:rPr>
                <w:rFonts w:cs="Arial"/>
                <w:iCs/>
                <w:color w:val="0D0D0D" w:themeColor="text1" w:themeTint="F2"/>
              </w:rPr>
            </w:pPr>
            <w:r w:rsidRPr="00E90790">
              <w:rPr>
                <w:rFonts w:cs="Arial"/>
                <w:b/>
                <w:bCs/>
                <w:iCs/>
                <w:color w:val="0D0D0D" w:themeColor="text1" w:themeTint="F2"/>
              </w:rPr>
              <w:t>Supporting students, student learning and student achievement</w:t>
            </w:r>
          </w:p>
        </w:tc>
        <w:tc>
          <w:tcPr>
            <w:tcW w:w="3544" w:type="dxa"/>
            <w:tcBorders>
              <w:top w:val="single" w:sz="4" w:space="0" w:color="auto"/>
              <w:bottom w:val="single" w:sz="4" w:space="0" w:color="auto"/>
            </w:tcBorders>
          </w:tcPr>
          <w:p w14:paraId="3BF96811" w14:textId="2AEB3FE9" w:rsidR="0084000C" w:rsidRPr="00E90790" w:rsidRDefault="0084000C" w:rsidP="00F4103D">
            <w:pPr>
              <w:contextualSpacing/>
              <w:rPr>
                <w:rFonts w:cs="Arial"/>
                <w:b/>
                <w:bCs/>
                <w:iCs/>
                <w:color w:val="0D0D0D" w:themeColor="text1" w:themeTint="F2"/>
              </w:rPr>
            </w:pPr>
            <w:r w:rsidRPr="00E90790">
              <w:rPr>
                <w:rFonts w:cs="Arial"/>
                <w:b/>
                <w:bCs/>
                <w:iCs/>
                <w:color w:val="0D0D0D" w:themeColor="text1" w:themeTint="F2"/>
              </w:rPr>
              <w:t>STEM Initiatives</w:t>
            </w:r>
          </w:p>
        </w:tc>
        <w:tc>
          <w:tcPr>
            <w:tcW w:w="1701" w:type="dxa"/>
            <w:tcBorders>
              <w:top w:val="single" w:sz="4" w:space="0" w:color="auto"/>
              <w:bottom w:val="single" w:sz="4" w:space="0" w:color="auto"/>
            </w:tcBorders>
          </w:tcPr>
          <w:p w14:paraId="6A1A2000" w14:textId="77777777" w:rsidR="0084000C" w:rsidRPr="00E90790" w:rsidRDefault="0084000C" w:rsidP="00F4103D">
            <w:pPr>
              <w:contextualSpacing/>
              <w:rPr>
                <w:rFonts w:cs="Arial"/>
                <w:iCs/>
                <w:color w:val="0D0D0D" w:themeColor="text1" w:themeTint="F2"/>
              </w:rPr>
            </w:pPr>
          </w:p>
        </w:tc>
        <w:tc>
          <w:tcPr>
            <w:tcW w:w="1559" w:type="dxa"/>
            <w:tcBorders>
              <w:top w:val="single" w:sz="4" w:space="0" w:color="auto"/>
              <w:bottom w:val="single" w:sz="4" w:space="0" w:color="auto"/>
            </w:tcBorders>
          </w:tcPr>
          <w:p w14:paraId="074A9950" w14:textId="77777777" w:rsidR="0084000C" w:rsidRPr="00E90790" w:rsidRDefault="0084000C" w:rsidP="00F4103D">
            <w:pPr>
              <w:contextualSpacing/>
              <w:rPr>
                <w:rFonts w:cs="Arial"/>
                <w:iCs/>
                <w:color w:val="0D0D0D" w:themeColor="text1" w:themeTint="F2"/>
              </w:rPr>
            </w:pPr>
          </w:p>
        </w:tc>
        <w:tc>
          <w:tcPr>
            <w:tcW w:w="1276" w:type="dxa"/>
            <w:vMerge w:val="restart"/>
            <w:tcBorders>
              <w:top w:val="single" w:sz="4" w:space="0" w:color="auto"/>
            </w:tcBorders>
          </w:tcPr>
          <w:p w14:paraId="53E84876" w14:textId="77777777" w:rsidR="0084000C" w:rsidRPr="00E90790" w:rsidRDefault="0084000C" w:rsidP="00F4103D">
            <w:pPr>
              <w:contextualSpacing/>
              <w:rPr>
                <w:rFonts w:cs="Arial"/>
                <w:iCs/>
                <w:color w:val="0D0D0D" w:themeColor="text1" w:themeTint="F2"/>
              </w:rPr>
            </w:pPr>
          </w:p>
        </w:tc>
      </w:tr>
      <w:tr w:rsidR="00E90790" w:rsidRPr="00E90790" w14:paraId="29593572" w14:textId="77777777" w:rsidTr="008622CD">
        <w:trPr>
          <w:trHeight w:val="550"/>
        </w:trPr>
        <w:tc>
          <w:tcPr>
            <w:tcW w:w="2547" w:type="dxa"/>
            <w:vMerge/>
          </w:tcPr>
          <w:p w14:paraId="446BB780"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736B8BA7" w14:textId="3B8A8B82" w:rsidR="0084000C" w:rsidRPr="00E90790" w:rsidRDefault="0084000C" w:rsidP="00F4103D">
            <w:pPr>
              <w:pStyle w:val="ListParagraph"/>
              <w:numPr>
                <w:ilvl w:val="0"/>
                <w:numId w:val="31"/>
              </w:numPr>
              <w:ind w:left="320"/>
              <w:rPr>
                <w:rFonts w:cs="Arial"/>
                <w:iCs/>
                <w:color w:val="0D0D0D" w:themeColor="text1" w:themeTint="F2"/>
              </w:rPr>
            </w:pPr>
            <w:r w:rsidRPr="00E90790">
              <w:rPr>
                <w:rFonts w:cs="Arial"/>
                <w:iCs/>
                <w:color w:val="0D0D0D" w:themeColor="text1" w:themeTint="F2"/>
              </w:rPr>
              <w:t>Primary Years, Middle Years</w:t>
            </w:r>
          </w:p>
        </w:tc>
        <w:tc>
          <w:tcPr>
            <w:tcW w:w="1701" w:type="dxa"/>
            <w:tcBorders>
              <w:top w:val="single" w:sz="4" w:space="0" w:color="auto"/>
              <w:bottom w:val="single" w:sz="4" w:space="0" w:color="auto"/>
            </w:tcBorders>
          </w:tcPr>
          <w:p w14:paraId="7FD983EB" w14:textId="5AEA041D"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$148,000</w:t>
            </w:r>
          </w:p>
        </w:tc>
        <w:tc>
          <w:tcPr>
            <w:tcW w:w="1559" w:type="dxa"/>
            <w:tcBorders>
              <w:top w:val="single" w:sz="4" w:space="0" w:color="auto"/>
              <w:bottom w:val="single" w:sz="4" w:space="0" w:color="auto"/>
            </w:tcBorders>
          </w:tcPr>
          <w:p w14:paraId="56A6D11F" w14:textId="6D57886A"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Pr>
          <w:p w14:paraId="58B16AC0" w14:textId="77777777" w:rsidR="0084000C" w:rsidRPr="00E90790" w:rsidRDefault="0084000C" w:rsidP="00F4103D">
            <w:pPr>
              <w:contextualSpacing/>
              <w:rPr>
                <w:rFonts w:cs="Arial"/>
                <w:iCs/>
                <w:color w:val="0D0D0D" w:themeColor="text1" w:themeTint="F2"/>
              </w:rPr>
            </w:pPr>
          </w:p>
        </w:tc>
      </w:tr>
      <w:tr w:rsidR="00E90790" w:rsidRPr="00E90790" w14:paraId="799E7521" w14:textId="77777777" w:rsidTr="008622CD">
        <w:trPr>
          <w:trHeight w:val="535"/>
        </w:trPr>
        <w:tc>
          <w:tcPr>
            <w:tcW w:w="2547" w:type="dxa"/>
            <w:vMerge/>
            <w:tcBorders>
              <w:bottom w:val="single" w:sz="4" w:space="0" w:color="auto"/>
            </w:tcBorders>
          </w:tcPr>
          <w:p w14:paraId="6D5CF2D7"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21DD0670" w14:textId="550F0521" w:rsidR="0084000C" w:rsidRPr="00E90790" w:rsidRDefault="0084000C" w:rsidP="00F4103D">
            <w:pPr>
              <w:pStyle w:val="ListParagraph"/>
              <w:numPr>
                <w:ilvl w:val="0"/>
                <w:numId w:val="31"/>
              </w:numPr>
              <w:ind w:left="320"/>
              <w:rPr>
                <w:rFonts w:cs="Arial"/>
                <w:iCs/>
                <w:color w:val="0D0D0D" w:themeColor="text1" w:themeTint="F2"/>
              </w:rPr>
            </w:pPr>
            <w:r w:rsidRPr="00E90790">
              <w:rPr>
                <w:rFonts w:cs="Arial"/>
                <w:iCs/>
                <w:color w:val="0D0D0D" w:themeColor="text1" w:themeTint="F2"/>
              </w:rPr>
              <w:t>Early Years Learning Ecologies</w:t>
            </w:r>
          </w:p>
        </w:tc>
        <w:tc>
          <w:tcPr>
            <w:tcW w:w="1701" w:type="dxa"/>
            <w:tcBorders>
              <w:top w:val="single" w:sz="4" w:space="0" w:color="auto"/>
              <w:bottom w:val="single" w:sz="4" w:space="0" w:color="auto"/>
            </w:tcBorders>
          </w:tcPr>
          <w:p w14:paraId="374CB28E" w14:textId="73F9B738"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$22,000</w:t>
            </w:r>
          </w:p>
        </w:tc>
        <w:tc>
          <w:tcPr>
            <w:tcW w:w="1559" w:type="dxa"/>
            <w:tcBorders>
              <w:top w:val="single" w:sz="4" w:space="0" w:color="auto"/>
              <w:bottom w:val="single" w:sz="4" w:space="0" w:color="auto"/>
            </w:tcBorders>
          </w:tcPr>
          <w:p w14:paraId="146AD073" w14:textId="78DF561D"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Borders>
              <w:bottom w:val="single" w:sz="4" w:space="0" w:color="auto"/>
            </w:tcBorders>
          </w:tcPr>
          <w:p w14:paraId="60CB7D9A" w14:textId="77777777" w:rsidR="0084000C" w:rsidRPr="00E90790" w:rsidRDefault="0084000C" w:rsidP="00F4103D">
            <w:pPr>
              <w:contextualSpacing/>
              <w:rPr>
                <w:rFonts w:cs="Arial"/>
                <w:iCs/>
                <w:color w:val="0D0D0D" w:themeColor="text1" w:themeTint="F2"/>
              </w:rPr>
            </w:pPr>
          </w:p>
        </w:tc>
      </w:tr>
      <w:tr w:rsidR="00E90790" w:rsidRPr="00E90790" w14:paraId="591CE7AD" w14:textId="77777777" w:rsidTr="008622CD">
        <w:trPr>
          <w:trHeight w:val="442"/>
        </w:trPr>
        <w:tc>
          <w:tcPr>
            <w:tcW w:w="2547" w:type="dxa"/>
            <w:vMerge w:val="restart"/>
          </w:tcPr>
          <w:p w14:paraId="22A182F9" w14:textId="56F38DDB" w:rsidR="0084000C" w:rsidRPr="00E90790" w:rsidRDefault="0084000C" w:rsidP="00D63D22">
            <w:pPr>
              <w:contextualSpacing/>
              <w:rPr>
                <w:rFonts w:cs="Arial"/>
                <w:b/>
                <w:bCs/>
                <w:iCs/>
                <w:color w:val="0D0D0D" w:themeColor="text1" w:themeTint="F2"/>
              </w:rPr>
            </w:pPr>
            <w:r w:rsidRPr="00E90790">
              <w:rPr>
                <w:rFonts w:cs="Arial"/>
                <w:b/>
                <w:bCs/>
                <w:iCs/>
                <w:color w:val="0D0D0D" w:themeColor="text1" w:themeTint="F2"/>
              </w:rPr>
              <w:t>Key Direction 1</w:t>
            </w:r>
          </w:p>
          <w:p w14:paraId="292A4DBF" w14:textId="77777777" w:rsidR="0084000C" w:rsidRPr="00E90790" w:rsidRDefault="0084000C" w:rsidP="00D63D22">
            <w:pPr>
              <w:contextualSpacing/>
              <w:rPr>
                <w:rFonts w:cs="Arial"/>
                <w:b/>
                <w:bCs/>
                <w:iCs/>
                <w:color w:val="0D0D0D" w:themeColor="text1" w:themeTint="F2"/>
              </w:rPr>
            </w:pPr>
          </w:p>
          <w:p w14:paraId="18B3B308" w14:textId="56F55035" w:rsidR="0084000C" w:rsidRPr="00E90790" w:rsidRDefault="0084000C" w:rsidP="00D63D22">
            <w:pPr>
              <w:contextualSpacing/>
              <w:rPr>
                <w:rFonts w:cs="Arial"/>
                <w:iCs/>
                <w:color w:val="0D0D0D" w:themeColor="text1" w:themeTint="F2"/>
              </w:rPr>
            </w:pPr>
            <w:r w:rsidRPr="00E90790">
              <w:rPr>
                <w:rFonts w:cs="Arial"/>
                <w:b/>
                <w:bCs/>
                <w:iCs/>
                <w:color w:val="0D0D0D" w:themeColor="text1" w:themeTint="F2"/>
              </w:rPr>
              <w:t>Supporting students, student learning and student achievement</w:t>
            </w:r>
          </w:p>
        </w:tc>
        <w:tc>
          <w:tcPr>
            <w:tcW w:w="3544" w:type="dxa"/>
            <w:tcBorders>
              <w:top w:val="single" w:sz="4" w:space="0" w:color="auto"/>
              <w:bottom w:val="single" w:sz="4" w:space="0" w:color="auto"/>
            </w:tcBorders>
          </w:tcPr>
          <w:p w14:paraId="40E7F71F" w14:textId="418A679D" w:rsidR="0084000C" w:rsidRPr="00E90790" w:rsidRDefault="0084000C" w:rsidP="00653A89">
            <w:pPr>
              <w:contextualSpacing/>
              <w:rPr>
                <w:rFonts w:cs="Arial"/>
                <w:iCs/>
                <w:color w:val="0D0D0D" w:themeColor="text1" w:themeTint="F2"/>
              </w:rPr>
            </w:pPr>
            <w:r w:rsidRPr="00E90790">
              <w:rPr>
                <w:rFonts w:cs="Arial"/>
                <w:b/>
                <w:bCs/>
                <w:iCs/>
                <w:color w:val="0D0D0D" w:themeColor="text1" w:themeTint="F2"/>
              </w:rPr>
              <w:t>Literacy and Numeracy</w:t>
            </w:r>
          </w:p>
        </w:tc>
        <w:tc>
          <w:tcPr>
            <w:tcW w:w="1701" w:type="dxa"/>
            <w:tcBorders>
              <w:top w:val="single" w:sz="4" w:space="0" w:color="auto"/>
              <w:bottom w:val="single" w:sz="4" w:space="0" w:color="auto"/>
            </w:tcBorders>
          </w:tcPr>
          <w:p w14:paraId="1E004977" w14:textId="02F17669" w:rsidR="0084000C" w:rsidRPr="00E90790" w:rsidRDefault="0084000C" w:rsidP="00F4103D">
            <w:pPr>
              <w:contextualSpacing/>
              <w:rPr>
                <w:rFonts w:cs="Arial"/>
                <w:iCs/>
                <w:color w:val="0D0D0D" w:themeColor="text1" w:themeTint="F2"/>
              </w:rPr>
            </w:pPr>
          </w:p>
        </w:tc>
        <w:tc>
          <w:tcPr>
            <w:tcW w:w="1559" w:type="dxa"/>
            <w:tcBorders>
              <w:top w:val="single" w:sz="4" w:space="0" w:color="auto"/>
              <w:bottom w:val="single" w:sz="4" w:space="0" w:color="auto"/>
            </w:tcBorders>
          </w:tcPr>
          <w:p w14:paraId="0C0F0E9C" w14:textId="7B017BA6" w:rsidR="0084000C" w:rsidRPr="00E90790" w:rsidRDefault="0084000C" w:rsidP="00F4103D">
            <w:pPr>
              <w:contextualSpacing/>
              <w:rPr>
                <w:rFonts w:cs="Arial"/>
                <w:iCs/>
                <w:color w:val="0D0D0D" w:themeColor="text1" w:themeTint="F2"/>
              </w:rPr>
            </w:pPr>
          </w:p>
        </w:tc>
        <w:tc>
          <w:tcPr>
            <w:tcW w:w="1276" w:type="dxa"/>
            <w:vMerge w:val="restart"/>
            <w:tcBorders>
              <w:top w:val="single" w:sz="4" w:space="0" w:color="auto"/>
            </w:tcBorders>
          </w:tcPr>
          <w:p w14:paraId="38B028E0" w14:textId="77777777" w:rsidR="0084000C" w:rsidRPr="00E90790" w:rsidRDefault="0084000C" w:rsidP="00F4103D">
            <w:pPr>
              <w:contextualSpacing/>
              <w:rPr>
                <w:rFonts w:cs="Arial"/>
                <w:iCs/>
                <w:color w:val="0D0D0D" w:themeColor="text1" w:themeTint="F2"/>
              </w:rPr>
            </w:pPr>
          </w:p>
        </w:tc>
      </w:tr>
      <w:tr w:rsidR="00E90790" w:rsidRPr="00E90790" w14:paraId="4440B149" w14:textId="77777777" w:rsidTr="008622CD">
        <w:trPr>
          <w:trHeight w:val="550"/>
        </w:trPr>
        <w:tc>
          <w:tcPr>
            <w:tcW w:w="2547" w:type="dxa"/>
            <w:vMerge/>
          </w:tcPr>
          <w:p w14:paraId="734596F4"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4FBCF78A" w14:textId="000C281E" w:rsidR="0084000C" w:rsidRPr="00E90790" w:rsidRDefault="0084000C" w:rsidP="00653A89">
            <w:pPr>
              <w:pStyle w:val="ListParagraph"/>
              <w:numPr>
                <w:ilvl w:val="0"/>
                <w:numId w:val="31"/>
              </w:numPr>
              <w:ind w:left="320"/>
              <w:rPr>
                <w:rFonts w:cs="Arial"/>
                <w:iCs/>
                <w:color w:val="0D0D0D" w:themeColor="text1" w:themeTint="F2"/>
              </w:rPr>
            </w:pPr>
            <w:r w:rsidRPr="00E90790">
              <w:rPr>
                <w:rFonts w:cs="Arial"/>
                <w:iCs/>
                <w:color w:val="0D0D0D" w:themeColor="text1" w:themeTint="F2"/>
              </w:rPr>
              <w:t>Clarity Learning Suite</w:t>
            </w:r>
          </w:p>
        </w:tc>
        <w:tc>
          <w:tcPr>
            <w:tcW w:w="1701" w:type="dxa"/>
            <w:tcBorders>
              <w:top w:val="single" w:sz="4" w:space="0" w:color="auto"/>
              <w:bottom w:val="single" w:sz="4" w:space="0" w:color="auto"/>
            </w:tcBorders>
          </w:tcPr>
          <w:p w14:paraId="1F714E5D" w14:textId="4F58DEC9"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$60,000</w:t>
            </w:r>
          </w:p>
        </w:tc>
        <w:tc>
          <w:tcPr>
            <w:tcW w:w="1559" w:type="dxa"/>
            <w:tcBorders>
              <w:top w:val="single" w:sz="4" w:space="0" w:color="auto"/>
              <w:bottom w:val="single" w:sz="4" w:space="0" w:color="auto"/>
            </w:tcBorders>
          </w:tcPr>
          <w:p w14:paraId="58D80878" w14:textId="59721FB1"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Pr>
          <w:p w14:paraId="72C9D6C1" w14:textId="77777777" w:rsidR="0084000C" w:rsidRPr="00E90790" w:rsidRDefault="0084000C" w:rsidP="00F4103D">
            <w:pPr>
              <w:contextualSpacing/>
              <w:rPr>
                <w:rFonts w:cs="Arial"/>
                <w:iCs/>
                <w:color w:val="0D0D0D" w:themeColor="text1" w:themeTint="F2"/>
              </w:rPr>
            </w:pPr>
          </w:p>
        </w:tc>
      </w:tr>
      <w:tr w:rsidR="00E90790" w:rsidRPr="00E90790" w14:paraId="5568399C" w14:textId="77777777" w:rsidTr="008622CD">
        <w:trPr>
          <w:trHeight w:val="535"/>
        </w:trPr>
        <w:tc>
          <w:tcPr>
            <w:tcW w:w="2547" w:type="dxa"/>
            <w:vMerge/>
          </w:tcPr>
          <w:p w14:paraId="4256F5E8"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1D24947C" w14:textId="63AA377F" w:rsidR="0084000C" w:rsidRPr="00E90790" w:rsidRDefault="0084000C" w:rsidP="00653A89">
            <w:pPr>
              <w:pStyle w:val="ListParagraph"/>
              <w:numPr>
                <w:ilvl w:val="0"/>
                <w:numId w:val="31"/>
              </w:numPr>
              <w:ind w:left="320"/>
              <w:rPr>
                <w:rFonts w:cs="Arial"/>
                <w:iCs/>
                <w:color w:val="0D0D0D" w:themeColor="text1" w:themeTint="F2"/>
              </w:rPr>
            </w:pPr>
            <w:r w:rsidRPr="00E90790">
              <w:rPr>
                <w:rFonts w:cs="Arial"/>
                <w:iCs/>
                <w:color w:val="0D0D0D" w:themeColor="text1" w:themeTint="F2"/>
              </w:rPr>
              <w:t>Phonics Screening Check</w:t>
            </w:r>
          </w:p>
        </w:tc>
        <w:tc>
          <w:tcPr>
            <w:tcW w:w="1701" w:type="dxa"/>
            <w:tcBorders>
              <w:top w:val="single" w:sz="4" w:space="0" w:color="auto"/>
              <w:bottom w:val="single" w:sz="4" w:space="0" w:color="auto"/>
            </w:tcBorders>
          </w:tcPr>
          <w:p w14:paraId="1F610C4D" w14:textId="57758369"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$75,000</w:t>
            </w:r>
          </w:p>
        </w:tc>
        <w:tc>
          <w:tcPr>
            <w:tcW w:w="1559" w:type="dxa"/>
            <w:tcBorders>
              <w:top w:val="single" w:sz="4" w:space="0" w:color="auto"/>
              <w:bottom w:val="single" w:sz="4" w:space="0" w:color="auto"/>
            </w:tcBorders>
          </w:tcPr>
          <w:p w14:paraId="6921A2BD" w14:textId="523F47F5"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Pr>
          <w:p w14:paraId="4A6D126A" w14:textId="77777777" w:rsidR="0084000C" w:rsidRPr="00E90790" w:rsidRDefault="0084000C" w:rsidP="00F4103D">
            <w:pPr>
              <w:contextualSpacing/>
              <w:rPr>
                <w:rFonts w:cs="Arial"/>
                <w:iCs/>
                <w:color w:val="0D0D0D" w:themeColor="text1" w:themeTint="F2"/>
              </w:rPr>
            </w:pPr>
          </w:p>
        </w:tc>
      </w:tr>
      <w:tr w:rsidR="00E90790" w:rsidRPr="00E90790" w14:paraId="00884A94" w14:textId="77777777" w:rsidTr="008622CD">
        <w:trPr>
          <w:trHeight w:val="817"/>
        </w:trPr>
        <w:tc>
          <w:tcPr>
            <w:tcW w:w="2547" w:type="dxa"/>
            <w:vMerge/>
          </w:tcPr>
          <w:p w14:paraId="6683E84A"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6D734276" w14:textId="1796CF16" w:rsidR="0084000C" w:rsidRPr="00E90790" w:rsidRDefault="0084000C" w:rsidP="00653A89">
            <w:pPr>
              <w:pStyle w:val="ListParagraph"/>
              <w:numPr>
                <w:ilvl w:val="0"/>
                <w:numId w:val="31"/>
              </w:numPr>
              <w:ind w:left="320"/>
              <w:rPr>
                <w:rFonts w:cs="Arial"/>
                <w:iCs/>
                <w:color w:val="0D0D0D" w:themeColor="text1" w:themeTint="F2"/>
              </w:rPr>
            </w:pPr>
            <w:r w:rsidRPr="00E90790">
              <w:rPr>
                <w:rFonts w:cs="Arial"/>
                <w:iCs/>
                <w:color w:val="0D0D0D" w:themeColor="text1" w:themeTint="F2"/>
              </w:rPr>
              <w:t>Literacy and Numeracy Strategy Implementation</w:t>
            </w:r>
          </w:p>
        </w:tc>
        <w:tc>
          <w:tcPr>
            <w:tcW w:w="1701" w:type="dxa"/>
            <w:tcBorders>
              <w:top w:val="single" w:sz="4" w:space="0" w:color="auto"/>
              <w:bottom w:val="single" w:sz="4" w:space="0" w:color="auto"/>
            </w:tcBorders>
          </w:tcPr>
          <w:p w14:paraId="79C99210" w14:textId="5507249C"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$41,000</w:t>
            </w:r>
          </w:p>
        </w:tc>
        <w:tc>
          <w:tcPr>
            <w:tcW w:w="1559" w:type="dxa"/>
            <w:tcBorders>
              <w:top w:val="single" w:sz="4" w:space="0" w:color="auto"/>
              <w:bottom w:val="single" w:sz="4" w:space="0" w:color="auto"/>
            </w:tcBorders>
          </w:tcPr>
          <w:p w14:paraId="44F570EA" w14:textId="3D81D8D6"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Pr>
          <w:p w14:paraId="16F999A7" w14:textId="77777777" w:rsidR="0084000C" w:rsidRPr="00E90790" w:rsidRDefault="0084000C" w:rsidP="00F4103D">
            <w:pPr>
              <w:contextualSpacing/>
              <w:rPr>
                <w:rFonts w:cs="Arial"/>
                <w:iCs/>
                <w:color w:val="0D0D0D" w:themeColor="text1" w:themeTint="F2"/>
              </w:rPr>
            </w:pPr>
          </w:p>
        </w:tc>
      </w:tr>
      <w:tr w:rsidR="00E90790" w:rsidRPr="00E90790" w14:paraId="626CE000" w14:textId="77777777" w:rsidTr="008622CD">
        <w:trPr>
          <w:trHeight w:val="1070"/>
        </w:trPr>
        <w:tc>
          <w:tcPr>
            <w:tcW w:w="2547" w:type="dxa"/>
            <w:vMerge/>
          </w:tcPr>
          <w:p w14:paraId="37D9AFAC"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35353C2A" w14:textId="2DF2175C" w:rsidR="0084000C" w:rsidRPr="00E90790" w:rsidRDefault="0084000C" w:rsidP="00653A89">
            <w:pPr>
              <w:pStyle w:val="ListParagraph"/>
              <w:numPr>
                <w:ilvl w:val="0"/>
                <w:numId w:val="31"/>
              </w:numPr>
              <w:ind w:left="320"/>
              <w:rPr>
                <w:rFonts w:cs="Arial"/>
                <w:b/>
                <w:bCs/>
                <w:iCs/>
                <w:color w:val="0D0D0D" w:themeColor="text1" w:themeTint="F2"/>
              </w:rPr>
            </w:pPr>
            <w:r w:rsidRPr="00E90790">
              <w:rPr>
                <w:rFonts w:cs="Arial"/>
                <w:iCs/>
                <w:color w:val="0D0D0D" w:themeColor="text1" w:themeTint="F2"/>
              </w:rPr>
              <w:t xml:space="preserve">Early Years Literacy and Numeracy Strategy Development </w:t>
            </w:r>
          </w:p>
        </w:tc>
        <w:tc>
          <w:tcPr>
            <w:tcW w:w="1701" w:type="dxa"/>
            <w:tcBorders>
              <w:top w:val="single" w:sz="4" w:space="0" w:color="auto"/>
              <w:bottom w:val="single" w:sz="4" w:space="0" w:color="auto"/>
            </w:tcBorders>
          </w:tcPr>
          <w:p w14:paraId="5651F990" w14:textId="3B76E5FC"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$70,000</w:t>
            </w:r>
          </w:p>
        </w:tc>
        <w:tc>
          <w:tcPr>
            <w:tcW w:w="1559" w:type="dxa"/>
            <w:tcBorders>
              <w:top w:val="single" w:sz="4" w:space="0" w:color="auto"/>
              <w:bottom w:val="single" w:sz="4" w:space="0" w:color="auto"/>
            </w:tcBorders>
          </w:tcPr>
          <w:p w14:paraId="21DFEF24" w14:textId="5B61CBE9"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Pr>
          <w:p w14:paraId="26E60C26" w14:textId="77777777" w:rsidR="0084000C" w:rsidRPr="00E90790" w:rsidRDefault="0084000C" w:rsidP="00F4103D">
            <w:pPr>
              <w:contextualSpacing/>
              <w:rPr>
                <w:rFonts w:cs="Arial"/>
                <w:iCs/>
                <w:color w:val="0D0D0D" w:themeColor="text1" w:themeTint="F2"/>
              </w:rPr>
            </w:pPr>
          </w:p>
        </w:tc>
      </w:tr>
      <w:tr w:rsidR="00E90790" w:rsidRPr="00E90790" w14:paraId="48FB699E" w14:textId="77777777" w:rsidTr="008622CD">
        <w:trPr>
          <w:trHeight w:val="550"/>
        </w:trPr>
        <w:tc>
          <w:tcPr>
            <w:tcW w:w="2547" w:type="dxa"/>
            <w:vMerge/>
            <w:tcBorders>
              <w:bottom w:val="nil"/>
            </w:tcBorders>
          </w:tcPr>
          <w:p w14:paraId="2E9FC5ED" w14:textId="77777777" w:rsidR="0084000C" w:rsidRPr="00E90790" w:rsidRDefault="0084000C" w:rsidP="00D63D22">
            <w:pPr>
              <w:contextualSpacing/>
              <w:rPr>
                <w:rFonts w:cs="Arial"/>
                <w:iCs/>
                <w:color w:val="0D0D0D" w:themeColor="text1" w:themeTint="F2"/>
              </w:rPr>
            </w:pPr>
          </w:p>
        </w:tc>
        <w:tc>
          <w:tcPr>
            <w:tcW w:w="3544" w:type="dxa"/>
            <w:tcBorders>
              <w:top w:val="single" w:sz="4" w:space="0" w:color="auto"/>
              <w:bottom w:val="single" w:sz="4" w:space="0" w:color="auto"/>
            </w:tcBorders>
          </w:tcPr>
          <w:p w14:paraId="4278DBD5" w14:textId="37598BFA" w:rsidR="0084000C" w:rsidRPr="00E90790" w:rsidRDefault="0084000C" w:rsidP="00653A89">
            <w:pPr>
              <w:pStyle w:val="ListParagraph"/>
              <w:numPr>
                <w:ilvl w:val="0"/>
                <w:numId w:val="31"/>
              </w:numPr>
              <w:ind w:left="320"/>
              <w:rPr>
                <w:rFonts w:cs="Arial"/>
                <w:iCs/>
                <w:color w:val="0D0D0D" w:themeColor="text1" w:themeTint="F2"/>
              </w:rPr>
            </w:pPr>
            <w:r w:rsidRPr="00E90790">
              <w:rPr>
                <w:rFonts w:cs="Arial"/>
                <w:iCs/>
                <w:color w:val="0D0D0D" w:themeColor="text1" w:themeTint="F2"/>
              </w:rPr>
              <w:t>NAPLAN Online Delivery</w:t>
            </w:r>
          </w:p>
        </w:tc>
        <w:tc>
          <w:tcPr>
            <w:tcW w:w="1701" w:type="dxa"/>
            <w:tcBorders>
              <w:top w:val="single" w:sz="4" w:space="0" w:color="auto"/>
              <w:bottom w:val="single" w:sz="4" w:space="0" w:color="auto"/>
            </w:tcBorders>
          </w:tcPr>
          <w:p w14:paraId="31963FD7" w14:textId="7EC80935"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$20,000</w:t>
            </w:r>
          </w:p>
        </w:tc>
        <w:tc>
          <w:tcPr>
            <w:tcW w:w="1559" w:type="dxa"/>
            <w:tcBorders>
              <w:top w:val="single" w:sz="4" w:space="0" w:color="auto"/>
              <w:bottom w:val="single" w:sz="4" w:space="0" w:color="auto"/>
            </w:tcBorders>
          </w:tcPr>
          <w:p w14:paraId="6C1BDD31" w14:textId="5B1644D7" w:rsidR="0084000C" w:rsidRPr="00E90790" w:rsidRDefault="0084000C" w:rsidP="00F4103D">
            <w:pPr>
              <w:contextualSpacing/>
              <w:rPr>
                <w:rFonts w:cs="Arial"/>
                <w:iCs/>
                <w:color w:val="0D0D0D" w:themeColor="text1" w:themeTint="F2"/>
              </w:rPr>
            </w:pPr>
            <w:r w:rsidRPr="00E90790">
              <w:rPr>
                <w:rFonts w:cs="Arial"/>
                <w:iCs/>
                <w:color w:val="0D0D0D" w:themeColor="text1" w:themeTint="F2"/>
              </w:rPr>
              <w:t>$0</w:t>
            </w:r>
          </w:p>
        </w:tc>
        <w:tc>
          <w:tcPr>
            <w:tcW w:w="1276" w:type="dxa"/>
            <w:vMerge/>
            <w:tcBorders>
              <w:bottom w:val="single" w:sz="4" w:space="0" w:color="auto"/>
            </w:tcBorders>
          </w:tcPr>
          <w:p w14:paraId="04018296" w14:textId="77777777" w:rsidR="0084000C" w:rsidRPr="00E90790" w:rsidRDefault="0084000C" w:rsidP="00F4103D">
            <w:pPr>
              <w:contextualSpacing/>
              <w:rPr>
                <w:rFonts w:cs="Arial"/>
                <w:iCs/>
                <w:color w:val="0D0D0D" w:themeColor="text1" w:themeTint="F2"/>
              </w:rPr>
            </w:pPr>
          </w:p>
        </w:tc>
      </w:tr>
      <w:tr w:rsidR="00E90790" w:rsidRPr="00E90790" w14:paraId="15981BE1" w14:textId="77777777" w:rsidTr="008622CD">
        <w:trPr>
          <w:trHeight w:val="520"/>
        </w:trPr>
        <w:tc>
          <w:tcPr>
            <w:tcW w:w="2547" w:type="dxa"/>
            <w:tcBorders>
              <w:bottom w:val="single" w:sz="4" w:space="0" w:color="auto"/>
            </w:tcBorders>
            <w:shd w:val="clear" w:color="auto" w:fill="FFFFFF" w:themeFill="background1"/>
          </w:tcPr>
          <w:p w14:paraId="4BB4034B" w14:textId="77777777" w:rsidR="00B02BCD" w:rsidRPr="00E90790" w:rsidRDefault="00B02BCD" w:rsidP="00D63D22">
            <w:pPr>
              <w:contextualSpacing/>
              <w:rPr>
                <w:rFonts w:cs="Arial"/>
                <w:b/>
                <w:bCs/>
                <w:iCs/>
                <w:color w:val="0D0D0D" w:themeColor="text1" w:themeTint="F2"/>
              </w:rPr>
            </w:pPr>
          </w:p>
        </w:tc>
        <w:tc>
          <w:tcPr>
            <w:tcW w:w="3544" w:type="dxa"/>
            <w:tcBorders>
              <w:top w:val="single" w:sz="4" w:space="0" w:color="auto"/>
              <w:bottom w:val="single" w:sz="4" w:space="0" w:color="auto"/>
            </w:tcBorders>
            <w:shd w:val="clear" w:color="auto" w:fill="FFFFFF" w:themeFill="background1"/>
          </w:tcPr>
          <w:p w14:paraId="53EF2E86" w14:textId="3B1B86A7" w:rsidR="00B02BCD" w:rsidRPr="00E90790" w:rsidRDefault="00B02BCD" w:rsidP="00F4103D">
            <w:pPr>
              <w:contextualSpacing/>
              <w:rPr>
                <w:rFonts w:cs="Arial"/>
                <w:b/>
                <w:bCs/>
                <w:iCs/>
                <w:color w:val="0D0D0D" w:themeColor="text1" w:themeTint="F2"/>
              </w:rPr>
            </w:pPr>
            <w:r w:rsidRPr="00E90790">
              <w:rPr>
                <w:rFonts w:cs="Arial"/>
                <w:b/>
                <w:bCs/>
                <w:iCs/>
                <w:color w:val="0D0D0D" w:themeColor="text1" w:themeTint="F2"/>
              </w:rPr>
              <w:t>Sub Total Key Direction 1</w:t>
            </w:r>
          </w:p>
        </w:tc>
        <w:tc>
          <w:tcPr>
            <w:tcW w:w="1701" w:type="dxa"/>
            <w:tcBorders>
              <w:top w:val="single" w:sz="4" w:space="0" w:color="auto"/>
              <w:bottom w:val="single" w:sz="4" w:space="0" w:color="auto"/>
            </w:tcBorders>
            <w:shd w:val="clear" w:color="auto" w:fill="FFFFFF" w:themeFill="background1"/>
          </w:tcPr>
          <w:p w14:paraId="19D8B6E1" w14:textId="77777777" w:rsidR="00B02BCD" w:rsidRPr="00E90790" w:rsidRDefault="00B02BCD" w:rsidP="00F4103D">
            <w:pPr>
              <w:contextualSpacing/>
              <w:rPr>
                <w:rFonts w:cs="Arial"/>
                <w:b/>
                <w:bCs/>
                <w:iCs/>
                <w:color w:val="0D0D0D" w:themeColor="text1" w:themeTint="F2"/>
              </w:rPr>
            </w:pPr>
          </w:p>
        </w:tc>
        <w:tc>
          <w:tcPr>
            <w:tcW w:w="1559" w:type="dxa"/>
            <w:tcBorders>
              <w:top w:val="single" w:sz="4" w:space="0" w:color="auto"/>
              <w:bottom w:val="single" w:sz="4" w:space="0" w:color="auto"/>
            </w:tcBorders>
            <w:shd w:val="clear" w:color="auto" w:fill="FFFFFF" w:themeFill="background1"/>
          </w:tcPr>
          <w:p w14:paraId="29EC944E" w14:textId="77777777" w:rsidR="00B02BCD" w:rsidRPr="00E90790" w:rsidRDefault="00B02BCD" w:rsidP="00F4103D">
            <w:pPr>
              <w:contextualSpacing/>
              <w:rPr>
                <w:rFonts w:cs="Arial"/>
                <w:b/>
                <w:bCs/>
                <w:iCs/>
                <w:color w:val="0D0D0D" w:themeColor="text1" w:themeTint="F2"/>
              </w:rPr>
            </w:pPr>
          </w:p>
        </w:tc>
        <w:tc>
          <w:tcPr>
            <w:tcW w:w="1276" w:type="dxa"/>
            <w:tcBorders>
              <w:top w:val="single" w:sz="4" w:space="0" w:color="auto"/>
              <w:bottom w:val="single" w:sz="4" w:space="0" w:color="auto"/>
            </w:tcBorders>
            <w:shd w:val="clear" w:color="auto" w:fill="FFFFFF" w:themeFill="background1"/>
          </w:tcPr>
          <w:p w14:paraId="74024182" w14:textId="26B711FF" w:rsidR="00B02BCD" w:rsidRPr="00E90790" w:rsidRDefault="00B02BCD" w:rsidP="00F4103D">
            <w:pPr>
              <w:contextualSpacing/>
              <w:rPr>
                <w:rFonts w:cs="Arial"/>
                <w:b/>
                <w:bCs/>
                <w:iCs/>
                <w:color w:val="0D0D0D" w:themeColor="text1" w:themeTint="F2"/>
              </w:rPr>
            </w:pPr>
            <w:r w:rsidRPr="00E90790">
              <w:rPr>
                <w:rFonts w:cs="Arial"/>
                <w:b/>
                <w:bCs/>
                <w:iCs/>
                <w:color w:val="0D0D0D" w:themeColor="text1" w:themeTint="F2"/>
              </w:rPr>
              <w:t>$6</w:t>
            </w:r>
            <w:r w:rsidR="00FC312D" w:rsidRPr="00E90790">
              <w:rPr>
                <w:rFonts w:cs="Arial"/>
                <w:b/>
                <w:bCs/>
                <w:iCs/>
                <w:color w:val="0D0D0D" w:themeColor="text1" w:themeTint="F2"/>
              </w:rPr>
              <w:t>46</w:t>
            </w:r>
            <w:r w:rsidRPr="00E90790">
              <w:rPr>
                <w:rFonts w:cs="Arial"/>
                <w:b/>
                <w:bCs/>
                <w:iCs/>
                <w:color w:val="0D0D0D" w:themeColor="text1" w:themeTint="F2"/>
              </w:rPr>
              <w:t>,000</w:t>
            </w:r>
          </w:p>
        </w:tc>
      </w:tr>
      <w:tr w:rsidR="00E90790" w:rsidRPr="00E90790" w14:paraId="414B7D39" w14:textId="77777777" w:rsidTr="008622CD">
        <w:trPr>
          <w:trHeight w:val="290"/>
        </w:trPr>
        <w:tc>
          <w:tcPr>
            <w:tcW w:w="2547" w:type="dxa"/>
            <w:vMerge w:val="restart"/>
            <w:vAlign w:val="center"/>
          </w:tcPr>
          <w:p w14:paraId="7C826910" w14:textId="3BC526A7" w:rsidR="00246BB3" w:rsidRPr="00E90790" w:rsidRDefault="00246BB3" w:rsidP="00D63D22">
            <w:pPr>
              <w:rPr>
                <w:rFonts w:cs="Arial"/>
                <w:b/>
                <w:bCs/>
                <w:iCs/>
                <w:color w:val="0D0D0D" w:themeColor="text1" w:themeTint="F2"/>
              </w:rPr>
            </w:pPr>
            <w:r w:rsidRPr="00E90790">
              <w:rPr>
                <w:color w:val="0D0D0D" w:themeColor="text1" w:themeTint="F2"/>
              </w:rPr>
              <w:br w:type="page"/>
            </w:r>
          </w:p>
          <w:p w14:paraId="2D2A8436" w14:textId="0CE306A4" w:rsidR="00246BB3" w:rsidRPr="00E90790" w:rsidRDefault="00246BB3" w:rsidP="00D63D22">
            <w:pPr>
              <w:rPr>
                <w:rFonts w:cs="Arial"/>
                <w:b/>
                <w:bCs/>
                <w:iCs/>
                <w:color w:val="0D0D0D" w:themeColor="text1" w:themeTint="F2"/>
              </w:rPr>
            </w:pPr>
            <w:r w:rsidRPr="00E90790">
              <w:rPr>
                <w:rFonts w:cs="Arial"/>
                <w:b/>
                <w:bCs/>
                <w:iCs/>
                <w:color w:val="0D0D0D" w:themeColor="text1" w:themeTint="F2"/>
              </w:rPr>
              <w:t>Key Direction 2</w:t>
            </w:r>
          </w:p>
          <w:p w14:paraId="608F8B1E" w14:textId="77777777" w:rsidR="00246BB3" w:rsidRPr="00E90790" w:rsidRDefault="00246BB3" w:rsidP="00D63D22">
            <w:pPr>
              <w:rPr>
                <w:rFonts w:cs="Arial"/>
                <w:b/>
                <w:bCs/>
                <w:iCs/>
                <w:color w:val="0D0D0D" w:themeColor="text1" w:themeTint="F2"/>
              </w:rPr>
            </w:pPr>
          </w:p>
          <w:p w14:paraId="2EE49D6F" w14:textId="65F9CAFD" w:rsidR="00246BB3" w:rsidRPr="00E90790" w:rsidRDefault="00246BB3" w:rsidP="00D63D22">
            <w:pPr>
              <w:rPr>
                <w:rFonts w:cs="Arial"/>
                <w:b/>
                <w:bCs/>
                <w:iCs/>
                <w:color w:val="0D0D0D" w:themeColor="text1" w:themeTint="F2"/>
              </w:rPr>
            </w:pPr>
            <w:r w:rsidRPr="00E90790">
              <w:rPr>
                <w:rFonts w:cs="Arial"/>
                <w:b/>
                <w:bCs/>
                <w:iCs/>
                <w:color w:val="0D0D0D" w:themeColor="text1" w:themeTint="F2"/>
              </w:rPr>
              <w:t xml:space="preserve">Supporting teaching, school leadership and school improvement </w:t>
            </w:r>
          </w:p>
        </w:tc>
        <w:tc>
          <w:tcPr>
            <w:tcW w:w="3544" w:type="dxa"/>
            <w:tcBorders>
              <w:bottom w:val="single" w:sz="4" w:space="0" w:color="auto"/>
            </w:tcBorders>
            <w:vAlign w:val="bottom"/>
          </w:tcPr>
          <w:p w14:paraId="13786E3D" w14:textId="4ACC98A8" w:rsidR="00246BB3" w:rsidRPr="00E90790" w:rsidRDefault="00246BB3" w:rsidP="00C920AB">
            <w:pPr>
              <w:rPr>
                <w:rFonts w:cs="Arial"/>
                <w:b/>
                <w:bCs/>
                <w:iCs/>
                <w:color w:val="0D0D0D" w:themeColor="text1" w:themeTint="F2"/>
              </w:rPr>
            </w:pPr>
            <w:r w:rsidRPr="00E90790">
              <w:rPr>
                <w:rFonts w:cs="Arial"/>
                <w:b/>
                <w:bCs/>
                <w:iCs/>
                <w:color w:val="0D0D0D" w:themeColor="text1" w:themeTint="F2"/>
              </w:rPr>
              <w:t>Supporting Teaching</w:t>
            </w:r>
          </w:p>
        </w:tc>
        <w:tc>
          <w:tcPr>
            <w:tcW w:w="1701" w:type="dxa"/>
            <w:tcBorders>
              <w:bottom w:val="single" w:sz="4" w:space="0" w:color="auto"/>
            </w:tcBorders>
          </w:tcPr>
          <w:p w14:paraId="0E29D582" w14:textId="77777777" w:rsidR="00246BB3" w:rsidRPr="00E90790" w:rsidRDefault="00246BB3" w:rsidP="00C920AB">
            <w:pPr>
              <w:rPr>
                <w:rFonts w:cs="Arial"/>
                <w:iCs/>
                <w:color w:val="0D0D0D" w:themeColor="text1" w:themeTint="F2"/>
              </w:rPr>
            </w:pPr>
          </w:p>
        </w:tc>
        <w:tc>
          <w:tcPr>
            <w:tcW w:w="1559" w:type="dxa"/>
            <w:tcBorders>
              <w:bottom w:val="single" w:sz="4" w:space="0" w:color="auto"/>
            </w:tcBorders>
          </w:tcPr>
          <w:p w14:paraId="75F08A4E" w14:textId="77777777" w:rsidR="00246BB3" w:rsidRPr="00E90790" w:rsidRDefault="00246BB3" w:rsidP="00C920AB">
            <w:pPr>
              <w:rPr>
                <w:rFonts w:cs="Arial"/>
                <w:iCs/>
                <w:color w:val="0D0D0D" w:themeColor="text1" w:themeTint="F2"/>
              </w:rPr>
            </w:pPr>
          </w:p>
        </w:tc>
        <w:tc>
          <w:tcPr>
            <w:tcW w:w="1276" w:type="dxa"/>
            <w:tcBorders>
              <w:bottom w:val="single" w:sz="4" w:space="0" w:color="auto"/>
            </w:tcBorders>
          </w:tcPr>
          <w:p w14:paraId="27F6C760" w14:textId="77777777" w:rsidR="00246BB3" w:rsidRPr="00E90790" w:rsidRDefault="00246BB3" w:rsidP="00C920AB">
            <w:pPr>
              <w:rPr>
                <w:rFonts w:cs="Arial"/>
                <w:iCs/>
                <w:color w:val="0D0D0D" w:themeColor="text1" w:themeTint="F2"/>
              </w:rPr>
            </w:pPr>
          </w:p>
        </w:tc>
      </w:tr>
      <w:tr w:rsidR="00E90790" w:rsidRPr="00E90790" w14:paraId="47BA3692" w14:textId="77777777" w:rsidTr="008622CD">
        <w:trPr>
          <w:trHeight w:val="835"/>
        </w:trPr>
        <w:tc>
          <w:tcPr>
            <w:tcW w:w="2547" w:type="dxa"/>
            <w:vMerge/>
            <w:vAlign w:val="center"/>
          </w:tcPr>
          <w:p w14:paraId="2E3056A7" w14:textId="185A7DF9" w:rsidR="00246BB3" w:rsidRPr="00E90790" w:rsidRDefault="00246BB3" w:rsidP="00D63D22">
            <w:pPr>
              <w:rPr>
                <w:rFonts w:cs="Arial"/>
                <w:b/>
                <w:bCs/>
                <w:iCs/>
                <w:color w:val="0D0D0D" w:themeColor="text1" w:themeTint="F2"/>
              </w:rPr>
            </w:pPr>
          </w:p>
        </w:tc>
        <w:tc>
          <w:tcPr>
            <w:tcW w:w="3544" w:type="dxa"/>
            <w:tcBorders>
              <w:top w:val="single" w:sz="4" w:space="0" w:color="auto"/>
              <w:bottom w:val="single" w:sz="4" w:space="0" w:color="auto"/>
            </w:tcBorders>
          </w:tcPr>
          <w:p w14:paraId="0F790A5B" w14:textId="3936B062" w:rsidR="00246BB3" w:rsidRPr="00E90790" w:rsidRDefault="00246BB3" w:rsidP="00C920AB">
            <w:pPr>
              <w:pStyle w:val="ListParagraph"/>
              <w:numPr>
                <w:ilvl w:val="0"/>
                <w:numId w:val="31"/>
              </w:numPr>
              <w:ind w:left="320"/>
              <w:rPr>
                <w:rFonts w:cs="Arial"/>
                <w:iCs/>
                <w:color w:val="0D0D0D" w:themeColor="text1" w:themeTint="F2"/>
              </w:rPr>
            </w:pPr>
            <w:r w:rsidRPr="00E90790">
              <w:rPr>
                <w:rFonts w:cs="Arial"/>
                <w:iCs/>
                <w:color w:val="0D0D0D" w:themeColor="text1" w:themeTint="F2"/>
              </w:rPr>
              <w:t xml:space="preserve">National School Improvement (NSI) – Climate Classroom Questionnaire </w:t>
            </w:r>
          </w:p>
        </w:tc>
        <w:tc>
          <w:tcPr>
            <w:tcW w:w="1701" w:type="dxa"/>
            <w:tcBorders>
              <w:top w:val="single" w:sz="4" w:space="0" w:color="auto"/>
              <w:bottom w:val="single" w:sz="4" w:space="0" w:color="auto"/>
            </w:tcBorders>
          </w:tcPr>
          <w:p w14:paraId="318EF5B0" w14:textId="1772DABF" w:rsidR="00246BB3" w:rsidRPr="00E90790" w:rsidRDefault="00246BB3" w:rsidP="00C920AB">
            <w:pPr>
              <w:rPr>
                <w:rFonts w:cs="Arial"/>
                <w:iCs/>
                <w:color w:val="0D0D0D" w:themeColor="text1" w:themeTint="F2"/>
              </w:rPr>
            </w:pPr>
            <w:r w:rsidRPr="00E90790">
              <w:rPr>
                <w:rFonts w:cs="Arial"/>
                <w:iCs/>
                <w:color w:val="0D0D0D" w:themeColor="text1" w:themeTint="F2"/>
              </w:rPr>
              <w:t>$100,000</w:t>
            </w:r>
          </w:p>
        </w:tc>
        <w:tc>
          <w:tcPr>
            <w:tcW w:w="1559" w:type="dxa"/>
            <w:tcBorders>
              <w:top w:val="single" w:sz="4" w:space="0" w:color="auto"/>
              <w:bottom w:val="single" w:sz="4" w:space="0" w:color="auto"/>
            </w:tcBorders>
          </w:tcPr>
          <w:p w14:paraId="5474365B" w14:textId="19E52E5B" w:rsidR="00246BB3" w:rsidRPr="00E90790" w:rsidRDefault="00246BB3" w:rsidP="00C920AB">
            <w:pPr>
              <w:rPr>
                <w:rFonts w:cs="Arial"/>
                <w:iCs/>
                <w:color w:val="0D0D0D" w:themeColor="text1" w:themeTint="F2"/>
              </w:rPr>
            </w:pPr>
            <w:r w:rsidRPr="00E90790">
              <w:rPr>
                <w:rFonts w:cs="Arial"/>
                <w:iCs/>
                <w:color w:val="0D0D0D" w:themeColor="text1" w:themeTint="F2"/>
              </w:rPr>
              <w:t>$0</w:t>
            </w:r>
          </w:p>
        </w:tc>
        <w:tc>
          <w:tcPr>
            <w:tcW w:w="1276" w:type="dxa"/>
            <w:tcBorders>
              <w:top w:val="single" w:sz="4" w:space="0" w:color="auto"/>
              <w:bottom w:val="single" w:sz="4" w:space="0" w:color="auto"/>
            </w:tcBorders>
          </w:tcPr>
          <w:p w14:paraId="09561D99" w14:textId="77777777" w:rsidR="00246BB3" w:rsidRPr="00E90790" w:rsidRDefault="00246BB3" w:rsidP="00C920AB">
            <w:pPr>
              <w:rPr>
                <w:rFonts w:cs="Arial"/>
                <w:iCs/>
                <w:color w:val="0D0D0D" w:themeColor="text1" w:themeTint="F2"/>
              </w:rPr>
            </w:pPr>
          </w:p>
        </w:tc>
      </w:tr>
      <w:tr w:rsidR="00E90790" w:rsidRPr="00E90790" w14:paraId="346957AC" w14:textId="77777777" w:rsidTr="008622CD">
        <w:trPr>
          <w:trHeight w:val="273"/>
        </w:trPr>
        <w:tc>
          <w:tcPr>
            <w:tcW w:w="2547" w:type="dxa"/>
            <w:vMerge/>
          </w:tcPr>
          <w:p w14:paraId="5A8BE6CD" w14:textId="77777777" w:rsidR="00246BB3" w:rsidRPr="00E90790" w:rsidRDefault="00246BB3" w:rsidP="00D63D22">
            <w:pPr>
              <w:rPr>
                <w:rFonts w:cs="Arial"/>
                <w:b/>
                <w:bCs/>
                <w:iCs/>
                <w:color w:val="0D0D0D" w:themeColor="text1" w:themeTint="F2"/>
              </w:rPr>
            </w:pPr>
          </w:p>
        </w:tc>
        <w:tc>
          <w:tcPr>
            <w:tcW w:w="3544" w:type="dxa"/>
            <w:tcBorders>
              <w:top w:val="single" w:sz="4" w:space="0" w:color="auto"/>
              <w:bottom w:val="single" w:sz="4" w:space="0" w:color="auto"/>
              <w:right w:val="single" w:sz="4" w:space="0" w:color="auto"/>
            </w:tcBorders>
          </w:tcPr>
          <w:p w14:paraId="3783C8F8" w14:textId="77777777" w:rsidR="008622CD" w:rsidRPr="00E90790" w:rsidRDefault="00246BB3" w:rsidP="008622CD">
            <w:pPr>
              <w:pStyle w:val="ListParagraph"/>
              <w:numPr>
                <w:ilvl w:val="0"/>
                <w:numId w:val="31"/>
              </w:numPr>
              <w:ind w:left="320"/>
              <w:rPr>
                <w:rFonts w:cs="Arial"/>
                <w:iCs/>
                <w:color w:val="0D0D0D" w:themeColor="text1" w:themeTint="F2"/>
              </w:rPr>
            </w:pPr>
            <w:r w:rsidRPr="00E90790">
              <w:rPr>
                <w:rFonts w:cs="Arial"/>
                <w:iCs/>
                <w:color w:val="0D0D0D" w:themeColor="text1" w:themeTint="F2"/>
              </w:rPr>
              <w:t xml:space="preserve">Aboriginal Education – </w:t>
            </w:r>
            <w:proofErr w:type="spellStart"/>
            <w:r w:rsidRPr="00E90790">
              <w:rPr>
                <w:rFonts w:cs="Arial"/>
                <w:iCs/>
                <w:color w:val="0D0D0D" w:themeColor="text1" w:themeTint="F2"/>
              </w:rPr>
              <w:t>Carclew</w:t>
            </w:r>
            <w:proofErr w:type="spellEnd"/>
          </w:p>
          <w:p w14:paraId="44223BE3" w14:textId="2BB41B30" w:rsidR="008622CD" w:rsidRPr="00E90790" w:rsidRDefault="008622CD" w:rsidP="008622CD">
            <w:pPr>
              <w:pStyle w:val="ListParagraph"/>
              <w:ind w:left="320"/>
              <w:rPr>
                <w:rFonts w:cs="Arial"/>
                <w:iCs/>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tcPr>
          <w:p w14:paraId="70603F24" w14:textId="6CF63FEF" w:rsidR="00246BB3" w:rsidRPr="00E90790" w:rsidRDefault="00246BB3" w:rsidP="00C920AB">
            <w:pPr>
              <w:rPr>
                <w:rFonts w:cs="Arial"/>
                <w:iCs/>
                <w:color w:val="0D0D0D" w:themeColor="text1" w:themeTint="F2"/>
              </w:rPr>
            </w:pPr>
            <w:r w:rsidRPr="00E90790">
              <w:rPr>
                <w:rFonts w:cs="Arial"/>
                <w:iCs/>
                <w:color w:val="0D0D0D" w:themeColor="text1" w:themeTint="F2"/>
              </w:rPr>
              <w:t>$90,000</w:t>
            </w:r>
          </w:p>
        </w:tc>
        <w:tc>
          <w:tcPr>
            <w:tcW w:w="1559" w:type="dxa"/>
            <w:tcBorders>
              <w:top w:val="single" w:sz="4" w:space="0" w:color="auto"/>
              <w:left w:val="single" w:sz="4" w:space="0" w:color="auto"/>
              <w:bottom w:val="single" w:sz="4" w:space="0" w:color="auto"/>
              <w:right w:val="single" w:sz="4" w:space="0" w:color="auto"/>
            </w:tcBorders>
          </w:tcPr>
          <w:p w14:paraId="37633374" w14:textId="3DFFB5C0" w:rsidR="00246BB3" w:rsidRPr="00E90790" w:rsidRDefault="00246BB3" w:rsidP="00C920AB">
            <w:pPr>
              <w:rPr>
                <w:rFonts w:cs="Arial"/>
                <w:iCs/>
                <w:color w:val="0D0D0D" w:themeColor="text1" w:themeTint="F2"/>
              </w:rPr>
            </w:pPr>
            <w:r w:rsidRPr="00E90790">
              <w:rPr>
                <w:rFonts w:cs="Arial"/>
                <w:iCs/>
                <w:color w:val="0D0D0D" w:themeColor="text1" w:themeTint="F2"/>
              </w:rPr>
              <w:t>$0</w:t>
            </w:r>
          </w:p>
        </w:tc>
        <w:tc>
          <w:tcPr>
            <w:tcW w:w="1276" w:type="dxa"/>
            <w:tcBorders>
              <w:top w:val="single" w:sz="4" w:space="0" w:color="auto"/>
              <w:left w:val="single" w:sz="4" w:space="0" w:color="auto"/>
              <w:bottom w:val="single" w:sz="4" w:space="0" w:color="auto"/>
            </w:tcBorders>
          </w:tcPr>
          <w:p w14:paraId="73B9A7DA" w14:textId="77777777" w:rsidR="00246BB3" w:rsidRPr="00E90790" w:rsidRDefault="00246BB3" w:rsidP="00C920AB">
            <w:pPr>
              <w:rPr>
                <w:rFonts w:cs="Arial"/>
                <w:iCs/>
                <w:color w:val="0D0D0D" w:themeColor="text1" w:themeTint="F2"/>
              </w:rPr>
            </w:pPr>
          </w:p>
        </w:tc>
      </w:tr>
      <w:tr w:rsidR="00E90790" w:rsidRPr="00E90790" w14:paraId="42E7DF9D" w14:textId="77777777" w:rsidTr="008622CD">
        <w:trPr>
          <w:trHeight w:val="489"/>
        </w:trPr>
        <w:tc>
          <w:tcPr>
            <w:tcW w:w="2547" w:type="dxa"/>
            <w:vMerge/>
            <w:tcBorders>
              <w:bottom w:val="single" w:sz="4" w:space="0" w:color="auto"/>
            </w:tcBorders>
          </w:tcPr>
          <w:p w14:paraId="0F851D75" w14:textId="77777777" w:rsidR="00246BB3" w:rsidRPr="00E90790" w:rsidRDefault="00246BB3" w:rsidP="00D63D22">
            <w:pPr>
              <w:rPr>
                <w:rFonts w:cs="Arial"/>
                <w:b/>
                <w:bCs/>
                <w:iCs/>
                <w:color w:val="0D0D0D" w:themeColor="text1" w:themeTint="F2"/>
              </w:rPr>
            </w:pPr>
          </w:p>
        </w:tc>
        <w:tc>
          <w:tcPr>
            <w:tcW w:w="3544" w:type="dxa"/>
            <w:tcBorders>
              <w:top w:val="single" w:sz="4" w:space="0" w:color="auto"/>
              <w:bottom w:val="single" w:sz="4" w:space="0" w:color="auto"/>
              <w:right w:val="single" w:sz="4" w:space="0" w:color="auto"/>
            </w:tcBorders>
          </w:tcPr>
          <w:p w14:paraId="00C7D35F" w14:textId="23C7F834" w:rsidR="00246BB3" w:rsidRPr="00E90790" w:rsidRDefault="00246BB3" w:rsidP="00C920AB">
            <w:pPr>
              <w:pStyle w:val="ListParagraph"/>
              <w:numPr>
                <w:ilvl w:val="0"/>
                <w:numId w:val="31"/>
              </w:numPr>
              <w:ind w:left="320"/>
              <w:rPr>
                <w:rFonts w:cs="Arial"/>
                <w:iCs/>
                <w:color w:val="0D0D0D" w:themeColor="text1" w:themeTint="F2"/>
              </w:rPr>
            </w:pPr>
            <w:r w:rsidRPr="00E90790">
              <w:rPr>
                <w:rFonts w:cs="Arial"/>
                <w:iCs/>
                <w:color w:val="0D0D0D" w:themeColor="text1" w:themeTint="F2"/>
              </w:rPr>
              <w:t>Aboriginal Education Review Implementation</w:t>
            </w:r>
          </w:p>
        </w:tc>
        <w:tc>
          <w:tcPr>
            <w:tcW w:w="1701" w:type="dxa"/>
            <w:tcBorders>
              <w:top w:val="single" w:sz="4" w:space="0" w:color="auto"/>
              <w:left w:val="single" w:sz="4" w:space="0" w:color="auto"/>
              <w:bottom w:val="single" w:sz="4" w:space="0" w:color="auto"/>
              <w:right w:val="single" w:sz="4" w:space="0" w:color="auto"/>
            </w:tcBorders>
          </w:tcPr>
          <w:p w14:paraId="0D048A07" w14:textId="28145499" w:rsidR="00246BB3" w:rsidRPr="00E90790" w:rsidRDefault="00246BB3" w:rsidP="00C920AB">
            <w:pPr>
              <w:rPr>
                <w:rFonts w:cs="Arial"/>
                <w:iCs/>
                <w:color w:val="0D0D0D" w:themeColor="text1" w:themeTint="F2"/>
              </w:rPr>
            </w:pPr>
            <w:r w:rsidRPr="00E90790">
              <w:rPr>
                <w:rFonts w:cs="Arial"/>
                <w:iCs/>
                <w:color w:val="0D0D0D" w:themeColor="text1" w:themeTint="F2"/>
              </w:rPr>
              <w:t>$25,000</w:t>
            </w:r>
          </w:p>
        </w:tc>
        <w:tc>
          <w:tcPr>
            <w:tcW w:w="1559" w:type="dxa"/>
            <w:tcBorders>
              <w:top w:val="single" w:sz="4" w:space="0" w:color="auto"/>
              <w:left w:val="single" w:sz="4" w:space="0" w:color="auto"/>
              <w:bottom w:val="single" w:sz="4" w:space="0" w:color="auto"/>
              <w:right w:val="single" w:sz="4" w:space="0" w:color="auto"/>
            </w:tcBorders>
          </w:tcPr>
          <w:p w14:paraId="022FEFF6" w14:textId="2EFE402F" w:rsidR="00246BB3" w:rsidRPr="00E90790" w:rsidRDefault="00246BB3" w:rsidP="00C920AB">
            <w:pPr>
              <w:rPr>
                <w:rFonts w:cs="Arial"/>
                <w:iCs/>
                <w:color w:val="0D0D0D" w:themeColor="text1" w:themeTint="F2"/>
              </w:rPr>
            </w:pPr>
            <w:r w:rsidRPr="00E90790">
              <w:rPr>
                <w:rFonts w:cs="Arial"/>
                <w:iCs/>
                <w:color w:val="0D0D0D" w:themeColor="text1" w:themeTint="F2"/>
              </w:rPr>
              <w:t>$0</w:t>
            </w:r>
          </w:p>
        </w:tc>
        <w:tc>
          <w:tcPr>
            <w:tcW w:w="1276" w:type="dxa"/>
            <w:tcBorders>
              <w:top w:val="single" w:sz="4" w:space="0" w:color="auto"/>
              <w:left w:val="single" w:sz="4" w:space="0" w:color="auto"/>
              <w:bottom w:val="single" w:sz="4" w:space="0" w:color="auto"/>
            </w:tcBorders>
          </w:tcPr>
          <w:p w14:paraId="04155EF0" w14:textId="77777777" w:rsidR="00246BB3" w:rsidRPr="00E90790" w:rsidRDefault="00246BB3" w:rsidP="00C920AB">
            <w:pPr>
              <w:rPr>
                <w:rFonts w:cs="Arial"/>
                <w:iCs/>
                <w:color w:val="0D0D0D" w:themeColor="text1" w:themeTint="F2"/>
              </w:rPr>
            </w:pPr>
          </w:p>
        </w:tc>
      </w:tr>
      <w:tr w:rsidR="00E90790" w:rsidRPr="00E90790" w14:paraId="42221F39" w14:textId="77777777" w:rsidTr="008622CD">
        <w:trPr>
          <w:trHeight w:val="409"/>
        </w:trPr>
        <w:tc>
          <w:tcPr>
            <w:tcW w:w="2547" w:type="dxa"/>
            <w:vMerge w:val="restart"/>
            <w:tcBorders>
              <w:top w:val="single" w:sz="4" w:space="0" w:color="auto"/>
              <w:left w:val="single" w:sz="4" w:space="0" w:color="auto"/>
              <w:bottom w:val="single" w:sz="4" w:space="0" w:color="auto"/>
              <w:right w:val="single" w:sz="4" w:space="0" w:color="auto"/>
            </w:tcBorders>
          </w:tcPr>
          <w:p w14:paraId="181D9C83" w14:textId="77777777" w:rsidR="006246AF" w:rsidRPr="00E90790" w:rsidRDefault="006246AF" w:rsidP="00D63D22">
            <w:pPr>
              <w:rPr>
                <w:rFonts w:cs="Arial"/>
                <w:b/>
                <w:bCs/>
                <w:iCs/>
                <w:color w:val="0D0D0D" w:themeColor="text1" w:themeTint="F2"/>
              </w:rPr>
            </w:pPr>
          </w:p>
          <w:p w14:paraId="17A99B0A" w14:textId="32058073" w:rsidR="006246AF" w:rsidRPr="00E90790" w:rsidRDefault="006246AF" w:rsidP="00D63D22">
            <w:pPr>
              <w:rPr>
                <w:rFonts w:cs="Arial"/>
                <w:b/>
                <w:bCs/>
                <w:iCs/>
                <w:color w:val="0D0D0D" w:themeColor="text1" w:themeTint="F2"/>
              </w:rPr>
            </w:pPr>
            <w:r w:rsidRPr="00E90790">
              <w:rPr>
                <w:rFonts w:cs="Arial"/>
                <w:b/>
                <w:bCs/>
                <w:iCs/>
                <w:color w:val="0D0D0D" w:themeColor="text1" w:themeTint="F2"/>
              </w:rPr>
              <w:t>Key Direction 2</w:t>
            </w:r>
          </w:p>
          <w:p w14:paraId="60AD8661" w14:textId="77777777" w:rsidR="006246AF" w:rsidRPr="00E90790" w:rsidRDefault="006246AF" w:rsidP="00D63D22">
            <w:pPr>
              <w:rPr>
                <w:rFonts w:cs="Arial"/>
                <w:b/>
                <w:bCs/>
                <w:iCs/>
                <w:color w:val="0D0D0D" w:themeColor="text1" w:themeTint="F2"/>
              </w:rPr>
            </w:pPr>
          </w:p>
          <w:p w14:paraId="15D07ADD" w14:textId="7C091678" w:rsidR="006246AF" w:rsidRPr="00E90790" w:rsidRDefault="006246AF" w:rsidP="00D63D22">
            <w:pPr>
              <w:rPr>
                <w:rFonts w:cs="Arial"/>
                <w:b/>
                <w:bCs/>
                <w:iCs/>
                <w:color w:val="0D0D0D" w:themeColor="text1" w:themeTint="F2"/>
              </w:rPr>
            </w:pPr>
            <w:r w:rsidRPr="00E90790">
              <w:rPr>
                <w:rFonts w:cs="Arial"/>
                <w:b/>
                <w:bCs/>
                <w:iCs/>
                <w:color w:val="0D0D0D" w:themeColor="text1" w:themeTint="F2"/>
              </w:rPr>
              <w:t>Supporting teaching, school leadership and school improvement</w:t>
            </w:r>
          </w:p>
        </w:tc>
        <w:tc>
          <w:tcPr>
            <w:tcW w:w="3544" w:type="dxa"/>
            <w:tcBorders>
              <w:top w:val="single" w:sz="4" w:space="0" w:color="auto"/>
              <w:left w:val="single" w:sz="4" w:space="0" w:color="auto"/>
              <w:bottom w:val="single" w:sz="4" w:space="0" w:color="auto"/>
              <w:right w:val="single" w:sz="4" w:space="0" w:color="auto"/>
            </w:tcBorders>
          </w:tcPr>
          <w:p w14:paraId="7A062C60" w14:textId="7D20D609" w:rsidR="006246AF" w:rsidRPr="00E90790" w:rsidRDefault="006246AF" w:rsidP="00C920AB">
            <w:pPr>
              <w:rPr>
                <w:rFonts w:cs="Arial"/>
                <w:b/>
                <w:bCs/>
                <w:iCs/>
                <w:color w:val="0D0D0D" w:themeColor="text1" w:themeTint="F2"/>
              </w:rPr>
            </w:pPr>
            <w:r w:rsidRPr="00E90790">
              <w:rPr>
                <w:rFonts w:cs="Arial"/>
                <w:b/>
                <w:bCs/>
                <w:iCs/>
                <w:color w:val="0D0D0D" w:themeColor="text1" w:themeTint="F2"/>
              </w:rPr>
              <w:t>School Improvement</w:t>
            </w:r>
          </w:p>
        </w:tc>
        <w:tc>
          <w:tcPr>
            <w:tcW w:w="1701" w:type="dxa"/>
            <w:tcBorders>
              <w:top w:val="single" w:sz="4" w:space="0" w:color="auto"/>
              <w:left w:val="single" w:sz="4" w:space="0" w:color="auto"/>
              <w:bottom w:val="single" w:sz="4" w:space="0" w:color="auto"/>
              <w:right w:val="single" w:sz="4" w:space="0" w:color="auto"/>
            </w:tcBorders>
          </w:tcPr>
          <w:p w14:paraId="59E152A3" w14:textId="23F6708A" w:rsidR="006246AF" w:rsidRPr="00E90790" w:rsidRDefault="006246AF" w:rsidP="00C920AB">
            <w:pPr>
              <w:rPr>
                <w:rFonts w:cs="Arial"/>
                <w:iCs/>
                <w:color w:val="0D0D0D" w:themeColor="text1" w:themeTint="F2"/>
              </w:rPr>
            </w:pPr>
          </w:p>
        </w:tc>
        <w:tc>
          <w:tcPr>
            <w:tcW w:w="1559" w:type="dxa"/>
            <w:tcBorders>
              <w:top w:val="single" w:sz="4" w:space="0" w:color="auto"/>
              <w:left w:val="single" w:sz="4" w:space="0" w:color="auto"/>
              <w:bottom w:val="single" w:sz="4" w:space="0" w:color="auto"/>
              <w:right w:val="single" w:sz="4" w:space="0" w:color="auto"/>
            </w:tcBorders>
          </w:tcPr>
          <w:p w14:paraId="342C297B" w14:textId="6D0CED3F" w:rsidR="006246AF" w:rsidRPr="00E90790" w:rsidRDefault="006246AF" w:rsidP="00C920AB">
            <w:pPr>
              <w:rPr>
                <w:rFonts w:cs="Arial"/>
                <w:iCs/>
                <w:color w:val="0D0D0D" w:themeColor="text1" w:themeTint="F2"/>
              </w:rPr>
            </w:pPr>
          </w:p>
        </w:tc>
        <w:tc>
          <w:tcPr>
            <w:tcW w:w="1276" w:type="dxa"/>
            <w:vMerge w:val="restart"/>
            <w:tcBorders>
              <w:top w:val="single" w:sz="4" w:space="0" w:color="auto"/>
              <w:left w:val="single" w:sz="4" w:space="0" w:color="auto"/>
              <w:right w:val="single" w:sz="4" w:space="0" w:color="auto"/>
            </w:tcBorders>
          </w:tcPr>
          <w:p w14:paraId="1D402D9A" w14:textId="77777777" w:rsidR="006246AF" w:rsidRPr="00E90790" w:rsidRDefault="006246AF" w:rsidP="00C920AB">
            <w:pPr>
              <w:rPr>
                <w:rFonts w:cs="Arial"/>
                <w:iCs/>
                <w:color w:val="0D0D0D" w:themeColor="text1" w:themeTint="F2"/>
              </w:rPr>
            </w:pPr>
          </w:p>
        </w:tc>
      </w:tr>
      <w:tr w:rsidR="00E90790" w:rsidRPr="00E90790" w14:paraId="1E8330DD" w14:textId="77777777" w:rsidTr="008622CD">
        <w:trPr>
          <w:trHeight w:val="70"/>
        </w:trPr>
        <w:tc>
          <w:tcPr>
            <w:tcW w:w="2547" w:type="dxa"/>
            <w:vMerge/>
            <w:tcBorders>
              <w:top w:val="single" w:sz="4" w:space="0" w:color="auto"/>
              <w:left w:val="single" w:sz="4" w:space="0" w:color="auto"/>
              <w:bottom w:val="single" w:sz="4" w:space="0" w:color="auto"/>
              <w:right w:val="single" w:sz="4" w:space="0" w:color="auto"/>
            </w:tcBorders>
          </w:tcPr>
          <w:p w14:paraId="646D3F50" w14:textId="77777777" w:rsidR="006246AF" w:rsidRPr="00E90790" w:rsidRDefault="006246AF" w:rsidP="00D63D22">
            <w:pPr>
              <w:rPr>
                <w:rFonts w:cs="Arial"/>
                <w:b/>
                <w:bCs/>
                <w:iCs/>
                <w:color w:val="0D0D0D" w:themeColor="text1" w:themeTint="F2"/>
              </w:rPr>
            </w:pPr>
          </w:p>
        </w:tc>
        <w:tc>
          <w:tcPr>
            <w:tcW w:w="3544" w:type="dxa"/>
            <w:tcBorders>
              <w:top w:val="single" w:sz="4" w:space="0" w:color="auto"/>
              <w:left w:val="single" w:sz="4" w:space="0" w:color="auto"/>
              <w:bottom w:val="single" w:sz="4" w:space="0" w:color="auto"/>
              <w:right w:val="single" w:sz="4" w:space="0" w:color="auto"/>
            </w:tcBorders>
          </w:tcPr>
          <w:p w14:paraId="4E22CD4C" w14:textId="52F2248E" w:rsidR="008622CD" w:rsidRPr="00E90790" w:rsidRDefault="006246AF" w:rsidP="008622CD">
            <w:pPr>
              <w:pStyle w:val="ListParagraph"/>
              <w:numPr>
                <w:ilvl w:val="0"/>
                <w:numId w:val="31"/>
              </w:numPr>
              <w:ind w:left="320"/>
              <w:rPr>
                <w:rFonts w:cs="Arial"/>
                <w:iCs/>
                <w:color w:val="0D0D0D" w:themeColor="text1" w:themeTint="F2"/>
              </w:rPr>
            </w:pPr>
            <w:r w:rsidRPr="00E90790">
              <w:rPr>
                <w:rFonts w:cs="Arial"/>
                <w:iCs/>
                <w:color w:val="0D0D0D" w:themeColor="text1" w:themeTint="F2"/>
              </w:rPr>
              <w:t>School Improvement/Leadership Standards Projects &amp; Balanced Score Card (BSC) Implementation</w:t>
            </w:r>
          </w:p>
        </w:tc>
        <w:tc>
          <w:tcPr>
            <w:tcW w:w="1701" w:type="dxa"/>
            <w:tcBorders>
              <w:top w:val="single" w:sz="4" w:space="0" w:color="auto"/>
              <w:left w:val="single" w:sz="4" w:space="0" w:color="auto"/>
              <w:bottom w:val="single" w:sz="4" w:space="0" w:color="auto"/>
              <w:right w:val="single" w:sz="4" w:space="0" w:color="auto"/>
            </w:tcBorders>
          </w:tcPr>
          <w:p w14:paraId="282AC716" w14:textId="3202B121" w:rsidR="006246AF" w:rsidRPr="00E90790" w:rsidRDefault="006246AF" w:rsidP="00C920AB">
            <w:pPr>
              <w:rPr>
                <w:rFonts w:cs="Arial"/>
                <w:iCs/>
                <w:color w:val="0D0D0D" w:themeColor="text1" w:themeTint="F2"/>
              </w:rPr>
            </w:pPr>
            <w:r w:rsidRPr="00E90790">
              <w:rPr>
                <w:rFonts w:cs="Arial"/>
                <w:iCs/>
                <w:color w:val="0D0D0D" w:themeColor="text1" w:themeTint="F2"/>
              </w:rPr>
              <w:t>$20,000</w:t>
            </w:r>
          </w:p>
        </w:tc>
        <w:tc>
          <w:tcPr>
            <w:tcW w:w="1559" w:type="dxa"/>
            <w:tcBorders>
              <w:top w:val="single" w:sz="4" w:space="0" w:color="auto"/>
              <w:left w:val="single" w:sz="4" w:space="0" w:color="auto"/>
              <w:bottom w:val="single" w:sz="4" w:space="0" w:color="auto"/>
              <w:right w:val="single" w:sz="4" w:space="0" w:color="auto"/>
            </w:tcBorders>
          </w:tcPr>
          <w:p w14:paraId="0C244EBE" w14:textId="2C52001A" w:rsidR="006246AF" w:rsidRPr="00E90790" w:rsidRDefault="006246AF" w:rsidP="00C920AB">
            <w:pPr>
              <w:rPr>
                <w:rFonts w:cs="Arial"/>
                <w:iCs/>
                <w:color w:val="0D0D0D" w:themeColor="text1" w:themeTint="F2"/>
              </w:rPr>
            </w:pPr>
            <w:r w:rsidRPr="00E90790">
              <w:rPr>
                <w:rFonts w:cs="Arial"/>
                <w:iCs/>
                <w:color w:val="0D0D0D" w:themeColor="text1" w:themeTint="F2"/>
              </w:rPr>
              <w:t>$0</w:t>
            </w:r>
          </w:p>
        </w:tc>
        <w:tc>
          <w:tcPr>
            <w:tcW w:w="1276" w:type="dxa"/>
            <w:vMerge/>
            <w:tcBorders>
              <w:left w:val="single" w:sz="4" w:space="0" w:color="auto"/>
              <w:bottom w:val="single" w:sz="4" w:space="0" w:color="auto"/>
              <w:right w:val="single" w:sz="4" w:space="0" w:color="auto"/>
            </w:tcBorders>
          </w:tcPr>
          <w:p w14:paraId="67ED87E4" w14:textId="77777777" w:rsidR="006246AF" w:rsidRPr="00E90790" w:rsidRDefault="006246AF" w:rsidP="00C920AB">
            <w:pPr>
              <w:rPr>
                <w:rFonts w:cs="Arial"/>
                <w:iCs/>
                <w:color w:val="0D0D0D" w:themeColor="text1" w:themeTint="F2"/>
              </w:rPr>
            </w:pPr>
          </w:p>
        </w:tc>
      </w:tr>
      <w:tr w:rsidR="00E90790" w:rsidRPr="00E90790" w14:paraId="2BC8C6E8" w14:textId="77777777" w:rsidTr="008622CD">
        <w:trPr>
          <w:trHeight w:val="372"/>
        </w:trPr>
        <w:tc>
          <w:tcPr>
            <w:tcW w:w="2547" w:type="dxa"/>
            <w:vMerge w:val="restart"/>
            <w:tcBorders>
              <w:top w:val="single" w:sz="4" w:space="0" w:color="auto"/>
            </w:tcBorders>
          </w:tcPr>
          <w:p w14:paraId="74B4B9DE" w14:textId="77777777" w:rsidR="00246BB3" w:rsidRPr="00E90790" w:rsidRDefault="00246BB3" w:rsidP="00D63D22">
            <w:pPr>
              <w:rPr>
                <w:rFonts w:cs="Arial"/>
                <w:b/>
                <w:bCs/>
                <w:iCs/>
                <w:color w:val="0D0D0D" w:themeColor="text1" w:themeTint="F2"/>
              </w:rPr>
            </w:pPr>
          </w:p>
          <w:p w14:paraId="03AFF4A1" w14:textId="430A142C" w:rsidR="00246BB3" w:rsidRPr="00E90790" w:rsidRDefault="00246BB3" w:rsidP="00D63D22">
            <w:pPr>
              <w:rPr>
                <w:rFonts w:cs="Arial"/>
                <w:b/>
                <w:bCs/>
                <w:iCs/>
                <w:color w:val="0D0D0D" w:themeColor="text1" w:themeTint="F2"/>
              </w:rPr>
            </w:pPr>
            <w:r w:rsidRPr="00E90790">
              <w:rPr>
                <w:rFonts w:cs="Arial"/>
                <w:b/>
                <w:bCs/>
                <w:iCs/>
                <w:color w:val="0D0D0D" w:themeColor="text1" w:themeTint="F2"/>
              </w:rPr>
              <w:t>Key Direction 2</w:t>
            </w:r>
          </w:p>
          <w:p w14:paraId="104881DC" w14:textId="77777777" w:rsidR="00246BB3" w:rsidRPr="00E90790" w:rsidRDefault="00246BB3" w:rsidP="00D63D22">
            <w:pPr>
              <w:rPr>
                <w:rFonts w:cs="Arial"/>
                <w:b/>
                <w:bCs/>
                <w:iCs/>
                <w:color w:val="0D0D0D" w:themeColor="text1" w:themeTint="F2"/>
              </w:rPr>
            </w:pPr>
          </w:p>
          <w:p w14:paraId="4C568E4C" w14:textId="48AA7F55" w:rsidR="00246BB3" w:rsidRPr="00E90790" w:rsidRDefault="00246BB3" w:rsidP="00D63D22">
            <w:pPr>
              <w:rPr>
                <w:rFonts w:cs="Arial"/>
                <w:b/>
                <w:bCs/>
                <w:iCs/>
                <w:color w:val="0D0D0D" w:themeColor="text1" w:themeTint="F2"/>
              </w:rPr>
            </w:pPr>
            <w:r w:rsidRPr="00E90790">
              <w:rPr>
                <w:rFonts w:cs="Arial"/>
                <w:b/>
                <w:bCs/>
                <w:iCs/>
                <w:color w:val="0D0D0D" w:themeColor="text1" w:themeTint="F2"/>
              </w:rPr>
              <w:t>Supporting teaching, school leadership and school improvement</w:t>
            </w:r>
          </w:p>
        </w:tc>
        <w:tc>
          <w:tcPr>
            <w:tcW w:w="3544" w:type="dxa"/>
            <w:tcBorders>
              <w:top w:val="single" w:sz="4" w:space="0" w:color="auto"/>
              <w:bottom w:val="single" w:sz="4" w:space="0" w:color="auto"/>
            </w:tcBorders>
          </w:tcPr>
          <w:p w14:paraId="2F9DD420" w14:textId="007B1A7E" w:rsidR="00246BB3" w:rsidRPr="00E90790" w:rsidRDefault="00246BB3" w:rsidP="00C920AB">
            <w:pPr>
              <w:rPr>
                <w:rFonts w:cs="Arial"/>
                <w:b/>
                <w:bCs/>
                <w:iCs/>
                <w:color w:val="0D0D0D" w:themeColor="text1" w:themeTint="F2"/>
              </w:rPr>
            </w:pPr>
            <w:r w:rsidRPr="00E90790">
              <w:rPr>
                <w:rFonts w:cs="Arial"/>
                <w:b/>
                <w:bCs/>
                <w:iCs/>
                <w:color w:val="0D0D0D" w:themeColor="text1" w:themeTint="F2"/>
              </w:rPr>
              <w:t>School Leadership</w:t>
            </w:r>
          </w:p>
        </w:tc>
        <w:tc>
          <w:tcPr>
            <w:tcW w:w="1701" w:type="dxa"/>
            <w:tcBorders>
              <w:top w:val="single" w:sz="4" w:space="0" w:color="auto"/>
              <w:bottom w:val="single" w:sz="4" w:space="0" w:color="auto"/>
            </w:tcBorders>
          </w:tcPr>
          <w:p w14:paraId="54DF9349" w14:textId="77777777" w:rsidR="00246BB3" w:rsidRPr="00E90790" w:rsidRDefault="00246BB3" w:rsidP="00C920AB">
            <w:pPr>
              <w:rPr>
                <w:rFonts w:cs="Arial"/>
                <w:iCs/>
                <w:color w:val="0D0D0D" w:themeColor="text1" w:themeTint="F2"/>
              </w:rPr>
            </w:pPr>
          </w:p>
        </w:tc>
        <w:tc>
          <w:tcPr>
            <w:tcW w:w="1559" w:type="dxa"/>
            <w:tcBorders>
              <w:top w:val="single" w:sz="4" w:space="0" w:color="auto"/>
              <w:bottom w:val="single" w:sz="4" w:space="0" w:color="auto"/>
            </w:tcBorders>
          </w:tcPr>
          <w:p w14:paraId="2022322F" w14:textId="77777777" w:rsidR="00246BB3" w:rsidRPr="00E90790" w:rsidRDefault="00246BB3" w:rsidP="00C920AB">
            <w:pPr>
              <w:rPr>
                <w:rFonts w:cs="Arial"/>
                <w:iCs/>
                <w:color w:val="0D0D0D" w:themeColor="text1" w:themeTint="F2"/>
              </w:rPr>
            </w:pPr>
          </w:p>
        </w:tc>
        <w:tc>
          <w:tcPr>
            <w:tcW w:w="1276" w:type="dxa"/>
            <w:vMerge w:val="restart"/>
            <w:tcBorders>
              <w:top w:val="single" w:sz="4" w:space="0" w:color="auto"/>
            </w:tcBorders>
          </w:tcPr>
          <w:p w14:paraId="5AEC06AB" w14:textId="77777777" w:rsidR="00246BB3" w:rsidRPr="00E90790" w:rsidRDefault="00246BB3" w:rsidP="00C920AB">
            <w:pPr>
              <w:rPr>
                <w:rFonts w:cs="Arial"/>
                <w:iCs/>
                <w:color w:val="0D0D0D" w:themeColor="text1" w:themeTint="F2"/>
              </w:rPr>
            </w:pPr>
          </w:p>
        </w:tc>
      </w:tr>
      <w:tr w:rsidR="00E90790" w:rsidRPr="00E90790" w14:paraId="15D315FF" w14:textId="77777777" w:rsidTr="008622CD">
        <w:trPr>
          <w:trHeight w:val="546"/>
        </w:trPr>
        <w:tc>
          <w:tcPr>
            <w:tcW w:w="2547" w:type="dxa"/>
            <w:vMerge/>
          </w:tcPr>
          <w:p w14:paraId="77BD27D2" w14:textId="77777777" w:rsidR="00246BB3" w:rsidRPr="00E90790" w:rsidRDefault="00246BB3" w:rsidP="00D63D22">
            <w:pPr>
              <w:rPr>
                <w:rFonts w:cs="Arial"/>
                <w:b/>
                <w:bCs/>
                <w:iCs/>
                <w:color w:val="0D0D0D" w:themeColor="text1" w:themeTint="F2"/>
              </w:rPr>
            </w:pPr>
          </w:p>
        </w:tc>
        <w:tc>
          <w:tcPr>
            <w:tcW w:w="3544" w:type="dxa"/>
            <w:tcBorders>
              <w:top w:val="single" w:sz="4" w:space="0" w:color="auto"/>
              <w:bottom w:val="single" w:sz="4" w:space="0" w:color="auto"/>
            </w:tcBorders>
          </w:tcPr>
          <w:p w14:paraId="2EAD9209" w14:textId="5C847E3A" w:rsidR="00246BB3" w:rsidRPr="00E90790" w:rsidRDefault="00246BB3" w:rsidP="00C920AB">
            <w:pPr>
              <w:pStyle w:val="ListParagraph"/>
              <w:numPr>
                <w:ilvl w:val="0"/>
                <w:numId w:val="31"/>
              </w:numPr>
              <w:ind w:left="320"/>
              <w:rPr>
                <w:rFonts w:cs="Arial"/>
                <w:iCs/>
                <w:color w:val="0D0D0D" w:themeColor="text1" w:themeTint="F2"/>
              </w:rPr>
            </w:pPr>
            <w:r w:rsidRPr="00E90790">
              <w:rPr>
                <w:rFonts w:cs="Arial"/>
                <w:iCs/>
                <w:color w:val="0D0D0D" w:themeColor="text1" w:themeTint="F2"/>
              </w:rPr>
              <w:t>Financial Management for Principals</w:t>
            </w:r>
          </w:p>
        </w:tc>
        <w:tc>
          <w:tcPr>
            <w:tcW w:w="1701" w:type="dxa"/>
            <w:tcBorders>
              <w:top w:val="single" w:sz="4" w:space="0" w:color="auto"/>
              <w:bottom w:val="single" w:sz="4" w:space="0" w:color="auto"/>
            </w:tcBorders>
          </w:tcPr>
          <w:p w14:paraId="53C828BA" w14:textId="675F73C3" w:rsidR="00246BB3" w:rsidRPr="00E90790" w:rsidRDefault="00246BB3" w:rsidP="00C920AB">
            <w:pPr>
              <w:rPr>
                <w:rFonts w:cs="Arial"/>
                <w:iCs/>
                <w:color w:val="0D0D0D" w:themeColor="text1" w:themeTint="F2"/>
              </w:rPr>
            </w:pPr>
            <w:r w:rsidRPr="00E90790">
              <w:rPr>
                <w:rFonts w:cs="Arial"/>
                <w:iCs/>
                <w:color w:val="0D0D0D" w:themeColor="text1" w:themeTint="F2"/>
              </w:rPr>
              <w:t>$75,000</w:t>
            </w:r>
          </w:p>
        </w:tc>
        <w:tc>
          <w:tcPr>
            <w:tcW w:w="1559" w:type="dxa"/>
            <w:tcBorders>
              <w:top w:val="single" w:sz="4" w:space="0" w:color="auto"/>
              <w:bottom w:val="single" w:sz="4" w:space="0" w:color="auto"/>
            </w:tcBorders>
          </w:tcPr>
          <w:p w14:paraId="40CF5005" w14:textId="1D1B5A58" w:rsidR="00246BB3" w:rsidRPr="00E90790" w:rsidRDefault="00246BB3" w:rsidP="00C920AB">
            <w:pPr>
              <w:rPr>
                <w:rFonts w:cs="Arial"/>
                <w:iCs/>
                <w:color w:val="0D0D0D" w:themeColor="text1" w:themeTint="F2"/>
              </w:rPr>
            </w:pPr>
            <w:r w:rsidRPr="00E90790">
              <w:rPr>
                <w:rFonts w:cs="Arial"/>
                <w:iCs/>
                <w:color w:val="0D0D0D" w:themeColor="text1" w:themeTint="F2"/>
              </w:rPr>
              <w:t>$0</w:t>
            </w:r>
          </w:p>
        </w:tc>
        <w:tc>
          <w:tcPr>
            <w:tcW w:w="1276" w:type="dxa"/>
            <w:vMerge/>
          </w:tcPr>
          <w:p w14:paraId="6C3DB198" w14:textId="77777777" w:rsidR="00246BB3" w:rsidRPr="00E90790" w:rsidRDefault="00246BB3" w:rsidP="00C920AB">
            <w:pPr>
              <w:rPr>
                <w:rFonts w:cs="Arial"/>
                <w:iCs/>
                <w:color w:val="0D0D0D" w:themeColor="text1" w:themeTint="F2"/>
              </w:rPr>
            </w:pPr>
          </w:p>
        </w:tc>
      </w:tr>
      <w:tr w:rsidR="00E90790" w:rsidRPr="00E90790" w14:paraId="55FA8AA7" w14:textId="77777777" w:rsidTr="008622CD">
        <w:trPr>
          <w:trHeight w:val="562"/>
        </w:trPr>
        <w:tc>
          <w:tcPr>
            <w:tcW w:w="2547" w:type="dxa"/>
            <w:vMerge/>
            <w:tcBorders>
              <w:bottom w:val="single" w:sz="4" w:space="0" w:color="auto"/>
            </w:tcBorders>
          </w:tcPr>
          <w:p w14:paraId="46ECEE50" w14:textId="77777777" w:rsidR="00246BB3" w:rsidRPr="00E90790" w:rsidRDefault="00246BB3" w:rsidP="00D63D22">
            <w:pPr>
              <w:rPr>
                <w:rFonts w:cs="Arial"/>
                <w:b/>
                <w:bCs/>
                <w:iCs/>
                <w:color w:val="0D0D0D" w:themeColor="text1" w:themeTint="F2"/>
              </w:rPr>
            </w:pPr>
          </w:p>
        </w:tc>
        <w:tc>
          <w:tcPr>
            <w:tcW w:w="3544" w:type="dxa"/>
            <w:tcBorders>
              <w:top w:val="single" w:sz="4" w:space="0" w:color="auto"/>
              <w:bottom w:val="single" w:sz="4" w:space="0" w:color="auto"/>
            </w:tcBorders>
          </w:tcPr>
          <w:p w14:paraId="0A7F5346" w14:textId="7D766455" w:rsidR="00246BB3" w:rsidRPr="00E90790" w:rsidRDefault="00246BB3" w:rsidP="00C920AB">
            <w:pPr>
              <w:pStyle w:val="ListParagraph"/>
              <w:numPr>
                <w:ilvl w:val="0"/>
                <w:numId w:val="31"/>
              </w:numPr>
              <w:ind w:left="320"/>
              <w:rPr>
                <w:rFonts w:cs="Arial"/>
                <w:iCs/>
                <w:color w:val="0D0D0D" w:themeColor="text1" w:themeTint="F2"/>
              </w:rPr>
            </w:pPr>
            <w:r w:rsidRPr="00E90790">
              <w:rPr>
                <w:rFonts w:cs="Arial"/>
                <w:iCs/>
                <w:color w:val="0D0D0D" w:themeColor="text1" w:themeTint="F2"/>
              </w:rPr>
              <w:t xml:space="preserve">Leadership Development Programs </w:t>
            </w:r>
          </w:p>
        </w:tc>
        <w:tc>
          <w:tcPr>
            <w:tcW w:w="1701" w:type="dxa"/>
            <w:tcBorders>
              <w:top w:val="single" w:sz="4" w:space="0" w:color="auto"/>
              <w:bottom w:val="single" w:sz="4" w:space="0" w:color="auto"/>
            </w:tcBorders>
          </w:tcPr>
          <w:p w14:paraId="51AA6099" w14:textId="1C248D08" w:rsidR="00246BB3" w:rsidRPr="00E90790" w:rsidRDefault="00246BB3" w:rsidP="00C920AB">
            <w:pPr>
              <w:rPr>
                <w:rFonts w:cs="Arial"/>
                <w:iCs/>
                <w:color w:val="0D0D0D" w:themeColor="text1" w:themeTint="F2"/>
              </w:rPr>
            </w:pPr>
            <w:r w:rsidRPr="00E90790">
              <w:rPr>
                <w:rFonts w:cs="Arial"/>
                <w:iCs/>
                <w:color w:val="0D0D0D" w:themeColor="text1" w:themeTint="F2"/>
              </w:rPr>
              <w:t>$160,000</w:t>
            </w:r>
          </w:p>
        </w:tc>
        <w:tc>
          <w:tcPr>
            <w:tcW w:w="1559" w:type="dxa"/>
            <w:tcBorders>
              <w:top w:val="single" w:sz="4" w:space="0" w:color="auto"/>
              <w:bottom w:val="single" w:sz="4" w:space="0" w:color="auto"/>
            </w:tcBorders>
          </w:tcPr>
          <w:p w14:paraId="1048A1F4" w14:textId="63C56F9C" w:rsidR="00246BB3" w:rsidRPr="00E90790" w:rsidRDefault="00246BB3" w:rsidP="00C920AB">
            <w:pPr>
              <w:rPr>
                <w:rFonts w:cs="Arial"/>
                <w:iCs/>
                <w:color w:val="0D0D0D" w:themeColor="text1" w:themeTint="F2"/>
              </w:rPr>
            </w:pPr>
            <w:r w:rsidRPr="00E90790">
              <w:rPr>
                <w:rFonts w:cs="Arial"/>
                <w:iCs/>
                <w:color w:val="0D0D0D" w:themeColor="text1" w:themeTint="F2"/>
              </w:rPr>
              <w:t>$0</w:t>
            </w:r>
          </w:p>
        </w:tc>
        <w:tc>
          <w:tcPr>
            <w:tcW w:w="1276" w:type="dxa"/>
            <w:vMerge/>
            <w:tcBorders>
              <w:bottom w:val="single" w:sz="4" w:space="0" w:color="auto"/>
            </w:tcBorders>
          </w:tcPr>
          <w:p w14:paraId="4D79D559" w14:textId="77777777" w:rsidR="00246BB3" w:rsidRPr="00E90790" w:rsidRDefault="00246BB3" w:rsidP="00C920AB">
            <w:pPr>
              <w:rPr>
                <w:rFonts w:cs="Arial"/>
                <w:iCs/>
                <w:color w:val="0D0D0D" w:themeColor="text1" w:themeTint="F2"/>
              </w:rPr>
            </w:pPr>
          </w:p>
        </w:tc>
      </w:tr>
      <w:tr w:rsidR="00E90790" w:rsidRPr="00E90790" w14:paraId="1E63A687" w14:textId="77777777" w:rsidTr="008622CD">
        <w:trPr>
          <w:trHeight w:val="1625"/>
        </w:trPr>
        <w:tc>
          <w:tcPr>
            <w:tcW w:w="2547" w:type="dxa"/>
            <w:tcBorders>
              <w:top w:val="single" w:sz="4" w:space="0" w:color="auto"/>
              <w:left w:val="single" w:sz="4" w:space="0" w:color="auto"/>
              <w:bottom w:val="single" w:sz="4" w:space="0" w:color="auto"/>
              <w:right w:val="single" w:sz="4" w:space="0" w:color="auto"/>
            </w:tcBorders>
          </w:tcPr>
          <w:p w14:paraId="6C3B6CA3" w14:textId="77777777" w:rsidR="00C920AB" w:rsidRPr="00E90790" w:rsidRDefault="00C920AB" w:rsidP="00D63D22">
            <w:pPr>
              <w:rPr>
                <w:rFonts w:cs="Arial"/>
                <w:b/>
                <w:bCs/>
                <w:iCs/>
                <w:color w:val="0D0D0D" w:themeColor="text1" w:themeTint="F2"/>
              </w:rPr>
            </w:pPr>
          </w:p>
          <w:p w14:paraId="1B5CCA5A" w14:textId="544B6A57" w:rsidR="00C62C2E" w:rsidRPr="00E90790" w:rsidRDefault="00C62C2E" w:rsidP="00D63D22">
            <w:pPr>
              <w:rPr>
                <w:rFonts w:cs="Arial"/>
                <w:b/>
                <w:bCs/>
                <w:iCs/>
                <w:color w:val="0D0D0D" w:themeColor="text1" w:themeTint="F2"/>
              </w:rPr>
            </w:pPr>
            <w:r w:rsidRPr="00E90790">
              <w:rPr>
                <w:rFonts w:cs="Arial"/>
                <w:b/>
                <w:bCs/>
                <w:iCs/>
                <w:color w:val="0D0D0D" w:themeColor="text1" w:themeTint="F2"/>
              </w:rPr>
              <w:t>Key Direction 2</w:t>
            </w:r>
          </w:p>
          <w:p w14:paraId="51CBA9D9" w14:textId="77777777" w:rsidR="00C62C2E" w:rsidRPr="00E90790" w:rsidRDefault="00C62C2E" w:rsidP="00D63D22">
            <w:pPr>
              <w:rPr>
                <w:rFonts w:cs="Arial"/>
                <w:b/>
                <w:bCs/>
                <w:iCs/>
                <w:color w:val="0D0D0D" w:themeColor="text1" w:themeTint="F2"/>
              </w:rPr>
            </w:pPr>
          </w:p>
          <w:p w14:paraId="0A475560" w14:textId="0D3FCACB" w:rsidR="001253C8" w:rsidRPr="00E90790" w:rsidRDefault="00C62C2E" w:rsidP="00D63D22">
            <w:pPr>
              <w:rPr>
                <w:rFonts w:cs="Arial"/>
                <w:b/>
                <w:bCs/>
                <w:iCs/>
                <w:color w:val="0D0D0D" w:themeColor="text1" w:themeTint="F2"/>
              </w:rPr>
            </w:pPr>
            <w:r w:rsidRPr="00E90790">
              <w:rPr>
                <w:rFonts w:cs="Arial"/>
                <w:b/>
                <w:bCs/>
                <w:iCs/>
                <w:color w:val="0D0D0D" w:themeColor="text1" w:themeTint="F2"/>
              </w:rPr>
              <w:t>Supporting teaching, school leadership and school improvement</w:t>
            </w:r>
          </w:p>
        </w:tc>
        <w:tc>
          <w:tcPr>
            <w:tcW w:w="3544" w:type="dxa"/>
            <w:tcBorders>
              <w:top w:val="single" w:sz="4" w:space="0" w:color="auto"/>
              <w:left w:val="single" w:sz="4" w:space="0" w:color="auto"/>
              <w:bottom w:val="single" w:sz="4" w:space="0" w:color="auto"/>
              <w:right w:val="single" w:sz="4" w:space="0" w:color="auto"/>
            </w:tcBorders>
          </w:tcPr>
          <w:p w14:paraId="6DA30296" w14:textId="6635F7A3" w:rsidR="001253C8" w:rsidRPr="00E90790" w:rsidRDefault="001253C8" w:rsidP="00C920AB">
            <w:pPr>
              <w:rPr>
                <w:rFonts w:cs="Arial"/>
                <w:b/>
                <w:bCs/>
                <w:iCs/>
                <w:color w:val="0D0D0D" w:themeColor="text1" w:themeTint="F2"/>
              </w:rPr>
            </w:pPr>
            <w:r w:rsidRPr="00E90790">
              <w:rPr>
                <w:rFonts w:cs="Arial"/>
                <w:b/>
                <w:bCs/>
                <w:iCs/>
                <w:color w:val="0D0D0D" w:themeColor="text1" w:themeTint="F2"/>
              </w:rPr>
              <w:t>Entrepreneurial Education</w:t>
            </w:r>
          </w:p>
        </w:tc>
        <w:tc>
          <w:tcPr>
            <w:tcW w:w="1701" w:type="dxa"/>
            <w:tcBorders>
              <w:top w:val="single" w:sz="4" w:space="0" w:color="auto"/>
              <w:left w:val="single" w:sz="4" w:space="0" w:color="auto"/>
              <w:bottom w:val="single" w:sz="4" w:space="0" w:color="auto"/>
              <w:right w:val="single" w:sz="4" w:space="0" w:color="auto"/>
            </w:tcBorders>
          </w:tcPr>
          <w:p w14:paraId="21A735F8" w14:textId="3F6A12FD" w:rsidR="001253C8" w:rsidRPr="00E90790" w:rsidRDefault="001253C8" w:rsidP="00C920AB">
            <w:pPr>
              <w:rPr>
                <w:rFonts w:cs="Arial"/>
                <w:iCs/>
                <w:color w:val="0D0D0D" w:themeColor="text1" w:themeTint="F2"/>
              </w:rPr>
            </w:pPr>
            <w:r w:rsidRPr="00E90790">
              <w:rPr>
                <w:rFonts w:cs="Arial"/>
                <w:iCs/>
                <w:color w:val="0D0D0D" w:themeColor="text1" w:themeTint="F2"/>
              </w:rPr>
              <w:t>$44,000</w:t>
            </w:r>
          </w:p>
        </w:tc>
        <w:tc>
          <w:tcPr>
            <w:tcW w:w="1559" w:type="dxa"/>
            <w:tcBorders>
              <w:top w:val="single" w:sz="4" w:space="0" w:color="auto"/>
              <w:left w:val="single" w:sz="4" w:space="0" w:color="auto"/>
              <w:bottom w:val="single" w:sz="4" w:space="0" w:color="auto"/>
              <w:right w:val="single" w:sz="4" w:space="0" w:color="auto"/>
            </w:tcBorders>
          </w:tcPr>
          <w:p w14:paraId="26CE4024" w14:textId="63674787" w:rsidR="001253C8" w:rsidRPr="00E90790" w:rsidRDefault="001253C8" w:rsidP="00C920AB">
            <w:pPr>
              <w:rPr>
                <w:rFonts w:cs="Arial"/>
                <w:iCs/>
                <w:color w:val="0D0D0D" w:themeColor="text1" w:themeTint="F2"/>
              </w:rPr>
            </w:pPr>
            <w:r w:rsidRPr="00E90790">
              <w:rPr>
                <w:rFonts w:cs="Arial"/>
                <w:iCs/>
                <w:color w:val="0D0D0D" w:themeColor="text1" w:themeTint="F2"/>
              </w:rPr>
              <w:t>$0</w:t>
            </w:r>
          </w:p>
        </w:tc>
        <w:tc>
          <w:tcPr>
            <w:tcW w:w="1276" w:type="dxa"/>
            <w:tcBorders>
              <w:top w:val="single" w:sz="4" w:space="0" w:color="auto"/>
              <w:left w:val="single" w:sz="4" w:space="0" w:color="auto"/>
              <w:bottom w:val="single" w:sz="4" w:space="0" w:color="auto"/>
              <w:right w:val="single" w:sz="4" w:space="0" w:color="auto"/>
            </w:tcBorders>
          </w:tcPr>
          <w:p w14:paraId="517F5EC6" w14:textId="77777777" w:rsidR="001253C8" w:rsidRPr="00E90790" w:rsidRDefault="001253C8" w:rsidP="00C920AB">
            <w:pPr>
              <w:rPr>
                <w:rFonts w:cs="Arial"/>
                <w:iCs/>
                <w:color w:val="0D0D0D" w:themeColor="text1" w:themeTint="F2"/>
              </w:rPr>
            </w:pPr>
          </w:p>
        </w:tc>
      </w:tr>
      <w:tr w:rsidR="00E90790" w:rsidRPr="00E90790" w14:paraId="2FF06E28" w14:textId="77777777" w:rsidTr="008622CD">
        <w:trPr>
          <w:trHeight w:val="258"/>
        </w:trPr>
        <w:tc>
          <w:tcPr>
            <w:tcW w:w="2547" w:type="dxa"/>
            <w:tcBorders>
              <w:top w:val="single" w:sz="4" w:space="0" w:color="auto"/>
            </w:tcBorders>
            <w:shd w:val="clear" w:color="auto" w:fill="FFFFFF" w:themeFill="background1"/>
          </w:tcPr>
          <w:p w14:paraId="62D9915C" w14:textId="77777777" w:rsidR="00E6657C" w:rsidRPr="00E90790" w:rsidRDefault="00E6657C" w:rsidP="00D63D22">
            <w:pPr>
              <w:rPr>
                <w:rFonts w:cs="Arial"/>
                <w:b/>
                <w:bCs/>
                <w:iCs/>
                <w:color w:val="0D0D0D" w:themeColor="text1" w:themeTint="F2"/>
              </w:rPr>
            </w:pPr>
          </w:p>
        </w:tc>
        <w:tc>
          <w:tcPr>
            <w:tcW w:w="3544" w:type="dxa"/>
            <w:tcBorders>
              <w:top w:val="single" w:sz="4" w:space="0" w:color="auto"/>
            </w:tcBorders>
            <w:shd w:val="clear" w:color="auto" w:fill="FFFFFF" w:themeFill="background1"/>
          </w:tcPr>
          <w:p w14:paraId="4FAA6790" w14:textId="18698839" w:rsidR="00E6657C" w:rsidRPr="00E90790" w:rsidRDefault="00E6657C" w:rsidP="00C920AB">
            <w:pPr>
              <w:rPr>
                <w:rFonts w:cs="Arial"/>
                <w:b/>
                <w:bCs/>
                <w:iCs/>
                <w:color w:val="0D0D0D" w:themeColor="text1" w:themeTint="F2"/>
              </w:rPr>
            </w:pPr>
            <w:r w:rsidRPr="00E90790">
              <w:rPr>
                <w:rFonts w:cs="Arial"/>
                <w:b/>
                <w:bCs/>
                <w:iCs/>
                <w:color w:val="0D0D0D" w:themeColor="text1" w:themeTint="F2"/>
              </w:rPr>
              <w:t>Sub Total Key Direction 2</w:t>
            </w:r>
          </w:p>
        </w:tc>
        <w:tc>
          <w:tcPr>
            <w:tcW w:w="1701" w:type="dxa"/>
            <w:tcBorders>
              <w:top w:val="single" w:sz="4" w:space="0" w:color="auto"/>
            </w:tcBorders>
            <w:shd w:val="clear" w:color="auto" w:fill="FFFFFF" w:themeFill="background1"/>
          </w:tcPr>
          <w:p w14:paraId="5753E3CA" w14:textId="77777777" w:rsidR="00E6657C" w:rsidRPr="00E90790" w:rsidRDefault="00E6657C" w:rsidP="00C920AB">
            <w:pPr>
              <w:rPr>
                <w:rFonts w:cs="Arial"/>
                <w:b/>
                <w:bCs/>
                <w:iCs/>
                <w:color w:val="0D0D0D" w:themeColor="text1" w:themeTint="F2"/>
              </w:rPr>
            </w:pPr>
          </w:p>
        </w:tc>
        <w:tc>
          <w:tcPr>
            <w:tcW w:w="1559" w:type="dxa"/>
            <w:tcBorders>
              <w:top w:val="single" w:sz="4" w:space="0" w:color="auto"/>
            </w:tcBorders>
            <w:shd w:val="clear" w:color="auto" w:fill="FFFFFF" w:themeFill="background1"/>
          </w:tcPr>
          <w:p w14:paraId="4856AC7A" w14:textId="77777777" w:rsidR="00E6657C" w:rsidRPr="00E90790" w:rsidRDefault="00E6657C" w:rsidP="00C920AB">
            <w:pPr>
              <w:rPr>
                <w:rFonts w:cs="Arial"/>
                <w:b/>
                <w:bCs/>
                <w:iCs/>
                <w:color w:val="0D0D0D" w:themeColor="text1" w:themeTint="F2"/>
              </w:rPr>
            </w:pPr>
          </w:p>
        </w:tc>
        <w:tc>
          <w:tcPr>
            <w:tcW w:w="1276" w:type="dxa"/>
            <w:tcBorders>
              <w:top w:val="single" w:sz="4" w:space="0" w:color="auto"/>
            </w:tcBorders>
            <w:shd w:val="clear" w:color="auto" w:fill="FFFFFF" w:themeFill="background1"/>
          </w:tcPr>
          <w:p w14:paraId="402393F8" w14:textId="7619A4F1" w:rsidR="00E6657C" w:rsidRPr="00E90790" w:rsidRDefault="00E6657C" w:rsidP="00C920AB">
            <w:pPr>
              <w:rPr>
                <w:rFonts w:cs="Arial"/>
                <w:b/>
                <w:bCs/>
                <w:iCs/>
                <w:color w:val="0D0D0D" w:themeColor="text1" w:themeTint="F2"/>
              </w:rPr>
            </w:pPr>
            <w:r w:rsidRPr="00E90790">
              <w:rPr>
                <w:rFonts w:cs="Arial"/>
                <w:b/>
                <w:bCs/>
                <w:iCs/>
                <w:color w:val="0D0D0D" w:themeColor="text1" w:themeTint="F2"/>
              </w:rPr>
              <w:t>$</w:t>
            </w:r>
            <w:r w:rsidR="00C45B35" w:rsidRPr="00E90790">
              <w:rPr>
                <w:rFonts w:cs="Arial"/>
                <w:b/>
                <w:bCs/>
                <w:iCs/>
                <w:color w:val="0D0D0D" w:themeColor="text1" w:themeTint="F2"/>
              </w:rPr>
              <w:t>514,000</w:t>
            </w:r>
          </w:p>
        </w:tc>
      </w:tr>
      <w:tr w:rsidR="00E90790" w:rsidRPr="00E90790" w14:paraId="5661768E" w14:textId="77777777" w:rsidTr="008622CD">
        <w:trPr>
          <w:trHeight w:val="258"/>
        </w:trPr>
        <w:tc>
          <w:tcPr>
            <w:tcW w:w="2547" w:type="dxa"/>
            <w:tcBorders>
              <w:bottom w:val="single" w:sz="4" w:space="0" w:color="auto"/>
            </w:tcBorders>
            <w:shd w:val="clear" w:color="auto" w:fill="FFFFFF" w:themeFill="background1"/>
          </w:tcPr>
          <w:p w14:paraId="10DDD0AE" w14:textId="77777777" w:rsidR="00C95842" w:rsidRPr="00E90790" w:rsidRDefault="00C95842" w:rsidP="00D63D22">
            <w:pPr>
              <w:rPr>
                <w:rFonts w:cs="Arial"/>
                <w:b/>
                <w:bCs/>
                <w:iCs/>
                <w:color w:val="0D0D0D" w:themeColor="text1" w:themeTint="F2"/>
              </w:rPr>
            </w:pPr>
            <w:r w:rsidRPr="00E90790">
              <w:rPr>
                <w:rFonts w:cs="Arial"/>
                <w:b/>
                <w:bCs/>
                <w:iCs/>
                <w:color w:val="0D0D0D" w:themeColor="text1" w:themeTint="F2"/>
              </w:rPr>
              <w:t>Key Direction 3</w:t>
            </w:r>
          </w:p>
          <w:p w14:paraId="289B66A6" w14:textId="77777777" w:rsidR="00C95842" w:rsidRPr="00E90790" w:rsidRDefault="00C95842" w:rsidP="00D63D22">
            <w:pPr>
              <w:rPr>
                <w:rFonts w:cs="Arial"/>
                <w:b/>
                <w:bCs/>
                <w:iCs/>
                <w:color w:val="0D0D0D" w:themeColor="text1" w:themeTint="F2"/>
              </w:rPr>
            </w:pPr>
          </w:p>
          <w:p w14:paraId="34B34000" w14:textId="6CBDB40F" w:rsidR="00C95842" w:rsidRPr="00E90790" w:rsidRDefault="00C95842" w:rsidP="00D63D22">
            <w:pPr>
              <w:rPr>
                <w:rFonts w:cs="Arial"/>
                <w:b/>
                <w:bCs/>
                <w:iCs/>
                <w:color w:val="0D0D0D" w:themeColor="text1" w:themeTint="F2"/>
              </w:rPr>
            </w:pPr>
            <w:r w:rsidRPr="00E90790">
              <w:rPr>
                <w:rFonts w:cs="Arial"/>
                <w:b/>
                <w:bCs/>
                <w:iCs/>
                <w:color w:val="0D0D0D" w:themeColor="text1" w:themeTint="F2"/>
              </w:rPr>
              <w:t>Enhancing evidence for improvement</w:t>
            </w:r>
          </w:p>
        </w:tc>
        <w:tc>
          <w:tcPr>
            <w:tcW w:w="3544" w:type="dxa"/>
            <w:tcBorders>
              <w:bottom w:val="single" w:sz="4" w:space="0" w:color="auto"/>
            </w:tcBorders>
            <w:shd w:val="clear" w:color="auto" w:fill="FFFFFF" w:themeFill="background1"/>
          </w:tcPr>
          <w:p w14:paraId="5BAB1BF0" w14:textId="1318C050" w:rsidR="00C95842" w:rsidRPr="00E90790" w:rsidRDefault="00C95842" w:rsidP="00C95842">
            <w:pPr>
              <w:pStyle w:val="ListParagraph"/>
              <w:numPr>
                <w:ilvl w:val="0"/>
                <w:numId w:val="31"/>
              </w:numPr>
              <w:jc w:val="both"/>
              <w:rPr>
                <w:rFonts w:cs="Arial"/>
                <w:b/>
                <w:bCs/>
                <w:iCs/>
                <w:color w:val="0D0D0D" w:themeColor="text1" w:themeTint="F2"/>
              </w:rPr>
            </w:pPr>
            <w:r w:rsidRPr="00E90790">
              <w:rPr>
                <w:rFonts w:cs="Arial"/>
                <w:b/>
                <w:bCs/>
                <w:iCs/>
                <w:color w:val="0D0D0D" w:themeColor="text1" w:themeTint="F2"/>
              </w:rPr>
              <w:t>Enhancing Evidence for Improvement</w:t>
            </w:r>
          </w:p>
        </w:tc>
        <w:tc>
          <w:tcPr>
            <w:tcW w:w="1701" w:type="dxa"/>
            <w:tcBorders>
              <w:bottom w:val="single" w:sz="4" w:space="0" w:color="auto"/>
            </w:tcBorders>
            <w:shd w:val="clear" w:color="auto" w:fill="FFFFFF" w:themeFill="background1"/>
          </w:tcPr>
          <w:p w14:paraId="4E5B9B28" w14:textId="68E795A0" w:rsidR="00C95842" w:rsidRPr="00E90790" w:rsidRDefault="00C95842" w:rsidP="00C95842">
            <w:pPr>
              <w:rPr>
                <w:rFonts w:cs="Arial"/>
                <w:b/>
                <w:bCs/>
                <w:iCs/>
                <w:color w:val="0D0D0D" w:themeColor="text1" w:themeTint="F2"/>
              </w:rPr>
            </w:pPr>
            <w:r w:rsidRPr="00E90790">
              <w:rPr>
                <w:rFonts w:cs="Arial"/>
                <w:iCs/>
                <w:color w:val="0D0D0D" w:themeColor="text1" w:themeTint="F2"/>
              </w:rPr>
              <w:t>$150,000</w:t>
            </w:r>
          </w:p>
        </w:tc>
        <w:tc>
          <w:tcPr>
            <w:tcW w:w="1559" w:type="dxa"/>
            <w:tcBorders>
              <w:bottom w:val="single" w:sz="4" w:space="0" w:color="auto"/>
            </w:tcBorders>
            <w:shd w:val="clear" w:color="auto" w:fill="FFFFFF" w:themeFill="background1"/>
          </w:tcPr>
          <w:p w14:paraId="2B5C269F" w14:textId="742BF1B2" w:rsidR="00C95842" w:rsidRPr="00E90790" w:rsidRDefault="00C95842" w:rsidP="00C95842">
            <w:pPr>
              <w:rPr>
                <w:rFonts w:cs="Arial"/>
                <w:b/>
                <w:bCs/>
                <w:iCs/>
                <w:color w:val="0D0D0D" w:themeColor="text1" w:themeTint="F2"/>
              </w:rPr>
            </w:pPr>
            <w:r w:rsidRPr="00E90790">
              <w:rPr>
                <w:rFonts w:cs="Arial"/>
                <w:b/>
                <w:bCs/>
                <w:iCs/>
                <w:color w:val="0D0D0D" w:themeColor="text1" w:themeTint="F2"/>
              </w:rPr>
              <w:t>$0</w:t>
            </w:r>
          </w:p>
        </w:tc>
        <w:tc>
          <w:tcPr>
            <w:tcW w:w="1276" w:type="dxa"/>
            <w:tcBorders>
              <w:bottom w:val="single" w:sz="4" w:space="0" w:color="auto"/>
            </w:tcBorders>
            <w:shd w:val="clear" w:color="auto" w:fill="FFFFFF" w:themeFill="background1"/>
          </w:tcPr>
          <w:p w14:paraId="09427A7B" w14:textId="77777777" w:rsidR="00C95842" w:rsidRPr="00E90790" w:rsidRDefault="00C95842" w:rsidP="00C95842">
            <w:pPr>
              <w:rPr>
                <w:rFonts w:cs="Arial"/>
                <w:b/>
                <w:bCs/>
                <w:iCs/>
                <w:color w:val="0D0D0D" w:themeColor="text1" w:themeTint="F2"/>
              </w:rPr>
            </w:pPr>
          </w:p>
        </w:tc>
      </w:tr>
      <w:tr w:rsidR="00E90790" w:rsidRPr="00E90790" w14:paraId="0C2BE65A" w14:textId="77777777" w:rsidTr="008622CD">
        <w:trPr>
          <w:trHeight w:val="258"/>
        </w:trPr>
        <w:tc>
          <w:tcPr>
            <w:tcW w:w="2547" w:type="dxa"/>
            <w:shd w:val="clear" w:color="auto" w:fill="FFFFFF" w:themeFill="background1"/>
          </w:tcPr>
          <w:p w14:paraId="2D5A600D" w14:textId="77777777" w:rsidR="00C95842" w:rsidRPr="00E90790" w:rsidRDefault="00C95842" w:rsidP="00D63D22">
            <w:pPr>
              <w:rPr>
                <w:rFonts w:cs="Arial"/>
                <w:b/>
                <w:bCs/>
                <w:iCs/>
                <w:color w:val="0D0D0D" w:themeColor="text1" w:themeTint="F2"/>
              </w:rPr>
            </w:pPr>
          </w:p>
        </w:tc>
        <w:tc>
          <w:tcPr>
            <w:tcW w:w="3544" w:type="dxa"/>
            <w:shd w:val="clear" w:color="auto" w:fill="FFFFFF" w:themeFill="background1"/>
          </w:tcPr>
          <w:p w14:paraId="4286E1FE" w14:textId="77777777" w:rsidR="00C95842" w:rsidRPr="00E90790" w:rsidRDefault="00C95842" w:rsidP="00C95842">
            <w:pPr>
              <w:rPr>
                <w:rFonts w:cs="Arial"/>
                <w:iCs/>
                <w:color w:val="0D0D0D" w:themeColor="text1" w:themeTint="F2"/>
              </w:rPr>
            </w:pPr>
            <w:r w:rsidRPr="00E90790">
              <w:rPr>
                <w:rFonts w:cs="Arial"/>
                <w:iCs/>
                <w:color w:val="0D0D0D" w:themeColor="text1" w:themeTint="F2"/>
              </w:rPr>
              <w:t>Ongoing development, analysis and review of the Living Learning Leading Survey (previously the ‘system survey’)</w:t>
            </w:r>
          </w:p>
          <w:p w14:paraId="7F238FC9" w14:textId="418C6837" w:rsidR="0015577D" w:rsidRPr="00E90790" w:rsidRDefault="0015577D" w:rsidP="00C95842">
            <w:pPr>
              <w:rPr>
                <w:rFonts w:cs="Arial"/>
                <w:b/>
                <w:bCs/>
                <w:iCs/>
                <w:color w:val="0D0D0D" w:themeColor="text1" w:themeTint="F2"/>
              </w:rPr>
            </w:pPr>
          </w:p>
        </w:tc>
        <w:tc>
          <w:tcPr>
            <w:tcW w:w="1701" w:type="dxa"/>
            <w:shd w:val="clear" w:color="auto" w:fill="FFFFFF" w:themeFill="background1"/>
          </w:tcPr>
          <w:p w14:paraId="125013A6" w14:textId="77777777" w:rsidR="00C95842" w:rsidRPr="00E90790" w:rsidRDefault="00C95842" w:rsidP="00C95842">
            <w:pPr>
              <w:rPr>
                <w:rFonts w:cs="Arial"/>
                <w:b/>
                <w:bCs/>
                <w:iCs/>
                <w:color w:val="0D0D0D" w:themeColor="text1" w:themeTint="F2"/>
              </w:rPr>
            </w:pPr>
          </w:p>
        </w:tc>
        <w:tc>
          <w:tcPr>
            <w:tcW w:w="1559" w:type="dxa"/>
            <w:shd w:val="clear" w:color="auto" w:fill="FFFFFF" w:themeFill="background1"/>
          </w:tcPr>
          <w:p w14:paraId="250E8413" w14:textId="77777777" w:rsidR="00C95842" w:rsidRPr="00E90790" w:rsidRDefault="00C95842" w:rsidP="00C95842">
            <w:pPr>
              <w:rPr>
                <w:rFonts w:cs="Arial"/>
                <w:b/>
                <w:bCs/>
                <w:iCs/>
                <w:color w:val="0D0D0D" w:themeColor="text1" w:themeTint="F2"/>
              </w:rPr>
            </w:pPr>
          </w:p>
        </w:tc>
        <w:tc>
          <w:tcPr>
            <w:tcW w:w="1276" w:type="dxa"/>
            <w:shd w:val="clear" w:color="auto" w:fill="FFFFFF" w:themeFill="background1"/>
          </w:tcPr>
          <w:p w14:paraId="38ED8C4B" w14:textId="77777777" w:rsidR="00C95842" w:rsidRPr="00E90790" w:rsidRDefault="00C95842" w:rsidP="00C95842">
            <w:pPr>
              <w:rPr>
                <w:rFonts w:cs="Arial"/>
                <w:b/>
                <w:bCs/>
                <w:iCs/>
                <w:color w:val="0D0D0D" w:themeColor="text1" w:themeTint="F2"/>
              </w:rPr>
            </w:pPr>
          </w:p>
        </w:tc>
      </w:tr>
      <w:tr w:rsidR="00E90790" w:rsidRPr="00E90790" w14:paraId="22FD7DED" w14:textId="77777777" w:rsidTr="008622CD">
        <w:trPr>
          <w:trHeight w:val="258"/>
        </w:trPr>
        <w:tc>
          <w:tcPr>
            <w:tcW w:w="2547" w:type="dxa"/>
            <w:shd w:val="clear" w:color="auto" w:fill="FFFFFF" w:themeFill="background1"/>
          </w:tcPr>
          <w:p w14:paraId="2C07DE10" w14:textId="77777777" w:rsidR="00C95842" w:rsidRPr="00E90790" w:rsidRDefault="00C95842" w:rsidP="00D63D22">
            <w:pPr>
              <w:rPr>
                <w:rFonts w:cs="Arial"/>
                <w:b/>
                <w:bCs/>
                <w:iCs/>
                <w:color w:val="0D0D0D" w:themeColor="text1" w:themeTint="F2"/>
              </w:rPr>
            </w:pPr>
          </w:p>
        </w:tc>
        <w:tc>
          <w:tcPr>
            <w:tcW w:w="3544" w:type="dxa"/>
            <w:shd w:val="clear" w:color="auto" w:fill="FFFFFF" w:themeFill="background1"/>
          </w:tcPr>
          <w:p w14:paraId="44DECFB3" w14:textId="3B45E5A2" w:rsidR="0015577D" w:rsidRPr="00E90790" w:rsidRDefault="00C95842" w:rsidP="000B68B5">
            <w:pPr>
              <w:rPr>
                <w:rFonts w:cs="Arial"/>
                <w:iCs/>
                <w:color w:val="0D0D0D" w:themeColor="text1" w:themeTint="F2"/>
              </w:rPr>
            </w:pPr>
            <w:r w:rsidRPr="00E90790">
              <w:rPr>
                <w:rFonts w:cs="Arial"/>
                <w:b/>
                <w:bCs/>
                <w:iCs/>
                <w:color w:val="0D0D0D" w:themeColor="text1" w:themeTint="F2"/>
              </w:rPr>
              <w:t>Sub Total Key Direction 3</w:t>
            </w:r>
          </w:p>
        </w:tc>
        <w:tc>
          <w:tcPr>
            <w:tcW w:w="1701" w:type="dxa"/>
            <w:shd w:val="clear" w:color="auto" w:fill="FFFFFF" w:themeFill="background1"/>
          </w:tcPr>
          <w:p w14:paraId="32D2CF3C" w14:textId="77777777" w:rsidR="00C95842" w:rsidRPr="00E90790" w:rsidRDefault="00C95842" w:rsidP="00C95842">
            <w:pPr>
              <w:rPr>
                <w:rFonts w:cs="Arial"/>
                <w:b/>
                <w:bCs/>
                <w:iCs/>
                <w:color w:val="0D0D0D" w:themeColor="text1" w:themeTint="F2"/>
              </w:rPr>
            </w:pPr>
          </w:p>
        </w:tc>
        <w:tc>
          <w:tcPr>
            <w:tcW w:w="1559" w:type="dxa"/>
            <w:shd w:val="clear" w:color="auto" w:fill="FFFFFF" w:themeFill="background1"/>
          </w:tcPr>
          <w:p w14:paraId="5C64F607" w14:textId="77777777" w:rsidR="00C95842" w:rsidRPr="00E90790" w:rsidRDefault="00C95842" w:rsidP="00C95842">
            <w:pPr>
              <w:rPr>
                <w:rFonts w:cs="Arial"/>
                <w:b/>
                <w:bCs/>
                <w:iCs/>
                <w:color w:val="0D0D0D" w:themeColor="text1" w:themeTint="F2"/>
              </w:rPr>
            </w:pPr>
          </w:p>
        </w:tc>
        <w:tc>
          <w:tcPr>
            <w:tcW w:w="1276" w:type="dxa"/>
            <w:shd w:val="clear" w:color="auto" w:fill="FFFFFF" w:themeFill="background1"/>
          </w:tcPr>
          <w:p w14:paraId="283F6474" w14:textId="7B5E0595" w:rsidR="00C95842" w:rsidRPr="00E90790" w:rsidRDefault="00C95842" w:rsidP="00C95842">
            <w:pPr>
              <w:rPr>
                <w:rFonts w:cs="Arial"/>
                <w:b/>
                <w:bCs/>
                <w:iCs/>
                <w:color w:val="0D0D0D" w:themeColor="text1" w:themeTint="F2"/>
              </w:rPr>
            </w:pPr>
            <w:r w:rsidRPr="00E90790">
              <w:rPr>
                <w:rFonts w:cs="Arial"/>
                <w:b/>
                <w:bCs/>
                <w:iCs/>
                <w:color w:val="0D0D0D" w:themeColor="text1" w:themeTint="F2"/>
              </w:rPr>
              <w:t>$150,000</w:t>
            </w:r>
          </w:p>
        </w:tc>
      </w:tr>
      <w:tr w:rsidR="00E90790" w:rsidRPr="00E90790" w14:paraId="78FAC854" w14:textId="77777777" w:rsidTr="008622CD">
        <w:trPr>
          <w:trHeight w:val="258"/>
        </w:trPr>
        <w:tc>
          <w:tcPr>
            <w:tcW w:w="2547" w:type="dxa"/>
            <w:shd w:val="clear" w:color="auto" w:fill="FFFFFF" w:themeFill="background1"/>
          </w:tcPr>
          <w:p w14:paraId="0DCE6023" w14:textId="77777777" w:rsidR="00C95842" w:rsidRPr="00E90790" w:rsidRDefault="00C95842" w:rsidP="00D63D22">
            <w:pPr>
              <w:rPr>
                <w:rFonts w:cs="Arial"/>
                <w:b/>
                <w:bCs/>
                <w:iCs/>
                <w:color w:val="0D0D0D" w:themeColor="text1" w:themeTint="F2"/>
              </w:rPr>
            </w:pPr>
          </w:p>
        </w:tc>
        <w:tc>
          <w:tcPr>
            <w:tcW w:w="3544" w:type="dxa"/>
            <w:shd w:val="clear" w:color="auto" w:fill="FFFFFF" w:themeFill="background1"/>
          </w:tcPr>
          <w:p w14:paraId="07F6ECD9" w14:textId="77777777" w:rsidR="00C95842" w:rsidRPr="00E90790" w:rsidRDefault="00C95842" w:rsidP="00C95842">
            <w:pPr>
              <w:rPr>
                <w:rFonts w:cs="Arial"/>
                <w:b/>
                <w:bCs/>
                <w:iCs/>
                <w:color w:val="0D0D0D" w:themeColor="text1" w:themeTint="F2"/>
              </w:rPr>
            </w:pPr>
            <w:r w:rsidRPr="00E90790">
              <w:rPr>
                <w:rFonts w:cs="Arial"/>
                <w:b/>
                <w:bCs/>
                <w:iCs/>
                <w:color w:val="0D0D0D" w:themeColor="text1" w:themeTint="F2"/>
              </w:rPr>
              <w:t>Final cash payment recognised and committed to prior projects in prior periods</w:t>
            </w:r>
          </w:p>
          <w:p w14:paraId="414AD21E" w14:textId="3366C095" w:rsidR="0015577D" w:rsidRPr="00E90790" w:rsidRDefault="0015577D" w:rsidP="00C95842">
            <w:pPr>
              <w:rPr>
                <w:rFonts w:cs="Arial"/>
                <w:b/>
                <w:bCs/>
                <w:iCs/>
                <w:color w:val="0D0D0D" w:themeColor="text1" w:themeTint="F2"/>
              </w:rPr>
            </w:pPr>
          </w:p>
        </w:tc>
        <w:tc>
          <w:tcPr>
            <w:tcW w:w="1701" w:type="dxa"/>
            <w:shd w:val="clear" w:color="auto" w:fill="FFFFFF" w:themeFill="background1"/>
          </w:tcPr>
          <w:p w14:paraId="6E6B9399" w14:textId="110F02B8" w:rsidR="00C95842" w:rsidRPr="00E90790" w:rsidRDefault="00C95842" w:rsidP="00C95842">
            <w:pPr>
              <w:rPr>
                <w:rFonts w:cs="Arial"/>
                <w:b/>
                <w:bCs/>
                <w:iCs/>
                <w:color w:val="0D0D0D" w:themeColor="text1" w:themeTint="F2"/>
              </w:rPr>
            </w:pPr>
            <w:r w:rsidRPr="00E90790">
              <w:rPr>
                <w:rFonts w:cs="Arial"/>
                <w:iCs/>
                <w:color w:val="0D0D0D" w:themeColor="text1" w:themeTint="F2"/>
              </w:rPr>
              <w:t>$69,500</w:t>
            </w:r>
          </w:p>
        </w:tc>
        <w:tc>
          <w:tcPr>
            <w:tcW w:w="1559" w:type="dxa"/>
            <w:shd w:val="clear" w:color="auto" w:fill="FFFFFF" w:themeFill="background1"/>
          </w:tcPr>
          <w:p w14:paraId="300A5875" w14:textId="4B8E9BD2" w:rsidR="00C95842" w:rsidRPr="00E90790" w:rsidRDefault="00C95842" w:rsidP="00C95842">
            <w:pPr>
              <w:rPr>
                <w:rFonts w:cs="Arial"/>
                <w:b/>
                <w:bCs/>
                <w:iCs/>
                <w:color w:val="0D0D0D" w:themeColor="text1" w:themeTint="F2"/>
              </w:rPr>
            </w:pPr>
            <w:r w:rsidRPr="00E90790">
              <w:rPr>
                <w:rFonts w:cs="Arial"/>
                <w:iCs/>
                <w:color w:val="0D0D0D" w:themeColor="text1" w:themeTint="F2"/>
              </w:rPr>
              <w:t>$0</w:t>
            </w:r>
          </w:p>
        </w:tc>
        <w:tc>
          <w:tcPr>
            <w:tcW w:w="1276" w:type="dxa"/>
            <w:shd w:val="clear" w:color="auto" w:fill="FFFFFF" w:themeFill="background1"/>
          </w:tcPr>
          <w:p w14:paraId="17F04E5B" w14:textId="3BDB262B" w:rsidR="00C95842" w:rsidRPr="00E90790" w:rsidRDefault="00C95842" w:rsidP="00C95842">
            <w:pPr>
              <w:rPr>
                <w:rFonts w:cs="Arial"/>
                <w:b/>
                <w:bCs/>
                <w:iCs/>
                <w:color w:val="0D0D0D" w:themeColor="text1" w:themeTint="F2"/>
              </w:rPr>
            </w:pPr>
            <w:r w:rsidRPr="00E90790">
              <w:rPr>
                <w:rFonts w:cs="Arial"/>
                <w:b/>
                <w:bCs/>
                <w:iCs/>
                <w:color w:val="0D0D0D" w:themeColor="text1" w:themeTint="F2"/>
              </w:rPr>
              <w:t>$69,500</w:t>
            </w:r>
          </w:p>
        </w:tc>
      </w:tr>
      <w:tr w:rsidR="00E90790" w:rsidRPr="00E90790" w14:paraId="7C0E9DC3" w14:textId="77777777" w:rsidTr="008622CD">
        <w:trPr>
          <w:trHeight w:val="258"/>
        </w:trPr>
        <w:tc>
          <w:tcPr>
            <w:tcW w:w="2547" w:type="dxa"/>
            <w:shd w:val="clear" w:color="auto" w:fill="FFFFFF" w:themeFill="background1"/>
          </w:tcPr>
          <w:p w14:paraId="5D60623E" w14:textId="77777777" w:rsidR="00C95842" w:rsidRPr="00E90790" w:rsidRDefault="00C95842" w:rsidP="00D63D22">
            <w:pPr>
              <w:rPr>
                <w:rFonts w:cs="Arial"/>
                <w:b/>
                <w:bCs/>
                <w:iCs/>
                <w:color w:val="0D0D0D" w:themeColor="text1" w:themeTint="F2"/>
              </w:rPr>
            </w:pPr>
          </w:p>
        </w:tc>
        <w:tc>
          <w:tcPr>
            <w:tcW w:w="3544" w:type="dxa"/>
            <w:shd w:val="clear" w:color="auto" w:fill="FFFFFF" w:themeFill="background1"/>
          </w:tcPr>
          <w:p w14:paraId="524D483B" w14:textId="77777777" w:rsidR="00C95842" w:rsidRPr="00E90790" w:rsidRDefault="00C95842" w:rsidP="00C95842">
            <w:pPr>
              <w:rPr>
                <w:rFonts w:cs="Arial"/>
                <w:b/>
                <w:bCs/>
                <w:iCs/>
                <w:color w:val="0D0D0D" w:themeColor="text1" w:themeTint="F2"/>
              </w:rPr>
            </w:pPr>
            <w:r w:rsidRPr="00E90790">
              <w:rPr>
                <w:rFonts w:cs="Arial"/>
                <w:b/>
                <w:bCs/>
                <w:iCs/>
                <w:color w:val="0D0D0D" w:themeColor="text1" w:themeTint="F2"/>
              </w:rPr>
              <w:t>Administration / Audit</w:t>
            </w:r>
          </w:p>
          <w:p w14:paraId="55A5C2DB" w14:textId="26E8F6B5" w:rsidR="0015577D" w:rsidRPr="00E90790" w:rsidRDefault="0015577D" w:rsidP="00C95842">
            <w:pPr>
              <w:rPr>
                <w:rFonts w:cs="Arial"/>
                <w:b/>
                <w:bCs/>
                <w:iCs/>
                <w:color w:val="0D0D0D" w:themeColor="text1" w:themeTint="F2"/>
              </w:rPr>
            </w:pPr>
          </w:p>
        </w:tc>
        <w:tc>
          <w:tcPr>
            <w:tcW w:w="1701" w:type="dxa"/>
            <w:shd w:val="clear" w:color="auto" w:fill="FFFFFF" w:themeFill="background1"/>
          </w:tcPr>
          <w:p w14:paraId="53313FB2" w14:textId="1D479E69" w:rsidR="00C95842" w:rsidRPr="00E90790" w:rsidRDefault="00C95842" w:rsidP="00C95842">
            <w:pPr>
              <w:rPr>
                <w:rFonts w:cs="Arial"/>
                <w:b/>
                <w:bCs/>
                <w:iCs/>
                <w:color w:val="0D0D0D" w:themeColor="text1" w:themeTint="F2"/>
              </w:rPr>
            </w:pPr>
            <w:r w:rsidRPr="00E90790">
              <w:rPr>
                <w:rFonts w:cs="Arial"/>
                <w:iCs/>
                <w:color w:val="0D0D0D" w:themeColor="text1" w:themeTint="F2"/>
              </w:rPr>
              <w:t>$80,000</w:t>
            </w:r>
          </w:p>
        </w:tc>
        <w:tc>
          <w:tcPr>
            <w:tcW w:w="1559" w:type="dxa"/>
            <w:shd w:val="clear" w:color="auto" w:fill="FFFFFF" w:themeFill="background1"/>
          </w:tcPr>
          <w:p w14:paraId="23657E56" w14:textId="3B23D39D" w:rsidR="00C95842" w:rsidRPr="00E90790" w:rsidRDefault="00C95842" w:rsidP="00C95842">
            <w:pPr>
              <w:rPr>
                <w:rFonts w:cs="Arial"/>
                <w:b/>
                <w:bCs/>
                <w:iCs/>
                <w:color w:val="0D0D0D" w:themeColor="text1" w:themeTint="F2"/>
              </w:rPr>
            </w:pPr>
            <w:r w:rsidRPr="00E90790">
              <w:rPr>
                <w:rFonts w:cs="Arial"/>
                <w:iCs/>
                <w:color w:val="0D0D0D" w:themeColor="text1" w:themeTint="F2"/>
              </w:rPr>
              <w:t>$0</w:t>
            </w:r>
          </w:p>
        </w:tc>
        <w:tc>
          <w:tcPr>
            <w:tcW w:w="1276" w:type="dxa"/>
            <w:shd w:val="clear" w:color="auto" w:fill="FFFFFF" w:themeFill="background1"/>
          </w:tcPr>
          <w:p w14:paraId="07AC6796" w14:textId="5486146E" w:rsidR="00C95842" w:rsidRPr="00E90790" w:rsidRDefault="00C95842" w:rsidP="00C95842">
            <w:pPr>
              <w:rPr>
                <w:rFonts w:cs="Arial"/>
                <w:b/>
                <w:bCs/>
                <w:iCs/>
                <w:color w:val="0D0D0D" w:themeColor="text1" w:themeTint="F2"/>
              </w:rPr>
            </w:pPr>
            <w:r w:rsidRPr="00E90790">
              <w:rPr>
                <w:rFonts w:cs="Arial"/>
                <w:b/>
                <w:bCs/>
                <w:iCs/>
                <w:color w:val="0D0D0D" w:themeColor="text1" w:themeTint="F2"/>
              </w:rPr>
              <w:t>$80,000</w:t>
            </w:r>
          </w:p>
        </w:tc>
      </w:tr>
      <w:tr w:rsidR="00E90790" w:rsidRPr="00E90790" w14:paraId="1E78499B" w14:textId="77777777" w:rsidTr="008622CD">
        <w:trPr>
          <w:trHeight w:val="258"/>
        </w:trPr>
        <w:tc>
          <w:tcPr>
            <w:tcW w:w="2547" w:type="dxa"/>
            <w:tcBorders>
              <w:bottom w:val="single" w:sz="4" w:space="0" w:color="auto"/>
            </w:tcBorders>
            <w:shd w:val="clear" w:color="auto" w:fill="FFFFFF" w:themeFill="background1"/>
          </w:tcPr>
          <w:p w14:paraId="61AED75D" w14:textId="77777777" w:rsidR="00C95842" w:rsidRPr="00E90790" w:rsidRDefault="00C95842" w:rsidP="00D63D22">
            <w:pPr>
              <w:rPr>
                <w:rFonts w:cs="Arial"/>
                <w:b/>
                <w:bCs/>
                <w:iCs/>
                <w:color w:val="0D0D0D" w:themeColor="text1" w:themeTint="F2"/>
              </w:rPr>
            </w:pPr>
          </w:p>
        </w:tc>
        <w:tc>
          <w:tcPr>
            <w:tcW w:w="3544" w:type="dxa"/>
            <w:tcBorders>
              <w:bottom w:val="single" w:sz="4" w:space="0" w:color="auto"/>
            </w:tcBorders>
            <w:shd w:val="clear" w:color="auto" w:fill="FFFFFF" w:themeFill="background1"/>
          </w:tcPr>
          <w:p w14:paraId="123EBFA2" w14:textId="77777777" w:rsidR="00C95842" w:rsidRPr="00E90790" w:rsidRDefault="00C95842" w:rsidP="00C95842">
            <w:pPr>
              <w:rPr>
                <w:rFonts w:cs="Arial"/>
                <w:b/>
                <w:bCs/>
                <w:iCs/>
                <w:color w:val="0D0D0D" w:themeColor="text1" w:themeTint="F2"/>
              </w:rPr>
            </w:pPr>
            <w:r w:rsidRPr="00E90790">
              <w:rPr>
                <w:rFonts w:cs="Arial"/>
                <w:b/>
                <w:bCs/>
                <w:iCs/>
                <w:color w:val="0D0D0D" w:themeColor="text1" w:themeTint="F2"/>
              </w:rPr>
              <w:t>FUNDING TOTAL</w:t>
            </w:r>
          </w:p>
          <w:p w14:paraId="0B88ED9E" w14:textId="79D8EE66" w:rsidR="0015577D" w:rsidRPr="00E90790" w:rsidRDefault="0015577D" w:rsidP="00C95842">
            <w:pPr>
              <w:rPr>
                <w:rFonts w:cs="Arial"/>
                <w:b/>
                <w:bCs/>
                <w:iCs/>
                <w:color w:val="0D0D0D" w:themeColor="text1" w:themeTint="F2"/>
              </w:rPr>
            </w:pPr>
          </w:p>
        </w:tc>
        <w:tc>
          <w:tcPr>
            <w:tcW w:w="1701" w:type="dxa"/>
            <w:tcBorders>
              <w:bottom w:val="single" w:sz="4" w:space="0" w:color="auto"/>
            </w:tcBorders>
            <w:shd w:val="clear" w:color="auto" w:fill="FFFFFF" w:themeFill="background1"/>
          </w:tcPr>
          <w:p w14:paraId="1F109048" w14:textId="74834EE1" w:rsidR="00C95842" w:rsidRPr="00E90790" w:rsidRDefault="00C95842" w:rsidP="00C95842">
            <w:pPr>
              <w:rPr>
                <w:rFonts w:cs="Arial"/>
                <w:iCs/>
                <w:color w:val="0D0D0D" w:themeColor="text1" w:themeTint="F2"/>
              </w:rPr>
            </w:pPr>
            <w:r w:rsidRPr="00E90790">
              <w:rPr>
                <w:rFonts w:cs="Arial"/>
                <w:b/>
                <w:bCs/>
                <w:iCs/>
                <w:color w:val="0D0D0D" w:themeColor="text1" w:themeTint="F2"/>
              </w:rPr>
              <w:t>$1,459,500</w:t>
            </w:r>
          </w:p>
        </w:tc>
        <w:tc>
          <w:tcPr>
            <w:tcW w:w="1559" w:type="dxa"/>
            <w:tcBorders>
              <w:bottom w:val="single" w:sz="4" w:space="0" w:color="auto"/>
            </w:tcBorders>
            <w:shd w:val="clear" w:color="auto" w:fill="FFFFFF" w:themeFill="background1"/>
          </w:tcPr>
          <w:p w14:paraId="597BD161" w14:textId="1EAF6FDB" w:rsidR="00C95842" w:rsidRPr="00E90790" w:rsidRDefault="00C95842" w:rsidP="00C95842">
            <w:pPr>
              <w:rPr>
                <w:rFonts w:cs="Arial"/>
                <w:iCs/>
                <w:color w:val="0D0D0D" w:themeColor="text1" w:themeTint="F2"/>
              </w:rPr>
            </w:pPr>
            <w:r w:rsidRPr="00E90790">
              <w:rPr>
                <w:rFonts w:cs="Arial"/>
                <w:b/>
                <w:bCs/>
                <w:iCs/>
                <w:color w:val="0D0D0D" w:themeColor="text1" w:themeTint="F2"/>
              </w:rPr>
              <w:t>$0</w:t>
            </w:r>
          </w:p>
        </w:tc>
        <w:tc>
          <w:tcPr>
            <w:tcW w:w="1276" w:type="dxa"/>
            <w:tcBorders>
              <w:bottom w:val="single" w:sz="4" w:space="0" w:color="auto"/>
            </w:tcBorders>
            <w:shd w:val="clear" w:color="auto" w:fill="FFFFFF" w:themeFill="background1"/>
          </w:tcPr>
          <w:p w14:paraId="7E1C4B0E" w14:textId="356666BA" w:rsidR="00C95842" w:rsidRPr="00E90790" w:rsidRDefault="00C95842" w:rsidP="00C95842">
            <w:pPr>
              <w:rPr>
                <w:rFonts w:cs="Arial"/>
                <w:b/>
                <w:bCs/>
                <w:iCs/>
                <w:color w:val="0D0D0D" w:themeColor="text1" w:themeTint="F2"/>
              </w:rPr>
            </w:pPr>
            <w:r w:rsidRPr="00E90790">
              <w:rPr>
                <w:rFonts w:cs="Arial"/>
                <w:b/>
                <w:bCs/>
                <w:iCs/>
                <w:color w:val="0D0D0D" w:themeColor="text1" w:themeTint="F2"/>
              </w:rPr>
              <w:t>$1,459,500</w:t>
            </w:r>
          </w:p>
        </w:tc>
      </w:tr>
    </w:tbl>
    <w:p w14:paraId="238627B5" w14:textId="77777777" w:rsidR="00C920AB" w:rsidRPr="00E90790" w:rsidRDefault="00C920AB">
      <w:pPr>
        <w:rPr>
          <w:color w:val="0D0D0D" w:themeColor="text1" w:themeTint="F2"/>
        </w:rPr>
      </w:pPr>
      <w:r w:rsidRPr="00E90790">
        <w:rPr>
          <w:color w:val="0D0D0D" w:themeColor="text1" w:themeTint="F2"/>
        </w:rPr>
        <w:br w:type="page"/>
      </w:r>
    </w:p>
    <w:p w14:paraId="1E0FC680" w14:textId="20278683" w:rsidR="00AB1E9A" w:rsidRPr="00E90790" w:rsidRDefault="00AB1E9A" w:rsidP="00C920AB">
      <w:pPr>
        <w:spacing w:after="0" w:line="240" w:lineRule="auto"/>
        <w:rPr>
          <w:rFonts w:cs="Arial"/>
          <w:color w:val="0D0D0D" w:themeColor="text1" w:themeTint="F2"/>
        </w:rPr>
        <w:sectPr w:rsidR="00AB1E9A" w:rsidRPr="00E90790" w:rsidSect="009B3505">
          <w:headerReference w:type="default" r:id="rId19"/>
          <w:pgSz w:w="11906" w:h="16838"/>
          <w:pgMar w:top="426" w:right="1418" w:bottom="1134" w:left="709" w:header="709" w:footer="709" w:gutter="0"/>
          <w:cols w:space="708"/>
          <w:docGrid w:linePitch="360"/>
        </w:sectPr>
      </w:pPr>
    </w:p>
    <w:tbl>
      <w:tblPr>
        <w:tblStyle w:val="TableGrid"/>
        <w:tblW w:w="15027" w:type="dxa"/>
        <w:tblInd w:w="-431" w:type="dxa"/>
        <w:tblLayout w:type="fixed"/>
        <w:tblLook w:val="04A0" w:firstRow="1" w:lastRow="0" w:firstColumn="1" w:lastColumn="0" w:noHBand="0" w:noVBand="1"/>
      </w:tblPr>
      <w:tblGrid>
        <w:gridCol w:w="3970"/>
        <w:gridCol w:w="3402"/>
        <w:gridCol w:w="1418"/>
        <w:gridCol w:w="2551"/>
        <w:gridCol w:w="3686"/>
      </w:tblGrid>
      <w:tr w:rsidR="00E90790" w:rsidRPr="00E90790" w14:paraId="6807B340" w14:textId="77777777" w:rsidTr="00D862BD">
        <w:trPr>
          <w:tblHeader/>
        </w:trPr>
        <w:tc>
          <w:tcPr>
            <w:tcW w:w="3970" w:type="dxa"/>
            <w:shd w:val="clear" w:color="auto" w:fill="FFFFFF" w:themeFill="background1"/>
            <w:vAlign w:val="center"/>
          </w:tcPr>
          <w:p w14:paraId="0E4FCCED" w14:textId="0676120F" w:rsidR="00267BDB" w:rsidRPr="00E90790" w:rsidRDefault="00267BDB" w:rsidP="00C920AB">
            <w:pPr>
              <w:spacing w:before="120" w:after="120"/>
              <w:rPr>
                <w:rFonts w:cs="Arial"/>
                <w:b/>
                <w:bCs/>
                <w:iCs/>
                <w:color w:val="0D0D0D" w:themeColor="text1" w:themeTint="F2"/>
              </w:rPr>
            </w:pPr>
            <w:r w:rsidRPr="00E90790">
              <w:rPr>
                <w:rFonts w:cs="Arial"/>
                <w:b/>
                <w:bCs/>
                <w:iCs/>
                <w:color w:val="0D0D0D" w:themeColor="text1" w:themeTint="F2"/>
              </w:rPr>
              <w:lastRenderedPageBreak/>
              <w:t>Project Title</w:t>
            </w:r>
          </w:p>
        </w:tc>
        <w:tc>
          <w:tcPr>
            <w:tcW w:w="3402" w:type="dxa"/>
            <w:tcBorders>
              <w:bottom w:val="single" w:sz="4" w:space="0" w:color="auto"/>
            </w:tcBorders>
            <w:shd w:val="clear" w:color="auto" w:fill="FFFFFF" w:themeFill="background1"/>
            <w:vAlign w:val="center"/>
          </w:tcPr>
          <w:p w14:paraId="26754E41" w14:textId="32CB013E" w:rsidR="00267BDB" w:rsidRPr="00E90790" w:rsidRDefault="00267BDB" w:rsidP="00C920AB">
            <w:pPr>
              <w:spacing w:before="120" w:after="120"/>
              <w:rPr>
                <w:rFonts w:cs="Arial"/>
                <w:b/>
                <w:bCs/>
                <w:iCs/>
                <w:color w:val="0D0D0D" w:themeColor="text1" w:themeTint="F2"/>
              </w:rPr>
            </w:pPr>
            <w:r w:rsidRPr="00E90790">
              <w:rPr>
                <w:rFonts w:cs="Arial"/>
                <w:b/>
                <w:bCs/>
                <w:iCs/>
                <w:color w:val="0D0D0D" w:themeColor="text1" w:themeTint="F2"/>
              </w:rPr>
              <w:t>Project description and activities</w:t>
            </w:r>
          </w:p>
        </w:tc>
        <w:tc>
          <w:tcPr>
            <w:tcW w:w="1418" w:type="dxa"/>
            <w:tcBorders>
              <w:bottom w:val="single" w:sz="4" w:space="0" w:color="auto"/>
            </w:tcBorders>
            <w:shd w:val="clear" w:color="auto" w:fill="FFFFFF" w:themeFill="background1"/>
            <w:vAlign w:val="center"/>
          </w:tcPr>
          <w:p w14:paraId="7D47E941" w14:textId="76CA8FD6" w:rsidR="00267BDB" w:rsidRPr="00E90790" w:rsidRDefault="00267BDB" w:rsidP="00C920AB">
            <w:pPr>
              <w:spacing w:before="120" w:after="120"/>
              <w:rPr>
                <w:rFonts w:cs="Arial"/>
                <w:b/>
                <w:bCs/>
                <w:iCs/>
                <w:color w:val="0D0D0D" w:themeColor="text1" w:themeTint="F2"/>
              </w:rPr>
            </w:pPr>
            <w:r w:rsidRPr="00E90790">
              <w:rPr>
                <w:rFonts w:cs="Arial"/>
                <w:b/>
                <w:bCs/>
                <w:iCs/>
                <w:color w:val="0D0D0D" w:themeColor="text1" w:themeTint="F2"/>
              </w:rPr>
              <w:t>Indicative Budget</w:t>
            </w:r>
          </w:p>
        </w:tc>
        <w:tc>
          <w:tcPr>
            <w:tcW w:w="2551" w:type="dxa"/>
            <w:tcBorders>
              <w:bottom w:val="single" w:sz="4" w:space="0" w:color="auto"/>
            </w:tcBorders>
            <w:shd w:val="clear" w:color="auto" w:fill="FFFFFF" w:themeFill="background1"/>
            <w:vAlign w:val="center"/>
          </w:tcPr>
          <w:p w14:paraId="6AA40842" w14:textId="38644459" w:rsidR="00267BDB" w:rsidRPr="00E90790" w:rsidRDefault="00267BDB" w:rsidP="00C920AB">
            <w:pPr>
              <w:spacing w:before="120" w:after="120"/>
              <w:rPr>
                <w:rFonts w:cs="Arial"/>
                <w:b/>
                <w:bCs/>
                <w:iCs/>
                <w:color w:val="0D0D0D" w:themeColor="text1" w:themeTint="F2"/>
              </w:rPr>
            </w:pPr>
            <w:r w:rsidRPr="00E90790">
              <w:rPr>
                <w:rFonts w:cs="Arial"/>
                <w:b/>
                <w:bCs/>
                <w:iCs/>
                <w:color w:val="0D0D0D" w:themeColor="text1" w:themeTint="F2"/>
              </w:rPr>
              <w:t>Expected Outcomes</w:t>
            </w:r>
          </w:p>
          <w:p w14:paraId="4ACC540E" w14:textId="63AE0C96" w:rsidR="00267BDB" w:rsidRPr="00E90790" w:rsidRDefault="00267BDB" w:rsidP="00C920AB">
            <w:pPr>
              <w:spacing w:before="120" w:after="120"/>
              <w:rPr>
                <w:rFonts w:cs="Arial"/>
                <w:b/>
                <w:bCs/>
                <w:iCs/>
                <w:color w:val="0D0D0D" w:themeColor="text1" w:themeTint="F2"/>
              </w:rPr>
            </w:pPr>
            <w:r w:rsidRPr="00E90790">
              <w:rPr>
                <w:rFonts w:cs="Arial"/>
                <w:b/>
                <w:bCs/>
                <w:iCs/>
                <w:color w:val="0D0D0D" w:themeColor="text1" w:themeTint="F2"/>
              </w:rPr>
              <w:t>Overall Achievements</w:t>
            </w:r>
          </w:p>
        </w:tc>
        <w:tc>
          <w:tcPr>
            <w:tcW w:w="3686" w:type="dxa"/>
            <w:shd w:val="clear" w:color="auto" w:fill="FFFFFF" w:themeFill="background1"/>
            <w:vAlign w:val="center"/>
          </w:tcPr>
          <w:p w14:paraId="1BC1773A" w14:textId="3E5D1C96" w:rsidR="00267BDB" w:rsidRPr="00E90790" w:rsidRDefault="00267BDB" w:rsidP="00C920AB">
            <w:pPr>
              <w:spacing w:before="120" w:after="120"/>
              <w:rPr>
                <w:rFonts w:cs="Arial"/>
                <w:b/>
                <w:bCs/>
                <w:iCs/>
                <w:color w:val="0D0D0D" w:themeColor="text1" w:themeTint="F2"/>
              </w:rPr>
            </w:pPr>
            <w:r w:rsidRPr="00E90790">
              <w:rPr>
                <w:rFonts w:cs="Arial"/>
                <w:b/>
                <w:bCs/>
                <w:iCs/>
                <w:color w:val="0D0D0D" w:themeColor="text1" w:themeTint="F2"/>
              </w:rPr>
              <w:t>Indicators of Success</w:t>
            </w:r>
          </w:p>
        </w:tc>
      </w:tr>
      <w:tr w:rsidR="00E90790" w:rsidRPr="00E90790" w14:paraId="6C40C58A" w14:textId="77777777" w:rsidTr="00D862BD">
        <w:trPr>
          <w:trHeight w:val="749"/>
        </w:trPr>
        <w:tc>
          <w:tcPr>
            <w:tcW w:w="3970" w:type="dxa"/>
            <w:tcBorders>
              <w:bottom w:val="single" w:sz="4" w:space="0" w:color="auto"/>
            </w:tcBorders>
            <w:shd w:val="clear" w:color="auto" w:fill="FFFFFF" w:themeFill="background1"/>
          </w:tcPr>
          <w:p w14:paraId="5E1F77FD" w14:textId="77777777" w:rsidR="00267BDB" w:rsidRPr="00E90790" w:rsidRDefault="00267BDB" w:rsidP="00C920AB">
            <w:pPr>
              <w:rPr>
                <w:rFonts w:cs="Arial"/>
                <w:b/>
                <w:bCs/>
                <w:iCs/>
                <w:color w:val="0D0D0D" w:themeColor="text1" w:themeTint="F2"/>
              </w:rPr>
            </w:pPr>
          </w:p>
          <w:p w14:paraId="6A1C7B87" w14:textId="565D8E0D" w:rsidR="00267BDB" w:rsidRPr="00E90790" w:rsidRDefault="00267BDB" w:rsidP="00C920AB">
            <w:pPr>
              <w:rPr>
                <w:rFonts w:cs="Arial"/>
                <w:b/>
                <w:bCs/>
                <w:iCs/>
                <w:color w:val="0D0D0D" w:themeColor="text1" w:themeTint="F2"/>
              </w:rPr>
            </w:pPr>
            <w:r w:rsidRPr="00E90790">
              <w:rPr>
                <w:rFonts w:cs="Arial"/>
                <w:b/>
                <w:bCs/>
                <w:iCs/>
                <w:color w:val="0D0D0D" w:themeColor="text1" w:themeTint="F2"/>
              </w:rPr>
              <w:t>KEY DIRECTION ONE</w:t>
            </w:r>
          </w:p>
          <w:p w14:paraId="2EFA44E3" w14:textId="24318B5C" w:rsidR="00267BDB" w:rsidRPr="00E90790" w:rsidRDefault="00267BDB" w:rsidP="00C920AB">
            <w:pPr>
              <w:rPr>
                <w:rFonts w:cs="Arial"/>
                <w:iCs/>
                <w:color w:val="0D0D0D" w:themeColor="text1" w:themeTint="F2"/>
              </w:rPr>
            </w:pPr>
            <w:r w:rsidRPr="00E90790">
              <w:rPr>
                <w:rFonts w:cs="Arial"/>
                <w:iCs/>
                <w:color w:val="0D0D0D" w:themeColor="text1" w:themeTint="F2"/>
              </w:rPr>
              <w:t>Supporting students, student learning and student achievement</w:t>
            </w:r>
          </w:p>
          <w:p w14:paraId="533C66B4" w14:textId="77777777" w:rsidR="00267BDB" w:rsidRPr="00E90790" w:rsidRDefault="00267BDB" w:rsidP="00C920AB">
            <w:pPr>
              <w:rPr>
                <w:rFonts w:cs="Arial"/>
                <w:iCs/>
                <w:color w:val="0D0D0D" w:themeColor="text1" w:themeTint="F2"/>
              </w:rPr>
            </w:pPr>
          </w:p>
          <w:p w14:paraId="6CA723C7" w14:textId="77777777" w:rsidR="00267BDB" w:rsidRPr="00E90790" w:rsidRDefault="00267BDB" w:rsidP="00C920AB">
            <w:pPr>
              <w:rPr>
                <w:rFonts w:cs="Arial"/>
                <w:iCs/>
                <w:color w:val="0D0D0D" w:themeColor="text1" w:themeTint="F2"/>
              </w:rPr>
            </w:pPr>
          </w:p>
          <w:p w14:paraId="7287C715" w14:textId="454BBDD2" w:rsidR="00267BDB" w:rsidRPr="00E90790" w:rsidRDefault="00267BDB" w:rsidP="00C920AB">
            <w:pPr>
              <w:rPr>
                <w:rFonts w:cs="Arial"/>
                <w:iCs/>
                <w:color w:val="0D0D0D" w:themeColor="text1" w:themeTint="F2"/>
              </w:rPr>
            </w:pPr>
            <w:r w:rsidRPr="00E90790">
              <w:rPr>
                <w:rFonts w:cs="Arial"/>
                <w:iCs/>
                <w:color w:val="0D0D0D" w:themeColor="text1" w:themeTint="F2"/>
              </w:rPr>
              <w:t xml:space="preserve">Relevant national policy reform direction: </w:t>
            </w:r>
            <w:r w:rsidRPr="00E90790">
              <w:rPr>
                <w:rFonts w:cs="Arial"/>
                <w:i/>
                <w:color w:val="0D0D0D" w:themeColor="text1" w:themeTint="F2"/>
              </w:rPr>
              <w:t>Enhancing the Australian Curriculum to support teacher assessment of student attainment and growth.</w:t>
            </w:r>
            <w:r w:rsidRPr="00E90790">
              <w:rPr>
                <w:rFonts w:cs="Arial"/>
                <w:iCs/>
                <w:color w:val="0D0D0D" w:themeColor="text1" w:themeTint="F2"/>
              </w:rPr>
              <w:t xml:space="preserve"> </w:t>
            </w:r>
          </w:p>
          <w:p w14:paraId="1CE296CC" w14:textId="77777777" w:rsidR="00267BDB" w:rsidRPr="00E90790" w:rsidRDefault="00267BDB" w:rsidP="00C920AB">
            <w:pPr>
              <w:rPr>
                <w:rFonts w:cs="Arial"/>
                <w:iCs/>
                <w:color w:val="0D0D0D" w:themeColor="text1" w:themeTint="F2"/>
                <w:highlight w:val="yellow"/>
              </w:rPr>
            </w:pPr>
          </w:p>
          <w:p w14:paraId="1211394F"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 xml:space="preserve">State reform initiative: </w:t>
            </w:r>
          </w:p>
          <w:p w14:paraId="0A748D86" w14:textId="5D513E46" w:rsidR="00267BDB" w:rsidRPr="00E90790" w:rsidRDefault="00267BDB" w:rsidP="00C920AB">
            <w:pPr>
              <w:rPr>
                <w:rFonts w:cs="Arial"/>
                <w:i/>
                <w:color w:val="0D0D0D" w:themeColor="text1" w:themeTint="F2"/>
              </w:rPr>
            </w:pPr>
            <w:r w:rsidRPr="00E90790">
              <w:rPr>
                <w:rFonts w:cs="Arial"/>
                <w:i/>
                <w:color w:val="0D0D0D" w:themeColor="text1" w:themeTint="F2"/>
              </w:rPr>
              <w:t>School improvement strategy; Aboriginal Education Strategy; STEM Strategy; Entrepreneurial Education; Literacy and Numeracy Programs (Para 17)</w:t>
            </w:r>
          </w:p>
        </w:tc>
        <w:tc>
          <w:tcPr>
            <w:tcW w:w="3402" w:type="dxa"/>
            <w:tcBorders>
              <w:bottom w:val="single" w:sz="4" w:space="0" w:color="auto"/>
            </w:tcBorders>
            <w:shd w:val="clear" w:color="auto" w:fill="FFFFFF" w:themeFill="background1"/>
          </w:tcPr>
          <w:p w14:paraId="6E326BDE" w14:textId="77777777" w:rsidR="00C920AB" w:rsidRPr="00E90790" w:rsidRDefault="00C920AB" w:rsidP="00C920AB">
            <w:pPr>
              <w:rPr>
                <w:rFonts w:cs="Arial"/>
                <w:b/>
                <w:bCs/>
                <w:iCs/>
                <w:color w:val="0D0D0D" w:themeColor="text1" w:themeTint="F2"/>
              </w:rPr>
            </w:pPr>
          </w:p>
          <w:p w14:paraId="3465F70B" w14:textId="0DE6E6D7" w:rsidR="00267BDB" w:rsidRPr="00E90790" w:rsidRDefault="00267BDB" w:rsidP="00C920AB">
            <w:pPr>
              <w:rPr>
                <w:rFonts w:cs="Arial"/>
                <w:iCs/>
                <w:color w:val="0D0D0D" w:themeColor="text1" w:themeTint="F2"/>
              </w:rPr>
            </w:pPr>
            <w:r w:rsidRPr="00E90790">
              <w:rPr>
                <w:rFonts w:cs="Arial"/>
                <w:b/>
                <w:bCs/>
                <w:iCs/>
                <w:color w:val="0D0D0D" w:themeColor="text1" w:themeTint="F2"/>
              </w:rPr>
              <w:t>IMPROVED STUDENT LEARNING &amp; WELLBEING</w:t>
            </w:r>
          </w:p>
        </w:tc>
        <w:tc>
          <w:tcPr>
            <w:tcW w:w="1418" w:type="dxa"/>
            <w:tcBorders>
              <w:bottom w:val="single" w:sz="4" w:space="0" w:color="auto"/>
            </w:tcBorders>
            <w:shd w:val="clear" w:color="auto" w:fill="FFFFFF" w:themeFill="background1"/>
          </w:tcPr>
          <w:p w14:paraId="6A0E51F2" w14:textId="77777777" w:rsidR="00C920AB" w:rsidRPr="00E90790" w:rsidRDefault="00C920AB" w:rsidP="00C920AB">
            <w:pPr>
              <w:rPr>
                <w:rFonts w:cs="Arial"/>
                <w:iCs/>
                <w:color w:val="0D0D0D" w:themeColor="text1" w:themeTint="F2"/>
              </w:rPr>
            </w:pPr>
          </w:p>
          <w:p w14:paraId="46C31EA9" w14:textId="1F611278" w:rsidR="00267BDB" w:rsidRPr="00E90790" w:rsidRDefault="00267BDB" w:rsidP="00C920AB">
            <w:pPr>
              <w:rPr>
                <w:rFonts w:cs="Arial"/>
                <w:iCs/>
                <w:color w:val="0D0D0D" w:themeColor="text1" w:themeTint="F2"/>
              </w:rPr>
            </w:pPr>
            <w:r w:rsidRPr="00E90790">
              <w:rPr>
                <w:rFonts w:cs="Arial"/>
                <w:iCs/>
                <w:color w:val="0D0D0D" w:themeColor="text1" w:themeTint="F2"/>
              </w:rPr>
              <w:t>Total Key Direction 1 $646,000</w:t>
            </w:r>
          </w:p>
        </w:tc>
        <w:tc>
          <w:tcPr>
            <w:tcW w:w="2551" w:type="dxa"/>
            <w:tcBorders>
              <w:bottom w:val="single" w:sz="4" w:space="0" w:color="auto"/>
            </w:tcBorders>
            <w:shd w:val="clear" w:color="auto" w:fill="FFFFFF" w:themeFill="background1"/>
          </w:tcPr>
          <w:p w14:paraId="467C260A" w14:textId="72D887D4" w:rsidR="00267BDB" w:rsidRPr="00E90790" w:rsidRDefault="00267BDB" w:rsidP="00C920AB">
            <w:pPr>
              <w:rPr>
                <w:rFonts w:cs="Arial"/>
                <w:iCs/>
                <w:color w:val="0D0D0D" w:themeColor="text1" w:themeTint="F2"/>
              </w:rPr>
            </w:pPr>
          </w:p>
        </w:tc>
        <w:tc>
          <w:tcPr>
            <w:tcW w:w="3686" w:type="dxa"/>
            <w:tcBorders>
              <w:bottom w:val="single" w:sz="4" w:space="0" w:color="auto"/>
            </w:tcBorders>
            <w:shd w:val="clear" w:color="auto" w:fill="FFFFFF" w:themeFill="background1"/>
          </w:tcPr>
          <w:p w14:paraId="32D86E49" w14:textId="77777777" w:rsidR="00D862BD" w:rsidRPr="00E90790" w:rsidRDefault="00D862BD" w:rsidP="00C920AB">
            <w:pPr>
              <w:rPr>
                <w:rFonts w:cs="Arial"/>
                <w:iCs/>
                <w:color w:val="0D0D0D" w:themeColor="text1" w:themeTint="F2"/>
              </w:rPr>
            </w:pPr>
          </w:p>
          <w:p w14:paraId="0926B973" w14:textId="3F4AC79B" w:rsidR="00267BDB" w:rsidRPr="00E90790" w:rsidRDefault="00267BDB" w:rsidP="00C920AB">
            <w:pPr>
              <w:rPr>
                <w:rFonts w:cs="Arial"/>
                <w:iCs/>
                <w:color w:val="0D0D0D" w:themeColor="text1" w:themeTint="F2"/>
              </w:rPr>
            </w:pPr>
            <w:r w:rsidRPr="00E90790">
              <w:rPr>
                <w:rFonts w:cs="Arial"/>
                <w:iCs/>
                <w:color w:val="0D0D0D" w:themeColor="text1" w:themeTint="F2"/>
              </w:rPr>
              <w:t>Note: the following lag indicators were devised to cover the period 2019-2022.  They cover all of the activities for Key Direction 1</w:t>
            </w:r>
          </w:p>
          <w:p w14:paraId="31C6164C" w14:textId="77777777" w:rsidR="00267BDB" w:rsidRPr="00E90790" w:rsidRDefault="00267BDB" w:rsidP="00C920AB">
            <w:pPr>
              <w:rPr>
                <w:rFonts w:cs="Arial"/>
                <w:iCs/>
                <w:color w:val="0D0D0D" w:themeColor="text1" w:themeTint="F2"/>
              </w:rPr>
            </w:pPr>
          </w:p>
          <w:p w14:paraId="6FAA034A" w14:textId="2DA5193D" w:rsidR="00267BDB" w:rsidRPr="00E90790" w:rsidRDefault="00267BDB" w:rsidP="00C920AB">
            <w:pPr>
              <w:rPr>
                <w:rFonts w:cs="Arial"/>
                <w:iCs/>
                <w:color w:val="0D0D0D" w:themeColor="text1" w:themeTint="F2"/>
              </w:rPr>
            </w:pPr>
            <w:r w:rsidRPr="00E90790">
              <w:rPr>
                <w:rFonts w:cs="Arial"/>
                <w:iCs/>
                <w:color w:val="0D0D0D" w:themeColor="text1" w:themeTint="F2"/>
              </w:rPr>
              <w:t>By 2022</w:t>
            </w:r>
          </w:p>
          <w:p w14:paraId="684D1834" w14:textId="1DB32F34"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2% increase in students meeting the expected standard in NAPLAN.</w:t>
            </w:r>
          </w:p>
          <w:p w14:paraId="70A67980" w14:textId="77777777" w:rsidR="00267BDB" w:rsidRPr="00E90790" w:rsidRDefault="00267BDB" w:rsidP="00C920AB">
            <w:pPr>
              <w:rPr>
                <w:rFonts w:cs="Arial"/>
                <w:iCs/>
                <w:color w:val="0D0D0D" w:themeColor="text1" w:themeTint="F2"/>
              </w:rPr>
            </w:pPr>
          </w:p>
          <w:p w14:paraId="3D9011F2" w14:textId="4509A2B1"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99% students completing Year 12 or equivalent.</w:t>
            </w:r>
          </w:p>
          <w:p w14:paraId="5B0D40DC" w14:textId="77777777" w:rsidR="00267BDB" w:rsidRPr="00E90790" w:rsidRDefault="00267BDB" w:rsidP="00C920AB">
            <w:pPr>
              <w:rPr>
                <w:rFonts w:cs="Arial"/>
                <w:iCs/>
                <w:color w:val="0D0D0D" w:themeColor="text1" w:themeTint="F2"/>
              </w:rPr>
            </w:pPr>
          </w:p>
          <w:p w14:paraId="267E30DC" w14:textId="08DA9819"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3% increase in students with a positive opinion about their school’s safe and orderly learning environment.</w:t>
            </w:r>
          </w:p>
          <w:p w14:paraId="6703661A" w14:textId="77777777" w:rsidR="00267BDB" w:rsidRPr="00E90790" w:rsidRDefault="00267BDB" w:rsidP="00C920AB">
            <w:pPr>
              <w:rPr>
                <w:rFonts w:cs="Arial"/>
                <w:iCs/>
                <w:color w:val="0D0D0D" w:themeColor="text1" w:themeTint="F2"/>
              </w:rPr>
            </w:pPr>
          </w:p>
          <w:p w14:paraId="0870F094" w14:textId="09EDF4F2"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2% increased equity in outcomes for targeted groups.</w:t>
            </w:r>
          </w:p>
          <w:p w14:paraId="23CC3603" w14:textId="77777777" w:rsidR="00267BDB" w:rsidRPr="00E90790" w:rsidRDefault="00267BDB" w:rsidP="00C920AB">
            <w:pPr>
              <w:rPr>
                <w:rFonts w:cs="Arial"/>
                <w:iCs/>
                <w:color w:val="0D0D0D" w:themeColor="text1" w:themeTint="F2"/>
              </w:rPr>
            </w:pPr>
          </w:p>
        </w:tc>
      </w:tr>
      <w:tr w:rsidR="00E90790" w:rsidRPr="00E90790" w14:paraId="4FDFA3C8" w14:textId="77777777" w:rsidTr="00D862BD">
        <w:tc>
          <w:tcPr>
            <w:tcW w:w="3970" w:type="dxa"/>
            <w:tcBorders>
              <w:top w:val="single" w:sz="4" w:space="0" w:color="auto"/>
              <w:bottom w:val="single" w:sz="4" w:space="0" w:color="auto"/>
            </w:tcBorders>
            <w:shd w:val="clear" w:color="auto" w:fill="FFFFFF" w:themeFill="background1"/>
          </w:tcPr>
          <w:p w14:paraId="0BE71EAB"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shd w:val="clear" w:color="auto" w:fill="FFFFFF" w:themeFill="background1"/>
          </w:tcPr>
          <w:p w14:paraId="3EDFDDA0" w14:textId="77777777" w:rsidR="00D862BD" w:rsidRPr="00E90790" w:rsidRDefault="00D862BD" w:rsidP="00C920AB">
            <w:pPr>
              <w:rPr>
                <w:rFonts w:cs="Arial"/>
                <w:b/>
                <w:bCs/>
                <w:iCs/>
                <w:color w:val="0D0D0D" w:themeColor="text1" w:themeTint="F2"/>
              </w:rPr>
            </w:pPr>
          </w:p>
          <w:p w14:paraId="7107AFB4" w14:textId="340BAC5B" w:rsidR="00267BDB" w:rsidRPr="00E90790" w:rsidRDefault="00267BDB" w:rsidP="00C920AB">
            <w:pPr>
              <w:rPr>
                <w:rFonts w:cs="Arial"/>
                <w:b/>
                <w:bCs/>
                <w:iCs/>
                <w:color w:val="0D0D0D" w:themeColor="text1" w:themeTint="F2"/>
              </w:rPr>
            </w:pPr>
            <w:r w:rsidRPr="00E90790">
              <w:rPr>
                <w:rFonts w:cs="Arial"/>
                <w:b/>
                <w:bCs/>
                <w:iCs/>
                <w:color w:val="0D0D0D" w:themeColor="text1" w:themeTint="F2"/>
              </w:rPr>
              <w:t>IDEAS - Innovative Designs for Enhancing Achievements in Schools</w:t>
            </w:r>
          </w:p>
          <w:p w14:paraId="3C905060" w14:textId="4654ECB6" w:rsidR="00267BDB" w:rsidRPr="00E90790" w:rsidRDefault="00267BDB" w:rsidP="00C920AB">
            <w:pPr>
              <w:rPr>
                <w:rFonts w:cs="Arial"/>
                <w:iCs/>
                <w:color w:val="0D0D0D" w:themeColor="text1" w:themeTint="F2"/>
              </w:rPr>
            </w:pPr>
            <w:r w:rsidRPr="00E90790">
              <w:rPr>
                <w:rFonts w:cs="Arial"/>
                <w:iCs/>
                <w:color w:val="0D0D0D" w:themeColor="text1" w:themeTint="F2"/>
              </w:rPr>
              <w:t xml:space="preserve">This whole school, two-year revitalisation project developed by the Leadership Research International (LRI) located at the University of Southern Queensland. IDEAS aims to enhance school </w:t>
            </w:r>
            <w:r w:rsidRPr="00E90790">
              <w:rPr>
                <w:rFonts w:cs="Arial"/>
                <w:iCs/>
                <w:color w:val="0D0D0D" w:themeColor="text1" w:themeTint="F2"/>
              </w:rPr>
              <w:lastRenderedPageBreak/>
              <w:t xml:space="preserve">success through enabling school communities to work together to clarify direction, develop a shared pedagogy and attain school alignment. </w:t>
            </w:r>
          </w:p>
        </w:tc>
        <w:tc>
          <w:tcPr>
            <w:tcW w:w="1418" w:type="dxa"/>
            <w:tcBorders>
              <w:top w:val="single" w:sz="4" w:space="0" w:color="auto"/>
              <w:bottom w:val="single" w:sz="4" w:space="0" w:color="auto"/>
            </w:tcBorders>
            <w:shd w:val="clear" w:color="auto" w:fill="FFFFFF" w:themeFill="background1"/>
          </w:tcPr>
          <w:p w14:paraId="73EC3741" w14:textId="77777777" w:rsidR="00D862BD" w:rsidRPr="00E90790" w:rsidRDefault="00D862BD" w:rsidP="00C920AB">
            <w:pPr>
              <w:rPr>
                <w:rFonts w:cs="Arial"/>
                <w:iCs/>
                <w:color w:val="0D0D0D" w:themeColor="text1" w:themeTint="F2"/>
              </w:rPr>
            </w:pPr>
          </w:p>
          <w:p w14:paraId="07684CF1" w14:textId="2D46104D" w:rsidR="00267BDB" w:rsidRPr="00E90790" w:rsidRDefault="00267BDB" w:rsidP="00C920AB">
            <w:pPr>
              <w:rPr>
                <w:rFonts w:cs="Arial"/>
                <w:iCs/>
                <w:color w:val="0D0D0D" w:themeColor="text1" w:themeTint="F2"/>
              </w:rPr>
            </w:pPr>
            <w:r w:rsidRPr="00E90790">
              <w:rPr>
                <w:rFonts w:cs="Arial"/>
                <w:iCs/>
                <w:color w:val="0D0D0D" w:themeColor="text1" w:themeTint="F2"/>
              </w:rPr>
              <w:t xml:space="preserve">$60,000 </w:t>
            </w:r>
          </w:p>
        </w:tc>
        <w:tc>
          <w:tcPr>
            <w:tcW w:w="2551" w:type="dxa"/>
            <w:tcBorders>
              <w:top w:val="single" w:sz="4" w:space="0" w:color="auto"/>
              <w:bottom w:val="single" w:sz="4" w:space="0" w:color="auto"/>
            </w:tcBorders>
            <w:shd w:val="clear" w:color="auto" w:fill="FFFFFF" w:themeFill="background1"/>
          </w:tcPr>
          <w:p w14:paraId="4560D228" w14:textId="77777777" w:rsidR="00D862BD" w:rsidRPr="00E90790" w:rsidRDefault="00D862BD" w:rsidP="00D862BD">
            <w:pPr>
              <w:rPr>
                <w:rFonts w:cs="Arial"/>
                <w:iCs/>
                <w:color w:val="0D0D0D" w:themeColor="text1" w:themeTint="F2"/>
              </w:rPr>
            </w:pPr>
          </w:p>
          <w:p w14:paraId="475C79C4" w14:textId="4810BE49"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3 schools will continue in 2022 to develop and document a school-wide pedagogy to be shared with staff, students and school community. </w:t>
            </w:r>
          </w:p>
        </w:tc>
        <w:tc>
          <w:tcPr>
            <w:tcW w:w="3686" w:type="dxa"/>
            <w:tcBorders>
              <w:top w:val="single" w:sz="4" w:space="0" w:color="auto"/>
              <w:bottom w:val="single" w:sz="4" w:space="0" w:color="auto"/>
            </w:tcBorders>
            <w:shd w:val="clear" w:color="auto" w:fill="FFFFFF" w:themeFill="background1"/>
          </w:tcPr>
          <w:p w14:paraId="41B8213B" w14:textId="77777777" w:rsidR="00267BDB" w:rsidRPr="00E90790" w:rsidRDefault="00267BDB" w:rsidP="00C920AB">
            <w:pPr>
              <w:rPr>
                <w:rFonts w:cs="Arial"/>
                <w:iCs/>
                <w:color w:val="0D0D0D" w:themeColor="text1" w:themeTint="F2"/>
              </w:rPr>
            </w:pPr>
          </w:p>
        </w:tc>
      </w:tr>
      <w:tr w:rsidR="00E90790" w:rsidRPr="00E90790" w14:paraId="66D30FBB" w14:textId="77777777" w:rsidTr="00D862BD">
        <w:tc>
          <w:tcPr>
            <w:tcW w:w="3970" w:type="dxa"/>
            <w:tcBorders>
              <w:top w:val="single" w:sz="4" w:space="0" w:color="auto"/>
              <w:bottom w:val="single" w:sz="4" w:space="0" w:color="auto"/>
            </w:tcBorders>
            <w:shd w:val="clear" w:color="auto" w:fill="FFFFFF" w:themeFill="background1"/>
          </w:tcPr>
          <w:p w14:paraId="6755AF09"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shd w:val="clear" w:color="auto" w:fill="FFFFFF" w:themeFill="background1"/>
          </w:tcPr>
          <w:p w14:paraId="5FE9FE7C" w14:textId="77777777" w:rsidR="00D862BD" w:rsidRPr="00E90790" w:rsidRDefault="00D862BD" w:rsidP="00C920AB">
            <w:pPr>
              <w:rPr>
                <w:rFonts w:cs="Arial"/>
                <w:b/>
                <w:bCs/>
                <w:iCs/>
                <w:color w:val="0D0D0D" w:themeColor="text1" w:themeTint="F2"/>
              </w:rPr>
            </w:pPr>
          </w:p>
          <w:p w14:paraId="278181C5" w14:textId="2E6B27FE" w:rsidR="00267BDB" w:rsidRPr="00E90790" w:rsidRDefault="00267BDB" w:rsidP="00C920AB">
            <w:pPr>
              <w:rPr>
                <w:rFonts w:cs="Arial"/>
                <w:iCs/>
                <w:color w:val="0D0D0D" w:themeColor="text1" w:themeTint="F2"/>
              </w:rPr>
            </w:pPr>
            <w:r w:rsidRPr="00E90790">
              <w:rPr>
                <w:rFonts w:cs="Arial"/>
                <w:b/>
                <w:bCs/>
                <w:iCs/>
                <w:color w:val="0D0D0D" w:themeColor="text1" w:themeTint="F2"/>
              </w:rPr>
              <w:t>Wellbeing Initiative</w:t>
            </w:r>
            <w:r w:rsidRPr="00E90790">
              <w:rPr>
                <w:rFonts w:cs="Arial"/>
                <w:iCs/>
                <w:color w:val="0D0D0D" w:themeColor="text1" w:themeTint="F2"/>
              </w:rPr>
              <w:br/>
            </w:r>
            <w:r w:rsidRPr="00E90790">
              <w:rPr>
                <w:rFonts w:cs="Arial"/>
                <w:iCs/>
                <w:color w:val="0D0D0D" w:themeColor="text1" w:themeTint="F2"/>
              </w:rPr>
              <w:br/>
              <w:t>The CESA positive behaviour support strategy will build system wide capacity to improve student wellbeing by providing a consistent, tiered and connected set of supports for key teachers, clusters of schools, regions and at the system level.</w:t>
            </w:r>
          </w:p>
          <w:p w14:paraId="60F1701E" w14:textId="29670D3C" w:rsidR="00267BDB" w:rsidRPr="00E90790" w:rsidRDefault="00267BDB" w:rsidP="00C920AB">
            <w:pPr>
              <w:rPr>
                <w:rFonts w:cs="Arial"/>
                <w:iCs/>
                <w:color w:val="0D0D0D" w:themeColor="text1" w:themeTint="F2"/>
              </w:rPr>
            </w:pPr>
          </w:p>
          <w:p w14:paraId="71738492" w14:textId="77777777" w:rsidR="00267BDB" w:rsidRPr="00E90790" w:rsidRDefault="00267BDB" w:rsidP="00C920AB">
            <w:pPr>
              <w:rPr>
                <w:rFonts w:cs="Arial"/>
                <w:iCs/>
                <w:color w:val="0D0D0D" w:themeColor="text1" w:themeTint="F2"/>
              </w:rPr>
            </w:pPr>
          </w:p>
          <w:p w14:paraId="5D28DCE3" w14:textId="4AEDFFF7" w:rsidR="00267BDB" w:rsidRPr="00E90790" w:rsidRDefault="00267BDB" w:rsidP="00C920AB">
            <w:pPr>
              <w:rPr>
                <w:rFonts w:cs="Arial"/>
                <w:iCs/>
                <w:color w:val="0D0D0D" w:themeColor="text1" w:themeTint="F2"/>
              </w:rPr>
            </w:pPr>
          </w:p>
        </w:tc>
        <w:tc>
          <w:tcPr>
            <w:tcW w:w="1418" w:type="dxa"/>
            <w:tcBorders>
              <w:top w:val="single" w:sz="4" w:space="0" w:color="auto"/>
              <w:bottom w:val="single" w:sz="4" w:space="0" w:color="auto"/>
            </w:tcBorders>
            <w:shd w:val="clear" w:color="auto" w:fill="FFFFFF" w:themeFill="background1"/>
          </w:tcPr>
          <w:p w14:paraId="30C79EAA" w14:textId="77777777" w:rsidR="00D862BD" w:rsidRPr="00E90790" w:rsidRDefault="00D862BD" w:rsidP="00C920AB">
            <w:pPr>
              <w:rPr>
                <w:rFonts w:cs="Arial"/>
                <w:iCs/>
                <w:color w:val="0D0D0D" w:themeColor="text1" w:themeTint="F2"/>
              </w:rPr>
            </w:pPr>
          </w:p>
          <w:p w14:paraId="32F2DB8F" w14:textId="2ED4B244" w:rsidR="00267BDB" w:rsidRPr="00E90790" w:rsidRDefault="00267BDB" w:rsidP="00C920AB">
            <w:pPr>
              <w:rPr>
                <w:rFonts w:cs="Arial"/>
                <w:iCs/>
                <w:color w:val="0D0D0D" w:themeColor="text1" w:themeTint="F2"/>
              </w:rPr>
            </w:pPr>
            <w:r w:rsidRPr="00E90790">
              <w:rPr>
                <w:rFonts w:cs="Arial"/>
                <w:iCs/>
                <w:color w:val="0D0D0D" w:themeColor="text1" w:themeTint="F2"/>
              </w:rPr>
              <w:t>$110,000</w:t>
            </w:r>
          </w:p>
          <w:p w14:paraId="03AECA88" w14:textId="1E6FDB37" w:rsidR="00267BDB" w:rsidRPr="00E90790" w:rsidRDefault="00267BDB" w:rsidP="00C920AB">
            <w:pPr>
              <w:rPr>
                <w:rFonts w:cs="Arial"/>
                <w:i/>
                <w:color w:val="0D0D0D" w:themeColor="text1" w:themeTint="F2"/>
              </w:rPr>
            </w:pPr>
          </w:p>
        </w:tc>
        <w:tc>
          <w:tcPr>
            <w:tcW w:w="2551" w:type="dxa"/>
            <w:tcBorders>
              <w:top w:val="single" w:sz="4" w:space="0" w:color="auto"/>
              <w:bottom w:val="single" w:sz="4" w:space="0" w:color="auto"/>
            </w:tcBorders>
            <w:shd w:val="clear" w:color="auto" w:fill="FFFFFF" w:themeFill="background1"/>
          </w:tcPr>
          <w:p w14:paraId="355024F0" w14:textId="77777777" w:rsidR="00D862BD" w:rsidRPr="00E90790" w:rsidRDefault="00D862BD" w:rsidP="00D862BD">
            <w:pPr>
              <w:rPr>
                <w:rFonts w:cs="Arial"/>
                <w:iCs/>
                <w:color w:val="0D0D0D" w:themeColor="text1" w:themeTint="F2"/>
              </w:rPr>
            </w:pPr>
          </w:p>
          <w:p w14:paraId="2906EB16" w14:textId="751EAFEE"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Key Behaviour Coach teachers identified in each of the 6 regions.</w:t>
            </w:r>
            <w:r w:rsidRPr="00E90790">
              <w:rPr>
                <w:rFonts w:cs="Arial"/>
                <w:iCs/>
                <w:color w:val="0D0D0D" w:themeColor="text1" w:themeTint="F2"/>
              </w:rPr>
              <w:br/>
            </w:r>
          </w:p>
          <w:p w14:paraId="26A276CA" w14:textId="786669B8"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50% of Early Years teachers complete the module </w:t>
            </w:r>
            <w:r w:rsidRPr="00E90790">
              <w:rPr>
                <w:rFonts w:cs="Arial"/>
                <w:i/>
                <w:color w:val="0D0D0D" w:themeColor="text1" w:themeTint="F2"/>
              </w:rPr>
              <w:t>‘Understanding and Supporting Behaviour’.</w:t>
            </w:r>
          </w:p>
          <w:p w14:paraId="41B3F0B6" w14:textId="77777777" w:rsidR="00267BDB" w:rsidRPr="00E90790" w:rsidRDefault="00267BDB" w:rsidP="00C920AB">
            <w:pPr>
              <w:ind w:left="360"/>
              <w:rPr>
                <w:rFonts w:cs="Arial"/>
                <w:iCs/>
                <w:color w:val="0D0D0D" w:themeColor="text1" w:themeTint="F2"/>
              </w:rPr>
            </w:pPr>
          </w:p>
          <w:p w14:paraId="2F2651FB"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Cluster roundtable case management meeting processes identified and implemented.</w:t>
            </w:r>
          </w:p>
          <w:p w14:paraId="639C839E" w14:textId="0BF2C2FD" w:rsidR="00267BDB" w:rsidRPr="00E90790" w:rsidRDefault="00267BDB" w:rsidP="00C920AB">
            <w:pPr>
              <w:ind w:left="360"/>
              <w:rPr>
                <w:rFonts w:cs="Arial"/>
                <w:iCs/>
                <w:color w:val="0D0D0D" w:themeColor="text1" w:themeTint="F2"/>
              </w:rPr>
            </w:pPr>
          </w:p>
        </w:tc>
        <w:tc>
          <w:tcPr>
            <w:tcW w:w="3686" w:type="dxa"/>
            <w:tcBorders>
              <w:top w:val="single" w:sz="4" w:space="0" w:color="auto"/>
              <w:bottom w:val="single" w:sz="4" w:space="0" w:color="auto"/>
            </w:tcBorders>
            <w:shd w:val="clear" w:color="auto" w:fill="FFFFFF" w:themeFill="background1"/>
          </w:tcPr>
          <w:p w14:paraId="067237CB" w14:textId="77777777" w:rsidR="00267BDB" w:rsidRPr="00E90790" w:rsidRDefault="00267BDB" w:rsidP="00C920AB">
            <w:pPr>
              <w:rPr>
                <w:rFonts w:cs="Arial"/>
                <w:iCs/>
                <w:color w:val="0D0D0D" w:themeColor="text1" w:themeTint="F2"/>
              </w:rPr>
            </w:pPr>
          </w:p>
        </w:tc>
      </w:tr>
      <w:tr w:rsidR="00E90790" w:rsidRPr="00E90790" w14:paraId="349626AC" w14:textId="77777777" w:rsidTr="00D862BD">
        <w:tc>
          <w:tcPr>
            <w:tcW w:w="3970" w:type="dxa"/>
            <w:tcBorders>
              <w:top w:val="single" w:sz="4" w:space="0" w:color="auto"/>
              <w:bottom w:val="single" w:sz="4" w:space="0" w:color="auto"/>
            </w:tcBorders>
            <w:shd w:val="clear" w:color="auto" w:fill="FFFFFF" w:themeFill="background1"/>
          </w:tcPr>
          <w:p w14:paraId="3CC2F56F"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shd w:val="clear" w:color="auto" w:fill="FFFFFF" w:themeFill="background1"/>
          </w:tcPr>
          <w:p w14:paraId="1C6FD94E" w14:textId="77777777" w:rsidR="00D862BD" w:rsidRPr="00E90790" w:rsidRDefault="00D862BD" w:rsidP="00C920AB">
            <w:pPr>
              <w:rPr>
                <w:rFonts w:cs="Arial"/>
                <w:b/>
                <w:bCs/>
                <w:iCs/>
                <w:color w:val="0D0D0D" w:themeColor="text1" w:themeTint="F2"/>
              </w:rPr>
            </w:pPr>
          </w:p>
          <w:p w14:paraId="7F8B5D6C" w14:textId="5EA5DF2E" w:rsidR="00267BDB" w:rsidRPr="00E90790" w:rsidRDefault="00267BDB" w:rsidP="00C920AB">
            <w:pPr>
              <w:rPr>
                <w:rFonts w:cs="Arial"/>
                <w:iCs/>
                <w:color w:val="0D0D0D" w:themeColor="text1" w:themeTint="F2"/>
              </w:rPr>
            </w:pPr>
            <w:r w:rsidRPr="00E90790">
              <w:rPr>
                <w:rFonts w:cs="Arial"/>
                <w:b/>
                <w:bCs/>
                <w:iCs/>
                <w:color w:val="0D0D0D" w:themeColor="text1" w:themeTint="F2"/>
              </w:rPr>
              <w:t>Nationally Consistent Collection of Data (NCCD)</w:t>
            </w:r>
          </w:p>
          <w:p w14:paraId="44F006B2" w14:textId="77777777" w:rsidR="00267BDB" w:rsidRPr="00E90790" w:rsidRDefault="00267BDB" w:rsidP="00C920AB">
            <w:pPr>
              <w:ind w:left="317" w:hanging="317"/>
              <w:rPr>
                <w:rFonts w:cs="Arial"/>
                <w:iCs/>
                <w:color w:val="0D0D0D" w:themeColor="text1" w:themeTint="F2"/>
              </w:rPr>
            </w:pPr>
          </w:p>
          <w:p w14:paraId="1D2BD8F0" w14:textId="03C0148A" w:rsidR="00267BDB" w:rsidRPr="00E90790" w:rsidRDefault="00267BDB" w:rsidP="00C920AB">
            <w:pPr>
              <w:rPr>
                <w:rFonts w:cs="Arial"/>
                <w:iCs/>
                <w:color w:val="0D0D0D" w:themeColor="text1" w:themeTint="F2"/>
              </w:rPr>
            </w:pPr>
            <w:r w:rsidRPr="00E90790">
              <w:rPr>
                <w:rFonts w:cs="Arial"/>
                <w:iCs/>
                <w:color w:val="0D0D0D" w:themeColor="text1" w:themeTint="F2"/>
              </w:rPr>
              <w:t>Schools will continue to be trained and supported to use SEQTA Learner Management System to:</w:t>
            </w:r>
          </w:p>
          <w:p w14:paraId="362E31A6" w14:textId="77777777" w:rsidR="00267BDB" w:rsidRPr="00E90790" w:rsidRDefault="00267BDB" w:rsidP="00C920AB">
            <w:pPr>
              <w:ind w:left="317" w:hanging="317"/>
              <w:rPr>
                <w:rFonts w:cs="Arial"/>
                <w:iCs/>
                <w:color w:val="0D0D0D" w:themeColor="text1" w:themeTint="F2"/>
              </w:rPr>
            </w:pPr>
            <w:r w:rsidRPr="00E90790">
              <w:rPr>
                <w:rFonts w:cs="Arial"/>
                <w:iCs/>
                <w:color w:val="0D0D0D" w:themeColor="text1" w:themeTint="F2"/>
              </w:rPr>
              <w:lastRenderedPageBreak/>
              <w:t>1.</w:t>
            </w:r>
            <w:r w:rsidRPr="00E90790">
              <w:rPr>
                <w:rFonts w:cs="Arial"/>
                <w:iCs/>
                <w:color w:val="0D0D0D" w:themeColor="text1" w:themeTint="F2"/>
              </w:rPr>
              <w:tab/>
              <w:t>Document the 4 levels of evidence required for NCCD.</w:t>
            </w:r>
          </w:p>
          <w:p w14:paraId="25338B91" w14:textId="77777777" w:rsidR="00267BDB" w:rsidRPr="00E90790" w:rsidRDefault="00267BDB" w:rsidP="00C920AB">
            <w:pPr>
              <w:ind w:left="317" w:hanging="317"/>
              <w:rPr>
                <w:rFonts w:cs="Arial"/>
                <w:iCs/>
                <w:color w:val="0D0D0D" w:themeColor="text1" w:themeTint="F2"/>
              </w:rPr>
            </w:pPr>
            <w:r w:rsidRPr="00E90790">
              <w:rPr>
                <w:rFonts w:cs="Arial"/>
                <w:iCs/>
                <w:color w:val="0D0D0D" w:themeColor="text1" w:themeTint="F2"/>
              </w:rPr>
              <w:t>2.</w:t>
            </w:r>
            <w:r w:rsidRPr="00E90790">
              <w:rPr>
                <w:rFonts w:cs="Arial"/>
                <w:iCs/>
                <w:color w:val="0D0D0D" w:themeColor="text1" w:themeTint="F2"/>
              </w:rPr>
              <w:tab/>
              <w:t>Use SEQTA data for quality assurance purposes.</w:t>
            </w:r>
          </w:p>
          <w:p w14:paraId="357EAA29" w14:textId="6B01EDC1" w:rsidR="00267BDB" w:rsidRPr="00E90790" w:rsidRDefault="00267BDB" w:rsidP="00C920AB">
            <w:pPr>
              <w:ind w:left="317" w:hanging="317"/>
              <w:rPr>
                <w:rFonts w:cs="Arial"/>
                <w:iCs/>
                <w:color w:val="0D0D0D" w:themeColor="text1" w:themeTint="F2"/>
              </w:rPr>
            </w:pPr>
            <w:r w:rsidRPr="00E90790">
              <w:rPr>
                <w:rFonts w:cs="Arial"/>
                <w:iCs/>
                <w:color w:val="0D0D0D" w:themeColor="text1" w:themeTint="F2"/>
              </w:rPr>
              <w:t>3.</w:t>
            </w:r>
            <w:r w:rsidRPr="00E90790">
              <w:rPr>
                <w:rFonts w:cs="Arial"/>
                <w:iCs/>
                <w:color w:val="0D0D0D" w:themeColor="text1" w:themeTint="F2"/>
              </w:rPr>
              <w:tab/>
              <w:t>Use SEQTA data for moderation at school, region and cross-sector levels.</w:t>
            </w:r>
          </w:p>
          <w:p w14:paraId="1E4E7633" w14:textId="3CB87634" w:rsidR="00267BDB" w:rsidRPr="00E90790" w:rsidRDefault="00267BDB" w:rsidP="00C920AB">
            <w:pPr>
              <w:rPr>
                <w:rFonts w:cs="Arial"/>
                <w:iCs/>
                <w:color w:val="0D0D0D" w:themeColor="text1" w:themeTint="F2"/>
              </w:rPr>
            </w:pPr>
          </w:p>
        </w:tc>
        <w:tc>
          <w:tcPr>
            <w:tcW w:w="1418" w:type="dxa"/>
            <w:tcBorders>
              <w:top w:val="single" w:sz="4" w:space="0" w:color="auto"/>
              <w:bottom w:val="single" w:sz="4" w:space="0" w:color="auto"/>
            </w:tcBorders>
            <w:shd w:val="clear" w:color="auto" w:fill="FFFFFF" w:themeFill="background1"/>
          </w:tcPr>
          <w:p w14:paraId="61DCBCEB" w14:textId="77777777" w:rsidR="00D862BD" w:rsidRPr="00E90790" w:rsidRDefault="00D862BD" w:rsidP="00C920AB">
            <w:pPr>
              <w:rPr>
                <w:rFonts w:cs="Arial"/>
                <w:iCs/>
                <w:color w:val="0D0D0D" w:themeColor="text1" w:themeTint="F2"/>
              </w:rPr>
            </w:pPr>
          </w:p>
          <w:p w14:paraId="55C6ECB7" w14:textId="09F046E7" w:rsidR="00267BDB" w:rsidRPr="00E90790" w:rsidRDefault="00267BDB" w:rsidP="00C920AB">
            <w:pPr>
              <w:rPr>
                <w:rFonts w:cs="Arial"/>
                <w:iCs/>
                <w:color w:val="0D0D0D" w:themeColor="text1" w:themeTint="F2"/>
              </w:rPr>
            </w:pPr>
            <w:r w:rsidRPr="00E90790">
              <w:rPr>
                <w:rFonts w:cs="Arial"/>
                <w:iCs/>
                <w:color w:val="0D0D0D" w:themeColor="text1" w:themeTint="F2"/>
              </w:rPr>
              <w:t>$40,000</w:t>
            </w:r>
          </w:p>
          <w:p w14:paraId="431931F5" w14:textId="6E71C99F" w:rsidR="00267BDB" w:rsidRPr="00E90790" w:rsidRDefault="00267BDB" w:rsidP="00C920AB">
            <w:pPr>
              <w:rPr>
                <w:rFonts w:cs="Arial"/>
                <w:i/>
                <w:color w:val="0D0D0D" w:themeColor="text1" w:themeTint="F2"/>
              </w:rPr>
            </w:pPr>
          </w:p>
        </w:tc>
        <w:tc>
          <w:tcPr>
            <w:tcW w:w="2551" w:type="dxa"/>
            <w:tcBorders>
              <w:top w:val="single" w:sz="4" w:space="0" w:color="auto"/>
              <w:bottom w:val="single" w:sz="4" w:space="0" w:color="auto"/>
            </w:tcBorders>
            <w:shd w:val="clear" w:color="auto" w:fill="FFFFFF" w:themeFill="background1"/>
          </w:tcPr>
          <w:p w14:paraId="33BBBDC9" w14:textId="77777777" w:rsidR="00D862BD" w:rsidRPr="00E90790" w:rsidRDefault="00D862BD" w:rsidP="00D862BD">
            <w:pPr>
              <w:rPr>
                <w:rFonts w:cs="Arial"/>
                <w:iCs/>
                <w:color w:val="0D0D0D" w:themeColor="text1" w:themeTint="F2"/>
              </w:rPr>
            </w:pPr>
          </w:p>
          <w:p w14:paraId="1E8C0397" w14:textId="6C487BA1"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Refinement of the NCCD Key Activities and Milestones</w:t>
            </w:r>
            <w:r w:rsidRPr="00E90790">
              <w:rPr>
                <w:rFonts w:cs="Arial"/>
                <w:iCs/>
                <w:color w:val="0D0D0D" w:themeColor="text1" w:themeTint="F2"/>
              </w:rPr>
              <w:br/>
            </w:r>
          </w:p>
          <w:p w14:paraId="7C727C1D" w14:textId="02F4EA39"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Development of materials to support the 4 phases of the </w:t>
            </w:r>
            <w:r w:rsidRPr="00E90790">
              <w:rPr>
                <w:rFonts w:cs="Arial"/>
                <w:iCs/>
                <w:color w:val="0D0D0D" w:themeColor="text1" w:themeTint="F2"/>
              </w:rPr>
              <w:lastRenderedPageBreak/>
              <w:t>NCCD</w:t>
            </w:r>
            <w:r w:rsidRPr="00E90790">
              <w:rPr>
                <w:rFonts w:cs="Arial"/>
                <w:iCs/>
                <w:color w:val="0D0D0D" w:themeColor="text1" w:themeTint="F2"/>
              </w:rPr>
              <w:br/>
            </w:r>
          </w:p>
          <w:p w14:paraId="389E5D05" w14:textId="51671B59"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Regionally based professional learning:</w:t>
            </w:r>
            <w:r w:rsidRPr="00E90790">
              <w:rPr>
                <w:rFonts w:cs="Arial"/>
                <w:iCs/>
                <w:color w:val="0D0D0D" w:themeColor="text1" w:themeTint="F2"/>
              </w:rPr>
              <w:br/>
            </w:r>
          </w:p>
        </w:tc>
        <w:tc>
          <w:tcPr>
            <w:tcW w:w="3686" w:type="dxa"/>
            <w:tcBorders>
              <w:top w:val="single" w:sz="4" w:space="0" w:color="auto"/>
              <w:bottom w:val="single" w:sz="4" w:space="0" w:color="auto"/>
            </w:tcBorders>
            <w:shd w:val="clear" w:color="auto" w:fill="FFFFFF" w:themeFill="background1"/>
          </w:tcPr>
          <w:p w14:paraId="2E635A91" w14:textId="77777777" w:rsidR="00267BDB" w:rsidRPr="00E90790" w:rsidRDefault="00267BDB" w:rsidP="00C920AB">
            <w:pPr>
              <w:rPr>
                <w:rFonts w:cs="Arial"/>
                <w:iCs/>
                <w:color w:val="0D0D0D" w:themeColor="text1" w:themeTint="F2"/>
              </w:rPr>
            </w:pPr>
          </w:p>
        </w:tc>
      </w:tr>
      <w:tr w:rsidR="00E90790" w:rsidRPr="00E90790" w14:paraId="17379727" w14:textId="77777777" w:rsidTr="00D862BD">
        <w:tc>
          <w:tcPr>
            <w:tcW w:w="3970" w:type="dxa"/>
            <w:tcBorders>
              <w:top w:val="single" w:sz="4" w:space="0" w:color="auto"/>
              <w:bottom w:val="single" w:sz="4" w:space="0" w:color="auto"/>
            </w:tcBorders>
            <w:shd w:val="clear" w:color="auto" w:fill="FFFFFF" w:themeFill="background1"/>
          </w:tcPr>
          <w:p w14:paraId="54EFAB09"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shd w:val="clear" w:color="auto" w:fill="FFFFFF" w:themeFill="background1"/>
          </w:tcPr>
          <w:p w14:paraId="78B1EC57" w14:textId="77777777" w:rsidR="00267BDB" w:rsidRPr="00E90790" w:rsidRDefault="00267BDB" w:rsidP="00C920AB">
            <w:pPr>
              <w:rPr>
                <w:rFonts w:cs="Arial"/>
                <w:b/>
                <w:bCs/>
                <w:iCs/>
                <w:color w:val="0D0D0D" w:themeColor="text1" w:themeTint="F2"/>
              </w:rPr>
            </w:pPr>
            <w:r w:rsidRPr="00E90790">
              <w:rPr>
                <w:rFonts w:cs="Arial"/>
                <w:b/>
                <w:bCs/>
                <w:iCs/>
                <w:color w:val="0D0D0D" w:themeColor="text1" w:themeTint="F2"/>
              </w:rPr>
              <w:t>STEM INITIATIVES</w:t>
            </w:r>
          </w:p>
          <w:p w14:paraId="09814A18" w14:textId="03874D6C" w:rsidR="000B68B5" w:rsidRPr="00E90790" w:rsidRDefault="000B68B5" w:rsidP="00C920AB">
            <w:pPr>
              <w:rPr>
                <w:rFonts w:cs="Arial"/>
                <w:b/>
                <w:bCs/>
                <w:iCs/>
                <w:color w:val="0D0D0D" w:themeColor="text1" w:themeTint="F2"/>
              </w:rPr>
            </w:pPr>
          </w:p>
        </w:tc>
        <w:tc>
          <w:tcPr>
            <w:tcW w:w="1418" w:type="dxa"/>
            <w:tcBorders>
              <w:top w:val="single" w:sz="4" w:space="0" w:color="auto"/>
              <w:bottom w:val="single" w:sz="4" w:space="0" w:color="auto"/>
            </w:tcBorders>
            <w:shd w:val="clear" w:color="auto" w:fill="FFFFFF" w:themeFill="background1"/>
          </w:tcPr>
          <w:p w14:paraId="40043BAF" w14:textId="77777777" w:rsidR="00267BDB" w:rsidRPr="00E90790" w:rsidRDefault="00267BDB" w:rsidP="00C920AB">
            <w:pPr>
              <w:rPr>
                <w:rFonts w:cs="Arial"/>
                <w:iCs/>
                <w:color w:val="0D0D0D" w:themeColor="text1" w:themeTint="F2"/>
              </w:rPr>
            </w:pPr>
          </w:p>
        </w:tc>
        <w:tc>
          <w:tcPr>
            <w:tcW w:w="2551" w:type="dxa"/>
            <w:tcBorders>
              <w:top w:val="single" w:sz="4" w:space="0" w:color="auto"/>
              <w:bottom w:val="single" w:sz="4" w:space="0" w:color="auto"/>
            </w:tcBorders>
            <w:shd w:val="clear" w:color="auto" w:fill="FFFFFF" w:themeFill="background1"/>
          </w:tcPr>
          <w:p w14:paraId="7D726E8E" w14:textId="48C283A8" w:rsidR="00267BDB" w:rsidRPr="00E90790" w:rsidRDefault="00267BDB" w:rsidP="00C920AB">
            <w:pPr>
              <w:rPr>
                <w:rFonts w:cs="Arial"/>
                <w:iCs/>
                <w:color w:val="0D0D0D" w:themeColor="text1" w:themeTint="F2"/>
                <w:highlight w:val="yellow"/>
              </w:rPr>
            </w:pPr>
          </w:p>
        </w:tc>
        <w:tc>
          <w:tcPr>
            <w:tcW w:w="3686" w:type="dxa"/>
            <w:tcBorders>
              <w:top w:val="single" w:sz="4" w:space="0" w:color="auto"/>
              <w:bottom w:val="single" w:sz="4" w:space="0" w:color="auto"/>
            </w:tcBorders>
            <w:shd w:val="clear" w:color="auto" w:fill="FFFFFF" w:themeFill="background1"/>
          </w:tcPr>
          <w:p w14:paraId="2A083074" w14:textId="77777777" w:rsidR="00267BDB" w:rsidRPr="00E90790" w:rsidRDefault="00267BDB" w:rsidP="00C920AB">
            <w:pPr>
              <w:rPr>
                <w:rFonts w:cs="Arial"/>
                <w:iCs/>
                <w:color w:val="0D0D0D" w:themeColor="text1" w:themeTint="F2"/>
              </w:rPr>
            </w:pPr>
          </w:p>
        </w:tc>
      </w:tr>
      <w:tr w:rsidR="00E90790" w:rsidRPr="00E90790" w14:paraId="248F3DDE" w14:textId="77777777" w:rsidTr="00D862BD">
        <w:tc>
          <w:tcPr>
            <w:tcW w:w="3970" w:type="dxa"/>
            <w:tcBorders>
              <w:top w:val="single" w:sz="4" w:space="0" w:color="auto"/>
              <w:bottom w:val="single" w:sz="4" w:space="0" w:color="auto"/>
            </w:tcBorders>
            <w:shd w:val="clear" w:color="auto" w:fill="FFFFFF" w:themeFill="background1"/>
          </w:tcPr>
          <w:p w14:paraId="41E70108"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shd w:val="clear" w:color="auto" w:fill="FFFFFF" w:themeFill="background1"/>
          </w:tcPr>
          <w:p w14:paraId="12F26FFB" w14:textId="77777777" w:rsidR="00D862BD" w:rsidRPr="00E90790" w:rsidRDefault="00D862BD" w:rsidP="00C920AB">
            <w:pPr>
              <w:rPr>
                <w:rFonts w:cs="Arial"/>
                <w:iCs/>
                <w:color w:val="0D0D0D" w:themeColor="text1" w:themeTint="F2"/>
              </w:rPr>
            </w:pPr>
          </w:p>
          <w:p w14:paraId="4D151EC6" w14:textId="446C89E2" w:rsidR="00267BDB" w:rsidRPr="00E90790" w:rsidRDefault="00267BDB" w:rsidP="00C920AB">
            <w:pPr>
              <w:rPr>
                <w:rFonts w:cs="Arial"/>
                <w:iCs/>
                <w:color w:val="0D0D0D" w:themeColor="text1" w:themeTint="F2"/>
              </w:rPr>
            </w:pPr>
            <w:r w:rsidRPr="00E90790">
              <w:rPr>
                <w:rFonts w:cs="Arial"/>
                <w:iCs/>
                <w:color w:val="0D0D0D" w:themeColor="text1" w:themeTint="F2"/>
              </w:rPr>
              <w:t xml:space="preserve">Professional learning by CESA Education Advisors in partnership with industry and universities will build educators capacity to design and deliver high quality STEM learning which draws on current research, developing STEM capabilities and embracing emerging technologies. </w:t>
            </w:r>
          </w:p>
          <w:p w14:paraId="3E4A6613" w14:textId="77777777" w:rsidR="00267BDB" w:rsidRPr="00E90790" w:rsidRDefault="00267BDB" w:rsidP="00C920AB">
            <w:pPr>
              <w:rPr>
                <w:rFonts w:cs="Arial"/>
                <w:iCs/>
                <w:color w:val="0D0D0D" w:themeColor="text1" w:themeTint="F2"/>
              </w:rPr>
            </w:pPr>
          </w:p>
          <w:p w14:paraId="105BFCB7" w14:textId="5C7FBB9D" w:rsidR="00267BDB" w:rsidRPr="00E90790" w:rsidRDefault="00267BDB" w:rsidP="00C920AB">
            <w:pPr>
              <w:rPr>
                <w:rFonts w:cs="Arial"/>
                <w:iCs/>
                <w:color w:val="0D0D0D" w:themeColor="text1" w:themeTint="F2"/>
              </w:rPr>
            </w:pPr>
            <w:r w:rsidRPr="00E90790">
              <w:rPr>
                <w:rFonts w:cs="Arial"/>
                <w:iCs/>
                <w:color w:val="0D0D0D" w:themeColor="text1" w:themeTint="F2"/>
              </w:rPr>
              <w:t>Opportunities for students to build their STEM knowledge and skills will occur through participating in industry and university programs including the Women in STEM Breakfast.</w:t>
            </w:r>
          </w:p>
        </w:tc>
        <w:tc>
          <w:tcPr>
            <w:tcW w:w="1418" w:type="dxa"/>
            <w:tcBorders>
              <w:top w:val="single" w:sz="4" w:space="0" w:color="auto"/>
              <w:bottom w:val="single" w:sz="4" w:space="0" w:color="auto"/>
            </w:tcBorders>
            <w:shd w:val="clear" w:color="auto" w:fill="FFFFFF" w:themeFill="background1"/>
          </w:tcPr>
          <w:p w14:paraId="23B00404" w14:textId="77777777" w:rsidR="00D862BD" w:rsidRPr="00E90790" w:rsidRDefault="00D862BD" w:rsidP="00C920AB">
            <w:pPr>
              <w:rPr>
                <w:rFonts w:cs="Arial"/>
                <w:iCs/>
                <w:color w:val="0D0D0D" w:themeColor="text1" w:themeTint="F2"/>
              </w:rPr>
            </w:pPr>
          </w:p>
          <w:p w14:paraId="33FAA969" w14:textId="79BEB198" w:rsidR="00267BDB" w:rsidRPr="00E90790" w:rsidRDefault="00267BDB" w:rsidP="00C920AB">
            <w:pPr>
              <w:rPr>
                <w:rFonts w:cs="Arial"/>
                <w:iCs/>
                <w:color w:val="0D0D0D" w:themeColor="text1" w:themeTint="F2"/>
              </w:rPr>
            </w:pPr>
            <w:r w:rsidRPr="00E90790">
              <w:rPr>
                <w:rFonts w:cs="Arial"/>
                <w:iCs/>
                <w:color w:val="0D0D0D" w:themeColor="text1" w:themeTint="F2"/>
              </w:rPr>
              <w:t>$148,000</w:t>
            </w:r>
          </w:p>
          <w:p w14:paraId="3241EC13" w14:textId="77777777" w:rsidR="00267BDB" w:rsidRPr="00E90790" w:rsidRDefault="00267BDB" w:rsidP="00C920AB">
            <w:pPr>
              <w:rPr>
                <w:rFonts w:cs="Arial"/>
                <w:i/>
                <w:color w:val="0D0D0D" w:themeColor="text1" w:themeTint="F2"/>
              </w:rPr>
            </w:pPr>
          </w:p>
        </w:tc>
        <w:tc>
          <w:tcPr>
            <w:tcW w:w="2551" w:type="dxa"/>
            <w:tcBorders>
              <w:top w:val="single" w:sz="4" w:space="0" w:color="auto"/>
              <w:bottom w:val="single" w:sz="4" w:space="0" w:color="auto"/>
            </w:tcBorders>
            <w:shd w:val="clear" w:color="auto" w:fill="FFFFFF" w:themeFill="background1"/>
          </w:tcPr>
          <w:p w14:paraId="7736587D" w14:textId="37EC70A9" w:rsidR="00267BDB" w:rsidRPr="00E90790" w:rsidRDefault="00267BDB" w:rsidP="00C920AB">
            <w:pPr>
              <w:rPr>
                <w:rFonts w:cs="Arial"/>
                <w:iCs/>
                <w:color w:val="0D0D0D" w:themeColor="text1" w:themeTint="F2"/>
                <w:highlight w:val="yellow"/>
              </w:rPr>
            </w:pPr>
          </w:p>
          <w:p w14:paraId="5563F422" w14:textId="1EC3871C" w:rsidR="00267BDB" w:rsidRPr="00E90790" w:rsidRDefault="00267BDB" w:rsidP="00C920AB">
            <w:pPr>
              <w:rPr>
                <w:rFonts w:cs="Arial"/>
                <w:b/>
                <w:bCs/>
                <w:iCs/>
                <w:color w:val="0D0D0D" w:themeColor="text1" w:themeTint="F2"/>
              </w:rPr>
            </w:pPr>
            <w:r w:rsidRPr="00E90790">
              <w:rPr>
                <w:rFonts w:cs="Arial"/>
                <w:b/>
                <w:bCs/>
                <w:iCs/>
                <w:color w:val="0D0D0D" w:themeColor="text1" w:themeTint="F2"/>
              </w:rPr>
              <w:t xml:space="preserve">Primary Years Participation </w:t>
            </w:r>
          </w:p>
          <w:p w14:paraId="7699A33A" w14:textId="5E666DCE" w:rsidR="00267BDB" w:rsidRPr="00E90790" w:rsidRDefault="00267BDB" w:rsidP="00C920AB">
            <w:pPr>
              <w:rPr>
                <w:rFonts w:cs="Arial"/>
                <w:iCs/>
                <w:color w:val="0D0D0D" w:themeColor="text1" w:themeTint="F2"/>
              </w:rPr>
            </w:pPr>
            <w:r w:rsidRPr="00E90790">
              <w:rPr>
                <w:rFonts w:cs="Arial"/>
                <w:iCs/>
                <w:color w:val="0D0D0D" w:themeColor="text1" w:themeTint="F2"/>
              </w:rPr>
              <w:t xml:space="preserve">Number of Schools: 60 </w:t>
            </w:r>
          </w:p>
          <w:p w14:paraId="7F17D0F7"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 xml:space="preserve">Number of Teachers: 120 </w:t>
            </w:r>
          </w:p>
          <w:p w14:paraId="4FB89F52"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Number of students: 400</w:t>
            </w:r>
          </w:p>
          <w:p w14:paraId="78C4F5E9" w14:textId="77777777" w:rsidR="00267BDB" w:rsidRPr="00E90790" w:rsidRDefault="00267BDB" w:rsidP="00C920AB">
            <w:pPr>
              <w:rPr>
                <w:rFonts w:cs="Arial"/>
                <w:iCs/>
                <w:color w:val="0D0D0D" w:themeColor="text1" w:themeTint="F2"/>
              </w:rPr>
            </w:pPr>
          </w:p>
          <w:p w14:paraId="371AE5C7" w14:textId="0EFBA248" w:rsidR="00267BDB" w:rsidRPr="00E90790" w:rsidRDefault="00267BDB" w:rsidP="00C920AB">
            <w:pPr>
              <w:rPr>
                <w:rFonts w:cs="Arial"/>
                <w:iCs/>
                <w:color w:val="0D0D0D" w:themeColor="text1" w:themeTint="F2"/>
              </w:rPr>
            </w:pPr>
            <w:r w:rsidRPr="00E90790">
              <w:rPr>
                <w:rFonts w:cs="Arial"/>
                <w:b/>
                <w:bCs/>
                <w:iCs/>
                <w:color w:val="0D0D0D" w:themeColor="text1" w:themeTint="F2"/>
              </w:rPr>
              <w:t>Middle Years</w:t>
            </w:r>
            <w:r w:rsidRPr="00E90790">
              <w:rPr>
                <w:rFonts w:cs="Arial"/>
                <w:iCs/>
                <w:color w:val="0D0D0D" w:themeColor="text1" w:themeTint="F2"/>
              </w:rPr>
              <w:t xml:space="preserve"> </w:t>
            </w:r>
            <w:r w:rsidRPr="00E90790">
              <w:rPr>
                <w:rFonts w:cs="Arial"/>
                <w:b/>
                <w:bCs/>
                <w:iCs/>
                <w:color w:val="0D0D0D" w:themeColor="text1" w:themeTint="F2"/>
              </w:rPr>
              <w:t xml:space="preserve">Participation </w:t>
            </w:r>
          </w:p>
          <w:p w14:paraId="1DEDE022"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Number of Schools: 50</w:t>
            </w:r>
          </w:p>
          <w:p w14:paraId="49BC2DDA"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Number of Teachers: 100</w:t>
            </w:r>
          </w:p>
          <w:p w14:paraId="5337D232"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Number of Students 400</w:t>
            </w:r>
          </w:p>
          <w:p w14:paraId="1F87A561" w14:textId="77777777" w:rsidR="00267BDB" w:rsidRPr="00E90790" w:rsidRDefault="00267BDB" w:rsidP="00C920AB">
            <w:pPr>
              <w:rPr>
                <w:rFonts w:cs="Arial"/>
                <w:iCs/>
                <w:color w:val="0D0D0D" w:themeColor="text1" w:themeTint="F2"/>
              </w:rPr>
            </w:pPr>
          </w:p>
          <w:p w14:paraId="153AA4A6" w14:textId="77777777" w:rsidR="00267BDB" w:rsidRPr="00E90790" w:rsidRDefault="00267BDB" w:rsidP="00C920AB">
            <w:pPr>
              <w:rPr>
                <w:rFonts w:cs="Arial"/>
                <w:iCs/>
                <w:color w:val="0D0D0D" w:themeColor="text1" w:themeTint="F2"/>
              </w:rPr>
            </w:pPr>
            <w:r w:rsidRPr="00E90790">
              <w:rPr>
                <w:rFonts w:cs="Arial"/>
                <w:b/>
                <w:bCs/>
                <w:iCs/>
                <w:color w:val="0D0D0D" w:themeColor="text1" w:themeTint="F2"/>
              </w:rPr>
              <w:t>CESA STEM MAD Forum</w:t>
            </w:r>
            <w:r w:rsidRPr="00E90790">
              <w:rPr>
                <w:rFonts w:cs="Arial"/>
                <w:iCs/>
                <w:color w:val="0D0D0D" w:themeColor="text1" w:themeTint="F2"/>
              </w:rPr>
              <w:br/>
              <w:t>will showcase students’ engagement of STEM.</w:t>
            </w:r>
          </w:p>
          <w:p w14:paraId="7AEDAA2B" w14:textId="2B84804C" w:rsidR="00267BDB" w:rsidRPr="00E90790" w:rsidRDefault="00267BDB" w:rsidP="00C920AB">
            <w:pPr>
              <w:rPr>
                <w:rFonts w:cs="Arial"/>
                <w:iCs/>
                <w:color w:val="0D0D0D" w:themeColor="text1" w:themeTint="F2"/>
                <w:highlight w:val="yellow"/>
              </w:rPr>
            </w:pPr>
          </w:p>
        </w:tc>
        <w:tc>
          <w:tcPr>
            <w:tcW w:w="3686" w:type="dxa"/>
            <w:tcBorders>
              <w:top w:val="single" w:sz="4" w:space="0" w:color="auto"/>
              <w:bottom w:val="single" w:sz="4" w:space="0" w:color="auto"/>
            </w:tcBorders>
            <w:shd w:val="clear" w:color="auto" w:fill="FFFFFF" w:themeFill="background1"/>
          </w:tcPr>
          <w:p w14:paraId="0AA63015" w14:textId="77777777" w:rsidR="00267BDB" w:rsidRPr="00E90790" w:rsidRDefault="00267BDB" w:rsidP="00C920AB">
            <w:pPr>
              <w:rPr>
                <w:rFonts w:cs="Arial"/>
                <w:iCs/>
                <w:color w:val="0D0D0D" w:themeColor="text1" w:themeTint="F2"/>
              </w:rPr>
            </w:pPr>
          </w:p>
        </w:tc>
      </w:tr>
      <w:tr w:rsidR="00E90790" w:rsidRPr="00E90790" w14:paraId="672A4526" w14:textId="77777777" w:rsidTr="00D862BD">
        <w:tc>
          <w:tcPr>
            <w:tcW w:w="3970" w:type="dxa"/>
            <w:tcBorders>
              <w:top w:val="single" w:sz="4" w:space="0" w:color="auto"/>
            </w:tcBorders>
          </w:tcPr>
          <w:p w14:paraId="1AC1A0DD"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7AD105CE" w14:textId="77777777" w:rsidR="00D862BD" w:rsidRPr="00E90790" w:rsidRDefault="00D862BD" w:rsidP="00C920AB">
            <w:pPr>
              <w:rPr>
                <w:rFonts w:cs="Arial"/>
                <w:b/>
                <w:bCs/>
                <w:iCs/>
                <w:color w:val="0D0D0D" w:themeColor="text1" w:themeTint="F2"/>
              </w:rPr>
            </w:pPr>
          </w:p>
          <w:p w14:paraId="1E268A10" w14:textId="4CF1FF03" w:rsidR="00267BDB" w:rsidRPr="00E90790" w:rsidRDefault="00267BDB" w:rsidP="00C920AB">
            <w:pPr>
              <w:rPr>
                <w:rFonts w:cs="Arial"/>
                <w:iCs/>
                <w:color w:val="0D0D0D" w:themeColor="text1" w:themeTint="F2"/>
              </w:rPr>
            </w:pPr>
            <w:r w:rsidRPr="00E90790">
              <w:rPr>
                <w:rFonts w:cs="Arial"/>
                <w:b/>
                <w:bCs/>
                <w:iCs/>
                <w:color w:val="0D0D0D" w:themeColor="text1" w:themeTint="F2"/>
              </w:rPr>
              <w:t>Early Years Learning Ecologies</w:t>
            </w:r>
            <w:r w:rsidRPr="00E90790">
              <w:rPr>
                <w:rFonts w:cs="Arial"/>
                <w:b/>
                <w:bCs/>
                <w:iCs/>
                <w:color w:val="0D0D0D" w:themeColor="text1" w:themeTint="F2"/>
              </w:rPr>
              <w:br/>
            </w:r>
          </w:p>
          <w:p w14:paraId="478B5A9C" w14:textId="3CA6C551" w:rsidR="00267BDB" w:rsidRPr="00E90790" w:rsidRDefault="00267BDB" w:rsidP="00C920AB">
            <w:pPr>
              <w:rPr>
                <w:rFonts w:cs="Arial"/>
                <w:iCs/>
                <w:color w:val="0D0D0D" w:themeColor="text1" w:themeTint="F2"/>
              </w:rPr>
            </w:pPr>
            <w:r w:rsidRPr="00E90790">
              <w:rPr>
                <w:rFonts w:cs="Arial"/>
                <w:iCs/>
                <w:color w:val="0D0D0D" w:themeColor="text1" w:themeTint="F2"/>
              </w:rPr>
              <w:lastRenderedPageBreak/>
              <w:t xml:space="preserve">In 2022 CESA Early Years advisors and academic partners (University of Melbourne) will further embed and sustain practice; and invite additional teachers to participate. </w:t>
            </w:r>
          </w:p>
          <w:p w14:paraId="481FE17F" w14:textId="77777777" w:rsidR="00267BDB" w:rsidRPr="00E90790" w:rsidRDefault="00267BDB" w:rsidP="00C920AB">
            <w:pPr>
              <w:ind w:left="317" w:hanging="317"/>
              <w:rPr>
                <w:rFonts w:cs="Arial"/>
                <w:iCs/>
                <w:color w:val="0D0D0D" w:themeColor="text1" w:themeTint="F2"/>
              </w:rPr>
            </w:pPr>
          </w:p>
          <w:p w14:paraId="3AD028CD" w14:textId="5E738A44" w:rsidR="00CC3313" w:rsidRPr="00E90790" w:rsidRDefault="00267BDB" w:rsidP="00C920AB">
            <w:pPr>
              <w:rPr>
                <w:rFonts w:cs="Arial"/>
                <w:iCs/>
                <w:color w:val="0D0D0D" w:themeColor="text1" w:themeTint="F2"/>
              </w:rPr>
            </w:pPr>
            <w:r w:rsidRPr="00E90790">
              <w:rPr>
                <w:rFonts w:cs="Arial"/>
                <w:iCs/>
                <w:color w:val="0D0D0D" w:themeColor="text1" w:themeTint="F2"/>
              </w:rPr>
              <w:t xml:space="preserve">Two professional learning sessions and accompanying coaching in 2022, will provoke educator thinking and high-quality practice to apply understandings of progress against the Achievement Standards of the Australian Curriculum. </w:t>
            </w:r>
          </w:p>
        </w:tc>
        <w:tc>
          <w:tcPr>
            <w:tcW w:w="1418" w:type="dxa"/>
            <w:tcBorders>
              <w:top w:val="single" w:sz="4" w:space="0" w:color="auto"/>
              <w:bottom w:val="single" w:sz="4" w:space="0" w:color="auto"/>
            </w:tcBorders>
          </w:tcPr>
          <w:p w14:paraId="75E66CF6" w14:textId="77777777" w:rsidR="00D862BD" w:rsidRPr="00E90790" w:rsidRDefault="00D862BD" w:rsidP="00C920AB">
            <w:pPr>
              <w:rPr>
                <w:rFonts w:cs="Arial"/>
                <w:iCs/>
                <w:color w:val="0D0D0D" w:themeColor="text1" w:themeTint="F2"/>
              </w:rPr>
            </w:pPr>
          </w:p>
          <w:p w14:paraId="5EBA245A" w14:textId="3FD8A95F" w:rsidR="00267BDB" w:rsidRPr="00E90790" w:rsidRDefault="00267BDB" w:rsidP="00C920AB">
            <w:pPr>
              <w:rPr>
                <w:rFonts w:cs="Arial"/>
                <w:iCs/>
                <w:color w:val="0D0D0D" w:themeColor="text1" w:themeTint="F2"/>
              </w:rPr>
            </w:pPr>
            <w:r w:rsidRPr="00E90790">
              <w:rPr>
                <w:rFonts w:cs="Arial"/>
                <w:iCs/>
                <w:color w:val="0D0D0D" w:themeColor="text1" w:themeTint="F2"/>
              </w:rPr>
              <w:t>$22,000</w:t>
            </w:r>
          </w:p>
          <w:p w14:paraId="26116F68" w14:textId="77777777" w:rsidR="00267BDB" w:rsidRPr="00E90790" w:rsidRDefault="00267BDB" w:rsidP="00C920AB">
            <w:pPr>
              <w:rPr>
                <w:rFonts w:cs="Arial"/>
                <w:iCs/>
                <w:color w:val="0D0D0D" w:themeColor="text1" w:themeTint="F2"/>
              </w:rPr>
            </w:pPr>
          </w:p>
        </w:tc>
        <w:tc>
          <w:tcPr>
            <w:tcW w:w="2551" w:type="dxa"/>
            <w:tcBorders>
              <w:top w:val="single" w:sz="4" w:space="0" w:color="auto"/>
              <w:bottom w:val="single" w:sz="4" w:space="0" w:color="auto"/>
            </w:tcBorders>
          </w:tcPr>
          <w:p w14:paraId="26336DAF" w14:textId="77777777" w:rsidR="00D862BD" w:rsidRPr="00E90790" w:rsidRDefault="00D862BD" w:rsidP="00D862BD">
            <w:pPr>
              <w:rPr>
                <w:rFonts w:cs="Arial"/>
                <w:iCs/>
                <w:color w:val="0D0D0D" w:themeColor="text1" w:themeTint="F2"/>
              </w:rPr>
            </w:pPr>
          </w:p>
          <w:p w14:paraId="05EBB30A" w14:textId="23EF1633"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13 Early Years teachers and approximately 325 </w:t>
            </w:r>
            <w:r w:rsidRPr="00E90790">
              <w:rPr>
                <w:rFonts w:cs="Arial"/>
                <w:iCs/>
                <w:color w:val="0D0D0D" w:themeColor="text1" w:themeTint="F2"/>
              </w:rPr>
              <w:lastRenderedPageBreak/>
              <w:t>children will participate.</w:t>
            </w:r>
          </w:p>
          <w:p w14:paraId="3E403A55" w14:textId="77777777" w:rsidR="00267BDB" w:rsidRPr="00E90790" w:rsidRDefault="00267BDB" w:rsidP="00C920AB">
            <w:pPr>
              <w:rPr>
                <w:rFonts w:cs="Arial"/>
                <w:iCs/>
                <w:color w:val="0D0D0D" w:themeColor="text1" w:themeTint="F2"/>
              </w:rPr>
            </w:pPr>
          </w:p>
          <w:p w14:paraId="2CE241D6" w14:textId="6F6E02BF"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2 professional learning days and pedagogical coaching will be provided by University of Melbourne.</w:t>
            </w:r>
          </w:p>
        </w:tc>
        <w:tc>
          <w:tcPr>
            <w:tcW w:w="3686" w:type="dxa"/>
            <w:tcBorders>
              <w:top w:val="single" w:sz="4" w:space="0" w:color="auto"/>
            </w:tcBorders>
          </w:tcPr>
          <w:p w14:paraId="7F046882" w14:textId="77777777" w:rsidR="00267BDB" w:rsidRPr="00E90790" w:rsidRDefault="00267BDB" w:rsidP="00C920AB">
            <w:pPr>
              <w:rPr>
                <w:rFonts w:cs="Arial"/>
                <w:iCs/>
                <w:color w:val="0D0D0D" w:themeColor="text1" w:themeTint="F2"/>
              </w:rPr>
            </w:pPr>
          </w:p>
        </w:tc>
      </w:tr>
      <w:tr w:rsidR="00E90790" w:rsidRPr="00E90790" w14:paraId="28DD03CA" w14:textId="77777777" w:rsidTr="00D862BD">
        <w:tc>
          <w:tcPr>
            <w:tcW w:w="3970" w:type="dxa"/>
            <w:tcBorders>
              <w:bottom w:val="single" w:sz="4" w:space="0" w:color="auto"/>
            </w:tcBorders>
          </w:tcPr>
          <w:p w14:paraId="6870DCF9"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48917B76" w14:textId="77777777" w:rsidR="00267BDB" w:rsidRPr="00E90790" w:rsidRDefault="00267BDB" w:rsidP="00C920AB">
            <w:pPr>
              <w:rPr>
                <w:rFonts w:cs="Arial"/>
                <w:b/>
                <w:bCs/>
                <w:iCs/>
                <w:color w:val="0D0D0D" w:themeColor="text1" w:themeTint="F2"/>
              </w:rPr>
            </w:pPr>
            <w:r w:rsidRPr="00E90790">
              <w:rPr>
                <w:rFonts w:cs="Arial"/>
                <w:b/>
                <w:bCs/>
                <w:iCs/>
                <w:color w:val="0D0D0D" w:themeColor="text1" w:themeTint="F2"/>
              </w:rPr>
              <w:t>LITERACY AND NUMERACY</w:t>
            </w:r>
          </w:p>
          <w:p w14:paraId="4CDA304C" w14:textId="616DB3A4" w:rsidR="00267BDB" w:rsidRPr="00E90790" w:rsidRDefault="00267BDB" w:rsidP="00C920AB">
            <w:pPr>
              <w:rPr>
                <w:rFonts w:cs="Arial"/>
                <w:b/>
                <w:bCs/>
                <w:iCs/>
                <w:color w:val="0D0D0D" w:themeColor="text1" w:themeTint="F2"/>
              </w:rPr>
            </w:pPr>
          </w:p>
        </w:tc>
        <w:tc>
          <w:tcPr>
            <w:tcW w:w="1418" w:type="dxa"/>
            <w:tcBorders>
              <w:bottom w:val="single" w:sz="4" w:space="0" w:color="auto"/>
            </w:tcBorders>
          </w:tcPr>
          <w:p w14:paraId="697BA667" w14:textId="77777777" w:rsidR="00267BDB" w:rsidRPr="00E90790" w:rsidRDefault="00267BDB" w:rsidP="00C920AB">
            <w:pPr>
              <w:rPr>
                <w:rFonts w:cs="Arial"/>
                <w:iCs/>
                <w:color w:val="0D0D0D" w:themeColor="text1" w:themeTint="F2"/>
              </w:rPr>
            </w:pPr>
          </w:p>
        </w:tc>
        <w:tc>
          <w:tcPr>
            <w:tcW w:w="2551" w:type="dxa"/>
            <w:tcBorders>
              <w:bottom w:val="single" w:sz="4" w:space="0" w:color="auto"/>
            </w:tcBorders>
          </w:tcPr>
          <w:p w14:paraId="47ABB29B" w14:textId="78E12D7B" w:rsidR="00267BDB" w:rsidRPr="00E90790" w:rsidRDefault="00267BDB" w:rsidP="00C920AB">
            <w:pPr>
              <w:rPr>
                <w:rFonts w:cs="Arial"/>
                <w:iCs/>
                <w:color w:val="0D0D0D" w:themeColor="text1" w:themeTint="F2"/>
                <w:highlight w:val="yellow"/>
              </w:rPr>
            </w:pPr>
          </w:p>
        </w:tc>
        <w:tc>
          <w:tcPr>
            <w:tcW w:w="3686" w:type="dxa"/>
            <w:tcBorders>
              <w:bottom w:val="single" w:sz="4" w:space="0" w:color="auto"/>
            </w:tcBorders>
          </w:tcPr>
          <w:p w14:paraId="20EFC172" w14:textId="77777777" w:rsidR="00267BDB" w:rsidRPr="00E90790" w:rsidRDefault="00267BDB" w:rsidP="00C920AB">
            <w:pPr>
              <w:rPr>
                <w:rFonts w:cs="Arial"/>
                <w:iCs/>
                <w:color w:val="0D0D0D" w:themeColor="text1" w:themeTint="F2"/>
              </w:rPr>
            </w:pPr>
          </w:p>
        </w:tc>
      </w:tr>
      <w:tr w:rsidR="00E90790" w:rsidRPr="00E90790" w14:paraId="605AB3C8" w14:textId="77777777" w:rsidTr="00D862BD">
        <w:tc>
          <w:tcPr>
            <w:tcW w:w="3970" w:type="dxa"/>
            <w:tcBorders>
              <w:top w:val="single" w:sz="4" w:space="0" w:color="auto"/>
              <w:bottom w:val="single" w:sz="4" w:space="0" w:color="auto"/>
            </w:tcBorders>
          </w:tcPr>
          <w:p w14:paraId="3203CB8F"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397645F1" w14:textId="77777777" w:rsidR="00D862BD" w:rsidRPr="00E90790" w:rsidRDefault="00D862BD" w:rsidP="00C920AB">
            <w:pPr>
              <w:rPr>
                <w:rFonts w:cs="Arial"/>
                <w:b/>
                <w:bCs/>
                <w:iCs/>
                <w:color w:val="0D0D0D" w:themeColor="text1" w:themeTint="F2"/>
              </w:rPr>
            </w:pPr>
          </w:p>
          <w:p w14:paraId="6D334BAD" w14:textId="248FBDEF" w:rsidR="00267BDB" w:rsidRPr="00E90790" w:rsidRDefault="00267BDB" w:rsidP="00C920AB">
            <w:pPr>
              <w:rPr>
                <w:rFonts w:cs="Arial"/>
                <w:b/>
                <w:bCs/>
                <w:iCs/>
                <w:color w:val="0D0D0D" w:themeColor="text1" w:themeTint="F2"/>
              </w:rPr>
            </w:pPr>
            <w:r w:rsidRPr="00E90790">
              <w:rPr>
                <w:rFonts w:cs="Arial"/>
                <w:b/>
                <w:bCs/>
                <w:iCs/>
                <w:color w:val="0D0D0D" w:themeColor="text1" w:themeTint="F2"/>
              </w:rPr>
              <w:t>Year 1 Phonics Screening Check (PSC)</w:t>
            </w:r>
          </w:p>
          <w:p w14:paraId="56A50A02" w14:textId="5B4124F2" w:rsidR="00267BDB" w:rsidRPr="00E90790" w:rsidRDefault="00267BDB" w:rsidP="00C920AB">
            <w:pPr>
              <w:rPr>
                <w:rFonts w:cs="Arial"/>
                <w:b/>
                <w:bCs/>
                <w:iCs/>
                <w:color w:val="0D0D0D" w:themeColor="text1" w:themeTint="F2"/>
              </w:rPr>
            </w:pPr>
            <w:r w:rsidRPr="00E90790">
              <w:rPr>
                <w:rFonts w:cs="Arial"/>
                <w:iCs/>
                <w:color w:val="0D0D0D" w:themeColor="text1" w:themeTint="F2"/>
              </w:rPr>
              <w:t>Year 1 Phonics Screening Check</w:t>
            </w:r>
            <w:r w:rsidRPr="00E90790">
              <w:rPr>
                <w:rFonts w:cs="Arial"/>
                <w:b/>
                <w:bCs/>
                <w:iCs/>
                <w:color w:val="0D0D0D" w:themeColor="text1" w:themeTint="F2"/>
              </w:rPr>
              <w:t xml:space="preserve"> </w:t>
            </w:r>
            <w:r w:rsidRPr="00E90790">
              <w:rPr>
                <w:rFonts w:cs="Arial"/>
                <w:iCs/>
                <w:color w:val="0D0D0D" w:themeColor="text1" w:themeTint="F2"/>
              </w:rPr>
              <w:t>was</w:t>
            </w:r>
          </w:p>
          <w:p w14:paraId="147DDF7F" w14:textId="2AEA60EB" w:rsidR="00267BDB" w:rsidRPr="00E90790" w:rsidRDefault="00267BDB" w:rsidP="00C920AB">
            <w:pPr>
              <w:rPr>
                <w:rFonts w:cs="Arial"/>
                <w:iCs/>
                <w:color w:val="0D0D0D" w:themeColor="text1" w:themeTint="F2"/>
              </w:rPr>
            </w:pPr>
            <w:r w:rsidRPr="00E90790">
              <w:rPr>
                <w:rFonts w:cs="Arial"/>
                <w:iCs/>
                <w:color w:val="0D0D0D" w:themeColor="text1" w:themeTint="F2"/>
              </w:rPr>
              <w:t xml:space="preserve">mandatory in all CESA schools in 2021. </w:t>
            </w:r>
          </w:p>
          <w:p w14:paraId="3BF3CCC6" w14:textId="77777777" w:rsidR="00267BDB" w:rsidRPr="00E90790" w:rsidRDefault="00267BDB" w:rsidP="00C920AB">
            <w:pPr>
              <w:rPr>
                <w:rFonts w:cs="Arial"/>
                <w:iCs/>
                <w:color w:val="0D0D0D" w:themeColor="text1" w:themeTint="F2"/>
              </w:rPr>
            </w:pPr>
          </w:p>
          <w:p w14:paraId="5598D2FD" w14:textId="32FF90EF" w:rsidR="00267BDB" w:rsidRPr="00E90790" w:rsidRDefault="00267BDB" w:rsidP="00C920AB">
            <w:pPr>
              <w:rPr>
                <w:rFonts w:cs="Arial"/>
                <w:iCs/>
                <w:color w:val="0D0D0D" w:themeColor="text1" w:themeTint="F2"/>
              </w:rPr>
            </w:pPr>
            <w:r w:rsidRPr="00E90790">
              <w:rPr>
                <w:rFonts w:cs="Arial"/>
                <w:iCs/>
                <w:color w:val="0D0D0D" w:themeColor="text1" w:themeTint="F2"/>
              </w:rPr>
              <w:t>In 2022 CESA will continue the consistent implementation of the PSC</w:t>
            </w:r>
            <w:r w:rsidRPr="00E90790">
              <w:rPr>
                <w:rFonts w:cs="Arial"/>
                <w:b/>
                <w:bCs/>
                <w:iCs/>
                <w:color w:val="0D0D0D" w:themeColor="text1" w:themeTint="F2"/>
              </w:rPr>
              <w:t xml:space="preserve"> </w:t>
            </w:r>
            <w:r w:rsidRPr="00E90790">
              <w:rPr>
                <w:rFonts w:cs="Arial"/>
                <w:iCs/>
                <w:color w:val="0D0D0D" w:themeColor="text1" w:themeTint="F2"/>
              </w:rPr>
              <w:t>by providing online training for all new Year 1 teachers. Support will be provided to schools for training, assessment and analysis of results.</w:t>
            </w:r>
          </w:p>
          <w:p w14:paraId="62E3189D" w14:textId="77777777" w:rsidR="00267BDB" w:rsidRPr="00E90790" w:rsidRDefault="00267BDB" w:rsidP="00C920AB">
            <w:pPr>
              <w:rPr>
                <w:rFonts w:cs="Arial"/>
                <w:iCs/>
                <w:color w:val="0D0D0D" w:themeColor="text1" w:themeTint="F2"/>
              </w:rPr>
            </w:pPr>
          </w:p>
          <w:p w14:paraId="3D341DAC" w14:textId="62A607F9" w:rsidR="00267BDB" w:rsidRPr="00E90790" w:rsidRDefault="00267BDB" w:rsidP="00C920AB">
            <w:pPr>
              <w:rPr>
                <w:rFonts w:cs="Arial"/>
                <w:iCs/>
                <w:color w:val="0D0D0D" w:themeColor="text1" w:themeTint="F2"/>
              </w:rPr>
            </w:pPr>
            <w:r w:rsidRPr="00E90790">
              <w:rPr>
                <w:rFonts w:cs="Arial"/>
                <w:iCs/>
                <w:color w:val="0D0D0D" w:themeColor="text1" w:themeTint="F2"/>
              </w:rPr>
              <w:t>An online Phonics training platform for new and existing teachers.</w:t>
            </w:r>
          </w:p>
        </w:tc>
        <w:tc>
          <w:tcPr>
            <w:tcW w:w="1418" w:type="dxa"/>
            <w:tcBorders>
              <w:top w:val="single" w:sz="4" w:space="0" w:color="auto"/>
              <w:bottom w:val="single" w:sz="4" w:space="0" w:color="auto"/>
            </w:tcBorders>
          </w:tcPr>
          <w:p w14:paraId="2B389C12" w14:textId="77777777" w:rsidR="00D862BD" w:rsidRPr="00E90790" w:rsidRDefault="00D862BD" w:rsidP="00C920AB">
            <w:pPr>
              <w:rPr>
                <w:rFonts w:cs="Arial"/>
                <w:iCs/>
                <w:color w:val="0D0D0D" w:themeColor="text1" w:themeTint="F2"/>
              </w:rPr>
            </w:pPr>
          </w:p>
          <w:p w14:paraId="136312C6" w14:textId="09660E20" w:rsidR="00267BDB" w:rsidRPr="00E90790" w:rsidRDefault="00267BDB" w:rsidP="00C920AB">
            <w:pPr>
              <w:rPr>
                <w:rFonts w:cs="Arial"/>
                <w:iCs/>
                <w:color w:val="0D0D0D" w:themeColor="text1" w:themeTint="F2"/>
              </w:rPr>
            </w:pPr>
            <w:r w:rsidRPr="00E90790">
              <w:rPr>
                <w:rFonts w:cs="Arial"/>
                <w:iCs/>
                <w:color w:val="0D0D0D" w:themeColor="text1" w:themeTint="F2"/>
              </w:rPr>
              <w:t>$75,000</w:t>
            </w:r>
          </w:p>
          <w:p w14:paraId="5AD3EDC0" w14:textId="77777777" w:rsidR="00267BDB" w:rsidRPr="00E90790" w:rsidRDefault="00267BDB" w:rsidP="00C920AB">
            <w:pPr>
              <w:rPr>
                <w:rFonts w:cs="Arial"/>
                <w:iCs/>
                <w:color w:val="0D0D0D" w:themeColor="text1" w:themeTint="F2"/>
              </w:rPr>
            </w:pPr>
          </w:p>
        </w:tc>
        <w:tc>
          <w:tcPr>
            <w:tcW w:w="2551" w:type="dxa"/>
            <w:tcBorders>
              <w:top w:val="single" w:sz="4" w:space="0" w:color="auto"/>
              <w:bottom w:val="single" w:sz="4" w:space="0" w:color="auto"/>
            </w:tcBorders>
          </w:tcPr>
          <w:p w14:paraId="5B50481E" w14:textId="77777777" w:rsidR="00D862BD" w:rsidRPr="00E90790" w:rsidRDefault="00D862BD" w:rsidP="00D862BD">
            <w:pPr>
              <w:rPr>
                <w:rFonts w:cs="Arial"/>
                <w:iCs/>
                <w:color w:val="0D0D0D" w:themeColor="text1" w:themeTint="F2"/>
              </w:rPr>
            </w:pPr>
          </w:p>
          <w:p w14:paraId="2BAF8002" w14:textId="35C82C1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Online training for approximately 220 teachers from 91 schools involving  approximately 3,500 students.</w:t>
            </w:r>
            <w:r w:rsidRPr="00E90790">
              <w:rPr>
                <w:rFonts w:cs="Arial"/>
                <w:iCs/>
                <w:color w:val="0D0D0D" w:themeColor="text1" w:themeTint="F2"/>
              </w:rPr>
              <w:br/>
            </w:r>
          </w:p>
          <w:p w14:paraId="06CE92DD" w14:textId="56DA7263"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Extended online training offered to new teachers / Leaders of Learning.</w:t>
            </w:r>
          </w:p>
          <w:p w14:paraId="3DE4DC5C" w14:textId="77777777" w:rsidR="00267BDB" w:rsidRPr="00E90790" w:rsidRDefault="00267BDB" w:rsidP="00C920AB">
            <w:pPr>
              <w:rPr>
                <w:rFonts w:cs="Arial"/>
                <w:iCs/>
                <w:color w:val="0D0D0D" w:themeColor="text1" w:themeTint="F2"/>
              </w:rPr>
            </w:pPr>
          </w:p>
          <w:p w14:paraId="37716008" w14:textId="035EFA88"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lastRenderedPageBreak/>
              <w:t>Creation of an online Phonics Screening Check commenced.</w:t>
            </w:r>
          </w:p>
        </w:tc>
        <w:tc>
          <w:tcPr>
            <w:tcW w:w="3686" w:type="dxa"/>
            <w:tcBorders>
              <w:top w:val="single" w:sz="4" w:space="0" w:color="auto"/>
              <w:bottom w:val="single" w:sz="4" w:space="0" w:color="auto"/>
            </w:tcBorders>
          </w:tcPr>
          <w:p w14:paraId="137DE8DA" w14:textId="77777777" w:rsidR="00267BDB" w:rsidRPr="00E90790" w:rsidRDefault="00267BDB" w:rsidP="00C920AB">
            <w:pPr>
              <w:rPr>
                <w:rFonts w:cs="Arial"/>
                <w:iCs/>
                <w:color w:val="0D0D0D" w:themeColor="text1" w:themeTint="F2"/>
              </w:rPr>
            </w:pPr>
          </w:p>
        </w:tc>
      </w:tr>
      <w:tr w:rsidR="00E90790" w:rsidRPr="00E90790" w14:paraId="693721A3" w14:textId="77777777" w:rsidTr="00D862BD">
        <w:tc>
          <w:tcPr>
            <w:tcW w:w="3970" w:type="dxa"/>
            <w:tcBorders>
              <w:top w:val="single" w:sz="4" w:space="0" w:color="auto"/>
              <w:bottom w:val="single" w:sz="4" w:space="0" w:color="auto"/>
            </w:tcBorders>
          </w:tcPr>
          <w:p w14:paraId="2219FC5A"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799AC414" w14:textId="77777777" w:rsidR="00D862BD" w:rsidRPr="00E90790" w:rsidRDefault="00D862BD" w:rsidP="00C920AB">
            <w:pPr>
              <w:rPr>
                <w:rFonts w:cs="Arial"/>
                <w:b/>
                <w:bCs/>
                <w:iCs/>
                <w:color w:val="0D0D0D" w:themeColor="text1" w:themeTint="F2"/>
              </w:rPr>
            </w:pPr>
          </w:p>
          <w:p w14:paraId="24F7BC1C" w14:textId="2CF978C4" w:rsidR="00267BDB" w:rsidRPr="00E90790" w:rsidRDefault="00267BDB" w:rsidP="00C920AB">
            <w:pPr>
              <w:rPr>
                <w:rFonts w:cs="Arial"/>
                <w:b/>
                <w:bCs/>
                <w:iCs/>
                <w:color w:val="0D0D0D" w:themeColor="text1" w:themeTint="F2"/>
              </w:rPr>
            </w:pPr>
            <w:r w:rsidRPr="00E90790">
              <w:rPr>
                <w:rFonts w:cs="Arial"/>
                <w:b/>
                <w:bCs/>
                <w:iCs/>
                <w:color w:val="0D0D0D" w:themeColor="text1" w:themeTint="F2"/>
              </w:rPr>
              <w:t>Literacy and Numeracy Strategy Ongoing Implementation</w:t>
            </w:r>
          </w:p>
          <w:p w14:paraId="22F45AB6" w14:textId="01F98DA3" w:rsidR="00267BDB" w:rsidRPr="00E90790" w:rsidRDefault="00267BDB" w:rsidP="00C920AB">
            <w:pPr>
              <w:rPr>
                <w:rFonts w:cs="Arial"/>
                <w:iCs/>
                <w:color w:val="0D0D0D" w:themeColor="text1" w:themeTint="F2"/>
              </w:rPr>
            </w:pPr>
            <w:r w:rsidRPr="00E90790">
              <w:rPr>
                <w:rFonts w:cs="Arial"/>
                <w:iCs/>
                <w:color w:val="0D0D0D" w:themeColor="text1" w:themeTint="F2"/>
              </w:rPr>
              <w:t xml:space="preserve">Flinders University will lead the ongoing development and implementation of the new </w:t>
            </w:r>
            <w:proofErr w:type="spellStart"/>
            <w:r w:rsidRPr="00E90790">
              <w:rPr>
                <w:rFonts w:cs="Arial"/>
                <w:iCs/>
                <w:color w:val="0D0D0D" w:themeColor="text1" w:themeTint="F2"/>
              </w:rPr>
              <w:t>LaN</w:t>
            </w:r>
            <w:proofErr w:type="spellEnd"/>
            <w:r w:rsidRPr="00E90790">
              <w:rPr>
                <w:rFonts w:cs="Arial"/>
                <w:iCs/>
                <w:color w:val="0D0D0D" w:themeColor="text1" w:themeTint="F2"/>
              </w:rPr>
              <w:t xml:space="preserve"> strategy which is based on work undertaken in past two years. The new </w:t>
            </w:r>
            <w:proofErr w:type="spellStart"/>
            <w:r w:rsidRPr="00E90790">
              <w:rPr>
                <w:rFonts w:cs="Arial"/>
                <w:iCs/>
                <w:color w:val="0D0D0D" w:themeColor="text1" w:themeTint="F2"/>
              </w:rPr>
              <w:t>LaN</w:t>
            </w:r>
            <w:proofErr w:type="spellEnd"/>
            <w:r w:rsidRPr="00E90790">
              <w:rPr>
                <w:rFonts w:cs="Arial"/>
                <w:iCs/>
                <w:color w:val="0D0D0D" w:themeColor="text1" w:themeTint="F2"/>
              </w:rPr>
              <w:t xml:space="preserve"> strategy will align with the revised Australian Curriculum and the SA Certificate of Education.</w:t>
            </w:r>
            <w:r w:rsidRPr="00E90790">
              <w:rPr>
                <w:rFonts w:cs="Arial"/>
                <w:iCs/>
                <w:noProof/>
                <w:color w:val="0D0D0D" w:themeColor="text1" w:themeTint="F2"/>
              </w:rPr>
              <w:t xml:space="preserve"> </w:t>
            </w:r>
          </w:p>
          <w:p w14:paraId="59F2CD67" w14:textId="10CEE284" w:rsidR="00267BDB" w:rsidRPr="00E90790" w:rsidRDefault="00267BDB" w:rsidP="00C920AB">
            <w:pPr>
              <w:rPr>
                <w:rFonts w:cs="Arial"/>
                <w:iCs/>
                <w:color w:val="0D0D0D" w:themeColor="text1" w:themeTint="F2"/>
              </w:rPr>
            </w:pPr>
          </w:p>
        </w:tc>
        <w:tc>
          <w:tcPr>
            <w:tcW w:w="1418" w:type="dxa"/>
            <w:tcBorders>
              <w:top w:val="single" w:sz="4" w:space="0" w:color="auto"/>
              <w:bottom w:val="single" w:sz="4" w:space="0" w:color="auto"/>
            </w:tcBorders>
          </w:tcPr>
          <w:p w14:paraId="45573E80" w14:textId="77777777" w:rsidR="00D862BD" w:rsidRPr="00E90790" w:rsidRDefault="00D862BD" w:rsidP="00C920AB">
            <w:pPr>
              <w:rPr>
                <w:rFonts w:cs="Arial"/>
                <w:iCs/>
                <w:color w:val="0D0D0D" w:themeColor="text1" w:themeTint="F2"/>
              </w:rPr>
            </w:pPr>
          </w:p>
          <w:p w14:paraId="52BED7E9" w14:textId="41611B0B" w:rsidR="00267BDB" w:rsidRPr="00E90790" w:rsidRDefault="00267BDB" w:rsidP="00C920AB">
            <w:pPr>
              <w:rPr>
                <w:rFonts w:cs="Arial"/>
                <w:iCs/>
                <w:color w:val="0D0D0D" w:themeColor="text1" w:themeTint="F2"/>
              </w:rPr>
            </w:pPr>
            <w:r w:rsidRPr="00E90790">
              <w:rPr>
                <w:rFonts w:cs="Arial"/>
                <w:iCs/>
                <w:color w:val="0D0D0D" w:themeColor="text1" w:themeTint="F2"/>
              </w:rPr>
              <w:t>$41,000</w:t>
            </w:r>
          </w:p>
        </w:tc>
        <w:tc>
          <w:tcPr>
            <w:tcW w:w="2551" w:type="dxa"/>
            <w:tcBorders>
              <w:top w:val="single" w:sz="4" w:space="0" w:color="auto"/>
              <w:bottom w:val="single" w:sz="4" w:space="0" w:color="auto"/>
            </w:tcBorders>
          </w:tcPr>
          <w:p w14:paraId="544944BB" w14:textId="77777777" w:rsidR="00D862BD" w:rsidRPr="00E90790" w:rsidRDefault="00D862BD" w:rsidP="00D862BD">
            <w:pPr>
              <w:rPr>
                <w:rFonts w:cs="Arial"/>
                <w:iCs/>
                <w:color w:val="0D0D0D" w:themeColor="text1" w:themeTint="F2"/>
              </w:rPr>
            </w:pPr>
          </w:p>
          <w:p w14:paraId="7E6DEA45" w14:textId="3F05959C" w:rsidR="00267BDB" w:rsidRPr="00E90790" w:rsidRDefault="00267BDB" w:rsidP="00C920AB">
            <w:pPr>
              <w:pStyle w:val="ListParagraph"/>
              <w:numPr>
                <w:ilvl w:val="0"/>
                <w:numId w:val="32"/>
              </w:numPr>
              <w:ind w:left="316" w:hanging="316"/>
              <w:rPr>
                <w:rFonts w:cs="Arial"/>
                <w:iCs/>
                <w:color w:val="0D0D0D" w:themeColor="text1" w:themeTint="F2"/>
              </w:rPr>
            </w:pPr>
            <w:proofErr w:type="spellStart"/>
            <w:r w:rsidRPr="00E90790">
              <w:rPr>
                <w:rFonts w:cs="Arial"/>
                <w:iCs/>
                <w:color w:val="0D0D0D" w:themeColor="text1" w:themeTint="F2"/>
              </w:rPr>
              <w:t>LaN</w:t>
            </w:r>
            <w:proofErr w:type="spellEnd"/>
            <w:r w:rsidRPr="00E90790">
              <w:rPr>
                <w:rFonts w:cs="Arial"/>
                <w:iCs/>
                <w:color w:val="0D0D0D" w:themeColor="text1" w:themeTint="F2"/>
              </w:rPr>
              <w:t xml:space="preserve"> Strategy completed and implemented across the sector.</w:t>
            </w:r>
          </w:p>
        </w:tc>
        <w:tc>
          <w:tcPr>
            <w:tcW w:w="3686" w:type="dxa"/>
            <w:tcBorders>
              <w:top w:val="single" w:sz="4" w:space="0" w:color="auto"/>
              <w:bottom w:val="single" w:sz="4" w:space="0" w:color="auto"/>
            </w:tcBorders>
          </w:tcPr>
          <w:p w14:paraId="59C15718" w14:textId="77777777" w:rsidR="00267BDB" w:rsidRPr="00E90790" w:rsidRDefault="00267BDB" w:rsidP="00C920AB">
            <w:pPr>
              <w:rPr>
                <w:rFonts w:cs="Arial"/>
                <w:iCs/>
                <w:color w:val="0D0D0D" w:themeColor="text1" w:themeTint="F2"/>
              </w:rPr>
            </w:pPr>
          </w:p>
        </w:tc>
      </w:tr>
      <w:tr w:rsidR="00E90790" w:rsidRPr="00E90790" w14:paraId="04035FAE" w14:textId="77777777" w:rsidTr="00D862BD">
        <w:tc>
          <w:tcPr>
            <w:tcW w:w="3970" w:type="dxa"/>
            <w:tcBorders>
              <w:top w:val="single" w:sz="4" w:space="0" w:color="auto"/>
              <w:bottom w:val="single" w:sz="4" w:space="0" w:color="auto"/>
            </w:tcBorders>
          </w:tcPr>
          <w:p w14:paraId="6C847BF6"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6F5B2D6B" w14:textId="77777777" w:rsidR="00D862BD" w:rsidRPr="00E90790" w:rsidRDefault="00D862BD" w:rsidP="00C920AB">
            <w:pPr>
              <w:rPr>
                <w:rFonts w:cs="Arial"/>
                <w:b/>
                <w:bCs/>
                <w:iCs/>
                <w:color w:val="0D0D0D" w:themeColor="text1" w:themeTint="F2"/>
              </w:rPr>
            </w:pPr>
          </w:p>
          <w:p w14:paraId="7873F825" w14:textId="77777777" w:rsidR="00D862BD" w:rsidRPr="00E90790" w:rsidRDefault="00D862BD" w:rsidP="00C920AB">
            <w:pPr>
              <w:rPr>
                <w:rFonts w:cs="Arial"/>
                <w:b/>
                <w:bCs/>
                <w:iCs/>
                <w:color w:val="0D0D0D" w:themeColor="text1" w:themeTint="F2"/>
              </w:rPr>
            </w:pPr>
          </w:p>
          <w:p w14:paraId="0ADB35B4" w14:textId="781C8053" w:rsidR="00267BDB" w:rsidRPr="00E90790" w:rsidRDefault="00267BDB" w:rsidP="00C920AB">
            <w:pPr>
              <w:rPr>
                <w:rFonts w:cs="Arial"/>
                <w:i/>
                <w:color w:val="0D0D0D" w:themeColor="text1" w:themeTint="F2"/>
              </w:rPr>
            </w:pPr>
            <w:r w:rsidRPr="00E90790">
              <w:rPr>
                <w:rFonts w:cs="Arial"/>
                <w:b/>
                <w:bCs/>
                <w:iCs/>
                <w:color w:val="0D0D0D" w:themeColor="text1" w:themeTint="F2"/>
              </w:rPr>
              <w:t>Early Years Literacy and Numeracy Strategy Development</w:t>
            </w:r>
            <w:r w:rsidRPr="00E90790">
              <w:rPr>
                <w:rFonts w:cs="Arial"/>
                <w:b/>
                <w:bCs/>
                <w:iCs/>
                <w:color w:val="0D0D0D" w:themeColor="text1" w:themeTint="F2"/>
              </w:rPr>
              <w:br/>
            </w:r>
          </w:p>
          <w:p w14:paraId="3194841B" w14:textId="253C5607" w:rsidR="00267BDB" w:rsidRPr="00E90790" w:rsidRDefault="00267BDB" w:rsidP="00C920AB">
            <w:pPr>
              <w:rPr>
                <w:rFonts w:cs="Arial"/>
                <w:iCs/>
                <w:color w:val="0D0D0D" w:themeColor="text1" w:themeTint="F2"/>
              </w:rPr>
            </w:pPr>
            <w:r w:rsidRPr="00E90790">
              <w:rPr>
                <w:rFonts w:cs="Arial"/>
                <w:iCs/>
                <w:color w:val="0D0D0D" w:themeColor="text1" w:themeTint="F2"/>
              </w:rPr>
              <w:t>The</w:t>
            </w:r>
            <w:r w:rsidRPr="00E90790">
              <w:rPr>
                <w:rFonts w:cs="Arial"/>
                <w:i/>
                <w:color w:val="0D0D0D" w:themeColor="text1" w:themeTint="F2"/>
              </w:rPr>
              <w:t xml:space="preserve"> Professional Learning System Improvement Strategy (PLSIS) </w:t>
            </w:r>
            <w:r w:rsidRPr="00E90790">
              <w:rPr>
                <w:rFonts w:cs="Arial"/>
                <w:iCs/>
                <w:color w:val="0D0D0D" w:themeColor="text1" w:themeTint="F2"/>
              </w:rPr>
              <w:t>which is a 2-tier professional learning strategy that impacts children’s literacy outcomes will be delivered. It includes two strands – a Leadership Strand and a Teacher Strand.</w:t>
            </w:r>
          </w:p>
        </w:tc>
        <w:tc>
          <w:tcPr>
            <w:tcW w:w="1418" w:type="dxa"/>
            <w:tcBorders>
              <w:top w:val="single" w:sz="4" w:space="0" w:color="auto"/>
              <w:bottom w:val="single" w:sz="4" w:space="0" w:color="auto"/>
            </w:tcBorders>
          </w:tcPr>
          <w:p w14:paraId="11C4D27D" w14:textId="77777777" w:rsidR="00D862BD" w:rsidRPr="00E90790" w:rsidRDefault="00D862BD" w:rsidP="00C920AB">
            <w:pPr>
              <w:rPr>
                <w:rFonts w:cs="Arial"/>
                <w:iCs/>
                <w:color w:val="0D0D0D" w:themeColor="text1" w:themeTint="F2"/>
              </w:rPr>
            </w:pPr>
          </w:p>
          <w:p w14:paraId="2F76B578" w14:textId="77777777" w:rsidR="00D862BD" w:rsidRPr="00E90790" w:rsidRDefault="00D862BD" w:rsidP="00C920AB">
            <w:pPr>
              <w:rPr>
                <w:rFonts w:cs="Arial"/>
                <w:iCs/>
                <w:color w:val="0D0D0D" w:themeColor="text1" w:themeTint="F2"/>
              </w:rPr>
            </w:pPr>
          </w:p>
          <w:p w14:paraId="030515AB" w14:textId="1AF12074" w:rsidR="00267BDB" w:rsidRPr="00E90790" w:rsidRDefault="00267BDB" w:rsidP="00C920AB">
            <w:pPr>
              <w:rPr>
                <w:rFonts w:cs="Arial"/>
                <w:iCs/>
                <w:color w:val="0D0D0D" w:themeColor="text1" w:themeTint="F2"/>
              </w:rPr>
            </w:pPr>
            <w:r w:rsidRPr="00E90790">
              <w:rPr>
                <w:rFonts w:cs="Arial"/>
                <w:iCs/>
                <w:color w:val="0D0D0D" w:themeColor="text1" w:themeTint="F2"/>
              </w:rPr>
              <w:t>$70,000</w:t>
            </w:r>
          </w:p>
          <w:p w14:paraId="299CBD7A" w14:textId="0783D053" w:rsidR="00267BDB" w:rsidRPr="00E90790" w:rsidRDefault="00267BDB" w:rsidP="00C920AB">
            <w:pPr>
              <w:rPr>
                <w:rFonts w:cs="Arial"/>
                <w:iCs/>
                <w:color w:val="0D0D0D" w:themeColor="text1" w:themeTint="F2"/>
              </w:rPr>
            </w:pPr>
          </w:p>
        </w:tc>
        <w:tc>
          <w:tcPr>
            <w:tcW w:w="2551" w:type="dxa"/>
            <w:tcBorders>
              <w:top w:val="single" w:sz="4" w:space="0" w:color="auto"/>
              <w:bottom w:val="single" w:sz="4" w:space="0" w:color="auto"/>
            </w:tcBorders>
          </w:tcPr>
          <w:p w14:paraId="22314A44" w14:textId="77777777" w:rsidR="00D862BD" w:rsidRPr="00E90790" w:rsidRDefault="00D862BD" w:rsidP="00C920AB">
            <w:pPr>
              <w:numPr>
                <w:ilvl w:val="0"/>
                <w:numId w:val="9"/>
              </w:numPr>
              <w:rPr>
                <w:rFonts w:cs="Arial"/>
                <w:iCs/>
                <w:color w:val="0D0D0D" w:themeColor="text1" w:themeTint="F2"/>
              </w:rPr>
            </w:pPr>
          </w:p>
          <w:p w14:paraId="4C0FF32F" w14:textId="77777777" w:rsidR="00D862BD" w:rsidRPr="00E90790" w:rsidRDefault="00D862BD" w:rsidP="00D862BD">
            <w:pPr>
              <w:rPr>
                <w:rFonts w:cs="Arial"/>
                <w:iCs/>
                <w:color w:val="0D0D0D" w:themeColor="text1" w:themeTint="F2"/>
              </w:rPr>
            </w:pPr>
          </w:p>
          <w:p w14:paraId="625E3DB4" w14:textId="57FAD025"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5 professional learning days for up to 50 teachers.</w:t>
            </w:r>
            <w:r w:rsidRPr="00E90790">
              <w:rPr>
                <w:rFonts w:cs="Arial"/>
                <w:iCs/>
                <w:color w:val="0D0D0D" w:themeColor="text1" w:themeTint="F2"/>
              </w:rPr>
              <w:br/>
            </w:r>
          </w:p>
          <w:p w14:paraId="54721D0C" w14:textId="2AB68C53"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Coaching provided in regions by System Literacy Coaches.</w:t>
            </w:r>
            <w:r w:rsidRPr="00E90790">
              <w:rPr>
                <w:rFonts w:cs="Arial"/>
                <w:iCs/>
                <w:color w:val="0D0D0D" w:themeColor="text1" w:themeTint="F2"/>
              </w:rPr>
              <w:br/>
            </w:r>
          </w:p>
          <w:p w14:paraId="7D1DB79A" w14:textId="44522821"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Measurable improvement in PAT-R, PSC and NAPLAN achievement.</w:t>
            </w:r>
            <w:r w:rsidRPr="00E90790">
              <w:rPr>
                <w:rFonts w:cs="Arial"/>
                <w:iCs/>
                <w:color w:val="0D0D0D" w:themeColor="text1" w:themeTint="F2"/>
              </w:rPr>
              <w:br/>
            </w:r>
          </w:p>
        </w:tc>
        <w:tc>
          <w:tcPr>
            <w:tcW w:w="3686" w:type="dxa"/>
            <w:tcBorders>
              <w:top w:val="single" w:sz="4" w:space="0" w:color="auto"/>
              <w:bottom w:val="single" w:sz="4" w:space="0" w:color="auto"/>
            </w:tcBorders>
          </w:tcPr>
          <w:p w14:paraId="04894081" w14:textId="77777777" w:rsidR="00267BDB" w:rsidRPr="00E90790" w:rsidRDefault="00267BDB" w:rsidP="00C920AB">
            <w:pPr>
              <w:rPr>
                <w:rFonts w:cs="Arial"/>
                <w:iCs/>
                <w:color w:val="0D0D0D" w:themeColor="text1" w:themeTint="F2"/>
              </w:rPr>
            </w:pPr>
          </w:p>
          <w:p w14:paraId="5A29AC33" w14:textId="77777777" w:rsidR="000B68B5" w:rsidRPr="00E90790" w:rsidRDefault="000B68B5" w:rsidP="00C920AB">
            <w:pPr>
              <w:rPr>
                <w:rFonts w:cs="Arial"/>
                <w:iCs/>
                <w:color w:val="0D0D0D" w:themeColor="text1" w:themeTint="F2"/>
              </w:rPr>
            </w:pPr>
          </w:p>
          <w:p w14:paraId="6141FF4F" w14:textId="77777777" w:rsidR="000B68B5" w:rsidRPr="00E90790" w:rsidRDefault="000B68B5" w:rsidP="00C920AB">
            <w:pPr>
              <w:rPr>
                <w:rFonts w:cs="Arial"/>
                <w:iCs/>
                <w:color w:val="0D0D0D" w:themeColor="text1" w:themeTint="F2"/>
              </w:rPr>
            </w:pPr>
          </w:p>
          <w:p w14:paraId="741CC900" w14:textId="77777777" w:rsidR="000B68B5" w:rsidRPr="00E90790" w:rsidRDefault="000B68B5" w:rsidP="00C920AB">
            <w:pPr>
              <w:rPr>
                <w:rFonts w:cs="Arial"/>
                <w:iCs/>
                <w:color w:val="0D0D0D" w:themeColor="text1" w:themeTint="F2"/>
              </w:rPr>
            </w:pPr>
          </w:p>
          <w:p w14:paraId="3DBB59D9" w14:textId="77777777" w:rsidR="000B68B5" w:rsidRPr="00E90790" w:rsidRDefault="000B68B5" w:rsidP="00C920AB">
            <w:pPr>
              <w:rPr>
                <w:rFonts w:cs="Arial"/>
                <w:iCs/>
                <w:color w:val="0D0D0D" w:themeColor="text1" w:themeTint="F2"/>
              </w:rPr>
            </w:pPr>
          </w:p>
          <w:p w14:paraId="6780325A" w14:textId="77777777" w:rsidR="000B68B5" w:rsidRPr="00E90790" w:rsidRDefault="000B68B5" w:rsidP="00C920AB">
            <w:pPr>
              <w:rPr>
                <w:rFonts w:cs="Arial"/>
                <w:iCs/>
                <w:color w:val="0D0D0D" w:themeColor="text1" w:themeTint="F2"/>
              </w:rPr>
            </w:pPr>
          </w:p>
          <w:p w14:paraId="15102209" w14:textId="77777777" w:rsidR="000B68B5" w:rsidRPr="00E90790" w:rsidRDefault="000B68B5" w:rsidP="00C920AB">
            <w:pPr>
              <w:rPr>
                <w:rFonts w:cs="Arial"/>
                <w:iCs/>
                <w:color w:val="0D0D0D" w:themeColor="text1" w:themeTint="F2"/>
              </w:rPr>
            </w:pPr>
          </w:p>
          <w:p w14:paraId="58F27AFA" w14:textId="77777777" w:rsidR="000B68B5" w:rsidRPr="00E90790" w:rsidRDefault="000B68B5" w:rsidP="00C920AB">
            <w:pPr>
              <w:rPr>
                <w:rFonts w:cs="Arial"/>
                <w:iCs/>
                <w:color w:val="0D0D0D" w:themeColor="text1" w:themeTint="F2"/>
              </w:rPr>
            </w:pPr>
          </w:p>
          <w:p w14:paraId="54DADDE7" w14:textId="77777777" w:rsidR="000B68B5" w:rsidRPr="00E90790" w:rsidRDefault="000B68B5" w:rsidP="00C920AB">
            <w:pPr>
              <w:rPr>
                <w:rFonts w:cs="Arial"/>
                <w:iCs/>
                <w:color w:val="0D0D0D" w:themeColor="text1" w:themeTint="F2"/>
              </w:rPr>
            </w:pPr>
          </w:p>
          <w:p w14:paraId="1F3242BA" w14:textId="77777777" w:rsidR="000B68B5" w:rsidRPr="00E90790" w:rsidRDefault="000B68B5" w:rsidP="00C920AB">
            <w:pPr>
              <w:rPr>
                <w:rFonts w:cs="Arial"/>
                <w:iCs/>
                <w:color w:val="0D0D0D" w:themeColor="text1" w:themeTint="F2"/>
              </w:rPr>
            </w:pPr>
          </w:p>
          <w:p w14:paraId="5A73E17D" w14:textId="77777777" w:rsidR="000B68B5" w:rsidRPr="00E90790" w:rsidRDefault="000B68B5" w:rsidP="00C920AB">
            <w:pPr>
              <w:rPr>
                <w:rFonts w:cs="Arial"/>
                <w:iCs/>
                <w:color w:val="0D0D0D" w:themeColor="text1" w:themeTint="F2"/>
              </w:rPr>
            </w:pPr>
          </w:p>
          <w:p w14:paraId="19BD10C8" w14:textId="77777777" w:rsidR="000B68B5" w:rsidRPr="00E90790" w:rsidRDefault="000B68B5" w:rsidP="00C920AB">
            <w:pPr>
              <w:rPr>
                <w:rFonts w:cs="Arial"/>
                <w:iCs/>
                <w:color w:val="0D0D0D" w:themeColor="text1" w:themeTint="F2"/>
              </w:rPr>
            </w:pPr>
          </w:p>
          <w:p w14:paraId="0CF98C62" w14:textId="77777777" w:rsidR="000B68B5" w:rsidRPr="00E90790" w:rsidRDefault="000B68B5" w:rsidP="00C920AB">
            <w:pPr>
              <w:rPr>
                <w:rFonts w:cs="Arial"/>
                <w:iCs/>
                <w:color w:val="0D0D0D" w:themeColor="text1" w:themeTint="F2"/>
              </w:rPr>
            </w:pPr>
          </w:p>
          <w:p w14:paraId="674A198E" w14:textId="77777777" w:rsidR="000B68B5" w:rsidRPr="00E90790" w:rsidRDefault="000B68B5" w:rsidP="00C920AB">
            <w:pPr>
              <w:rPr>
                <w:rFonts w:cs="Arial"/>
                <w:iCs/>
                <w:color w:val="0D0D0D" w:themeColor="text1" w:themeTint="F2"/>
              </w:rPr>
            </w:pPr>
          </w:p>
          <w:p w14:paraId="7C79005A" w14:textId="77777777" w:rsidR="000B68B5" w:rsidRPr="00E90790" w:rsidRDefault="000B68B5" w:rsidP="00C920AB">
            <w:pPr>
              <w:rPr>
                <w:rFonts w:cs="Arial"/>
                <w:iCs/>
                <w:color w:val="0D0D0D" w:themeColor="text1" w:themeTint="F2"/>
              </w:rPr>
            </w:pPr>
          </w:p>
          <w:p w14:paraId="78197751" w14:textId="20C33946" w:rsidR="000B68B5" w:rsidRPr="00E90790" w:rsidRDefault="000B68B5" w:rsidP="00C920AB">
            <w:pPr>
              <w:rPr>
                <w:rFonts w:cs="Arial"/>
                <w:iCs/>
                <w:color w:val="0D0D0D" w:themeColor="text1" w:themeTint="F2"/>
              </w:rPr>
            </w:pPr>
          </w:p>
        </w:tc>
      </w:tr>
      <w:tr w:rsidR="00E90790" w:rsidRPr="00E90790" w14:paraId="02B56DF7" w14:textId="77777777" w:rsidTr="00D862BD">
        <w:tc>
          <w:tcPr>
            <w:tcW w:w="3970" w:type="dxa"/>
            <w:tcBorders>
              <w:top w:val="single" w:sz="4" w:space="0" w:color="auto"/>
            </w:tcBorders>
          </w:tcPr>
          <w:p w14:paraId="06A83DF2"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68D257E5" w14:textId="77777777" w:rsidR="00D862BD" w:rsidRPr="00E90790" w:rsidRDefault="00D862BD" w:rsidP="00C920AB">
            <w:pPr>
              <w:rPr>
                <w:rFonts w:cs="Arial"/>
                <w:b/>
                <w:bCs/>
                <w:iCs/>
                <w:color w:val="0D0D0D" w:themeColor="text1" w:themeTint="F2"/>
              </w:rPr>
            </w:pPr>
          </w:p>
          <w:p w14:paraId="453D3C95" w14:textId="1403975C" w:rsidR="00267BDB" w:rsidRPr="00E90790" w:rsidRDefault="00267BDB" w:rsidP="00C920AB">
            <w:pPr>
              <w:rPr>
                <w:rFonts w:cs="Arial"/>
                <w:b/>
                <w:bCs/>
                <w:iCs/>
                <w:color w:val="0D0D0D" w:themeColor="text1" w:themeTint="F2"/>
              </w:rPr>
            </w:pPr>
            <w:r w:rsidRPr="00E90790">
              <w:rPr>
                <w:rFonts w:cs="Arial"/>
                <w:b/>
                <w:bCs/>
                <w:iCs/>
                <w:color w:val="0D0D0D" w:themeColor="text1" w:themeTint="F2"/>
              </w:rPr>
              <w:t>NAPLAN Online Delivery</w:t>
            </w:r>
          </w:p>
          <w:p w14:paraId="12AE040F" w14:textId="77777777" w:rsidR="00267BDB" w:rsidRPr="00E90790" w:rsidRDefault="00267BDB" w:rsidP="00C920AB">
            <w:pPr>
              <w:rPr>
                <w:rFonts w:cs="Arial"/>
                <w:iCs/>
                <w:color w:val="0D0D0D" w:themeColor="text1" w:themeTint="F2"/>
              </w:rPr>
            </w:pPr>
            <w:r w:rsidRPr="00E90790">
              <w:rPr>
                <w:rFonts w:cs="Arial"/>
                <w:iCs/>
                <w:color w:val="0D0D0D" w:themeColor="text1" w:themeTint="F2"/>
              </w:rPr>
              <w:br/>
              <w:t>In 2022 Student and School Summary Report (SSSR) training will continue using a combination of online training and intensive one-day workshops across 6 regional areas aimed at school leaders and Leaders of Learning.</w:t>
            </w:r>
          </w:p>
          <w:p w14:paraId="7F5D18D2" w14:textId="0DA87570" w:rsidR="00267BDB" w:rsidRPr="00E90790" w:rsidRDefault="00267BDB" w:rsidP="00C920AB">
            <w:pPr>
              <w:rPr>
                <w:rFonts w:cs="Arial"/>
                <w:iCs/>
                <w:color w:val="0D0D0D" w:themeColor="text1" w:themeTint="F2"/>
              </w:rPr>
            </w:pPr>
          </w:p>
        </w:tc>
        <w:tc>
          <w:tcPr>
            <w:tcW w:w="1418" w:type="dxa"/>
            <w:tcBorders>
              <w:top w:val="single" w:sz="4" w:space="0" w:color="auto"/>
              <w:bottom w:val="single" w:sz="4" w:space="0" w:color="auto"/>
            </w:tcBorders>
          </w:tcPr>
          <w:p w14:paraId="007A5E77" w14:textId="77777777" w:rsidR="00D862BD" w:rsidRPr="00E90790" w:rsidRDefault="00D862BD" w:rsidP="00C920AB">
            <w:pPr>
              <w:rPr>
                <w:rFonts w:cs="Arial"/>
                <w:iCs/>
                <w:color w:val="0D0D0D" w:themeColor="text1" w:themeTint="F2"/>
              </w:rPr>
            </w:pPr>
          </w:p>
          <w:p w14:paraId="740AE798" w14:textId="6882E439" w:rsidR="00267BDB" w:rsidRPr="00E90790" w:rsidRDefault="00267BDB" w:rsidP="00C920AB">
            <w:pPr>
              <w:rPr>
                <w:rFonts w:cs="Arial"/>
                <w:iCs/>
                <w:color w:val="0D0D0D" w:themeColor="text1" w:themeTint="F2"/>
              </w:rPr>
            </w:pPr>
            <w:r w:rsidRPr="00E90790">
              <w:rPr>
                <w:rFonts w:cs="Arial"/>
                <w:iCs/>
                <w:color w:val="0D0D0D" w:themeColor="text1" w:themeTint="F2"/>
              </w:rPr>
              <w:t>$20,000</w:t>
            </w:r>
          </w:p>
          <w:p w14:paraId="318E1B10" w14:textId="66DBAB3C" w:rsidR="00267BDB" w:rsidRPr="00E90790" w:rsidRDefault="00267BDB" w:rsidP="00C920AB">
            <w:pPr>
              <w:rPr>
                <w:rFonts w:cs="Arial"/>
                <w:iCs/>
                <w:color w:val="0D0D0D" w:themeColor="text1" w:themeTint="F2"/>
              </w:rPr>
            </w:pPr>
          </w:p>
        </w:tc>
        <w:tc>
          <w:tcPr>
            <w:tcW w:w="2551" w:type="dxa"/>
            <w:tcBorders>
              <w:top w:val="single" w:sz="4" w:space="0" w:color="auto"/>
              <w:bottom w:val="single" w:sz="4" w:space="0" w:color="auto"/>
            </w:tcBorders>
          </w:tcPr>
          <w:p w14:paraId="552B9B79" w14:textId="77777777" w:rsidR="00D862BD" w:rsidRPr="00E90790" w:rsidRDefault="00D862BD" w:rsidP="00D862BD">
            <w:pPr>
              <w:rPr>
                <w:rFonts w:cs="Arial"/>
                <w:iCs/>
                <w:color w:val="0D0D0D" w:themeColor="text1" w:themeTint="F2"/>
              </w:rPr>
            </w:pPr>
          </w:p>
          <w:p w14:paraId="33B10882" w14:textId="7186A31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Principals and Leaders of Learning from up to 90+ schools will have participated in regional workshops.</w:t>
            </w:r>
          </w:p>
        </w:tc>
        <w:tc>
          <w:tcPr>
            <w:tcW w:w="3686" w:type="dxa"/>
            <w:tcBorders>
              <w:top w:val="single" w:sz="4" w:space="0" w:color="auto"/>
            </w:tcBorders>
          </w:tcPr>
          <w:p w14:paraId="29A038F2" w14:textId="77777777" w:rsidR="00267BDB" w:rsidRPr="00E90790" w:rsidRDefault="00267BDB" w:rsidP="00C920AB">
            <w:pPr>
              <w:rPr>
                <w:rFonts w:cs="Arial"/>
                <w:iCs/>
                <w:color w:val="0D0D0D" w:themeColor="text1" w:themeTint="F2"/>
              </w:rPr>
            </w:pPr>
          </w:p>
        </w:tc>
      </w:tr>
      <w:tr w:rsidR="00E90790" w:rsidRPr="00E90790" w14:paraId="1E57903F" w14:textId="77777777" w:rsidTr="00D67468">
        <w:trPr>
          <w:trHeight w:val="1075"/>
        </w:trPr>
        <w:tc>
          <w:tcPr>
            <w:tcW w:w="3970" w:type="dxa"/>
            <w:tcBorders>
              <w:bottom w:val="single" w:sz="4" w:space="0" w:color="auto"/>
            </w:tcBorders>
          </w:tcPr>
          <w:p w14:paraId="13AAF0E4" w14:textId="77777777" w:rsidR="00267BDB" w:rsidRPr="00E90790" w:rsidRDefault="00267BDB" w:rsidP="00C920AB">
            <w:pPr>
              <w:rPr>
                <w:rFonts w:cs="Arial"/>
                <w:b/>
                <w:bCs/>
                <w:iCs/>
                <w:color w:val="0D0D0D" w:themeColor="text1" w:themeTint="F2"/>
              </w:rPr>
            </w:pPr>
          </w:p>
          <w:p w14:paraId="0131F3F6" w14:textId="6B360D59" w:rsidR="00267BDB" w:rsidRPr="00E90790" w:rsidRDefault="00267BDB" w:rsidP="00C920AB">
            <w:pPr>
              <w:rPr>
                <w:rFonts w:cs="Arial"/>
                <w:b/>
                <w:bCs/>
                <w:iCs/>
                <w:color w:val="0D0D0D" w:themeColor="text1" w:themeTint="F2"/>
              </w:rPr>
            </w:pPr>
            <w:r w:rsidRPr="00E90790">
              <w:rPr>
                <w:rFonts w:cs="Arial"/>
                <w:b/>
                <w:bCs/>
                <w:iCs/>
                <w:color w:val="0D0D0D" w:themeColor="text1" w:themeTint="F2"/>
              </w:rPr>
              <w:t>KEY DIRECTION 2 Supporting teaching, school leadership, and school improvement</w:t>
            </w:r>
          </w:p>
          <w:p w14:paraId="4EC85868" w14:textId="77777777" w:rsidR="00267BDB" w:rsidRPr="00E90790" w:rsidRDefault="00267BDB" w:rsidP="00C920AB">
            <w:pPr>
              <w:rPr>
                <w:rFonts w:cs="Arial"/>
                <w:iCs/>
                <w:color w:val="0D0D0D" w:themeColor="text1" w:themeTint="F2"/>
              </w:rPr>
            </w:pPr>
          </w:p>
          <w:p w14:paraId="76F462BF"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 xml:space="preserve">National Policy reform direction: </w:t>
            </w:r>
          </w:p>
          <w:p w14:paraId="16FA68E6" w14:textId="150D6D55" w:rsidR="00267BDB" w:rsidRPr="00E90790" w:rsidRDefault="00267BDB" w:rsidP="00C920AB">
            <w:pPr>
              <w:rPr>
                <w:rFonts w:cs="Arial"/>
                <w:i/>
                <w:color w:val="0D0D0D" w:themeColor="text1" w:themeTint="F2"/>
              </w:rPr>
            </w:pPr>
            <w:r w:rsidRPr="00E90790">
              <w:rPr>
                <w:rFonts w:cs="Arial"/>
                <w:i/>
                <w:color w:val="0D0D0D" w:themeColor="text1" w:themeTint="F2"/>
              </w:rPr>
              <w:t xml:space="preserve">Improving governance and financial management practices in non-government schools; </w:t>
            </w:r>
          </w:p>
          <w:p w14:paraId="1F96FC66" w14:textId="6BD4A8AF" w:rsidR="00267BDB" w:rsidRPr="00E90790" w:rsidRDefault="00267BDB" w:rsidP="00C920AB">
            <w:pPr>
              <w:rPr>
                <w:rFonts w:cs="Arial"/>
                <w:i/>
                <w:color w:val="0D0D0D" w:themeColor="text1" w:themeTint="F2"/>
              </w:rPr>
            </w:pPr>
          </w:p>
          <w:p w14:paraId="7E5D9B69"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 xml:space="preserve">State reform initiative: </w:t>
            </w:r>
          </w:p>
          <w:p w14:paraId="182AA92C" w14:textId="2DD96441" w:rsidR="00267BDB" w:rsidRPr="00E90790" w:rsidRDefault="00267BDB" w:rsidP="00C920AB">
            <w:pPr>
              <w:rPr>
                <w:rFonts w:cs="Arial"/>
                <w:b/>
                <w:bCs/>
                <w:iCs/>
                <w:color w:val="0D0D0D" w:themeColor="text1" w:themeTint="F2"/>
              </w:rPr>
            </w:pPr>
            <w:r w:rsidRPr="00E90790">
              <w:rPr>
                <w:rFonts w:cs="Arial"/>
                <w:i/>
                <w:color w:val="0D0D0D" w:themeColor="text1" w:themeTint="F2"/>
              </w:rPr>
              <w:t>School improvement strategy; Supporting teacher and leader development (Para 17 Bilateral Agreement between South Australia and the Commonwealth on Quality Schools Reform)</w:t>
            </w:r>
          </w:p>
        </w:tc>
        <w:tc>
          <w:tcPr>
            <w:tcW w:w="3402" w:type="dxa"/>
            <w:tcBorders>
              <w:bottom w:val="single" w:sz="4" w:space="0" w:color="auto"/>
            </w:tcBorders>
          </w:tcPr>
          <w:p w14:paraId="3D7D5B31" w14:textId="77777777" w:rsidR="00267BDB" w:rsidRPr="00E90790" w:rsidRDefault="00267BDB" w:rsidP="00C920AB">
            <w:pPr>
              <w:rPr>
                <w:rFonts w:cs="Arial"/>
                <w:b/>
                <w:bCs/>
                <w:iCs/>
                <w:color w:val="0D0D0D" w:themeColor="text1" w:themeTint="F2"/>
              </w:rPr>
            </w:pPr>
          </w:p>
          <w:p w14:paraId="0F4E0516" w14:textId="249D3169" w:rsidR="00267BDB" w:rsidRPr="00E90790" w:rsidRDefault="00267BDB" w:rsidP="00C920AB">
            <w:pPr>
              <w:rPr>
                <w:rFonts w:cs="Arial"/>
                <w:b/>
                <w:bCs/>
                <w:iCs/>
                <w:color w:val="0D0D0D" w:themeColor="text1" w:themeTint="F2"/>
              </w:rPr>
            </w:pPr>
            <w:r w:rsidRPr="00E90790">
              <w:rPr>
                <w:rFonts w:cs="Arial"/>
                <w:b/>
                <w:bCs/>
                <w:iCs/>
                <w:color w:val="0D0D0D" w:themeColor="text1" w:themeTint="F2"/>
              </w:rPr>
              <w:t>SUPPORTING TEACHING</w:t>
            </w:r>
          </w:p>
          <w:p w14:paraId="123D6F66" w14:textId="77777777" w:rsidR="00267BDB" w:rsidRPr="00E90790" w:rsidRDefault="00267BDB" w:rsidP="00C920AB">
            <w:pPr>
              <w:rPr>
                <w:rFonts w:cs="Arial"/>
                <w:b/>
                <w:bCs/>
                <w:iCs/>
                <w:color w:val="0D0D0D" w:themeColor="text1" w:themeTint="F2"/>
              </w:rPr>
            </w:pPr>
          </w:p>
          <w:p w14:paraId="3F25D603" w14:textId="77777777" w:rsidR="00267BDB" w:rsidRPr="00E90790" w:rsidRDefault="00267BDB" w:rsidP="00C920AB">
            <w:pPr>
              <w:rPr>
                <w:rFonts w:cs="Arial"/>
                <w:b/>
                <w:bCs/>
                <w:iCs/>
                <w:color w:val="0D0D0D" w:themeColor="text1" w:themeTint="F2"/>
              </w:rPr>
            </w:pPr>
            <w:r w:rsidRPr="00E90790">
              <w:rPr>
                <w:rFonts w:cs="Arial"/>
                <w:b/>
                <w:bCs/>
                <w:iCs/>
                <w:color w:val="0D0D0D" w:themeColor="text1" w:themeTint="F2"/>
              </w:rPr>
              <w:t xml:space="preserve">NSI Partnerships  </w:t>
            </w:r>
          </w:p>
          <w:p w14:paraId="1C5417A2" w14:textId="508B1B90" w:rsidR="00267BDB" w:rsidRPr="00E90790" w:rsidRDefault="00267BDB" w:rsidP="00C920AB">
            <w:pPr>
              <w:rPr>
                <w:rFonts w:cs="Arial"/>
                <w:iCs/>
                <w:color w:val="0D0D0D" w:themeColor="text1" w:themeTint="F2"/>
              </w:rPr>
            </w:pPr>
            <w:r w:rsidRPr="00E90790">
              <w:rPr>
                <w:rFonts w:cs="Arial"/>
                <w:iCs/>
                <w:color w:val="0D0D0D" w:themeColor="text1" w:themeTint="F2"/>
              </w:rPr>
              <w:t xml:space="preserve">The CESA/NSI Partnerships – </w:t>
            </w:r>
            <w:r w:rsidRPr="00E90790">
              <w:rPr>
                <w:rFonts w:cs="Arial"/>
                <w:i/>
                <w:color w:val="0D0D0D" w:themeColor="text1" w:themeTint="F2"/>
              </w:rPr>
              <w:t>Developing Collaborative Cultures and Collective Efficacy through the use of the Classroom Climate Questionnaire</w:t>
            </w:r>
            <w:r w:rsidRPr="00E90790">
              <w:rPr>
                <w:rFonts w:cs="Arial"/>
                <w:iCs/>
                <w:color w:val="0D0D0D" w:themeColor="text1" w:themeTint="F2"/>
              </w:rPr>
              <w:t xml:space="preserve"> (CCQ) will continue in 2022. The CCQ examines students’ perceptions of their learning environment. It is administered twice a year (once as a pre-test and once as a post-test) to one class of students per teacher. </w:t>
            </w:r>
          </w:p>
          <w:p w14:paraId="5A0D0BDF" w14:textId="72DF182A" w:rsidR="00267BDB" w:rsidRPr="00E90790" w:rsidRDefault="00267BDB" w:rsidP="00C920AB">
            <w:pPr>
              <w:rPr>
                <w:rFonts w:cs="Arial"/>
                <w:iCs/>
                <w:color w:val="0D0D0D" w:themeColor="text1" w:themeTint="F2"/>
              </w:rPr>
            </w:pPr>
          </w:p>
          <w:p w14:paraId="73AEEB8E" w14:textId="188FA0CC" w:rsidR="00267BDB" w:rsidRPr="00E90790" w:rsidRDefault="00267BDB" w:rsidP="00C920AB">
            <w:pPr>
              <w:rPr>
                <w:rFonts w:cs="Arial"/>
                <w:iCs/>
                <w:color w:val="0D0D0D" w:themeColor="text1" w:themeTint="F2"/>
              </w:rPr>
            </w:pPr>
          </w:p>
          <w:p w14:paraId="37A8B734" w14:textId="635EBECF" w:rsidR="00267BDB" w:rsidRPr="00E90790" w:rsidRDefault="00267BDB" w:rsidP="00C920AB">
            <w:pPr>
              <w:rPr>
                <w:rFonts w:cs="Arial"/>
                <w:b/>
                <w:bCs/>
                <w:iCs/>
                <w:color w:val="0D0D0D" w:themeColor="text1" w:themeTint="F2"/>
              </w:rPr>
            </w:pPr>
          </w:p>
        </w:tc>
        <w:tc>
          <w:tcPr>
            <w:tcW w:w="1418" w:type="dxa"/>
            <w:tcBorders>
              <w:bottom w:val="single" w:sz="4" w:space="0" w:color="auto"/>
            </w:tcBorders>
          </w:tcPr>
          <w:p w14:paraId="28C44C1B" w14:textId="77777777" w:rsidR="00267BDB" w:rsidRPr="00E90790" w:rsidRDefault="00267BDB" w:rsidP="00C920AB">
            <w:pPr>
              <w:rPr>
                <w:rFonts w:cs="Arial"/>
                <w:iCs/>
                <w:color w:val="0D0D0D" w:themeColor="text1" w:themeTint="F2"/>
              </w:rPr>
            </w:pPr>
          </w:p>
          <w:p w14:paraId="579F94E2" w14:textId="0D203CAC" w:rsidR="00267BDB" w:rsidRPr="00E90790" w:rsidRDefault="00267BDB" w:rsidP="00C920AB">
            <w:pPr>
              <w:rPr>
                <w:rFonts w:cs="Arial"/>
                <w:i/>
                <w:color w:val="0D0D0D" w:themeColor="text1" w:themeTint="F2"/>
              </w:rPr>
            </w:pPr>
            <w:r w:rsidRPr="00E90790">
              <w:rPr>
                <w:rFonts w:cs="Arial"/>
                <w:iCs/>
                <w:color w:val="0D0D0D" w:themeColor="text1" w:themeTint="F2"/>
              </w:rPr>
              <w:t>Total Key Direction 2 $514,000</w:t>
            </w:r>
          </w:p>
          <w:p w14:paraId="0A05EF6E" w14:textId="77777777" w:rsidR="00267BDB" w:rsidRPr="00E90790" w:rsidRDefault="00267BDB" w:rsidP="00C920AB">
            <w:pPr>
              <w:rPr>
                <w:rFonts w:cs="Arial"/>
                <w:iCs/>
                <w:color w:val="0D0D0D" w:themeColor="text1" w:themeTint="F2"/>
              </w:rPr>
            </w:pPr>
          </w:p>
          <w:p w14:paraId="5A20DC1E" w14:textId="77777777" w:rsidR="00267BDB" w:rsidRPr="00E90790" w:rsidRDefault="00267BDB" w:rsidP="00C920AB">
            <w:pPr>
              <w:rPr>
                <w:rFonts w:cs="Arial"/>
                <w:iCs/>
                <w:color w:val="0D0D0D" w:themeColor="text1" w:themeTint="F2"/>
              </w:rPr>
            </w:pPr>
          </w:p>
          <w:p w14:paraId="201F944B" w14:textId="20BEFDF1" w:rsidR="00267BDB" w:rsidRPr="00E90790" w:rsidRDefault="00267BDB" w:rsidP="00C920AB">
            <w:pPr>
              <w:rPr>
                <w:rFonts w:cs="Arial"/>
                <w:iCs/>
                <w:color w:val="0D0D0D" w:themeColor="text1" w:themeTint="F2"/>
              </w:rPr>
            </w:pPr>
            <w:r w:rsidRPr="00E90790">
              <w:rPr>
                <w:rFonts w:cs="Arial"/>
                <w:iCs/>
                <w:color w:val="0D0D0D" w:themeColor="text1" w:themeTint="F2"/>
              </w:rPr>
              <w:t>$100,000</w:t>
            </w:r>
          </w:p>
          <w:p w14:paraId="5E8924E6" w14:textId="28DA8018" w:rsidR="00267BDB" w:rsidRPr="00E90790" w:rsidRDefault="00267BDB" w:rsidP="00C920AB">
            <w:pPr>
              <w:rPr>
                <w:rFonts w:cs="Arial"/>
                <w:i/>
                <w:color w:val="0D0D0D" w:themeColor="text1" w:themeTint="F2"/>
              </w:rPr>
            </w:pPr>
          </w:p>
        </w:tc>
        <w:tc>
          <w:tcPr>
            <w:tcW w:w="2551" w:type="dxa"/>
            <w:tcBorders>
              <w:bottom w:val="single" w:sz="4" w:space="0" w:color="auto"/>
            </w:tcBorders>
          </w:tcPr>
          <w:p w14:paraId="49FC62CB" w14:textId="3A5B2EE8" w:rsidR="00267BDB" w:rsidRPr="00E90790" w:rsidRDefault="00267BDB" w:rsidP="00C920AB">
            <w:pPr>
              <w:ind w:left="360"/>
              <w:rPr>
                <w:rFonts w:cs="Arial"/>
                <w:iCs/>
                <w:color w:val="0D0D0D" w:themeColor="text1" w:themeTint="F2"/>
              </w:rPr>
            </w:pPr>
          </w:p>
          <w:p w14:paraId="4E5971AE" w14:textId="38DE7A08"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Up to 20 schools and 150 classroom teachers will have participated in the CCQ and received student feedback to improve classroom practice and performance.</w:t>
            </w:r>
          </w:p>
        </w:tc>
        <w:tc>
          <w:tcPr>
            <w:tcW w:w="3686" w:type="dxa"/>
            <w:tcBorders>
              <w:bottom w:val="single" w:sz="4" w:space="0" w:color="auto"/>
            </w:tcBorders>
          </w:tcPr>
          <w:p w14:paraId="6D4949EF" w14:textId="77777777" w:rsidR="00267BDB" w:rsidRPr="00E90790" w:rsidRDefault="00267BDB" w:rsidP="00C920AB">
            <w:pPr>
              <w:rPr>
                <w:rFonts w:cs="Arial"/>
                <w:iCs/>
                <w:color w:val="0D0D0D" w:themeColor="text1" w:themeTint="F2"/>
              </w:rPr>
            </w:pPr>
          </w:p>
          <w:p w14:paraId="63FE6471" w14:textId="7266D012" w:rsidR="00267BDB" w:rsidRPr="00E90790" w:rsidRDefault="00267BDB" w:rsidP="00C920AB">
            <w:pPr>
              <w:rPr>
                <w:rFonts w:cs="Arial"/>
                <w:iCs/>
                <w:color w:val="0D0D0D" w:themeColor="text1" w:themeTint="F2"/>
              </w:rPr>
            </w:pPr>
            <w:r w:rsidRPr="00E90790">
              <w:rPr>
                <w:rFonts w:cs="Arial"/>
                <w:iCs/>
                <w:color w:val="0D0D0D" w:themeColor="text1" w:themeTint="F2"/>
              </w:rPr>
              <w:t>Note: the following lag indicators were devised to cover the period 2019-2022.  They cover all of the activities for Key Direction 2.</w:t>
            </w:r>
          </w:p>
          <w:p w14:paraId="418751B7" w14:textId="7F56B9FC" w:rsidR="00267BDB" w:rsidRPr="00E90790" w:rsidRDefault="00267BDB" w:rsidP="00C920AB">
            <w:pPr>
              <w:rPr>
                <w:rFonts w:cs="Arial"/>
                <w:iCs/>
                <w:color w:val="0D0D0D" w:themeColor="text1" w:themeTint="F2"/>
              </w:rPr>
            </w:pPr>
          </w:p>
          <w:p w14:paraId="2C2C31DF" w14:textId="15A3C43E"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5% increased staff capacity to use data and feedback effectively. </w:t>
            </w:r>
            <w:r w:rsidRPr="00E90790">
              <w:rPr>
                <w:rFonts w:cs="Arial"/>
                <w:iCs/>
                <w:color w:val="0D0D0D" w:themeColor="text1" w:themeTint="F2"/>
              </w:rPr>
              <w:br/>
            </w:r>
          </w:p>
          <w:p w14:paraId="368201AB" w14:textId="1833C89C"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10% increase in staff reporting high levels of collaborative practice.</w:t>
            </w:r>
            <w:r w:rsidRPr="00E90790">
              <w:rPr>
                <w:rFonts w:cs="Arial"/>
                <w:iCs/>
                <w:color w:val="0D0D0D" w:themeColor="text1" w:themeTint="F2"/>
              </w:rPr>
              <w:br/>
            </w:r>
          </w:p>
          <w:p w14:paraId="3486C5CD" w14:textId="1732F02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10 % increase in number of Principals with greater capacity for financial management.</w:t>
            </w:r>
            <w:r w:rsidRPr="00E90790">
              <w:rPr>
                <w:rFonts w:cs="Arial"/>
                <w:iCs/>
                <w:color w:val="0D0D0D" w:themeColor="text1" w:themeTint="F2"/>
              </w:rPr>
              <w:br/>
            </w:r>
          </w:p>
          <w:p w14:paraId="3D29F6F4" w14:textId="653613AB"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10% increase in number of schools with documented school-wide </w:t>
            </w:r>
            <w:r w:rsidRPr="00E90790">
              <w:rPr>
                <w:rFonts w:cs="Arial"/>
                <w:iCs/>
                <w:color w:val="0D0D0D" w:themeColor="text1" w:themeTint="F2"/>
              </w:rPr>
              <w:lastRenderedPageBreak/>
              <w:t>pedagogy built on evidence-based pedagogical practices.</w:t>
            </w:r>
          </w:p>
          <w:p w14:paraId="669D6BAC" w14:textId="77777777" w:rsidR="00267BDB" w:rsidRPr="00E90790" w:rsidRDefault="00267BDB" w:rsidP="00C920AB">
            <w:pPr>
              <w:ind w:left="360"/>
              <w:rPr>
                <w:rFonts w:cs="Arial"/>
                <w:iCs/>
                <w:color w:val="0D0D0D" w:themeColor="text1" w:themeTint="F2"/>
              </w:rPr>
            </w:pPr>
          </w:p>
          <w:p w14:paraId="586B1027" w14:textId="77777777" w:rsidR="00267BDB" w:rsidRPr="00E90790" w:rsidRDefault="00267BDB" w:rsidP="00C920AB">
            <w:pPr>
              <w:rPr>
                <w:rFonts w:cs="Arial"/>
                <w:iCs/>
                <w:color w:val="0D0D0D" w:themeColor="text1" w:themeTint="F2"/>
              </w:rPr>
            </w:pPr>
          </w:p>
        </w:tc>
      </w:tr>
      <w:tr w:rsidR="00E90790" w:rsidRPr="00E90790" w14:paraId="56EC90A0" w14:textId="77777777" w:rsidTr="00D862BD">
        <w:tc>
          <w:tcPr>
            <w:tcW w:w="3970" w:type="dxa"/>
            <w:tcBorders>
              <w:top w:val="single" w:sz="4" w:space="0" w:color="auto"/>
              <w:bottom w:val="single" w:sz="4" w:space="0" w:color="auto"/>
            </w:tcBorders>
          </w:tcPr>
          <w:p w14:paraId="06BC9BE9"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278D0086" w14:textId="77777777" w:rsidR="00D862BD" w:rsidRPr="00E90790" w:rsidRDefault="00D862BD" w:rsidP="00C920AB">
            <w:pPr>
              <w:rPr>
                <w:rFonts w:cs="Arial"/>
                <w:b/>
                <w:bCs/>
                <w:iCs/>
                <w:color w:val="0D0D0D" w:themeColor="text1" w:themeTint="F2"/>
              </w:rPr>
            </w:pPr>
          </w:p>
          <w:p w14:paraId="0CB5DFA3" w14:textId="64659188" w:rsidR="00267BDB" w:rsidRPr="00E90790" w:rsidRDefault="00267BDB" w:rsidP="00C920AB">
            <w:pPr>
              <w:rPr>
                <w:rFonts w:cs="Arial"/>
                <w:b/>
                <w:bCs/>
                <w:iCs/>
                <w:color w:val="0D0D0D" w:themeColor="text1" w:themeTint="F2"/>
              </w:rPr>
            </w:pPr>
            <w:r w:rsidRPr="00E90790">
              <w:rPr>
                <w:rFonts w:cs="Arial"/>
                <w:b/>
                <w:bCs/>
                <w:iCs/>
                <w:color w:val="0D0D0D" w:themeColor="text1" w:themeTint="F2"/>
              </w:rPr>
              <w:t xml:space="preserve">Aboriginal Education Strategy – </w:t>
            </w:r>
            <w:proofErr w:type="spellStart"/>
            <w:r w:rsidRPr="00E90790">
              <w:rPr>
                <w:rFonts w:cs="Arial"/>
                <w:b/>
                <w:bCs/>
                <w:iCs/>
                <w:color w:val="0D0D0D" w:themeColor="text1" w:themeTint="F2"/>
              </w:rPr>
              <w:t>Carclew</w:t>
            </w:r>
            <w:proofErr w:type="spellEnd"/>
          </w:p>
          <w:p w14:paraId="38512737" w14:textId="77777777" w:rsidR="00267BDB" w:rsidRPr="00E90790" w:rsidRDefault="00267BDB" w:rsidP="00C920AB">
            <w:pPr>
              <w:rPr>
                <w:rFonts w:cs="Arial"/>
                <w:b/>
                <w:bCs/>
                <w:iCs/>
                <w:color w:val="0D0D0D" w:themeColor="text1" w:themeTint="F2"/>
              </w:rPr>
            </w:pPr>
          </w:p>
          <w:p w14:paraId="50441614" w14:textId="5C78BF3F" w:rsidR="00267BDB" w:rsidRPr="00E90790" w:rsidRDefault="00267BDB" w:rsidP="00C920AB">
            <w:pPr>
              <w:rPr>
                <w:rFonts w:cs="Arial"/>
                <w:iCs/>
                <w:color w:val="0D0D0D" w:themeColor="text1" w:themeTint="F2"/>
              </w:rPr>
            </w:pPr>
            <w:r w:rsidRPr="00E90790">
              <w:rPr>
                <w:rFonts w:cs="Arial"/>
                <w:iCs/>
                <w:color w:val="0D0D0D" w:themeColor="text1" w:themeTint="F2"/>
              </w:rPr>
              <w:t xml:space="preserve">The CESA partnership with </w:t>
            </w:r>
            <w:proofErr w:type="spellStart"/>
            <w:r w:rsidRPr="00E90790">
              <w:rPr>
                <w:rFonts w:cs="Arial"/>
                <w:iCs/>
                <w:color w:val="0D0D0D" w:themeColor="text1" w:themeTint="F2"/>
              </w:rPr>
              <w:t>Carclew</w:t>
            </w:r>
            <w:proofErr w:type="spellEnd"/>
            <w:r w:rsidRPr="00E90790">
              <w:rPr>
                <w:rFonts w:cs="Arial"/>
                <w:iCs/>
                <w:color w:val="0D0D0D" w:themeColor="text1" w:themeTint="F2"/>
              </w:rPr>
              <w:t xml:space="preserve"> Arts Program to bring Aboriginal cultural artists into 12 regional Catholic schools will continue in 2022. The program identifies appropriate local community Aboriginal artists to work in schools to bring Aboriginal stories, art and cultural understanding to a school-based program. </w:t>
            </w:r>
            <w:proofErr w:type="spellStart"/>
            <w:r w:rsidRPr="00E90790">
              <w:rPr>
                <w:rFonts w:cs="Arial"/>
                <w:iCs/>
                <w:color w:val="0D0D0D" w:themeColor="text1" w:themeTint="F2"/>
              </w:rPr>
              <w:t>Carclew</w:t>
            </w:r>
            <w:proofErr w:type="spellEnd"/>
            <w:r w:rsidRPr="00E90790">
              <w:rPr>
                <w:rFonts w:cs="Arial"/>
                <w:iCs/>
                <w:color w:val="0D0D0D" w:themeColor="text1" w:themeTint="F2"/>
              </w:rPr>
              <w:t xml:space="preserve"> Arts Program works with local Aboriginal elders to identify artists and stories that are appropriate and have permission to be included in the program.</w:t>
            </w:r>
          </w:p>
          <w:p w14:paraId="14C44479" w14:textId="77777777" w:rsidR="00267BDB" w:rsidRPr="00E90790" w:rsidRDefault="00267BDB" w:rsidP="00C920AB">
            <w:pPr>
              <w:rPr>
                <w:rFonts w:cs="Arial"/>
                <w:b/>
                <w:bCs/>
                <w:iCs/>
                <w:color w:val="0D0D0D" w:themeColor="text1" w:themeTint="F2"/>
              </w:rPr>
            </w:pPr>
          </w:p>
        </w:tc>
        <w:tc>
          <w:tcPr>
            <w:tcW w:w="1418" w:type="dxa"/>
            <w:tcBorders>
              <w:top w:val="single" w:sz="4" w:space="0" w:color="auto"/>
              <w:bottom w:val="single" w:sz="4" w:space="0" w:color="auto"/>
            </w:tcBorders>
          </w:tcPr>
          <w:p w14:paraId="7E0C6DE9" w14:textId="77777777" w:rsidR="00D862BD" w:rsidRPr="00E90790" w:rsidRDefault="00D862BD" w:rsidP="00C920AB">
            <w:pPr>
              <w:rPr>
                <w:rFonts w:cs="Arial"/>
                <w:iCs/>
                <w:color w:val="0D0D0D" w:themeColor="text1" w:themeTint="F2"/>
              </w:rPr>
            </w:pPr>
          </w:p>
          <w:p w14:paraId="48839BCA" w14:textId="6759E0A8" w:rsidR="00267BDB" w:rsidRPr="00E90790" w:rsidRDefault="00267BDB" w:rsidP="00C920AB">
            <w:pPr>
              <w:rPr>
                <w:rFonts w:cs="Arial"/>
                <w:iCs/>
                <w:color w:val="0D0D0D" w:themeColor="text1" w:themeTint="F2"/>
              </w:rPr>
            </w:pPr>
            <w:r w:rsidRPr="00E90790">
              <w:rPr>
                <w:rFonts w:cs="Arial"/>
                <w:iCs/>
                <w:color w:val="0D0D0D" w:themeColor="text1" w:themeTint="F2"/>
              </w:rPr>
              <w:t>$90,000</w:t>
            </w:r>
          </w:p>
        </w:tc>
        <w:tc>
          <w:tcPr>
            <w:tcW w:w="2551" w:type="dxa"/>
            <w:tcBorders>
              <w:top w:val="single" w:sz="4" w:space="0" w:color="auto"/>
              <w:bottom w:val="single" w:sz="4" w:space="0" w:color="auto"/>
            </w:tcBorders>
          </w:tcPr>
          <w:p w14:paraId="0EBFD6B0" w14:textId="77777777" w:rsidR="00D862BD" w:rsidRPr="00E90790" w:rsidRDefault="00D862BD" w:rsidP="00D862BD">
            <w:pPr>
              <w:rPr>
                <w:rFonts w:cs="Arial"/>
                <w:iCs/>
                <w:color w:val="0D0D0D" w:themeColor="text1" w:themeTint="F2"/>
              </w:rPr>
            </w:pPr>
          </w:p>
          <w:p w14:paraId="6F29A956" w14:textId="3DE17E8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12 schools have participated in a cultural residency program.</w:t>
            </w:r>
          </w:p>
          <w:p w14:paraId="2C522F92" w14:textId="77777777" w:rsidR="00267BDB" w:rsidRPr="00E90790" w:rsidRDefault="00267BDB" w:rsidP="00C920AB">
            <w:pPr>
              <w:ind w:left="360"/>
              <w:rPr>
                <w:rFonts w:cs="Arial"/>
                <w:iCs/>
                <w:color w:val="0D0D0D" w:themeColor="text1" w:themeTint="F2"/>
              </w:rPr>
            </w:pPr>
          </w:p>
          <w:p w14:paraId="31A61C66"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Staff from 12 schools have participated in a half day teacher professional learning and cultural sharing with a local Aboriginal artist/elder.</w:t>
            </w:r>
          </w:p>
          <w:p w14:paraId="4C9C5377" w14:textId="77777777" w:rsidR="00267BDB" w:rsidRPr="00E90790" w:rsidRDefault="00267BDB" w:rsidP="00C920AB">
            <w:pPr>
              <w:ind w:left="360"/>
              <w:rPr>
                <w:rFonts w:cs="Arial"/>
                <w:iCs/>
                <w:color w:val="0D0D0D" w:themeColor="text1" w:themeTint="F2"/>
              </w:rPr>
            </w:pPr>
          </w:p>
          <w:p w14:paraId="71AD5B82" w14:textId="77777777" w:rsidR="00267BDB" w:rsidRPr="00E90790" w:rsidRDefault="00267BDB" w:rsidP="00C920AB">
            <w:pPr>
              <w:rPr>
                <w:rFonts w:cs="Arial"/>
                <w:iCs/>
                <w:color w:val="0D0D0D" w:themeColor="text1" w:themeTint="F2"/>
              </w:rPr>
            </w:pPr>
          </w:p>
          <w:p w14:paraId="6697BC66" w14:textId="77777777" w:rsidR="000B68B5" w:rsidRPr="00E90790" w:rsidRDefault="000B68B5" w:rsidP="00C920AB">
            <w:pPr>
              <w:rPr>
                <w:rFonts w:cs="Arial"/>
                <w:iCs/>
                <w:color w:val="0D0D0D" w:themeColor="text1" w:themeTint="F2"/>
              </w:rPr>
            </w:pPr>
          </w:p>
          <w:p w14:paraId="7AC09D92" w14:textId="77777777" w:rsidR="000B68B5" w:rsidRPr="00E90790" w:rsidRDefault="000B68B5" w:rsidP="00C920AB">
            <w:pPr>
              <w:rPr>
                <w:rFonts w:cs="Arial"/>
                <w:iCs/>
                <w:color w:val="0D0D0D" w:themeColor="text1" w:themeTint="F2"/>
              </w:rPr>
            </w:pPr>
          </w:p>
          <w:p w14:paraId="5E2668DB" w14:textId="77777777" w:rsidR="000B68B5" w:rsidRPr="00E90790" w:rsidRDefault="000B68B5" w:rsidP="00C920AB">
            <w:pPr>
              <w:rPr>
                <w:rFonts w:cs="Arial"/>
                <w:iCs/>
                <w:color w:val="0D0D0D" w:themeColor="text1" w:themeTint="F2"/>
              </w:rPr>
            </w:pPr>
          </w:p>
          <w:p w14:paraId="2288F045" w14:textId="77777777" w:rsidR="000B68B5" w:rsidRPr="00E90790" w:rsidRDefault="000B68B5" w:rsidP="00C920AB">
            <w:pPr>
              <w:rPr>
                <w:rFonts w:cs="Arial"/>
                <w:iCs/>
                <w:color w:val="0D0D0D" w:themeColor="text1" w:themeTint="F2"/>
              </w:rPr>
            </w:pPr>
          </w:p>
          <w:p w14:paraId="26A36499" w14:textId="02917D84" w:rsidR="000B68B5" w:rsidRPr="00E90790" w:rsidRDefault="000B68B5" w:rsidP="00C920AB">
            <w:pPr>
              <w:rPr>
                <w:rFonts w:cs="Arial"/>
                <w:iCs/>
                <w:color w:val="0D0D0D" w:themeColor="text1" w:themeTint="F2"/>
              </w:rPr>
            </w:pPr>
          </w:p>
        </w:tc>
        <w:tc>
          <w:tcPr>
            <w:tcW w:w="3686" w:type="dxa"/>
            <w:tcBorders>
              <w:top w:val="single" w:sz="4" w:space="0" w:color="auto"/>
              <w:bottom w:val="single" w:sz="4" w:space="0" w:color="auto"/>
            </w:tcBorders>
          </w:tcPr>
          <w:p w14:paraId="65570876" w14:textId="77777777" w:rsidR="00267BDB" w:rsidRPr="00E90790" w:rsidRDefault="00267BDB" w:rsidP="00C920AB">
            <w:pPr>
              <w:rPr>
                <w:rFonts w:cs="Arial"/>
                <w:iCs/>
                <w:color w:val="0D0D0D" w:themeColor="text1" w:themeTint="F2"/>
              </w:rPr>
            </w:pPr>
          </w:p>
        </w:tc>
      </w:tr>
      <w:tr w:rsidR="00E90790" w:rsidRPr="00E90790" w14:paraId="2006714D" w14:textId="77777777" w:rsidTr="00D862BD">
        <w:tc>
          <w:tcPr>
            <w:tcW w:w="3970" w:type="dxa"/>
            <w:tcBorders>
              <w:top w:val="single" w:sz="4" w:space="0" w:color="auto"/>
              <w:bottom w:val="single" w:sz="4" w:space="0" w:color="auto"/>
            </w:tcBorders>
          </w:tcPr>
          <w:p w14:paraId="4C752A55"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28471872" w14:textId="77777777" w:rsidR="00D862BD" w:rsidRPr="00E90790" w:rsidRDefault="00D862BD" w:rsidP="00C920AB">
            <w:pPr>
              <w:rPr>
                <w:rFonts w:cs="Arial"/>
                <w:b/>
                <w:bCs/>
                <w:iCs/>
                <w:color w:val="0D0D0D" w:themeColor="text1" w:themeTint="F2"/>
              </w:rPr>
            </w:pPr>
          </w:p>
          <w:p w14:paraId="45E5E169" w14:textId="709BE903" w:rsidR="00267BDB" w:rsidRPr="00E90790" w:rsidRDefault="00267BDB" w:rsidP="00C920AB">
            <w:pPr>
              <w:rPr>
                <w:rFonts w:cs="Arial"/>
                <w:b/>
                <w:bCs/>
                <w:iCs/>
                <w:color w:val="0D0D0D" w:themeColor="text1" w:themeTint="F2"/>
              </w:rPr>
            </w:pPr>
            <w:r w:rsidRPr="00E90790">
              <w:rPr>
                <w:rFonts w:cs="Arial"/>
                <w:b/>
                <w:bCs/>
                <w:iCs/>
                <w:color w:val="0D0D0D" w:themeColor="text1" w:themeTint="F2"/>
              </w:rPr>
              <w:t>Aboriginal Education Strategy Implementation</w:t>
            </w:r>
          </w:p>
          <w:p w14:paraId="19237A25" w14:textId="77777777" w:rsidR="00267BDB" w:rsidRPr="00E90790" w:rsidRDefault="00267BDB" w:rsidP="00C920AB">
            <w:pPr>
              <w:rPr>
                <w:rFonts w:cs="Arial"/>
                <w:b/>
                <w:bCs/>
                <w:iCs/>
                <w:color w:val="0D0D0D" w:themeColor="text1" w:themeTint="F2"/>
              </w:rPr>
            </w:pPr>
          </w:p>
          <w:p w14:paraId="11C74FB7"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 xml:space="preserve">An Implementation Plan will be developed based on the findings </w:t>
            </w:r>
            <w:r w:rsidRPr="00E90790">
              <w:rPr>
                <w:rFonts w:cs="Arial"/>
                <w:iCs/>
                <w:color w:val="0D0D0D" w:themeColor="text1" w:themeTint="F2"/>
              </w:rPr>
              <w:lastRenderedPageBreak/>
              <w:t>and recommendations of the ATSI Review. Trial schools will be identified to assist in the development of prototypes and the implementation of the Review recommendations.</w:t>
            </w:r>
          </w:p>
          <w:p w14:paraId="5F0DDBB8" w14:textId="76F78C1E" w:rsidR="00267BDB" w:rsidRPr="00E90790" w:rsidRDefault="00267BDB" w:rsidP="00C920AB">
            <w:pPr>
              <w:rPr>
                <w:rFonts w:cs="Arial"/>
                <w:b/>
                <w:bCs/>
                <w:iCs/>
                <w:color w:val="0D0D0D" w:themeColor="text1" w:themeTint="F2"/>
              </w:rPr>
            </w:pPr>
          </w:p>
        </w:tc>
        <w:tc>
          <w:tcPr>
            <w:tcW w:w="1418" w:type="dxa"/>
            <w:tcBorders>
              <w:top w:val="single" w:sz="4" w:space="0" w:color="auto"/>
              <w:bottom w:val="single" w:sz="4" w:space="0" w:color="auto"/>
            </w:tcBorders>
          </w:tcPr>
          <w:p w14:paraId="661AB269" w14:textId="77777777" w:rsidR="00D862BD" w:rsidRPr="00E90790" w:rsidRDefault="00D862BD" w:rsidP="00C920AB">
            <w:pPr>
              <w:rPr>
                <w:rFonts w:cs="Arial"/>
                <w:iCs/>
                <w:color w:val="0D0D0D" w:themeColor="text1" w:themeTint="F2"/>
              </w:rPr>
            </w:pPr>
          </w:p>
          <w:p w14:paraId="31B30880" w14:textId="4A8186BC" w:rsidR="00267BDB" w:rsidRPr="00E90790" w:rsidRDefault="00267BDB" w:rsidP="00C920AB">
            <w:pPr>
              <w:rPr>
                <w:rFonts w:cs="Arial"/>
                <w:iCs/>
                <w:color w:val="0D0D0D" w:themeColor="text1" w:themeTint="F2"/>
              </w:rPr>
            </w:pPr>
            <w:r w:rsidRPr="00E90790">
              <w:rPr>
                <w:rFonts w:cs="Arial"/>
                <w:iCs/>
                <w:color w:val="0D0D0D" w:themeColor="text1" w:themeTint="F2"/>
              </w:rPr>
              <w:t>$25,000</w:t>
            </w:r>
          </w:p>
        </w:tc>
        <w:tc>
          <w:tcPr>
            <w:tcW w:w="2551" w:type="dxa"/>
            <w:tcBorders>
              <w:top w:val="single" w:sz="4" w:space="0" w:color="auto"/>
              <w:bottom w:val="single" w:sz="4" w:space="0" w:color="auto"/>
            </w:tcBorders>
          </w:tcPr>
          <w:p w14:paraId="7845B244" w14:textId="1A115048" w:rsidR="00267BDB" w:rsidRPr="00E90790" w:rsidRDefault="00267BDB" w:rsidP="00C920AB">
            <w:pPr>
              <w:rPr>
                <w:rFonts w:cs="Arial"/>
                <w:iCs/>
                <w:color w:val="0D0D0D" w:themeColor="text1" w:themeTint="F2"/>
              </w:rPr>
            </w:pPr>
          </w:p>
          <w:p w14:paraId="24D4E180" w14:textId="3CFD8723" w:rsidR="00267BDB" w:rsidRPr="00E90790" w:rsidRDefault="00267BDB" w:rsidP="00C920AB">
            <w:pPr>
              <w:pStyle w:val="ListParagraph"/>
              <w:numPr>
                <w:ilvl w:val="0"/>
                <w:numId w:val="9"/>
              </w:numPr>
              <w:rPr>
                <w:rFonts w:cs="Arial"/>
                <w:iCs/>
                <w:color w:val="0D0D0D" w:themeColor="text1" w:themeTint="F2"/>
              </w:rPr>
            </w:pPr>
            <w:r w:rsidRPr="00E90790">
              <w:rPr>
                <w:rFonts w:cs="Arial"/>
                <w:iCs/>
                <w:color w:val="0D0D0D" w:themeColor="text1" w:themeTint="F2"/>
              </w:rPr>
              <w:t>Audit of current ATSI Strategy completed.</w:t>
            </w:r>
            <w:r w:rsidRPr="00E90790">
              <w:rPr>
                <w:rFonts w:cs="Arial"/>
                <w:iCs/>
                <w:color w:val="0D0D0D" w:themeColor="text1" w:themeTint="F2"/>
              </w:rPr>
              <w:br/>
            </w:r>
          </w:p>
          <w:p w14:paraId="15DBBCA6" w14:textId="4584FE06" w:rsidR="00267BDB" w:rsidRPr="00E90790" w:rsidRDefault="00267BDB" w:rsidP="00C920AB">
            <w:pPr>
              <w:pStyle w:val="ListParagraph"/>
              <w:numPr>
                <w:ilvl w:val="0"/>
                <w:numId w:val="9"/>
              </w:numPr>
              <w:rPr>
                <w:rFonts w:cs="Arial"/>
                <w:iCs/>
                <w:color w:val="0D0D0D" w:themeColor="text1" w:themeTint="F2"/>
              </w:rPr>
            </w:pPr>
            <w:r w:rsidRPr="00E90790">
              <w:rPr>
                <w:rFonts w:cs="Arial"/>
                <w:iCs/>
                <w:color w:val="0D0D0D" w:themeColor="text1" w:themeTint="F2"/>
              </w:rPr>
              <w:lastRenderedPageBreak/>
              <w:t>Educational and Business case submitted to SACCS.</w:t>
            </w:r>
          </w:p>
          <w:p w14:paraId="3714BDDE" w14:textId="77777777" w:rsidR="00267BDB" w:rsidRPr="00E90790" w:rsidRDefault="00267BDB" w:rsidP="00C920AB">
            <w:pPr>
              <w:pStyle w:val="ListParagraph"/>
              <w:ind w:left="360"/>
              <w:rPr>
                <w:rFonts w:cs="Arial"/>
                <w:iCs/>
                <w:color w:val="0D0D0D" w:themeColor="text1" w:themeTint="F2"/>
              </w:rPr>
            </w:pPr>
          </w:p>
          <w:p w14:paraId="31C4B6C8" w14:textId="6A174B7B" w:rsidR="00267BDB" w:rsidRPr="00E90790" w:rsidRDefault="00267BDB" w:rsidP="00C920AB">
            <w:pPr>
              <w:pStyle w:val="ListParagraph"/>
              <w:numPr>
                <w:ilvl w:val="0"/>
                <w:numId w:val="9"/>
              </w:numPr>
              <w:rPr>
                <w:rFonts w:cs="Arial"/>
                <w:iCs/>
                <w:color w:val="0D0D0D" w:themeColor="text1" w:themeTint="F2"/>
              </w:rPr>
            </w:pPr>
            <w:r w:rsidRPr="00E90790">
              <w:rPr>
                <w:rFonts w:cs="Arial"/>
                <w:iCs/>
                <w:color w:val="0D0D0D" w:themeColor="text1" w:themeTint="F2"/>
              </w:rPr>
              <w:t>Trial schools identified.</w:t>
            </w:r>
          </w:p>
          <w:p w14:paraId="3AF46D20" w14:textId="1A121562" w:rsidR="00267BDB" w:rsidRPr="00E90790" w:rsidRDefault="00267BDB" w:rsidP="00C920AB">
            <w:pPr>
              <w:rPr>
                <w:rFonts w:cs="Arial"/>
                <w:iCs/>
                <w:color w:val="0D0D0D" w:themeColor="text1" w:themeTint="F2"/>
              </w:rPr>
            </w:pPr>
          </w:p>
        </w:tc>
        <w:tc>
          <w:tcPr>
            <w:tcW w:w="3686" w:type="dxa"/>
            <w:tcBorders>
              <w:top w:val="single" w:sz="4" w:space="0" w:color="auto"/>
              <w:bottom w:val="single" w:sz="4" w:space="0" w:color="auto"/>
            </w:tcBorders>
          </w:tcPr>
          <w:p w14:paraId="4E0B3BEA" w14:textId="77777777" w:rsidR="00267BDB" w:rsidRPr="00E90790" w:rsidRDefault="00267BDB" w:rsidP="00C920AB">
            <w:pPr>
              <w:rPr>
                <w:rFonts w:cs="Arial"/>
                <w:iCs/>
                <w:color w:val="0D0D0D" w:themeColor="text1" w:themeTint="F2"/>
              </w:rPr>
            </w:pPr>
          </w:p>
        </w:tc>
      </w:tr>
      <w:tr w:rsidR="00E90790" w:rsidRPr="00E90790" w14:paraId="508FEA68" w14:textId="77777777" w:rsidTr="00D862BD">
        <w:tc>
          <w:tcPr>
            <w:tcW w:w="3970" w:type="dxa"/>
            <w:tcBorders>
              <w:top w:val="single" w:sz="4" w:space="0" w:color="FFFFFF" w:themeColor="background1"/>
              <w:bottom w:val="single" w:sz="4" w:space="0" w:color="auto"/>
            </w:tcBorders>
          </w:tcPr>
          <w:p w14:paraId="6ED4EAED" w14:textId="77777777" w:rsidR="00267BDB" w:rsidRPr="00E90790" w:rsidRDefault="00267BDB" w:rsidP="00C920AB">
            <w:pPr>
              <w:rPr>
                <w:rFonts w:cs="Arial"/>
                <w:iCs/>
                <w:color w:val="0D0D0D" w:themeColor="text1" w:themeTint="F2"/>
              </w:rPr>
            </w:pPr>
          </w:p>
        </w:tc>
        <w:tc>
          <w:tcPr>
            <w:tcW w:w="3402" w:type="dxa"/>
            <w:tcBorders>
              <w:top w:val="single" w:sz="4" w:space="0" w:color="FFFFFF" w:themeColor="background1"/>
              <w:bottom w:val="single" w:sz="4" w:space="0" w:color="auto"/>
            </w:tcBorders>
          </w:tcPr>
          <w:p w14:paraId="64934FDE" w14:textId="77777777" w:rsidR="00D862BD" w:rsidRPr="00E90790" w:rsidRDefault="00D862BD" w:rsidP="00C920AB">
            <w:pPr>
              <w:rPr>
                <w:rFonts w:cs="Arial"/>
                <w:b/>
                <w:bCs/>
                <w:iCs/>
                <w:color w:val="0D0D0D" w:themeColor="text1" w:themeTint="F2"/>
              </w:rPr>
            </w:pPr>
          </w:p>
          <w:p w14:paraId="0DD63BD1" w14:textId="293B575D" w:rsidR="007E5057" w:rsidRPr="00E90790" w:rsidRDefault="007E5057" w:rsidP="00C920AB">
            <w:pPr>
              <w:rPr>
                <w:rFonts w:cs="Arial"/>
                <w:iCs/>
                <w:color w:val="0D0D0D" w:themeColor="text1" w:themeTint="F2"/>
              </w:rPr>
            </w:pPr>
            <w:r w:rsidRPr="00E90790">
              <w:rPr>
                <w:rFonts w:cs="Arial"/>
                <w:b/>
                <w:bCs/>
                <w:iCs/>
                <w:color w:val="0D0D0D" w:themeColor="text1" w:themeTint="F2"/>
              </w:rPr>
              <w:t>SCHOOL IMPROVEMENT</w:t>
            </w:r>
            <w:r w:rsidRPr="00E90790">
              <w:rPr>
                <w:rFonts w:cs="Arial"/>
                <w:iCs/>
                <w:color w:val="0D0D0D" w:themeColor="text1" w:themeTint="F2"/>
              </w:rPr>
              <w:t xml:space="preserve"> </w:t>
            </w:r>
          </w:p>
          <w:p w14:paraId="23B24DC7" w14:textId="77DC0A0F" w:rsidR="00267BDB" w:rsidRPr="00E90790" w:rsidRDefault="00267BDB" w:rsidP="00C920AB">
            <w:pPr>
              <w:rPr>
                <w:rFonts w:cs="Arial"/>
                <w:iCs/>
                <w:color w:val="0D0D0D" w:themeColor="text1" w:themeTint="F2"/>
              </w:rPr>
            </w:pPr>
            <w:r w:rsidRPr="00E90790">
              <w:rPr>
                <w:rFonts w:cs="Arial"/>
                <w:iCs/>
                <w:color w:val="0D0D0D" w:themeColor="text1" w:themeTint="F2"/>
              </w:rPr>
              <w:t xml:space="preserve">All diocesan principals will be supported to implement the CESA Leadership Standard and use the Leaders’ Portal to record the impact of their leadership. The portal will include details of their performance, plans, goals, actions, professional learning with supporting data/evidence. </w:t>
            </w:r>
          </w:p>
          <w:p w14:paraId="7A263C3A" w14:textId="58582D65" w:rsidR="00267BDB" w:rsidRPr="00E90790" w:rsidRDefault="00267BDB" w:rsidP="00C920AB">
            <w:pPr>
              <w:rPr>
                <w:rFonts w:cs="Arial"/>
                <w:iCs/>
                <w:color w:val="0D0D0D" w:themeColor="text1" w:themeTint="F2"/>
              </w:rPr>
            </w:pPr>
          </w:p>
        </w:tc>
        <w:tc>
          <w:tcPr>
            <w:tcW w:w="1418" w:type="dxa"/>
            <w:tcBorders>
              <w:top w:val="single" w:sz="4" w:space="0" w:color="FFFFFF" w:themeColor="background1"/>
              <w:bottom w:val="single" w:sz="4" w:space="0" w:color="auto"/>
            </w:tcBorders>
          </w:tcPr>
          <w:p w14:paraId="104A91B2" w14:textId="77777777" w:rsidR="007E5057" w:rsidRPr="00E90790" w:rsidRDefault="007E5057" w:rsidP="00C920AB">
            <w:pPr>
              <w:rPr>
                <w:rFonts w:cs="Arial"/>
                <w:iCs/>
                <w:color w:val="0D0D0D" w:themeColor="text1" w:themeTint="F2"/>
              </w:rPr>
            </w:pPr>
          </w:p>
          <w:p w14:paraId="27E17BED" w14:textId="6EC17FA3" w:rsidR="00267BDB" w:rsidRPr="00E90790" w:rsidRDefault="00267BDB" w:rsidP="00C920AB">
            <w:pPr>
              <w:rPr>
                <w:rFonts w:cs="Arial"/>
                <w:iCs/>
                <w:color w:val="0D0D0D" w:themeColor="text1" w:themeTint="F2"/>
              </w:rPr>
            </w:pPr>
            <w:r w:rsidRPr="00E90790">
              <w:rPr>
                <w:rFonts w:cs="Arial"/>
                <w:iCs/>
                <w:color w:val="0D0D0D" w:themeColor="text1" w:themeTint="F2"/>
              </w:rPr>
              <w:t>$20,000</w:t>
            </w:r>
          </w:p>
        </w:tc>
        <w:tc>
          <w:tcPr>
            <w:tcW w:w="2551" w:type="dxa"/>
            <w:tcBorders>
              <w:top w:val="single" w:sz="4" w:space="0" w:color="FFFFFF" w:themeColor="background1"/>
              <w:bottom w:val="single" w:sz="4" w:space="0" w:color="auto"/>
            </w:tcBorders>
          </w:tcPr>
          <w:p w14:paraId="5680F807" w14:textId="77777777" w:rsidR="007E5057" w:rsidRPr="00E90790" w:rsidRDefault="007E5057" w:rsidP="00C920AB">
            <w:pPr>
              <w:rPr>
                <w:rFonts w:cs="Arial"/>
                <w:iCs/>
                <w:color w:val="0D0D0D" w:themeColor="text1" w:themeTint="F2"/>
              </w:rPr>
            </w:pPr>
          </w:p>
          <w:p w14:paraId="33A604AD" w14:textId="17C40859"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Diocesan principals will adopt and use the CESA Leadership Standard and the Leaders’ Portal.</w:t>
            </w:r>
          </w:p>
        </w:tc>
        <w:tc>
          <w:tcPr>
            <w:tcW w:w="3686" w:type="dxa"/>
            <w:tcBorders>
              <w:top w:val="single" w:sz="4" w:space="0" w:color="FFFFFF" w:themeColor="background1"/>
              <w:bottom w:val="single" w:sz="4" w:space="0" w:color="auto"/>
            </w:tcBorders>
          </w:tcPr>
          <w:p w14:paraId="030E2436" w14:textId="77777777" w:rsidR="00267BDB" w:rsidRPr="00E90790" w:rsidRDefault="00267BDB" w:rsidP="00C920AB">
            <w:pPr>
              <w:rPr>
                <w:rFonts w:cs="Arial"/>
                <w:iCs/>
                <w:color w:val="0D0D0D" w:themeColor="text1" w:themeTint="F2"/>
              </w:rPr>
            </w:pPr>
          </w:p>
        </w:tc>
      </w:tr>
      <w:tr w:rsidR="00E90790" w:rsidRPr="00E90790" w14:paraId="71AF52A6" w14:textId="77777777" w:rsidTr="00D862BD">
        <w:tc>
          <w:tcPr>
            <w:tcW w:w="3970" w:type="dxa"/>
            <w:tcBorders>
              <w:top w:val="single" w:sz="4" w:space="0" w:color="FFFFFF" w:themeColor="background1"/>
              <w:bottom w:val="single" w:sz="4" w:space="0" w:color="auto"/>
            </w:tcBorders>
          </w:tcPr>
          <w:p w14:paraId="58771E1D" w14:textId="77777777" w:rsidR="00267BDB" w:rsidRPr="00E90790" w:rsidRDefault="00267BDB" w:rsidP="00C920AB">
            <w:pPr>
              <w:rPr>
                <w:rFonts w:cs="Arial"/>
                <w:iCs/>
                <w:color w:val="0D0D0D" w:themeColor="text1" w:themeTint="F2"/>
              </w:rPr>
            </w:pPr>
          </w:p>
        </w:tc>
        <w:tc>
          <w:tcPr>
            <w:tcW w:w="3402" w:type="dxa"/>
            <w:tcBorders>
              <w:top w:val="single" w:sz="4" w:space="0" w:color="FFFFFF" w:themeColor="background1"/>
              <w:bottom w:val="single" w:sz="4" w:space="0" w:color="auto"/>
            </w:tcBorders>
          </w:tcPr>
          <w:p w14:paraId="00081ACA" w14:textId="77777777" w:rsidR="00D862BD" w:rsidRPr="00E90790" w:rsidRDefault="00D862BD" w:rsidP="00C920AB">
            <w:pPr>
              <w:rPr>
                <w:rFonts w:cs="Arial"/>
                <w:b/>
                <w:bCs/>
                <w:iCs/>
                <w:color w:val="0D0D0D" w:themeColor="text1" w:themeTint="F2"/>
              </w:rPr>
            </w:pPr>
          </w:p>
          <w:p w14:paraId="072986E1" w14:textId="026BE3A0" w:rsidR="007E5057" w:rsidRPr="00E90790" w:rsidRDefault="007E5057" w:rsidP="00C920AB">
            <w:pPr>
              <w:rPr>
                <w:rFonts w:cs="Arial"/>
                <w:b/>
                <w:bCs/>
                <w:iCs/>
                <w:color w:val="0D0D0D" w:themeColor="text1" w:themeTint="F2"/>
              </w:rPr>
            </w:pPr>
            <w:r w:rsidRPr="00E90790">
              <w:rPr>
                <w:rFonts w:cs="Arial"/>
                <w:b/>
                <w:bCs/>
                <w:iCs/>
                <w:color w:val="0D0D0D" w:themeColor="text1" w:themeTint="F2"/>
              </w:rPr>
              <w:t>SCHOOL LEADERSHIP</w:t>
            </w:r>
          </w:p>
          <w:p w14:paraId="6CCB2D47" w14:textId="5069D552" w:rsidR="00267BDB" w:rsidRPr="00E90790" w:rsidRDefault="00267BDB" w:rsidP="00C920AB">
            <w:pPr>
              <w:rPr>
                <w:rFonts w:cs="Arial"/>
                <w:b/>
                <w:bCs/>
                <w:iCs/>
                <w:color w:val="0D0D0D" w:themeColor="text1" w:themeTint="F2"/>
              </w:rPr>
            </w:pPr>
            <w:r w:rsidRPr="00E90790">
              <w:rPr>
                <w:rFonts w:cs="Arial"/>
                <w:b/>
                <w:bCs/>
                <w:iCs/>
                <w:color w:val="0D0D0D" w:themeColor="text1" w:themeTint="F2"/>
              </w:rPr>
              <w:t>Financial Management for Principals</w:t>
            </w:r>
          </w:p>
          <w:p w14:paraId="4994FF78" w14:textId="77777777" w:rsidR="00267BDB" w:rsidRPr="00E90790" w:rsidRDefault="00267BDB" w:rsidP="00C920AB">
            <w:pPr>
              <w:rPr>
                <w:rFonts w:cs="Arial"/>
                <w:b/>
                <w:bCs/>
                <w:iCs/>
                <w:color w:val="0D0D0D" w:themeColor="text1" w:themeTint="F2"/>
              </w:rPr>
            </w:pPr>
          </w:p>
          <w:p w14:paraId="3510795E"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 xml:space="preserve">Financial Management for Principals - An identified group of newly appointed principals and heads of campus will work with a consultant to build their financial knowledge, capacity and confidence to strengthen financial </w:t>
            </w:r>
            <w:r w:rsidRPr="00E90790">
              <w:rPr>
                <w:rFonts w:cs="Arial"/>
                <w:iCs/>
                <w:color w:val="0D0D0D" w:themeColor="text1" w:themeTint="F2"/>
              </w:rPr>
              <w:lastRenderedPageBreak/>
              <w:t>viability, improve strategic decision making and build resilience to mitigate unforeseen circumstances. Induction session(s) provide overview of key financial management requirements for effective school leadership, and lead into provision of 1:1 consultancy/coaching tailored to each new leader’s school context.</w:t>
            </w:r>
          </w:p>
          <w:p w14:paraId="0DEA6D63" w14:textId="77777777" w:rsidR="004B4BFC" w:rsidRPr="00E90790" w:rsidRDefault="004B4BFC" w:rsidP="00C920AB">
            <w:pPr>
              <w:rPr>
                <w:rFonts w:cs="Arial"/>
                <w:iCs/>
                <w:color w:val="0D0D0D" w:themeColor="text1" w:themeTint="F2"/>
              </w:rPr>
            </w:pPr>
          </w:p>
          <w:p w14:paraId="5DEBAFFD" w14:textId="77777777" w:rsidR="004B4BFC" w:rsidRPr="00E90790" w:rsidRDefault="004B4BFC" w:rsidP="00C920AB">
            <w:pPr>
              <w:rPr>
                <w:rFonts w:cs="Arial"/>
                <w:iCs/>
                <w:color w:val="0D0D0D" w:themeColor="text1" w:themeTint="F2"/>
              </w:rPr>
            </w:pPr>
          </w:p>
          <w:p w14:paraId="7419700A" w14:textId="757328A8" w:rsidR="004B4BFC" w:rsidRPr="00E90790" w:rsidRDefault="004B4BFC" w:rsidP="00C920AB">
            <w:pPr>
              <w:rPr>
                <w:rFonts w:cs="Arial"/>
                <w:iCs/>
                <w:color w:val="0D0D0D" w:themeColor="text1" w:themeTint="F2"/>
              </w:rPr>
            </w:pPr>
          </w:p>
        </w:tc>
        <w:tc>
          <w:tcPr>
            <w:tcW w:w="1418" w:type="dxa"/>
            <w:tcBorders>
              <w:top w:val="single" w:sz="4" w:space="0" w:color="FFFFFF" w:themeColor="background1"/>
              <w:bottom w:val="single" w:sz="4" w:space="0" w:color="auto"/>
            </w:tcBorders>
          </w:tcPr>
          <w:p w14:paraId="3B8F773D" w14:textId="77777777" w:rsidR="007C1DC9" w:rsidRPr="00E90790" w:rsidRDefault="007C1DC9" w:rsidP="00C920AB">
            <w:pPr>
              <w:rPr>
                <w:rFonts w:cs="Arial"/>
                <w:iCs/>
                <w:color w:val="0D0D0D" w:themeColor="text1" w:themeTint="F2"/>
              </w:rPr>
            </w:pPr>
          </w:p>
          <w:p w14:paraId="0EEC1A7C" w14:textId="5F4D8260" w:rsidR="00267BDB" w:rsidRPr="00E90790" w:rsidRDefault="00267BDB" w:rsidP="00C920AB">
            <w:pPr>
              <w:rPr>
                <w:rFonts w:cs="Arial"/>
                <w:iCs/>
                <w:color w:val="0D0D0D" w:themeColor="text1" w:themeTint="F2"/>
              </w:rPr>
            </w:pPr>
            <w:r w:rsidRPr="00E90790">
              <w:rPr>
                <w:rFonts w:cs="Arial"/>
                <w:iCs/>
                <w:color w:val="0D0D0D" w:themeColor="text1" w:themeTint="F2"/>
              </w:rPr>
              <w:t>$75,000</w:t>
            </w:r>
          </w:p>
        </w:tc>
        <w:tc>
          <w:tcPr>
            <w:tcW w:w="2551" w:type="dxa"/>
            <w:tcBorders>
              <w:top w:val="single" w:sz="4" w:space="0" w:color="FFFFFF" w:themeColor="background1"/>
              <w:bottom w:val="single" w:sz="4" w:space="0" w:color="auto"/>
            </w:tcBorders>
          </w:tcPr>
          <w:p w14:paraId="18A4B699" w14:textId="77777777" w:rsidR="007C1DC9" w:rsidRPr="00E90790" w:rsidRDefault="007C1DC9" w:rsidP="00C920AB">
            <w:pPr>
              <w:rPr>
                <w:rFonts w:cs="Arial"/>
                <w:iCs/>
                <w:color w:val="0D0D0D" w:themeColor="text1" w:themeTint="F2"/>
              </w:rPr>
            </w:pPr>
          </w:p>
          <w:p w14:paraId="06E2F6CE" w14:textId="2D93C2CB" w:rsidR="00267BDB" w:rsidRPr="00E90790" w:rsidRDefault="00267BDB" w:rsidP="00C920AB">
            <w:pPr>
              <w:pStyle w:val="ListParagraph"/>
              <w:numPr>
                <w:ilvl w:val="0"/>
                <w:numId w:val="9"/>
              </w:numPr>
              <w:rPr>
                <w:rFonts w:cs="Arial"/>
                <w:iCs/>
                <w:color w:val="0D0D0D" w:themeColor="text1" w:themeTint="F2"/>
              </w:rPr>
            </w:pPr>
            <w:r w:rsidRPr="00E90790">
              <w:rPr>
                <w:rFonts w:cs="Arial"/>
                <w:iCs/>
                <w:color w:val="0D0D0D" w:themeColor="text1" w:themeTint="F2"/>
              </w:rPr>
              <w:t xml:space="preserve">15-20 principals and heads of campus will complete the Financial Management program and receive 1:1 coaching and support to build their capacity in the financial </w:t>
            </w:r>
            <w:r w:rsidRPr="00E90790">
              <w:rPr>
                <w:rFonts w:cs="Arial"/>
                <w:iCs/>
                <w:color w:val="0D0D0D" w:themeColor="text1" w:themeTint="F2"/>
              </w:rPr>
              <w:lastRenderedPageBreak/>
              <w:t>management of the school.</w:t>
            </w:r>
          </w:p>
        </w:tc>
        <w:tc>
          <w:tcPr>
            <w:tcW w:w="3686" w:type="dxa"/>
            <w:tcBorders>
              <w:top w:val="single" w:sz="4" w:space="0" w:color="FFFFFF" w:themeColor="background1"/>
              <w:bottom w:val="single" w:sz="4" w:space="0" w:color="auto"/>
            </w:tcBorders>
          </w:tcPr>
          <w:p w14:paraId="4C22E4C6" w14:textId="77777777" w:rsidR="00267BDB" w:rsidRPr="00E90790" w:rsidRDefault="00267BDB" w:rsidP="00C920AB">
            <w:pPr>
              <w:rPr>
                <w:rFonts w:cs="Arial"/>
                <w:iCs/>
                <w:color w:val="0D0D0D" w:themeColor="text1" w:themeTint="F2"/>
              </w:rPr>
            </w:pPr>
          </w:p>
        </w:tc>
      </w:tr>
      <w:tr w:rsidR="00E90790" w:rsidRPr="00E90790" w14:paraId="0170927A" w14:textId="77777777" w:rsidTr="00D862BD">
        <w:tc>
          <w:tcPr>
            <w:tcW w:w="3970" w:type="dxa"/>
            <w:tcBorders>
              <w:top w:val="single" w:sz="4" w:space="0" w:color="auto"/>
              <w:bottom w:val="single" w:sz="4" w:space="0" w:color="auto"/>
            </w:tcBorders>
          </w:tcPr>
          <w:p w14:paraId="6E029886" w14:textId="77777777" w:rsidR="00267BDB" w:rsidRPr="00E90790" w:rsidRDefault="00267BDB" w:rsidP="00C920AB">
            <w:pPr>
              <w:rPr>
                <w:rFonts w:cs="Arial"/>
                <w:iCs/>
                <w:color w:val="0D0D0D" w:themeColor="text1" w:themeTint="F2"/>
              </w:rPr>
            </w:pPr>
          </w:p>
        </w:tc>
        <w:tc>
          <w:tcPr>
            <w:tcW w:w="3402" w:type="dxa"/>
            <w:tcBorders>
              <w:top w:val="single" w:sz="4" w:space="0" w:color="auto"/>
              <w:bottom w:val="single" w:sz="4" w:space="0" w:color="auto"/>
            </w:tcBorders>
          </w:tcPr>
          <w:p w14:paraId="421CE31C" w14:textId="77777777" w:rsidR="00D862BD" w:rsidRPr="00E90790" w:rsidRDefault="00D862BD" w:rsidP="00C920AB">
            <w:pPr>
              <w:rPr>
                <w:rFonts w:cs="Arial"/>
                <w:b/>
                <w:bCs/>
                <w:iCs/>
                <w:color w:val="0D0D0D" w:themeColor="text1" w:themeTint="F2"/>
              </w:rPr>
            </w:pPr>
          </w:p>
          <w:p w14:paraId="74A22E02" w14:textId="51F86A8F" w:rsidR="00267BDB" w:rsidRPr="00E90790" w:rsidRDefault="00267BDB" w:rsidP="00C920AB">
            <w:pPr>
              <w:rPr>
                <w:rFonts w:cs="Arial"/>
                <w:b/>
                <w:bCs/>
                <w:iCs/>
                <w:color w:val="0D0D0D" w:themeColor="text1" w:themeTint="F2"/>
              </w:rPr>
            </w:pPr>
            <w:r w:rsidRPr="00E90790">
              <w:rPr>
                <w:rFonts w:cs="Arial"/>
                <w:b/>
                <w:bCs/>
                <w:iCs/>
                <w:color w:val="0D0D0D" w:themeColor="text1" w:themeTint="F2"/>
              </w:rPr>
              <w:t>Leadership Development Programs</w:t>
            </w:r>
          </w:p>
          <w:p w14:paraId="0CCC0122" w14:textId="77777777" w:rsidR="00267BDB" w:rsidRPr="00E90790" w:rsidRDefault="00267BDB" w:rsidP="00C920AB">
            <w:pPr>
              <w:rPr>
                <w:rFonts w:cs="Arial"/>
                <w:b/>
                <w:bCs/>
                <w:iCs/>
                <w:color w:val="0D0D0D" w:themeColor="text1" w:themeTint="F2"/>
              </w:rPr>
            </w:pPr>
          </w:p>
          <w:p w14:paraId="09543951" w14:textId="6E099058" w:rsidR="00267BDB" w:rsidRPr="00E90790" w:rsidRDefault="00267BDB" w:rsidP="00C920AB">
            <w:pPr>
              <w:rPr>
                <w:rFonts w:cs="Arial"/>
                <w:iCs/>
                <w:color w:val="0D0D0D" w:themeColor="text1" w:themeTint="F2"/>
              </w:rPr>
            </w:pPr>
            <w:r w:rsidRPr="00E90790">
              <w:rPr>
                <w:rFonts w:cs="Arial"/>
                <w:iCs/>
                <w:color w:val="0D0D0D" w:themeColor="text1" w:themeTint="F2"/>
              </w:rPr>
              <w:t>School Leadership - Professional development programs and learning opportunities will include:</w:t>
            </w:r>
          </w:p>
          <w:p w14:paraId="29BC1F46"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Aspiring Leaders Program (incorporating the Pathways to School Leadership Program)</w:t>
            </w:r>
          </w:p>
          <w:p w14:paraId="3132E4D4"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Onboarding &amp; Induction for new leaders </w:t>
            </w:r>
          </w:p>
          <w:p w14:paraId="08815A95" w14:textId="7929C830"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Principal Preparation Program - a focus on system leadership imperatives. </w:t>
            </w:r>
          </w:p>
          <w:p w14:paraId="657CB721" w14:textId="70E1BC8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Executive Mentoring Program – a focus on mid-career principals. </w:t>
            </w:r>
          </w:p>
          <w:p w14:paraId="14889CF0" w14:textId="6610B00E"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lastRenderedPageBreak/>
              <w:t>Support for individual tailored learning including post graduate study, cognitive coaching, self-directed learning, individualised leadership coaching and leadership shadowing.</w:t>
            </w:r>
          </w:p>
          <w:p w14:paraId="57F97010" w14:textId="49D2643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New Principals’ Network established to provide ‘in time’ leadership formation, professional support.</w:t>
            </w:r>
          </w:p>
          <w:p w14:paraId="174CFD97" w14:textId="49C1AA9B" w:rsidR="00267BDB" w:rsidRPr="00E90790" w:rsidRDefault="00267BDB" w:rsidP="00C920AB">
            <w:pPr>
              <w:numPr>
                <w:ilvl w:val="0"/>
                <w:numId w:val="9"/>
              </w:numPr>
              <w:rPr>
                <w:rFonts w:cs="Arial"/>
                <w:b/>
                <w:bCs/>
                <w:iCs/>
                <w:color w:val="0D0D0D" w:themeColor="text1" w:themeTint="F2"/>
              </w:rPr>
            </w:pPr>
            <w:r w:rsidRPr="00E90790">
              <w:rPr>
                <w:rFonts w:cs="Arial"/>
                <w:iCs/>
                <w:color w:val="0D0D0D" w:themeColor="text1" w:themeTint="F2"/>
              </w:rPr>
              <w:t>Women in Leadership - future and current leaders will be supported to build capabilities and professional practices in high quality leadership.</w:t>
            </w:r>
          </w:p>
        </w:tc>
        <w:tc>
          <w:tcPr>
            <w:tcW w:w="1418" w:type="dxa"/>
            <w:tcBorders>
              <w:top w:val="single" w:sz="4" w:space="0" w:color="auto"/>
              <w:bottom w:val="single" w:sz="4" w:space="0" w:color="auto"/>
            </w:tcBorders>
          </w:tcPr>
          <w:p w14:paraId="0FCD8CF7" w14:textId="77777777" w:rsidR="00D862BD" w:rsidRPr="00E90790" w:rsidRDefault="00D862BD" w:rsidP="00C920AB">
            <w:pPr>
              <w:rPr>
                <w:rFonts w:cs="Arial"/>
                <w:iCs/>
                <w:color w:val="0D0D0D" w:themeColor="text1" w:themeTint="F2"/>
              </w:rPr>
            </w:pPr>
          </w:p>
          <w:p w14:paraId="7FA95348" w14:textId="6941790B" w:rsidR="00267BDB" w:rsidRPr="00E90790" w:rsidRDefault="00267BDB" w:rsidP="00C920AB">
            <w:pPr>
              <w:rPr>
                <w:rFonts w:cs="Arial"/>
                <w:iCs/>
                <w:color w:val="0D0D0D" w:themeColor="text1" w:themeTint="F2"/>
              </w:rPr>
            </w:pPr>
            <w:r w:rsidRPr="00E90790">
              <w:rPr>
                <w:rFonts w:cs="Arial"/>
                <w:iCs/>
                <w:color w:val="0D0D0D" w:themeColor="text1" w:themeTint="F2"/>
              </w:rPr>
              <w:t>$160,000</w:t>
            </w:r>
          </w:p>
          <w:p w14:paraId="1DECF1A9" w14:textId="77777777" w:rsidR="00267BDB" w:rsidRPr="00E90790" w:rsidRDefault="00267BDB" w:rsidP="00C920AB">
            <w:pPr>
              <w:rPr>
                <w:rFonts w:cs="Arial"/>
                <w:iCs/>
                <w:color w:val="0D0D0D" w:themeColor="text1" w:themeTint="F2"/>
              </w:rPr>
            </w:pPr>
          </w:p>
        </w:tc>
        <w:tc>
          <w:tcPr>
            <w:tcW w:w="2551" w:type="dxa"/>
            <w:tcBorders>
              <w:top w:val="single" w:sz="4" w:space="0" w:color="auto"/>
              <w:bottom w:val="single" w:sz="4" w:space="0" w:color="auto"/>
            </w:tcBorders>
          </w:tcPr>
          <w:p w14:paraId="7BA277B0" w14:textId="77777777" w:rsidR="00D862BD" w:rsidRPr="00E90790" w:rsidRDefault="00D862BD" w:rsidP="00D862BD">
            <w:pPr>
              <w:rPr>
                <w:rFonts w:cs="Arial"/>
                <w:iCs/>
                <w:color w:val="0D0D0D" w:themeColor="text1" w:themeTint="F2"/>
              </w:rPr>
            </w:pPr>
          </w:p>
          <w:p w14:paraId="7B310C7C" w14:textId="5BA59DC5"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Increased number of principal ready, deputy principal ready and assistant principal ready individuals. </w:t>
            </w:r>
          </w:p>
          <w:p w14:paraId="23B8DA2C" w14:textId="77777777" w:rsidR="00267BDB" w:rsidRPr="00E90790" w:rsidRDefault="00267BDB" w:rsidP="00C920AB">
            <w:pPr>
              <w:rPr>
                <w:rFonts w:cs="Arial"/>
                <w:iCs/>
                <w:color w:val="0D0D0D" w:themeColor="text1" w:themeTint="F2"/>
              </w:rPr>
            </w:pPr>
          </w:p>
          <w:p w14:paraId="05969DD5" w14:textId="6E6E4138"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Increased capacity in the use of the CESA Leadership Standard.</w:t>
            </w:r>
          </w:p>
          <w:p w14:paraId="7E31B1AB" w14:textId="77777777" w:rsidR="00267BDB" w:rsidRPr="00E90790" w:rsidRDefault="00267BDB" w:rsidP="00C920AB">
            <w:pPr>
              <w:rPr>
                <w:rFonts w:cs="Arial"/>
                <w:iCs/>
                <w:color w:val="0D0D0D" w:themeColor="text1" w:themeTint="F2"/>
              </w:rPr>
            </w:pPr>
          </w:p>
          <w:p w14:paraId="3FDC0687" w14:textId="2F0190A8"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All new school leaders effectively onboarded and inducted in school and system leadership.</w:t>
            </w:r>
          </w:p>
          <w:p w14:paraId="76F34128" w14:textId="77777777" w:rsidR="00267BDB" w:rsidRPr="00E90790" w:rsidRDefault="00267BDB" w:rsidP="00C920AB">
            <w:pPr>
              <w:pStyle w:val="ListParagraph"/>
              <w:rPr>
                <w:rFonts w:cs="Arial"/>
                <w:iCs/>
                <w:color w:val="0D0D0D" w:themeColor="text1" w:themeTint="F2"/>
              </w:rPr>
            </w:pPr>
          </w:p>
          <w:p w14:paraId="65D9854F" w14:textId="0630F914"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New Principals’ Network established.</w:t>
            </w:r>
          </w:p>
          <w:p w14:paraId="64DC14B8" w14:textId="77777777" w:rsidR="00267BDB" w:rsidRPr="00E90790" w:rsidRDefault="00267BDB" w:rsidP="00C920AB">
            <w:pPr>
              <w:rPr>
                <w:rFonts w:cs="Arial"/>
                <w:iCs/>
                <w:color w:val="0D0D0D" w:themeColor="text1" w:themeTint="F2"/>
              </w:rPr>
            </w:pPr>
          </w:p>
          <w:p w14:paraId="7322D00A" w14:textId="0E9760F3"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Increase in number of female principals, deputy and assistant principals.</w:t>
            </w:r>
          </w:p>
          <w:p w14:paraId="1993F876" w14:textId="77777777" w:rsidR="00267BDB" w:rsidRPr="00E90790" w:rsidRDefault="00267BDB" w:rsidP="00C920AB">
            <w:pPr>
              <w:rPr>
                <w:rFonts w:cs="Arial"/>
                <w:iCs/>
                <w:color w:val="0D0D0D" w:themeColor="text1" w:themeTint="F2"/>
              </w:rPr>
            </w:pPr>
          </w:p>
          <w:p w14:paraId="006D5A4B" w14:textId="585CD836"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Profile of women leaders raised across system including regional and rural contexts.</w:t>
            </w:r>
          </w:p>
          <w:p w14:paraId="799A2B7B" w14:textId="3E4BD2CD" w:rsidR="00267BDB" w:rsidRPr="00E90790" w:rsidRDefault="00267BDB" w:rsidP="00C920AB">
            <w:pPr>
              <w:ind w:left="360"/>
              <w:rPr>
                <w:rFonts w:cs="Arial"/>
                <w:iCs/>
                <w:color w:val="0D0D0D" w:themeColor="text1" w:themeTint="F2"/>
              </w:rPr>
            </w:pPr>
          </w:p>
        </w:tc>
        <w:tc>
          <w:tcPr>
            <w:tcW w:w="3686" w:type="dxa"/>
            <w:tcBorders>
              <w:top w:val="single" w:sz="4" w:space="0" w:color="auto"/>
              <w:bottom w:val="single" w:sz="4" w:space="0" w:color="auto"/>
            </w:tcBorders>
          </w:tcPr>
          <w:p w14:paraId="2A8312AF" w14:textId="77777777" w:rsidR="00267BDB" w:rsidRPr="00E90790" w:rsidRDefault="00267BDB" w:rsidP="00C920AB">
            <w:pPr>
              <w:rPr>
                <w:rFonts w:cs="Arial"/>
                <w:iCs/>
                <w:color w:val="0D0D0D" w:themeColor="text1" w:themeTint="F2"/>
              </w:rPr>
            </w:pPr>
          </w:p>
        </w:tc>
      </w:tr>
      <w:tr w:rsidR="00E90790" w:rsidRPr="00E90790" w14:paraId="4EB07B5D" w14:textId="77777777" w:rsidTr="00D67468">
        <w:trPr>
          <w:trHeight w:val="1217"/>
        </w:trPr>
        <w:tc>
          <w:tcPr>
            <w:tcW w:w="3970" w:type="dxa"/>
            <w:tcBorders>
              <w:top w:val="single" w:sz="4" w:space="0" w:color="auto"/>
            </w:tcBorders>
          </w:tcPr>
          <w:p w14:paraId="2A6C9522" w14:textId="77777777" w:rsidR="00267BDB" w:rsidRPr="00E90790" w:rsidRDefault="00267BDB" w:rsidP="00C920AB">
            <w:pPr>
              <w:rPr>
                <w:rFonts w:cs="Arial"/>
                <w:iCs/>
                <w:color w:val="0D0D0D" w:themeColor="text1" w:themeTint="F2"/>
              </w:rPr>
            </w:pPr>
          </w:p>
        </w:tc>
        <w:tc>
          <w:tcPr>
            <w:tcW w:w="3402" w:type="dxa"/>
            <w:tcBorders>
              <w:top w:val="single" w:sz="4" w:space="0" w:color="auto"/>
            </w:tcBorders>
          </w:tcPr>
          <w:p w14:paraId="1D21B061" w14:textId="77777777" w:rsidR="00D862BD" w:rsidRPr="00E90790" w:rsidRDefault="00D862BD" w:rsidP="00C920AB">
            <w:pPr>
              <w:rPr>
                <w:rFonts w:cs="Arial"/>
                <w:b/>
                <w:bCs/>
                <w:iCs/>
                <w:color w:val="0D0D0D" w:themeColor="text1" w:themeTint="F2"/>
              </w:rPr>
            </w:pPr>
          </w:p>
          <w:p w14:paraId="5D752AA6" w14:textId="22D69513" w:rsidR="00267BDB" w:rsidRPr="00E90790" w:rsidRDefault="00267BDB" w:rsidP="00C920AB">
            <w:pPr>
              <w:rPr>
                <w:rFonts w:cs="Arial"/>
                <w:b/>
                <w:bCs/>
                <w:iCs/>
                <w:color w:val="0D0D0D" w:themeColor="text1" w:themeTint="F2"/>
              </w:rPr>
            </w:pPr>
            <w:r w:rsidRPr="00E90790">
              <w:rPr>
                <w:rFonts w:cs="Arial"/>
                <w:b/>
                <w:bCs/>
                <w:iCs/>
                <w:color w:val="0D0D0D" w:themeColor="text1" w:themeTint="F2"/>
              </w:rPr>
              <w:t>ENTREPRENURIAL EDUCATION</w:t>
            </w:r>
          </w:p>
          <w:p w14:paraId="72F20C2D" w14:textId="77777777" w:rsidR="00267BDB" w:rsidRPr="00E90790" w:rsidRDefault="00267BDB" w:rsidP="00C920AB">
            <w:pPr>
              <w:rPr>
                <w:rFonts w:cs="Arial"/>
                <w:b/>
                <w:bCs/>
                <w:iCs/>
                <w:color w:val="0D0D0D" w:themeColor="text1" w:themeTint="F2"/>
              </w:rPr>
            </w:pPr>
          </w:p>
          <w:p w14:paraId="22A20961" w14:textId="1C4E89CA" w:rsidR="00267BDB" w:rsidRPr="00E90790" w:rsidRDefault="00267BDB" w:rsidP="00C920AB">
            <w:pPr>
              <w:rPr>
                <w:rFonts w:cs="Arial"/>
                <w:iCs/>
                <w:color w:val="0D0D0D" w:themeColor="text1" w:themeTint="F2"/>
              </w:rPr>
            </w:pPr>
            <w:r w:rsidRPr="00E90790">
              <w:rPr>
                <w:rFonts w:cs="Arial"/>
                <w:iCs/>
                <w:color w:val="0D0D0D" w:themeColor="text1" w:themeTint="F2"/>
              </w:rPr>
              <w:t xml:space="preserve">The CESA R-12 Entrepreneurial Education strategy will be co-constructed with membership from system, school, industry, and entrepreneur representatives to create a model of social entrepreneurial education in which students understand that there are limitless possibilities for adding value to all lives. Professional learning resources will be developed and piloted in 2022.This </w:t>
            </w:r>
            <w:r w:rsidRPr="00E90790">
              <w:rPr>
                <w:rFonts w:cs="Arial"/>
                <w:iCs/>
                <w:color w:val="0D0D0D" w:themeColor="text1" w:themeTint="F2"/>
              </w:rPr>
              <w:lastRenderedPageBreak/>
              <w:t xml:space="preserve">work will be achieved in partnership with </w:t>
            </w:r>
            <w:r w:rsidRPr="00E90790">
              <w:rPr>
                <w:rFonts w:cs="Arial"/>
                <w:i/>
                <w:color w:val="0D0D0D" w:themeColor="text1" w:themeTint="F2"/>
              </w:rPr>
              <w:t>A School for Tomorrow</w:t>
            </w:r>
            <w:r w:rsidRPr="00E90790">
              <w:rPr>
                <w:rFonts w:cs="Arial"/>
                <w:iCs/>
                <w:color w:val="0D0D0D" w:themeColor="text1" w:themeTint="F2"/>
              </w:rPr>
              <w:t>.</w:t>
            </w:r>
          </w:p>
        </w:tc>
        <w:tc>
          <w:tcPr>
            <w:tcW w:w="1418" w:type="dxa"/>
            <w:tcBorders>
              <w:top w:val="single" w:sz="4" w:space="0" w:color="auto"/>
            </w:tcBorders>
          </w:tcPr>
          <w:p w14:paraId="0DA5D6AA" w14:textId="77777777" w:rsidR="00D862BD" w:rsidRPr="00E90790" w:rsidRDefault="00D862BD" w:rsidP="00C920AB">
            <w:pPr>
              <w:rPr>
                <w:rFonts w:cs="Arial"/>
                <w:iCs/>
                <w:color w:val="0D0D0D" w:themeColor="text1" w:themeTint="F2"/>
              </w:rPr>
            </w:pPr>
          </w:p>
          <w:p w14:paraId="0C5F3596" w14:textId="30782EBD" w:rsidR="00267BDB" w:rsidRPr="00E90790" w:rsidRDefault="00267BDB" w:rsidP="00C920AB">
            <w:pPr>
              <w:rPr>
                <w:rFonts w:cs="Arial"/>
                <w:iCs/>
                <w:color w:val="0D0D0D" w:themeColor="text1" w:themeTint="F2"/>
              </w:rPr>
            </w:pPr>
            <w:r w:rsidRPr="00E90790">
              <w:rPr>
                <w:rFonts w:cs="Arial"/>
                <w:iCs/>
                <w:color w:val="0D0D0D" w:themeColor="text1" w:themeTint="F2"/>
              </w:rPr>
              <w:t>$44,000</w:t>
            </w:r>
          </w:p>
          <w:p w14:paraId="3D4E816A" w14:textId="77777777" w:rsidR="00267BDB" w:rsidRPr="00E90790" w:rsidRDefault="00267BDB" w:rsidP="00C920AB">
            <w:pPr>
              <w:rPr>
                <w:rFonts w:cs="Arial"/>
                <w:iCs/>
                <w:color w:val="0D0D0D" w:themeColor="text1" w:themeTint="F2"/>
              </w:rPr>
            </w:pPr>
          </w:p>
        </w:tc>
        <w:tc>
          <w:tcPr>
            <w:tcW w:w="2551" w:type="dxa"/>
            <w:tcBorders>
              <w:top w:val="single" w:sz="4" w:space="0" w:color="auto"/>
            </w:tcBorders>
          </w:tcPr>
          <w:p w14:paraId="735688A5" w14:textId="77777777" w:rsidR="00D862BD" w:rsidRPr="00E90790" w:rsidRDefault="00D862BD" w:rsidP="00D862BD">
            <w:pPr>
              <w:rPr>
                <w:rFonts w:cs="Arial"/>
                <w:iCs/>
                <w:color w:val="0D0D0D" w:themeColor="text1" w:themeTint="F2"/>
              </w:rPr>
            </w:pPr>
          </w:p>
          <w:p w14:paraId="71F281F4" w14:textId="2E28EE9B" w:rsidR="00267BDB" w:rsidRPr="00E90790" w:rsidRDefault="00267BDB" w:rsidP="00C920AB">
            <w:pPr>
              <w:pStyle w:val="ListParagraph"/>
              <w:numPr>
                <w:ilvl w:val="0"/>
                <w:numId w:val="35"/>
              </w:numPr>
              <w:ind w:left="315" w:hanging="282"/>
              <w:rPr>
                <w:rFonts w:cs="Arial"/>
                <w:iCs/>
                <w:color w:val="0D0D0D" w:themeColor="text1" w:themeTint="F2"/>
              </w:rPr>
            </w:pPr>
            <w:r w:rsidRPr="00E90790">
              <w:rPr>
                <w:rFonts w:cs="Arial"/>
                <w:iCs/>
                <w:color w:val="0D0D0D" w:themeColor="text1" w:themeTint="F2"/>
              </w:rPr>
              <w:t xml:space="preserve">Entrepreneurial learning is aligned to the CESA Key Capabilities. </w:t>
            </w:r>
          </w:p>
          <w:p w14:paraId="7F706945" w14:textId="77777777" w:rsidR="00267BDB" w:rsidRPr="00E90790" w:rsidRDefault="00267BDB" w:rsidP="00C920AB">
            <w:pPr>
              <w:ind w:left="315" w:hanging="282"/>
              <w:rPr>
                <w:rFonts w:cs="Arial"/>
                <w:iCs/>
                <w:color w:val="0D0D0D" w:themeColor="text1" w:themeTint="F2"/>
              </w:rPr>
            </w:pPr>
          </w:p>
          <w:p w14:paraId="16837F6B" w14:textId="77777777" w:rsidR="00267BDB" w:rsidRPr="00E90790" w:rsidRDefault="00267BDB" w:rsidP="00C920AB">
            <w:pPr>
              <w:pStyle w:val="ListParagraph"/>
              <w:numPr>
                <w:ilvl w:val="0"/>
                <w:numId w:val="35"/>
              </w:numPr>
              <w:ind w:left="315" w:hanging="282"/>
              <w:rPr>
                <w:rFonts w:cs="Arial"/>
                <w:iCs/>
                <w:color w:val="0D0D0D" w:themeColor="text1" w:themeTint="F2"/>
              </w:rPr>
            </w:pPr>
            <w:r w:rsidRPr="00E90790">
              <w:rPr>
                <w:rFonts w:cs="Arial"/>
                <w:iCs/>
                <w:color w:val="0D0D0D" w:themeColor="text1" w:themeTint="F2"/>
              </w:rPr>
              <w:t>Glossary of technical language developed.</w:t>
            </w:r>
          </w:p>
          <w:p w14:paraId="4DBBEF62" w14:textId="77777777" w:rsidR="00267BDB" w:rsidRPr="00E90790" w:rsidRDefault="00267BDB" w:rsidP="00C920AB">
            <w:pPr>
              <w:pStyle w:val="ListParagraph"/>
              <w:ind w:left="315" w:hanging="282"/>
              <w:rPr>
                <w:rFonts w:cs="Arial"/>
                <w:iCs/>
                <w:color w:val="0D0D0D" w:themeColor="text1" w:themeTint="F2"/>
              </w:rPr>
            </w:pPr>
          </w:p>
          <w:p w14:paraId="07C79BAC" w14:textId="48B8CF5F" w:rsidR="00267BDB" w:rsidRPr="00E90790" w:rsidRDefault="00267BDB" w:rsidP="00C920AB">
            <w:pPr>
              <w:pStyle w:val="ListParagraph"/>
              <w:numPr>
                <w:ilvl w:val="0"/>
                <w:numId w:val="35"/>
              </w:numPr>
              <w:ind w:left="315" w:hanging="282"/>
              <w:rPr>
                <w:rFonts w:cs="Arial"/>
                <w:iCs/>
                <w:color w:val="0D0D0D" w:themeColor="text1" w:themeTint="F2"/>
              </w:rPr>
            </w:pPr>
            <w:r w:rsidRPr="00E90790">
              <w:rPr>
                <w:rFonts w:cs="Arial"/>
                <w:iCs/>
                <w:color w:val="0D0D0D" w:themeColor="text1" w:themeTint="F2"/>
              </w:rPr>
              <w:t>12 schools and 24 teachers involved in trialling.</w:t>
            </w:r>
          </w:p>
        </w:tc>
        <w:tc>
          <w:tcPr>
            <w:tcW w:w="3686" w:type="dxa"/>
            <w:tcBorders>
              <w:top w:val="single" w:sz="4" w:space="0" w:color="auto"/>
            </w:tcBorders>
          </w:tcPr>
          <w:p w14:paraId="0FABD8FF" w14:textId="77777777" w:rsidR="00267BDB" w:rsidRPr="00E90790" w:rsidRDefault="00267BDB" w:rsidP="00C920AB">
            <w:pPr>
              <w:rPr>
                <w:rFonts w:cs="Arial"/>
                <w:iCs/>
                <w:color w:val="0D0D0D" w:themeColor="text1" w:themeTint="F2"/>
              </w:rPr>
            </w:pPr>
          </w:p>
        </w:tc>
      </w:tr>
      <w:tr w:rsidR="00E90790" w:rsidRPr="00E90790" w14:paraId="79A9F662" w14:textId="77777777" w:rsidTr="00D862BD">
        <w:trPr>
          <w:trHeight w:val="2756"/>
        </w:trPr>
        <w:tc>
          <w:tcPr>
            <w:tcW w:w="3970" w:type="dxa"/>
          </w:tcPr>
          <w:p w14:paraId="67D6E047" w14:textId="77777777" w:rsidR="00D862BD" w:rsidRPr="00E90790" w:rsidRDefault="00D862BD" w:rsidP="00C920AB">
            <w:pPr>
              <w:rPr>
                <w:rFonts w:cs="Arial"/>
                <w:b/>
                <w:bCs/>
                <w:iCs/>
                <w:color w:val="0D0D0D" w:themeColor="text1" w:themeTint="F2"/>
              </w:rPr>
            </w:pPr>
          </w:p>
          <w:p w14:paraId="0603D05E" w14:textId="1972E564" w:rsidR="00267BDB" w:rsidRPr="00E90790" w:rsidRDefault="00267BDB" w:rsidP="00C920AB">
            <w:pPr>
              <w:rPr>
                <w:rFonts w:cs="Arial"/>
                <w:b/>
                <w:bCs/>
                <w:iCs/>
                <w:color w:val="0D0D0D" w:themeColor="text1" w:themeTint="F2"/>
              </w:rPr>
            </w:pPr>
            <w:r w:rsidRPr="00E90790">
              <w:rPr>
                <w:rFonts w:cs="Arial"/>
                <w:b/>
                <w:bCs/>
                <w:iCs/>
                <w:color w:val="0D0D0D" w:themeColor="text1" w:themeTint="F2"/>
              </w:rPr>
              <w:t>KEY DIRECTION 3 Enhancing evidence for improvement</w:t>
            </w:r>
          </w:p>
          <w:p w14:paraId="5B5D48D7" w14:textId="77777777" w:rsidR="00267BDB" w:rsidRPr="00E90790" w:rsidRDefault="00267BDB" w:rsidP="00C920AB">
            <w:pPr>
              <w:rPr>
                <w:rFonts w:cs="Arial"/>
                <w:b/>
                <w:bCs/>
                <w:iCs/>
                <w:color w:val="0D0D0D" w:themeColor="text1" w:themeTint="F2"/>
              </w:rPr>
            </w:pPr>
          </w:p>
          <w:p w14:paraId="24C03DC5" w14:textId="77777777" w:rsidR="00267BDB" w:rsidRPr="00E90790" w:rsidRDefault="00267BDB" w:rsidP="00C920AB">
            <w:pPr>
              <w:rPr>
                <w:rFonts w:cs="Arial"/>
                <w:b/>
                <w:bCs/>
                <w:iCs/>
                <w:color w:val="0D0D0D" w:themeColor="text1" w:themeTint="F2"/>
              </w:rPr>
            </w:pPr>
            <w:r w:rsidRPr="00E90790">
              <w:rPr>
                <w:rFonts w:cs="Arial"/>
                <w:b/>
                <w:bCs/>
                <w:iCs/>
                <w:color w:val="0D0D0D" w:themeColor="text1" w:themeTint="F2"/>
              </w:rPr>
              <w:t xml:space="preserve">EFFECTIVE USE OF DATA </w:t>
            </w:r>
          </w:p>
          <w:p w14:paraId="7E0E63FD" w14:textId="77777777" w:rsidR="00267BDB" w:rsidRPr="00E90790" w:rsidRDefault="00267BDB" w:rsidP="00C920AB">
            <w:pPr>
              <w:rPr>
                <w:rFonts w:cs="Arial"/>
                <w:b/>
                <w:bCs/>
                <w:iCs/>
                <w:color w:val="0D0D0D" w:themeColor="text1" w:themeTint="F2"/>
              </w:rPr>
            </w:pPr>
          </w:p>
          <w:p w14:paraId="091ECE4F"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 xml:space="preserve">National Policy reform direction: </w:t>
            </w:r>
          </w:p>
          <w:p w14:paraId="7DDD67AA" w14:textId="77777777" w:rsidR="00267BDB" w:rsidRPr="00E90790" w:rsidRDefault="00267BDB" w:rsidP="00C920AB">
            <w:pPr>
              <w:rPr>
                <w:rFonts w:cs="Arial"/>
                <w:b/>
                <w:bCs/>
                <w:iCs/>
                <w:color w:val="0D0D0D" w:themeColor="text1" w:themeTint="F2"/>
              </w:rPr>
            </w:pPr>
          </w:p>
          <w:p w14:paraId="31DEE317" w14:textId="77777777" w:rsidR="00267BDB" w:rsidRPr="00E90790" w:rsidRDefault="00267BDB" w:rsidP="00C920AB">
            <w:pPr>
              <w:rPr>
                <w:rFonts w:cs="Arial"/>
                <w:iCs/>
                <w:color w:val="0D0D0D" w:themeColor="text1" w:themeTint="F2"/>
              </w:rPr>
            </w:pPr>
            <w:r w:rsidRPr="00E90790">
              <w:rPr>
                <w:rFonts w:cs="Arial"/>
                <w:i/>
                <w:color w:val="0D0D0D" w:themeColor="text1" w:themeTint="F2"/>
              </w:rPr>
              <w:t>Improving national data quality, consistency and collection to improve the national evidence base and inform policy development</w:t>
            </w:r>
            <w:r w:rsidRPr="00E90790">
              <w:rPr>
                <w:rFonts w:cs="Arial"/>
                <w:iCs/>
                <w:color w:val="0D0D0D" w:themeColor="text1" w:themeTint="F2"/>
              </w:rPr>
              <w:t>.</w:t>
            </w:r>
          </w:p>
        </w:tc>
        <w:tc>
          <w:tcPr>
            <w:tcW w:w="3402" w:type="dxa"/>
          </w:tcPr>
          <w:p w14:paraId="3D483F62" w14:textId="77777777" w:rsidR="00D862BD" w:rsidRPr="00E90790" w:rsidRDefault="00D862BD" w:rsidP="00C920AB">
            <w:pPr>
              <w:rPr>
                <w:rFonts w:cs="Arial"/>
                <w:b/>
                <w:bCs/>
                <w:iCs/>
                <w:color w:val="0D0D0D" w:themeColor="text1" w:themeTint="F2"/>
              </w:rPr>
            </w:pPr>
          </w:p>
          <w:p w14:paraId="4EBAA66C" w14:textId="3966F16A" w:rsidR="00267BDB" w:rsidRPr="00E90790" w:rsidRDefault="00267BDB" w:rsidP="00C920AB">
            <w:pPr>
              <w:rPr>
                <w:rFonts w:cs="Arial"/>
                <w:b/>
                <w:bCs/>
                <w:iCs/>
                <w:color w:val="0D0D0D" w:themeColor="text1" w:themeTint="F2"/>
              </w:rPr>
            </w:pPr>
            <w:r w:rsidRPr="00E90790">
              <w:rPr>
                <w:rFonts w:cs="Arial"/>
                <w:b/>
                <w:bCs/>
                <w:iCs/>
                <w:color w:val="0D0D0D" w:themeColor="text1" w:themeTint="F2"/>
              </w:rPr>
              <w:t>ENHANCING EVIDENCE FOR IMPROVEMENT</w:t>
            </w:r>
          </w:p>
          <w:p w14:paraId="698F587F" w14:textId="77777777" w:rsidR="00267BDB" w:rsidRPr="00E90790" w:rsidRDefault="00267BDB" w:rsidP="00C920AB">
            <w:pPr>
              <w:rPr>
                <w:rFonts w:cs="Arial"/>
                <w:b/>
                <w:bCs/>
                <w:iCs/>
                <w:color w:val="0D0D0D" w:themeColor="text1" w:themeTint="F2"/>
              </w:rPr>
            </w:pPr>
          </w:p>
          <w:p w14:paraId="3B42E31E" w14:textId="77777777" w:rsidR="00267BDB" w:rsidRPr="00E90790" w:rsidRDefault="00267BDB" w:rsidP="00C920AB">
            <w:pPr>
              <w:rPr>
                <w:rFonts w:cs="Arial"/>
                <w:b/>
                <w:bCs/>
                <w:iCs/>
                <w:color w:val="0D0D0D" w:themeColor="text1" w:themeTint="F2"/>
              </w:rPr>
            </w:pPr>
            <w:r w:rsidRPr="00E90790">
              <w:rPr>
                <w:rFonts w:cs="Arial"/>
                <w:b/>
                <w:bCs/>
                <w:iCs/>
                <w:color w:val="0D0D0D" w:themeColor="text1" w:themeTint="F2"/>
              </w:rPr>
              <w:t>Ongoing development, analysis and review of the LLL Survey Data.</w:t>
            </w:r>
          </w:p>
          <w:p w14:paraId="100FCDB8" w14:textId="77777777" w:rsidR="00267BDB" w:rsidRPr="00E90790" w:rsidRDefault="00267BDB" w:rsidP="00C920AB">
            <w:pPr>
              <w:rPr>
                <w:rFonts w:cs="Arial"/>
                <w:b/>
                <w:bCs/>
                <w:iCs/>
                <w:color w:val="0D0D0D" w:themeColor="text1" w:themeTint="F2"/>
              </w:rPr>
            </w:pPr>
          </w:p>
          <w:p w14:paraId="4953BAD3"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The Living Learning Leading Surveys (previously referred to as the system-wide tool) commenced development in 2020 in collaboration with Curtin University will continue in 2022.</w:t>
            </w:r>
          </w:p>
          <w:p w14:paraId="2C330639" w14:textId="77777777" w:rsidR="00267BDB" w:rsidRPr="00E90790" w:rsidRDefault="00267BDB" w:rsidP="00C920AB">
            <w:pPr>
              <w:rPr>
                <w:rFonts w:cs="Arial"/>
                <w:iCs/>
                <w:color w:val="0D0D0D" w:themeColor="text1" w:themeTint="F2"/>
              </w:rPr>
            </w:pPr>
          </w:p>
          <w:p w14:paraId="3C827CD1" w14:textId="77777777" w:rsidR="00267BDB" w:rsidRPr="00E90790" w:rsidRDefault="00267BDB" w:rsidP="00C920AB">
            <w:pPr>
              <w:rPr>
                <w:rFonts w:cs="Arial"/>
                <w:iCs/>
                <w:color w:val="0D0D0D" w:themeColor="text1" w:themeTint="F2"/>
              </w:rPr>
            </w:pPr>
            <w:r w:rsidRPr="00E90790">
              <w:rPr>
                <w:rFonts w:cs="Arial"/>
                <w:iCs/>
                <w:color w:val="0D0D0D" w:themeColor="text1" w:themeTint="F2"/>
              </w:rPr>
              <w:t>Results for every school are uploaded to the system portal – the Balanced Score Card. School and system-wide reports will be produced to enable monitoring of outcomes over time, using measures that cover all aspects of student learning, capabilities, wellbeing, engagement and achievement.</w:t>
            </w:r>
          </w:p>
          <w:p w14:paraId="74FB3C08" w14:textId="70D77277" w:rsidR="00267BDB" w:rsidRPr="00E90790" w:rsidRDefault="00267BDB" w:rsidP="00C920AB">
            <w:pPr>
              <w:rPr>
                <w:rFonts w:cs="Arial"/>
                <w:b/>
                <w:bCs/>
                <w:iCs/>
                <w:color w:val="0D0D0D" w:themeColor="text1" w:themeTint="F2"/>
              </w:rPr>
            </w:pPr>
            <w:r w:rsidRPr="00E90790">
              <w:rPr>
                <w:rFonts w:cs="Arial"/>
                <w:iCs/>
                <w:color w:val="0D0D0D" w:themeColor="text1" w:themeTint="F2"/>
              </w:rPr>
              <w:t xml:space="preserve">In addition to the surveys, a school based joint research ‘partnership’ </w:t>
            </w:r>
            <w:r w:rsidRPr="00E90790">
              <w:rPr>
                <w:rFonts w:cs="Arial"/>
                <w:iCs/>
                <w:color w:val="0D0D0D" w:themeColor="text1" w:themeTint="F2"/>
              </w:rPr>
              <w:lastRenderedPageBreak/>
              <w:t>between CESA and Curtin University will commence in 2022.  The research will identify the factors which contribute to successful system-wide reform.</w:t>
            </w:r>
          </w:p>
        </w:tc>
        <w:tc>
          <w:tcPr>
            <w:tcW w:w="1418" w:type="dxa"/>
          </w:tcPr>
          <w:p w14:paraId="7D8ED54B" w14:textId="77777777" w:rsidR="00D862BD" w:rsidRPr="00E90790" w:rsidRDefault="00D862BD" w:rsidP="00C920AB">
            <w:pPr>
              <w:rPr>
                <w:rFonts w:cs="Arial"/>
                <w:iCs/>
                <w:color w:val="0D0D0D" w:themeColor="text1" w:themeTint="F2"/>
              </w:rPr>
            </w:pPr>
          </w:p>
          <w:p w14:paraId="653B0480" w14:textId="17B45E35" w:rsidR="00267BDB" w:rsidRPr="00E90790" w:rsidRDefault="00267BDB" w:rsidP="00C920AB">
            <w:pPr>
              <w:rPr>
                <w:rFonts w:cs="Arial"/>
                <w:iCs/>
                <w:color w:val="0D0D0D" w:themeColor="text1" w:themeTint="F2"/>
              </w:rPr>
            </w:pPr>
            <w:r w:rsidRPr="00E90790">
              <w:rPr>
                <w:rFonts w:cs="Arial"/>
                <w:iCs/>
                <w:color w:val="0D0D0D" w:themeColor="text1" w:themeTint="F2"/>
              </w:rPr>
              <w:t>Total Funding for Key Direction 3 $150,000</w:t>
            </w:r>
          </w:p>
        </w:tc>
        <w:tc>
          <w:tcPr>
            <w:tcW w:w="2551" w:type="dxa"/>
          </w:tcPr>
          <w:p w14:paraId="7BEB1B5A" w14:textId="77777777" w:rsidR="00D862BD" w:rsidRPr="00E90790" w:rsidRDefault="00D862BD" w:rsidP="00D862BD">
            <w:pPr>
              <w:rPr>
                <w:rFonts w:cs="Arial"/>
                <w:iCs/>
                <w:color w:val="0D0D0D" w:themeColor="text1" w:themeTint="F2"/>
              </w:rPr>
            </w:pPr>
          </w:p>
          <w:p w14:paraId="24289D9C" w14:textId="6B99875E"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All diocesan schools will have completed a second round of Living Learning Leading Surveys with teachers, students and parents.</w:t>
            </w:r>
          </w:p>
          <w:p w14:paraId="45332DDB" w14:textId="77777777" w:rsidR="00267BDB" w:rsidRPr="00E90790" w:rsidRDefault="00267BDB" w:rsidP="00C920AB">
            <w:pPr>
              <w:rPr>
                <w:rFonts w:cs="Arial"/>
                <w:iCs/>
                <w:color w:val="0D0D0D" w:themeColor="text1" w:themeTint="F2"/>
              </w:rPr>
            </w:pPr>
          </w:p>
          <w:p w14:paraId="57730FA3"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Further development of the survey instrument to include a survey for students in the early years of schooling. </w:t>
            </w:r>
            <w:r w:rsidRPr="00E90790">
              <w:rPr>
                <w:rFonts w:cs="Arial"/>
                <w:iCs/>
                <w:color w:val="0D0D0D" w:themeColor="text1" w:themeTint="F2"/>
              </w:rPr>
              <w:br/>
            </w:r>
          </w:p>
          <w:p w14:paraId="742BBB53"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 xml:space="preserve"> All schools have a report of their LLL Survey outcomes.</w:t>
            </w:r>
            <w:r w:rsidRPr="00E90790">
              <w:rPr>
                <w:rFonts w:cs="Arial"/>
                <w:iCs/>
                <w:color w:val="0D0D0D" w:themeColor="text1" w:themeTint="F2"/>
              </w:rPr>
              <w:br/>
            </w:r>
          </w:p>
          <w:p w14:paraId="4CBE5A8F"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System-wide performance reports generated.</w:t>
            </w:r>
          </w:p>
        </w:tc>
        <w:tc>
          <w:tcPr>
            <w:tcW w:w="3686" w:type="dxa"/>
          </w:tcPr>
          <w:p w14:paraId="6738F73A" w14:textId="77777777" w:rsidR="00D862BD" w:rsidRPr="00E90790" w:rsidRDefault="00D862BD" w:rsidP="00C920AB">
            <w:pPr>
              <w:rPr>
                <w:rFonts w:cs="Arial"/>
                <w:iCs/>
                <w:color w:val="0D0D0D" w:themeColor="text1" w:themeTint="F2"/>
              </w:rPr>
            </w:pPr>
          </w:p>
          <w:p w14:paraId="3DA50015" w14:textId="058555CB" w:rsidR="00267BDB" w:rsidRPr="00E90790" w:rsidRDefault="00267BDB" w:rsidP="00C920AB">
            <w:pPr>
              <w:rPr>
                <w:rFonts w:cs="Arial"/>
                <w:iCs/>
                <w:color w:val="0D0D0D" w:themeColor="text1" w:themeTint="F2"/>
              </w:rPr>
            </w:pPr>
            <w:r w:rsidRPr="00E90790">
              <w:rPr>
                <w:rFonts w:cs="Arial"/>
                <w:iCs/>
                <w:color w:val="0D0D0D" w:themeColor="text1" w:themeTint="F2"/>
              </w:rPr>
              <w:t>Note: the following lag indicators were devised to cover the period 2019-2022.  They cover all of the activities for Key Direction 3.</w:t>
            </w:r>
          </w:p>
          <w:p w14:paraId="7E010130" w14:textId="77777777" w:rsidR="00267BDB" w:rsidRPr="00E90790" w:rsidRDefault="00267BDB" w:rsidP="00C920AB">
            <w:pPr>
              <w:rPr>
                <w:rFonts w:cs="Arial"/>
                <w:iCs/>
                <w:color w:val="0D0D0D" w:themeColor="text1" w:themeTint="F2"/>
              </w:rPr>
            </w:pPr>
          </w:p>
          <w:p w14:paraId="07978D4B" w14:textId="5A0AF930" w:rsidR="00267BDB" w:rsidRPr="00E90790" w:rsidRDefault="00267BDB" w:rsidP="00C920AB">
            <w:pPr>
              <w:rPr>
                <w:rFonts w:cs="Arial"/>
                <w:iCs/>
                <w:color w:val="0D0D0D" w:themeColor="text1" w:themeTint="F2"/>
              </w:rPr>
            </w:pPr>
            <w:r w:rsidRPr="00E90790">
              <w:rPr>
                <w:rFonts w:cs="Arial"/>
                <w:iCs/>
                <w:color w:val="0D0D0D" w:themeColor="text1" w:themeTint="F2"/>
              </w:rPr>
              <w:t>By 2022</w:t>
            </w:r>
          </w:p>
          <w:p w14:paraId="720682AC" w14:textId="77777777" w:rsidR="00267BDB" w:rsidRPr="00E90790" w:rsidRDefault="00267BDB" w:rsidP="00C920AB">
            <w:pPr>
              <w:rPr>
                <w:rFonts w:cs="Arial"/>
                <w:iCs/>
                <w:color w:val="0D0D0D" w:themeColor="text1" w:themeTint="F2"/>
              </w:rPr>
            </w:pPr>
          </w:p>
          <w:p w14:paraId="5C143DA7"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10% increased capacity in schools to use data effectively to identify strengths and areas for improvement</w:t>
            </w:r>
          </w:p>
          <w:p w14:paraId="0F8E0D7B" w14:textId="77777777" w:rsidR="00267BDB" w:rsidRPr="00E90790" w:rsidRDefault="00267BDB" w:rsidP="00C920AB">
            <w:pPr>
              <w:rPr>
                <w:rFonts w:cs="Arial"/>
                <w:iCs/>
                <w:color w:val="0D0D0D" w:themeColor="text1" w:themeTint="F2"/>
              </w:rPr>
            </w:pPr>
          </w:p>
          <w:p w14:paraId="57A7EB0B"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90% of schools will use the system data tool to measure and report improvement</w:t>
            </w:r>
          </w:p>
          <w:p w14:paraId="5FF0EA26" w14:textId="77777777" w:rsidR="00267BDB" w:rsidRPr="00E90790" w:rsidRDefault="00267BDB" w:rsidP="00C920AB">
            <w:pPr>
              <w:rPr>
                <w:rFonts w:cs="Arial"/>
                <w:iCs/>
                <w:color w:val="0D0D0D" w:themeColor="text1" w:themeTint="F2"/>
              </w:rPr>
            </w:pPr>
          </w:p>
          <w:p w14:paraId="385395E3" w14:textId="77777777" w:rsidR="00267BDB" w:rsidRPr="00E90790" w:rsidRDefault="00267BDB" w:rsidP="00C920AB">
            <w:pPr>
              <w:numPr>
                <w:ilvl w:val="0"/>
                <w:numId w:val="9"/>
              </w:numPr>
              <w:rPr>
                <w:rFonts w:cs="Arial"/>
                <w:iCs/>
                <w:color w:val="0D0D0D" w:themeColor="text1" w:themeTint="F2"/>
              </w:rPr>
            </w:pPr>
            <w:r w:rsidRPr="00E90790">
              <w:rPr>
                <w:rFonts w:cs="Arial"/>
                <w:iCs/>
                <w:color w:val="0D0D0D" w:themeColor="text1" w:themeTint="F2"/>
              </w:rPr>
              <w:t>5% increase in number of reform initiatives formally evaluated</w:t>
            </w:r>
          </w:p>
        </w:tc>
      </w:tr>
    </w:tbl>
    <w:p w14:paraId="205FBE50" w14:textId="77777777" w:rsidR="00EE6510" w:rsidRPr="00E90790" w:rsidRDefault="00EE6510" w:rsidP="00C920AB">
      <w:pPr>
        <w:spacing w:after="0" w:line="240" w:lineRule="auto"/>
        <w:rPr>
          <w:rFonts w:cs="Arial"/>
          <w:b/>
          <w:color w:val="0D0D0D" w:themeColor="text1" w:themeTint="F2"/>
        </w:rPr>
        <w:sectPr w:rsidR="00EE6510" w:rsidRPr="00E90790" w:rsidSect="005B181D">
          <w:footerReference w:type="first" r:id="rId20"/>
          <w:pgSz w:w="16838" w:h="11906" w:orient="landscape"/>
          <w:pgMar w:top="1418" w:right="1418" w:bottom="1134" w:left="1418" w:header="708" w:footer="708" w:gutter="0"/>
          <w:cols w:space="708"/>
          <w:docGrid w:linePitch="360"/>
        </w:sectPr>
      </w:pPr>
    </w:p>
    <w:p w14:paraId="1774FED4" w14:textId="798B6331" w:rsidR="00C52C57" w:rsidRPr="00E90790" w:rsidRDefault="00BA70CD" w:rsidP="00F4535C">
      <w:pPr>
        <w:pStyle w:val="Heading3"/>
        <w:spacing w:before="0"/>
        <w:contextualSpacing/>
        <w:rPr>
          <w:rFonts w:asciiTheme="minorHAnsi" w:hAnsiTheme="minorHAnsi" w:cstheme="minorHAnsi"/>
          <w:b/>
          <w:bCs/>
          <w:color w:val="0D0D0D" w:themeColor="text1" w:themeTint="F2"/>
        </w:rPr>
      </w:pPr>
      <w:r w:rsidRPr="00E90790">
        <w:rPr>
          <w:rFonts w:asciiTheme="minorHAnsi" w:hAnsiTheme="minorHAnsi" w:cstheme="minorHAnsi"/>
          <w:b/>
          <w:bCs/>
          <w:color w:val="0D0D0D" w:themeColor="text1" w:themeTint="F2"/>
        </w:rPr>
        <w:lastRenderedPageBreak/>
        <w:t xml:space="preserve">List of Schools that CESA as their NGRB may provide </w:t>
      </w:r>
      <w:r w:rsidR="003364AB" w:rsidRPr="00E90790">
        <w:rPr>
          <w:rFonts w:asciiTheme="minorHAnsi" w:hAnsiTheme="minorHAnsi" w:cstheme="minorHAnsi"/>
          <w:b/>
          <w:bCs/>
          <w:color w:val="0D0D0D" w:themeColor="text1" w:themeTint="F2"/>
        </w:rPr>
        <w:t>implementation support of the purposes of the</w:t>
      </w:r>
      <w:r w:rsidR="00F4535C" w:rsidRPr="00E90790">
        <w:rPr>
          <w:rFonts w:asciiTheme="minorHAnsi" w:hAnsiTheme="minorHAnsi" w:cstheme="minorHAnsi"/>
          <w:b/>
          <w:bCs/>
          <w:color w:val="0D0D0D" w:themeColor="text1" w:themeTint="F2"/>
        </w:rPr>
        <w:t xml:space="preserve"> </w:t>
      </w:r>
      <w:r w:rsidR="003364AB" w:rsidRPr="00E90790">
        <w:rPr>
          <w:rFonts w:asciiTheme="minorHAnsi" w:hAnsiTheme="minorHAnsi" w:cstheme="minorHAnsi"/>
          <w:b/>
          <w:bCs/>
          <w:color w:val="0D0D0D" w:themeColor="text1" w:themeTint="F2"/>
        </w:rPr>
        <w:t xml:space="preserve">Non-Government Reform Support Fund (NGRSF) </w:t>
      </w:r>
    </w:p>
    <w:p w14:paraId="5E426FCE" w14:textId="77777777" w:rsidR="00D862BD" w:rsidRPr="00E90790" w:rsidRDefault="00D862BD" w:rsidP="00C920AB">
      <w:pPr>
        <w:spacing w:after="0" w:line="240" w:lineRule="auto"/>
        <w:ind w:left="-709"/>
        <w:rPr>
          <w:rFonts w:cs="Arial"/>
          <w:b/>
          <w:color w:val="0D0D0D" w:themeColor="text1" w:themeTint="F2"/>
          <w:u w:val="single"/>
        </w:rPr>
      </w:pPr>
    </w:p>
    <w:tbl>
      <w:tblPr>
        <w:tblStyle w:val="TableGridLight"/>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3"/>
        <w:gridCol w:w="2693"/>
      </w:tblGrid>
      <w:tr w:rsidR="00E90790" w:rsidRPr="00E90790" w14:paraId="752510FA" w14:textId="77777777" w:rsidTr="00CC1117">
        <w:trPr>
          <w:trHeight w:val="276"/>
          <w:tblHeader/>
          <w:jc w:val="center"/>
        </w:trPr>
        <w:tc>
          <w:tcPr>
            <w:tcW w:w="1985" w:type="dxa"/>
            <w:noWrap/>
            <w:vAlign w:val="center"/>
            <w:hideMark/>
          </w:tcPr>
          <w:p w14:paraId="0B1BC71A" w14:textId="77777777" w:rsidR="00C52C57" w:rsidRPr="00E90790" w:rsidRDefault="00C52C57" w:rsidP="00961FD4">
            <w:pPr>
              <w:rPr>
                <w:rFonts w:eastAsia="Times New Roman" w:cs="Arial"/>
                <w:b/>
                <w:bCs/>
                <w:color w:val="0D0D0D" w:themeColor="text1" w:themeTint="F2"/>
                <w:lang w:eastAsia="en-AU"/>
              </w:rPr>
            </w:pPr>
            <w:r w:rsidRPr="00E90790">
              <w:rPr>
                <w:rFonts w:eastAsia="Times New Roman" w:cs="Arial"/>
                <w:b/>
                <w:bCs/>
                <w:color w:val="0D0D0D" w:themeColor="text1" w:themeTint="F2"/>
                <w:lang w:eastAsia="en-AU"/>
              </w:rPr>
              <w:t>AGEID</w:t>
            </w:r>
          </w:p>
        </w:tc>
        <w:tc>
          <w:tcPr>
            <w:tcW w:w="4673" w:type="dxa"/>
            <w:noWrap/>
            <w:vAlign w:val="center"/>
            <w:hideMark/>
          </w:tcPr>
          <w:p w14:paraId="43B1DBD4" w14:textId="77777777" w:rsidR="00C52C57" w:rsidRPr="00E90790" w:rsidRDefault="00C52C57" w:rsidP="00961FD4">
            <w:pPr>
              <w:rPr>
                <w:rFonts w:eastAsia="Times New Roman" w:cs="Arial"/>
                <w:b/>
                <w:bCs/>
                <w:color w:val="0D0D0D" w:themeColor="text1" w:themeTint="F2"/>
                <w:lang w:eastAsia="en-AU"/>
              </w:rPr>
            </w:pPr>
            <w:r w:rsidRPr="00E90790">
              <w:rPr>
                <w:rFonts w:eastAsia="Times New Roman" w:cs="Arial"/>
                <w:b/>
                <w:bCs/>
                <w:color w:val="0D0D0D" w:themeColor="text1" w:themeTint="F2"/>
                <w:lang w:eastAsia="en-AU"/>
              </w:rPr>
              <w:t>School Name</w:t>
            </w:r>
          </w:p>
        </w:tc>
        <w:tc>
          <w:tcPr>
            <w:tcW w:w="2693" w:type="dxa"/>
            <w:noWrap/>
            <w:vAlign w:val="center"/>
            <w:hideMark/>
          </w:tcPr>
          <w:p w14:paraId="194B3460" w14:textId="77777777" w:rsidR="00C52C57" w:rsidRPr="00E90790" w:rsidRDefault="00C52C57" w:rsidP="00961FD4">
            <w:pPr>
              <w:rPr>
                <w:rFonts w:eastAsia="Times New Roman" w:cs="Arial"/>
                <w:b/>
                <w:bCs/>
                <w:color w:val="0D0D0D" w:themeColor="text1" w:themeTint="F2"/>
                <w:lang w:eastAsia="en-AU"/>
              </w:rPr>
            </w:pPr>
            <w:r w:rsidRPr="00E90790">
              <w:rPr>
                <w:rFonts w:eastAsia="Times New Roman" w:cs="Arial"/>
                <w:b/>
                <w:bCs/>
                <w:color w:val="0D0D0D" w:themeColor="text1" w:themeTint="F2"/>
                <w:lang w:eastAsia="en-AU"/>
              </w:rPr>
              <w:t>Suburb</w:t>
            </w:r>
          </w:p>
        </w:tc>
      </w:tr>
      <w:tr w:rsidR="00E90790" w:rsidRPr="00E90790" w14:paraId="5E3CF99C" w14:textId="77777777" w:rsidTr="00CC1117">
        <w:trPr>
          <w:trHeight w:val="276"/>
          <w:jc w:val="center"/>
        </w:trPr>
        <w:tc>
          <w:tcPr>
            <w:tcW w:w="1985" w:type="dxa"/>
            <w:noWrap/>
            <w:vAlign w:val="center"/>
            <w:hideMark/>
          </w:tcPr>
          <w:p w14:paraId="2A09395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14129</w:t>
            </w:r>
          </w:p>
        </w:tc>
        <w:tc>
          <w:tcPr>
            <w:tcW w:w="4673" w:type="dxa"/>
            <w:noWrap/>
            <w:vAlign w:val="center"/>
            <w:hideMark/>
          </w:tcPr>
          <w:p w14:paraId="3EE87A8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All Saints Primary School</w:t>
            </w:r>
          </w:p>
        </w:tc>
        <w:tc>
          <w:tcPr>
            <w:tcW w:w="2693" w:type="dxa"/>
            <w:noWrap/>
            <w:vAlign w:val="center"/>
            <w:hideMark/>
          </w:tcPr>
          <w:p w14:paraId="77B10C9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Seaford</w:t>
            </w:r>
          </w:p>
        </w:tc>
      </w:tr>
      <w:tr w:rsidR="00E90790" w:rsidRPr="00E90790" w14:paraId="7DB58E2B" w14:textId="77777777" w:rsidTr="00CC1117">
        <w:trPr>
          <w:trHeight w:val="276"/>
          <w:jc w:val="center"/>
        </w:trPr>
        <w:tc>
          <w:tcPr>
            <w:tcW w:w="1985" w:type="dxa"/>
            <w:noWrap/>
            <w:vAlign w:val="center"/>
            <w:hideMark/>
          </w:tcPr>
          <w:p w14:paraId="6440C02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2602</w:t>
            </w:r>
          </w:p>
        </w:tc>
        <w:tc>
          <w:tcPr>
            <w:tcW w:w="4673" w:type="dxa"/>
            <w:noWrap/>
            <w:vAlign w:val="center"/>
            <w:hideMark/>
          </w:tcPr>
          <w:p w14:paraId="2318298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Antonio School</w:t>
            </w:r>
          </w:p>
        </w:tc>
        <w:tc>
          <w:tcPr>
            <w:tcW w:w="2693" w:type="dxa"/>
            <w:noWrap/>
            <w:vAlign w:val="center"/>
            <w:hideMark/>
          </w:tcPr>
          <w:p w14:paraId="70FEE57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Morphett Vale</w:t>
            </w:r>
          </w:p>
        </w:tc>
      </w:tr>
      <w:tr w:rsidR="00E90790" w:rsidRPr="00E90790" w14:paraId="525EFF60" w14:textId="77777777" w:rsidTr="00CC1117">
        <w:trPr>
          <w:trHeight w:val="276"/>
          <w:jc w:val="center"/>
        </w:trPr>
        <w:tc>
          <w:tcPr>
            <w:tcW w:w="1985" w:type="dxa"/>
            <w:noWrap/>
            <w:vAlign w:val="center"/>
            <w:hideMark/>
          </w:tcPr>
          <w:p w14:paraId="391C11B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15689</w:t>
            </w:r>
          </w:p>
        </w:tc>
        <w:tc>
          <w:tcPr>
            <w:tcW w:w="4673" w:type="dxa"/>
            <w:noWrap/>
            <w:vAlign w:val="center"/>
            <w:hideMark/>
          </w:tcPr>
          <w:p w14:paraId="04E06A5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Blackfriars Priory School</w:t>
            </w:r>
          </w:p>
        </w:tc>
        <w:tc>
          <w:tcPr>
            <w:tcW w:w="2693" w:type="dxa"/>
            <w:noWrap/>
            <w:vAlign w:val="center"/>
            <w:hideMark/>
          </w:tcPr>
          <w:p w14:paraId="305BF1F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Prospect</w:t>
            </w:r>
          </w:p>
        </w:tc>
      </w:tr>
      <w:tr w:rsidR="00E90790" w:rsidRPr="00E90790" w14:paraId="1350D8B9" w14:textId="77777777" w:rsidTr="00CC1117">
        <w:trPr>
          <w:trHeight w:val="276"/>
          <w:jc w:val="center"/>
        </w:trPr>
        <w:tc>
          <w:tcPr>
            <w:tcW w:w="1985" w:type="dxa"/>
            <w:noWrap/>
            <w:vAlign w:val="center"/>
            <w:hideMark/>
          </w:tcPr>
          <w:p w14:paraId="2177F3D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255</w:t>
            </w:r>
          </w:p>
        </w:tc>
        <w:tc>
          <w:tcPr>
            <w:tcW w:w="4673" w:type="dxa"/>
            <w:noWrap/>
            <w:vAlign w:val="center"/>
            <w:hideMark/>
          </w:tcPr>
          <w:p w14:paraId="11D37E5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Cabra Dominican College</w:t>
            </w:r>
          </w:p>
        </w:tc>
        <w:tc>
          <w:tcPr>
            <w:tcW w:w="2693" w:type="dxa"/>
            <w:noWrap/>
            <w:vAlign w:val="center"/>
            <w:hideMark/>
          </w:tcPr>
          <w:p w14:paraId="79A3932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Cumberland Park</w:t>
            </w:r>
          </w:p>
        </w:tc>
      </w:tr>
      <w:tr w:rsidR="00E90790" w:rsidRPr="00E90790" w14:paraId="24140503" w14:textId="77777777" w:rsidTr="00CC1117">
        <w:trPr>
          <w:trHeight w:val="276"/>
          <w:jc w:val="center"/>
        </w:trPr>
        <w:tc>
          <w:tcPr>
            <w:tcW w:w="1985" w:type="dxa"/>
            <w:noWrap/>
            <w:vAlign w:val="center"/>
            <w:hideMark/>
          </w:tcPr>
          <w:p w14:paraId="1F96E27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4041</w:t>
            </w:r>
          </w:p>
        </w:tc>
        <w:tc>
          <w:tcPr>
            <w:tcW w:w="4673" w:type="dxa"/>
            <w:noWrap/>
            <w:vAlign w:val="center"/>
            <w:hideMark/>
          </w:tcPr>
          <w:p w14:paraId="7A79A31F" w14:textId="77777777" w:rsidR="00C52C57" w:rsidRPr="00E90790" w:rsidRDefault="00C52C57" w:rsidP="00C920AB">
            <w:pPr>
              <w:rPr>
                <w:rFonts w:eastAsia="Times New Roman" w:cs="Arial"/>
                <w:color w:val="0D0D0D" w:themeColor="text1" w:themeTint="F2"/>
                <w:lang w:eastAsia="en-AU"/>
              </w:rPr>
            </w:pPr>
            <w:proofErr w:type="spellStart"/>
            <w:r w:rsidRPr="00E90790">
              <w:rPr>
                <w:rFonts w:eastAsia="Times New Roman" w:cs="Arial"/>
                <w:color w:val="0D0D0D" w:themeColor="text1" w:themeTint="F2"/>
                <w:lang w:eastAsia="en-AU"/>
              </w:rPr>
              <w:t>Cardijn</w:t>
            </w:r>
            <w:proofErr w:type="spellEnd"/>
            <w:r w:rsidRPr="00E90790">
              <w:rPr>
                <w:rFonts w:eastAsia="Times New Roman" w:cs="Arial"/>
                <w:color w:val="0D0D0D" w:themeColor="text1" w:themeTint="F2"/>
                <w:lang w:eastAsia="en-AU"/>
              </w:rPr>
              <w:t xml:space="preserve"> College</w:t>
            </w:r>
          </w:p>
        </w:tc>
        <w:tc>
          <w:tcPr>
            <w:tcW w:w="2693" w:type="dxa"/>
            <w:noWrap/>
            <w:vAlign w:val="center"/>
            <w:hideMark/>
          </w:tcPr>
          <w:p w14:paraId="2773E48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Noarlunga Downs</w:t>
            </w:r>
          </w:p>
        </w:tc>
      </w:tr>
      <w:tr w:rsidR="00E90790" w:rsidRPr="00E90790" w14:paraId="1B2D8471" w14:textId="77777777" w:rsidTr="00CC1117">
        <w:trPr>
          <w:trHeight w:val="276"/>
          <w:jc w:val="center"/>
        </w:trPr>
        <w:tc>
          <w:tcPr>
            <w:tcW w:w="1985" w:type="dxa"/>
            <w:noWrap/>
            <w:vAlign w:val="center"/>
            <w:hideMark/>
          </w:tcPr>
          <w:p w14:paraId="2F110D5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23695</w:t>
            </w:r>
          </w:p>
        </w:tc>
        <w:tc>
          <w:tcPr>
            <w:tcW w:w="4673" w:type="dxa"/>
            <w:noWrap/>
            <w:vAlign w:val="center"/>
            <w:hideMark/>
          </w:tcPr>
          <w:p w14:paraId="3C3AC1B7" w14:textId="77777777" w:rsidR="00C52C57" w:rsidRPr="00E90790" w:rsidRDefault="00C52C57" w:rsidP="00C920AB">
            <w:pPr>
              <w:rPr>
                <w:rFonts w:eastAsia="Times New Roman" w:cs="Arial"/>
                <w:color w:val="0D0D0D" w:themeColor="text1" w:themeTint="F2"/>
                <w:lang w:eastAsia="en-AU"/>
              </w:rPr>
            </w:pPr>
            <w:proofErr w:type="spellStart"/>
            <w:r w:rsidRPr="00E90790">
              <w:rPr>
                <w:rFonts w:eastAsia="Times New Roman" w:cs="Arial"/>
                <w:color w:val="0D0D0D" w:themeColor="text1" w:themeTint="F2"/>
                <w:lang w:eastAsia="en-AU"/>
              </w:rPr>
              <w:t>Cardijn</w:t>
            </w:r>
            <w:proofErr w:type="spellEnd"/>
            <w:r w:rsidRPr="00E90790">
              <w:rPr>
                <w:rFonts w:eastAsia="Times New Roman" w:cs="Arial"/>
                <w:color w:val="0D0D0D" w:themeColor="text1" w:themeTint="F2"/>
                <w:lang w:eastAsia="en-AU"/>
              </w:rPr>
              <w:t xml:space="preserve"> College Galilee</w:t>
            </w:r>
          </w:p>
        </w:tc>
        <w:tc>
          <w:tcPr>
            <w:tcW w:w="2693" w:type="dxa"/>
            <w:noWrap/>
            <w:vAlign w:val="center"/>
            <w:hideMark/>
          </w:tcPr>
          <w:p w14:paraId="352658E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Aldinga</w:t>
            </w:r>
          </w:p>
        </w:tc>
      </w:tr>
      <w:tr w:rsidR="00E90790" w:rsidRPr="00E90790" w14:paraId="470BCBEC" w14:textId="77777777" w:rsidTr="00CC1117">
        <w:trPr>
          <w:trHeight w:val="276"/>
          <w:jc w:val="center"/>
        </w:trPr>
        <w:tc>
          <w:tcPr>
            <w:tcW w:w="1985" w:type="dxa"/>
            <w:noWrap/>
            <w:vAlign w:val="center"/>
            <w:hideMark/>
          </w:tcPr>
          <w:p w14:paraId="3C3E937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351</w:t>
            </w:r>
          </w:p>
        </w:tc>
        <w:tc>
          <w:tcPr>
            <w:tcW w:w="4673" w:type="dxa"/>
            <w:noWrap/>
            <w:vAlign w:val="center"/>
            <w:hideMark/>
          </w:tcPr>
          <w:p w14:paraId="47ABB00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Caritas College</w:t>
            </w:r>
          </w:p>
        </w:tc>
        <w:tc>
          <w:tcPr>
            <w:tcW w:w="2693" w:type="dxa"/>
            <w:noWrap/>
            <w:vAlign w:val="center"/>
            <w:hideMark/>
          </w:tcPr>
          <w:p w14:paraId="208C725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Port Augusta</w:t>
            </w:r>
          </w:p>
        </w:tc>
      </w:tr>
      <w:tr w:rsidR="00E90790" w:rsidRPr="00E90790" w14:paraId="78837DA1" w14:textId="77777777" w:rsidTr="00CC1117">
        <w:trPr>
          <w:trHeight w:val="276"/>
          <w:jc w:val="center"/>
        </w:trPr>
        <w:tc>
          <w:tcPr>
            <w:tcW w:w="1985" w:type="dxa"/>
            <w:noWrap/>
            <w:vAlign w:val="center"/>
            <w:hideMark/>
          </w:tcPr>
          <w:p w14:paraId="2A9B05C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14613</w:t>
            </w:r>
          </w:p>
        </w:tc>
        <w:tc>
          <w:tcPr>
            <w:tcW w:w="4673" w:type="dxa"/>
            <w:noWrap/>
            <w:vAlign w:val="center"/>
            <w:hideMark/>
          </w:tcPr>
          <w:p w14:paraId="1839BCD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Catherine McAuley School</w:t>
            </w:r>
          </w:p>
        </w:tc>
        <w:tc>
          <w:tcPr>
            <w:tcW w:w="2693" w:type="dxa"/>
            <w:noWrap/>
            <w:vAlign w:val="center"/>
            <w:hideMark/>
          </w:tcPr>
          <w:p w14:paraId="7A0DA51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Craigmore</w:t>
            </w:r>
          </w:p>
        </w:tc>
      </w:tr>
      <w:tr w:rsidR="00E90790" w:rsidRPr="00E90790" w14:paraId="763E9E18" w14:textId="77777777" w:rsidTr="00CC1117">
        <w:trPr>
          <w:trHeight w:val="276"/>
          <w:jc w:val="center"/>
        </w:trPr>
        <w:tc>
          <w:tcPr>
            <w:tcW w:w="1985" w:type="dxa"/>
            <w:noWrap/>
            <w:vAlign w:val="center"/>
            <w:hideMark/>
          </w:tcPr>
          <w:p w14:paraId="677789B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250</w:t>
            </w:r>
          </w:p>
        </w:tc>
        <w:tc>
          <w:tcPr>
            <w:tcW w:w="4673" w:type="dxa"/>
            <w:noWrap/>
            <w:vAlign w:val="center"/>
            <w:hideMark/>
          </w:tcPr>
          <w:p w14:paraId="6FEA1D0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Christ the King School</w:t>
            </w:r>
          </w:p>
        </w:tc>
        <w:tc>
          <w:tcPr>
            <w:tcW w:w="2693" w:type="dxa"/>
            <w:noWrap/>
            <w:vAlign w:val="center"/>
            <w:hideMark/>
          </w:tcPr>
          <w:p w14:paraId="036935B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Warradale</w:t>
            </w:r>
          </w:p>
        </w:tc>
      </w:tr>
      <w:tr w:rsidR="00E90790" w:rsidRPr="00E90790" w14:paraId="509F5A99" w14:textId="77777777" w:rsidTr="00CC1117">
        <w:trPr>
          <w:trHeight w:val="276"/>
          <w:jc w:val="center"/>
        </w:trPr>
        <w:tc>
          <w:tcPr>
            <w:tcW w:w="1985" w:type="dxa"/>
            <w:noWrap/>
            <w:vAlign w:val="center"/>
            <w:hideMark/>
          </w:tcPr>
          <w:p w14:paraId="5B43FF2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15342</w:t>
            </w:r>
          </w:p>
        </w:tc>
        <w:tc>
          <w:tcPr>
            <w:tcW w:w="4673" w:type="dxa"/>
            <w:noWrap/>
            <w:vAlign w:val="center"/>
            <w:hideMark/>
          </w:tcPr>
          <w:p w14:paraId="5AA0152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Christian Brothers College</w:t>
            </w:r>
          </w:p>
        </w:tc>
        <w:tc>
          <w:tcPr>
            <w:tcW w:w="2693" w:type="dxa"/>
            <w:noWrap/>
            <w:vAlign w:val="center"/>
            <w:hideMark/>
          </w:tcPr>
          <w:p w14:paraId="4A58ED9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Adelaide</w:t>
            </w:r>
          </w:p>
        </w:tc>
      </w:tr>
      <w:tr w:rsidR="00E90790" w:rsidRPr="00E90790" w14:paraId="6B8771D7" w14:textId="77777777" w:rsidTr="00CC1117">
        <w:trPr>
          <w:trHeight w:val="276"/>
          <w:jc w:val="center"/>
        </w:trPr>
        <w:tc>
          <w:tcPr>
            <w:tcW w:w="1985" w:type="dxa"/>
            <w:noWrap/>
            <w:vAlign w:val="center"/>
            <w:hideMark/>
          </w:tcPr>
          <w:p w14:paraId="0C6387E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87892</w:t>
            </w:r>
          </w:p>
        </w:tc>
        <w:tc>
          <w:tcPr>
            <w:tcW w:w="4673" w:type="dxa"/>
            <w:noWrap/>
            <w:vAlign w:val="center"/>
            <w:hideMark/>
          </w:tcPr>
          <w:p w14:paraId="6160BCF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Compass Catholic Community</w:t>
            </w:r>
          </w:p>
        </w:tc>
        <w:tc>
          <w:tcPr>
            <w:tcW w:w="2693" w:type="dxa"/>
            <w:noWrap/>
            <w:vAlign w:val="center"/>
            <w:hideMark/>
          </w:tcPr>
          <w:p w14:paraId="573D7391" w14:textId="77777777" w:rsidR="00C52C57" w:rsidRPr="00E90790" w:rsidRDefault="00C52C57" w:rsidP="00C920AB">
            <w:pPr>
              <w:rPr>
                <w:rFonts w:eastAsia="Times New Roman" w:cs="Arial"/>
                <w:color w:val="0D0D0D" w:themeColor="text1" w:themeTint="F2"/>
                <w:lang w:eastAsia="en-AU"/>
              </w:rPr>
            </w:pPr>
            <w:proofErr w:type="spellStart"/>
            <w:r w:rsidRPr="00E90790">
              <w:rPr>
                <w:rFonts w:eastAsia="Times New Roman" w:cs="Arial"/>
                <w:color w:val="0D0D0D" w:themeColor="text1" w:themeTint="F2"/>
                <w:lang w:eastAsia="en-AU"/>
              </w:rPr>
              <w:t>Davoren</w:t>
            </w:r>
            <w:proofErr w:type="spellEnd"/>
            <w:r w:rsidRPr="00E90790">
              <w:rPr>
                <w:rFonts w:eastAsia="Times New Roman" w:cs="Arial"/>
                <w:color w:val="0D0D0D" w:themeColor="text1" w:themeTint="F2"/>
                <w:lang w:eastAsia="en-AU"/>
              </w:rPr>
              <w:t xml:space="preserve"> Park</w:t>
            </w:r>
          </w:p>
        </w:tc>
      </w:tr>
      <w:tr w:rsidR="00E90790" w:rsidRPr="00E90790" w14:paraId="2962D593" w14:textId="77777777" w:rsidTr="00CC1117">
        <w:trPr>
          <w:trHeight w:val="276"/>
          <w:jc w:val="center"/>
        </w:trPr>
        <w:tc>
          <w:tcPr>
            <w:tcW w:w="1985" w:type="dxa"/>
            <w:noWrap/>
            <w:vAlign w:val="center"/>
            <w:hideMark/>
          </w:tcPr>
          <w:p w14:paraId="4627421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395</w:t>
            </w:r>
          </w:p>
        </w:tc>
        <w:tc>
          <w:tcPr>
            <w:tcW w:w="4673" w:type="dxa"/>
            <w:noWrap/>
            <w:vAlign w:val="center"/>
            <w:hideMark/>
          </w:tcPr>
          <w:p w14:paraId="6B1F1EE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Dominican School</w:t>
            </w:r>
          </w:p>
        </w:tc>
        <w:tc>
          <w:tcPr>
            <w:tcW w:w="2693" w:type="dxa"/>
            <w:noWrap/>
            <w:vAlign w:val="center"/>
            <w:hideMark/>
          </w:tcPr>
          <w:p w14:paraId="23F2819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Semaphore</w:t>
            </w:r>
          </w:p>
        </w:tc>
      </w:tr>
      <w:tr w:rsidR="00E90790" w:rsidRPr="00E90790" w14:paraId="79ABE0ED" w14:textId="77777777" w:rsidTr="00CC1117">
        <w:trPr>
          <w:trHeight w:val="276"/>
          <w:jc w:val="center"/>
        </w:trPr>
        <w:tc>
          <w:tcPr>
            <w:tcW w:w="1985" w:type="dxa"/>
            <w:noWrap/>
            <w:vAlign w:val="center"/>
            <w:hideMark/>
          </w:tcPr>
          <w:p w14:paraId="4FA8401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87156</w:t>
            </w:r>
          </w:p>
        </w:tc>
        <w:tc>
          <w:tcPr>
            <w:tcW w:w="4673" w:type="dxa"/>
            <w:noWrap/>
            <w:vAlign w:val="center"/>
            <w:hideMark/>
          </w:tcPr>
          <w:p w14:paraId="04AEB9F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Edmund Rice Flexi School</w:t>
            </w:r>
          </w:p>
        </w:tc>
        <w:tc>
          <w:tcPr>
            <w:tcW w:w="2693" w:type="dxa"/>
            <w:noWrap/>
            <w:vAlign w:val="center"/>
            <w:hideMark/>
          </w:tcPr>
          <w:p w14:paraId="3E2056B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Elizabeth South</w:t>
            </w:r>
          </w:p>
        </w:tc>
      </w:tr>
      <w:tr w:rsidR="00E90790" w:rsidRPr="00E90790" w14:paraId="37F4FB81" w14:textId="77777777" w:rsidTr="00CC1117">
        <w:trPr>
          <w:trHeight w:val="276"/>
          <w:jc w:val="center"/>
        </w:trPr>
        <w:tc>
          <w:tcPr>
            <w:tcW w:w="1985" w:type="dxa"/>
            <w:noWrap/>
            <w:vAlign w:val="center"/>
            <w:hideMark/>
          </w:tcPr>
          <w:p w14:paraId="51E0EF9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14109</w:t>
            </w:r>
          </w:p>
        </w:tc>
        <w:tc>
          <w:tcPr>
            <w:tcW w:w="4673" w:type="dxa"/>
            <w:noWrap/>
            <w:vAlign w:val="center"/>
            <w:hideMark/>
          </w:tcPr>
          <w:p w14:paraId="3D553C4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Emmaus Catholic School</w:t>
            </w:r>
          </w:p>
        </w:tc>
        <w:tc>
          <w:tcPr>
            <w:tcW w:w="2693" w:type="dxa"/>
            <w:noWrap/>
            <w:vAlign w:val="center"/>
            <w:hideMark/>
          </w:tcPr>
          <w:p w14:paraId="09F5DB9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Woodcroft</w:t>
            </w:r>
          </w:p>
        </w:tc>
      </w:tr>
      <w:tr w:rsidR="00E90790" w:rsidRPr="00E90790" w14:paraId="2FBF2A6C" w14:textId="77777777" w:rsidTr="00CC1117">
        <w:trPr>
          <w:trHeight w:val="276"/>
          <w:jc w:val="center"/>
        </w:trPr>
        <w:tc>
          <w:tcPr>
            <w:tcW w:w="1985" w:type="dxa"/>
            <w:noWrap/>
            <w:vAlign w:val="center"/>
            <w:hideMark/>
          </w:tcPr>
          <w:p w14:paraId="4C6155A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30223</w:t>
            </w:r>
          </w:p>
        </w:tc>
        <w:tc>
          <w:tcPr>
            <w:tcW w:w="4673" w:type="dxa"/>
            <w:noWrap/>
            <w:vAlign w:val="center"/>
            <w:hideMark/>
          </w:tcPr>
          <w:p w14:paraId="4D2101E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FAME</w:t>
            </w:r>
          </w:p>
        </w:tc>
        <w:tc>
          <w:tcPr>
            <w:tcW w:w="2693" w:type="dxa"/>
            <w:noWrap/>
            <w:vAlign w:val="center"/>
            <w:hideMark/>
          </w:tcPr>
          <w:p w14:paraId="0652C0E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Hackham West</w:t>
            </w:r>
          </w:p>
        </w:tc>
      </w:tr>
      <w:tr w:rsidR="00E90790" w:rsidRPr="00E90790" w14:paraId="784A2265" w14:textId="77777777" w:rsidTr="00CC1117">
        <w:trPr>
          <w:trHeight w:val="276"/>
          <w:jc w:val="center"/>
        </w:trPr>
        <w:tc>
          <w:tcPr>
            <w:tcW w:w="1985" w:type="dxa"/>
            <w:noWrap/>
            <w:vAlign w:val="center"/>
            <w:hideMark/>
          </w:tcPr>
          <w:p w14:paraId="53CB362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13267</w:t>
            </w:r>
          </w:p>
        </w:tc>
        <w:tc>
          <w:tcPr>
            <w:tcW w:w="4673" w:type="dxa"/>
            <w:noWrap/>
            <w:vAlign w:val="center"/>
            <w:hideMark/>
          </w:tcPr>
          <w:p w14:paraId="35E9EDA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Gleeson College</w:t>
            </w:r>
          </w:p>
        </w:tc>
        <w:tc>
          <w:tcPr>
            <w:tcW w:w="2693" w:type="dxa"/>
            <w:noWrap/>
            <w:vAlign w:val="center"/>
            <w:hideMark/>
          </w:tcPr>
          <w:p w14:paraId="6A4F1E4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Golden Grove</w:t>
            </w:r>
          </w:p>
        </w:tc>
      </w:tr>
      <w:tr w:rsidR="00E90790" w:rsidRPr="00E90790" w14:paraId="3C32BD6B" w14:textId="77777777" w:rsidTr="00CC1117">
        <w:trPr>
          <w:trHeight w:val="276"/>
          <w:jc w:val="center"/>
        </w:trPr>
        <w:tc>
          <w:tcPr>
            <w:tcW w:w="1985" w:type="dxa"/>
            <w:noWrap/>
            <w:vAlign w:val="center"/>
            <w:hideMark/>
          </w:tcPr>
          <w:p w14:paraId="4F16864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2621</w:t>
            </w:r>
          </w:p>
        </w:tc>
        <w:tc>
          <w:tcPr>
            <w:tcW w:w="4673" w:type="dxa"/>
            <w:noWrap/>
            <w:vAlign w:val="center"/>
            <w:hideMark/>
          </w:tcPr>
          <w:p w14:paraId="2E297EB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Holy Family School</w:t>
            </w:r>
          </w:p>
        </w:tc>
        <w:tc>
          <w:tcPr>
            <w:tcW w:w="2693" w:type="dxa"/>
            <w:noWrap/>
            <w:vAlign w:val="center"/>
            <w:hideMark/>
          </w:tcPr>
          <w:p w14:paraId="08EE620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Parafield Gardens</w:t>
            </w:r>
          </w:p>
        </w:tc>
      </w:tr>
      <w:tr w:rsidR="00E90790" w:rsidRPr="00E90790" w14:paraId="0D7A921F" w14:textId="77777777" w:rsidTr="00CC1117">
        <w:trPr>
          <w:trHeight w:val="276"/>
          <w:jc w:val="center"/>
        </w:trPr>
        <w:tc>
          <w:tcPr>
            <w:tcW w:w="1985" w:type="dxa"/>
            <w:noWrap/>
            <w:vAlign w:val="center"/>
            <w:hideMark/>
          </w:tcPr>
          <w:p w14:paraId="019991C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261</w:t>
            </w:r>
          </w:p>
        </w:tc>
        <w:tc>
          <w:tcPr>
            <w:tcW w:w="4673" w:type="dxa"/>
            <w:noWrap/>
            <w:vAlign w:val="center"/>
            <w:hideMark/>
          </w:tcPr>
          <w:p w14:paraId="7B7A6C4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Immaculate Heart of Mary School</w:t>
            </w:r>
          </w:p>
        </w:tc>
        <w:tc>
          <w:tcPr>
            <w:tcW w:w="2693" w:type="dxa"/>
            <w:noWrap/>
            <w:vAlign w:val="center"/>
            <w:hideMark/>
          </w:tcPr>
          <w:p w14:paraId="229A1DE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Brompton</w:t>
            </w:r>
          </w:p>
        </w:tc>
      </w:tr>
      <w:tr w:rsidR="00E90790" w:rsidRPr="00E90790" w14:paraId="1B5D12EF" w14:textId="77777777" w:rsidTr="00CC1117">
        <w:trPr>
          <w:trHeight w:val="276"/>
          <w:jc w:val="center"/>
        </w:trPr>
        <w:tc>
          <w:tcPr>
            <w:tcW w:w="1985" w:type="dxa"/>
            <w:noWrap/>
            <w:vAlign w:val="center"/>
            <w:hideMark/>
          </w:tcPr>
          <w:p w14:paraId="3244694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14053</w:t>
            </w:r>
          </w:p>
        </w:tc>
        <w:tc>
          <w:tcPr>
            <w:tcW w:w="4673" w:type="dxa"/>
            <w:noWrap/>
            <w:vAlign w:val="center"/>
            <w:hideMark/>
          </w:tcPr>
          <w:p w14:paraId="0586D31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Kildare College</w:t>
            </w:r>
          </w:p>
        </w:tc>
        <w:tc>
          <w:tcPr>
            <w:tcW w:w="2693" w:type="dxa"/>
            <w:noWrap/>
            <w:vAlign w:val="center"/>
            <w:hideMark/>
          </w:tcPr>
          <w:p w14:paraId="205C98C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Holden Hill</w:t>
            </w:r>
          </w:p>
        </w:tc>
      </w:tr>
      <w:tr w:rsidR="00E90790" w:rsidRPr="00E90790" w14:paraId="39D85E38" w14:textId="77777777" w:rsidTr="00CC1117">
        <w:trPr>
          <w:trHeight w:val="276"/>
          <w:jc w:val="center"/>
        </w:trPr>
        <w:tc>
          <w:tcPr>
            <w:tcW w:w="1985" w:type="dxa"/>
            <w:noWrap/>
            <w:vAlign w:val="center"/>
            <w:hideMark/>
          </w:tcPr>
          <w:p w14:paraId="5CAC271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15690</w:t>
            </w:r>
          </w:p>
        </w:tc>
        <w:tc>
          <w:tcPr>
            <w:tcW w:w="4673" w:type="dxa"/>
            <w:noWrap/>
            <w:vAlign w:val="center"/>
            <w:hideMark/>
          </w:tcPr>
          <w:p w14:paraId="5364E6D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Loreto College</w:t>
            </w:r>
          </w:p>
        </w:tc>
        <w:tc>
          <w:tcPr>
            <w:tcW w:w="2693" w:type="dxa"/>
            <w:noWrap/>
            <w:vAlign w:val="center"/>
            <w:hideMark/>
          </w:tcPr>
          <w:p w14:paraId="60F88A2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Marryatville</w:t>
            </w:r>
          </w:p>
        </w:tc>
      </w:tr>
      <w:tr w:rsidR="00E90790" w:rsidRPr="00E90790" w14:paraId="153BB246" w14:textId="77777777" w:rsidTr="00CC1117">
        <w:trPr>
          <w:trHeight w:val="276"/>
          <w:jc w:val="center"/>
        </w:trPr>
        <w:tc>
          <w:tcPr>
            <w:tcW w:w="1985" w:type="dxa"/>
            <w:noWrap/>
            <w:vAlign w:val="center"/>
            <w:hideMark/>
          </w:tcPr>
          <w:p w14:paraId="3CA36DB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275</w:t>
            </w:r>
          </w:p>
        </w:tc>
        <w:tc>
          <w:tcPr>
            <w:tcW w:w="4673" w:type="dxa"/>
            <w:noWrap/>
            <w:vAlign w:val="center"/>
            <w:hideMark/>
          </w:tcPr>
          <w:p w14:paraId="64B4405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Mary MacKillop College</w:t>
            </w:r>
          </w:p>
        </w:tc>
        <w:tc>
          <w:tcPr>
            <w:tcW w:w="2693" w:type="dxa"/>
            <w:noWrap/>
            <w:vAlign w:val="center"/>
            <w:hideMark/>
          </w:tcPr>
          <w:p w14:paraId="721470E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Kensington</w:t>
            </w:r>
          </w:p>
        </w:tc>
      </w:tr>
      <w:tr w:rsidR="00E90790" w:rsidRPr="00E90790" w14:paraId="1DD4FFC7" w14:textId="77777777" w:rsidTr="00CC1117">
        <w:trPr>
          <w:trHeight w:val="276"/>
          <w:jc w:val="center"/>
        </w:trPr>
        <w:tc>
          <w:tcPr>
            <w:tcW w:w="1985" w:type="dxa"/>
            <w:noWrap/>
            <w:vAlign w:val="center"/>
            <w:hideMark/>
          </w:tcPr>
          <w:p w14:paraId="2E32DA0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348</w:t>
            </w:r>
          </w:p>
        </w:tc>
        <w:tc>
          <w:tcPr>
            <w:tcW w:w="4673" w:type="dxa"/>
            <w:noWrap/>
            <w:vAlign w:val="center"/>
            <w:hideMark/>
          </w:tcPr>
          <w:p w14:paraId="6FE2498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Mary MacKillop Memorial</w:t>
            </w:r>
          </w:p>
        </w:tc>
        <w:tc>
          <w:tcPr>
            <w:tcW w:w="2693" w:type="dxa"/>
            <w:noWrap/>
            <w:vAlign w:val="center"/>
            <w:hideMark/>
          </w:tcPr>
          <w:p w14:paraId="572ABE5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Penola</w:t>
            </w:r>
          </w:p>
        </w:tc>
      </w:tr>
      <w:tr w:rsidR="00E90790" w:rsidRPr="00E90790" w14:paraId="738E76BA" w14:textId="77777777" w:rsidTr="00CC1117">
        <w:trPr>
          <w:trHeight w:val="276"/>
          <w:jc w:val="center"/>
        </w:trPr>
        <w:tc>
          <w:tcPr>
            <w:tcW w:w="1985" w:type="dxa"/>
            <w:noWrap/>
            <w:vAlign w:val="center"/>
            <w:hideMark/>
          </w:tcPr>
          <w:p w14:paraId="0F65258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85295</w:t>
            </w:r>
          </w:p>
        </w:tc>
        <w:tc>
          <w:tcPr>
            <w:tcW w:w="4673" w:type="dxa"/>
            <w:noWrap/>
            <w:vAlign w:val="center"/>
            <w:hideMark/>
          </w:tcPr>
          <w:p w14:paraId="365E44C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McAuley Community School</w:t>
            </w:r>
          </w:p>
        </w:tc>
        <w:tc>
          <w:tcPr>
            <w:tcW w:w="2693" w:type="dxa"/>
            <w:noWrap/>
            <w:vAlign w:val="center"/>
            <w:hideMark/>
          </w:tcPr>
          <w:p w14:paraId="5982374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Hove</w:t>
            </w:r>
          </w:p>
        </w:tc>
      </w:tr>
      <w:tr w:rsidR="00E90790" w:rsidRPr="00E90790" w14:paraId="28AF4506" w14:textId="77777777" w:rsidTr="00CC1117">
        <w:trPr>
          <w:trHeight w:val="276"/>
          <w:jc w:val="center"/>
        </w:trPr>
        <w:tc>
          <w:tcPr>
            <w:tcW w:w="1985" w:type="dxa"/>
            <w:noWrap/>
            <w:vAlign w:val="center"/>
            <w:hideMark/>
          </w:tcPr>
          <w:p w14:paraId="3B6DADA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279</w:t>
            </w:r>
          </w:p>
        </w:tc>
        <w:tc>
          <w:tcPr>
            <w:tcW w:w="4673" w:type="dxa"/>
            <w:noWrap/>
            <w:vAlign w:val="center"/>
            <w:hideMark/>
          </w:tcPr>
          <w:p w14:paraId="79AC226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Mercedes College</w:t>
            </w:r>
          </w:p>
        </w:tc>
        <w:tc>
          <w:tcPr>
            <w:tcW w:w="2693" w:type="dxa"/>
            <w:noWrap/>
            <w:vAlign w:val="center"/>
            <w:hideMark/>
          </w:tcPr>
          <w:p w14:paraId="5BB0CCD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Springfield</w:t>
            </w:r>
          </w:p>
        </w:tc>
      </w:tr>
      <w:tr w:rsidR="00E90790" w:rsidRPr="00E90790" w14:paraId="33984CEB" w14:textId="77777777" w:rsidTr="00CC1117">
        <w:trPr>
          <w:trHeight w:val="276"/>
          <w:jc w:val="center"/>
        </w:trPr>
        <w:tc>
          <w:tcPr>
            <w:tcW w:w="1985" w:type="dxa"/>
            <w:noWrap/>
            <w:vAlign w:val="center"/>
            <w:hideMark/>
          </w:tcPr>
          <w:p w14:paraId="66F7C6C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282</w:t>
            </w:r>
          </w:p>
        </w:tc>
        <w:tc>
          <w:tcPr>
            <w:tcW w:w="4673" w:type="dxa"/>
            <w:noWrap/>
            <w:vAlign w:val="center"/>
            <w:hideMark/>
          </w:tcPr>
          <w:p w14:paraId="4A90B03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Mount Carmel College</w:t>
            </w:r>
          </w:p>
        </w:tc>
        <w:tc>
          <w:tcPr>
            <w:tcW w:w="2693" w:type="dxa"/>
            <w:noWrap/>
            <w:vAlign w:val="center"/>
            <w:hideMark/>
          </w:tcPr>
          <w:p w14:paraId="2BC4AFC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Rosewater</w:t>
            </w:r>
          </w:p>
        </w:tc>
      </w:tr>
      <w:tr w:rsidR="00E90790" w:rsidRPr="00E90790" w14:paraId="69E43338" w14:textId="77777777" w:rsidTr="00CC1117">
        <w:trPr>
          <w:trHeight w:val="276"/>
          <w:jc w:val="center"/>
        </w:trPr>
        <w:tc>
          <w:tcPr>
            <w:tcW w:w="1985" w:type="dxa"/>
            <w:noWrap/>
            <w:vAlign w:val="center"/>
            <w:hideMark/>
          </w:tcPr>
          <w:p w14:paraId="74CBB53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26772</w:t>
            </w:r>
          </w:p>
        </w:tc>
        <w:tc>
          <w:tcPr>
            <w:tcW w:w="4673" w:type="dxa"/>
            <w:noWrap/>
            <w:vAlign w:val="center"/>
            <w:hideMark/>
          </w:tcPr>
          <w:p w14:paraId="45F4547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Nazareth Catholic College</w:t>
            </w:r>
          </w:p>
        </w:tc>
        <w:tc>
          <w:tcPr>
            <w:tcW w:w="2693" w:type="dxa"/>
            <w:noWrap/>
            <w:vAlign w:val="center"/>
            <w:hideMark/>
          </w:tcPr>
          <w:p w14:paraId="4958ACA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Findon</w:t>
            </w:r>
          </w:p>
        </w:tc>
      </w:tr>
      <w:tr w:rsidR="00E90790" w:rsidRPr="00E90790" w14:paraId="32125642" w14:textId="77777777" w:rsidTr="00CC1117">
        <w:trPr>
          <w:trHeight w:val="276"/>
          <w:jc w:val="center"/>
        </w:trPr>
        <w:tc>
          <w:tcPr>
            <w:tcW w:w="1985" w:type="dxa"/>
            <w:noWrap/>
            <w:vAlign w:val="center"/>
            <w:hideMark/>
          </w:tcPr>
          <w:p w14:paraId="728DE02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291</w:t>
            </w:r>
          </w:p>
        </w:tc>
        <w:tc>
          <w:tcPr>
            <w:tcW w:w="4673" w:type="dxa"/>
            <w:noWrap/>
            <w:vAlign w:val="center"/>
            <w:hideMark/>
          </w:tcPr>
          <w:p w14:paraId="47DD3F3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Our Lady of Grace</w:t>
            </w:r>
          </w:p>
        </w:tc>
        <w:tc>
          <w:tcPr>
            <w:tcW w:w="2693" w:type="dxa"/>
            <w:noWrap/>
            <w:vAlign w:val="center"/>
            <w:hideMark/>
          </w:tcPr>
          <w:p w14:paraId="0DCDFA9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Glengowrie</w:t>
            </w:r>
          </w:p>
        </w:tc>
      </w:tr>
      <w:tr w:rsidR="00E90790" w:rsidRPr="00E90790" w14:paraId="3CC28D64" w14:textId="77777777" w:rsidTr="00CC1117">
        <w:trPr>
          <w:trHeight w:val="276"/>
          <w:jc w:val="center"/>
        </w:trPr>
        <w:tc>
          <w:tcPr>
            <w:tcW w:w="1985" w:type="dxa"/>
            <w:noWrap/>
            <w:vAlign w:val="center"/>
            <w:hideMark/>
          </w:tcPr>
          <w:p w14:paraId="0483E3B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14130</w:t>
            </w:r>
          </w:p>
        </w:tc>
        <w:tc>
          <w:tcPr>
            <w:tcW w:w="4673" w:type="dxa"/>
            <w:noWrap/>
            <w:vAlign w:val="center"/>
            <w:hideMark/>
          </w:tcPr>
          <w:p w14:paraId="52C2BC3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Our Lady of Hope School</w:t>
            </w:r>
          </w:p>
        </w:tc>
        <w:tc>
          <w:tcPr>
            <w:tcW w:w="2693" w:type="dxa"/>
            <w:noWrap/>
            <w:vAlign w:val="center"/>
            <w:hideMark/>
          </w:tcPr>
          <w:p w14:paraId="13BC602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Greenwith</w:t>
            </w:r>
          </w:p>
        </w:tc>
      </w:tr>
      <w:tr w:rsidR="00E90790" w:rsidRPr="00E90790" w14:paraId="6B41D34F" w14:textId="77777777" w:rsidTr="00CC1117">
        <w:trPr>
          <w:trHeight w:val="276"/>
          <w:jc w:val="center"/>
        </w:trPr>
        <w:tc>
          <w:tcPr>
            <w:tcW w:w="1985" w:type="dxa"/>
            <w:noWrap/>
            <w:vAlign w:val="center"/>
            <w:hideMark/>
          </w:tcPr>
          <w:p w14:paraId="0EB7168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15345</w:t>
            </w:r>
          </w:p>
        </w:tc>
        <w:tc>
          <w:tcPr>
            <w:tcW w:w="4673" w:type="dxa"/>
            <w:noWrap/>
            <w:vAlign w:val="center"/>
            <w:hideMark/>
          </w:tcPr>
          <w:p w14:paraId="20E7699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Our Lady of La Vang</w:t>
            </w:r>
          </w:p>
        </w:tc>
        <w:tc>
          <w:tcPr>
            <w:tcW w:w="2693" w:type="dxa"/>
            <w:noWrap/>
            <w:vAlign w:val="center"/>
            <w:hideMark/>
          </w:tcPr>
          <w:p w14:paraId="68CBBDE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Flinders Park</w:t>
            </w:r>
          </w:p>
        </w:tc>
      </w:tr>
      <w:tr w:rsidR="00E90790" w:rsidRPr="00E90790" w14:paraId="2F694D4A" w14:textId="77777777" w:rsidTr="00CC1117">
        <w:trPr>
          <w:trHeight w:val="276"/>
          <w:jc w:val="center"/>
        </w:trPr>
        <w:tc>
          <w:tcPr>
            <w:tcW w:w="1985" w:type="dxa"/>
            <w:noWrap/>
            <w:vAlign w:val="center"/>
            <w:hideMark/>
          </w:tcPr>
          <w:p w14:paraId="57546FF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283</w:t>
            </w:r>
          </w:p>
        </w:tc>
        <w:tc>
          <w:tcPr>
            <w:tcW w:w="4673" w:type="dxa"/>
            <w:noWrap/>
            <w:vAlign w:val="center"/>
            <w:hideMark/>
          </w:tcPr>
          <w:p w14:paraId="5D5830B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Our Lady of Mount Carmel</w:t>
            </w:r>
          </w:p>
        </w:tc>
        <w:tc>
          <w:tcPr>
            <w:tcW w:w="2693" w:type="dxa"/>
            <w:noWrap/>
            <w:vAlign w:val="center"/>
            <w:hideMark/>
          </w:tcPr>
          <w:p w14:paraId="1B51E27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Pennington</w:t>
            </w:r>
          </w:p>
        </w:tc>
      </w:tr>
      <w:tr w:rsidR="00E90790" w:rsidRPr="00E90790" w14:paraId="7AECC6AE" w14:textId="77777777" w:rsidTr="00CC1117">
        <w:trPr>
          <w:trHeight w:val="276"/>
          <w:jc w:val="center"/>
        </w:trPr>
        <w:tc>
          <w:tcPr>
            <w:tcW w:w="1985" w:type="dxa"/>
            <w:noWrap/>
            <w:vAlign w:val="center"/>
            <w:hideMark/>
          </w:tcPr>
          <w:p w14:paraId="75C6DED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294</w:t>
            </w:r>
          </w:p>
        </w:tc>
        <w:tc>
          <w:tcPr>
            <w:tcW w:w="4673" w:type="dxa"/>
            <w:noWrap/>
            <w:vAlign w:val="center"/>
            <w:hideMark/>
          </w:tcPr>
          <w:p w14:paraId="696062A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Our Lady of the River School</w:t>
            </w:r>
          </w:p>
        </w:tc>
        <w:tc>
          <w:tcPr>
            <w:tcW w:w="2693" w:type="dxa"/>
            <w:noWrap/>
            <w:vAlign w:val="center"/>
            <w:hideMark/>
          </w:tcPr>
          <w:p w14:paraId="31B4AA0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Berri</w:t>
            </w:r>
          </w:p>
        </w:tc>
      </w:tr>
      <w:tr w:rsidR="00E90790" w:rsidRPr="00E90790" w14:paraId="15AD2B88" w14:textId="77777777" w:rsidTr="00CC1117">
        <w:trPr>
          <w:trHeight w:val="276"/>
          <w:jc w:val="center"/>
        </w:trPr>
        <w:tc>
          <w:tcPr>
            <w:tcW w:w="1985" w:type="dxa"/>
            <w:noWrap/>
            <w:vAlign w:val="center"/>
            <w:hideMark/>
          </w:tcPr>
          <w:p w14:paraId="688EFB1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15344</w:t>
            </w:r>
          </w:p>
        </w:tc>
        <w:tc>
          <w:tcPr>
            <w:tcW w:w="4673" w:type="dxa"/>
            <w:noWrap/>
            <w:vAlign w:val="center"/>
            <w:hideMark/>
          </w:tcPr>
          <w:p w14:paraId="50449C1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Our Lady Of The Sacred Heart</w:t>
            </w:r>
          </w:p>
        </w:tc>
        <w:tc>
          <w:tcPr>
            <w:tcW w:w="2693" w:type="dxa"/>
            <w:noWrap/>
            <w:vAlign w:val="center"/>
            <w:hideMark/>
          </w:tcPr>
          <w:p w14:paraId="73260C2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Enfield</w:t>
            </w:r>
          </w:p>
        </w:tc>
      </w:tr>
      <w:tr w:rsidR="00E90790" w:rsidRPr="00E90790" w14:paraId="1B5753EC" w14:textId="77777777" w:rsidTr="00CC1117">
        <w:trPr>
          <w:trHeight w:val="276"/>
          <w:jc w:val="center"/>
        </w:trPr>
        <w:tc>
          <w:tcPr>
            <w:tcW w:w="1985" w:type="dxa"/>
            <w:noWrap/>
            <w:vAlign w:val="center"/>
            <w:hideMark/>
          </w:tcPr>
          <w:p w14:paraId="2F6BC18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296</w:t>
            </w:r>
          </w:p>
        </w:tc>
        <w:tc>
          <w:tcPr>
            <w:tcW w:w="4673" w:type="dxa"/>
            <w:noWrap/>
            <w:vAlign w:val="center"/>
            <w:hideMark/>
          </w:tcPr>
          <w:p w14:paraId="53EBDF3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Our Lady of the Visitation</w:t>
            </w:r>
          </w:p>
        </w:tc>
        <w:tc>
          <w:tcPr>
            <w:tcW w:w="2693" w:type="dxa"/>
            <w:noWrap/>
            <w:vAlign w:val="center"/>
            <w:hideMark/>
          </w:tcPr>
          <w:p w14:paraId="1ADFEB6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Taperoo</w:t>
            </w:r>
          </w:p>
        </w:tc>
      </w:tr>
      <w:tr w:rsidR="00E90790" w:rsidRPr="00E90790" w14:paraId="7A6DAB68" w14:textId="77777777" w:rsidTr="00CC1117">
        <w:trPr>
          <w:trHeight w:val="276"/>
          <w:jc w:val="center"/>
        </w:trPr>
        <w:tc>
          <w:tcPr>
            <w:tcW w:w="1985" w:type="dxa"/>
            <w:noWrap/>
            <w:vAlign w:val="center"/>
            <w:hideMark/>
          </w:tcPr>
          <w:p w14:paraId="003B355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297</w:t>
            </w:r>
          </w:p>
        </w:tc>
        <w:tc>
          <w:tcPr>
            <w:tcW w:w="4673" w:type="dxa"/>
            <w:noWrap/>
            <w:vAlign w:val="center"/>
            <w:hideMark/>
          </w:tcPr>
          <w:p w14:paraId="7A7B063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Our Lady Queen of Peace School</w:t>
            </w:r>
          </w:p>
        </w:tc>
        <w:tc>
          <w:tcPr>
            <w:tcW w:w="2693" w:type="dxa"/>
            <w:noWrap/>
            <w:vAlign w:val="center"/>
            <w:hideMark/>
          </w:tcPr>
          <w:p w14:paraId="5CA9D56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Albert Park</w:t>
            </w:r>
          </w:p>
        </w:tc>
      </w:tr>
      <w:tr w:rsidR="00E90790" w:rsidRPr="00E90790" w14:paraId="1D9FFAC2" w14:textId="77777777" w:rsidTr="00CC1117">
        <w:trPr>
          <w:trHeight w:val="276"/>
          <w:jc w:val="center"/>
        </w:trPr>
        <w:tc>
          <w:tcPr>
            <w:tcW w:w="1985" w:type="dxa"/>
            <w:noWrap/>
            <w:vAlign w:val="center"/>
            <w:hideMark/>
          </w:tcPr>
          <w:p w14:paraId="5C55BBC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301</w:t>
            </w:r>
          </w:p>
        </w:tc>
        <w:tc>
          <w:tcPr>
            <w:tcW w:w="4673" w:type="dxa"/>
            <w:noWrap/>
            <w:vAlign w:val="center"/>
            <w:hideMark/>
          </w:tcPr>
          <w:p w14:paraId="60128D9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Rosary School</w:t>
            </w:r>
          </w:p>
        </w:tc>
        <w:tc>
          <w:tcPr>
            <w:tcW w:w="2693" w:type="dxa"/>
            <w:noWrap/>
            <w:vAlign w:val="center"/>
            <w:hideMark/>
          </w:tcPr>
          <w:p w14:paraId="42CF168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Prospect</w:t>
            </w:r>
          </w:p>
        </w:tc>
      </w:tr>
      <w:tr w:rsidR="00E90790" w:rsidRPr="00E90790" w14:paraId="5E8DC263" w14:textId="77777777" w:rsidTr="00CC1117">
        <w:trPr>
          <w:trHeight w:val="276"/>
          <w:jc w:val="center"/>
        </w:trPr>
        <w:tc>
          <w:tcPr>
            <w:tcW w:w="1985" w:type="dxa"/>
            <w:noWrap/>
            <w:vAlign w:val="center"/>
            <w:hideMark/>
          </w:tcPr>
          <w:p w14:paraId="1D63A36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15341</w:t>
            </w:r>
          </w:p>
        </w:tc>
        <w:tc>
          <w:tcPr>
            <w:tcW w:w="4673" w:type="dxa"/>
            <w:noWrap/>
            <w:vAlign w:val="center"/>
            <w:hideMark/>
          </w:tcPr>
          <w:p w14:paraId="1281098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Rostrevor College</w:t>
            </w:r>
          </w:p>
        </w:tc>
        <w:tc>
          <w:tcPr>
            <w:tcW w:w="2693" w:type="dxa"/>
            <w:noWrap/>
            <w:vAlign w:val="center"/>
            <w:hideMark/>
          </w:tcPr>
          <w:p w14:paraId="7B5748B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Woodforde</w:t>
            </w:r>
          </w:p>
        </w:tc>
      </w:tr>
      <w:tr w:rsidR="00E90790" w:rsidRPr="00E90790" w14:paraId="6CAA99DB" w14:textId="77777777" w:rsidTr="00CC1117">
        <w:trPr>
          <w:trHeight w:val="276"/>
          <w:jc w:val="center"/>
        </w:trPr>
        <w:tc>
          <w:tcPr>
            <w:tcW w:w="1985" w:type="dxa"/>
            <w:noWrap/>
            <w:vAlign w:val="center"/>
            <w:hideMark/>
          </w:tcPr>
          <w:p w14:paraId="7F67406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303</w:t>
            </w:r>
          </w:p>
        </w:tc>
        <w:tc>
          <w:tcPr>
            <w:tcW w:w="4673" w:type="dxa"/>
            <w:noWrap/>
            <w:vAlign w:val="center"/>
            <w:hideMark/>
          </w:tcPr>
          <w:p w14:paraId="371FAE7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 xml:space="preserve">Sacred Heart College </w:t>
            </w:r>
          </w:p>
        </w:tc>
        <w:tc>
          <w:tcPr>
            <w:tcW w:w="2693" w:type="dxa"/>
            <w:noWrap/>
            <w:vAlign w:val="center"/>
            <w:hideMark/>
          </w:tcPr>
          <w:p w14:paraId="5574609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Somerton Park</w:t>
            </w:r>
          </w:p>
        </w:tc>
      </w:tr>
      <w:tr w:rsidR="00E90790" w:rsidRPr="00E90790" w14:paraId="031195FA" w14:textId="77777777" w:rsidTr="00CC1117">
        <w:trPr>
          <w:trHeight w:val="276"/>
          <w:jc w:val="center"/>
        </w:trPr>
        <w:tc>
          <w:tcPr>
            <w:tcW w:w="1985" w:type="dxa"/>
            <w:noWrap/>
            <w:vAlign w:val="center"/>
            <w:hideMark/>
          </w:tcPr>
          <w:p w14:paraId="67DD635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15343</w:t>
            </w:r>
          </w:p>
        </w:tc>
        <w:tc>
          <w:tcPr>
            <w:tcW w:w="4673" w:type="dxa"/>
            <w:noWrap/>
            <w:vAlign w:val="center"/>
            <w:hideMark/>
          </w:tcPr>
          <w:p w14:paraId="3337DE8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Saint Ignatius' College</w:t>
            </w:r>
          </w:p>
        </w:tc>
        <w:tc>
          <w:tcPr>
            <w:tcW w:w="2693" w:type="dxa"/>
            <w:noWrap/>
            <w:vAlign w:val="center"/>
            <w:hideMark/>
          </w:tcPr>
          <w:p w14:paraId="01610BE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Athelstone</w:t>
            </w:r>
          </w:p>
        </w:tc>
      </w:tr>
      <w:tr w:rsidR="00E90790" w:rsidRPr="00E90790" w14:paraId="685AEC06" w14:textId="77777777" w:rsidTr="00CC1117">
        <w:trPr>
          <w:trHeight w:val="276"/>
          <w:jc w:val="center"/>
        </w:trPr>
        <w:tc>
          <w:tcPr>
            <w:tcW w:w="1985" w:type="dxa"/>
            <w:noWrap/>
            <w:vAlign w:val="center"/>
            <w:hideMark/>
          </w:tcPr>
          <w:p w14:paraId="54B3462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28124</w:t>
            </w:r>
          </w:p>
        </w:tc>
        <w:tc>
          <w:tcPr>
            <w:tcW w:w="4673" w:type="dxa"/>
            <w:noWrap/>
            <w:vAlign w:val="center"/>
            <w:hideMark/>
          </w:tcPr>
          <w:p w14:paraId="7C9628B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Samaritan College</w:t>
            </w:r>
          </w:p>
        </w:tc>
        <w:tc>
          <w:tcPr>
            <w:tcW w:w="2693" w:type="dxa"/>
            <w:noWrap/>
            <w:vAlign w:val="center"/>
            <w:hideMark/>
          </w:tcPr>
          <w:p w14:paraId="27A4624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Whyalla</w:t>
            </w:r>
          </w:p>
        </w:tc>
      </w:tr>
      <w:tr w:rsidR="00E90790" w:rsidRPr="00E90790" w14:paraId="5CCB3E34" w14:textId="77777777" w:rsidTr="00CC1117">
        <w:trPr>
          <w:trHeight w:val="276"/>
          <w:jc w:val="center"/>
        </w:trPr>
        <w:tc>
          <w:tcPr>
            <w:tcW w:w="1985" w:type="dxa"/>
            <w:noWrap/>
            <w:vAlign w:val="center"/>
            <w:hideMark/>
          </w:tcPr>
          <w:p w14:paraId="031D7EC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2628</w:t>
            </w:r>
          </w:p>
        </w:tc>
        <w:tc>
          <w:tcPr>
            <w:tcW w:w="4673" w:type="dxa"/>
            <w:noWrap/>
            <w:vAlign w:val="center"/>
            <w:hideMark/>
          </w:tcPr>
          <w:p w14:paraId="1D95F8B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School of the Nativity</w:t>
            </w:r>
          </w:p>
        </w:tc>
        <w:tc>
          <w:tcPr>
            <w:tcW w:w="2693" w:type="dxa"/>
            <w:noWrap/>
            <w:vAlign w:val="center"/>
            <w:hideMark/>
          </w:tcPr>
          <w:p w14:paraId="1D72EBC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Aberfoyle Park</w:t>
            </w:r>
          </w:p>
        </w:tc>
      </w:tr>
      <w:tr w:rsidR="00E90790" w:rsidRPr="00E90790" w14:paraId="504CE8FE" w14:textId="77777777" w:rsidTr="00CC1117">
        <w:trPr>
          <w:trHeight w:val="276"/>
          <w:jc w:val="center"/>
        </w:trPr>
        <w:tc>
          <w:tcPr>
            <w:tcW w:w="1985" w:type="dxa"/>
            <w:noWrap/>
            <w:vAlign w:val="center"/>
            <w:hideMark/>
          </w:tcPr>
          <w:p w14:paraId="7C1E2AB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305</w:t>
            </w:r>
          </w:p>
        </w:tc>
        <w:tc>
          <w:tcPr>
            <w:tcW w:w="4673" w:type="dxa"/>
            <w:noWrap/>
            <w:vAlign w:val="center"/>
            <w:hideMark/>
          </w:tcPr>
          <w:p w14:paraId="2C5A199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Alberts School</w:t>
            </w:r>
          </w:p>
        </w:tc>
        <w:tc>
          <w:tcPr>
            <w:tcW w:w="2693" w:type="dxa"/>
            <w:noWrap/>
            <w:vAlign w:val="center"/>
            <w:hideMark/>
          </w:tcPr>
          <w:p w14:paraId="179528D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Loxton</w:t>
            </w:r>
          </w:p>
        </w:tc>
      </w:tr>
      <w:tr w:rsidR="00E90790" w:rsidRPr="00E90790" w14:paraId="38E5E9A2" w14:textId="77777777" w:rsidTr="00CC1117">
        <w:trPr>
          <w:trHeight w:val="276"/>
          <w:jc w:val="center"/>
        </w:trPr>
        <w:tc>
          <w:tcPr>
            <w:tcW w:w="1985" w:type="dxa"/>
            <w:noWrap/>
            <w:vAlign w:val="center"/>
            <w:hideMark/>
          </w:tcPr>
          <w:p w14:paraId="3193422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306</w:t>
            </w:r>
          </w:p>
        </w:tc>
        <w:tc>
          <w:tcPr>
            <w:tcW w:w="4673" w:type="dxa"/>
            <w:noWrap/>
            <w:vAlign w:val="center"/>
            <w:hideMark/>
          </w:tcPr>
          <w:p w14:paraId="795D788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Aloysius College</w:t>
            </w:r>
          </w:p>
        </w:tc>
        <w:tc>
          <w:tcPr>
            <w:tcW w:w="2693" w:type="dxa"/>
            <w:noWrap/>
            <w:vAlign w:val="center"/>
            <w:hideMark/>
          </w:tcPr>
          <w:p w14:paraId="11E5D34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Adelaide</w:t>
            </w:r>
          </w:p>
        </w:tc>
      </w:tr>
      <w:tr w:rsidR="00E90790" w:rsidRPr="00E90790" w14:paraId="50B5A1B2" w14:textId="77777777" w:rsidTr="00CC1117">
        <w:trPr>
          <w:trHeight w:val="276"/>
          <w:jc w:val="center"/>
        </w:trPr>
        <w:tc>
          <w:tcPr>
            <w:tcW w:w="1985" w:type="dxa"/>
            <w:noWrap/>
            <w:vAlign w:val="center"/>
            <w:hideMark/>
          </w:tcPr>
          <w:p w14:paraId="6740CC3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309</w:t>
            </w:r>
          </w:p>
        </w:tc>
        <w:tc>
          <w:tcPr>
            <w:tcW w:w="4673" w:type="dxa"/>
            <w:noWrap/>
            <w:vAlign w:val="center"/>
            <w:hideMark/>
          </w:tcPr>
          <w:p w14:paraId="3BE6FDB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Anthony's Catholic Primary School</w:t>
            </w:r>
          </w:p>
        </w:tc>
        <w:tc>
          <w:tcPr>
            <w:tcW w:w="2693" w:type="dxa"/>
            <w:noWrap/>
            <w:vAlign w:val="center"/>
            <w:hideMark/>
          </w:tcPr>
          <w:p w14:paraId="27A06E5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Millicent</w:t>
            </w:r>
          </w:p>
        </w:tc>
      </w:tr>
      <w:tr w:rsidR="00E90790" w:rsidRPr="00E90790" w14:paraId="0315C83D" w14:textId="77777777" w:rsidTr="00CC1117">
        <w:trPr>
          <w:trHeight w:val="276"/>
          <w:jc w:val="center"/>
        </w:trPr>
        <w:tc>
          <w:tcPr>
            <w:tcW w:w="1985" w:type="dxa"/>
            <w:noWrap/>
            <w:vAlign w:val="center"/>
            <w:hideMark/>
          </w:tcPr>
          <w:p w14:paraId="63091C4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308</w:t>
            </w:r>
          </w:p>
        </w:tc>
        <w:tc>
          <w:tcPr>
            <w:tcW w:w="4673" w:type="dxa"/>
            <w:noWrap/>
            <w:vAlign w:val="center"/>
            <w:hideMark/>
          </w:tcPr>
          <w:p w14:paraId="6F8FB2B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Anthony's School</w:t>
            </w:r>
          </w:p>
        </w:tc>
        <w:tc>
          <w:tcPr>
            <w:tcW w:w="2693" w:type="dxa"/>
            <w:noWrap/>
            <w:vAlign w:val="center"/>
            <w:hideMark/>
          </w:tcPr>
          <w:p w14:paraId="76C873F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Edwardstown</w:t>
            </w:r>
          </w:p>
        </w:tc>
      </w:tr>
      <w:tr w:rsidR="00E90790" w:rsidRPr="00E90790" w14:paraId="3F4883E8" w14:textId="77777777" w:rsidTr="00CC1117">
        <w:trPr>
          <w:trHeight w:val="276"/>
          <w:jc w:val="center"/>
        </w:trPr>
        <w:tc>
          <w:tcPr>
            <w:tcW w:w="1985" w:type="dxa"/>
            <w:noWrap/>
            <w:vAlign w:val="center"/>
            <w:hideMark/>
          </w:tcPr>
          <w:p w14:paraId="75AF893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310</w:t>
            </w:r>
          </w:p>
        </w:tc>
        <w:tc>
          <w:tcPr>
            <w:tcW w:w="4673" w:type="dxa"/>
            <w:noWrap/>
            <w:vAlign w:val="center"/>
            <w:hideMark/>
          </w:tcPr>
          <w:p w14:paraId="6A30515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Augustine's School</w:t>
            </w:r>
          </w:p>
        </w:tc>
        <w:tc>
          <w:tcPr>
            <w:tcW w:w="2693" w:type="dxa"/>
            <w:noWrap/>
            <w:vAlign w:val="center"/>
            <w:hideMark/>
          </w:tcPr>
          <w:p w14:paraId="5AAD23F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Salisbury</w:t>
            </w:r>
          </w:p>
        </w:tc>
      </w:tr>
      <w:tr w:rsidR="00E90790" w:rsidRPr="00E90790" w14:paraId="3917E81F" w14:textId="77777777" w:rsidTr="00CC1117">
        <w:trPr>
          <w:trHeight w:val="276"/>
          <w:jc w:val="center"/>
        </w:trPr>
        <w:tc>
          <w:tcPr>
            <w:tcW w:w="1985" w:type="dxa"/>
            <w:noWrap/>
            <w:vAlign w:val="center"/>
            <w:hideMark/>
          </w:tcPr>
          <w:p w14:paraId="5BF92D5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16983</w:t>
            </w:r>
          </w:p>
        </w:tc>
        <w:tc>
          <w:tcPr>
            <w:tcW w:w="4673" w:type="dxa"/>
            <w:noWrap/>
            <w:vAlign w:val="center"/>
            <w:hideMark/>
          </w:tcPr>
          <w:p w14:paraId="014CC56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Barbara's Parish School</w:t>
            </w:r>
          </w:p>
        </w:tc>
        <w:tc>
          <w:tcPr>
            <w:tcW w:w="2693" w:type="dxa"/>
            <w:noWrap/>
            <w:vAlign w:val="center"/>
            <w:hideMark/>
          </w:tcPr>
          <w:p w14:paraId="793D209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Roxby Downs</w:t>
            </w:r>
          </w:p>
        </w:tc>
      </w:tr>
      <w:tr w:rsidR="00E90790" w:rsidRPr="00E90790" w14:paraId="50D0192C" w14:textId="77777777" w:rsidTr="00CC1117">
        <w:trPr>
          <w:trHeight w:val="276"/>
          <w:jc w:val="center"/>
        </w:trPr>
        <w:tc>
          <w:tcPr>
            <w:tcW w:w="1985" w:type="dxa"/>
            <w:noWrap/>
            <w:vAlign w:val="center"/>
            <w:hideMark/>
          </w:tcPr>
          <w:p w14:paraId="6530B32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lastRenderedPageBreak/>
              <w:t>311</w:t>
            </w:r>
          </w:p>
        </w:tc>
        <w:tc>
          <w:tcPr>
            <w:tcW w:w="4673" w:type="dxa"/>
            <w:noWrap/>
            <w:vAlign w:val="center"/>
            <w:hideMark/>
          </w:tcPr>
          <w:p w14:paraId="1856648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Bernadette's School</w:t>
            </w:r>
          </w:p>
        </w:tc>
        <w:tc>
          <w:tcPr>
            <w:tcW w:w="2693" w:type="dxa"/>
            <w:noWrap/>
            <w:vAlign w:val="center"/>
            <w:hideMark/>
          </w:tcPr>
          <w:p w14:paraId="455B0B5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Marys</w:t>
            </w:r>
          </w:p>
        </w:tc>
      </w:tr>
      <w:tr w:rsidR="00E90790" w:rsidRPr="00E90790" w14:paraId="6D17DAFE" w14:textId="77777777" w:rsidTr="00CC1117">
        <w:trPr>
          <w:trHeight w:val="276"/>
          <w:jc w:val="center"/>
        </w:trPr>
        <w:tc>
          <w:tcPr>
            <w:tcW w:w="1985" w:type="dxa"/>
            <w:noWrap/>
            <w:vAlign w:val="center"/>
            <w:hideMark/>
          </w:tcPr>
          <w:p w14:paraId="5A6288C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312</w:t>
            </w:r>
          </w:p>
        </w:tc>
        <w:tc>
          <w:tcPr>
            <w:tcW w:w="4673" w:type="dxa"/>
            <w:noWrap/>
            <w:vAlign w:val="center"/>
            <w:hideMark/>
          </w:tcPr>
          <w:p w14:paraId="1125DAF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Brigid's Catholic Primary School</w:t>
            </w:r>
          </w:p>
        </w:tc>
        <w:tc>
          <w:tcPr>
            <w:tcW w:w="2693" w:type="dxa"/>
            <w:noWrap/>
            <w:vAlign w:val="center"/>
            <w:hideMark/>
          </w:tcPr>
          <w:p w14:paraId="744DF0B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Evanston</w:t>
            </w:r>
          </w:p>
        </w:tc>
      </w:tr>
      <w:tr w:rsidR="00E90790" w:rsidRPr="00E90790" w14:paraId="7496F429" w14:textId="77777777" w:rsidTr="00CC1117">
        <w:trPr>
          <w:trHeight w:val="276"/>
          <w:jc w:val="center"/>
        </w:trPr>
        <w:tc>
          <w:tcPr>
            <w:tcW w:w="1985" w:type="dxa"/>
            <w:noWrap/>
            <w:vAlign w:val="center"/>
            <w:hideMark/>
          </w:tcPr>
          <w:p w14:paraId="473925B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313</w:t>
            </w:r>
          </w:p>
        </w:tc>
        <w:tc>
          <w:tcPr>
            <w:tcW w:w="4673" w:type="dxa"/>
            <w:noWrap/>
            <w:vAlign w:val="center"/>
            <w:hideMark/>
          </w:tcPr>
          <w:p w14:paraId="766845B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Brigid's School</w:t>
            </w:r>
          </w:p>
        </w:tc>
        <w:tc>
          <w:tcPr>
            <w:tcW w:w="2693" w:type="dxa"/>
            <w:noWrap/>
            <w:vAlign w:val="center"/>
            <w:hideMark/>
          </w:tcPr>
          <w:p w14:paraId="1947DA8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Kilburn</w:t>
            </w:r>
          </w:p>
        </w:tc>
      </w:tr>
      <w:tr w:rsidR="00E90790" w:rsidRPr="00E90790" w14:paraId="7186279D" w14:textId="77777777" w:rsidTr="00CC1117">
        <w:trPr>
          <w:trHeight w:val="276"/>
          <w:jc w:val="center"/>
        </w:trPr>
        <w:tc>
          <w:tcPr>
            <w:tcW w:w="1985" w:type="dxa"/>
            <w:noWrap/>
            <w:vAlign w:val="center"/>
            <w:hideMark/>
          </w:tcPr>
          <w:p w14:paraId="5E21AC8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397</w:t>
            </w:r>
          </w:p>
        </w:tc>
        <w:tc>
          <w:tcPr>
            <w:tcW w:w="4673" w:type="dxa"/>
            <w:noWrap/>
            <w:vAlign w:val="center"/>
            <w:hideMark/>
          </w:tcPr>
          <w:p w14:paraId="4CE5672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Catherine's Stirling Parish School</w:t>
            </w:r>
          </w:p>
        </w:tc>
        <w:tc>
          <w:tcPr>
            <w:tcW w:w="2693" w:type="dxa"/>
            <w:noWrap/>
            <w:vAlign w:val="center"/>
            <w:hideMark/>
          </w:tcPr>
          <w:p w14:paraId="17B40DE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Stirling</w:t>
            </w:r>
          </w:p>
        </w:tc>
      </w:tr>
      <w:tr w:rsidR="00E90790" w:rsidRPr="00E90790" w14:paraId="4D198810" w14:textId="77777777" w:rsidTr="00CC1117">
        <w:trPr>
          <w:trHeight w:val="276"/>
          <w:jc w:val="center"/>
        </w:trPr>
        <w:tc>
          <w:tcPr>
            <w:tcW w:w="1985" w:type="dxa"/>
            <w:noWrap/>
            <w:vAlign w:val="center"/>
            <w:hideMark/>
          </w:tcPr>
          <w:p w14:paraId="42AAA3E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15419</w:t>
            </w:r>
          </w:p>
        </w:tc>
        <w:tc>
          <w:tcPr>
            <w:tcW w:w="4673" w:type="dxa"/>
            <w:noWrap/>
            <w:vAlign w:val="center"/>
            <w:hideMark/>
          </w:tcPr>
          <w:p w14:paraId="275F988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Columba College</w:t>
            </w:r>
          </w:p>
        </w:tc>
        <w:tc>
          <w:tcPr>
            <w:tcW w:w="2693" w:type="dxa"/>
            <w:noWrap/>
            <w:vAlign w:val="center"/>
            <w:hideMark/>
          </w:tcPr>
          <w:p w14:paraId="196B86A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Andrews Farm</w:t>
            </w:r>
          </w:p>
        </w:tc>
      </w:tr>
      <w:tr w:rsidR="00E90790" w:rsidRPr="00E90790" w14:paraId="61BF9B18" w14:textId="77777777" w:rsidTr="00CC1117">
        <w:trPr>
          <w:trHeight w:val="276"/>
          <w:jc w:val="center"/>
        </w:trPr>
        <w:tc>
          <w:tcPr>
            <w:tcW w:w="1985" w:type="dxa"/>
            <w:noWrap/>
            <w:vAlign w:val="center"/>
            <w:hideMark/>
          </w:tcPr>
          <w:p w14:paraId="6785AE0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314</w:t>
            </w:r>
          </w:p>
        </w:tc>
        <w:tc>
          <w:tcPr>
            <w:tcW w:w="4673" w:type="dxa"/>
            <w:noWrap/>
            <w:vAlign w:val="center"/>
            <w:hideMark/>
          </w:tcPr>
          <w:p w14:paraId="0E71D85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Columba's Memorial School</w:t>
            </w:r>
          </w:p>
        </w:tc>
        <w:tc>
          <w:tcPr>
            <w:tcW w:w="2693" w:type="dxa"/>
            <w:noWrap/>
            <w:vAlign w:val="center"/>
            <w:hideMark/>
          </w:tcPr>
          <w:p w14:paraId="4085A2B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Yorketown</w:t>
            </w:r>
          </w:p>
        </w:tc>
      </w:tr>
      <w:tr w:rsidR="00E90790" w:rsidRPr="00E90790" w14:paraId="1557E192" w14:textId="77777777" w:rsidTr="00CC1117">
        <w:trPr>
          <w:trHeight w:val="276"/>
          <w:jc w:val="center"/>
        </w:trPr>
        <w:tc>
          <w:tcPr>
            <w:tcW w:w="1985" w:type="dxa"/>
            <w:noWrap/>
            <w:vAlign w:val="center"/>
            <w:hideMark/>
          </w:tcPr>
          <w:p w14:paraId="0EADE16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2604</w:t>
            </w:r>
          </w:p>
        </w:tc>
        <w:tc>
          <w:tcPr>
            <w:tcW w:w="4673" w:type="dxa"/>
            <w:noWrap/>
            <w:vAlign w:val="center"/>
            <w:hideMark/>
          </w:tcPr>
          <w:p w14:paraId="3FAD05A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David's Parish School</w:t>
            </w:r>
          </w:p>
        </w:tc>
        <w:tc>
          <w:tcPr>
            <w:tcW w:w="2693" w:type="dxa"/>
            <w:noWrap/>
            <w:vAlign w:val="center"/>
            <w:hideMark/>
          </w:tcPr>
          <w:p w14:paraId="6BBEE4A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Tea Tree Gully</w:t>
            </w:r>
          </w:p>
        </w:tc>
      </w:tr>
      <w:tr w:rsidR="00E90790" w:rsidRPr="00E90790" w14:paraId="7BBE93A8" w14:textId="77777777" w:rsidTr="00CC1117">
        <w:trPr>
          <w:trHeight w:val="276"/>
          <w:jc w:val="center"/>
        </w:trPr>
        <w:tc>
          <w:tcPr>
            <w:tcW w:w="1985" w:type="dxa"/>
            <w:noWrap/>
            <w:vAlign w:val="center"/>
            <w:hideMark/>
          </w:tcPr>
          <w:p w14:paraId="6775695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315</w:t>
            </w:r>
          </w:p>
        </w:tc>
        <w:tc>
          <w:tcPr>
            <w:tcW w:w="4673" w:type="dxa"/>
            <w:noWrap/>
            <w:vAlign w:val="center"/>
            <w:hideMark/>
          </w:tcPr>
          <w:p w14:paraId="1E571D8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Dominic's Priory College</w:t>
            </w:r>
          </w:p>
        </w:tc>
        <w:tc>
          <w:tcPr>
            <w:tcW w:w="2693" w:type="dxa"/>
            <w:noWrap/>
            <w:vAlign w:val="center"/>
            <w:hideMark/>
          </w:tcPr>
          <w:p w14:paraId="0F138AC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North Adelaide</w:t>
            </w:r>
          </w:p>
        </w:tc>
      </w:tr>
      <w:tr w:rsidR="00E90790" w:rsidRPr="00E90790" w14:paraId="1C76D0AD" w14:textId="77777777" w:rsidTr="00CC1117">
        <w:trPr>
          <w:trHeight w:val="276"/>
          <w:jc w:val="center"/>
        </w:trPr>
        <w:tc>
          <w:tcPr>
            <w:tcW w:w="1985" w:type="dxa"/>
            <w:noWrap/>
            <w:vAlign w:val="center"/>
            <w:hideMark/>
          </w:tcPr>
          <w:p w14:paraId="59337EC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381</w:t>
            </w:r>
          </w:p>
        </w:tc>
        <w:tc>
          <w:tcPr>
            <w:tcW w:w="4673" w:type="dxa"/>
            <w:noWrap/>
            <w:vAlign w:val="center"/>
            <w:hideMark/>
          </w:tcPr>
          <w:p w14:paraId="2794788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Francis De Sales College</w:t>
            </w:r>
          </w:p>
        </w:tc>
        <w:tc>
          <w:tcPr>
            <w:tcW w:w="2693" w:type="dxa"/>
            <w:noWrap/>
            <w:vAlign w:val="center"/>
            <w:hideMark/>
          </w:tcPr>
          <w:p w14:paraId="05E0CF2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Mount Barker</w:t>
            </w:r>
          </w:p>
        </w:tc>
      </w:tr>
      <w:tr w:rsidR="00E90790" w:rsidRPr="00E90790" w14:paraId="6F7B6A79" w14:textId="77777777" w:rsidTr="00CC1117">
        <w:trPr>
          <w:trHeight w:val="276"/>
          <w:jc w:val="center"/>
        </w:trPr>
        <w:tc>
          <w:tcPr>
            <w:tcW w:w="1985" w:type="dxa"/>
            <w:noWrap/>
            <w:vAlign w:val="center"/>
            <w:hideMark/>
          </w:tcPr>
          <w:p w14:paraId="15302C5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316</w:t>
            </w:r>
          </w:p>
        </w:tc>
        <w:tc>
          <w:tcPr>
            <w:tcW w:w="4673" w:type="dxa"/>
            <w:noWrap/>
            <w:vAlign w:val="center"/>
            <w:hideMark/>
          </w:tcPr>
          <w:p w14:paraId="742258A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Francis of Assisi School</w:t>
            </w:r>
          </w:p>
        </w:tc>
        <w:tc>
          <w:tcPr>
            <w:tcW w:w="2693" w:type="dxa"/>
            <w:noWrap/>
            <w:vAlign w:val="center"/>
            <w:hideMark/>
          </w:tcPr>
          <w:p w14:paraId="64B0D8D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Newton</w:t>
            </w:r>
          </w:p>
        </w:tc>
      </w:tr>
      <w:tr w:rsidR="00E90790" w:rsidRPr="00E90790" w14:paraId="3C9EA7F1" w14:textId="77777777" w:rsidTr="00CC1117">
        <w:trPr>
          <w:trHeight w:val="276"/>
          <w:jc w:val="center"/>
        </w:trPr>
        <w:tc>
          <w:tcPr>
            <w:tcW w:w="1985" w:type="dxa"/>
            <w:noWrap/>
            <w:vAlign w:val="center"/>
            <w:hideMark/>
          </w:tcPr>
          <w:p w14:paraId="6CB090E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87801</w:t>
            </w:r>
          </w:p>
        </w:tc>
        <w:tc>
          <w:tcPr>
            <w:tcW w:w="4673" w:type="dxa"/>
            <w:noWrap/>
            <w:vAlign w:val="center"/>
            <w:hideMark/>
          </w:tcPr>
          <w:p w14:paraId="4CB3CBF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Francis of Assisi College</w:t>
            </w:r>
          </w:p>
        </w:tc>
        <w:tc>
          <w:tcPr>
            <w:tcW w:w="2693" w:type="dxa"/>
            <w:noWrap/>
            <w:vAlign w:val="center"/>
            <w:hideMark/>
          </w:tcPr>
          <w:p w14:paraId="28A427F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Renmark</w:t>
            </w:r>
          </w:p>
        </w:tc>
      </w:tr>
      <w:tr w:rsidR="00E90790" w:rsidRPr="00E90790" w14:paraId="506975BF" w14:textId="77777777" w:rsidTr="00CC1117">
        <w:trPr>
          <w:trHeight w:val="276"/>
          <w:jc w:val="center"/>
        </w:trPr>
        <w:tc>
          <w:tcPr>
            <w:tcW w:w="1985" w:type="dxa"/>
            <w:noWrap/>
            <w:vAlign w:val="center"/>
            <w:hideMark/>
          </w:tcPr>
          <w:p w14:paraId="2D9DA7A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317</w:t>
            </w:r>
          </w:p>
        </w:tc>
        <w:tc>
          <w:tcPr>
            <w:tcW w:w="4673" w:type="dxa"/>
            <w:noWrap/>
            <w:vAlign w:val="center"/>
            <w:hideMark/>
          </w:tcPr>
          <w:p w14:paraId="1434DEF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Francis School</w:t>
            </w:r>
          </w:p>
        </w:tc>
        <w:tc>
          <w:tcPr>
            <w:tcW w:w="2693" w:type="dxa"/>
            <w:noWrap/>
            <w:vAlign w:val="center"/>
            <w:hideMark/>
          </w:tcPr>
          <w:p w14:paraId="4B59D5B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Lockleys</w:t>
            </w:r>
          </w:p>
        </w:tc>
      </w:tr>
      <w:tr w:rsidR="00E90790" w:rsidRPr="00E90790" w14:paraId="7944A44C" w14:textId="77777777" w:rsidTr="00CC1117">
        <w:trPr>
          <w:trHeight w:val="276"/>
          <w:jc w:val="center"/>
        </w:trPr>
        <w:tc>
          <w:tcPr>
            <w:tcW w:w="1985" w:type="dxa"/>
            <w:noWrap/>
            <w:vAlign w:val="center"/>
            <w:hideMark/>
          </w:tcPr>
          <w:p w14:paraId="78D7022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4060</w:t>
            </w:r>
          </w:p>
        </w:tc>
        <w:tc>
          <w:tcPr>
            <w:tcW w:w="4673" w:type="dxa"/>
            <w:noWrap/>
            <w:vAlign w:val="center"/>
            <w:hideMark/>
          </w:tcPr>
          <w:p w14:paraId="6B7B070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Francis Xavier's Regional Catholic School</w:t>
            </w:r>
          </w:p>
        </w:tc>
        <w:tc>
          <w:tcPr>
            <w:tcW w:w="2693" w:type="dxa"/>
            <w:noWrap/>
            <w:vAlign w:val="center"/>
            <w:hideMark/>
          </w:tcPr>
          <w:p w14:paraId="69C9AED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Wynn Vale</w:t>
            </w:r>
          </w:p>
        </w:tc>
      </w:tr>
      <w:tr w:rsidR="00E90790" w:rsidRPr="00E90790" w14:paraId="7975DF29" w14:textId="77777777" w:rsidTr="00CC1117">
        <w:trPr>
          <w:trHeight w:val="276"/>
          <w:jc w:val="center"/>
        </w:trPr>
        <w:tc>
          <w:tcPr>
            <w:tcW w:w="1985" w:type="dxa"/>
            <w:noWrap/>
            <w:vAlign w:val="center"/>
            <w:hideMark/>
          </w:tcPr>
          <w:p w14:paraId="595FFB0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319</w:t>
            </w:r>
          </w:p>
        </w:tc>
        <w:tc>
          <w:tcPr>
            <w:tcW w:w="4673" w:type="dxa"/>
            <w:noWrap/>
            <w:vAlign w:val="center"/>
            <w:hideMark/>
          </w:tcPr>
          <w:p w14:paraId="522E52D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Gabriel's School</w:t>
            </w:r>
          </w:p>
        </w:tc>
        <w:tc>
          <w:tcPr>
            <w:tcW w:w="2693" w:type="dxa"/>
            <w:noWrap/>
            <w:vAlign w:val="center"/>
            <w:hideMark/>
          </w:tcPr>
          <w:p w14:paraId="562C383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Enfield</w:t>
            </w:r>
          </w:p>
        </w:tc>
      </w:tr>
      <w:tr w:rsidR="00E90790" w:rsidRPr="00E90790" w14:paraId="16143D79" w14:textId="77777777" w:rsidTr="00CC1117">
        <w:trPr>
          <w:trHeight w:val="276"/>
          <w:jc w:val="center"/>
        </w:trPr>
        <w:tc>
          <w:tcPr>
            <w:tcW w:w="1985" w:type="dxa"/>
            <w:noWrap/>
            <w:vAlign w:val="center"/>
            <w:hideMark/>
          </w:tcPr>
          <w:p w14:paraId="39FF1CC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323</w:t>
            </w:r>
          </w:p>
        </w:tc>
        <w:tc>
          <w:tcPr>
            <w:tcW w:w="4673" w:type="dxa"/>
            <w:noWrap/>
            <w:vAlign w:val="center"/>
            <w:hideMark/>
          </w:tcPr>
          <w:p w14:paraId="0B000C4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James School</w:t>
            </w:r>
          </w:p>
        </w:tc>
        <w:tc>
          <w:tcPr>
            <w:tcW w:w="2693" w:type="dxa"/>
            <w:noWrap/>
            <w:vAlign w:val="center"/>
            <w:hideMark/>
          </w:tcPr>
          <w:p w14:paraId="1BE4080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Jamestown</w:t>
            </w:r>
          </w:p>
        </w:tc>
      </w:tr>
      <w:tr w:rsidR="00E90790" w:rsidRPr="00E90790" w14:paraId="207F2F12" w14:textId="77777777" w:rsidTr="00CC1117">
        <w:trPr>
          <w:trHeight w:val="276"/>
          <w:jc w:val="center"/>
        </w:trPr>
        <w:tc>
          <w:tcPr>
            <w:tcW w:w="1985" w:type="dxa"/>
            <w:noWrap/>
            <w:vAlign w:val="center"/>
            <w:hideMark/>
          </w:tcPr>
          <w:p w14:paraId="2187116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324</w:t>
            </w:r>
          </w:p>
        </w:tc>
        <w:tc>
          <w:tcPr>
            <w:tcW w:w="4673" w:type="dxa"/>
            <w:noWrap/>
            <w:vAlign w:val="center"/>
            <w:hideMark/>
          </w:tcPr>
          <w:p w14:paraId="55B2F94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John Bosco School</w:t>
            </w:r>
          </w:p>
        </w:tc>
        <w:tc>
          <w:tcPr>
            <w:tcW w:w="2693" w:type="dxa"/>
            <w:noWrap/>
            <w:vAlign w:val="center"/>
            <w:hideMark/>
          </w:tcPr>
          <w:p w14:paraId="4E11EB5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Brooklyn Park</w:t>
            </w:r>
          </w:p>
        </w:tc>
      </w:tr>
      <w:tr w:rsidR="00E90790" w:rsidRPr="00E90790" w14:paraId="6F85330E" w14:textId="77777777" w:rsidTr="00CC1117">
        <w:trPr>
          <w:trHeight w:val="276"/>
          <w:jc w:val="center"/>
        </w:trPr>
        <w:tc>
          <w:tcPr>
            <w:tcW w:w="1985" w:type="dxa"/>
            <w:noWrap/>
            <w:vAlign w:val="center"/>
            <w:hideMark/>
          </w:tcPr>
          <w:p w14:paraId="4A3D88A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331</w:t>
            </w:r>
          </w:p>
        </w:tc>
        <w:tc>
          <w:tcPr>
            <w:tcW w:w="4673" w:type="dxa"/>
            <w:noWrap/>
            <w:vAlign w:val="center"/>
            <w:hideMark/>
          </w:tcPr>
          <w:p w14:paraId="35B1251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John the Apostle Catholic School</w:t>
            </w:r>
          </w:p>
        </w:tc>
        <w:tc>
          <w:tcPr>
            <w:tcW w:w="2693" w:type="dxa"/>
            <w:noWrap/>
            <w:vAlign w:val="center"/>
            <w:hideMark/>
          </w:tcPr>
          <w:p w14:paraId="67E8F82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Christies Beach</w:t>
            </w:r>
          </w:p>
        </w:tc>
      </w:tr>
      <w:tr w:rsidR="00E90790" w:rsidRPr="00E90790" w14:paraId="571F83A9" w14:textId="77777777" w:rsidTr="00CC1117">
        <w:trPr>
          <w:trHeight w:val="276"/>
          <w:jc w:val="center"/>
        </w:trPr>
        <w:tc>
          <w:tcPr>
            <w:tcW w:w="1985" w:type="dxa"/>
            <w:noWrap/>
            <w:vAlign w:val="center"/>
            <w:hideMark/>
          </w:tcPr>
          <w:p w14:paraId="64048B1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330</w:t>
            </w:r>
          </w:p>
        </w:tc>
        <w:tc>
          <w:tcPr>
            <w:tcW w:w="4673" w:type="dxa"/>
            <w:noWrap/>
            <w:vAlign w:val="center"/>
            <w:hideMark/>
          </w:tcPr>
          <w:p w14:paraId="1D588D2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John the Baptist Catholic School</w:t>
            </w:r>
          </w:p>
        </w:tc>
        <w:tc>
          <w:tcPr>
            <w:tcW w:w="2693" w:type="dxa"/>
            <w:noWrap/>
            <w:vAlign w:val="center"/>
            <w:hideMark/>
          </w:tcPr>
          <w:p w14:paraId="692BF9E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Plympton</w:t>
            </w:r>
          </w:p>
        </w:tc>
      </w:tr>
      <w:tr w:rsidR="00E90790" w:rsidRPr="00E90790" w14:paraId="0076E01D" w14:textId="77777777" w:rsidTr="00CC1117">
        <w:trPr>
          <w:trHeight w:val="276"/>
          <w:jc w:val="center"/>
        </w:trPr>
        <w:tc>
          <w:tcPr>
            <w:tcW w:w="1985" w:type="dxa"/>
            <w:noWrap/>
            <w:vAlign w:val="center"/>
            <w:hideMark/>
          </w:tcPr>
          <w:p w14:paraId="6F0ADBA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334</w:t>
            </w:r>
          </w:p>
        </w:tc>
        <w:tc>
          <w:tcPr>
            <w:tcW w:w="4673" w:type="dxa"/>
            <w:noWrap/>
            <w:vAlign w:val="center"/>
            <w:hideMark/>
          </w:tcPr>
          <w:p w14:paraId="0E9ABAF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Memorial School</w:t>
            </w:r>
          </w:p>
        </w:tc>
        <w:tc>
          <w:tcPr>
            <w:tcW w:w="2693" w:type="dxa"/>
            <w:noWrap/>
            <w:vAlign w:val="center"/>
            <w:hideMark/>
          </w:tcPr>
          <w:p w14:paraId="610463D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Norwood</w:t>
            </w:r>
          </w:p>
        </w:tc>
      </w:tr>
      <w:tr w:rsidR="00E90790" w:rsidRPr="00E90790" w14:paraId="12AC2641" w14:textId="77777777" w:rsidTr="00CC1117">
        <w:trPr>
          <w:trHeight w:val="276"/>
          <w:jc w:val="center"/>
        </w:trPr>
        <w:tc>
          <w:tcPr>
            <w:tcW w:w="1985" w:type="dxa"/>
            <w:noWrap/>
            <w:vAlign w:val="center"/>
            <w:hideMark/>
          </w:tcPr>
          <w:p w14:paraId="6B80641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338</w:t>
            </w:r>
          </w:p>
        </w:tc>
        <w:tc>
          <w:tcPr>
            <w:tcW w:w="4673" w:type="dxa"/>
            <w:noWrap/>
            <w:vAlign w:val="center"/>
            <w:hideMark/>
          </w:tcPr>
          <w:p w14:paraId="378BCE7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Parish School</w:t>
            </w:r>
          </w:p>
        </w:tc>
        <w:tc>
          <w:tcPr>
            <w:tcW w:w="2693" w:type="dxa"/>
            <w:noWrap/>
            <w:vAlign w:val="center"/>
            <w:hideMark/>
          </w:tcPr>
          <w:p w14:paraId="097CC55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Gladstone</w:t>
            </w:r>
          </w:p>
        </w:tc>
      </w:tr>
      <w:tr w:rsidR="00E90790" w:rsidRPr="00E90790" w14:paraId="425A5C23" w14:textId="77777777" w:rsidTr="00CC1117">
        <w:trPr>
          <w:trHeight w:val="276"/>
          <w:jc w:val="center"/>
        </w:trPr>
        <w:tc>
          <w:tcPr>
            <w:tcW w:w="1985" w:type="dxa"/>
            <w:noWrap/>
            <w:vAlign w:val="center"/>
            <w:hideMark/>
          </w:tcPr>
          <w:p w14:paraId="7144383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335</w:t>
            </w:r>
          </w:p>
        </w:tc>
        <w:tc>
          <w:tcPr>
            <w:tcW w:w="4673" w:type="dxa"/>
            <w:noWrap/>
            <w:vAlign w:val="center"/>
            <w:hideMark/>
          </w:tcPr>
          <w:p w14:paraId="612CB2E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0AD9032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Barmera</w:t>
            </w:r>
          </w:p>
        </w:tc>
      </w:tr>
      <w:tr w:rsidR="00E90790" w:rsidRPr="00E90790" w14:paraId="05ABD42F" w14:textId="77777777" w:rsidTr="00CC1117">
        <w:trPr>
          <w:trHeight w:val="276"/>
          <w:jc w:val="center"/>
        </w:trPr>
        <w:tc>
          <w:tcPr>
            <w:tcW w:w="1985" w:type="dxa"/>
            <w:noWrap/>
            <w:vAlign w:val="center"/>
            <w:hideMark/>
          </w:tcPr>
          <w:p w14:paraId="1F8D7F5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336</w:t>
            </w:r>
          </w:p>
        </w:tc>
        <w:tc>
          <w:tcPr>
            <w:tcW w:w="4673" w:type="dxa"/>
            <w:noWrap/>
            <w:vAlign w:val="center"/>
            <w:hideMark/>
          </w:tcPr>
          <w:p w14:paraId="1259D65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1B7F820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Clare</w:t>
            </w:r>
          </w:p>
        </w:tc>
      </w:tr>
      <w:tr w:rsidR="00E90790" w:rsidRPr="00E90790" w14:paraId="1B2A9671" w14:textId="77777777" w:rsidTr="00CC1117">
        <w:trPr>
          <w:trHeight w:val="276"/>
          <w:jc w:val="center"/>
        </w:trPr>
        <w:tc>
          <w:tcPr>
            <w:tcW w:w="1985" w:type="dxa"/>
            <w:noWrap/>
            <w:vAlign w:val="center"/>
            <w:hideMark/>
          </w:tcPr>
          <w:p w14:paraId="2BF7C4C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339</w:t>
            </w:r>
          </w:p>
        </w:tc>
        <w:tc>
          <w:tcPr>
            <w:tcW w:w="4673" w:type="dxa"/>
            <w:noWrap/>
            <w:vAlign w:val="center"/>
            <w:hideMark/>
          </w:tcPr>
          <w:p w14:paraId="5B45A90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1A71CF4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Hectorville</w:t>
            </w:r>
          </w:p>
        </w:tc>
      </w:tr>
      <w:tr w:rsidR="00E90790" w:rsidRPr="00E90790" w14:paraId="11A2E9AB" w14:textId="77777777" w:rsidTr="00CC1117">
        <w:trPr>
          <w:trHeight w:val="276"/>
          <w:jc w:val="center"/>
        </w:trPr>
        <w:tc>
          <w:tcPr>
            <w:tcW w:w="1985" w:type="dxa"/>
            <w:noWrap/>
            <w:vAlign w:val="center"/>
            <w:hideMark/>
          </w:tcPr>
          <w:p w14:paraId="4BDA1BE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340</w:t>
            </w:r>
          </w:p>
        </w:tc>
        <w:tc>
          <w:tcPr>
            <w:tcW w:w="4673" w:type="dxa"/>
            <w:noWrap/>
            <w:vAlign w:val="center"/>
            <w:hideMark/>
          </w:tcPr>
          <w:p w14:paraId="096C74B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20C71CA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Hindmarsh</w:t>
            </w:r>
          </w:p>
        </w:tc>
      </w:tr>
      <w:tr w:rsidR="00E90790" w:rsidRPr="00E90790" w14:paraId="1792A040" w14:textId="77777777" w:rsidTr="00CC1117">
        <w:trPr>
          <w:trHeight w:val="276"/>
          <w:jc w:val="center"/>
        </w:trPr>
        <w:tc>
          <w:tcPr>
            <w:tcW w:w="1985" w:type="dxa"/>
            <w:noWrap/>
            <w:vAlign w:val="center"/>
            <w:hideMark/>
          </w:tcPr>
          <w:p w14:paraId="31EB050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341</w:t>
            </w:r>
          </w:p>
        </w:tc>
        <w:tc>
          <w:tcPr>
            <w:tcW w:w="4673" w:type="dxa"/>
            <w:noWrap/>
            <w:vAlign w:val="center"/>
            <w:hideMark/>
          </w:tcPr>
          <w:p w14:paraId="202D01C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79AA5BD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Kingswood</w:t>
            </w:r>
          </w:p>
        </w:tc>
      </w:tr>
      <w:tr w:rsidR="00E90790" w:rsidRPr="00E90790" w14:paraId="75364A56" w14:textId="77777777" w:rsidTr="00CC1117">
        <w:trPr>
          <w:trHeight w:val="276"/>
          <w:jc w:val="center"/>
        </w:trPr>
        <w:tc>
          <w:tcPr>
            <w:tcW w:w="1985" w:type="dxa"/>
            <w:noWrap/>
            <w:vAlign w:val="center"/>
            <w:hideMark/>
          </w:tcPr>
          <w:p w14:paraId="6F1A7A0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344</w:t>
            </w:r>
          </w:p>
        </w:tc>
        <w:tc>
          <w:tcPr>
            <w:tcW w:w="4673" w:type="dxa"/>
            <w:noWrap/>
            <w:vAlign w:val="center"/>
            <w:hideMark/>
          </w:tcPr>
          <w:p w14:paraId="65C798D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35400CC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Murray Bridge</w:t>
            </w:r>
          </w:p>
        </w:tc>
      </w:tr>
      <w:tr w:rsidR="00E90790" w:rsidRPr="00E90790" w14:paraId="149B10AF" w14:textId="77777777" w:rsidTr="00CC1117">
        <w:trPr>
          <w:trHeight w:val="276"/>
          <w:jc w:val="center"/>
        </w:trPr>
        <w:tc>
          <w:tcPr>
            <w:tcW w:w="1985" w:type="dxa"/>
            <w:noWrap/>
            <w:vAlign w:val="center"/>
            <w:hideMark/>
          </w:tcPr>
          <w:p w14:paraId="3ECEB99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346</w:t>
            </w:r>
          </w:p>
        </w:tc>
        <w:tc>
          <w:tcPr>
            <w:tcW w:w="4673" w:type="dxa"/>
            <w:noWrap/>
            <w:vAlign w:val="center"/>
            <w:hideMark/>
          </w:tcPr>
          <w:p w14:paraId="1BB34C9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488E428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Ottoway</w:t>
            </w:r>
          </w:p>
        </w:tc>
      </w:tr>
      <w:tr w:rsidR="00E90790" w:rsidRPr="00E90790" w14:paraId="723C940F" w14:textId="77777777" w:rsidTr="00CC1117">
        <w:trPr>
          <w:trHeight w:val="276"/>
          <w:jc w:val="center"/>
        </w:trPr>
        <w:tc>
          <w:tcPr>
            <w:tcW w:w="1985" w:type="dxa"/>
            <w:noWrap/>
            <w:vAlign w:val="center"/>
            <w:hideMark/>
          </w:tcPr>
          <w:p w14:paraId="1BDBC2A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347</w:t>
            </w:r>
          </w:p>
        </w:tc>
        <w:tc>
          <w:tcPr>
            <w:tcW w:w="4673" w:type="dxa"/>
            <w:noWrap/>
            <w:vAlign w:val="center"/>
            <w:hideMark/>
          </w:tcPr>
          <w:p w14:paraId="58C803B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0C429AE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Payneham</w:t>
            </w:r>
          </w:p>
        </w:tc>
      </w:tr>
      <w:tr w:rsidR="00E90790" w:rsidRPr="00E90790" w14:paraId="67F22F7C" w14:textId="77777777" w:rsidTr="00CC1117">
        <w:trPr>
          <w:trHeight w:val="276"/>
          <w:jc w:val="center"/>
        </w:trPr>
        <w:tc>
          <w:tcPr>
            <w:tcW w:w="1985" w:type="dxa"/>
            <w:noWrap/>
            <w:vAlign w:val="center"/>
            <w:hideMark/>
          </w:tcPr>
          <w:p w14:paraId="1908F9F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349</w:t>
            </w:r>
          </w:p>
        </w:tc>
        <w:tc>
          <w:tcPr>
            <w:tcW w:w="4673" w:type="dxa"/>
            <w:noWrap/>
            <w:vAlign w:val="center"/>
            <w:hideMark/>
          </w:tcPr>
          <w:p w14:paraId="086B202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10BE19D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Peterborough</w:t>
            </w:r>
          </w:p>
        </w:tc>
      </w:tr>
      <w:tr w:rsidR="00E90790" w:rsidRPr="00E90790" w14:paraId="65916055" w14:textId="77777777" w:rsidTr="00CC1117">
        <w:trPr>
          <w:trHeight w:val="276"/>
          <w:jc w:val="center"/>
        </w:trPr>
        <w:tc>
          <w:tcPr>
            <w:tcW w:w="1985" w:type="dxa"/>
            <w:noWrap/>
            <w:vAlign w:val="center"/>
            <w:hideMark/>
          </w:tcPr>
          <w:p w14:paraId="511494D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352</w:t>
            </w:r>
          </w:p>
        </w:tc>
        <w:tc>
          <w:tcPr>
            <w:tcW w:w="4673" w:type="dxa"/>
            <w:noWrap/>
            <w:vAlign w:val="center"/>
            <w:hideMark/>
          </w:tcPr>
          <w:p w14:paraId="1D9EF26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75C6C57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Port Lincoln</w:t>
            </w:r>
          </w:p>
        </w:tc>
      </w:tr>
      <w:tr w:rsidR="00E90790" w:rsidRPr="00E90790" w14:paraId="52FE17D9" w14:textId="77777777" w:rsidTr="00CC1117">
        <w:trPr>
          <w:trHeight w:val="276"/>
          <w:jc w:val="center"/>
        </w:trPr>
        <w:tc>
          <w:tcPr>
            <w:tcW w:w="1985" w:type="dxa"/>
            <w:noWrap/>
            <w:vAlign w:val="center"/>
            <w:hideMark/>
          </w:tcPr>
          <w:p w14:paraId="15298675"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353</w:t>
            </w:r>
          </w:p>
        </w:tc>
        <w:tc>
          <w:tcPr>
            <w:tcW w:w="4673" w:type="dxa"/>
            <w:noWrap/>
            <w:vAlign w:val="center"/>
            <w:hideMark/>
          </w:tcPr>
          <w:p w14:paraId="7517E75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3113786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Renmark</w:t>
            </w:r>
          </w:p>
        </w:tc>
      </w:tr>
      <w:tr w:rsidR="00E90790" w:rsidRPr="00E90790" w14:paraId="4F794397" w14:textId="77777777" w:rsidTr="00CC1117">
        <w:trPr>
          <w:trHeight w:val="276"/>
          <w:jc w:val="center"/>
        </w:trPr>
        <w:tc>
          <w:tcPr>
            <w:tcW w:w="1985" w:type="dxa"/>
            <w:noWrap/>
            <w:vAlign w:val="center"/>
            <w:hideMark/>
          </w:tcPr>
          <w:p w14:paraId="78E5CE4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358</w:t>
            </w:r>
          </w:p>
        </w:tc>
        <w:tc>
          <w:tcPr>
            <w:tcW w:w="4673" w:type="dxa"/>
            <w:noWrap/>
            <w:vAlign w:val="center"/>
            <w:hideMark/>
          </w:tcPr>
          <w:p w14:paraId="2327499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Joseph's School</w:t>
            </w:r>
          </w:p>
        </w:tc>
        <w:tc>
          <w:tcPr>
            <w:tcW w:w="2693" w:type="dxa"/>
            <w:noWrap/>
            <w:vAlign w:val="center"/>
            <w:hideMark/>
          </w:tcPr>
          <w:p w14:paraId="353F10E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Tranmere</w:t>
            </w:r>
          </w:p>
        </w:tc>
      </w:tr>
      <w:tr w:rsidR="00E90790" w:rsidRPr="00E90790" w14:paraId="75574103" w14:textId="77777777" w:rsidTr="00CC1117">
        <w:trPr>
          <w:trHeight w:val="276"/>
          <w:jc w:val="center"/>
        </w:trPr>
        <w:tc>
          <w:tcPr>
            <w:tcW w:w="1985" w:type="dxa"/>
            <w:noWrap/>
            <w:vAlign w:val="center"/>
            <w:hideMark/>
          </w:tcPr>
          <w:p w14:paraId="7A22DC7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254</w:t>
            </w:r>
          </w:p>
        </w:tc>
        <w:tc>
          <w:tcPr>
            <w:tcW w:w="4673" w:type="dxa"/>
            <w:noWrap/>
            <w:vAlign w:val="center"/>
            <w:hideMark/>
          </w:tcPr>
          <w:p w14:paraId="267158B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Margaret Mary's School</w:t>
            </w:r>
          </w:p>
        </w:tc>
        <w:tc>
          <w:tcPr>
            <w:tcW w:w="2693" w:type="dxa"/>
            <w:noWrap/>
            <w:vAlign w:val="center"/>
            <w:hideMark/>
          </w:tcPr>
          <w:p w14:paraId="65652C0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Croydon Park</w:t>
            </w:r>
          </w:p>
        </w:tc>
      </w:tr>
      <w:tr w:rsidR="00E90790" w:rsidRPr="00E90790" w14:paraId="306583A4" w14:textId="77777777" w:rsidTr="00CC1117">
        <w:trPr>
          <w:trHeight w:val="276"/>
          <w:jc w:val="center"/>
        </w:trPr>
        <w:tc>
          <w:tcPr>
            <w:tcW w:w="1985" w:type="dxa"/>
            <w:noWrap/>
            <w:vAlign w:val="center"/>
            <w:hideMark/>
          </w:tcPr>
          <w:p w14:paraId="2F6617F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362</w:t>
            </w:r>
          </w:p>
        </w:tc>
        <w:tc>
          <w:tcPr>
            <w:tcW w:w="4673" w:type="dxa"/>
            <w:noWrap/>
            <w:vAlign w:val="center"/>
            <w:hideMark/>
          </w:tcPr>
          <w:p w14:paraId="7AB111C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Mark's College</w:t>
            </w:r>
          </w:p>
        </w:tc>
        <w:tc>
          <w:tcPr>
            <w:tcW w:w="2693" w:type="dxa"/>
            <w:noWrap/>
            <w:vAlign w:val="center"/>
            <w:hideMark/>
          </w:tcPr>
          <w:p w14:paraId="7604C77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Port Pirie</w:t>
            </w:r>
          </w:p>
        </w:tc>
      </w:tr>
      <w:tr w:rsidR="00E90790" w:rsidRPr="00E90790" w14:paraId="4B769F12" w14:textId="77777777" w:rsidTr="00CC1117">
        <w:trPr>
          <w:trHeight w:val="276"/>
          <w:jc w:val="center"/>
        </w:trPr>
        <w:tc>
          <w:tcPr>
            <w:tcW w:w="1985" w:type="dxa"/>
            <w:noWrap/>
            <w:vAlign w:val="center"/>
            <w:hideMark/>
          </w:tcPr>
          <w:p w14:paraId="4177E8D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5266</w:t>
            </w:r>
          </w:p>
        </w:tc>
        <w:tc>
          <w:tcPr>
            <w:tcW w:w="4673" w:type="dxa"/>
            <w:noWrap/>
            <w:vAlign w:val="center"/>
            <w:hideMark/>
          </w:tcPr>
          <w:p w14:paraId="302C7E2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 xml:space="preserve">St Martin De </w:t>
            </w:r>
            <w:proofErr w:type="spellStart"/>
            <w:r w:rsidRPr="00E90790">
              <w:rPr>
                <w:rFonts w:eastAsia="Times New Roman" w:cs="Arial"/>
                <w:color w:val="0D0D0D" w:themeColor="text1" w:themeTint="F2"/>
                <w:lang w:eastAsia="en-AU"/>
              </w:rPr>
              <w:t>Porres</w:t>
            </w:r>
            <w:proofErr w:type="spellEnd"/>
            <w:r w:rsidRPr="00E90790">
              <w:rPr>
                <w:rFonts w:eastAsia="Times New Roman" w:cs="Arial"/>
                <w:color w:val="0D0D0D" w:themeColor="text1" w:themeTint="F2"/>
                <w:lang w:eastAsia="en-AU"/>
              </w:rPr>
              <w:t xml:space="preserve"> School</w:t>
            </w:r>
          </w:p>
        </w:tc>
        <w:tc>
          <w:tcPr>
            <w:tcW w:w="2693" w:type="dxa"/>
            <w:noWrap/>
            <w:vAlign w:val="center"/>
            <w:hideMark/>
          </w:tcPr>
          <w:p w14:paraId="35EFCC1F" w14:textId="77777777" w:rsidR="00C52C57" w:rsidRPr="00E90790" w:rsidRDefault="00C52C57" w:rsidP="00C920AB">
            <w:pPr>
              <w:rPr>
                <w:rFonts w:eastAsia="Times New Roman" w:cs="Arial"/>
                <w:color w:val="0D0D0D" w:themeColor="text1" w:themeTint="F2"/>
                <w:lang w:eastAsia="en-AU"/>
              </w:rPr>
            </w:pPr>
            <w:proofErr w:type="spellStart"/>
            <w:r w:rsidRPr="00E90790">
              <w:rPr>
                <w:rFonts w:eastAsia="Times New Roman" w:cs="Arial"/>
                <w:color w:val="0D0D0D" w:themeColor="text1" w:themeTint="F2"/>
                <w:lang w:eastAsia="en-AU"/>
              </w:rPr>
              <w:t>Sheidow</w:t>
            </w:r>
            <w:proofErr w:type="spellEnd"/>
            <w:r w:rsidRPr="00E90790">
              <w:rPr>
                <w:rFonts w:eastAsia="Times New Roman" w:cs="Arial"/>
                <w:color w:val="0D0D0D" w:themeColor="text1" w:themeTint="F2"/>
                <w:lang w:eastAsia="en-AU"/>
              </w:rPr>
              <w:t xml:space="preserve"> Park</w:t>
            </w:r>
          </w:p>
        </w:tc>
      </w:tr>
      <w:tr w:rsidR="00E90790" w:rsidRPr="00E90790" w14:paraId="341CFB7B" w14:textId="77777777" w:rsidTr="00CC1117">
        <w:trPr>
          <w:trHeight w:val="276"/>
          <w:jc w:val="center"/>
        </w:trPr>
        <w:tc>
          <w:tcPr>
            <w:tcW w:w="1985" w:type="dxa"/>
            <w:noWrap/>
            <w:vAlign w:val="center"/>
            <w:hideMark/>
          </w:tcPr>
          <w:p w14:paraId="20C15F4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364</w:t>
            </w:r>
          </w:p>
        </w:tc>
        <w:tc>
          <w:tcPr>
            <w:tcW w:w="4673" w:type="dxa"/>
            <w:noWrap/>
            <w:vAlign w:val="center"/>
            <w:hideMark/>
          </w:tcPr>
          <w:p w14:paraId="3570727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Martin's School</w:t>
            </w:r>
          </w:p>
        </w:tc>
        <w:tc>
          <w:tcPr>
            <w:tcW w:w="2693" w:type="dxa"/>
            <w:noWrap/>
            <w:vAlign w:val="center"/>
            <w:hideMark/>
          </w:tcPr>
          <w:p w14:paraId="35E52DD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Greenacres</w:t>
            </w:r>
          </w:p>
        </w:tc>
      </w:tr>
      <w:tr w:rsidR="00E90790" w:rsidRPr="00E90790" w14:paraId="13C5D310" w14:textId="77777777" w:rsidTr="00CC1117">
        <w:trPr>
          <w:trHeight w:val="276"/>
          <w:jc w:val="center"/>
        </w:trPr>
        <w:tc>
          <w:tcPr>
            <w:tcW w:w="1985" w:type="dxa"/>
            <w:noWrap/>
            <w:vAlign w:val="center"/>
            <w:hideMark/>
          </w:tcPr>
          <w:p w14:paraId="56E87E1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368</w:t>
            </w:r>
          </w:p>
        </w:tc>
        <w:tc>
          <w:tcPr>
            <w:tcW w:w="4673" w:type="dxa"/>
            <w:noWrap/>
            <w:vAlign w:val="center"/>
            <w:hideMark/>
          </w:tcPr>
          <w:p w14:paraId="303B15F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Mary MacKillop School</w:t>
            </w:r>
          </w:p>
        </w:tc>
        <w:tc>
          <w:tcPr>
            <w:tcW w:w="2693" w:type="dxa"/>
            <w:noWrap/>
            <w:vAlign w:val="center"/>
            <w:hideMark/>
          </w:tcPr>
          <w:p w14:paraId="65C6B97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Wallaroo</w:t>
            </w:r>
          </w:p>
        </w:tc>
      </w:tr>
      <w:tr w:rsidR="00E90790" w:rsidRPr="00E90790" w14:paraId="3E47C6A2" w14:textId="77777777" w:rsidTr="00CC1117">
        <w:trPr>
          <w:trHeight w:val="276"/>
          <w:jc w:val="center"/>
        </w:trPr>
        <w:tc>
          <w:tcPr>
            <w:tcW w:w="1985" w:type="dxa"/>
            <w:noWrap/>
            <w:vAlign w:val="center"/>
            <w:hideMark/>
          </w:tcPr>
          <w:p w14:paraId="273ED59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365</w:t>
            </w:r>
          </w:p>
        </w:tc>
        <w:tc>
          <w:tcPr>
            <w:tcW w:w="4673" w:type="dxa"/>
            <w:noWrap/>
            <w:vAlign w:val="center"/>
            <w:hideMark/>
          </w:tcPr>
          <w:p w14:paraId="309403D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Mary Magdalene's School</w:t>
            </w:r>
          </w:p>
        </w:tc>
        <w:tc>
          <w:tcPr>
            <w:tcW w:w="2693" w:type="dxa"/>
            <w:noWrap/>
            <w:vAlign w:val="center"/>
            <w:hideMark/>
          </w:tcPr>
          <w:p w14:paraId="3963A1E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Elizabeth Grove</w:t>
            </w:r>
          </w:p>
        </w:tc>
      </w:tr>
      <w:tr w:rsidR="00E90790" w:rsidRPr="00E90790" w14:paraId="33D09FA3" w14:textId="77777777" w:rsidTr="00CC1117">
        <w:trPr>
          <w:trHeight w:val="276"/>
          <w:jc w:val="center"/>
        </w:trPr>
        <w:tc>
          <w:tcPr>
            <w:tcW w:w="1985" w:type="dxa"/>
            <w:noWrap/>
            <w:vAlign w:val="center"/>
            <w:hideMark/>
          </w:tcPr>
          <w:p w14:paraId="629BFDE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366</w:t>
            </w:r>
          </w:p>
        </w:tc>
        <w:tc>
          <w:tcPr>
            <w:tcW w:w="4673" w:type="dxa"/>
            <w:noWrap/>
            <w:vAlign w:val="center"/>
            <w:hideMark/>
          </w:tcPr>
          <w:p w14:paraId="15688AF2"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Mary's College</w:t>
            </w:r>
          </w:p>
        </w:tc>
        <w:tc>
          <w:tcPr>
            <w:tcW w:w="2693" w:type="dxa"/>
            <w:noWrap/>
            <w:vAlign w:val="center"/>
            <w:hideMark/>
          </w:tcPr>
          <w:p w14:paraId="66A71B5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Adelaide</w:t>
            </w:r>
          </w:p>
        </w:tc>
      </w:tr>
      <w:tr w:rsidR="00E90790" w:rsidRPr="00E90790" w14:paraId="1D0EB227" w14:textId="77777777" w:rsidTr="00CC1117">
        <w:trPr>
          <w:trHeight w:val="276"/>
          <w:jc w:val="center"/>
        </w:trPr>
        <w:tc>
          <w:tcPr>
            <w:tcW w:w="1985" w:type="dxa"/>
            <w:noWrap/>
            <w:vAlign w:val="center"/>
            <w:hideMark/>
          </w:tcPr>
          <w:p w14:paraId="6589118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367</w:t>
            </w:r>
          </w:p>
        </w:tc>
        <w:tc>
          <w:tcPr>
            <w:tcW w:w="4673" w:type="dxa"/>
            <w:noWrap/>
            <w:vAlign w:val="center"/>
            <w:hideMark/>
          </w:tcPr>
          <w:p w14:paraId="5672FFD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Mary's Memorial</w:t>
            </w:r>
          </w:p>
        </w:tc>
        <w:tc>
          <w:tcPr>
            <w:tcW w:w="2693" w:type="dxa"/>
            <w:noWrap/>
            <w:vAlign w:val="center"/>
            <w:hideMark/>
          </w:tcPr>
          <w:p w14:paraId="14CD24E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Glenelg</w:t>
            </w:r>
          </w:p>
        </w:tc>
      </w:tr>
      <w:tr w:rsidR="00E90790" w:rsidRPr="00E90790" w14:paraId="0F67DEDE" w14:textId="77777777" w:rsidTr="00CC1117">
        <w:trPr>
          <w:trHeight w:val="276"/>
          <w:jc w:val="center"/>
        </w:trPr>
        <w:tc>
          <w:tcPr>
            <w:tcW w:w="1985" w:type="dxa"/>
            <w:noWrap/>
            <w:vAlign w:val="center"/>
            <w:hideMark/>
          </w:tcPr>
          <w:p w14:paraId="57D5470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15691</w:t>
            </w:r>
          </w:p>
        </w:tc>
        <w:tc>
          <w:tcPr>
            <w:tcW w:w="4673" w:type="dxa"/>
            <w:noWrap/>
            <w:vAlign w:val="center"/>
            <w:hideMark/>
          </w:tcPr>
          <w:p w14:paraId="2C12AE9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Michael's College</w:t>
            </w:r>
          </w:p>
        </w:tc>
        <w:tc>
          <w:tcPr>
            <w:tcW w:w="2693" w:type="dxa"/>
            <w:noWrap/>
            <w:vAlign w:val="center"/>
            <w:hideMark/>
          </w:tcPr>
          <w:p w14:paraId="63C1730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Henley Beach</w:t>
            </w:r>
          </w:p>
        </w:tc>
      </w:tr>
      <w:tr w:rsidR="00E90790" w:rsidRPr="00E90790" w14:paraId="1FB0351A" w14:textId="77777777" w:rsidTr="00CC1117">
        <w:trPr>
          <w:trHeight w:val="276"/>
          <w:jc w:val="center"/>
        </w:trPr>
        <w:tc>
          <w:tcPr>
            <w:tcW w:w="1985" w:type="dxa"/>
            <w:noWrap/>
            <w:vAlign w:val="center"/>
            <w:hideMark/>
          </w:tcPr>
          <w:p w14:paraId="1EDDAB0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372</w:t>
            </w:r>
          </w:p>
        </w:tc>
        <w:tc>
          <w:tcPr>
            <w:tcW w:w="4673" w:type="dxa"/>
            <w:noWrap/>
            <w:vAlign w:val="center"/>
            <w:hideMark/>
          </w:tcPr>
          <w:p w14:paraId="38F66D0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Monica's School</w:t>
            </w:r>
          </w:p>
        </w:tc>
        <w:tc>
          <w:tcPr>
            <w:tcW w:w="2693" w:type="dxa"/>
            <w:noWrap/>
            <w:vAlign w:val="center"/>
            <w:hideMark/>
          </w:tcPr>
          <w:p w14:paraId="60C2793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Walkerville</w:t>
            </w:r>
          </w:p>
        </w:tc>
      </w:tr>
      <w:tr w:rsidR="00E90790" w:rsidRPr="00E90790" w14:paraId="647234E1" w14:textId="77777777" w:rsidTr="00CC1117">
        <w:trPr>
          <w:trHeight w:val="276"/>
          <w:jc w:val="center"/>
        </w:trPr>
        <w:tc>
          <w:tcPr>
            <w:tcW w:w="1985" w:type="dxa"/>
            <w:noWrap/>
            <w:vAlign w:val="center"/>
            <w:hideMark/>
          </w:tcPr>
          <w:p w14:paraId="45F1FA4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373</w:t>
            </w:r>
          </w:p>
        </w:tc>
        <w:tc>
          <w:tcPr>
            <w:tcW w:w="4673" w:type="dxa"/>
            <w:noWrap/>
            <w:vAlign w:val="center"/>
            <w:hideMark/>
          </w:tcPr>
          <w:p w14:paraId="6F1BCC8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Patrick's School</w:t>
            </w:r>
          </w:p>
        </w:tc>
        <w:tc>
          <w:tcPr>
            <w:tcW w:w="2693" w:type="dxa"/>
            <w:noWrap/>
            <w:vAlign w:val="center"/>
            <w:hideMark/>
          </w:tcPr>
          <w:p w14:paraId="188293F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Mansfield Park</w:t>
            </w:r>
          </w:p>
        </w:tc>
      </w:tr>
      <w:tr w:rsidR="00E90790" w:rsidRPr="00E90790" w14:paraId="2C1B87EB" w14:textId="77777777" w:rsidTr="00CC1117">
        <w:trPr>
          <w:trHeight w:val="276"/>
          <w:jc w:val="center"/>
        </w:trPr>
        <w:tc>
          <w:tcPr>
            <w:tcW w:w="1985" w:type="dxa"/>
            <w:noWrap/>
            <w:vAlign w:val="center"/>
            <w:hideMark/>
          </w:tcPr>
          <w:p w14:paraId="0C637BA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15346</w:t>
            </w:r>
          </w:p>
        </w:tc>
        <w:tc>
          <w:tcPr>
            <w:tcW w:w="4673" w:type="dxa"/>
            <w:noWrap/>
            <w:vAlign w:val="center"/>
            <w:hideMark/>
          </w:tcPr>
          <w:p w14:paraId="5F8B55F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Patrick's Special School</w:t>
            </w:r>
          </w:p>
        </w:tc>
        <w:tc>
          <w:tcPr>
            <w:tcW w:w="2693" w:type="dxa"/>
            <w:noWrap/>
            <w:vAlign w:val="center"/>
            <w:hideMark/>
          </w:tcPr>
          <w:p w14:paraId="7F6DA33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Dulwich</w:t>
            </w:r>
          </w:p>
        </w:tc>
      </w:tr>
      <w:tr w:rsidR="00E90790" w:rsidRPr="00E90790" w14:paraId="50A38585" w14:textId="77777777" w:rsidTr="00CC1117">
        <w:trPr>
          <w:trHeight w:val="276"/>
          <w:jc w:val="center"/>
        </w:trPr>
        <w:tc>
          <w:tcPr>
            <w:tcW w:w="1985" w:type="dxa"/>
            <w:noWrap/>
            <w:vAlign w:val="center"/>
            <w:hideMark/>
          </w:tcPr>
          <w:p w14:paraId="3739FD7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26750</w:t>
            </w:r>
          </w:p>
        </w:tc>
        <w:tc>
          <w:tcPr>
            <w:tcW w:w="4673" w:type="dxa"/>
            <w:noWrap/>
            <w:vAlign w:val="center"/>
            <w:hideMark/>
          </w:tcPr>
          <w:p w14:paraId="46BE8A5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Patrick's Technical College</w:t>
            </w:r>
          </w:p>
        </w:tc>
        <w:tc>
          <w:tcPr>
            <w:tcW w:w="2693" w:type="dxa"/>
            <w:noWrap/>
            <w:vAlign w:val="center"/>
            <w:hideMark/>
          </w:tcPr>
          <w:p w14:paraId="16CCFA1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Edinburgh North</w:t>
            </w:r>
          </w:p>
        </w:tc>
      </w:tr>
      <w:tr w:rsidR="00E90790" w:rsidRPr="00E90790" w14:paraId="5A4E355D" w14:textId="77777777" w:rsidTr="00CC1117">
        <w:trPr>
          <w:trHeight w:val="276"/>
          <w:jc w:val="center"/>
        </w:trPr>
        <w:tc>
          <w:tcPr>
            <w:tcW w:w="1985" w:type="dxa"/>
            <w:noWrap/>
            <w:vAlign w:val="center"/>
            <w:hideMark/>
          </w:tcPr>
          <w:p w14:paraId="2C46237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375</w:t>
            </w:r>
          </w:p>
        </w:tc>
        <w:tc>
          <w:tcPr>
            <w:tcW w:w="4673" w:type="dxa"/>
            <w:noWrap/>
            <w:vAlign w:val="center"/>
            <w:hideMark/>
          </w:tcPr>
          <w:p w14:paraId="19CC935C"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Paul's College</w:t>
            </w:r>
          </w:p>
        </w:tc>
        <w:tc>
          <w:tcPr>
            <w:tcW w:w="2693" w:type="dxa"/>
            <w:noWrap/>
            <w:vAlign w:val="center"/>
            <w:hideMark/>
          </w:tcPr>
          <w:p w14:paraId="583DEA3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Gilles Plains</w:t>
            </w:r>
          </w:p>
        </w:tc>
      </w:tr>
      <w:tr w:rsidR="00E90790" w:rsidRPr="00E90790" w14:paraId="0FE6CD14" w14:textId="77777777" w:rsidTr="00CC1117">
        <w:trPr>
          <w:trHeight w:val="276"/>
          <w:jc w:val="center"/>
        </w:trPr>
        <w:tc>
          <w:tcPr>
            <w:tcW w:w="1985" w:type="dxa"/>
            <w:noWrap/>
            <w:vAlign w:val="center"/>
            <w:hideMark/>
          </w:tcPr>
          <w:p w14:paraId="0562094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379</w:t>
            </w:r>
          </w:p>
        </w:tc>
        <w:tc>
          <w:tcPr>
            <w:tcW w:w="4673" w:type="dxa"/>
            <w:noWrap/>
            <w:vAlign w:val="center"/>
            <w:hideMark/>
          </w:tcPr>
          <w:p w14:paraId="1D0AB02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Pius X School</w:t>
            </w:r>
          </w:p>
        </w:tc>
        <w:tc>
          <w:tcPr>
            <w:tcW w:w="2693" w:type="dxa"/>
            <w:noWrap/>
            <w:vAlign w:val="center"/>
            <w:hideMark/>
          </w:tcPr>
          <w:p w14:paraId="3E13927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Windsor Gardens</w:t>
            </w:r>
          </w:p>
        </w:tc>
      </w:tr>
      <w:tr w:rsidR="00E90790" w:rsidRPr="00E90790" w14:paraId="352843EA" w14:textId="77777777" w:rsidTr="00CC1117">
        <w:trPr>
          <w:trHeight w:val="276"/>
          <w:jc w:val="center"/>
        </w:trPr>
        <w:tc>
          <w:tcPr>
            <w:tcW w:w="1985" w:type="dxa"/>
            <w:noWrap/>
            <w:vAlign w:val="center"/>
            <w:hideMark/>
          </w:tcPr>
          <w:p w14:paraId="245636A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380</w:t>
            </w:r>
          </w:p>
        </w:tc>
        <w:tc>
          <w:tcPr>
            <w:tcW w:w="4673" w:type="dxa"/>
            <w:noWrap/>
            <w:vAlign w:val="center"/>
            <w:hideMark/>
          </w:tcPr>
          <w:p w14:paraId="1A7C96D1"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Raphael's School</w:t>
            </w:r>
          </w:p>
        </w:tc>
        <w:tc>
          <w:tcPr>
            <w:tcW w:w="2693" w:type="dxa"/>
            <w:noWrap/>
            <w:vAlign w:val="center"/>
            <w:hideMark/>
          </w:tcPr>
          <w:p w14:paraId="38B28F1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Parkside</w:t>
            </w:r>
          </w:p>
        </w:tc>
      </w:tr>
      <w:tr w:rsidR="00E90790" w:rsidRPr="00E90790" w14:paraId="087204C5" w14:textId="77777777" w:rsidTr="00CC1117">
        <w:trPr>
          <w:trHeight w:val="276"/>
          <w:jc w:val="center"/>
        </w:trPr>
        <w:tc>
          <w:tcPr>
            <w:tcW w:w="1985" w:type="dxa"/>
            <w:noWrap/>
            <w:vAlign w:val="center"/>
            <w:hideMark/>
          </w:tcPr>
          <w:p w14:paraId="64C24AB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385</w:t>
            </w:r>
          </w:p>
        </w:tc>
        <w:tc>
          <w:tcPr>
            <w:tcW w:w="4673" w:type="dxa"/>
            <w:noWrap/>
            <w:vAlign w:val="center"/>
            <w:hideMark/>
          </w:tcPr>
          <w:p w14:paraId="0CB8243F"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Therese School</w:t>
            </w:r>
          </w:p>
        </w:tc>
        <w:tc>
          <w:tcPr>
            <w:tcW w:w="2693" w:type="dxa"/>
            <w:noWrap/>
            <w:vAlign w:val="center"/>
            <w:hideMark/>
          </w:tcPr>
          <w:p w14:paraId="0F53445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Colonel Light Gardens</w:t>
            </w:r>
          </w:p>
        </w:tc>
      </w:tr>
      <w:tr w:rsidR="00E90790" w:rsidRPr="00E90790" w14:paraId="56EB4022" w14:textId="77777777" w:rsidTr="00CC1117">
        <w:trPr>
          <w:trHeight w:val="276"/>
          <w:jc w:val="center"/>
        </w:trPr>
        <w:tc>
          <w:tcPr>
            <w:tcW w:w="1985" w:type="dxa"/>
            <w:noWrap/>
            <w:vAlign w:val="center"/>
            <w:hideMark/>
          </w:tcPr>
          <w:p w14:paraId="192DA56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lastRenderedPageBreak/>
              <w:t>386</w:t>
            </w:r>
          </w:p>
        </w:tc>
        <w:tc>
          <w:tcPr>
            <w:tcW w:w="4673" w:type="dxa"/>
            <w:noWrap/>
            <w:vAlign w:val="center"/>
            <w:hideMark/>
          </w:tcPr>
          <w:p w14:paraId="072F1DD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Thomas More School</w:t>
            </w:r>
          </w:p>
        </w:tc>
        <w:tc>
          <w:tcPr>
            <w:tcW w:w="2693" w:type="dxa"/>
            <w:noWrap/>
            <w:vAlign w:val="center"/>
            <w:hideMark/>
          </w:tcPr>
          <w:p w14:paraId="359958A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Elizabeth Park</w:t>
            </w:r>
          </w:p>
        </w:tc>
      </w:tr>
      <w:tr w:rsidR="00E90790" w:rsidRPr="00E90790" w14:paraId="6356DE26" w14:textId="77777777" w:rsidTr="00CC1117">
        <w:trPr>
          <w:trHeight w:val="276"/>
          <w:jc w:val="center"/>
        </w:trPr>
        <w:tc>
          <w:tcPr>
            <w:tcW w:w="1985" w:type="dxa"/>
            <w:noWrap/>
            <w:vAlign w:val="center"/>
            <w:hideMark/>
          </w:tcPr>
          <w:p w14:paraId="1A08320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387</w:t>
            </w:r>
          </w:p>
        </w:tc>
        <w:tc>
          <w:tcPr>
            <w:tcW w:w="4673" w:type="dxa"/>
            <w:noWrap/>
            <w:vAlign w:val="center"/>
            <w:hideMark/>
          </w:tcPr>
          <w:p w14:paraId="477493B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 Thomas' School</w:t>
            </w:r>
          </w:p>
        </w:tc>
        <w:tc>
          <w:tcPr>
            <w:tcW w:w="2693" w:type="dxa"/>
            <w:noWrap/>
            <w:vAlign w:val="center"/>
            <w:hideMark/>
          </w:tcPr>
          <w:p w14:paraId="5E544E9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Goodwood</w:t>
            </w:r>
          </w:p>
        </w:tc>
      </w:tr>
      <w:tr w:rsidR="00E90790" w:rsidRPr="00E90790" w14:paraId="5F7A10A7" w14:textId="77777777" w:rsidTr="00CC1117">
        <w:trPr>
          <w:trHeight w:val="276"/>
          <w:jc w:val="center"/>
        </w:trPr>
        <w:tc>
          <w:tcPr>
            <w:tcW w:w="1985" w:type="dxa"/>
            <w:noWrap/>
            <w:vAlign w:val="center"/>
            <w:hideMark/>
          </w:tcPr>
          <w:p w14:paraId="169550F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396</w:t>
            </w:r>
          </w:p>
        </w:tc>
        <w:tc>
          <w:tcPr>
            <w:tcW w:w="4673" w:type="dxa"/>
            <w:noWrap/>
            <w:vAlign w:val="center"/>
            <w:hideMark/>
          </w:tcPr>
          <w:p w14:paraId="794FE28D"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Star of the Sea</w:t>
            </w:r>
          </w:p>
        </w:tc>
        <w:tc>
          <w:tcPr>
            <w:tcW w:w="2693" w:type="dxa"/>
            <w:noWrap/>
            <w:vAlign w:val="center"/>
            <w:hideMark/>
          </w:tcPr>
          <w:p w14:paraId="08B33EBA"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Henley Beach</w:t>
            </w:r>
          </w:p>
        </w:tc>
      </w:tr>
      <w:tr w:rsidR="00E90790" w:rsidRPr="00E90790" w14:paraId="14385C2C" w14:textId="77777777" w:rsidTr="00CC1117">
        <w:trPr>
          <w:trHeight w:val="276"/>
          <w:jc w:val="center"/>
        </w:trPr>
        <w:tc>
          <w:tcPr>
            <w:tcW w:w="1985" w:type="dxa"/>
            <w:noWrap/>
            <w:vAlign w:val="center"/>
            <w:hideMark/>
          </w:tcPr>
          <w:p w14:paraId="68DDC18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271</w:t>
            </w:r>
          </w:p>
        </w:tc>
        <w:tc>
          <w:tcPr>
            <w:tcW w:w="4673" w:type="dxa"/>
            <w:noWrap/>
            <w:vAlign w:val="center"/>
            <w:hideMark/>
          </w:tcPr>
          <w:p w14:paraId="1E55BF8B"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Stella Maris Parish School</w:t>
            </w:r>
          </w:p>
        </w:tc>
        <w:tc>
          <w:tcPr>
            <w:tcW w:w="2693" w:type="dxa"/>
            <w:noWrap/>
            <w:vAlign w:val="center"/>
            <w:hideMark/>
          </w:tcPr>
          <w:p w14:paraId="5AA2022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Seacombe Gardens</w:t>
            </w:r>
          </w:p>
        </w:tc>
      </w:tr>
      <w:tr w:rsidR="00E90790" w:rsidRPr="00E90790" w14:paraId="7F7E1B9C" w14:textId="77777777" w:rsidTr="00CC1117">
        <w:trPr>
          <w:trHeight w:val="276"/>
          <w:jc w:val="center"/>
        </w:trPr>
        <w:tc>
          <w:tcPr>
            <w:tcW w:w="1985" w:type="dxa"/>
            <w:noWrap/>
            <w:vAlign w:val="center"/>
            <w:hideMark/>
          </w:tcPr>
          <w:p w14:paraId="5134AF98"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354</w:t>
            </w:r>
          </w:p>
        </w:tc>
        <w:tc>
          <w:tcPr>
            <w:tcW w:w="4673" w:type="dxa"/>
            <w:noWrap/>
            <w:vAlign w:val="center"/>
            <w:hideMark/>
          </w:tcPr>
          <w:p w14:paraId="6D41291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Tenison Woods Catholic School</w:t>
            </w:r>
          </w:p>
        </w:tc>
        <w:tc>
          <w:tcPr>
            <w:tcW w:w="2693" w:type="dxa"/>
            <w:noWrap/>
            <w:vAlign w:val="center"/>
            <w:hideMark/>
          </w:tcPr>
          <w:p w14:paraId="77D3480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Richmond</w:t>
            </w:r>
          </w:p>
        </w:tc>
      </w:tr>
      <w:tr w:rsidR="00E90790" w:rsidRPr="00E90790" w14:paraId="11057142" w14:textId="77777777" w:rsidTr="00CC1117">
        <w:trPr>
          <w:trHeight w:val="276"/>
          <w:jc w:val="center"/>
        </w:trPr>
        <w:tc>
          <w:tcPr>
            <w:tcW w:w="1985" w:type="dxa"/>
            <w:noWrap/>
            <w:vAlign w:val="center"/>
            <w:hideMark/>
          </w:tcPr>
          <w:p w14:paraId="23F63A5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17290</w:t>
            </w:r>
          </w:p>
        </w:tc>
        <w:tc>
          <w:tcPr>
            <w:tcW w:w="4673" w:type="dxa"/>
            <w:noWrap/>
            <w:vAlign w:val="center"/>
            <w:hideMark/>
          </w:tcPr>
          <w:p w14:paraId="3829E404"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Tenison Woods College</w:t>
            </w:r>
          </w:p>
        </w:tc>
        <w:tc>
          <w:tcPr>
            <w:tcW w:w="2693" w:type="dxa"/>
            <w:noWrap/>
            <w:vAlign w:val="center"/>
            <w:hideMark/>
          </w:tcPr>
          <w:p w14:paraId="3A1D4C5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Mount Gambier</w:t>
            </w:r>
          </w:p>
        </w:tc>
      </w:tr>
      <w:tr w:rsidR="00E90790" w:rsidRPr="00E90790" w14:paraId="1D8F8C52" w14:textId="77777777" w:rsidTr="00CC1117">
        <w:trPr>
          <w:trHeight w:val="276"/>
          <w:jc w:val="center"/>
        </w:trPr>
        <w:tc>
          <w:tcPr>
            <w:tcW w:w="1985" w:type="dxa"/>
            <w:noWrap/>
            <w:vAlign w:val="center"/>
            <w:hideMark/>
          </w:tcPr>
          <w:p w14:paraId="18D69C7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2612</w:t>
            </w:r>
          </w:p>
        </w:tc>
        <w:tc>
          <w:tcPr>
            <w:tcW w:w="4673" w:type="dxa"/>
            <w:noWrap/>
            <w:vAlign w:val="center"/>
            <w:hideMark/>
          </w:tcPr>
          <w:p w14:paraId="7C3C35A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Thomas More College</w:t>
            </w:r>
          </w:p>
        </w:tc>
        <w:tc>
          <w:tcPr>
            <w:tcW w:w="2693" w:type="dxa"/>
            <w:noWrap/>
            <w:vAlign w:val="center"/>
            <w:hideMark/>
          </w:tcPr>
          <w:p w14:paraId="2CE30DA7"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Salisbury</w:t>
            </w:r>
          </w:p>
        </w:tc>
      </w:tr>
      <w:tr w:rsidR="00E90790" w:rsidRPr="00E90790" w14:paraId="1BFFDEE4" w14:textId="77777777" w:rsidTr="00CC1117">
        <w:trPr>
          <w:trHeight w:val="276"/>
          <w:jc w:val="center"/>
        </w:trPr>
        <w:tc>
          <w:tcPr>
            <w:tcW w:w="1985" w:type="dxa"/>
            <w:noWrap/>
            <w:vAlign w:val="center"/>
            <w:hideMark/>
          </w:tcPr>
          <w:p w14:paraId="2706F8A9"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403</w:t>
            </w:r>
          </w:p>
        </w:tc>
        <w:tc>
          <w:tcPr>
            <w:tcW w:w="4673" w:type="dxa"/>
            <w:noWrap/>
            <w:vAlign w:val="center"/>
            <w:hideMark/>
          </w:tcPr>
          <w:p w14:paraId="517E413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Whitefriars School</w:t>
            </w:r>
          </w:p>
        </w:tc>
        <w:tc>
          <w:tcPr>
            <w:tcW w:w="2693" w:type="dxa"/>
            <w:noWrap/>
            <w:vAlign w:val="center"/>
            <w:hideMark/>
          </w:tcPr>
          <w:p w14:paraId="7397A773"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Woodville</w:t>
            </w:r>
          </w:p>
        </w:tc>
      </w:tr>
      <w:tr w:rsidR="00CC1117" w:rsidRPr="00E90790" w14:paraId="0E80530C" w14:textId="77777777" w:rsidTr="00CC1117">
        <w:trPr>
          <w:trHeight w:val="276"/>
          <w:jc w:val="center"/>
        </w:trPr>
        <w:tc>
          <w:tcPr>
            <w:tcW w:w="1985" w:type="dxa"/>
            <w:noWrap/>
            <w:vAlign w:val="center"/>
            <w:hideMark/>
          </w:tcPr>
          <w:p w14:paraId="42168AE6"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14339</w:t>
            </w:r>
          </w:p>
        </w:tc>
        <w:tc>
          <w:tcPr>
            <w:tcW w:w="4673" w:type="dxa"/>
            <w:noWrap/>
            <w:vAlign w:val="center"/>
            <w:hideMark/>
          </w:tcPr>
          <w:p w14:paraId="75DB6AA0"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Xavier College</w:t>
            </w:r>
          </w:p>
        </w:tc>
        <w:tc>
          <w:tcPr>
            <w:tcW w:w="2693" w:type="dxa"/>
            <w:noWrap/>
            <w:vAlign w:val="center"/>
            <w:hideMark/>
          </w:tcPr>
          <w:p w14:paraId="7D966A7E" w14:textId="77777777" w:rsidR="00C52C57" w:rsidRPr="00E90790" w:rsidRDefault="00C52C57" w:rsidP="00C920AB">
            <w:pPr>
              <w:rPr>
                <w:rFonts w:eastAsia="Times New Roman" w:cs="Arial"/>
                <w:color w:val="0D0D0D" w:themeColor="text1" w:themeTint="F2"/>
                <w:lang w:eastAsia="en-AU"/>
              </w:rPr>
            </w:pPr>
            <w:r w:rsidRPr="00E90790">
              <w:rPr>
                <w:rFonts w:eastAsia="Times New Roman" w:cs="Arial"/>
                <w:color w:val="0D0D0D" w:themeColor="text1" w:themeTint="F2"/>
                <w:lang w:eastAsia="en-AU"/>
              </w:rPr>
              <w:t>Gawler</w:t>
            </w:r>
          </w:p>
        </w:tc>
      </w:tr>
    </w:tbl>
    <w:p w14:paraId="612531AF" w14:textId="77777777" w:rsidR="00C52C57" w:rsidRPr="00E90790" w:rsidRDefault="00C52C57" w:rsidP="00C920AB">
      <w:pPr>
        <w:spacing w:after="0" w:line="240" w:lineRule="auto"/>
        <w:rPr>
          <w:rFonts w:cs="Arial"/>
          <w:b/>
          <w:color w:val="0D0D0D" w:themeColor="text1" w:themeTint="F2"/>
        </w:rPr>
      </w:pPr>
    </w:p>
    <w:sectPr w:rsidR="00C52C57" w:rsidRPr="00E90790" w:rsidSect="00EE6510">
      <w:pgSz w:w="11906" w:h="16838"/>
      <w:pgMar w:top="1418" w:right="113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E884" w14:textId="77777777" w:rsidR="00A00AC8" w:rsidRDefault="00A00AC8" w:rsidP="00AB1E9A">
      <w:pPr>
        <w:spacing w:after="0" w:line="240" w:lineRule="auto"/>
      </w:pPr>
      <w:r>
        <w:separator/>
      </w:r>
    </w:p>
  </w:endnote>
  <w:endnote w:type="continuationSeparator" w:id="0">
    <w:p w14:paraId="54B6C68F" w14:textId="77777777" w:rsidR="00A00AC8" w:rsidRDefault="00A00AC8" w:rsidP="00AB1E9A">
      <w:pPr>
        <w:spacing w:after="0" w:line="240" w:lineRule="auto"/>
      </w:pPr>
      <w:r>
        <w:continuationSeparator/>
      </w:r>
    </w:p>
  </w:endnote>
  <w:endnote w:type="continuationNotice" w:id="1">
    <w:p w14:paraId="3AA77A41" w14:textId="77777777" w:rsidR="00A00AC8" w:rsidRDefault="00A00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E4F8" w14:textId="77777777" w:rsidR="009B3505" w:rsidRDefault="009B3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8A3F" w14:textId="4EAFD1A8" w:rsidR="002B50AA" w:rsidRDefault="002B50AA" w:rsidP="00047B3D">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387BC3D" w:rsidR="002B50AA" w:rsidRPr="00454019" w:rsidRDefault="002B50AA" w:rsidP="002B50AA">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2B50AA" w:rsidRPr="00454019" w:rsidRDefault="002B50AA" w:rsidP="002B50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2B50AA" w:rsidRPr="00454019" w:rsidRDefault="002B50AA" w:rsidP="002B5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F627" w14:textId="77777777" w:rsidR="00A00AC8" w:rsidRDefault="00A00AC8" w:rsidP="00AB1E9A">
      <w:pPr>
        <w:spacing w:after="0" w:line="240" w:lineRule="auto"/>
      </w:pPr>
      <w:r>
        <w:separator/>
      </w:r>
    </w:p>
  </w:footnote>
  <w:footnote w:type="continuationSeparator" w:id="0">
    <w:p w14:paraId="4FD2AB18" w14:textId="77777777" w:rsidR="00A00AC8" w:rsidRDefault="00A00AC8" w:rsidP="00AB1E9A">
      <w:pPr>
        <w:spacing w:after="0" w:line="240" w:lineRule="auto"/>
      </w:pPr>
      <w:r>
        <w:continuationSeparator/>
      </w:r>
    </w:p>
  </w:footnote>
  <w:footnote w:type="continuationNotice" w:id="1">
    <w:p w14:paraId="28C082DE" w14:textId="77777777" w:rsidR="00A00AC8" w:rsidRDefault="00A00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96B0" w14:textId="77777777" w:rsidR="009B3505" w:rsidRDefault="009B3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22D" w14:textId="1FC848AD" w:rsidR="00350B8F" w:rsidRPr="00557587" w:rsidRDefault="00350B8F" w:rsidP="00557587">
    <w:pPr>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433F" w14:textId="77777777" w:rsidR="009B3505" w:rsidRDefault="009B3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2B50AA" w:rsidRDefault="00682989">
    <w:pPr>
      <w:pStyle w:val="Header"/>
    </w:pPr>
    <w:sdt>
      <w:sdtPr>
        <w:id w:val="36179282"/>
        <w:docPartObj>
          <w:docPartGallery w:val="Watermarks"/>
          <w:docPartUnique/>
        </w:docPartObj>
      </w:sdtPr>
      <w:sdtEndPr/>
      <w:sdtContent>
        <w:r w:rsidR="002B50AA">
          <w:rPr>
            <w:noProof/>
            <w:lang w:eastAsia="en-AU"/>
          </w:rPr>
          <mc:AlternateContent>
            <mc:Choice Requires="wps">
              <w:drawing>
                <wp:inline distT="0" distB="0" distL="0" distR="0" wp14:anchorId="1F9F3926" wp14:editId="1864ACCB">
                  <wp:extent cx="5237480" cy="31426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2B50AA" w:rsidRDefault="002B50AA" w:rsidP="00AB1E9A">
                              <w:pPr>
                                <w:pStyle w:val="NormalWeb"/>
                                <w:spacing w:before="0" w:beforeAutospacing="0" w:after="0" w:afterAutospacing="0"/>
                                <w:jc w:val="center"/>
                              </w:pPr>
                              <w:r w:rsidRPr="00B17006">
                                <w:rPr>
                                  <w:rFonts w:ascii="Calibri" w:hAnsi="Calibri" w:cs="Calibri"/>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1F9F3926" id="_x0000_t202" coordsize="21600,21600" o:spt="202" path="m,l,21600r21600,l21600,xe">
                  <v:stroke joinstyle="miter"/>
                  <v:path gradientshapeok="t" o:connecttype="rect"/>
                </v:shapetype>
                <v:shape id="Text Box 2"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filled="f" stroked="f">
                  <v:stroke joinstyle="round"/>
                  <o:lock v:ext="edit" shapetype="t"/>
                  <v:textbox style="mso-fit-shape-to-text:t">
                    <w:txbxContent>
                      <w:p w14:paraId="15AECFE2" w14:textId="77777777" w:rsidR="002B50AA" w:rsidRDefault="002B50AA" w:rsidP="00AB1E9A">
                        <w:pPr>
                          <w:pStyle w:val="NormalWeb"/>
                          <w:spacing w:before="0" w:beforeAutospacing="0" w:after="0" w:afterAutospacing="0"/>
                          <w:jc w:val="center"/>
                        </w:pPr>
                        <w:r w:rsidRPr="00B17006">
                          <w:rPr>
                            <w:rFonts w:ascii="Calibri" w:hAnsi="Calibri" w:cs="Calibri"/>
                            <w:color w:val="000000"/>
                            <w:sz w:val="2"/>
                            <w:szCs w:val="2"/>
                            <w14:textFill>
                              <w14:solidFill>
                                <w14:srgbClr w14:val="000000">
                                  <w14:alpha w14:val="50000"/>
                                </w14:srgbClr>
                              </w14:solidFill>
                            </w14:textFill>
                          </w:rPr>
                          <w:t>DRAFT</w:t>
                        </w:r>
                      </w:p>
                    </w:txbxContent>
                  </v:textbox>
                  <w10:anchorlock/>
                </v:shape>
              </w:pict>
            </mc:Fallback>
          </mc:AlternateConten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501" w14:textId="77777777" w:rsidR="00E260DB" w:rsidRDefault="00E260DB" w:rsidP="00350B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627" w:hanging="360"/>
      </w:pPr>
      <w:rPr>
        <w:rFonts w:hint="default"/>
        <w:i w:val="0"/>
      </w:rPr>
    </w:lvl>
    <w:lvl w:ilvl="1" w:tplc="0C090019" w:tentative="1">
      <w:start w:val="1"/>
      <w:numFmt w:val="lowerLetter"/>
      <w:lvlText w:val="%2."/>
      <w:lvlJc w:val="left"/>
      <w:pPr>
        <w:ind w:left="1002" w:hanging="360"/>
      </w:pPr>
    </w:lvl>
    <w:lvl w:ilvl="2" w:tplc="0C09001B" w:tentative="1">
      <w:start w:val="1"/>
      <w:numFmt w:val="lowerRoman"/>
      <w:lvlText w:val="%3."/>
      <w:lvlJc w:val="right"/>
      <w:pPr>
        <w:ind w:left="1722" w:hanging="180"/>
      </w:pPr>
    </w:lvl>
    <w:lvl w:ilvl="3" w:tplc="0C09000F" w:tentative="1">
      <w:start w:val="1"/>
      <w:numFmt w:val="decimal"/>
      <w:lvlText w:val="%4."/>
      <w:lvlJc w:val="left"/>
      <w:pPr>
        <w:ind w:left="2442" w:hanging="360"/>
      </w:pPr>
    </w:lvl>
    <w:lvl w:ilvl="4" w:tplc="0C090019" w:tentative="1">
      <w:start w:val="1"/>
      <w:numFmt w:val="lowerLetter"/>
      <w:lvlText w:val="%5."/>
      <w:lvlJc w:val="left"/>
      <w:pPr>
        <w:ind w:left="3162" w:hanging="360"/>
      </w:pPr>
    </w:lvl>
    <w:lvl w:ilvl="5" w:tplc="0C09001B" w:tentative="1">
      <w:start w:val="1"/>
      <w:numFmt w:val="lowerRoman"/>
      <w:lvlText w:val="%6."/>
      <w:lvlJc w:val="right"/>
      <w:pPr>
        <w:ind w:left="3882" w:hanging="180"/>
      </w:pPr>
    </w:lvl>
    <w:lvl w:ilvl="6" w:tplc="0C09000F" w:tentative="1">
      <w:start w:val="1"/>
      <w:numFmt w:val="decimal"/>
      <w:lvlText w:val="%7."/>
      <w:lvlJc w:val="left"/>
      <w:pPr>
        <w:ind w:left="4602" w:hanging="360"/>
      </w:pPr>
    </w:lvl>
    <w:lvl w:ilvl="7" w:tplc="0C090019" w:tentative="1">
      <w:start w:val="1"/>
      <w:numFmt w:val="lowerLetter"/>
      <w:lvlText w:val="%8."/>
      <w:lvlJc w:val="left"/>
      <w:pPr>
        <w:ind w:left="5322" w:hanging="360"/>
      </w:pPr>
    </w:lvl>
    <w:lvl w:ilvl="8" w:tplc="0C09001B" w:tentative="1">
      <w:start w:val="1"/>
      <w:numFmt w:val="lowerRoman"/>
      <w:lvlText w:val="%9."/>
      <w:lvlJc w:val="right"/>
      <w:pPr>
        <w:ind w:left="6042"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5"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6" w15:restartNumberingAfterBreak="0">
    <w:nsid w:val="1FDE4E99"/>
    <w:multiLevelType w:val="hybridMultilevel"/>
    <w:tmpl w:val="636A6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9"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0"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986530"/>
    <w:multiLevelType w:val="hybridMultilevel"/>
    <w:tmpl w:val="385C9874"/>
    <w:lvl w:ilvl="0" w:tplc="0C090001">
      <w:start w:val="1"/>
      <w:numFmt w:val="bullet"/>
      <w:lvlText w:val=""/>
      <w:lvlJc w:val="left"/>
      <w:pPr>
        <w:ind w:left="2869" w:hanging="360"/>
      </w:pPr>
      <w:rPr>
        <w:rFonts w:ascii="Symbol" w:hAnsi="Symbol" w:hint="default"/>
      </w:rPr>
    </w:lvl>
    <w:lvl w:ilvl="1" w:tplc="0C090003" w:tentative="1">
      <w:start w:val="1"/>
      <w:numFmt w:val="bullet"/>
      <w:lvlText w:val="o"/>
      <w:lvlJc w:val="left"/>
      <w:pPr>
        <w:ind w:left="3589" w:hanging="360"/>
      </w:pPr>
      <w:rPr>
        <w:rFonts w:ascii="Courier New" w:hAnsi="Courier New" w:cs="Courier New" w:hint="default"/>
      </w:rPr>
    </w:lvl>
    <w:lvl w:ilvl="2" w:tplc="0C090005" w:tentative="1">
      <w:start w:val="1"/>
      <w:numFmt w:val="bullet"/>
      <w:lvlText w:val=""/>
      <w:lvlJc w:val="left"/>
      <w:pPr>
        <w:ind w:left="4309" w:hanging="360"/>
      </w:pPr>
      <w:rPr>
        <w:rFonts w:ascii="Wingdings" w:hAnsi="Wingdings" w:hint="default"/>
      </w:rPr>
    </w:lvl>
    <w:lvl w:ilvl="3" w:tplc="0C090001" w:tentative="1">
      <w:start w:val="1"/>
      <w:numFmt w:val="bullet"/>
      <w:lvlText w:val=""/>
      <w:lvlJc w:val="left"/>
      <w:pPr>
        <w:ind w:left="5029" w:hanging="360"/>
      </w:pPr>
      <w:rPr>
        <w:rFonts w:ascii="Symbol" w:hAnsi="Symbol" w:hint="default"/>
      </w:rPr>
    </w:lvl>
    <w:lvl w:ilvl="4" w:tplc="0C090003" w:tentative="1">
      <w:start w:val="1"/>
      <w:numFmt w:val="bullet"/>
      <w:lvlText w:val="o"/>
      <w:lvlJc w:val="left"/>
      <w:pPr>
        <w:ind w:left="5749" w:hanging="360"/>
      </w:pPr>
      <w:rPr>
        <w:rFonts w:ascii="Courier New" w:hAnsi="Courier New" w:cs="Courier New" w:hint="default"/>
      </w:rPr>
    </w:lvl>
    <w:lvl w:ilvl="5" w:tplc="0C090005" w:tentative="1">
      <w:start w:val="1"/>
      <w:numFmt w:val="bullet"/>
      <w:lvlText w:val=""/>
      <w:lvlJc w:val="left"/>
      <w:pPr>
        <w:ind w:left="6469" w:hanging="360"/>
      </w:pPr>
      <w:rPr>
        <w:rFonts w:ascii="Wingdings" w:hAnsi="Wingdings" w:hint="default"/>
      </w:rPr>
    </w:lvl>
    <w:lvl w:ilvl="6" w:tplc="0C090001" w:tentative="1">
      <w:start w:val="1"/>
      <w:numFmt w:val="bullet"/>
      <w:lvlText w:val=""/>
      <w:lvlJc w:val="left"/>
      <w:pPr>
        <w:ind w:left="7189" w:hanging="360"/>
      </w:pPr>
      <w:rPr>
        <w:rFonts w:ascii="Symbol" w:hAnsi="Symbol" w:hint="default"/>
      </w:rPr>
    </w:lvl>
    <w:lvl w:ilvl="7" w:tplc="0C090003" w:tentative="1">
      <w:start w:val="1"/>
      <w:numFmt w:val="bullet"/>
      <w:lvlText w:val="o"/>
      <w:lvlJc w:val="left"/>
      <w:pPr>
        <w:ind w:left="7909" w:hanging="360"/>
      </w:pPr>
      <w:rPr>
        <w:rFonts w:ascii="Courier New" w:hAnsi="Courier New" w:cs="Courier New" w:hint="default"/>
      </w:rPr>
    </w:lvl>
    <w:lvl w:ilvl="8" w:tplc="0C090005" w:tentative="1">
      <w:start w:val="1"/>
      <w:numFmt w:val="bullet"/>
      <w:lvlText w:val=""/>
      <w:lvlJc w:val="left"/>
      <w:pPr>
        <w:ind w:left="8629" w:hanging="360"/>
      </w:pPr>
      <w:rPr>
        <w:rFonts w:ascii="Wingdings" w:hAnsi="Wingdings" w:hint="default"/>
      </w:rPr>
    </w:lvl>
  </w:abstractNum>
  <w:abstractNum w:abstractNumId="12" w15:restartNumberingAfterBreak="0">
    <w:nsid w:val="3A7E29DA"/>
    <w:multiLevelType w:val="hybridMultilevel"/>
    <w:tmpl w:val="96BA0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31F6F"/>
    <w:multiLevelType w:val="hybridMultilevel"/>
    <w:tmpl w:val="18D61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A58CE"/>
    <w:multiLevelType w:val="hybridMultilevel"/>
    <w:tmpl w:val="1164A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EF2EE5"/>
    <w:multiLevelType w:val="hybridMultilevel"/>
    <w:tmpl w:val="7D62A4D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0" w15:restartNumberingAfterBreak="0">
    <w:nsid w:val="52804A16"/>
    <w:multiLevelType w:val="hybridMultilevel"/>
    <w:tmpl w:val="5DB41F2A"/>
    <w:lvl w:ilvl="0" w:tplc="7E1C80FA">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3"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4"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5"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28"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9"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22635B"/>
    <w:multiLevelType w:val="hybridMultilevel"/>
    <w:tmpl w:val="DCC28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793229"/>
    <w:multiLevelType w:val="hybridMultilevel"/>
    <w:tmpl w:val="CEE83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35"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34"/>
  </w:num>
  <w:num w:numId="3">
    <w:abstractNumId w:val="5"/>
  </w:num>
  <w:num w:numId="4">
    <w:abstractNumId w:val="8"/>
  </w:num>
  <w:num w:numId="5">
    <w:abstractNumId w:val="4"/>
  </w:num>
  <w:num w:numId="6">
    <w:abstractNumId w:val="27"/>
  </w:num>
  <w:num w:numId="7">
    <w:abstractNumId w:val="21"/>
  </w:num>
  <w:num w:numId="8">
    <w:abstractNumId w:val="35"/>
  </w:num>
  <w:num w:numId="9">
    <w:abstractNumId w:val="6"/>
  </w:num>
  <w:num w:numId="10">
    <w:abstractNumId w:val="3"/>
  </w:num>
  <w:num w:numId="11">
    <w:abstractNumId w:val="24"/>
  </w:num>
  <w:num w:numId="12">
    <w:abstractNumId w:val="26"/>
  </w:num>
  <w:num w:numId="13">
    <w:abstractNumId w:val="2"/>
  </w:num>
  <w:num w:numId="14">
    <w:abstractNumId w:val="22"/>
  </w:num>
  <w:num w:numId="15">
    <w:abstractNumId w:val="9"/>
  </w:num>
  <w:num w:numId="16">
    <w:abstractNumId w:val="7"/>
  </w:num>
  <w:num w:numId="17">
    <w:abstractNumId w:val="17"/>
  </w:num>
  <w:num w:numId="18">
    <w:abstractNumId w:val="0"/>
  </w:num>
  <w:num w:numId="19">
    <w:abstractNumId w:val="1"/>
  </w:num>
  <w:num w:numId="20">
    <w:abstractNumId w:val="28"/>
  </w:num>
  <w:num w:numId="21">
    <w:abstractNumId w:val="19"/>
  </w:num>
  <w:num w:numId="22">
    <w:abstractNumId w:val="25"/>
  </w:num>
  <w:num w:numId="23">
    <w:abstractNumId w:val="30"/>
  </w:num>
  <w:num w:numId="24">
    <w:abstractNumId w:val="10"/>
  </w:num>
  <w:num w:numId="25">
    <w:abstractNumId w:val="29"/>
  </w:num>
  <w:num w:numId="26">
    <w:abstractNumId w:val="18"/>
  </w:num>
  <w:num w:numId="27">
    <w:abstractNumId w:val="16"/>
  </w:num>
  <w:num w:numId="28">
    <w:abstractNumId w:val="33"/>
  </w:num>
  <w:num w:numId="29">
    <w:abstractNumId w:val="14"/>
  </w:num>
  <w:num w:numId="30">
    <w:abstractNumId w:val="15"/>
  </w:num>
  <w:num w:numId="31">
    <w:abstractNumId w:val="32"/>
  </w:num>
  <w:num w:numId="32">
    <w:abstractNumId w:val="31"/>
  </w:num>
  <w:num w:numId="33">
    <w:abstractNumId w:val="13"/>
  </w:num>
  <w:num w:numId="34">
    <w:abstractNumId w:val="20"/>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42DB"/>
    <w:rsid w:val="000101AE"/>
    <w:rsid w:val="00013682"/>
    <w:rsid w:val="00014A93"/>
    <w:rsid w:val="00015673"/>
    <w:rsid w:val="00015C76"/>
    <w:rsid w:val="0001717E"/>
    <w:rsid w:val="00017E37"/>
    <w:rsid w:val="00020E38"/>
    <w:rsid w:val="00021D3E"/>
    <w:rsid w:val="00027F57"/>
    <w:rsid w:val="00031688"/>
    <w:rsid w:val="000331BA"/>
    <w:rsid w:val="00034023"/>
    <w:rsid w:val="0004095C"/>
    <w:rsid w:val="00040B1D"/>
    <w:rsid w:val="0004197D"/>
    <w:rsid w:val="000419A2"/>
    <w:rsid w:val="0004471C"/>
    <w:rsid w:val="00044D53"/>
    <w:rsid w:val="00045957"/>
    <w:rsid w:val="00047B3D"/>
    <w:rsid w:val="00054CFC"/>
    <w:rsid w:val="00055331"/>
    <w:rsid w:val="00057E3F"/>
    <w:rsid w:val="00060E78"/>
    <w:rsid w:val="000610A7"/>
    <w:rsid w:val="00061659"/>
    <w:rsid w:val="00070A27"/>
    <w:rsid w:val="00070EBA"/>
    <w:rsid w:val="00074E30"/>
    <w:rsid w:val="000761D8"/>
    <w:rsid w:val="0008695C"/>
    <w:rsid w:val="00090B43"/>
    <w:rsid w:val="00092CF0"/>
    <w:rsid w:val="000947C6"/>
    <w:rsid w:val="00095098"/>
    <w:rsid w:val="000A0D71"/>
    <w:rsid w:val="000A1C7C"/>
    <w:rsid w:val="000A425E"/>
    <w:rsid w:val="000A548F"/>
    <w:rsid w:val="000A5536"/>
    <w:rsid w:val="000A5AD6"/>
    <w:rsid w:val="000A70D3"/>
    <w:rsid w:val="000A7104"/>
    <w:rsid w:val="000B0CAB"/>
    <w:rsid w:val="000B0D08"/>
    <w:rsid w:val="000B1190"/>
    <w:rsid w:val="000B68B5"/>
    <w:rsid w:val="000B691A"/>
    <w:rsid w:val="000B7233"/>
    <w:rsid w:val="000C0DEC"/>
    <w:rsid w:val="000C14AB"/>
    <w:rsid w:val="000C241B"/>
    <w:rsid w:val="000C2A25"/>
    <w:rsid w:val="000C3F7E"/>
    <w:rsid w:val="000C42FA"/>
    <w:rsid w:val="000C7940"/>
    <w:rsid w:val="000D5E12"/>
    <w:rsid w:val="000D7BD9"/>
    <w:rsid w:val="000E120F"/>
    <w:rsid w:val="000E2C4D"/>
    <w:rsid w:val="000E4633"/>
    <w:rsid w:val="000E4EDA"/>
    <w:rsid w:val="000E6151"/>
    <w:rsid w:val="000E6CD1"/>
    <w:rsid w:val="000F07BA"/>
    <w:rsid w:val="000F0843"/>
    <w:rsid w:val="000F6156"/>
    <w:rsid w:val="000F71BC"/>
    <w:rsid w:val="000F71C9"/>
    <w:rsid w:val="000F7FED"/>
    <w:rsid w:val="00100A2D"/>
    <w:rsid w:val="00103F98"/>
    <w:rsid w:val="0010533A"/>
    <w:rsid w:val="00105A05"/>
    <w:rsid w:val="001060D7"/>
    <w:rsid w:val="00110DE4"/>
    <w:rsid w:val="001171C5"/>
    <w:rsid w:val="00121E0E"/>
    <w:rsid w:val="0012437A"/>
    <w:rsid w:val="001253C8"/>
    <w:rsid w:val="001317F0"/>
    <w:rsid w:val="0014019B"/>
    <w:rsid w:val="001457BF"/>
    <w:rsid w:val="0014756A"/>
    <w:rsid w:val="00152C0E"/>
    <w:rsid w:val="00154C15"/>
    <w:rsid w:val="00154F43"/>
    <w:rsid w:val="0015577D"/>
    <w:rsid w:val="001558E1"/>
    <w:rsid w:val="0015724F"/>
    <w:rsid w:val="001603E0"/>
    <w:rsid w:val="00162FD3"/>
    <w:rsid w:val="00163F2D"/>
    <w:rsid w:val="00170FC1"/>
    <w:rsid w:val="001716AD"/>
    <w:rsid w:val="001744DF"/>
    <w:rsid w:val="00175DFF"/>
    <w:rsid w:val="00176DC7"/>
    <w:rsid w:val="00177780"/>
    <w:rsid w:val="001802C9"/>
    <w:rsid w:val="00187C62"/>
    <w:rsid w:val="00191E5A"/>
    <w:rsid w:val="0019220D"/>
    <w:rsid w:val="001A136D"/>
    <w:rsid w:val="001A7667"/>
    <w:rsid w:val="001B0CC4"/>
    <w:rsid w:val="001B6963"/>
    <w:rsid w:val="001C1C8B"/>
    <w:rsid w:val="001C5A42"/>
    <w:rsid w:val="001C6387"/>
    <w:rsid w:val="001C7912"/>
    <w:rsid w:val="001D5D67"/>
    <w:rsid w:val="001E0350"/>
    <w:rsid w:val="001E4495"/>
    <w:rsid w:val="001E64B6"/>
    <w:rsid w:val="001E7435"/>
    <w:rsid w:val="001E77BF"/>
    <w:rsid w:val="001E7AA5"/>
    <w:rsid w:val="001F0E55"/>
    <w:rsid w:val="001F2E67"/>
    <w:rsid w:val="001F5BEF"/>
    <w:rsid w:val="001F6D6C"/>
    <w:rsid w:val="002009BC"/>
    <w:rsid w:val="00201EFF"/>
    <w:rsid w:val="00203936"/>
    <w:rsid w:val="0020501D"/>
    <w:rsid w:val="002069A4"/>
    <w:rsid w:val="00206EA6"/>
    <w:rsid w:val="00211C35"/>
    <w:rsid w:val="0021220E"/>
    <w:rsid w:val="00213D23"/>
    <w:rsid w:val="00214D26"/>
    <w:rsid w:val="0022274F"/>
    <w:rsid w:val="00225100"/>
    <w:rsid w:val="00225D41"/>
    <w:rsid w:val="00242456"/>
    <w:rsid w:val="00243C99"/>
    <w:rsid w:val="00244739"/>
    <w:rsid w:val="00244AD1"/>
    <w:rsid w:val="00246BB3"/>
    <w:rsid w:val="002510B8"/>
    <w:rsid w:val="002547EF"/>
    <w:rsid w:val="00254E96"/>
    <w:rsid w:val="002570D8"/>
    <w:rsid w:val="002602E6"/>
    <w:rsid w:val="00260BAD"/>
    <w:rsid w:val="0026189C"/>
    <w:rsid w:val="002642B8"/>
    <w:rsid w:val="0026626B"/>
    <w:rsid w:val="00267BDB"/>
    <w:rsid w:val="00270311"/>
    <w:rsid w:val="00270312"/>
    <w:rsid w:val="00271AF8"/>
    <w:rsid w:val="0027605D"/>
    <w:rsid w:val="00277DF8"/>
    <w:rsid w:val="00282E96"/>
    <w:rsid w:val="002911C0"/>
    <w:rsid w:val="00294818"/>
    <w:rsid w:val="00296AD6"/>
    <w:rsid w:val="002A34D9"/>
    <w:rsid w:val="002A6FE1"/>
    <w:rsid w:val="002B46A1"/>
    <w:rsid w:val="002B50AA"/>
    <w:rsid w:val="002B56C9"/>
    <w:rsid w:val="002B5EE5"/>
    <w:rsid w:val="002C26B1"/>
    <w:rsid w:val="002C291D"/>
    <w:rsid w:val="002C74DD"/>
    <w:rsid w:val="002D1613"/>
    <w:rsid w:val="002D531D"/>
    <w:rsid w:val="002D5F92"/>
    <w:rsid w:val="002D7133"/>
    <w:rsid w:val="002E1CEA"/>
    <w:rsid w:val="002E50EF"/>
    <w:rsid w:val="002E5AB4"/>
    <w:rsid w:val="002E6414"/>
    <w:rsid w:val="002F5AD0"/>
    <w:rsid w:val="002F6AED"/>
    <w:rsid w:val="002F6FA2"/>
    <w:rsid w:val="00301DFE"/>
    <w:rsid w:val="0030203E"/>
    <w:rsid w:val="00304D6E"/>
    <w:rsid w:val="00307F02"/>
    <w:rsid w:val="0031525C"/>
    <w:rsid w:val="00325AD7"/>
    <w:rsid w:val="00330B3A"/>
    <w:rsid w:val="003364AB"/>
    <w:rsid w:val="00336FB3"/>
    <w:rsid w:val="003430E6"/>
    <w:rsid w:val="00345505"/>
    <w:rsid w:val="00350B8F"/>
    <w:rsid w:val="00350EB0"/>
    <w:rsid w:val="00351601"/>
    <w:rsid w:val="00353876"/>
    <w:rsid w:val="003618FE"/>
    <w:rsid w:val="00371D38"/>
    <w:rsid w:val="003764F6"/>
    <w:rsid w:val="00376A98"/>
    <w:rsid w:val="00383BEA"/>
    <w:rsid w:val="0038714D"/>
    <w:rsid w:val="003874FB"/>
    <w:rsid w:val="00394649"/>
    <w:rsid w:val="003A22BA"/>
    <w:rsid w:val="003A25C6"/>
    <w:rsid w:val="003A6386"/>
    <w:rsid w:val="003A6E7C"/>
    <w:rsid w:val="003B0BAA"/>
    <w:rsid w:val="003B0ED1"/>
    <w:rsid w:val="003B14B8"/>
    <w:rsid w:val="003B3770"/>
    <w:rsid w:val="003B51D9"/>
    <w:rsid w:val="003B717C"/>
    <w:rsid w:val="003C12DA"/>
    <w:rsid w:val="003C154D"/>
    <w:rsid w:val="003C1D90"/>
    <w:rsid w:val="003C4179"/>
    <w:rsid w:val="003C5C51"/>
    <w:rsid w:val="003D00BA"/>
    <w:rsid w:val="003D0F92"/>
    <w:rsid w:val="003D232C"/>
    <w:rsid w:val="003D6750"/>
    <w:rsid w:val="003E4177"/>
    <w:rsid w:val="003E4CAA"/>
    <w:rsid w:val="003E65C9"/>
    <w:rsid w:val="003F22F4"/>
    <w:rsid w:val="003F3262"/>
    <w:rsid w:val="003F393A"/>
    <w:rsid w:val="003F4E9C"/>
    <w:rsid w:val="003F5B34"/>
    <w:rsid w:val="004043E7"/>
    <w:rsid w:val="00406EBB"/>
    <w:rsid w:val="004137EA"/>
    <w:rsid w:val="00416447"/>
    <w:rsid w:val="00416AE9"/>
    <w:rsid w:val="00422762"/>
    <w:rsid w:val="004243C8"/>
    <w:rsid w:val="004255C7"/>
    <w:rsid w:val="00427B6F"/>
    <w:rsid w:val="004310D6"/>
    <w:rsid w:val="00432013"/>
    <w:rsid w:val="004321B5"/>
    <w:rsid w:val="00435B5B"/>
    <w:rsid w:val="004430F4"/>
    <w:rsid w:val="00451EAA"/>
    <w:rsid w:val="00454EB9"/>
    <w:rsid w:val="0046307E"/>
    <w:rsid w:val="004641B1"/>
    <w:rsid w:val="00464F4B"/>
    <w:rsid w:val="00465386"/>
    <w:rsid w:val="004668F0"/>
    <w:rsid w:val="004705AB"/>
    <w:rsid w:val="00473905"/>
    <w:rsid w:val="004742B0"/>
    <w:rsid w:val="004756DD"/>
    <w:rsid w:val="0048073E"/>
    <w:rsid w:val="00482251"/>
    <w:rsid w:val="004879ED"/>
    <w:rsid w:val="00492E74"/>
    <w:rsid w:val="0049402D"/>
    <w:rsid w:val="00497039"/>
    <w:rsid w:val="004A38B1"/>
    <w:rsid w:val="004A55F2"/>
    <w:rsid w:val="004A6403"/>
    <w:rsid w:val="004B18E3"/>
    <w:rsid w:val="004B4BFC"/>
    <w:rsid w:val="004B5507"/>
    <w:rsid w:val="004B755E"/>
    <w:rsid w:val="004B7BE3"/>
    <w:rsid w:val="004C0F76"/>
    <w:rsid w:val="004D1D68"/>
    <w:rsid w:val="004D351B"/>
    <w:rsid w:val="004D7579"/>
    <w:rsid w:val="004E1FE5"/>
    <w:rsid w:val="004E289E"/>
    <w:rsid w:val="004E2C72"/>
    <w:rsid w:val="004E39F5"/>
    <w:rsid w:val="004E5E37"/>
    <w:rsid w:val="004E7531"/>
    <w:rsid w:val="004E7C6C"/>
    <w:rsid w:val="004F3B87"/>
    <w:rsid w:val="004F4B23"/>
    <w:rsid w:val="004F7B0F"/>
    <w:rsid w:val="00502F53"/>
    <w:rsid w:val="0050318D"/>
    <w:rsid w:val="005034CE"/>
    <w:rsid w:val="00503CA6"/>
    <w:rsid w:val="00507143"/>
    <w:rsid w:val="00507E76"/>
    <w:rsid w:val="005133E4"/>
    <w:rsid w:val="00514A31"/>
    <w:rsid w:val="005172AE"/>
    <w:rsid w:val="005221E1"/>
    <w:rsid w:val="005228A6"/>
    <w:rsid w:val="0052554A"/>
    <w:rsid w:val="00535909"/>
    <w:rsid w:val="00542525"/>
    <w:rsid w:val="005477F6"/>
    <w:rsid w:val="00550CC3"/>
    <w:rsid w:val="00555A5B"/>
    <w:rsid w:val="005573C5"/>
    <w:rsid w:val="00557587"/>
    <w:rsid w:val="00560FC4"/>
    <w:rsid w:val="0056103C"/>
    <w:rsid w:val="00562C20"/>
    <w:rsid w:val="0056454E"/>
    <w:rsid w:val="00574708"/>
    <w:rsid w:val="00577903"/>
    <w:rsid w:val="0058125D"/>
    <w:rsid w:val="00587113"/>
    <w:rsid w:val="005A2C9D"/>
    <w:rsid w:val="005A3403"/>
    <w:rsid w:val="005B0908"/>
    <w:rsid w:val="005B181D"/>
    <w:rsid w:val="005B4849"/>
    <w:rsid w:val="005B4DD6"/>
    <w:rsid w:val="005B59B6"/>
    <w:rsid w:val="005B638B"/>
    <w:rsid w:val="005B7DF0"/>
    <w:rsid w:val="005C20AF"/>
    <w:rsid w:val="005C240C"/>
    <w:rsid w:val="005C4567"/>
    <w:rsid w:val="005C45F6"/>
    <w:rsid w:val="005C490A"/>
    <w:rsid w:val="005C4F51"/>
    <w:rsid w:val="005C652C"/>
    <w:rsid w:val="005C6F0C"/>
    <w:rsid w:val="005C73F4"/>
    <w:rsid w:val="005D0029"/>
    <w:rsid w:val="005D324B"/>
    <w:rsid w:val="005D3275"/>
    <w:rsid w:val="005D74BB"/>
    <w:rsid w:val="005E2BC3"/>
    <w:rsid w:val="005E4E85"/>
    <w:rsid w:val="005F06B3"/>
    <w:rsid w:val="005F1283"/>
    <w:rsid w:val="005F15DF"/>
    <w:rsid w:val="005F6DFD"/>
    <w:rsid w:val="006013E2"/>
    <w:rsid w:val="00607E80"/>
    <w:rsid w:val="0061412B"/>
    <w:rsid w:val="0061461B"/>
    <w:rsid w:val="00615121"/>
    <w:rsid w:val="006241C7"/>
    <w:rsid w:val="006246AF"/>
    <w:rsid w:val="00632129"/>
    <w:rsid w:val="00634253"/>
    <w:rsid w:val="00635129"/>
    <w:rsid w:val="0063580A"/>
    <w:rsid w:val="00637CBF"/>
    <w:rsid w:val="0064102A"/>
    <w:rsid w:val="00644F07"/>
    <w:rsid w:val="00653A89"/>
    <w:rsid w:val="006565E4"/>
    <w:rsid w:val="00662C7E"/>
    <w:rsid w:val="00666056"/>
    <w:rsid w:val="0067069C"/>
    <w:rsid w:val="006746BB"/>
    <w:rsid w:val="006808BE"/>
    <w:rsid w:val="00682989"/>
    <w:rsid w:val="006841C0"/>
    <w:rsid w:val="00684648"/>
    <w:rsid w:val="00687286"/>
    <w:rsid w:val="006943D7"/>
    <w:rsid w:val="006945F3"/>
    <w:rsid w:val="00694906"/>
    <w:rsid w:val="00694BED"/>
    <w:rsid w:val="006A1020"/>
    <w:rsid w:val="006A299C"/>
    <w:rsid w:val="006A4109"/>
    <w:rsid w:val="006A4921"/>
    <w:rsid w:val="006A5491"/>
    <w:rsid w:val="006A7095"/>
    <w:rsid w:val="006B1441"/>
    <w:rsid w:val="006B59C0"/>
    <w:rsid w:val="006B5FF7"/>
    <w:rsid w:val="006B6BF1"/>
    <w:rsid w:val="006C0A7A"/>
    <w:rsid w:val="006C15A0"/>
    <w:rsid w:val="006C1DF9"/>
    <w:rsid w:val="006C373A"/>
    <w:rsid w:val="006D0A89"/>
    <w:rsid w:val="006D1BFA"/>
    <w:rsid w:val="006D3AA2"/>
    <w:rsid w:val="006E24C0"/>
    <w:rsid w:val="006E465E"/>
    <w:rsid w:val="006E569D"/>
    <w:rsid w:val="006E5C66"/>
    <w:rsid w:val="006F3C12"/>
    <w:rsid w:val="006F455B"/>
    <w:rsid w:val="006F57AD"/>
    <w:rsid w:val="00703C29"/>
    <w:rsid w:val="007071C9"/>
    <w:rsid w:val="00714096"/>
    <w:rsid w:val="0071471C"/>
    <w:rsid w:val="00715556"/>
    <w:rsid w:val="00716A50"/>
    <w:rsid w:val="0071752E"/>
    <w:rsid w:val="00721762"/>
    <w:rsid w:val="00723093"/>
    <w:rsid w:val="00726F88"/>
    <w:rsid w:val="00727283"/>
    <w:rsid w:val="00732DD3"/>
    <w:rsid w:val="00736048"/>
    <w:rsid w:val="007369AE"/>
    <w:rsid w:val="007439CA"/>
    <w:rsid w:val="00743B9D"/>
    <w:rsid w:val="00751202"/>
    <w:rsid w:val="0075364E"/>
    <w:rsid w:val="00757D1C"/>
    <w:rsid w:val="00762E8B"/>
    <w:rsid w:val="00766931"/>
    <w:rsid w:val="007673DA"/>
    <w:rsid w:val="007712D3"/>
    <w:rsid w:val="00772904"/>
    <w:rsid w:val="00774F58"/>
    <w:rsid w:val="00775CDE"/>
    <w:rsid w:val="00777A38"/>
    <w:rsid w:val="00777F0D"/>
    <w:rsid w:val="00782C4C"/>
    <w:rsid w:val="00783384"/>
    <w:rsid w:val="00784652"/>
    <w:rsid w:val="00786258"/>
    <w:rsid w:val="00786EFD"/>
    <w:rsid w:val="007903B0"/>
    <w:rsid w:val="00790C5C"/>
    <w:rsid w:val="007912E4"/>
    <w:rsid w:val="00792198"/>
    <w:rsid w:val="00793085"/>
    <w:rsid w:val="007B36D3"/>
    <w:rsid w:val="007B798B"/>
    <w:rsid w:val="007C1DC9"/>
    <w:rsid w:val="007C37B8"/>
    <w:rsid w:val="007D1756"/>
    <w:rsid w:val="007D3AF5"/>
    <w:rsid w:val="007D5D51"/>
    <w:rsid w:val="007D5DD9"/>
    <w:rsid w:val="007D7096"/>
    <w:rsid w:val="007D7720"/>
    <w:rsid w:val="007E0D97"/>
    <w:rsid w:val="007E2BCC"/>
    <w:rsid w:val="007E437E"/>
    <w:rsid w:val="007E5057"/>
    <w:rsid w:val="007E6B25"/>
    <w:rsid w:val="007E7CDC"/>
    <w:rsid w:val="007F4372"/>
    <w:rsid w:val="007F4AA7"/>
    <w:rsid w:val="007F506A"/>
    <w:rsid w:val="00800358"/>
    <w:rsid w:val="0080047F"/>
    <w:rsid w:val="0080184C"/>
    <w:rsid w:val="00801AE7"/>
    <w:rsid w:val="00801F39"/>
    <w:rsid w:val="008029C1"/>
    <w:rsid w:val="00802B19"/>
    <w:rsid w:val="00802FC7"/>
    <w:rsid w:val="00803F35"/>
    <w:rsid w:val="0082018C"/>
    <w:rsid w:val="008201F9"/>
    <w:rsid w:val="00822D55"/>
    <w:rsid w:val="008238B1"/>
    <w:rsid w:val="00824346"/>
    <w:rsid w:val="008268F8"/>
    <w:rsid w:val="00827369"/>
    <w:rsid w:val="00833112"/>
    <w:rsid w:val="00835734"/>
    <w:rsid w:val="00837B9C"/>
    <w:rsid w:val="00837C8D"/>
    <w:rsid w:val="0084000C"/>
    <w:rsid w:val="00842A17"/>
    <w:rsid w:val="00844756"/>
    <w:rsid w:val="0085030D"/>
    <w:rsid w:val="0085339B"/>
    <w:rsid w:val="0085515F"/>
    <w:rsid w:val="00860265"/>
    <w:rsid w:val="00860918"/>
    <w:rsid w:val="008619FB"/>
    <w:rsid w:val="008622CD"/>
    <w:rsid w:val="00865792"/>
    <w:rsid w:val="00865E29"/>
    <w:rsid w:val="00866660"/>
    <w:rsid w:val="00870255"/>
    <w:rsid w:val="00871C01"/>
    <w:rsid w:val="00877625"/>
    <w:rsid w:val="00880740"/>
    <w:rsid w:val="008820D4"/>
    <w:rsid w:val="00882156"/>
    <w:rsid w:val="00883234"/>
    <w:rsid w:val="00883701"/>
    <w:rsid w:val="0088742E"/>
    <w:rsid w:val="00891330"/>
    <w:rsid w:val="00895A8D"/>
    <w:rsid w:val="0089615D"/>
    <w:rsid w:val="008B3F82"/>
    <w:rsid w:val="008B4CDC"/>
    <w:rsid w:val="008B5D1A"/>
    <w:rsid w:val="008B68F5"/>
    <w:rsid w:val="008B7B00"/>
    <w:rsid w:val="008C2103"/>
    <w:rsid w:val="008C255A"/>
    <w:rsid w:val="008C492B"/>
    <w:rsid w:val="008C7005"/>
    <w:rsid w:val="008D2E06"/>
    <w:rsid w:val="008D3273"/>
    <w:rsid w:val="008D7A7C"/>
    <w:rsid w:val="008E2153"/>
    <w:rsid w:val="008E664D"/>
    <w:rsid w:val="008F209F"/>
    <w:rsid w:val="008F29F9"/>
    <w:rsid w:val="008F52E0"/>
    <w:rsid w:val="008F61BB"/>
    <w:rsid w:val="008F7361"/>
    <w:rsid w:val="009023C1"/>
    <w:rsid w:val="009029B7"/>
    <w:rsid w:val="00906C04"/>
    <w:rsid w:val="00906DAB"/>
    <w:rsid w:val="00910AF0"/>
    <w:rsid w:val="00914AEA"/>
    <w:rsid w:val="00925A67"/>
    <w:rsid w:val="0092633F"/>
    <w:rsid w:val="009345A3"/>
    <w:rsid w:val="00940F04"/>
    <w:rsid w:val="00942D48"/>
    <w:rsid w:val="00944378"/>
    <w:rsid w:val="0094745F"/>
    <w:rsid w:val="00954362"/>
    <w:rsid w:val="00957651"/>
    <w:rsid w:val="00960929"/>
    <w:rsid w:val="00961FD4"/>
    <w:rsid w:val="0096691A"/>
    <w:rsid w:val="00972D69"/>
    <w:rsid w:val="00972F8C"/>
    <w:rsid w:val="00975A8C"/>
    <w:rsid w:val="00982731"/>
    <w:rsid w:val="00985579"/>
    <w:rsid w:val="009914B7"/>
    <w:rsid w:val="0099315C"/>
    <w:rsid w:val="00993166"/>
    <w:rsid w:val="009946AA"/>
    <w:rsid w:val="00994F4C"/>
    <w:rsid w:val="00994F9D"/>
    <w:rsid w:val="00995980"/>
    <w:rsid w:val="009A2283"/>
    <w:rsid w:val="009A3A22"/>
    <w:rsid w:val="009A50CF"/>
    <w:rsid w:val="009A67B2"/>
    <w:rsid w:val="009A716B"/>
    <w:rsid w:val="009A7507"/>
    <w:rsid w:val="009B3126"/>
    <w:rsid w:val="009B3505"/>
    <w:rsid w:val="009B3B4B"/>
    <w:rsid w:val="009B4112"/>
    <w:rsid w:val="009B5371"/>
    <w:rsid w:val="009C48C9"/>
    <w:rsid w:val="009C4A51"/>
    <w:rsid w:val="009D068F"/>
    <w:rsid w:val="009D5714"/>
    <w:rsid w:val="009E34AD"/>
    <w:rsid w:val="009E6883"/>
    <w:rsid w:val="009F71E6"/>
    <w:rsid w:val="009F72D8"/>
    <w:rsid w:val="00A001E4"/>
    <w:rsid w:val="00A00AC8"/>
    <w:rsid w:val="00A01174"/>
    <w:rsid w:val="00A1598F"/>
    <w:rsid w:val="00A1659F"/>
    <w:rsid w:val="00A1752E"/>
    <w:rsid w:val="00A238F8"/>
    <w:rsid w:val="00A24038"/>
    <w:rsid w:val="00A2755F"/>
    <w:rsid w:val="00A31082"/>
    <w:rsid w:val="00A31618"/>
    <w:rsid w:val="00A3335E"/>
    <w:rsid w:val="00A33F02"/>
    <w:rsid w:val="00A3768E"/>
    <w:rsid w:val="00A4267F"/>
    <w:rsid w:val="00A43974"/>
    <w:rsid w:val="00A470AA"/>
    <w:rsid w:val="00A47211"/>
    <w:rsid w:val="00A47EC5"/>
    <w:rsid w:val="00A501B9"/>
    <w:rsid w:val="00A51C25"/>
    <w:rsid w:val="00A54CE7"/>
    <w:rsid w:val="00A55ACA"/>
    <w:rsid w:val="00A564CD"/>
    <w:rsid w:val="00A56ECB"/>
    <w:rsid w:val="00A60BF2"/>
    <w:rsid w:val="00A61368"/>
    <w:rsid w:val="00A716BB"/>
    <w:rsid w:val="00A7334B"/>
    <w:rsid w:val="00A7460C"/>
    <w:rsid w:val="00A75E50"/>
    <w:rsid w:val="00A76A81"/>
    <w:rsid w:val="00A76BBE"/>
    <w:rsid w:val="00A77162"/>
    <w:rsid w:val="00A8030F"/>
    <w:rsid w:val="00A82378"/>
    <w:rsid w:val="00A82DCE"/>
    <w:rsid w:val="00A84BF7"/>
    <w:rsid w:val="00A853E8"/>
    <w:rsid w:val="00A86DAD"/>
    <w:rsid w:val="00A902B2"/>
    <w:rsid w:val="00A90B04"/>
    <w:rsid w:val="00A956B7"/>
    <w:rsid w:val="00A959AF"/>
    <w:rsid w:val="00A9663C"/>
    <w:rsid w:val="00A96898"/>
    <w:rsid w:val="00A9758E"/>
    <w:rsid w:val="00A97BF4"/>
    <w:rsid w:val="00AA2492"/>
    <w:rsid w:val="00AA672E"/>
    <w:rsid w:val="00AA6D90"/>
    <w:rsid w:val="00AA7BDE"/>
    <w:rsid w:val="00AB0671"/>
    <w:rsid w:val="00AB1E9A"/>
    <w:rsid w:val="00AB26E6"/>
    <w:rsid w:val="00AB2D7F"/>
    <w:rsid w:val="00AB50AF"/>
    <w:rsid w:val="00AB6AA6"/>
    <w:rsid w:val="00AC4E01"/>
    <w:rsid w:val="00AD114D"/>
    <w:rsid w:val="00AD30CD"/>
    <w:rsid w:val="00AD3D97"/>
    <w:rsid w:val="00AD3F64"/>
    <w:rsid w:val="00AD4673"/>
    <w:rsid w:val="00AD5CFC"/>
    <w:rsid w:val="00AE1A82"/>
    <w:rsid w:val="00AF2F6D"/>
    <w:rsid w:val="00AF3DDB"/>
    <w:rsid w:val="00AF7183"/>
    <w:rsid w:val="00B01873"/>
    <w:rsid w:val="00B02BCD"/>
    <w:rsid w:val="00B03161"/>
    <w:rsid w:val="00B1050A"/>
    <w:rsid w:val="00B10728"/>
    <w:rsid w:val="00B1340D"/>
    <w:rsid w:val="00B13AD1"/>
    <w:rsid w:val="00B15298"/>
    <w:rsid w:val="00B17006"/>
    <w:rsid w:val="00B17E14"/>
    <w:rsid w:val="00B21A4C"/>
    <w:rsid w:val="00B21F71"/>
    <w:rsid w:val="00B22ECA"/>
    <w:rsid w:val="00B2383A"/>
    <w:rsid w:val="00B30018"/>
    <w:rsid w:val="00B35CC6"/>
    <w:rsid w:val="00B40085"/>
    <w:rsid w:val="00B417B8"/>
    <w:rsid w:val="00B43D0A"/>
    <w:rsid w:val="00B4682A"/>
    <w:rsid w:val="00B468BF"/>
    <w:rsid w:val="00B472F4"/>
    <w:rsid w:val="00B504C6"/>
    <w:rsid w:val="00B545CE"/>
    <w:rsid w:val="00B5668A"/>
    <w:rsid w:val="00B57DB8"/>
    <w:rsid w:val="00B61BB7"/>
    <w:rsid w:val="00B65401"/>
    <w:rsid w:val="00B701D6"/>
    <w:rsid w:val="00B70354"/>
    <w:rsid w:val="00B73281"/>
    <w:rsid w:val="00B82B70"/>
    <w:rsid w:val="00B84314"/>
    <w:rsid w:val="00B86E08"/>
    <w:rsid w:val="00B928CD"/>
    <w:rsid w:val="00B93EA1"/>
    <w:rsid w:val="00B9579C"/>
    <w:rsid w:val="00B95980"/>
    <w:rsid w:val="00B97F3D"/>
    <w:rsid w:val="00BA0B5D"/>
    <w:rsid w:val="00BA3050"/>
    <w:rsid w:val="00BA349F"/>
    <w:rsid w:val="00BA70CD"/>
    <w:rsid w:val="00BB7EA1"/>
    <w:rsid w:val="00BB7F07"/>
    <w:rsid w:val="00BC236E"/>
    <w:rsid w:val="00BC5F2A"/>
    <w:rsid w:val="00BD4235"/>
    <w:rsid w:val="00BD7C1D"/>
    <w:rsid w:val="00BE176D"/>
    <w:rsid w:val="00BE29BC"/>
    <w:rsid w:val="00BE582F"/>
    <w:rsid w:val="00BE5C9D"/>
    <w:rsid w:val="00BE797F"/>
    <w:rsid w:val="00BF2AD7"/>
    <w:rsid w:val="00BF687C"/>
    <w:rsid w:val="00C04B5C"/>
    <w:rsid w:val="00C11D9C"/>
    <w:rsid w:val="00C1328A"/>
    <w:rsid w:val="00C13D5D"/>
    <w:rsid w:val="00C152AA"/>
    <w:rsid w:val="00C2117A"/>
    <w:rsid w:val="00C2703B"/>
    <w:rsid w:val="00C27F9A"/>
    <w:rsid w:val="00C32C46"/>
    <w:rsid w:val="00C334B1"/>
    <w:rsid w:val="00C35395"/>
    <w:rsid w:val="00C40687"/>
    <w:rsid w:val="00C40C11"/>
    <w:rsid w:val="00C41B45"/>
    <w:rsid w:val="00C43EF6"/>
    <w:rsid w:val="00C446D3"/>
    <w:rsid w:val="00C45B35"/>
    <w:rsid w:val="00C52523"/>
    <w:rsid w:val="00C52C57"/>
    <w:rsid w:val="00C5473D"/>
    <w:rsid w:val="00C62C2E"/>
    <w:rsid w:val="00C664B1"/>
    <w:rsid w:val="00C67FC7"/>
    <w:rsid w:val="00C7194F"/>
    <w:rsid w:val="00C763E1"/>
    <w:rsid w:val="00C83E30"/>
    <w:rsid w:val="00C8790A"/>
    <w:rsid w:val="00C920AB"/>
    <w:rsid w:val="00C92FCE"/>
    <w:rsid w:val="00C94CDF"/>
    <w:rsid w:val="00C95842"/>
    <w:rsid w:val="00CA093A"/>
    <w:rsid w:val="00CA361E"/>
    <w:rsid w:val="00CA3D32"/>
    <w:rsid w:val="00CA707F"/>
    <w:rsid w:val="00CB3428"/>
    <w:rsid w:val="00CB5727"/>
    <w:rsid w:val="00CB650B"/>
    <w:rsid w:val="00CB6E63"/>
    <w:rsid w:val="00CB77BD"/>
    <w:rsid w:val="00CC1117"/>
    <w:rsid w:val="00CC3313"/>
    <w:rsid w:val="00CC7163"/>
    <w:rsid w:val="00CD42CD"/>
    <w:rsid w:val="00CD7429"/>
    <w:rsid w:val="00CE1FA2"/>
    <w:rsid w:val="00CE2F1E"/>
    <w:rsid w:val="00CF1276"/>
    <w:rsid w:val="00CF4792"/>
    <w:rsid w:val="00CF7404"/>
    <w:rsid w:val="00CF7AC4"/>
    <w:rsid w:val="00D02106"/>
    <w:rsid w:val="00D02308"/>
    <w:rsid w:val="00D03554"/>
    <w:rsid w:val="00D03C71"/>
    <w:rsid w:val="00D063FA"/>
    <w:rsid w:val="00D0697E"/>
    <w:rsid w:val="00D07FDA"/>
    <w:rsid w:val="00D12E12"/>
    <w:rsid w:val="00D158B9"/>
    <w:rsid w:val="00D236CA"/>
    <w:rsid w:val="00D274C7"/>
    <w:rsid w:val="00D350AF"/>
    <w:rsid w:val="00D37376"/>
    <w:rsid w:val="00D4485F"/>
    <w:rsid w:val="00D452C3"/>
    <w:rsid w:val="00D5126C"/>
    <w:rsid w:val="00D550EB"/>
    <w:rsid w:val="00D5766B"/>
    <w:rsid w:val="00D61FD9"/>
    <w:rsid w:val="00D62314"/>
    <w:rsid w:val="00D63D22"/>
    <w:rsid w:val="00D63D70"/>
    <w:rsid w:val="00D66E2F"/>
    <w:rsid w:val="00D67468"/>
    <w:rsid w:val="00D713AD"/>
    <w:rsid w:val="00D71E90"/>
    <w:rsid w:val="00D819FC"/>
    <w:rsid w:val="00D862BD"/>
    <w:rsid w:val="00D865EA"/>
    <w:rsid w:val="00D87744"/>
    <w:rsid w:val="00D87C9C"/>
    <w:rsid w:val="00D920B1"/>
    <w:rsid w:val="00D93A4E"/>
    <w:rsid w:val="00D97732"/>
    <w:rsid w:val="00D97915"/>
    <w:rsid w:val="00DA03F7"/>
    <w:rsid w:val="00DA511D"/>
    <w:rsid w:val="00DA69D9"/>
    <w:rsid w:val="00DA6C8B"/>
    <w:rsid w:val="00DA78CF"/>
    <w:rsid w:val="00DB02D6"/>
    <w:rsid w:val="00DB1887"/>
    <w:rsid w:val="00DB3A00"/>
    <w:rsid w:val="00DC1870"/>
    <w:rsid w:val="00DC304E"/>
    <w:rsid w:val="00DD14AD"/>
    <w:rsid w:val="00DD1FBD"/>
    <w:rsid w:val="00DE0302"/>
    <w:rsid w:val="00DE158B"/>
    <w:rsid w:val="00DE1D4A"/>
    <w:rsid w:val="00DE4444"/>
    <w:rsid w:val="00DE53EA"/>
    <w:rsid w:val="00DE6592"/>
    <w:rsid w:val="00DF0CEC"/>
    <w:rsid w:val="00E008D8"/>
    <w:rsid w:val="00E01AB1"/>
    <w:rsid w:val="00E02D9F"/>
    <w:rsid w:val="00E1319B"/>
    <w:rsid w:val="00E237AA"/>
    <w:rsid w:val="00E24129"/>
    <w:rsid w:val="00E24159"/>
    <w:rsid w:val="00E260DB"/>
    <w:rsid w:val="00E277BC"/>
    <w:rsid w:val="00E35D72"/>
    <w:rsid w:val="00E40402"/>
    <w:rsid w:val="00E430CC"/>
    <w:rsid w:val="00E43A9B"/>
    <w:rsid w:val="00E52D55"/>
    <w:rsid w:val="00E54E2B"/>
    <w:rsid w:val="00E55A5B"/>
    <w:rsid w:val="00E603FA"/>
    <w:rsid w:val="00E61876"/>
    <w:rsid w:val="00E6657C"/>
    <w:rsid w:val="00E6793C"/>
    <w:rsid w:val="00E70F01"/>
    <w:rsid w:val="00E7272B"/>
    <w:rsid w:val="00E72F0C"/>
    <w:rsid w:val="00E73CB1"/>
    <w:rsid w:val="00E80C84"/>
    <w:rsid w:val="00E835B6"/>
    <w:rsid w:val="00E90790"/>
    <w:rsid w:val="00E90DAB"/>
    <w:rsid w:val="00E92E43"/>
    <w:rsid w:val="00E943D2"/>
    <w:rsid w:val="00E97499"/>
    <w:rsid w:val="00E97E46"/>
    <w:rsid w:val="00EA0F60"/>
    <w:rsid w:val="00EA1A4A"/>
    <w:rsid w:val="00EA50A6"/>
    <w:rsid w:val="00EA7A34"/>
    <w:rsid w:val="00EB1534"/>
    <w:rsid w:val="00EC0C96"/>
    <w:rsid w:val="00EC6AF3"/>
    <w:rsid w:val="00EC7906"/>
    <w:rsid w:val="00EC7BA8"/>
    <w:rsid w:val="00ED04B1"/>
    <w:rsid w:val="00ED1DFC"/>
    <w:rsid w:val="00EE11F1"/>
    <w:rsid w:val="00EE2145"/>
    <w:rsid w:val="00EE3148"/>
    <w:rsid w:val="00EE320D"/>
    <w:rsid w:val="00EE4CE8"/>
    <w:rsid w:val="00EE4EEE"/>
    <w:rsid w:val="00EE6510"/>
    <w:rsid w:val="00EE6BF9"/>
    <w:rsid w:val="00EE6E97"/>
    <w:rsid w:val="00F01F60"/>
    <w:rsid w:val="00F11055"/>
    <w:rsid w:val="00F11191"/>
    <w:rsid w:val="00F1206B"/>
    <w:rsid w:val="00F1318A"/>
    <w:rsid w:val="00F1733D"/>
    <w:rsid w:val="00F233C2"/>
    <w:rsid w:val="00F237E8"/>
    <w:rsid w:val="00F25718"/>
    <w:rsid w:val="00F25D96"/>
    <w:rsid w:val="00F26801"/>
    <w:rsid w:val="00F30ADF"/>
    <w:rsid w:val="00F3226F"/>
    <w:rsid w:val="00F323FF"/>
    <w:rsid w:val="00F32703"/>
    <w:rsid w:val="00F34EB3"/>
    <w:rsid w:val="00F3722C"/>
    <w:rsid w:val="00F37DA4"/>
    <w:rsid w:val="00F4103D"/>
    <w:rsid w:val="00F42654"/>
    <w:rsid w:val="00F42D6A"/>
    <w:rsid w:val="00F436D2"/>
    <w:rsid w:val="00F44652"/>
    <w:rsid w:val="00F4535C"/>
    <w:rsid w:val="00F469E4"/>
    <w:rsid w:val="00F47185"/>
    <w:rsid w:val="00F4797D"/>
    <w:rsid w:val="00F500ED"/>
    <w:rsid w:val="00F52926"/>
    <w:rsid w:val="00F53D5B"/>
    <w:rsid w:val="00F61DA4"/>
    <w:rsid w:val="00F65010"/>
    <w:rsid w:val="00F67E7D"/>
    <w:rsid w:val="00F711ED"/>
    <w:rsid w:val="00F71A0D"/>
    <w:rsid w:val="00F75702"/>
    <w:rsid w:val="00F838CC"/>
    <w:rsid w:val="00F86088"/>
    <w:rsid w:val="00F879AA"/>
    <w:rsid w:val="00F96B08"/>
    <w:rsid w:val="00F96DA5"/>
    <w:rsid w:val="00F9762C"/>
    <w:rsid w:val="00FA09B1"/>
    <w:rsid w:val="00FA18B1"/>
    <w:rsid w:val="00FA1E8E"/>
    <w:rsid w:val="00FA1EAE"/>
    <w:rsid w:val="00FA4CAD"/>
    <w:rsid w:val="00FA622E"/>
    <w:rsid w:val="00FA7AE0"/>
    <w:rsid w:val="00FA7E13"/>
    <w:rsid w:val="00FB0CA2"/>
    <w:rsid w:val="00FB62D7"/>
    <w:rsid w:val="00FC2356"/>
    <w:rsid w:val="00FC312D"/>
    <w:rsid w:val="00FC6A5D"/>
    <w:rsid w:val="00FD05B4"/>
    <w:rsid w:val="00FD17D6"/>
    <w:rsid w:val="00FD348E"/>
    <w:rsid w:val="00FD3C9C"/>
    <w:rsid w:val="00FD4082"/>
    <w:rsid w:val="00FE4710"/>
    <w:rsid w:val="00FF0E33"/>
    <w:rsid w:val="00FF12C3"/>
    <w:rsid w:val="00FF13E6"/>
    <w:rsid w:val="00FF6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6C1DF9"/>
    <w:pPr>
      <w:keepNext/>
      <w:keepLines/>
      <w:spacing w:before="240" w:after="0"/>
      <w:outlineLvl w:val="0"/>
    </w:pPr>
    <w:rPr>
      <w:rFonts w:asciiTheme="majorHAnsi" w:eastAsiaTheme="majorEastAsia" w:hAnsiTheme="majorHAnsi" w:cstheme="majorBidi"/>
      <w:color w:val="2D9BAF" w:themeColor="accent1" w:themeShade="BF"/>
      <w:sz w:val="32"/>
      <w:szCs w:val="32"/>
    </w:rPr>
  </w:style>
  <w:style w:type="paragraph" w:styleId="Heading2">
    <w:name w:val="heading 2"/>
    <w:basedOn w:val="Normal"/>
    <w:next w:val="Normal"/>
    <w:link w:val="Heading2Char"/>
    <w:uiPriority w:val="9"/>
    <w:unhideWhenUsed/>
    <w:qFormat/>
    <w:rsid w:val="006C1DF9"/>
    <w:pPr>
      <w:keepNext/>
      <w:keepLines/>
      <w:spacing w:before="40" w:after="0"/>
      <w:outlineLvl w:val="1"/>
    </w:pPr>
    <w:rPr>
      <w:rFonts w:asciiTheme="majorHAnsi" w:eastAsiaTheme="majorEastAsia" w:hAnsiTheme="majorHAnsi" w:cstheme="majorBidi"/>
      <w:color w:val="2D9BAF" w:themeColor="accent1" w:themeShade="BF"/>
      <w:sz w:val="26"/>
      <w:szCs w:val="26"/>
    </w:rPr>
  </w:style>
  <w:style w:type="paragraph" w:styleId="Heading3">
    <w:name w:val="heading 3"/>
    <w:basedOn w:val="Normal"/>
    <w:next w:val="Normal"/>
    <w:link w:val="Heading3Char"/>
    <w:uiPriority w:val="9"/>
    <w:unhideWhenUsed/>
    <w:qFormat/>
    <w:rsid w:val="006C1DF9"/>
    <w:pPr>
      <w:keepNext/>
      <w:keepLines/>
      <w:spacing w:before="40" w:after="0"/>
      <w:outlineLvl w:val="2"/>
    </w:pPr>
    <w:rPr>
      <w:rFonts w:asciiTheme="majorHAnsi" w:eastAsiaTheme="majorEastAsia" w:hAnsiTheme="majorHAnsi" w:cstheme="majorBidi"/>
      <w:color w:val="1E677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563C1"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ECFDE" w:themeColor="accent1" w:themeTint="BF"/>
        <w:left w:val="single" w:sz="8" w:space="0" w:color="7ECFDE" w:themeColor="accent1" w:themeTint="BF"/>
        <w:bottom w:val="single" w:sz="8" w:space="0" w:color="7ECFDE" w:themeColor="accent1" w:themeTint="BF"/>
        <w:right w:val="single" w:sz="8" w:space="0" w:color="7ECFDE" w:themeColor="accent1" w:themeTint="BF"/>
        <w:insideH w:val="single" w:sz="8" w:space="0" w:color="7ECFDE" w:themeColor="accent1" w:themeTint="BF"/>
      </w:tblBorders>
    </w:tblPr>
    <w:tblStylePr w:type="firstRow">
      <w:pPr>
        <w:spacing w:before="0" w:after="0" w:line="240" w:lineRule="auto"/>
      </w:pPr>
      <w:rPr>
        <w:b/>
        <w:bCs/>
        <w:color w:val="FFFFFF" w:themeColor="background1"/>
      </w:rPr>
      <w:tblPr/>
      <w:tcPr>
        <w:tcBorders>
          <w:top w:val="single" w:sz="8" w:space="0" w:color="7ECFDE" w:themeColor="accent1" w:themeTint="BF"/>
          <w:left w:val="single" w:sz="8" w:space="0" w:color="7ECFDE" w:themeColor="accent1" w:themeTint="BF"/>
          <w:bottom w:val="single" w:sz="8" w:space="0" w:color="7ECFDE" w:themeColor="accent1" w:themeTint="BF"/>
          <w:right w:val="single" w:sz="8" w:space="0" w:color="7ECFDE" w:themeColor="accent1" w:themeTint="BF"/>
          <w:insideH w:val="nil"/>
          <w:insideV w:val="nil"/>
        </w:tcBorders>
        <w:shd w:val="clear" w:color="auto" w:fill="54C0D3" w:themeFill="accent1"/>
      </w:tcPr>
    </w:tblStylePr>
    <w:tblStylePr w:type="lastRow">
      <w:pPr>
        <w:spacing w:before="0" w:after="0" w:line="240" w:lineRule="auto"/>
      </w:pPr>
      <w:rPr>
        <w:b/>
        <w:bCs/>
      </w:rPr>
      <w:tblPr/>
      <w:tcPr>
        <w:tcBorders>
          <w:top w:val="double" w:sz="6" w:space="0" w:color="7ECFDE" w:themeColor="accent1" w:themeTint="BF"/>
          <w:left w:val="single" w:sz="8" w:space="0" w:color="7ECFDE" w:themeColor="accent1" w:themeTint="BF"/>
          <w:bottom w:val="single" w:sz="8" w:space="0" w:color="7ECFDE" w:themeColor="accent1" w:themeTint="BF"/>
          <w:right w:val="single" w:sz="8" w:space="0" w:color="7ECF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4EFF4" w:themeFill="accent1" w:themeFillTint="3F"/>
      </w:tcPr>
    </w:tblStylePr>
    <w:tblStylePr w:type="band1Horz">
      <w:tblPr/>
      <w:tcPr>
        <w:tcBorders>
          <w:insideH w:val="nil"/>
          <w:insideV w:val="nil"/>
        </w:tcBorders>
        <w:shd w:val="clear" w:color="auto" w:fill="D4EFF4"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ECFDE" w:themeColor="accent1" w:themeTint="BF"/>
        <w:left w:val="single" w:sz="8" w:space="0" w:color="7ECFDE" w:themeColor="accent1" w:themeTint="BF"/>
        <w:bottom w:val="single" w:sz="8" w:space="0" w:color="7ECFDE" w:themeColor="accent1" w:themeTint="BF"/>
        <w:right w:val="single" w:sz="8" w:space="0" w:color="7ECFDE" w:themeColor="accent1" w:themeTint="BF"/>
        <w:insideH w:val="single" w:sz="8" w:space="0" w:color="7ECFDE" w:themeColor="accent1" w:themeTint="BF"/>
      </w:tblBorders>
    </w:tblPr>
    <w:tblStylePr w:type="firstRow">
      <w:pPr>
        <w:spacing w:before="0" w:after="0" w:line="240" w:lineRule="auto"/>
      </w:pPr>
      <w:rPr>
        <w:b/>
        <w:bCs/>
        <w:color w:val="FFFFFF" w:themeColor="background1"/>
      </w:rPr>
      <w:tblPr/>
      <w:tcPr>
        <w:tcBorders>
          <w:top w:val="single" w:sz="8" w:space="0" w:color="7ECFDE" w:themeColor="accent1" w:themeTint="BF"/>
          <w:left w:val="single" w:sz="8" w:space="0" w:color="7ECFDE" w:themeColor="accent1" w:themeTint="BF"/>
          <w:bottom w:val="single" w:sz="8" w:space="0" w:color="7ECFDE" w:themeColor="accent1" w:themeTint="BF"/>
          <w:right w:val="single" w:sz="8" w:space="0" w:color="7ECFDE" w:themeColor="accent1" w:themeTint="BF"/>
          <w:insideH w:val="nil"/>
          <w:insideV w:val="nil"/>
        </w:tcBorders>
        <w:shd w:val="clear" w:color="auto" w:fill="54C0D3" w:themeFill="accent1"/>
      </w:tcPr>
    </w:tblStylePr>
    <w:tblStylePr w:type="lastRow">
      <w:pPr>
        <w:spacing w:before="0" w:after="0" w:line="240" w:lineRule="auto"/>
      </w:pPr>
      <w:rPr>
        <w:b/>
        <w:bCs/>
      </w:rPr>
      <w:tblPr/>
      <w:tcPr>
        <w:tcBorders>
          <w:top w:val="double" w:sz="6" w:space="0" w:color="7ECFDE" w:themeColor="accent1" w:themeTint="BF"/>
          <w:left w:val="single" w:sz="8" w:space="0" w:color="7ECFDE" w:themeColor="accent1" w:themeTint="BF"/>
          <w:bottom w:val="single" w:sz="8" w:space="0" w:color="7ECFDE" w:themeColor="accent1" w:themeTint="BF"/>
          <w:right w:val="single" w:sz="8" w:space="0" w:color="7ECF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4EFF4" w:themeFill="accent1" w:themeFillTint="3F"/>
      </w:tcPr>
    </w:tblStylePr>
    <w:tblStylePr w:type="band1Horz">
      <w:tblPr/>
      <w:tcPr>
        <w:tcBorders>
          <w:insideH w:val="nil"/>
          <w:insideV w:val="nil"/>
        </w:tcBorders>
        <w:shd w:val="clear" w:color="auto" w:fill="D4EFF4"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semiHidden/>
    <w:unhideWhenUsed/>
    <w:rsid w:val="00D63D70"/>
    <w:rPr>
      <w:color w:val="605E5C"/>
      <w:shd w:val="clear" w:color="auto" w:fill="E1DFDD"/>
    </w:rPr>
  </w:style>
  <w:style w:type="table" w:styleId="TableGridLight">
    <w:name w:val="Grid Table Light"/>
    <w:basedOn w:val="TableNormal"/>
    <w:uiPriority w:val="40"/>
    <w:rsid w:val="00B170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C1DF9"/>
    <w:rPr>
      <w:rFonts w:asciiTheme="majorHAnsi" w:eastAsiaTheme="majorEastAsia" w:hAnsiTheme="majorHAnsi" w:cstheme="majorBidi"/>
      <w:color w:val="2D9BAF" w:themeColor="accent1" w:themeShade="BF"/>
      <w:sz w:val="32"/>
      <w:szCs w:val="32"/>
    </w:rPr>
  </w:style>
  <w:style w:type="character" w:customStyle="1" w:styleId="Heading2Char">
    <w:name w:val="Heading 2 Char"/>
    <w:basedOn w:val="DefaultParagraphFont"/>
    <w:link w:val="Heading2"/>
    <w:uiPriority w:val="9"/>
    <w:rsid w:val="006C1DF9"/>
    <w:rPr>
      <w:rFonts w:asciiTheme="majorHAnsi" w:eastAsiaTheme="majorEastAsia" w:hAnsiTheme="majorHAnsi" w:cstheme="majorBidi"/>
      <w:color w:val="2D9BAF" w:themeColor="accent1" w:themeShade="BF"/>
      <w:sz w:val="26"/>
      <w:szCs w:val="26"/>
    </w:rPr>
  </w:style>
  <w:style w:type="character" w:customStyle="1" w:styleId="Heading3Char">
    <w:name w:val="Heading 3 Char"/>
    <w:basedOn w:val="DefaultParagraphFont"/>
    <w:link w:val="Heading3"/>
    <w:uiPriority w:val="9"/>
    <w:rsid w:val="006C1DF9"/>
    <w:rPr>
      <w:rFonts w:asciiTheme="majorHAnsi" w:eastAsiaTheme="majorEastAsia" w:hAnsiTheme="majorHAnsi" w:cstheme="majorBidi"/>
      <w:color w:val="1E6774"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1674793800">
      <w:bodyDiv w:val="1"/>
      <w:marLeft w:val="0"/>
      <w:marRight w:val="0"/>
      <w:marTop w:val="0"/>
      <w:marBottom w:val="0"/>
      <w:divBdr>
        <w:top w:val="none" w:sz="0" w:space="0" w:color="auto"/>
        <w:left w:val="none" w:sz="0" w:space="0" w:color="auto"/>
        <w:bottom w:val="none" w:sz="0" w:space="0" w:color="auto"/>
        <w:right w:val="none" w:sz="0" w:space="0" w:color="auto"/>
      </w:divBdr>
    </w:div>
    <w:div w:id="17061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ESA Light Blue">
      <a:dk1>
        <a:sysClr val="windowText" lastClr="000000"/>
      </a:dk1>
      <a:lt1>
        <a:sysClr val="window" lastClr="FFFFFF"/>
      </a:lt1>
      <a:dk2>
        <a:srgbClr val="44546A"/>
      </a:dk2>
      <a:lt2>
        <a:srgbClr val="E7E6E6"/>
      </a:lt2>
      <a:accent1>
        <a:srgbClr val="54C0D3"/>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2D3AA662DA3418364AC9EF0E58888" ma:contentTypeVersion="8" ma:contentTypeDescription="Create a new document." ma:contentTypeScope="" ma:versionID="37409c2152878084e73bcd22b4e4fd46">
  <xsd:schema xmlns:xsd="http://www.w3.org/2001/XMLSchema" xmlns:xs="http://www.w3.org/2001/XMLSchema" xmlns:p="http://schemas.microsoft.com/office/2006/metadata/properties" xmlns:ns2="481105c7-d23f-4caf-8a95-a6957e15a1a7" xmlns:ns3="666d4c4e-02f2-42de-86e3-a8fb421373e7" targetNamespace="http://schemas.microsoft.com/office/2006/metadata/properties" ma:root="true" ma:fieldsID="1b4f9e10b8e3fc4d6699e08819c59c50" ns2:_="" ns3:_="">
    <xsd:import namespace="481105c7-d23f-4caf-8a95-a6957e15a1a7"/>
    <xsd:import namespace="666d4c4e-02f2-42de-86e3-a8fb42137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05c7-d23f-4caf-8a95-a6957e15a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d4c4e-02f2-42de-86e3-a8fb421373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0AA4-1BD2-447C-BA7A-43DCE16E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05c7-d23f-4caf-8a95-a6957e15a1a7"/>
    <ds:schemaRef ds:uri="666d4c4e-02f2-42de-86e3-a8fb42137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3.xml><?xml version="1.0" encoding="utf-8"?>
<ds:datastoreItem xmlns:ds="http://schemas.openxmlformats.org/officeDocument/2006/customXml" ds:itemID="{37107FAD-4374-4456-93FD-DD6E8CA414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16BCA0-822B-4CB0-AF7B-0B7B1511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10</cp:revision>
  <cp:lastPrinted>2022-04-22T06:45:00Z</cp:lastPrinted>
  <dcterms:created xsi:type="dcterms:W3CDTF">2022-06-17T01:32:00Z</dcterms:created>
  <dcterms:modified xsi:type="dcterms:W3CDTF">2022-06-24T04:16:00Z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0x0101004932D3AA662DA3418364AC9EF0E58888</vt:lpwstr>
  </property>
  <property fmtid="{D5CDD505-2E9C-101B-9397-08002B2CF9AE}" pid="3" name="MSIP_Label_79d889eb-932f-4752-8739-64d25806ef64_Enabled">
    <vt:lpwstr>true</vt:lpwstr>
  </property>
  <property fmtid="{D5CDD505-2E9C-101B-9397-08002B2CF9AE}" pid="4" name="MSIP_Label_79d889eb-932f-4752-8739-64d25806ef64_SetDate">
    <vt:lpwstr>2022-04-20T22:51:56Z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7b10bde4-7f94-45c3-adc6-c82777f9110e</vt:lpwstr>
  </property>
  <property fmtid="{D5CDD505-2E9C-101B-9397-08002B2CF9AE}" pid="9" name="MSIP_Label_79d889eb-932f-4752-8739-64d25806ef64_ContentBits">
    <vt:lpwstr>0</vt:lpwstr>
  </property>
</Properties>
</file>