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52D" w14:textId="5DBCC545" w:rsidR="00AB1E9A" w:rsidRPr="00A57E5E" w:rsidRDefault="104FA993" w:rsidP="00515EF8">
      <w:pPr>
        <w:pStyle w:val="Heading1"/>
        <w:spacing w:line="48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Non-</w:t>
      </w:r>
      <w:r w:rsidR="68162FD1"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G</w:t>
      </w:r>
      <w:r w:rsidR="0581C774"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 xml:space="preserve">overnment Reform Support </w:t>
      </w:r>
      <w:r w:rsidR="022299EB"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Fund</w:t>
      </w:r>
    </w:p>
    <w:p w14:paraId="4FC00595" w14:textId="69A3B4B8" w:rsidR="00AB1E9A" w:rsidRPr="00A57E5E" w:rsidRDefault="75CF7AE5" w:rsidP="00515EF8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20</w:t>
      </w:r>
      <w:r w:rsidR="4F2CF891"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2</w:t>
      </w:r>
      <w:r w:rsidR="022299EB"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2 Workplan</w:t>
      </w:r>
      <w:r w:rsidR="2D83A822"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 xml:space="preserve"> Addendum</w:t>
      </w:r>
    </w:p>
    <w:p w14:paraId="4858D939" w14:textId="706AE2DE" w:rsidR="006459A2" w:rsidRPr="00A57E5E" w:rsidRDefault="2D83A822" w:rsidP="00515EF8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Flood Support</w:t>
      </w:r>
    </w:p>
    <w:p w14:paraId="07D89256" w14:textId="09755934" w:rsidR="00AB1E9A" w:rsidRPr="00A57E5E" w:rsidRDefault="5F4FB82B" w:rsidP="00A57E5E">
      <w:pPr>
        <w:pStyle w:val="Heading1"/>
        <w:jc w:val="center"/>
        <w:rPr>
          <w:rFonts w:asciiTheme="minorHAnsi" w:hAnsiTheme="minorHAnsi" w:cstheme="minorHAnsi"/>
          <w:color w:val="0D0D0D" w:themeColor="text1" w:themeTint="F2"/>
          <w:u w:val="single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Independent Schools Queensland</w:t>
      </w:r>
      <w:r w:rsidR="00AB1E9A" w:rsidRPr="00A57E5E">
        <w:rPr>
          <w:rFonts w:asciiTheme="minorHAnsi" w:hAnsiTheme="minorHAnsi" w:cstheme="minorHAnsi"/>
          <w:color w:val="0D0D0D" w:themeColor="text1" w:themeTint="F2"/>
          <w:u w:val="single"/>
        </w:rPr>
        <w:br w:type="page"/>
      </w:r>
    </w:p>
    <w:p w14:paraId="0D8BEABD" w14:textId="0589DB99" w:rsidR="005034CE" w:rsidRPr="00A57E5E" w:rsidRDefault="005034CE" w:rsidP="16300606">
      <w:pPr>
        <w:rPr>
          <w:rFonts w:cstheme="minorHAnsi"/>
          <w:color w:val="0D0D0D" w:themeColor="text1" w:themeTint="F2"/>
        </w:rPr>
        <w:sectPr w:rsidR="005034CE" w:rsidRPr="00A57E5E" w:rsidSect="001A6A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134" w:left="1418" w:header="709" w:footer="709" w:gutter="0"/>
          <w:pgNumType w:start="1"/>
          <w:cols w:space="708"/>
          <w:vAlign w:val="center"/>
          <w:titlePg/>
          <w:docGrid w:linePitch="360"/>
        </w:sectPr>
      </w:pPr>
    </w:p>
    <w:p w14:paraId="4BB91DF1" w14:textId="76C47617" w:rsidR="00AB1E9A" w:rsidRPr="00A57E5E" w:rsidRDefault="00AB1E9A" w:rsidP="00A57E5E">
      <w:pPr>
        <w:pStyle w:val="Heading2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lastRenderedPageBreak/>
        <w:t>Non–Government Reform Support Fund</w:t>
      </w:r>
    </w:p>
    <w:p w14:paraId="17BE72C1" w14:textId="7A28B851" w:rsidR="00AB1E9A" w:rsidRPr="00A57E5E" w:rsidRDefault="482654D9" w:rsidP="00A57E5E">
      <w:pPr>
        <w:pStyle w:val="Heading2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Independent Schools Queensland</w:t>
      </w:r>
      <w:r w:rsidR="104FA993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581C774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– </w:t>
      </w:r>
      <w:r w:rsidR="2D83A822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Addendum</w:t>
      </w:r>
      <w:r w:rsidR="411FAAEA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-</w:t>
      </w:r>
      <w:r w:rsidR="2D83A822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411FAAEA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Flood Support Funding </w:t>
      </w:r>
      <w:r w:rsidR="4F2CF891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202</w:t>
      </w:r>
      <w:r w:rsidR="022299EB" w:rsidRPr="00A57E5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2</w:t>
      </w:r>
    </w:p>
    <w:p w14:paraId="2D6CAF15" w14:textId="77777777" w:rsidR="00A57E5E" w:rsidRDefault="00A57E5E" w:rsidP="00AB1E9A">
      <w:pPr>
        <w:rPr>
          <w:rFonts w:cstheme="minorHAnsi"/>
          <w:b/>
          <w:color w:val="0D0D0D" w:themeColor="text1" w:themeTint="F2"/>
          <w:u w:val="single"/>
        </w:rPr>
      </w:pPr>
    </w:p>
    <w:p w14:paraId="10AA4D92" w14:textId="5251F68F" w:rsidR="00AB1E9A" w:rsidRPr="00A57E5E" w:rsidRDefault="00AB1E9A" w:rsidP="00A57E5E">
      <w:pPr>
        <w:pStyle w:val="Heading3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A57E5E">
        <w:rPr>
          <w:rFonts w:asciiTheme="minorHAnsi" w:hAnsiTheme="minorHAnsi" w:cstheme="minorHAnsi"/>
          <w:b/>
          <w:bCs/>
          <w:color w:val="0D0D0D" w:themeColor="text1" w:themeTint="F2"/>
        </w:rPr>
        <w:t xml:space="preserve">Summary of </w:t>
      </w:r>
      <w:r w:rsidR="00400DE1" w:rsidRPr="00A57E5E">
        <w:rPr>
          <w:rFonts w:asciiTheme="minorHAnsi" w:hAnsiTheme="minorHAnsi" w:cstheme="minorHAnsi"/>
          <w:b/>
          <w:bCs/>
          <w:color w:val="0D0D0D" w:themeColor="text1" w:themeTint="F2"/>
        </w:rPr>
        <w:t xml:space="preserve">proposed activities to be funded by Flood Support Funding </w:t>
      </w:r>
    </w:p>
    <w:p w14:paraId="687D2AE9" w14:textId="1BFBA1D7" w:rsidR="009D0595" w:rsidRPr="00A57E5E" w:rsidRDefault="446669AB" w:rsidP="16300606">
      <w:pPr>
        <w:spacing w:before="120" w:after="120"/>
        <w:rPr>
          <w:rFonts w:cstheme="minorHAnsi"/>
          <w:color w:val="0D0D0D" w:themeColor="text1" w:themeTint="F2"/>
        </w:rPr>
      </w:pPr>
      <w:r w:rsidRPr="00A57E5E">
        <w:rPr>
          <w:rFonts w:cstheme="minorHAnsi"/>
          <w:color w:val="0D0D0D" w:themeColor="text1" w:themeTint="F2"/>
        </w:rPr>
        <w:t xml:space="preserve">The March flood event impacted 224 independent schools or campuses across 19 of the 22 Local Government Authorities </w:t>
      </w:r>
      <w:r w:rsidR="42B539B5" w:rsidRPr="00A57E5E">
        <w:rPr>
          <w:rFonts w:cstheme="minorHAnsi"/>
          <w:color w:val="0D0D0D" w:themeColor="text1" w:themeTint="F2"/>
        </w:rPr>
        <w:t xml:space="preserve">in Queensland </w:t>
      </w:r>
      <w:r w:rsidRPr="00A57E5E">
        <w:rPr>
          <w:rFonts w:cstheme="minorHAnsi"/>
          <w:color w:val="0D0D0D" w:themeColor="text1" w:themeTint="F2"/>
        </w:rPr>
        <w:t>affected.  </w:t>
      </w:r>
    </w:p>
    <w:p w14:paraId="5BB6EAC2" w14:textId="12A4B415" w:rsidR="009D0595" w:rsidRPr="00A57E5E" w:rsidRDefault="42B539B5" w:rsidP="009A14D0">
      <w:pPr>
        <w:spacing w:before="120" w:after="120"/>
        <w:rPr>
          <w:rFonts w:cstheme="minorHAnsi"/>
          <w:color w:val="0D0D0D" w:themeColor="text1" w:themeTint="F2"/>
        </w:rPr>
      </w:pPr>
      <w:r w:rsidRPr="00A57E5E">
        <w:rPr>
          <w:rFonts w:cstheme="minorHAnsi"/>
          <w:color w:val="0D0D0D" w:themeColor="text1" w:themeTint="F2"/>
        </w:rPr>
        <w:t xml:space="preserve">Independent Schools Queensland surveyed members to understand the severity of the structural damage </w:t>
      </w:r>
      <w:r w:rsidR="2D087A51" w:rsidRPr="00A57E5E">
        <w:rPr>
          <w:rFonts w:cstheme="minorHAnsi"/>
          <w:color w:val="0D0D0D" w:themeColor="text1" w:themeTint="F2"/>
        </w:rPr>
        <w:t xml:space="preserve">and loss of resources </w:t>
      </w:r>
      <w:r w:rsidRPr="00A57E5E">
        <w:rPr>
          <w:rFonts w:cstheme="minorHAnsi"/>
          <w:color w:val="0D0D0D" w:themeColor="text1" w:themeTint="F2"/>
        </w:rPr>
        <w:t>experienced by schools. This information</w:t>
      </w:r>
      <w:r w:rsidR="243D96EC" w:rsidRPr="00A57E5E">
        <w:rPr>
          <w:rFonts w:cstheme="minorHAnsi"/>
          <w:color w:val="0D0D0D" w:themeColor="text1" w:themeTint="F2"/>
        </w:rPr>
        <w:t xml:space="preserve"> helped inform ISQ </w:t>
      </w:r>
      <w:r w:rsidR="7755D55B" w:rsidRPr="00A57E5E">
        <w:rPr>
          <w:rFonts w:cstheme="minorHAnsi"/>
          <w:color w:val="0D0D0D" w:themeColor="text1" w:themeTint="F2"/>
        </w:rPr>
        <w:t>about the areas of most need and educational supports that should be provided with this funding.</w:t>
      </w:r>
      <w:r w:rsidRPr="00A57E5E">
        <w:rPr>
          <w:rFonts w:cstheme="minorHAnsi"/>
          <w:color w:val="0D0D0D" w:themeColor="text1" w:themeTint="F2"/>
        </w:rPr>
        <w:t>  </w:t>
      </w:r>
    </w:p>
    <w:p w14:paraId="1E0FC680" w14:textId="6BE291B1" w:rsidR="00AB1E9A" w:rsidRPr="00A57E5E" w:rsidRDefault="00AB1E9A" w:rsidP="0D23963C">
      <w:pPr>
        <w:spacing w:before="120" w:after="120" w:line="240" w:lineRule="auto"/>
        <w:rPr>
          <w:rFonts w:cstheme="minorHAnsi"/>
          <w:b/>
          <w:bCs/>
          <w:color w:val="0D0D0D" w:themeColor="text1" w:themeTint="F2"/>
          <w:u w:val="single"/>
        </w:rPr>
      </w:pPr>
      <w:r w:rsidRPr="00A57E5E">
        <w:rPr>
          <w:rFonts w:cstheme="minorHAnsi"/>
          <w:b/>
          <w:bCs/>
          <w:color w:val="0D0D0D" w:themeColor="text1" w:themeTint="F2"/>
          <w:u w:val="single"/>
        </w:rPr>
        <w:t>Summary of budget</w:t>
      </w:r>
      <w:r w:rsidR="003C4179" w:rsidRPr="00A57E5E">
        <w:rPr>
          <w:rFonts w:cstheme="minorHAnsi"/>
          <w:b/>
          <w:bCs/>
          <w:color w:val="0D0D0D" w:themeColor="text1" w:themeTint="F2"/>
          <w:u w:val="single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2"/>
        <w:gridCol w:w="3525"/>
        <w:gridCol w:w="1275"/>
        <w:gridCol w:w="1254"/>
        <w:gridCol w:w="1335"/>
      </w:tblGrid>
      <w:tr w:rsidR="00A57E5E" w:rsidRPr="00A57E5E" w14:paraId="02E740F1" w14:textId="77777777" w:rsidTr="0D23963C">
        <w:tc>
          <w:tcPr>
            <w:tcW w:w="1812" w:type="dxa"/>
          </w:tcPr>
          <w:p w14:paraId="74C4A1EB" w14:textId="77777777" w:rsidR="4CD1DC2D" w:rsidRPr="00A57E5E" w:rsidRDefault="4CD1DC2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Project</w:t>
            </w:r>
          </w:p>
          <w:p w14:paraId="75A1449F" w14:textId="06417FA5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25" w:type="dxa"/>
          </w:tcPr>
          <w:p w14:paraId="0EF22338" w14:textId="77777777" w:rsidR="4CD1DC2D" w:rsidRPr="00A57E5E" w:rsidRDefault="4CD1DC2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Activities</w:t>
            </w:r>
          </w:p>
          <w:p w14:paraId="51C2FC73" w14:textId="1B7151A5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618268" w14:textId="77777777" w:rsidR="4CD1DC2D" w:rsidRPr="00A57E5E" w:rsidRDefault="4CD1DC2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Reform support funding</w:t>
            </w:r>
          </w:p>
          <w:p w14:paraId="19A8BB90" w14:textId="10F7CD21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42740AA" w14:textId="7053689C" w:rsidR="4CD1DC2D" w:rsidRPr="00A57E5E" w:rsidRDefault="4CD1DC2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Funding from other sources</w:t>
            </w:r>
          </w:p>
          <w:p w14:paraId="2DA622BA" w14:textId="6DC5251C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6BE69F6" w14:textId="21D14361" w:rsidR="4CD1DC2D" w:rsidRPr="00A57E5E" w:rsidRDefault="4CD1DC2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 xml:space="preserve">Total </w:t>
            </w:r>
            <w:r w:rsidR="47C654EB" w:rsidRPr="00A57E5E">
              <w:rPr>
                <w:rFonts w:cstheme="minorHAnsi"/>
                <w:b/>
                <w:bCs/>
                <w:color w:val="0D0D0D" w:themeColor="text1" w:themeTint="F2"/>
              </w:rPr>
              <w:t xml:space="preserve">project </w:t>
            </w: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funding</w:t>
            </w:r>
          </w:p>
          <w:p w14:paraId="63D540AF" w14:textId="296BAE32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A57E5E" w:rsidRPr="00A57E5E" w14:paraId="51CDF4AA" w14:textId="77777777" w:rsidTr="0D23963C">
        <w:tc>
          <w:tcPr>
            <w:tcW w:w="1812" w:type="dxa"/>
          </w:tcPr>
          <w:p w14:paraId="30018AEB" w14:textId="469132B5" w:rsidR="6E08B016" w:rsidRPr="00A57E5E" w:rsidRDefault="6E08B016" w:rsidP="0D23963C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Targeted support to non-government schools affected by flood</w:t>
            </w:r>
          </w:p>
          <w:p w14:paraId="3822A7ED" w14:textId="1A2B2CEB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25" w:type="dxa"/>
          </w:tcPr>
          <w:p w14:paraId="1900C500" w14:textId="795E73CE" w:rsidR="37AE87F9" w:rsidRPr="00A57E5E" w:rsidRDefault="37AE87F9" w:rsidP="0D23963C">
            <w:p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NGRSF Funding S</w:t>
            </w:r>
            <w:r w:rsidR="6F05D36C" w:rsidRPr="00A57E5E">
              <w:rPr>
                <w:rFonts w:cstheme="minorHAnsi"/>
                <w:color w:val="0D0D0D" w:themeColor="text1" w:themeTint="F2"/>
              </w:rPr>
              <w:t>upport</w:t>
            </w:r>
          </w:p>
          <w:p w14:paraId="099D92A5" w14:textId="4584F2A3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AED86" w14:textId="5D494033" w:rsidR="482654D9" w:rsidRPr="00A57E5E" w:rsidRDefault="482654D9" w:rsidP="0D23963C">
            <w:p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$1,13</w:t>
            </w:r>
            <w:r w:rsidR="5D0E7A43" w:rsidRPr="00A57E5E">
              <w:rPr>
                <w:rFonts w:cstheme="minorHAnsi"/>
                <w:color w:val="0D0D0D" w:themeColor="text1" w:themeTint="F2"/>
              </w:rPr>
              <w:t>0,604</w:t>
            </w:r>
          </w:p>
          <w:p w14:paraId="0512806A" w14:textId="506E1752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0E3B3B9" w14:textId="396D3C76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46D1F9D" w14:textId="3A258F41" w:rsidR="5D0E7A43" w:rsidRPr="00A57E5E" w:rsidRDefault="5D0E7A43" w:rsidP="0D23963C">
            <w:p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$1,130,604</w:t>
            </w:r>
          </w:p>
          <w:p w14:paraId="3189AAC9" w14:textId="0E5508AF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A57E5E" w:rsidRPr="00A57E5E" w14:paraId="6BD7B172" w14:textId="77777777" w:rsidTr="0D23963C">
        <w:tc>
          <w:tcPr>
            <w:tcW w:w="1812" w:type="dxa"/>
          </w:tcPr>
          <w:p w14:paraId="61B13A01" w14:textId="396D3C76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25" w:type="dxa"/>
          </w:tcPr>
          <w:p w14:paraId="1E2ED6DE" w14:textId="7BDC10E3" w:rsidR="4CD1DC2D" w:rsidRPr="00A57E5E" w:rsidRDefault="4CD1DC2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Total</w:t>
            </w:r>
            <w:r w:rsidR="47C654EB" w:rsidRPr="00A57E5E">
              <w:rPr>
                <w:rFonts w:cstheme="minorHAnsi"/>
                <w:b/>
                <w:bCs/>
                <w:color w:val="0D0D0D" w:themeColor="text1" w:themeTint="F2"/>
              </w:rPr>
              <w:t xml:space="preserve"> funding</w:t>
            </w:r>
          </w:p>
          <w:p w14:paraId="26E2ACEE" w14:textId="55719C31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AD5422" w14:textId="7CB0DF0F" w:rsidR="0D23963C" w:rsidRPr="00A57E5E" w:rsidRDefault="007D083D" w:rsidP="0D23963C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$1,130,604</w:t>
            </w:r>
          </w:p>
        </w:tc>
        <w:tc>
          <w:tcPr>
            <w:tcW w:w="1254" w:type="dxa"/>
          </w:tcPr>
          <w:p w14:paraId="628E0027" w14:textId="396D3C76" w:rsidR="0D23963C" w:rsidRPr="00A57E5E" w:rsidRDefault="0D23963C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598EC62" w14:textId="32B98695" w:rsidR="0D23963C" w:rsidRPr="00A57E5E" w:rsidRDefault="007D083D" w:rsidP="0D23963C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$1,130,604</w:t>
            </w:r>
          </w:p>
        </w:tc>
      </w:tr>
    </w:tbl>
    <w:p w14:paraId="7CED8F4E" w14:textId="061983E4" w:rsidR="0D23963C" w:rsidRPr="00A57E5E" w:rsidRDefault="0D23963C" w:rsidP="0D23963C">
      <w:pPr>
        <w:rPr>
          <w:rFonts w:cstheme="minorHAnsi"/>
          <w:color w:val="0D0D0D" w:themeColor="text1" w:themeTint="F2"/>
          <w:sz w:val="20"/>
          <w:szCs w:val="20"/>
        </w:rPr>
        <w:sectPr w:rsidR="0D23963C" w:rsidRPr="00A57E5E" w:rsidSect="009310E3">
          <w:headerReference w:type="first" r:id="rId16"/>
          <w:footerReference w:type="first" r:id="rId17"/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</w:p>
    <w:p w14:paraId="160F8426" w14:textId="6C4D5B14" w:rsidR="00B612FC" w:rsidRPr="00B612FC" w:rsidRDefault="00AB1E9A" w:rsidP="00890F5E">
      <w:pPr>
        <w:pStyle w:val="Heading3"/>
        <w:spacing w:line="360" w:lineRule="auto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B612FC">
        <w:rPr>
          <w:rFonts w:asciiTheme="minorHAnsi" w:hAnsiTheme="minorHAnsi" w:cstheme="minorHAnsi"/>
          <w:b/>
          <w:bCs/>
          <w:color w:val="0D0D0D" w:themeColor="text1" w:themeTint="F2"/>
        </w:rPr>
        <w:lastRenderedPageBreak/>
        <w:t>Non-Government Reform Support Fund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68"/>
        <w:gridCol w:w="3797"/>
        <w:gridCol w:w="2127"/>
        <w:gridCol w:w="3685"/>
        <w:gridCol w:w="3402"/>
      </w:tblGrid>
      <w:tr w:rsidR="00A57E5E" w:rsidRPr="00A57E5E" w14:paraId="3E8F6051" w14:textId="77777777" w:rsidTr="16300606">
        <w:trPr>
          <w:tblHeader/>
        </w:trPr>
        <w:tc>
          <w:tcPr>
            <w:tcW w:w="1868" w:type="dxa"/>
          </w:tcPr>
          <w:p w14:paraId="60B1D1AF" w14:textId="77777777" w:rsidR="005B181D" w:rsidRPr="00A57E5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color w:val="0D0D0D" w:themeColor="text1" w:themeTint="F2"/>
              </w:rPr>
              <w:t>Project title</w:t>
            </w:r>
          </w:p>
        </w:tc>
        <w:tc>
          <w:tcPr>
            <w:tcW w:w="3797" w:type="dxa"/>
          </w:tcPr>
          <w:p w14:paraId="20C61698" w14:textId="77777777" w:rsidR="005B181D" w:rsidRPr="00A57E5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color w:val="0D0D0D" w:themeColor="text1" w:themeTint="F2"/>
              </w:rPr>
              <w:t>Project description and activities</w:t>
            </w:r>
          </w:p>
        </w:tc>
        <w:tc>
          <w:tcPr>
            <w:tcW w:w="2127" w:type="dxa"/>
          </w:tcPr>
          <w:p w14:paraId="221991BD" w14:textId="6B248271" w:rsidR="005B181D" w:rsidRPr="00A57E5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color w:val="0D0D0D" w:themeColor="text1" w:themeTint="F2"/>
              </w:rPr>
              <w:t>Indicative budget</w:t>
            </w:r>
          </w:p>
        </w:tc>
        <w:tc>
          <w:tcPr>
            <w:tcW w:w="3685" w:type="dxa"/>
          </w:tcPr>
          <w:p w14:paraId="685E5075" w14:textId="72AD2368" w:rsidR="005B181D" w:rsidRPr="00A57E5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color w:val="0D0D0D" w:themeColor="text1" w:themeTint="F2"/>
              </w:rPr>
              <w:t>Expected outcomes/Overall achievements</w:t>
            </w:r>
          </w:p>
        </w:tc>
        <w:tc>
          <w:tcPr>
            <w:tcW w:w="3402" w:type="dxa"/>
          </w:tcPr>
          <w:p w14:paraId="05418B73" w14:textId="77777777" w:rsidR="005B181D" w:rsidRPr="00A57E5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color w:val="0D0D0D" w:themeColor="text1" w:themeTint="F2"/>
              </w:rPr>
              <w:t>Indicators of success</w:t>
            </w:r>
          </w:p>
        </w:tc>
      </w:tr>
      <w:tr w:rsidR="00952CC4" w:rsidRPr="00A57E5E" w14:paraId="4034D6BD" w14:textId="77777777" w:rsidTr="16300606">
        <w:trPr>
          <w:trHeight w:val="5564"/>
          <w:tblHeader/>
        </w:trPr>
        <w:tc>
          <w:tcPr>
            <w:tcW w:w="1868" w:type="dxa"/>
          </w:tcPr>
          <w:p w14:paraId="781AFFDC" w14:textId="1AF25C1E" w:rsidR="005B181D" w:rsidRPr="00A57E5E" w:rsidRDefault="002D22D4" w:rsidP="00D93ECD">
            <w:pPr>
              <w:rPr>
                <w:rFonts w:cstheme="minorHAnsi"/>
                <w:b/>
                <w:color w:val="0D0D0D" w:themeColor="text1" w:themeTint="F2"/>
              </w:rPr>
            </w:pPr>
            <w:r w:rsidRPr="00A57E5E">
              <w:rPr>
                <w:rFonts w:cstheme="minorHAnsi"/>
                <w:b/>
                <w:bCs/>
                <w:color w:val="0D0D0D" w:themeColor="text1" w:themeTint="F2"/>
              </w:rPr>
              <w:t>Targeted support to non-government schools affected by flood</w:t>
            </w:r>
          </w:p>
        </w:tc>
        <w:tc>
          <w:tcPr>
            <w:tcW w:w="3797" w:type="dxa"/>
          </w:tcPr>
          <w:p w14:paraId="6C448526" w14:textId="77777777" w:rsidR="00D93ECD" w:rsidRPr="00A57E5E" w:rsidRDefault="00D93ECD" w:rsidP="00D93ECD">
            <w:pPr>
              <w:pStyle w:val="ListParagraph"/>
              <w:ind w:left="360"/>
              <w:rPr>
                <w:rFonts w:cstheme="minorHAnsi"/>
                <w:color w:val="0D0D0D" w:themeColor="text1" w:themeTint="F2"/>
              </w:rPr>
            </w:pPr>
          </w:p>
          <w:p w14:paraId="11464095" w14:textId="1EBA4DB9" w:rsidR="009A14D0" w:rsidRPr="00A57E5E" w:rsidRDefault="5D2E91DC" w:rsidP="00D93EC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ISQ consulted with ISQ member schools via a survey</w:t>
            </w:r>
            <w:r w:rsidR="643CCCF0" w:rsidRPr="00A57E5E">
              <w:rPr>
                <w:rFonts w:cstheme="minorHAnsi"/>
                <w:color w:val="0D0D0D" w:themeColor="text1" w:themeTint="F2"/>
              </w:rPr>
              <w:t xml:space="preserve"> to identify need</w:t>
            </w:r>
            <w:r w:rsidR="7DCEA99E" w:rsidRPr="00A57E5E">
              <w:rPr>
                <w:rFonts w:cstheme="minorHAnsi"/>
                <w:color w:val="0D0D0D" w:themeColor="text1" w:themeTint="F2"/>
              </w:rPr>
              <w:t>.</w:t>
            </w:r>
            <w:r w:rsidR="643CCCF0" w:rsidRPr="00A57E5E">
              <w:rPr>
                <w:rFonts w:cstheme="minorHAnsi"/>
                <w:color w:val="0D0D0D" w:themeColor="text1" w:themeTint="F2"/>
              </w:rPr>
              <w:t xml:space="preserve"> </w:t>
            </w:r>
            <w:r w:rsidR="75E65D07" w:rsidRPr="00A57E5E">
              <w:rPr>
                <w:rFonts w:cstheme="minorHAnsi"/>
                <w:color w:val="0D0D0D" w:themeColor="text1" w:themeTint="F2"/>
              </w:rPr>
              <w:t xml:space="preserve">An application process has been sent to all independent schools </w:t>
            </w:r>
            <w:r w:rsidR="1E48E189" w:rsidRPr="00A57E5E">
              <w:rPr>
                <w:rFonts w:cstheme="minorHAnsi"/>
                <w:color w:val="0D0D0D" w:themeColor="text1" w:themeTint="F2"/>
              </w:rPr>
              <w:t>so those eligible are aware of the funding and can apply.</w:t>
            </w:r>
          </w:p>
          <w:p w14:paraId="710F5B00" w14:textId="77777777" w:rsidR="007D083D" w:rsidRPr="00A57E5E" w:rsidRDefault="007D083D" w:rsidP="00D93ECD">
            <w:pPr>
              <w:pStyle w:val="ListParagraph"/>
              <w:ind w:left="360"/>
              <w:rPr>
                <w:rFonts w:cstheme="minorHAnsi"/>
                <w:color w:val="0D0D0D" w:themeColor="text1" w:themeTint="F2"/>
              </w:rPr>
            </w:pPr>
          </w:p>
          <w:p w14:paraId="3ED6A41E" w14:textId="344A178F" w:rsidR="009A14D0" w:rsidRPr="00A57E5E" w:rsidRDefault="41A56EB5" w:rsidP="00D93EC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 xml:space="preserve">NGRSF targeted support will be provided </w:t>
            </w:r>
            <w:r w:rsidR="44F2DC6A" w:rsidRPr="00A57E5E">
              <w:rPr>
                <w:rFonts w:cstheme="minorHAnsi"/>
                <w:color w:val="0D0D0D" w:themeColor="text1" w:themeTint="F2"/>
              </w:rPr>
              <w:t xml:space="preserve">to schools affected by floods for </w:t>
            </w:r>
            <w:r w:rsidR="643CCCF0" w:rsidRPr="00A57E5E">
              <w:rPr>
                <w:rFonts w:cstheme="minorHAnsi"/>
                <w:color w:val="0D0D0D" w:themeColor="text1" w:themeTint="F2"/>
              </w:rPr>
              <w:t xml:space="preserve">books, </w:t>
            </w:r>
            <w:r w:rsidR="44F2DC6A" w:rsidRPr="00A57E5E">
              <w:rPr>
                <w:rFonts w:cstheme="minorHAnsi"/>
                <w:color w:val="0D0D0D" w:themeColor="text1" w:themeTint="F2"/>
              </w:rPr>
              <w:t>resources and other flood related damage that is not covered by insurance.</w:t>
            </w:r>
          </w:p>
        </w:tc>
        <w:tc>
          <w:tcPr>
            <w:tcW w:w="2127" w:type="dxa"/>
          </w:tcPr>
          <w:p w14:paraId="0AB15082" w14:textId="77777777" w:rsidR="00D93ECD" w:rsidRPr="00A57E5E" w:rsidRDefault="00D93ECD" w:rsidP="00D93ECD">
            <w:pPr>
              <w:rPr>
                <w:rFonts w:cstheme="minorHAnsi"/>
                <w:color w:val="0D0D0D" w:themeColor="text1" w:themeTint="F2"/>
              </w:rPr>
            </w:pPr>
          </w:p>
          <w:p w14:paraId="4B62DCDA" w14:textId="1BB505EF" w:rsidR="005B181D" w:rsidRPr="00A57E5E" w:rsidRDefault="4940BB51" w:rsidP="00D93ECD">
            <w:p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Reform support funding: $</w:t>
            </w:r>
            <w:r w:rsidR="701A2586" w:rsidRPr="00A57E5E">
              <w:rPr>
                <w:rFonts w:cstheme="minorHAnsi"/>
                <w:color w:val="0D0D0D" w:themeColor="text1" w:themeTint="F2"/>
              </w:rPr>
              <w:t>1,13</w:t>
            </w:r>
            <w:r w:rsidR="7F74554D" w:rsidRPr="00A57E5E">
              <w:rPr>
                <w:rFonts w:cstheme="minorHAnsi"/>
                <w:color w:val="0D0D0D" w:themeColor="text1" w:themeTint="F2"/>
              </w:rPr>
              <w:t>0,604</w:t>
            </w:r>
          </w:p>
          <w:p w14:paraId="2A4545C6" w14:textId="0A8521D0" w:rsidR="005B181D" w:rsidRPr="00A57E5E" w:rsidRDefault="005B181D" w:rsidP="00D93ECD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3685" w:type="dxa"/>
          </w:tcPr>
          <w:p w14:paraId="3AE2E654" w14:textId="77777777" w:rsidR="00D93ECD" w:rsidRPr="00A57E5E" w:rsidRDefault="00D93ECD" w:rsidP="00D93ECD">
            <w:pPr>
              <w:pStyle w:val="ListParagraph"/>
              <w:ind w:left="360"/>
              <w:rPr>
                <w:rFonts w:cstheme="minorHAnsi"/>
                <w:color w:val="0D0D0D" w:themeColor="text1" w:themeTint="F2"/>
              </w:rPr>
            </w:pPr>
          </w:p>
          <w:p w14:paraId="2EA37F92" w14:textId="4F6A44EC" w:rsidR="005B181D" w:rsidRPr="00A57E5E" w:rsidRDefault="331A3066" w:rsidP="00D93EC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 xml:space="preserve">Schools will be able to replace lost books and resources and recoup some of the </w:t>
            </w:r>
            <w:r w:rsidR="47A1D62A" w:rsidRPr="00A57E5E">
              <w:rPr>
                <w:rFonts w:cstheme="minorHAnsi"/>
                <w:color w:val="0D0D0D" w:themeColor="text1" w:themeTint="F2"/>
              </w:rPr>
              <w:t xml:space="preserve">out-of-pocket expenses relating to the floods </w:t>
            </w:r>
            <w:r w:rsidR="7E880747" w:rsidRPr="00A57E5E">
              <w:rPr>
                <w:rFonts w:cstheme="minorHAnsi"/>
                <w:color w:val="0D0D0D" w:themeColor="text1" w:themeTint="F2"/>
              </w:rPr>
              <w:t>so that normal learning can resume as soon as possible</w:t>
            </w:r>
            <w:r w:rsidR="47A1D62A" w:rsidRPr="00A57E5E">
              <w:rPr>
                <w:rFonts w:cstheme="minorHAnsi"/>
                <w:color w:val="0D0D0D" w:themeColor="text1" w:themeTint="F2"/>
              </w:rPr>
              <w:t>.</w:t>
            </w:r>
          </w:p>
          <w:p w14:paraId="0F7AEA69" w14:textId="4D52602D" w:rsidR="0027708F" w:rsidRPr="00A57E5E" w:rsidRDefault="0027708F" w:rsidP="00D93ECD">
            <w:pPr>
              <w:pStyle w:val="ListParagraph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3402" w:type="dxa"/>
          </w:tcPr>
          <w:p w14:paraId="145715F3" w14:textId="77777777" w:rsidR="00D93ECD" w:rsidRPr="00A57E5E" w:rsidRDefault="00D93ECD" w:rsidP="00D93ECD">
            <w:pPr>
              <w:pStyle w:val="ListParagraph"/>
              <w:ind w:left="360"/>
              <w:rPr>
                <w:rFonts w:cstheme="minorHAnsi"/>
                <w:color w:val="0D0D0D" w:themeColor="text1" w:themeTint="F2"/>
              </w:rPr>
            </w:pPr>
          </w:p>
          <w:p w14:paraId="797F7105" w14:textId="2DAB0121" w:rsidR="005B181D" w:rsidRPr="00A57E5E" w:rsidRDefault="3E545FFE" w:rsidP="00D93EC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90% of participating schools rated ISQ’s support as good or excellent.</w:t>
            </w:r>
          </w:p>
          <w:p w14:paraId="5D5E6BD0" w14:textId="77777777" w:rsidR="007D083D" w:rsidRPr="00A57E5E" w:rsidRDefault="007D083D" w:rsidP="00D93ECD">
            <w:pPr>
              <w:pStyle w:val="ListParagraph"/>
              <w:ind w:left="360"/>
              <w:rPr>
                <w:rFonts w:cstheme="minorHAnsi"/>
                <w:color w:val="0D0D0D" w:themeColor="text1" w:themeTint="F2"/>
              </w:rPr>
            </w:pPr>
          </w:p>
          <w:p w14:paraId="291FB378" w14:textId="5B411D5E" w:rsidR="005B181D" w:rsidRPr="00A57E5E" w:rsidRDefault="3E545FFE" w:rsidP="00D93EC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D0D0D" w:themeColor="text1" w:themeTint="F2"/>
              </w:rPr>
            </w:pPr>
            <w:r w:rsidRPr="00A57E5E">
              <w:rPr>
                <w:rFonts w:cstheme="minorHAnsi"/>
                <w:color w:val="0D0D0D" w:themeColor="text1" w:themeTint="F2"/>
              </w:rPr>
              <w:t>100% of schools receiving payments indicated that the funding ensured minimal impact on educational outcomes</w:t>
            </w:r>
            <w:r w:rsidR="007D083D" w:rsidRPr="00A57E5E">
              <w:rPr>
                <w:rFonts w:cstheme="minorHAnsi"/>
                <w:color w:val="0D0D0D" w:themeColor="text1" w:themeTint="F2"/>
              </w:rPr>
              <w:t>,</w:t>
            </w:r>
            <w:r w:rsidRPr="00A57E5E">
              <w:rPr>
                <w:rFonts w:cstheme="minorHAnsi"/>
                <w:color w:val="0D0D0D" w:themeColor="text1" w:themeTint="F2"/>
              </w:rPr>
              <w:t xml:space="preserve"> a</w:t>
            </w:r>
            <w:r w:rsidR="007D083D" w:rsidRPr="00A57E5E">
              <w:rPr>
                <w:rFonts w:cstheme="minorHAnsi"/>
                <w:color w:val="0D0D0D" w:themeColor="text1" w:themeTint="F2"/>
              </w:rPr>
              <w:t>s</w:t>
            </w:r>
            <w:r w:rsidRPr="00A57E5E">
              <w:rPr>
                <w:rFonts w:cstheme="minorHAnsi"/>
                <w:color w:val="0D0D0D" w:themeColor="text1" w:themeTint="F2"/>
              </w:rPr>
              <w:t xml:space="preserve"> a result of a timely replacement of resources. </w:t>
            </w:r>
          </w:p>
        </w:tc>
      </w:tr>
    </w:tbl>
    <w:p w14:paraId="6045F16A" w14:textId="05599528" w:rsidR="005034CE" w:rsidRPr="00A57E5E" w:rsidRDefault="005034CE" w:rsidP="00032B07">
      <w:pPr>
        <w:jc w:val="right"/>
        <w:rPr>
          <w:rFonts w:cstheme="minorHAnsi"/>
          <w:b/>
          <w:color w:val="0D0D0D" w:themeColor="text1" w:themeTint="F2"/>
        </w:rPr>
      </w:pPr>
    </w:p>
    <w:sectPr w:rsidR="005034CE" w:rsidRPr="00A57E5E" w:rsidSect="00835525">
      <w:footerReference w:type="first" r:id="rId18"/>
      <w:pgSz w:w="16838" w:h="11906" w:orient="landscape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376E" w14:textId="77777777" w:rsidR="00C23A47" w:rsidRDefault="00C23A47" w:rsidP="00AB1E9A">
      <w:pPr>
        <w:spacing w:after="0" w:line="240" w:lineRule="auto"/>
      </w:pPr>
      <w:r>
        <w:separator/>
      </w:r>
    </w:p>
  </w:endnote>
  <w:endnote w:type="continuationSeparator" w:id="0">
    <w:p w14:paraId="0E00AEE6" w14:textId="77777777" w:rsidR="00C23A47" w:rsidRDefault="00C23A47" w:rsidP="00AB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384B" w14:textId="77777777" w:rsidR="0038494E" w:rsidRDefault="0038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990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A8A3F" w14:textId="0C0B20BD" w:rsidR="006E6333" w:rsidRDefault="00032B07" w:rsidP="00032B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8D7" w14:textId="77777777" w:rsidR="006E6333" w:rsidRPr="00454019" w:rsidRDefault="000B0D08" w:rsidP="009310E3">
    <w:pPr>
      <w:pStyle w:val="Footer"/>
      <w:tabs>
        <w:tab w:val="clear" w:pos="4513"/>
        <w:tab w:val="clear" w:pos="9026"/>
        <w:tab w:val="left" w:pos="616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D70" w14:textId="77777777" w:rsidR="006E6333" w:rsidRPr="00454019" w:rsidRDefault="00890F5E" w:rsidP="0045401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78E7" w14:textId="77777777" w:rsidR="006E6333" w:rsidRPr="00454019" w:rsidRDefault="00890F5E" w:rsidP="0045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4738" w14:textId="77777777" w:rsidR="00C23A47" w:rsidRDefault="00C23A47" w:rsidP="00AB1E9A">
      <w:pPr>
        <w:spacing w:after="0" w:line="240" w:lineRule="auto"/>
      </w:pPr>
      <w:r>
        <w:separator/>
      </w:r>
    </w:p>
  </w:footnote>
  <w:footnote w:type="continuationSeparator" w:id="0">
    <w:p w14:paraId="6DB15D04" w14:textId="77777777" w:rsidR="00C23A47" w:rsidRDefault="00C23A47" w:rsidP="00AB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5E5F" w14:textId="77777777" w:rsidR="0038494E" w:rsidRDefault="0038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43BF" w14:textId="77777777" w:rsidR="0038494E" w:rsidRDefault="00384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5490" w14:textId="77777777" w:rsidR="0038494E" w:rsidRDefault="003849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D8B" w14:textId="77777777" w:rsidR="006E6333" w:rsidRDefault="00890F5E">
    <w:pPr>
      <w:pStyle w:val="Header"/>
    </w:pPr>
    <w:sdt>
      <w:sdtPr>
        <w:id w:val="36179282"/>
        <w:docPartObj>
          <w:docPartGallery w:val="Watermarks"/>
          <w:docPartUnique/>
        </w:docPartObj>
      </w:sdtPr>
      <w:sdtEndPr/>
      <w:sdtContent>
        <w:r w:rsidR="00AB1E9A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2336" behindDoc="1" locked="0" layoutInCell="0" allowOverlap="1" wp14:anchorId="1F9F3926" wp14:editId="3A60266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ECFE2" w14:textId="77777777" w:rsidR="00AB1E9A" w:rsidRDefault="00AB1E9A" w:rsidP="00AB1E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shapetype id="_x0000_t202" coordsize="21600,21600" o:spt="202" path="m,l,21600r21600,l21600,xe" w14:anchorId="1F9F3926">
                  <v:stroke joinstyle="miter"/>
                  <v:path gradientshapeok="t" o:connecttype="rect"/>
                </v:shapetype>
                <v:shape id="Text Box 2" style="position:absolute;margin-left:0;margin-top:0;width:412.4pt;height:247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1nBAIAAOoDAAAOAAAAZHJzL2Uyb0RvYy54bWysU8Fu2zAMvQ/YPwi6L47dpsuMOEXWrrt0&#10;W4Fm6FmR5NibJWqUEjt/P0p202K7DfNBsEnq8T3yeXU9mI4dNfoWbMXz2ZwzbSWo1u4r/n17927J&#10;mQ/CKtGB1RU/ac+v12/frHpX6gIa6JRGRiDWl72reBOCK7PMy0Yb4WfgtKVkDWhEoE/cZwpFT+im&#10;y4r5/CrrAZVDkNp7it6OSb5O+HWtZfhW114H1lWcuIV0Yjp38czWK1HuUbimlRMN8Q8sjGgtNT1D&#10;3Yog2AHbv6BMKxE81GEmwWRQ163USQOpyed/qHlshNNJCw3Hu/OY/P+DlV+PD8haVfGCMysMrWir&#10;h8A+wsCKOJ3e+ZKKHh2VhYHCtOWk1Lt7kD89s3DTCLvXG0ToGy0UscsJawonDduTI+AUjeifVEuL&#10;yCN89gp/bOZjp13/BRRdEYcAqdtQo2EI8drywzw+KUwDZMSINns6bzPSlxRcFBfvL5eUkpS7yC+L&#10;q3yRWooyosVtOfThswbD4kvFkeySYMXx3ofI7qVkohrZjTzDsBum+exAnYh0TzaquP91EKhpAAdz&#10;A+Q6Ul0jmCfy6QaT7OfO2+FJoJt6B6L90D3bKBFIflLTVoT6QUCmI3ceRccWaQQjxal4Ijuixrve&#10;bWh8d21SEuc88pyUkKGSwMn80bGvv1PVyy+6/g0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Bm3l1nBAIAAOoDAAAOAAAAAAAA&#10;AAAAAAAAAC4CAABkcnMvZTJvRG9jLnhtbFBLAQItABQABgAIAAAAIQA7LaRo2wAAAAUBAAAPAAAA&#10;AAAAAAAAAAAAAF4EAABkcnMvZG93bnJldi54bWxQSwUGAAAAAAQABADzAAAAZgUAAAAA&#10;">
                  <v:stroke joinstyle="round"/>
                  <o:lock v:ext="edit" shapetype="t"/>
                  <v:textbox style="mso-fit-shape-to-text:t">
                    <w:txbxContent>
                      <w:p w:rsidR="00AB1E9A" w:rsidP="00AB1E9A" w:rsidRDefault="00AB1E9A" w14:paraId="15AECFE2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0A0"/>
    <w:multiLevelType w:val="hybridMultilevel"/>
    <w:tmpl w:val="804AFBC6"/>
    <w:lvl w:ilvl="0" w:tplc="3C2489C6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6AA1"/>
    <w:multiLevelType w:val="hybridMultilevel"/>
    <w:tmpl w:val="CC8820F2"/>
    <w:lvl w:ilvl="0" w:tplc="9E2A4052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563"/>
    <w:multiLevelType w:val="hybridMultilevel"/>
    <w:tmpl w:val="F7E00CF2"/>
    <w:lvl w:ilvl="0" w:tplc="A358EB94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46623"/>
    <w:multiLevelType w:val="hybridMultilevel"/>
    <w:tmpl w:val="5A3AC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126E8"/>
    <w:multiLevelType w:val="hybridMultilevel"/>
    <w:tmpl w:val="AC28EC74"/>
    <w:lvl w:ilvl="0" w:tplc="0BF4D8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BF4D8E8">
      <w:start w:val="1"/>
      <w:numFmt w:val="lowerLetter"/>
      <w:lvlText w:val="%2."/>
      <w:lvlJc w:val="left"/>
      <w:pPr>
        <w:ind w:left="1364" w:hanging="360"/>
      </w:p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C720B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EE00608">
      <w:start w:val="1"/>
      <w:numFmt w:val="lowerLetter"/>
      <w:lvlText w:val="%2."/>
      <w:lvlJc w:val="left"/>
      <w:pPr>
        <w:ind w:left="1440" w:hanging="360"/>
      </w:pPr>
    </w:lvl>
    <w:lvl w:ilvl="2" w:tplc="D3808328" w:tentative="1">
      <w:start w:val="1"/>
      <w:numFmt w:val="lowerRoman"/>
      <w:lvlText w:val="%3."/>
      <w:lvlJc w:val="right"/>
      <w:pPr>
        <w:ind w:left="2160" w:hanging="180"/>
      </w:pPr>
    </w:lvl>
    <w:lvl w:ilvl="3" w:tplc="2EB8C73C" w:tentative="1">
      <w:start w:val="1"/>
      <w:numFmt w:val="decimal"/>
      <w:lvlText w:val="%4."/>
      <w:lvlJc w:val="left"/>
      <w:pPr>
        <w:ind w:left="2880" w:hanging="360"/>
      </w:pPr>
    </w:lvl>
    <w:lvl w:ilvl="4" w:tplc="E3A0F10A" w:tentative="1">
      <w:start w:val="1"/>
      <w:numFmt w:val="lowerLetter"/>
      <w:lvlText w:val="%5."/>
      <w:lvlJc w:val="left"/>
      <w:pPr>
        <w:ind w:left="3600" w:hanging="360"/>
      </w:pPr>
    </w:lvl>
    <w:lvl w:ilvl="5" w:tplc="BB26595E" w:tentative="1">
      <w:start w:val="1"/>
      <w:numFmt w:val="lowerRoman"/>
      <w:lvlText w:val="%6."/>
      <w:lvlJc w:val="right"/>
      <w:pPr>
        <w:ind w:left="4320" w:hanging="180"/>
      </w:pPr>
    </w:lvl>
    <w:lvl w:ilvl="6" w:tplc="C0E49466" w:tentative="1">
      <w:start w:val="1"/>
      <w:numFmt w:val="decimal"/>
      <w:lvlText w:val="%7."/>
      <w:lvlJc w:val="left"/>
      <w:pPr>
        <w:ind w:left="5040" w:hanging="360"/>
      </w:pPr>
    </w:lvl>
    <w:lvl w:ilvl="7" w:tplc="AB6E0EEC" w:tentative="1">
      <w:start w:val="1"/>
      <w:numFmt w:val="lowerLetter"/>
      <w:lvlText w:val="%8."/>
      <w:lvlJc w:val="left"/>
      <w:pPr>
        <w:ind w:left="5760" w:hanging="360"/>
      </w:pPr>
    </w:lvl>
    <w:lvl w:ilvl="8" w:tplc="E25A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4E99"/>
    <w:multiLevelType w:val="hybridMultilevel"/>
    <w:tmpl w:val="02E0A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F7B84"/>
    <w:multiLevelType w:val="hybridMultilevel"/>
    <w:tmpl w:val="8E3AE2D4"/>
    <w:lvl w:ilvl="0" w:tplc="EBA6EA0A">
      <w:start w:val="1"/>
      <w:numFmt w:val="lowerRoman"/>
      <w:lvlText w:val="%1."/>
      <w:lvlJc w:val="righ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50973"/>
    <w:multiLevelType w:val="hybridMultilevel"/>
    <w:tmpl w:val="713EC4D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BF4D8E8">
      <w:start w:val="1"/>
      <w:numFmt w:val="lowerLetter"/>
      <w:lvlText w:val="%2."/>
      <w:lvlJc w:val="left"/>
      <w:pPr>
        <w:ind w:left="1364" w:hanging="360"/>
      </w:p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6D08E7"/>
    <w:multiLevelType w:val="hybridMultilevel"/>
    <w:tmpl w:val="62F8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6E9E"/>
    <w:multiLevelType w:val="hybridMultilevel"/>
    <w:tmpl w:val="4CCA554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55" w:hanging="360"/>
      </w:pPr>
    </w:lvl>
    <w:lvl w:ilvl="2" w:tplc="0C09001B" w:tentative="1">
      <w:start w:val="1"/>
      <w:numFmt w:val="lowerRoman"/>
      <w:lvlText w:val="%3."/>
      <w:lvlJc w:val="right"/>
      <w:pPr>
        <w:ind w:left="2175" w:hanging="180"/>
      </w:pPr>
    </w:lvl>
    <w:lvl w:ilvl="3" w:tplc="0C09000F" w:tentative="1">
      <w:start w:val="1"/>
      <w:numFmt w:val="decimal"/>
      <w:lvlText w:val="%4."/>
      <w:lvlJc w:val="left"/>
      <w:pPr>
        <w:ind w:left="2895" w:hanging="360"/>
      </w:pPr>
    </w:lvl>
    <w:lvl w:ilvl="4" w:tplc="0C090019" w:tentative="1">
      <w:start w:val="1"/>
      <w:numFmt w:val="lowerLetter"/>
      <w:lvlText w:val="%5."/>
      <w:lvlJc w:val="left"/>
      <w:pPr>
        <w:ind w:left="3615" w:hanging="360"/>
      </w:pPr>
    </w:lvl>
    <w:lvl w:ilvl="5" w:tplc="0C09001B" w:tentative="1">
      <w:start w:val="1"/>
      <w:numFmt w:val="lowerRoman"/>
      <w:lvlText w:val="%6."/>
      <w:lvlJc w:val="right"/>
      <w:pPr>
        <w:ind w:left="4335" w:hanging="180"/>
      </w:pPr>
    </w:lvl>
    <w:lvl w:ilvl="6" w:tplc="0C09000F" w:tentative="1">
      <w:start w:val="1"/>
      <w:numFmt w:val="decimal"/>
      <w:lvlText w:val="%7."/>
      <w:lvlJc w:val="left"/>
      <w:pPr>
        <w:ind w:left="5055" w:hanging="360"/>
      </w:pPr>
    </w:lvl>
    <w:lvl w:ilvl="7" w:tplc="0C090019" w:tentative="1">
      <w:start w:val="1"/>
      <w:numFmt w:val="lowerLetter"/>
      <w:lvlText w:val="%8."/>
      <w:lvlJc w:val="left"/>
      <w:pPr>
        <w:ind w:left="5775" w:hanging="360"/>
      </w:pPr>
    </w:lvl>
    <w:lvl w:ilvl="8" w:tplc="0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28A0EDA"/>
    <w:multiLevelType w:val="hybridMultilevel"/>
    <w:tmpl w:val="CB448310"/>
    <w:lvl w:ilvl="0" w:tplc="3934E8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612E8"/>
    <w:multiLevelType w:val="hybridMultilevel"/>
    <w:tmpl w:val="286899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2706B"/>
    <w:multiLevelType w:val="hybridMultilevel"/>
    <w:tmpl w:val="1EBEBD44"/>
    <w:lvl w:ilvl="0" w:tplc="7A629006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A2F56"/>
    <w:multiLevelType w:val="hybridMultilevel"/>
    <w:tmpl w:val="6C02E416"/>
    <w:lvl w:ilvl="0" w:tplc="C8D416F8">
      <w:start w:val="1"/>
      <w:numFmt w:val="lowerRoman"/>
      <w:lvlText w:val="%1)"/>
      <w:lvlJc w:val="right"/>
      <w:pPr>
        <w:ind w:left="720" w:hanging="360"/>
      </w:pPr>
    </w:lvl>
    <w:lvl w:ilvl="1" w:tplc="7DFEDE66">
      <w:start w:val="1"/>
      <w:numFmt w:val="lowerLetter"/>
      <w:lvlText w:val="%2."/>
      <w:lvlJc w:val="left"/>
      <w:pPr>
        <w:ind w:left="1440" w:hanging="360"/>
      </w:pPr>
    </w:lvl>
    <w:lvl w:ilvl="2" w:tplc="6898F1CE">
      <w:start w:val="1"/>
      <w:numFmt w:val="lowerRoman"/>
      <w:lvlText w:val="%3."/>
      <w:lvlJc w:val="right"/>
      <w:pPr>
        <w:ind w:left="2160" w:hanging="180"/>
      </w:pPr>
    </w:lvl>
    <w:lvl w:ilvl="3" w:tplc="2402D986">
      <w:start w:val="1"/>
      <w:numFmt w:val="decimal"/>
      <w:lvlText w:val="%4."/>
      <w:lvlJc w:val="left"/>
      <w:pPr>
        <w:ind w:left="2880" w:hanging="360"/>
      </w:pPr>
    </w:lvl>
    <w:lvl w:ilvl="4" w:tplc="9DBE27EA">
      <w:start w:val="1"/>
      <w:numFmt w:val="lowerLetter"/>
      <w:lvlText w:val="%5."/>
      <w:lvlJc w:val="left"/>
      <w:pPr>
        <w:ind w:left="3600" w:hanging="360"/>
      </w:pPr>
    </w:lvl>
    <w:lvl w:ilvl="5" w:tplc="BEE87C86">
      <w:start w:val="1"/>
      <w:numFmt w:val="lowerRoman"/>
      <w:lvlText w:val="%6."/>
      <w:lvlJc w:val="right"/>
      <w:pPr>
        <w:ind w:left="4320" w:hanging="180"/>
      </w:pPr>
    </w:lvl>
    <w:lvl w:ilvl="6" w:tplc="9CB079A2">
      <w:start w:val="1"/>
      <w:numFmt w:val="decimal"/>
      <w:lvlText w:val="%7."/>
      <w:lvlJc w:val="left"/>
      <w:pPr>
        <w:ind w:left="5040" w:hanging="360"/>
      </w:pPr>
    </w:lvl>
    <w:lvl w:ilvl="7" w:tplc="9AB22286">
      <w:start w:val="1"/>
      <w:numFmt w:val="lowerLetter"/>
      <w:lvlText w:val="%8."/>
      <w:lvlJc w:val="left"/>
      <w:pPr>
        <w:ind w:left="5760" w:hanging="360"/>
      </w:pPr>
    </w:lvl>
    <w:lvl w:ilvl="8" w:tplc="EB967D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15EB9"/>
    <w:multiLevelType w:val="hybridMultilevel"/>
    <w:tmpl w:val="2E0E41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57A1E"/>
    <w:multiLevelType w:val="hybridMultilevel"/>
    <w:tmpl w:val="38A8CF2A"/>
    <w:lvl w:ilvl="0" w:tplc="0C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48C52F5"/>
    <w:multiLevelType w:val="hybridMultilevel"/>
    <w:tmpl w:val="8C38C1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EB5A44"/>
    <w:multiLevelType w:val="hybridMultilevel"/>
    <w:tmpl w:val="D07CBAC2"/>
    <w:lvl w:ilvl="0" w:tplc="A358EB94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104FCE"/>
    <w:multiLevelType w:val="hybridMultilevel"/>
    <w:tmpl w:val="686A29E8"/>
    <w:lvl w:ilvl="0" w:tplc="DDFC95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EBC0D8BE">
      <w:start w:val="1"/>
      <w:numFmt w:val="lowerRoman"/>
      <w:lvlText w:val="%3."/>
      <w:lvlJc w:val="right"/>
      <w:pPr>
        <w:ind w:left="1233" w:hanging="180"/>
      </w:pPr>
    </w:lvl>
    <w:lvl w:ilvl="3" w:tplc="82B60BB4" w:tentative="1">
      <w:start w:val="1"/>
      <w:numFmt w:val="decimal"/>
      <w:lvlText w:val="%4."/>
      <w:lvlJc w:val="left"/>
      <w:pPr>
        <w:ind w:left="1953" w:hanging="360"/>
      </w:pPr>
    </w:lvl>
    <w:lvl w:ilvl="4" w:tplc="5C4A0512" w:tentative="1">
      <w:start w:val="1"/>
      <w:numFmt w:val="lowerLetter"/>
      <w:lvlText w:val="%5."/>
      <w:lvlJc w:val="left"/>
      <w:pPr>
        <w:ind w:left="2673" w:hanging="360"/>
      </w:pPr>
    </w:lvl>
    <w:lvl w:ilvl="5" w:tplc="05B8BB2A" w:tentative="1">
      <w:start w:val="1"/>
      <w:numFmt w:val="lowerRoman"/>
      <w:lvlText w:val="%6."/>
      <w:lvlJc w:val="right"/>
      <w:pPr>
        <w:ind w:left="3393" w:hanging="180"/>
      </w:pPr>
    </w:lvl>
    <w:lvl w:ilvl="6" w:tplc="A9C0BF2C" w:tentative="1">
      <w:start w:val="1"/>
      <w:numFmt w:val="decimal"/>
      <w:lvlText w:val="%7."/>
      <w:lvlJc w:val="left"/>
      <w:pPr>
        <w:ind w:left="4113" w:hanging="360"/>
      </w:pPr>
    </w:lvl>
    <w:lvl w:ilvl="7" w:tplc="894816C2" w:tentative="1">
      <w:start w:val="1"/>
      <w:numFmt w:val="lowerLetter"/>
      <w:lvlText w:val="%8."/>
      <w:lvlJc w:val="left"/>
      <w:pPr>
        <w:ind w:left="4833" w:hanging="360"/>
      </w:pPr>
    </w:lvl>
    <w:lvl w:ilvl="8" w:tplc="6E56700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DC77000"/>
    <w:multiLevelType w:val="hybridMultilevel"/>
    <w:tmpl w:val="39221EF4"/>
    <w:lvl w:ilvl="0" w:tplc="D84C6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A358EB94">
      <w:start w:val="1"/>
      <w:numFmt w:val="lowerLetter"/>
      <w:lvlText w:val="(%2)"/>
      <w:lvlJc w:val="left"/>
      <w:pPr>
        <w:ind w:left="1232" w:hanging="360"/>
      </w:pPr>
      <w:rPr>
        <w:rFonts w:hint="default"/>
        <w:i w:val="0"/>
      </w:rPr>
    </w:lvl>
    <w:lvl w:ilvl="2" w:tplc="3934E8A2">
      <w:start w:val="3"/>
      <w:numFmt w:val="bullet"/>
      <w:lvlText w:val="-"/>
      <w:lvlJc w:val="left"/>
      <w:pPr>
        <w:ind w:left="1952" w:hanging="180"/>
      </w:pPr>
      <w:rPr>
        <w:rFonts w:ascii="Times New Roman" w:eastAsia="Times New Roman" w:hAnsi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 w15:restartNumberingAfterBreak="0">
    <w:nsid w:val="5E581D8F"/>
    <w:multiLevelType w:val="hybridMultilevel"/>
    <w:tmpl w:val="D4A0A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2535C"/>
    <w:multiLevelType w:val="hybridMultilevel"/>
    <w:tmpl w:val="61265940"/>
    <w:lvl w:ilvl="0" w:tplc="A358EB94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3433DA2"/>
    <w:multiLevelType w:val="hybridMultilevel"/>
    <w:tmpl w:val="542EC45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DB6F41"/>
    <w:multiLevelType w:val="hybridMultilevel"/>
    <w:tmpl w:val="C3A075D0"/>
    <w:lvl w:ilvl="0" w:tplc="A358EB94">
      <w:start w:val="1"/>
      <w:numFmt w:val="lowerLetter"/>
      <w:lvlText w:val="(%1)"/>
      <w:lvlJc w:val="left"/>
      <w:pPr>
        <w:ind w:left="1117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74D436B"/>
    <w:multiLevelType w:val="hybridMultilevel"/>
    <w:tmpl w:val="324AB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8756C"/>
    <w:multiLevelType w:val="hybridMultilevel"/>
    <w:tmpl w:val="DE923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73F33"/>
    <w:multiLevelType w:val="hybridMultilevel"/>
    <w:tmpl w:val="D7A0A3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E6A62"/>
    <w:multiLevelType w:val="hybridMultilevel"/>
    <w:tmpl w:val="4F164FEE"/>
    <w:lvl w:ilvl="0" w:tplc="F1D4D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9224F0">
      <w:start w:val="1"/>
      <w:numFmt w:val="lowerLetter"/>
      <w:lvlText w:val="%2."/>
      <w:lvlJc w:val="left"/>
      <w:pPr>
        <w:ind w:left="1440" w:hanging="360"/>
      </w:pPr>
    </w:lvl>
    <w:lvl w:ilvl="2" w:tplc="7242EAEA" w:tentative="1">
      <w:start w:val="1"/>
      <w:numFmt w:val="lowerRoman"/>
      <w:lvlText w:val="%3."/>
      <w:lvlJc w:val="right"/>
      <w:pPr>
        <w:ind w:left="2160" w:hanging="180"/>
      </w:pPr>
    </w:lvl>
    <w:lvl w:ilvl="3" w:tplc="A9D4C2C0" w:tentative="1">
      <w:start w:val="1"/>
      <w:numFmt w:val="decimal"/>
      <w:lvlText w:val="%4."/>
      <w:lvlJc w:val="left"/>
      <w:pPr>
        <w:ind w:left="2880" w:hanging="360"/>
      </w:pPr>
    </w:lvl>
    <w:lvl w:ilvl="4" w:tplc="B4EEA4AE" w:tentative="1">
      <w:start w:val="1"/>
      <w:numFmt w:val="lowerLetter"/>
      <w:lvlText w:val="%5."/>
      <w:lvlJc w:val="left"/>
      <w:pPr>
        <w:ind w:left="3600" w:hanging="360"/>
      </w:pPr>
    </w:lvl>
    <w:lvl w:ilvl="5" w:tplc="34BA0B04" w:tentative="1">
      <w:start w:val="1"/>
      <w:numFmt w:val="lowerRoman"/>
      <w:lvlText w:val="%6."/>
      <w:lvlJc w:val="right"/>
      <w:pPr>
        <w:ind w:left="4320" w:hanging="180"/>
      </w:pPr>
    </w:lvl>
    <w:lvl w:ilvl="6" w:tplc="DCD226F4" w:tentative="1">
      <w:start w:val="1"/>
      <w:numFmt w:val="decimal"/>
      <w:lvlText w:val="%7."/>
      <w:lvlJc w:val="left"/>
      <w:pPr>
        <w:ind w:left="5040" w:hanging="360"/>
      </w:pPr>
    </w:lvl>
    <w:lvl w:ilvl="7" w:tplc="C73E34AC" w:tentative="1">
      <w:start w:val="1"/>
      <w:numFmt w:val="lowerLetter"/>
      <w:lvlText w:val="%8."/>
      <w:lvlJc w:val="left"/>
      <w:pPr>
        <w:ind w:left="5760" w:hanging="360"/>
      </w:pPr>
    </w:lvl>
    <w:lvl w:ilvl="8" w:tplc="26DC1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34424"/>
    <w:multiLevelType w:val="hybridMultilevel"/>
    <w:tmpl w:val="3F3C5D12"/>
    <w:lvl w:ilvl="0" w:tplc="FFFFFFFF">
      <w:start w:val="1"/>
      <w:numFmt w:val="lowerRoman"/>
      <w:lvlText w:val="(%1)"/>
      <w:lvlJc w:val="left"/>
      <w:pPr>
        <w:ind w:left="1080" w:hanging="720"/>
      </w:pPr>
      <w:rPr>
        <w:b w:val="0"/>
        <w:bCs/>
        <w:color w:val="FF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8"/>
  </w:num>
  <w:num w:numId="4">
    <w:abstractNumId w:val="5"/>
  </w:num>
  <w:num w:numId="5">
    <w:abstractNumId w:val="8"/>
  </w:num>
  <w:num w:numId="6">
    <w:abstractNumId w:val="4"/>
  </w:num>
  <w:num w:numId="7">
    <w:abstractNumId w:val="23"/>
  </w:num>
  <w:num w:numId="8">
    <w:abstractNumId w:val="17"/>
  </w:num>
  <w:num w:numId="9">
    <w:abstractNumId w:val="29"/>
  </w:num>
  <w:num w:numId="10">
    <w:abstractNumId w:val="6"/>
  </w:num>
  <w:num w:numId="11">
    <w:abstractNumId w:val="3"/>
  </w:num>
  <w:num w:numId="12">
    <w:abstractNumId w:val="20"/>
  </w:num>
  <w:num w:numId="13">
    <w:abstractNumId w:val="22"/>
  </w:num>
  <w:num w:numId="14">
    <w:abstractNumId w:val="2"/>
  </w:num>
  <w:num w:numId="15">
    <w:abstractNumId w:val="18"/>
  </w:num>
  <w:num w:numId="16">
    <w:abstractNumId w:val="10"/>
  </w:num>
  <w:num w:numId="17">
    <w:abstractNumId w:val="7"/>
  </w:num>
  <w:num w:numId="18">
    <w:abstractNumId w:val="13"/>
  </w:num>
  <w:num w:numId="19">
    <w:abstractNumId w:val="0"/>
  </w:num>
  <w:num w:numId="20">
    <w:abstractNumId w:val="1"/>
  </w:num>
  <w:num w:numId="21">
    <w:abstractNumId w:val="24"/>
  </w:num>
  <w:num w:numId="22">
    <w:abstractNumId w:val="16"/>
  </w:num>
  <w:num w:numId="23">
    <w:abstractNumId w:val="21"/>
  </w:num>
  <w:num w:numId="24">
    <w:abstractNumId w:val="26"/>
  </w:num>
  <w:num w:numId="25">
    <w:abstractNumId w:val="11"/>
  </w:num>
  <w:num w:numId="26">
    <w:abstractNumId w:val="25"/>
  </w:num>
  <w:num w:numId="27">
    <w:abstractNumId w:val="15"/>
  </w:num>
  <w:num w:numId="28">
    <w:abstractNumId w:val="12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9A"/>
    <w:rsid w:val="00032B07"/>
    <w:rsid w:val="00040B1D"/>
    <w:rsid w:val="000419A2"/>
    <w:rsid w:val="00052EA4"/>
    <w:rsid w:val="00054CFC"/>
    <w:rsid w:val="000B0D08"/>
    <w:rsid w:val="000C2A25"/>
    <w:rsid w:val="000D01D9"/>
    <w:rsid w:val="000E6CD1"/>
    <w:rsid w:val="001171C5"/>
    <w:rsid w:val="0012437A"/>
    <w:rsid w:val="00124895"/>
    <w:rsid w:val="00152C0E"/>
    <w:rsid w:val="00175DFF"/>
    <w:rsid w:val="00177B0E"/>
    <w:rsid w:val="00187C62"/>
    <w:rsid w:val="001A6A8A"/>
    <w:rsid w:val="00201EFF"/>
    <w:rsid w:val="002023BD"/>
    <w:rsid w:val="00252FD0"/>
    <w:rsid w:val="0026189C"/>
    <w:rsid w:val="002627F1"/>
    <w:rsid w:val="0026626B"/>
    <w:rsid w:val="00271AF8"/>
    <w:rsid w:val="00275861"/>
    <w:rsid w:val="0027708F"/>
    <w:rsid w:val="002B46A1"/>
    <w:rsid w:val="002C291D"/>
    <w:rsid w:val="002D22D4"/>
    <w:rsid w:val="00301DFE"/>
    <w:rsid w:val="00350EB0"/>
    <w:rsid w:val="00356E6C"/>
    <w:rsid w:val="00383BEA"/>
    <w:rsid w:val="0038494E"/>
    <w:rsid w:val="00393AA6"/>
    <w:rsid w:val="003B717C"/>
    <w:rsid w:val="003C4179"/>
    <w:rsid w:val="003F4E9C"/>
    <w:rsid w:val="00400DE1"/>
    <w:rsid w:val="0040322B"/>
    <w:rsid w:val="00410E7B"/>
    <w:rsid w:val="0041177E"/>
    <w:rsid w:val="00427B6F"/>
    <w:rsid w:val="004B39BC"/>
    <w:rsid w:val="004B755E"/>
    <w:rsid w:val="005034CE"/>
    <w:rsid w:val="00515EF8"/>
    <w:rsid w:val="005228A6"/>
    <w:rsid w:val="00527168"/>
    <w:rsid w:val="00527822"/>
    <w:rsid w:val="005B181D"/>
    <w:rsid w:val="005C797D"/>
    <w:rsid w:val="005D2616"/>
    <w:rsid w:val="0061461B"/>
    <w:rsid w:val="00632129"/>
    <w:rsid w:val="006456FB"/>
    <w:rsid w:val="006459A2"/>
    <w:rsid w:val="006565E4"/>
    <w:rsid w:val="00663FE2"/>
    <w:rsid w:val="00665091"/>
    <w:rsid w:val="006E1685"/>
    <w:rsid w:val="00725247"/>
    <w:rsid w:val="00755CDE"/>
    <w:rsid w:val="00784652"/>
    <w:rsid w:val="00784654"/>
    <w:rsid w:val="00786258"/>
    <w:rsid w:val="007D083D"/>
    <w:rsid w:val="007E0D97"/>
    <w:rsid w:val="007F04D9"/>
    <w:rsid w:val="007F4372"/>
    <w:rsid w:val="007F506A"/>
    <w:rsid w:val="007F72AF"/>
    <w:rsid w:val="00800358"/>
    <w:rsid w:val="0080047F"/>
    <w:rsid w:val="00810F06"/>
    <w:rsid w:val="00835525"/>
    <w:rsid w:val="00842A17"/>
    <w:rsid w:val="0085339B"/>
    <w:rsid w:val="00880279"/>
    <w:rsid w:val="00882156"/>
    <w:rsid w:val="00890F5E"/>
    <w:rsid w:val="008B7B00"/>
    <w:rsid w:val="008D2E06"/>
    <w:rsid w:val="008F209F"/>
    <w:rsid w:val="00952CC4"/>
    <w:rsid w:val="00962D76"/>
    <w:rsid w:val="00993166"/>
    <w:rsid w:val="009A14D0"/>
    <w:rsid w:val="009D0595"/>
    <w:rsid w:val="009E4136"/>
    <w:rsid w:val="00A501B9"/>
    <w:rsid w:val="00A51C25"/>
    <w:rsid w:val="00A57E5E"/>
    <w:rsid w:val="00A60DA5"/>
    <w:rsid w:val="00A8030F"/>
    <w:rsid w:val="00A8413A"/>
    <w:rsid w:val="00AB1E9A"/>
    <w:rsid w:val="00AB309E"/>
    <w:rsid w:val="00AD114D"/>
    <w:rsid w:val="00B612FC"/>
    <w:rsid w:val="00B85E74"/>
    <w:rsid w:val="00B9162F"/>
    <w:rsid w:val="00BD2EA9"/>
    <w:rsid w:val="00BE5C9D"/>
    <w:rsid w:val="00BF687C"/>
    <w:rsid w:val="00C23A47"/>
    <w:rsid w:val="00C334B1"/>
    <w:rsid w:val="00C65105"/>
    <w:rsid w:val="00C763E1"/>
    <w:rsid w:val="00CA093A"/>
    <w:rsid w:val="00D02106"/>
    <w:rsid w:val="00D03554"/>
    <w:rsid w:val="00D12E12"/>
    <w:rsid w:val="00D4485F"/>
    <w:rsid w:val="00D452C3"/>
    <w:rsid w:val="00D6107D"/>
    <w:rsid w:val="00D62314"/>
    <w:rsid w:val="00D93ECD"/>
    <w:rsid w:val="00DB3A00"/>
    <w:rsid w:val="00E430CC"/>
    <w:rsid w:val="00E7272B"/>
    <w:rsid w:val="00E73AEE"/>
    <w:rsid w:val="00EA1A4A"/>
    <w:rsid w:val="00EA3D58"/>
    <w:rsid w:val="00EA7A34"/>
    <w:rsid w:val="00EE11F1"/>
    <w:rsid w:val="00F4437C"/>
    <w:rsid w:val="00F75702"/>
    <w:rsid w:val="00F96B08"/>
    <w:rsid w:val="00F9762C"/>
    <w:rsid w:val="00FB0CA2"/>
    <w:rsid w:val="00FC742A"/>
    <w:rsid w:val="00FD3C9C"/>
    <w:rsid w:val="00FE4710"/>
    <w:rsid w:val="013F94B6"/>
    <w:rsid w:val="022299EB"/>
    <w:rsid w:val="0238D24B"/>
    <w:rsid w:val="03EA7F9B"/>
    <w:rsid w:val="03EDCB09"/>
    <w:rsid w:val="0473DDB6"/>
    <w:rsid w:val="047CB01A"/>
    <w:rsid w:val="0581C774"/>
    <w:rsid w:val="06D75DC6"/>
    <w:rsid w:val="07776D82"/>
    <w:rsid w:val="09BB28B1"/>
    <w:rsid w:val="09F94158"/>
    <w:rsid w:val="0A867301"/>
    <w:rsid w:val="0AF2228A"/>
    <w:rsid w:val="0AFF705D"/>
    <w:rsid w:val="0D23963C"/>
    <w:rsid w:val="0EC0AED6"/>
    <w:rsid w:val="104FA993"/>
    <w:rsid w:val="15A42777"/>
    <w:rsid w:val="16300606"/>
    <w:rsid w:val="16BE8BB2"/>
    <w:rsid w:val="1B4DCAED"/>
    <w:rsid w:val="1D54864D"/>
    <w:rsid w:val="1E48E189"/>
    <w:rsid w:val="1E60D3FC"/>
    <w:rsid w:val="1EA120B1"/>
    <w:rsid w:val="1FA6839F"/>
    <w:rsid w:val="21A3E414"/>
    <w:rsid w:val="22F665B4"/>
    <w:rsid w:val="243D96EC"/>
    <w:rsid w:val="26B303E0"/>
    <w:rsid w:val="2A4F6F31"/>
    <w:rsid w:val="2D087A51"/>
    <w:rsid w:val="2D83A822"/>
    <w:rsid w:val="2DC5C59F"/>
    <w:rsid w:val="2DED2E97"/>
    <w:rsid w:val="31C1F564"/>
    <w:rsid w:val="32B56DC8"/>
    <w:rsid w:val="331A3066"/>
    <w:rsid w:val="34857632"/>
    <w:rsid w:val="350EBA55"/>
    <w:rsid w:val="37AE87F9"/>
    <w:rsid w:val="37E9B8C0"/>
    <w:rsid w:val="3B40509F"/>
    <w:rsid w:val="3C0BE4AE"/>
    <w:rsid w:val="3DCF5EEF"/>
    <w:rsid w:val="3E1EDE3D"/>
    <w:rsid w:val="3E545FFE"/>
    <w:rsid w:val="3EB687A4"/>
    <w:rsid w:val="3F56C93A"/>
    <w:rsid w:val="410317FA"/>
    <w:rsid w:val="411FAAEA"/>
    <w:rsid w:val="41A56EB5"/>
    <w:rsid w:val="42B539B5"/>
    <w:rsid w:val="4310A88C"/>
    <w:rsid w:val="43901431"/>
    <w:rsid w:val="446669AB"/>
    <w:rsid w:val="44F2DC6A"/>
    <w:rsid w:val="46F42FD4"/>
    <w:rsid w:val="46F6BEAD"/>
    <w:rsid w:val="4711824B"/>
    <w:rsid w:val="47A1D62A"/>
    <w:rsid w:val="47C654EB"/>
    <w:rsid w:val="482654D9"/>
    <w:rsid w:val="4865628F"/>
    <w:rsid w:val="4940BB51"/>
    <w:rsid w:val="4B279B39"/>
    <w:rsid w:val="4B3F6AD2"/>
    <w:rsid w:val="4C1C2219"/>
    <w:rsid w:val="4C34A4EB"/>
    <w:rsid w:val="4C59960A"/>
    <w:rsid w:val="4CD1DC2D"/>
    <w:rsid w:val="4DF5666B"/>
    <w:rsid w:val="4F2CF891"/>
    <w:rsid w:val="4FE14DC6"/>
    <w:rsid w:val="5135125C"/>
    <w:rsid w:val="51A74C11"/>
    <w:rsid w:val="54D148D5"/>
    <w:rsid w:val="5629FBD0"/>
    <w:rsid w:val="5714C903"/>
    <w:rsid w:val="57BE8DEF"/>
    <w:rsid w:val="57C3DB8A"/>
    <w:rsid w:val="57E6404B"/>
    <w:rsid w:val="5B7D58A2"/>
    <w:rsid w:val="5D0E7A43"/>
    <w:rsid w:val="5D2E91DC"/>
    <w:rsid w:val="5F4FB82B"/>
    <w:rsid w:val="6092074E"/>
    <w:rsid w:val="629F6AB6"/>
    <w:rsid w:val="643CCCF0"/>
    <w:rsid w:val="64460573"/>
    <w:rsid w:val="64E43D28"/>
    <w:rsid w:val="66F880C4"/>
    <w:rsid w:val="6700BEAE"/>
    <w:rsid w:val="6711BC97"/>
    <w:rsid w:val="6772DBD9"/>
    <w:rsid w:val="68162FD1"/>
    <w:rsid w:val="690EAC3A"/>
    <w:rsid w:val="6A6B8DDC"/>
    <w:rsid w:val="6BC4A7D3"/>
    <w:rsid w:val="6BCF4D92"/>
    <w:rsid w:val="6C464CFC"/>
    <w:rsid w:val="6E08B016"/>
    <w:rsid w:val="6F05D36C"/>
    <w:rsid w:val="6F5CD570"/>
    <w:rsid w:val="701A2586"/>
    <w:rsid w:val="7280D4B7"/>
    <w:rsid w:val="739DFD56"/>
    <w:rsid w:val="759D6738"/>
    <w:rsid w:val="75CF7AE5"/>
    <w:rsid w:val="75D406E5"/>
    <w:rsid w:val="75E65D07"/>
    <w:rsid w:val="769C734D"/>
    <w:rsid w:val="7755D55B"/>
    <w:rsid w:val="78E17659"/>
    <w:rsid w:val="7C5D7AC1"/>
    <w:rsid w:val="7D05AB9E"/>
    <w:rsid w:val="7DCEA99E"/>
    <w:rsid w:val="7E880747"/>
    <w:rsid w:val="7F1A59E5"/>
    <w:rsid w:val="7F74554D"/>
    <w:rsid w:val="7FA19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CA6BB"/>
  <w15:chartTrackingRefBased/>
  <w15:docId w15:val="{8B56EF27-9907-419D-B017-D552421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9A"/>
  </w:style>
  <w:style w:type="paragraph" w:styleId="Heading1">
    <w:name w:val="heading 1"/>
    <w:basedOn w:val="Normal"/>
    <w:next w:val="Normal"/>
    <w:link w:val="Heading1Char"/>
    <w:uiPriority w:val="9"/>
    <w:qFormat/>
    <w:rsid w:val="00A57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Cab,CAB - List Bullet,Bullet Point,Bullet point,Bullet points,Bulleted Para,Content descriptions,Dot Point,FooterText,L,List Paragraph Number,List Paragraph1,List Paragraph11,List Paragraph2,NAST Quote,NFP GP Bulleted List,列出段"/>
    <w:basedOn w:val="Normal"/>
    <w:link w:val="ListParagraphChar"/>
    <w:uiPriority w:val="1"/>
    <w:qFormat/>
    <w:rsid w:val="00AB1E9A"/>
    <w:pPr>
      <w:ind w:left="720"/>
      <w:contextualSpacing/>
    </w:pPr>
  </w:style>
  <w:style w:type="table" w:styleId="TableGrid">
    <w:name w:val="Table Grid"/>
    <w:basedOn w:val="TableNormal"/>
    <w:uiPriority w:val="59"/>
    <w:rsid w:val="00AB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9A"/>
  </w:style>
  <w:style w:type="paragraph" w:styleId="Footer">
    <w:name w:val="footer"/>
    <w:basedOn w:val="Normal"/>
    <w:link w:val="Foot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9A"/>
  </w:style>
  <w:style w:type="character" w:styleId="PlaceholderText">
    <w:name w:val="Placeholder Text"/>
    <w:basedOn w:val="DefaultParagraphFont"/>
    <w:uiPriority w:val="99"/>
    <w:semiHidden/>
    <w:rsid w:val="00AB1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9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B1E9A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Style5">
    <w:name w:val="Style5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ListParagraphChar">
    <w:name w:val="List Paragraph Char"/>
    <w:aliases w:val="List Bullet Cab Char,CAB - List Bullet Char,Bullet Point Char,Bullet point Char,Bullet points Char,Bulleted Para Char,Content descriptions Char,Dot Point Char,FooterText Char,L Char,List Paragraph Number Char,List Paragraph1 Char"/>
    <w:basedOn w:val="DefaultParagraphFont"/>
    <w:link w:val="ListParagraph"/>
    <w:uiPriority w:val="1"/>
    <w:qFormat/>
    <w:locked/>
    <w:rsid w:val="00AB1E9A"/>
  </w:style>
  <w:style w:type="character" w:styleId="CommentReference">
    <w:name w:val="annotation reference"/>
    <w:basedOn w:val="DefaultParagraphFont"/>
    <w:uiPriority w:val="99"/>
    <w:semiHidden/>
    <w:unhideWhenUsed/>
    <w:rsid w:val="00AB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1E9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1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E9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AB1E9A"/>
    <w:pPr>
      <w:tabs>
        <w:tab w:val="right" w:leader="dot" w:pos="9060"/>
      </w:tabs>
      <w:spacing w:after="100" w:line="360" w:lineRule="auto"/>
      <w:ind w:left="442"/>
    </w:pPr>
  </w:style>
  <w:style w:type="paragraph" w:styleId="NormalWeb">
    <w:name w:val="Normal (Web)"/>
    <w:basedOn w:val="Normal"/>
    <w:uiPriority w:val="99"/>
    <w:semiHidden/>
    <w:unhideWhenUsed/>
    <w:rsid w:val="00AB1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7E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E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7E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356F4DC9B12094C93F91E4F467C7DFB" ma:contentTypeVersion="" ma:contentTypeDescription="PDMS Document Site Content Type" ma:contentTypeScope="" ma:versionID="447b477a6f4fbd35e2b79431dd994e40">
  <xsd:schema xmlns:xsd="http://www.w3.org/2001/XMLSchema" xmlns:xs="http://www.w3.org/2001/XMLSchema" xmlns:p="http://schemas.microsoft.com/office/2006/metadata/properties" xmlns:ns2="8FD8A393-2E77-4A2B-AD15-CFDC5E1BA213" targetNamespace="http://schemas.microsoft.com/office/2006/metadata/properties" ma:root="true" ma:fieldsID="023b257ec5bf30f487f94bb6d688735a" ns2:_="">
    <xsd:import namespace="8FD8A393-2E77-4A2B-AD15-CFDC5E1BA21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A393-2E77-4A2B-AD15-CFDC5E1BA21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FD8A393-2E77-4A2B-AD15-CFDC5E1BA2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8CB5D-EED6-445D-A4EC-7EE11132F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8A393-2E77-4A2B-AD15-CFDC5E1B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07FAD-4374-4456-93FD-DD6E8CA41441}">
  <ds:schemaRefs>
    <ds:schemaRef ds:uri="http://schemas.microsoft.com/office/2006/metadata/properties"/>
    <ds:schemaRef ds:uri="http://schemas.microsoft.com/office/infopath/2007/PartnerControls"/>
    <ds:schemaRef ds:uri="40753B41-F69C-4F0E-9046-394C0A16F4EE"/>
    <ds:schemaRef ds:uri="8FD8A393-2E77-4A2B-AD15-CFDC5E1BA213"/>
  </ds:schemaRefs>
</ds:datastoreItem>
</file>

<file path=customXml/itemProps3.xml><?xml version="1.0" encoding="utf-8"?>
<ds:datastoreItem xmlns:ds="http://schemas.openxmlformats.org/officeDocument/2006/customXml" ds:itemID="{9021C733-ABF9-4945-8777-9491FA581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290</Words>
  <Characters>1714</Characters>
  <Application>Microsoft Office Word</Application>
  <DocSecurity>0</DocSecurity>
  <Lines>107</Lines>
  <Paragraphs>40</Paragraphs>
  <ScaleCrop>false</ScaleCrop>
  <Company>Australian Government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WATSON,Emma</dc:creator>
  <cp:keywords/>
  <dc:description/>
  <cp:lastModifiedBy>KHANUM,Bushra</cp:lastModifiedBy>
  <cp:revision>5</cp:revision>
  <cp:lastPrinted>2022-06-21T01:45:00Z</cp:lastPrinted>
  <dcterms:created xsi:type="dcterms:W3CDTF">2022-06-21T01:45:00Z</dcterms:created>
  <dcterms:modified xsi:type="dcterms:W3CDTF">2022-06-21T01:50:00Z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0x010100266966F133664895A6EE3632470D45F500E356F4DC9B12094C93F91E4F467C7DFB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2022-05-16T06:14:16Z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27f8f644-4724-436e-aa95-fa84ac4f4d22</vt:lpwstr>
  </property>
  <property fmtid="{D5CDD505-2E9C-101B-9397-08002B2CF9AE}" pid="9" name="MSIP_Label_79d889eb-932f-4752-8739-64d25806ef64_ContentBits">
    <vt:lpwstr>0</vt:lpwstr>
  </property>
</Properties>
</file>